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D1" w:rsidRPr="00730F74" w:rsidRDefault="009937D1" w:rsidP="009937D1">
      <w:r w:rsidRPr="00730F74">
        <w:rPr>
          <w:b/>
        </w:rPr>
        <w:t>Cardiopulmonary exercise testing for the prediction of morbidity risk after rectal cancer surgery</w:t>
      </w:r>
    </w:p>
    <w:p w:rsidR="009937D1" w:rsidRPr="00730F74" w:rsidRDefault="009937D1" w:rsidP="00D135C4">
      <w:pPr>
        <w:jc w:val="left"/>
      </w:pPr>
      <w:r w:rsidRPr="00730F74">
        <w:t>M</w:t>
      </w:r>
      <w:r w:rsidR="00CE5AC0" w:rsidRPr="00730F74">
        <w:t xml:space="preserve">. </w:t>
      </w:r>
      <w:r w:rsidRPr="00730F74">
        <w:t>A</w:t>
      </w:r>
      <w:r w:rsidR="00CE5AC0" w:rsidRPr="00730F74">
        <w:t>.</w:t>
      </w:r>
      <w:r w:rsidRPr="00730F74">
        <w:t xml:space="preserve"> West</w:t>
      </w:r>
      <w:r w:rsidR="00FA1F2D" w:rsidRPr="00730F74">
        <w:rPr>
          <w:vertAlign w:val="superscript"/>
        </w:rPr>
        <w:t>1,2,4</w:t>
      </w:r>
      <w:r w:rsidRPr="00730F74">
        <w:t>, M</w:t>
      </w:r>
      <w:r w:rsidR="00CE5AC0" w:rsidRPr="00730F74">
        <w:t xml:space="preserve">. </w:t>
      </w:r>
      <w:r w:rsidRPr="00730F74">
        <w:t>G</w:t>
      </w:r>
      <w:r w:rsidR="00CE5AC0" w:rsidRPr="00730F74">
        <w:t>.</w:t>
      </w:r>
      <w:r w:rsidRPr="00730F74">
        <w:t xml:space="preserve"> Parry</w:t>
      </w:r>
      <w:r w:rsidRPr="00730F74">
        <w:rPr>
          <w:vertAlign w:val="superscript"/>
        </w:rPr>
        <w:t>1</w:t>
      </w:r>
      <w:r w:rsidRPr="00730F74">
        <w:t>, D</w:t>
      </w:r>
      <w:r w:rsidR="00CE5AC0" w:rsidRPr="00730F74">
        <w:t>.</w:t>
      </w:r>
      <w:r w:rsidRPr="00730F74">
        <w:t xml:space="preserve"> Lythgoe</w:t>
      </w:r>
      <w:r w:rsidR="00FA1F2D" w:rsidRPr="00730F74">
        <w:rPr>
          <w:vertAlign w:val="superscript"/>
        </w:rPr>
        <w:t>3</w:t>
      </w:r>
      <w:r w:rsidRPr="00730F74">
        <w:t>, C</w:t>
      </w:r>
      <w:r w:rsidR="00CE5AC0" w:rsidRPr="00730F74">
        <w:t xml:space="preserve">. </w:t>
      </w:r>
      <w:r w:rsidRPr="00730F74">
        <w:t>P</w:t>
      </w:r>
      <w:r w:rsidR="00CE5AC0" w:rsidRPr="00730F74">
        <w:t>.</w:t>
      </w:r>
      <w:r w:rsidRPr="00730F74">
        <w:t xml:space="preserve"> Barben</w:t>
      </w:r>
      <w:r w:rsidRPr="00730F74">
        <w:rPr>
          <w:vertAlign w:val="superscript"/>
        </w:rPr>
        <w:t>1</w:t>
      </w:r>
      <w:r w:rsidRPr="00730F74">
        <w:t>, G</w:t>
      </w:r>
      <w:r w:rsidR="00CE5AC0" w:rsidRPr="00730F74">
        <w:t xml:space="preserve">. </w:t>
      </w:r>
      <w:r w:rsidRPr="00730F74">
        <w:t>J</w:t>
      </w:r>
      <w:r w:rsidR="00CE5AC0" w:rsidRPr="00730F74">
        <w:t>.</w:t>
      </w:r>
      <w:r w:rsidRPr="00730F74">
        <w:t xml:space="preserve"> Kemp</w:t>
      </w:r>
      <w:r w:rsidR="00FA1F2D" w:rsidRPr="00730F74">
        <w:rPr>
          <w:vertAlign w:val="superscript"/>
        </w:rPr>
        <w:t>2</w:t>
      </w:r>
      <w:r w:rsidRPr="00730F74">
        <w:t>, M</w:t>
      </w:r>
      <w:r w:rsidR="00CE5AC0" w:rsidRPr="00730F74">
        <w:t xml:space="preserve">. </w:t>
      </w:r>
      <w:r w:rsidRPr="00730F74">
        <w:t>P</w:t>
      </w:r>
      <w:r w:rsidR="00CE5AC0" w:rsidRPr="00730F74">
        <w:t xml:space="preserve">. </w:t>
      </w:r>
      <w:r w:rsidRPr="00730F74">
        <w:t>W</w:t>
      </w:r>
      <w:r w:rsidR="00CE5AC0" w:rsidRPr="00730F74">
        <w:t>.</w:t>
      </w:r>
      <w:r w:rsidRPr="00730F74">
        <w:t xml:space="preserve"> Grocott</w:t>
      </w:r>
      <w:r w:rsidR="00FA1F2D" w:rsidRPr="00730F74">
        <w:rPr>
          <w:vertAlign w:val="superscript"/>
        </w:rPr>
        <w:t>4</w:t>
      </w:r>
      <w:r w:rsidRPr="00730F74">
        <w:rPr>
          <w:vertAlign w:val="superscript"/>
        </w:rPr>
        <w:t>,5,6</w:t>
      </w:r>
      <w:r w:rsidR="00CE5AC0" w:rsidRPr="00730F74">
        <w:t xml:space="preserve"> and</w:t>
      </w:r>
      <w:r w:rsidRPr="00730F74">
        <w:t xml:space="preserve"> S</w:t>
      </w:r>
      <w:r w:rsidR="00CE5AC0" w:rsidRPr="00730F74">
        <w:t>.</w:t>
      </w:r>
      <w:r w:rsidRPr="00730F74">
        <w:t xml:space="preserve"> Jack</w:t>
      </w:r>
      <w:r w:rsidRPr="00730F74">
        <w:rPr>
          <w:vertAlign w:val="superscript"/>
        </w:rPr>
        <w:t>5,6</w:t>
      </w:r>
    </w:p>
    <w:p w:rsidR="00FA1F2D" w:rsidRPr="00730F74" w:rsidRDefault="00FA1F2D" w:rsidP="00FA1F2D">
      <w:pPr>
        <w:pStyle w:val="NoSpacing1"/>
        <w:spacing w:before="120" w:after="120" w:line="480" w:lineRule="auto"/>
        <w:jc w:val="both"/>
        <w:rPr>
          <w:rFonts w:ascii="Times New Roman" w:hAnsi="Times New Roman"/>
        </w:rPr>
      </w:pPr>
      <w:commentRangeStart w:id="0"/>
      <w:r w:rsidRPr="00730F74">
        <w:rPr>
          <w:rFonts w:ascii="Times New Roman" w:hAnsi="Times New Roman"/>
          <w:highlight w:val="yellow"/>
          <w:vertAlign w:val="superscript"/>
        </w:rPr>
        <w:t>1</w:t>
      </w:r>
      <w:r w:rsidRPr="00730F74">
        <w:rPr>
          <w:rFonts w:ascii="Times New Roman" w:hAnsi="Times New Roman"/>
          <w:highlight w:val="yellow"/>
        </w:rPr>
        <w:t>Colorectal Surgery Research Group</w:t>
      </w:r>
      <w:commentRangeEnd w:id="0"/>
      <w:r w:rsidRPr="00730F74">
        <w:rPr>
          <w:rStyle w:val="CommentReference"/>
          <w:rFonts w:ascii="Times New Roman" w:eastAsia="Times New Roman" w:hAnsi="Times New Roman"/>
          <w:vanish/>
          <w:lang w:eastAsia="fr-FR"/>
        </w:rPr>
        <w:commentReference w:id="0"/>
      </w:r>
      <w:r w:rsidRPr="00730F74">
        <w:rPr>
          <w:rFonts w:ascii="Times New Roman" w:hAnsi="Times New Roman"/>
        </w:rPr>
        <w:t xml:space="preserve">, Aintree University Hospitals NHS Foundation Trust, and </w:t>
      </w:r>
      <w:r w:rsidRPr="00730F74">
        <w:rPr>
          <w:rFonts w:ascii="Times New Roman" w:hAnsi="Times New Roman"/>
          <w:vertAlign w:val="superscript"/>
        </w:rPr>
        <w:t>2</w:t>
      </w:r>
      <w:r w:rsidRPr="00730F74">
        <w:rPr>
          <w:rFonts w:ascii="Times New Roman" w:hAnsi="Times New Roman"/>
        </w:rPr>
        <w:t xml:space="preserve">Department of Musculoskeletal Biology, Institute of Ageing and Chronic Disease and </w:t>
      </w:r>
      <w:r w:rsidRPr="00730F74">
        <w:rPr>
          <w:rFonts w:ascii="Times New Roman" w:hAnsi="Times New Roman"/>
          <w:vertAlign w:val="superscript"/>
        </w:rPr>
        <w:t>3</w:t>
      </w:r>
      <w:r w:rsidRPr="00730F74">
        <w:rPr>
          <w:rFonts w:ascii="Times New Roman" w:hAnsi="Times New Roman"/>
        </w:rPr>
        <w:t xml:space="preserve">Cancer Research UK Liverpool Cancer Trials Unit, University of Liverpool, Liverpool, and </w:t>
      </w:r>
      <w:r w:rsidRPr="00730F74">
        <w:rPr>
          <w:rFonts w:ascii="Times New Roman" w:hAnsi="Times New Roman"/>
          <w:vertAlign w:val="superscript"/>
        </w:rPr>
        <w:t>4</w:t>
      </w:r>
      <w:r w:rsidRPr="00730F74">
        <w:rPr>
          <w:rFonts w:ascii="Times New Roman" w:hAnsi="Times New Roman"/>
        </w:rPr>
        <w:t xml:space="preserve">Critical Care Research Area, National Institute for Health Research Respiratory Biomedical Research Unit, </w:t>
      </w:r>
      <w:r w:rsidRPr="00730F74">
        <w:rPr>
          <w:rFonts w:ascii="Times New Roman" w:hAnsi="Times New Roman"/>
          <w:vertAlign w:val="superscript"/>
        </w:rPr>
        <w:t>5</w:t>
      </w:r>
      <w:r w:rsidRPr="00730F74">
        <w:rPr>
          <w:rFonts w:ascii="Times New Roman" w:hAnsi="Times New Roman"/>
        </w:rPr>
        <w:t xml:space="preserve">Integrative Physiology and Critical Illness Group, Clinical and Experimental Sciences, Sir Henry Wellcome Laboratories, University of Southampton, and </w:t>
      </w:r>
      <w:r w:rsidRPr="00730F74">
        <w:rPr>
          <w:rFonts w:ascii="Times New Roman" w:hAnsi="Times New Roman"/>
          <w:vertAlign w:val="superscript"/>
        </w:rPr>
        <w:t>6</w:t>
      </w:r>
      <w:r w:rsidRPr="00730F74">
        <w:rPr>
          <w:rFonts w:ascii="Times New Roman" w:hAnsi="Times New Roman"/>
        </w:rPr>
        <w:t>Anaesthesia and Critical Care Research Unit, University Hospital Southampton NHS Foundation Trust, Southampton, UK</w:t>
      </w:r>
    </w:p>
    <w:p w:rsidR="00FA1F2D" w:rsidRPr="00730F74" w:rsidRDefault="00FA1F2D" w:rsidP="00D135C4">
      <w:pPr>
        <w:pStyle w:val="NoSpacing1"/>
        <w:spacing w:before="120" w:after="120" w:line="480" w:lineRule="auto"/>
        <w:jc w:val="both"/>
        <w:rPr>
          <w:rFonts w:ascii="Times New Roman" w:hAnsi="Times New Roman"/>
        </w:rPr>
      </w:pPr>
    </w:p>
    <w:p w:rsidR="00CE5AC0" w:rsidRPr="00730F74" w:rsidRDefault="009937D1" w:rsidP="00CE5AC0">
      <w:pPr>
        <w:jc w:val="left"/>
      </w:pPr>
      <w:r w:rsidRPr="00730F74">
        <w:rPr>
          <w:i/>
        </w:rPr>
        <w:t>Correspond</w:t>
      </w:r>
      <w:r w:rsidR="00CE5AC0" w:rsidRPr="00730F74">
        <w:rPr>
          <w:i/>
        </w:rPr>
        <w:t>ence to</w:t>
      </w:r>
      <w:r w:rsidRPr="00730F74">
        <w:rPr>
          <w:i/>
        </w:rPr>
        <w:t>:</w:t>
      </w:r>
      <w:r w:rsidRPr="00730F74">
        <w:t xml:space="preserve"> Mr M</w:t>
      </w:r>
      <w:r w:rsidR="00CE5AC0" w:rsidRPr="00730F74">
        <w:t>. A.</w:t>
      </w:r>
      <w:r w:rsidRPr="00730F74">
        <w:t xml:space="preserve"> Wes</w:t>
      </w:r>
      <w:r w:rsidR="00CE5AC0" w:rsidRPr="00730F74">
        <w:t>t, Clinical Sciences Building, Third</w:t>
      </w:r>
      <w:r w:rsidRPr="00730F74">
        <w:t xml:space="preserve"> Floor, Aintree University Hospitals Foundation Trust, </w:t>
      </w:r>
      <w:r w:rsidR="00D135C4" w:rsidRPr="00730F74">
        <w:t xml:space="preserve">Lower Lane, </w:t>
      </w:r>
      <w:r w:rsidRPr="00730F74">
        <w:t>Liverpool L9</w:t>
      </w:r>
      <w:r w:rsidR="00CE5AC0" w:rsidRPr="00730F74">
        <w:t xml:space="preserve"> </w:t>
      </w:r>
      <w:r w:rsidRPr="00730F74">
        <w:t>7AL</w:t>
      </w:r>
      <w:r w:rsidR="00CE5AC0" w:rsidRPr="00730F74">
        <w:t>, UK (e-mail:</w:t>
      </w:r>
      <w:r w:rsidRPr="00730F74">
        <w:t xml:space="preserve"> </w:t>
      </w:r>
      <w:hyperlink r:id="rId8" w:history="1">
        <w:r w:rsidRPr="00730F74">
          <w:rPr>
            <w:rStyle w:val="Hyperlink"/>
            <w:color w:val="auto"/>
            <w:u w:val="none"/>
          </w:rPr>
          <w:t>mwest@liverpool.ac.uk</w:t>
        </w:r>
      </w:hyperlink>
      <w:r w:rsidR="00CE5AC0" w:rsidRPr="00730F74">
        <w:t>)</w:t>
      </w:r>
    </w:p>
    <w:p w:rsidR="00CE5AC0" w:rsidRPr="00730F74" w:rsidRDefault="00CE5AC0" w:rsidP="00CE5AC0">
      <w:pPr>
        <w:jc w:val="left"/>
      </w:pPr>
    </w:p>
    <w:p w:rsidR="009937D1" w:rsidRPr="00730F74" w:rsidRDefault="009937D1" w:rsidP="00CE5AC0">
      <w:pPr>
        <w:jc w:val="left"/>
      </w:pPr>
      <w:r w:rsidRPr="00730F74">
        <w:t xml:space="preserve">Presented </w:t>
      </w:r>
      <w:r w:rsidR="00CE5AC0" w:rsidRPr="00730F74">
        <w:t>to</w:t>
      </w:r>
      <w:r w:rsidRPr="00730F74">
        <w:t xml:space="preserve"> the </w:t>
      </w:r>
      <w:r w:rsidR="001324F0" w:rsidRPr="00730F74">
        <w:t xml:space="preserve">2013 </w:t>
      </w:r>
      <w:r w:rsidRPr="00730F74">
        <w:t xml:space="preserve">International </w:t>
      </w:r>
      <w:r w:rsidR="001324F0" w:rsidRPr="00730F74">
        <w:t>Surgical Congress</w:t>
      </w:r>
      <w:r w:rsidRPr="00730F74">
        <w:t xml:space="preserve"> of the Association of Surgeons </w:t>
      </w:r>
      <w:r w:rsidR="001324F0" w:rsidRPr="00730F74">
        <w:t xml:space="preserve">of </w:t>
      </w:r>
      <w:r w:rsidRPr="00730F74">
        <w:t xml:space="preserve">Great Britain and Ireland, </w:t>
      </w:r>
      <w:r w:rsidR="001324F0" w:rsidRPr="00730F74">
        <w:t>Glasgow, UK,</w:t>
      </w:r>
      <w:r w:rsidR="00CE5AC0" w:rsidRPr="00730F74">
        <w:t xml:space="preserve"> </w:t>
      </w:r>
      <w:r w:rsidRPr="00730F74">
        <w:t>May 2013</w:t>
      </w:r>
      <w:r w:rsidR="00CE5AC0" w:rsidRPr="00730F74">
        <w:t>; published in abstract form as</w:t>
      </w:r>
      <w:r w:rsidRPr="00730F74">
        <w:t xml:space="preserve"> </w:t>
      </w:r>
      <w:r w:rsidRPr="00730F74">
        <w:rPr>
          <w:i/>
        </w:rPr>
        <w:t>Br J Surg</w:t>
      </w:r>
      <w:r w:rsidRPr="00730F74">
        <w:t xml:space="preserve"> 2012; </w:t>
      </w:r>
      <w:r w:rsidRPr="00730F74">
        <w:rPr>
          <w:b/>
        </w:rPr>
        <w:t>99</w:t>
      </w:r>
      <w:r w:rsidRPr="00730F74">
        <w:t>(Suppl</w:t>
      </w:r>
      <w:r w:rsidR="00CE5AC0" w:rsidRPr="00730F74">
        <w:t xml:space="preserve"> 6): 2</w:t>
      </w:r>
    </w:p>
    <w:p w:rsidR="009937D1" w:rsidRPr="00730F74" w:rsidRDefault="009937D1" w:rsidP="009937D1"/>
    <w:p w:rsidR="00E61287" w:rsidRPr="00730F74" w:rsidRDefault="00E61287" w:rsidP="00E61287">
      <w:pPr>
        <w:pStyle w:val="CommentText"/>
        <w:rPr>
          <w:b/>
          <w:color w:val="FF0000"/>
        </w:rPr>
      </w:pPr>
      <w:r w:rsidRPr="00730F74">
        <w:rPr>
          <w:b/>
          <w:color w:val="FF0000"/>
        </w:rPr>
        <w:t xml:space="preserve">TYPESETTER: THROUGHOUT PLEASE JOIN UP “V” WITH </w:t>
      </w:r>
      <w:r w:rsidRPr="00730F74">
        <w:rPr>
          <w:b/>
          <w:smallCaps/>
          <w:color w:val="FF0000"/>
        </w:rPr>
        <w:t>o</w:t>
      </w:r>
      <w:r w:rsidRPr="00730F74">
        <w:rPr>
          <w:b/>
          <w:color w:val="FF0000"/>
          <w:vertAlign w:val="subscript"/>
        </w:rPr>
        <w:t>2</w:t>
      </w:r>
      <w:r w:rsidRPr="00730F74">
        <w:rPr>
          <w:b/>
          <w:color w:val="FF0000"/>
          <w:vertAlign w:val="superscript"/>
        </w:rPr>
        <w:t xml:space="preserve"> </w:t>
      </w:r>
      <w:r w:rsidRPr="00730F74">
        <w:rPr>
          <w:b/>
          <w:color w:val="FF0000"/>
        </w:rPr>
        <w:t>(no space)</w:t>
      </w:r>
    </w:p>
    <w:p w:rsidR="009937D1" w:rsidRPr="00730F74" w:rsidRDefault="009937D1" w:rsidP="009937D1">
      <w:r w:rsidRPr="00730F74">
        <w:rPr>
          <w:b/>
        </w:rPr>
        <w:lastRenderedPageBreak/>
        <w:t>Background</w:t>
      </w:r>
      <w:r w:rsidR="00CE5AC0" w:rsidRPr="00730F74">
        <w:rPr>
          <w:b/>
        </w:rPr>
        <w:t>:</w:t>
      </w:r>
      <w:r w:rsidR="001324F0" w:rsidRPr="00730F74">
        <w:rPr>
          <w:b/>
        </w:rPr>
        <w:t xml:space="preserve"> </w:t>
      </w:r>
      <w:r w:rsidRPr="00730F74">
        <w:t>This study investigated</w:t>
      </w:r>
      <w:r w:rsidR="000E1FC8">
        <w:t xml:space="preserve"> the</w:t>
      </w:r>
      <w:r w:rsidRPr="00730F74">
        <w:t xml:space="preserve"> relationship between objectively measured physical fitness variables derived by cardiopulmonary exercise testing (CPET) and in-hospital morbidity after rectal cancer surgery.</w:t>
      </w:r>
    </w:p>
    <w:p w:rsidR="009937D1" w:rsidRPr="00730F74" w:rsidRDefault="009937D1" w:rsidP="009937D1">
      <w:r w:rsidRPr="00730F74">
        <w:rPr>
          <w:b/>
        </w:rPr>
        <w:t>Methods</w:t>
      </w:r>
      <w:r w:rsidR="00CE5AC0" w:rsidRPr="00730F74">
        <w:rPr>
          <w:b/>
        </w:rPr>
        <w:t>:</w:t>
      </w:r>
      <w:r w:rsidR="00CE5AC0" w:rsidRPr="00730F74">
        <w:t xml:space="preserve"> P</w:t>
      </w:r>
      <w:r w:rsidRPr="00730F74">
        <w:t>atients scheduled for rectal cancer surgery underwent preoperative CPET (reported blind to patient characteristics) with recording of morbidity (recorded blind to CPET variables). Non-parametric receiver</w:t>
      </w:r>
      <w:r w:rsidR="001324F0" w:rsidRPr="00730F74">
        <w:t xml:space="preserve"> </w:t>
      </w:r>
      <w:r w:rsidRPr="00730F74">
        <w:t>operat</w:t>
      </w:r>
      <w:r w:rsidR="001324F0" w:rsidRPr="00730F74">
        <w:t>ing</w:t>
      </w:r>
      <w:r w:rsidRPr="00730F74">
        <w:t xml:space="preserve"> characteristic (ROC) curves and logistic regression were used to assess the relationship between CPET variables and postoperative morbidity</w:t>
      </w:r>
      <w:r w:rsidR="00CE5AC0" w:rsidRPr="00730F74">
        <w:t>.</w:t>
      </w:r>
    </w:p>
    <w:p w:rsidR="009937D1" w:rsidRPr="00730F74" w:rsidRDefault="009937D1" w:rsidP="009937D1">
      <w:r w:rsidRPr="00730F74">
        <w:rPr>
          <w:b/>
        </w:rPr>
        <w:t>Results</w:t>
      </w:r>
      <w:r w:rsidR="00CE5AC0" w:rsidRPr="00730F74">
        <w:rPr>
          <w:b/>
        </w:rPr>
        <w:t>:</w:t>
      </w:r>
      <w:r w:rsidRPr="00730F74">
        <w:t xml:space="preserve"> Of 105 patients assessed, 95 (72 m</w:t>
      </w:r>
      <w:r w:rsidR="001324F0" w:rsidRPr="00730F74">
        <w:t>en</w:t>
      </w:r>
      <w:r w:rsidRPr="00730F74">
        <w:t>) were included</w:t>
      </w:r>
      <w:r w:rsidR="000E1FC8">
        <w:t>; t</w:t>
      </w:r>
      <w:r w:rsidRPr="00730F74">
        <w:t xml:space="preserve">en patients had no surgery and were excluded (3 by choice, 7 </w:t>
      </w:r>
      <w:r w:rsidR="001324F0" w:rsidRPr="00730F74">
        <w:t>owing</w:t>
      </w:r>
      <w:r w:rsidRPr="00730F74">
        <w:t xml:space="preserve"> to </w:t>
      </w:r>
      <w:r w:rsidR="000E1FC8">
        <w:t>un</w:t>
      </w:r>
      <w:r w:rsidRPr="00730F74">
        <w:t xml:space="preserve">resectable metastasis). Sixty-eight patients had </w:t>
      </w:r>
      <w:r w:rsidR="00C1617C" w:rsidRPr="00730F74">
        <w:t>received</w:t>
      </w:r>
      <w:r w:rsidRPr="00730F74">
        <w:t xml:space="preserve"> neoadjuvant treatment. ROC curve analysis of oxygen uptake </w:t>
      </w:r>
      <w:commentRangeStart w:id="1"/>
      <w:r w:rsidRPr="00730F74">
        <w:t>(</w:t>
      </w:r>
      <w:r w:rsidR="00A2628E" w:rsidRPr="00730F74">
        <w:rPr>
          <w:position w:val="-6"/>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5.6pt" o:ole="">
            <v:imagedata r:id="rId9" o:title=""/>
          </v:shape>
          <o:OLEObject Type="Embed" ProgID="Equation.3" ShapeID="_x0000_i1025" DrawAspect="Content" ObjectID="_1460191729" r:id="rId10"/>
        </w:object>
      </w:r>
      <w:r w:rsidRPr="00730F74">
        <w:rPr>
          <w:smallCaps/>
        </w:rPr>
        <w:t>o</w:t>
      </w:r>
      <w:r w:rsidRPr="00730F74">
        <w:rPr>
          <w:vertAlign w:val="subscript"/>
        </w:rPr>
        <w:t>2</w:t>
      </w:r>
      <w:r w:rsidRPr="00730F74">
        <w:t>)</w:t>
      </w:r>
      <w:r w:rsidR="000736A8" w:rsidRPr="00730F74">
        <w:t xml:space="preserve"> </w:t>
      </w:r>
      <w:commentRangeEnd w:id="1"/>
      <w:r w:rsidR="00E61287" w:rsidRPr="00730F74">
        <w:rPr>
          <w:rStyle w:val="CommentReference"/>
          <w:vanish/>
          <w:lang/>
        </w:rPr>
        <w:commentReference w:id="1"/>
      </w:r>
      <w:r w:rsidRPr="00730F74">
        <w:t>at estimated lactate threshold (</w:t>
      </w:r>
      <w:r w:rsidRPr="00730F74">
        <w:rPr>
          <w:position w:val="-6"/>
        </w:rPr>
        <w:object w:dxaOrig="180" w:dyaOrig="320">
          <v:shape id="_x0000_i1026" type="#_x0000_t75" style="width:9.65pt;height:15.6pt" o:ole="">
            <v:imagedata r:id="rId11" o:title=""/>
          </v:shape>
          <o:OLEObject Type="Embed" ProgID="Equation.3" ShapeID="_x0000_i1026" DrawAspect="Content" ObjectID="_1460191730" r:id="rId12"/>
        </w:object>
      </w:r>
      <w:r w:rsidRPr="00730F74">
        <w:rPr>
          <w:vertAlign w:val="subscript"/>
        </w:rPr>
        <w:t>L</w:t>
      </w:r>
      <w:r w:rsidRPr="00730F74">
        <w:t xml:space="preserve">) and </w:t>
      </w:r>
      <w:r w:rsidR="00D27B15" w:rsidRPr="00730F74">
        <w:t xml:space="preserve">peak </w:t>
      </w:r>
      <w:r w:rsidR="00A2628E" w:rsidRPr="00730F74">
        <w:rPr>
          <w:position w:val="-6"/>
        </w:rPr>
        <w:object w:dxaOrig="260" w:dyaOrig="320">
          <v:shape id="_x0000_i1079" type="#_x0000_t75" style="width:8.6pt;height:15.6pt" o:ole="">
            <v:imagedata r:id="rId9" o:title=""/>
          </v:shape>
          <o:OLEObject Type="Embed" ProgID="Equation.3" ShapeID="_x0000_i1079" DrawAspect="Content" ObjectID="_1460191731" r:id="rId13"/>
        </w:object>
      </w:r>
      <w:r w:rsidR="00A2628E" w:rsidRPr="00730F74">
        <w:rPr>
          <w:smallCaps/>
        </w:rPr>
        <w:t>o</w:t>
      </w:r>
      <w:r w:rsidR="00A2628E" w:rsidRPr="00730F74">
        <w:rPr>
          <w:vertAlign w:val="subscript"/>
        </w:rPr>
        <w:t>2</w:t>
      </w:r>
      <w:r w:rsidRPr="00730F74">
        <w:t xml:space="preserve"> gave an area under the ROC curve of 0.87 (95</w:t>
      </w:r>
      <w:r w:rsidR="00E61287" w:rsidRPr="00730F74">
        <w:t xml:space="preserve"> per cent confidence interval</w:t>
      </w:r>
      <w:r w:rsidRPr="00730F74">
        <w:t xml:space="preserve"> 0.78</w:t>
      </w:r>
      <w:r w:rsidR="00E61287" w:rsidRPr="00730F74">
        <w:t xml:space="preserve"> to </w:t>
      </w:r>
      <w:r w:rsidRPr="00730F74">
        <w:t>0.95</w:t>
      </w:r>
      <w:r w:rsidR="00E61287" w:rsidRPr="00730F74">
        <w:t xml:space="preserve">; </w:t>
      </w:r>
      <w:r w:rsidR="00E61287" w:rsidRPr="00730F74">
        <w:rPr>
          <w:i/>
        </w:rPr>
        <w:t>P </w:t>
      </w:r>
      <w:r w:rsidRPr="00730F74">
        <w:t>&lt;</w:t>
      </w:r>
      <w:r w:rsidR="00E61287" w:rsidRPr="00730F74">
        <w:t> </w:t>
      </w:r>
      <w:r w:rsidRPr="00730F74">
        <w:t>0.001) and 0.85 (0.77</w:t>
      </w:r>
      <w:r w:rsidR="00E61287" w:rsidRPr="00730F74">
        <w:t xml:space="preserve"> to </w:t>
      </w:r>
      <w:r w:rsidRPr="00730F74">
        <w:t>0.93</w:t>
      </w:r>
      <w:r w:rsidR="00E61287" w:rsidRPr="00730F74">
        <w:t xml:space="preserve">; </w:t>
      </w:r>
      <w:r w:rsidR="00E61287" w:rsidRPr="00730F74">
        <w:rPr>
          <w:i/>
        </w:rPr>
        <w:t>P </w:t>
      </w:r>
      <w:r w:rsidRPr="00730F74">
        <w:t>&lt;</w:t>
      </w:r>
      <w:r w:rsidR="00E61287" w:rsidRPr="00730F74">
        <w:t> </w:t>
      </w:r>
      <w:r w:rsidRPr="00730F74">
        <w:t>0.001) respectively</w:t>
      </w:r>
      <w:r w:rsidR="00E61287" w:rsidRPr="00730F74">
        <w:t>,</w:t>
      </w:r>
      <w:r w:rsidRPr="00730F74">
        <w:t xml:space="preserve"> indicating that they can help discri</w:t>
      </w:r>
      <w:r w:rsidR="00E61287" w:rsidRPr="00730F74">
        <w:t>minate patients at risk of post</w:t>
      </w:r>
      <w:r w:rsidRPr="00730F74">
        <w:t>operative morbidity. The optimal cut</w:t>
      </w:r>
      <w:r w:rsidR="00E61287" w:rsidRPr="00730F74">
        <w:t xml:space="preserve">-off </w:t>
      </w:r>
      <w:r w:rsidRPr="00730F74">
        <w:t>points identified were 10.6 and 18.6</w:t>
      </w:r>
      <w:r w:rsidR="00E61287" w:rsidRPr="00730F74">
        <w:t> </w:t>
      </w:r>
      <w:commentRangeStart w:id="2"/>
      <w:r w:rsidRPr="00730F74">
        <w:t>ml</w:t>
      </w:r>
      <w:r w:rsidR="00E61287" w:rsidRPr="00730F74">
        <w:t xml:space="preserve"> per </w:t>
      </w:r>
      <w:r w:rsidRPr="00730F74">
        <w:t>kg</w:t>
      </w:r>
      <w:r w:rsidR="00E61287" w:rsidRPr="00730F74">
        <w:t xml:space="preserve"> per </w:t>
      </w:r>
      <w:r w:rsidRPr="00730F74">
        <w:t xml:space="preserve">min </w:t>
      </w:r>
      <w:commentRangeEnd w:id="2"/>
      <w:r w:rsidR="00737D7B">
        <w:rPr>
          <w:rStyle w:val="CommentReference"/>
          <w:lang/>
        </w:rPr>
        <w:commentReference w:id="2"/>
      </w:r>
      <w:r w:rsidRPr="00730F74">
        <w:t>for</w:t>
      </w:r>
      <w:r w:rsidR="00D27B15" w:rsidRPr="00730F74">
        <w:t xml:space="preserve"> </w:t>
      </w:r>
      <w:r w:rsidR="00A92B0C" w:rsidRPr="00730F74">
        <w:rPr>
          <w:position w:val="-6"/>
        </w:rPr>
        <w:object w:dxaOrig="260" w:dyaOrig="320">
          <v:shape id="_x0000_i1080" type="#_x0000_t75" style="width:8.6pt;height:15.6pt" o:ole="">
            <v:imagedata r:id="rId9" o:title=""/>
          </v:shape>
          <o:OLEObject Type="Embed" ProgID="Equation.3" ShapeID="_x0000_i1080" DrawAspect="Content" ObjectID="_1460191732" r:id="rId14"/>
        </w:object>
      </w:r>
      <w:r w:rsidR="00A92B0C" w:rsidRPr="00730F74">
        <w:rPr>
          <w:smallCaps/>
        </w:rPr>
        <w:t>o</w:t>
      </w:r>
      <w:r w:rsidR="00A92B0C" w:rsidRPr="00730F74">
        <w:rPr>
          <w:vertAlign w:val="subscript"/>
        </w:rPr>
        <w:t>2</w:t>
      </w:r>
      <w:r w:rsidRPr="00730F74">
        <w:t xml:space="preserve"> at </w:t>
      </w:r>
      <w:r w:rsidRPr="00730F74">
        <w:rPr>
          <w:position w:val="-6"/>
        </w:rPr>
        <w:object w:dxaOrig="180" w:dyaOrig="320">
          <v:shape id="_x0000_i1027" type="#_x0000_t75" style="width:9.65pt;height:15.6pt" o:ole="">
            <v:imagedata r:id="rId11" o:title=""/>
          </v:shape>
          <o:OLEObject Type="Embed" ProgID="Equation.3" ShapeID="_x0000_i1027" DrawAspect="Content" ObjectID="_1460191733" r:id="rId15"/>
        </w:object>
      </w:r>
      <w:r w:rsidRPr="00730F74">
        <w:rPr>
          <w:vertAlign w:val="subscript"/>
        </w:rPr>
        <w:t>L</w:t>
      </w:r>
      <w:r w:rsidRPr="00730F74">
        <w:t xml:space="preserve"> and </w:t>
      </w:r>
      <w:r w:rsidR="00D27B15" w:rsidRPr="00730F74">
        <w:t>peak</w:t>
      </w:r>
      <w:r w:rsidRPr="00730F74">
        <w:t xml:space="preserve"> respectively.</w:t>
      </w:r>
    </w:p>
    <w:p w:rsidR="00CE5AC0" w:rsidRPr="00730F74" w:rsidRDefault="009937D1" w:rsidP="009937D1">
      <w:pPr>
        <w:pStyle w:val="NoSpacing"/>
        <w:spacing w:line="480" w:lineRule="auto"/>
        <w:jc w:val="both"/>
        <w:rPr>
          <w:rFonts w:ascii="Times New Roman" w:hAnsi="Times New Roman"/>
          <w:sz w:val="24"/>
          <w:szCs w:val="24"/>
        </w:rPr>
      </w:pPr>
      <w:r w:rsidRPr="00730F74">
        <w:rPr>
          <w:rFonts w:ascii="Times New Roman" w:hAnsi="Times New Roman"/>
          <w:b/>
          <w:sz w:val="24"/>
          <w:szCs w:val="24"/>
        </w:rPr>
        <w:t>Conclusion</w:t>
      </w:r>
      <w:r w:rsidR="00CE5AC0" w:rsidRPr="00730F74">
        <w:rPr>
          <w:rFonts w:ascii="Times New Roman" w:hAnsi="Times New Roman"/>
          <w:b/>
          <w:sz w:val="24"/>
          <w:szCs w:val="24"/>
        </w:rPr>
        <w:t>:</w:t>
      </w:r>
      <w:r w:rsidRPr="00730F74">
        <w:rPr>
          <w:rFonts w:ascii="Times New Roman" w:hAnsi="Times New Roman"/>
          <w:sz w:val="24"/>
          <w:szCs w:val="24"/>
        </w:rPr>
        <w:t xml:space="preserve"> C</w:t>
      </w:r>
      <w:r w:rsidR="000E1FC8">
        <w:rPr>
          <w:rFonts w:ascii="Times New Roman" w:hAnsi="Times New Roman"/>
          <w:sz w:val="24"/>
          <w:szCs w:val="24"/>
        </w:rPr>
        <w:t>PET</w:t>
      </w:r>
      <w:r w:rsidRPr="00730F74">
        <w:rPr>
          <w:rFonts w:ascii="Times New Roman" w:hAnsi="Times New Roman"/>
          <w:sz w:val="24"/>
          <w:szCs w:val="24"/>
        </w:rPr>
        <w:t xml:space="preserve"> can help predict morbidity after rectal cancer surgery.</w:t>
      </w:r>
    </w:p>
    <w:p w:rsidR="00CE5AC0" w:rsidRPr="00730F74" w:rsidRDefault="00CE5AC0" w:rsidP="009937D1">
      <w:pPr>
        <w:pStyle w:val="NoSpacing"/>
        <w:spacing w:line="480" w:lineRule="auto"/>
        <w:jc w:val="both"/>
        <w:rPr>
          <w:rFonts w:ascii="Times New Roman" w:hAnsi="Times New Roman"/>
          <w:sz w:val="24"/>
          <w:szCs w:val="24"/>
        </w:rPr>
      </w:pPr>
    </w:p>
    <w:p w:rsidR="009937D1" w:rsidRPr="00730F74" w:rsidRDefault="00782953" w:rsidP="009937D1">
      <w:pPr>
        <w:spacing w:before="0" w:after="0"/>
        <w:jc w:val="left"/>
        <w:rPr>
          <w:b/>
        </w:rPr>
      </w:pPr>
      <w:r w:rsidRPr="00730F74">
        <w:rPr>
          <w:b/>
        </w:rPr>
        <w:t xml:space="preserve">+A: </w:t>
      </w:r>
      <w:r w:rsidR="009937D1" w:rsidRPr="00730F74">
        <w:rPr>
          <w:b/>
        </w:rPr>
        <w:t>Introduction</w:t>
      </w:r>
    </w:p>
    <w:p w:rsidR="009937D1" w:rsidRPr="00730F74" w:rsidRDefault="009937D1" w:rsidP="009937D1">
      <w:r w:rsidRPr="00730F74">
        <w:t xml:space="preserve">Major colorectal surgery </w:t>
      </w:r>
      <w:r w:rsidR="004B557B">
        <w:t>is associated with</w:t>
      </w:r>
      <w:r w:rsidRPr="00730F74">
        <w:t xml:space="preserve"> substantial morbidity</w:t>
      </w:r>
      <w:r w:rsidRPr="00730F74">
        <w:rPr>
          <w:vertAlign w:val="superscript"/>
        </w:rPr>
        <w:fldChar w:fldCharType="begin" w:fldLock="1"/>
      </w:r>
      <w:r w:rsidRPr="00730F74">
        <w:rPr>
          <w:vertAlign w:val="superscript"/>
        </w:rPr>
        <w:instrText>ADDIN CSL_CITATION { "citationItems" : [ { "id" : "ITEM-1", "itemData" : { "DOI" : "10.1136/bmj.d4836", "ISSN" : "0959-8138", "author" : [ { "dropping-particle" : "", "family" : "Burns", "given" : "E. M.", "non-dropping-particle" : "", "parse-names" : false, "suffix" : "" }, { "dropping-particle" : "", "family" : "Bottle", "given" : "A.", "non-dropping-particle" : "", "parse-names" : false, "suffix" : "" }, { "dropping-particle" : "", "family" : "Aylin", "given" : "P.", "non-dropping-particle" : "", "parse-names" : false, "suffix" : "" }, { "dropping-particle" : "", "family" : "Darzi", "given" : "A.", "non-dropping-particle" : "", "parse-names" : false, "suffix" : "" }, { "dropping-particle" : "", "family" : "Nicholls", "given" : "R. J.", "non-dropping-particle" : "", "parse-names" : false, "suffix" : "" }, { "dropping-particle" : "", "family" : "Faiz", "given" : "O.", "non-dropping-particle" : "", "parse-names" : false, "suffix" : "" } ], "container-title" : "BMJ", "id" : "ITEM-1", "issued" : { "date-parts" : [ [ "2011", "8", "16" ] ] }, "page" : "4836", "title" : "Variation in reoperation after colorectal surgery in England as an indicator of surgical performance: retrospective analysis of Hospital Episode Statistics", "type" : "article-journal", "volume" : "343" }, "uris" : [ "http://www.mendeley.com/documents/?uuid=d67021af-afa8-41c1-a908-4a517c8126bb" ] } ], "mendeley" : { "previouslyFormattedCitation" : "(1)" }, "properties" : { "noteIndex" : 0 }, "schema" : "https://github.com/citation-style-language/schema/raw/master/csl-citation.json" }</w:instrText>
      </w:r>
      <w:r w:rsidRPr="00730F74">
        <w:rPr>
          <w:vertAlign w:val="superscript"/>
        </w:rPr>
        <w:fldChar w:fldCharType="separate"/>
      </w:r>
      <w:r w:rsidRPr="00730F74">
        <w:rPr>
          <w:noProof/>
          <w:vertAlign w:val="superscript"/>
        </w:rPr>
        <w:t>1</w:t>
      </w:r>
      <w:r w:rsidRPr="00730F74">
        <w:rPr>
          <w:vertAlign w:val="superscript"/>
        </w:rPr>
        <w:fldChar w:fldCharType="end"/>
      </w:r>
      <w:r w:rsidRPr="00730F74">
        <w:t xml:space="preserve"> and mortality, particularly in elderly patients and those with co-morbidities</w:t>
      </w:r>
      <w:r w:rsidRPr="00730F74">
        <w:rPr>
          <w:vertAlign w:val="superscript"/>
        </w:rPr>
        <w:fldChar w:fldCharType="begin" w:fldLock="1"/>
      </w:r>
      <w:r w:rsidRPr="00730F74">
        <w:rPr>
          <w:vertAlign w:val="superscript"/>
        </w:rPr>
        <w:instrText>ADDIN CSL_CITATION { "citationItems" : [ { "id" : "ITEM-1", "itemData" : { "DOI" : "10.1136/gut.2010.232181", "ISSN" : "1468-3288", "PMID" : "21486939", "abstract" : "To assess the variation in risk-adjusted 30-day postoperative mortality for patients with colorectal cancer between hospital trusts within the English NHS.", "author" : [ { "dropping-particle" : "", "family" : "Morris", "given" : "Eva J a", "non-dropping-particle" : "", "parse-names" : false, "suffix" : "" }, { "dropping-particle" : "", "family" : "Taylor", "given" : "Elizabeth F", "non-dropping-particle" : "", "parse-names" : false, "suffix" : "" }, { "dropping-particle" : "", "family" : "Thomas", "given" : "James D", "non-dropping-particle" : "", "parse-names" : false, "suffix" : "" }, { "dropping-particle" : "", "family" : "Quirke", "given" : "Philip", "non-dropping-particle" : "", "parse-names" : false, "suffix" : "" }, { "dropping-particle" : "", "family" : "Finan", "given" : "Paul J", "non-dropping-particle" : "", "parse-names" : false, "suffix" : "" }, { "dropping-particle" : "", "family" : "Coleman", "given" : "Michel P", "non-dropping-particle" : "", "parse-names" : false, "suffix" : "" }, { "dropping-particle" : "", "family" : "Rachet", "given" : "Bernard", "non-dropping-particle" : "", "parse-names" : false, "suffix" : "" }, { "dropping-particle" : "", "family" : "Forman", "given" : "David", "non-dropping-particle" : "", "parse-names" : false, "suffix" : "" } ], "container-title" : "Gut", "id" : "ITEM-1", "issue" : "6", "issued" : { "date-parts" : [ [ "2011", "6" ] ] }, "page" : "806-13", "title" : "Thirty-day postoperative mortality after colorectal cancer surgery in England.", "type" : "article-journal", "volume" : "60" }, "uris" : [ "http://www.mendeley.com/documents/?uuid=06298137-2239-4c8b-8dfa-3fde7ebbe4a7" ] } ], "mendeley" : { "previouslyFormattedCitation" : "(2)" }, "properties" : { "noteIndex" : 0 }, "schema" : "https://github.com/citation-style-language/schema/raw/master/csl-citation.json" }</w:instrText>
      </w:r>
      <w:r w:rsidRPr="00730F74">
        <w:rPr>
          <w:vertAlign w:val="superscript"/>
        </w:rPr>
        <w:fldChar w:fldCharType="separate"/>
      </w:r>
      <w:r w:rsidRPr="00730F74">
        <w:rPr>
          <w:noProof/>
          <w:vertAlign w:val="superscript"/>
        </w:rPr>
        <w:t>2</w:t>
      </w:r>
      <w:r w:rsidRPr="00730F74">
        <w:rPr>
          <w:vertAlign w:val="superscript"/>
        </w:rPr>
        <w:fldChar w:fldCharType="end"/>
      </w:r>
      <w:r w:rsidRPr="00730F74">
        <w:t>. A recent colorectal cancer audit</w:t>
      </w:r>
      <w:r w:rsidR="00782953" w:rsidRPr="00730F74">
        <w:rPr>
          <w:vertAlign w:val="superscript"/>
        </w:rPr>
        <w:fldChar w:fldCharType="begin" w:fldLock="1"/>
      </w:r>
      <w:r w:rsidR="00782953" w:rsidRPr="00730F74">
        <w:rPr>
          <w:vertAlign w:val="superscript"/>
        </w:rPr>
        <w:instrText>ADDIN CSL_CITATION { "citationItems" : [ { "id" : "ITEM-1", "itemData" : { "author" : [ { "dropping-particle" : "", "family" : "Association of Coloproctology of Great Britain and Ireland", "given" : "", "non-dropping-particle" : "", "parse-names" : false, "suffix" : "" } ], "id" : "ITEM-1", "issued" : { "date-parts" : [ [ "2013" ] ] }, "title" : "National Bowel Cancer Audit Annual Report", "type" : "report" }, "uris" : [ "http://www.mendeley.com/documents/?uuid=1762e9f9-68c5-4294-9999-00bbc7baefc5" ] } ], "mendeley" : { "previouslyFormattedCitation" : "(3)" }, "properties" : { "noteIndex" : 0 }, "schema" : "https://github.com/citation-style-language/schema/raw/master/csl-citation.json" }</w:instrText>
      </w:r>
      <w:r w:rsidR="00782953" w:rsidRPr="00730F74">
        <w:rPr>
          <w:vertAlign w:val="superscript"/>
        </w:rPr>
        <w:fldChar w:fldCharType="separate"/>
      </w:r>
      <w:r w:rsidR="00782953" w:rsidRPr="00730F74">
        <w:rPr>
          <w:noProof/>
          <w:vertAlign w:val="superscript"/>
        </w:rPr>
        <w:t>3</w:t>
      </w:r>
      <w:r w:rsidR="00782953" w:rsidRPr="00730F74">
        <w:rPr>
          <w:vertAlign w:val="superscript"/>
        </w:rPr>
        <w:fldChar w:fldCharType="end"/>
      </w:r>
      <w:r w:rsidR="00782953" w:rsidRPr="00730F74">
        <w:t xml:space="preserve"> </w:t>
      </w:r>
      <w:r w:rsidRPr="00730F74">
        <w:t xml:space="preserve">reported </w:t>
      </w:r>
      <w:r w:rsidR="00782953" w:rsidRPr="00730F74">
        <w:t xml:space="preserve">a </w:t>
      </w:r>
      <w:r w:rsidRPr="00730F74">
        <w:t>30-day mortality</w:t>
      </w:r>
      <w:r w:rsidR="00782953" w:rsidRPr="00730F74">
        <w:t xml:space="preserve"> rate</w:t>
      </w:r>
      <w:r w:rsidRPr="00730F74">
        <w:t xml:space="preserve"> of 2.9</w:t>
      </w:r>
      <w:r w:rsidR="00782953" w:rsidRPr="00730F74">
        <w:t xml:space="preserve"> per cent</w:t>
      </w:r>
      <w:r w:rsidRPr="00730F74">
        <w:t xml:space="preserve"> for elective colonic and 1.5</w:t>
      </w:r>
      <w:r w:rsidR="00782953" w:rsidRPr="00730F74">
        <w:t xml:space="preserve"> per cent</w:t>
      </w:r>
      <w:r w:rsidRPr="00730F74">
        <w:t xml:space="preserve"> for rectal surgery. Outcome after major surgery </w:t>
      </w:r>
      <w:proofErr w:type="gramStart"/>
      <w:r w:rsidRPr="00730F74">
        <w:t>depends</w:t>
      </w:r>
      <w:proofErr w:type="gramEnd"/>
      <w:r w:rsidRPr="00730F74">
        <w:t xml:space="preserve"> both on modifiable factors, such as perioperative medical care, and </w:t>
      </w:r>
      <w:r w:rsidR="004B557B">
        <w:t xml:space="preserve">on </w:t>
      </w:r>
      <w:r w:rsidRPr="00730F74">
        <w:t xml:space="preserve">physiological tolerance </w:t>
      </w:r>
      <w:r w:rsidRPr="00730F74">
        <w:lastRenderedPageBreak/>
        <w:t>of surgical trauma. Accurate ris</w:t>
      </w:r>
      <w:r w:rsidR="00782953" w:rsidRPr="00730F74">
        <w:t>k stratification permits optimization of peri</w:t>
      </w:r>
      <w:r w:rsidRPr="00730F74">
        <w:t>operative management and efficient use of resources</w:t>
      </w:r>
      <w:r w:rsidR="00782953" w:rsidRPr="00730F74">
        <w:t>, such as</w:t>
      </w:r>
      <w:r w:rsidRPr="00730F74">
        <w:t xml:space="preserve"> intensive care beds. Current approaches to risk prediction include clinical acumen, prediction scores (</w:t>
      </w:r>
      <w:r w:rsidR="00782953" w:rsidRPr="00730F74">
        <w:t>for example the</w:t>
      </w:r>
      <w:r w:rsidRPr="00730F74">
        <w:t xml:space="preserve"> American Society of Anesthesiologists </w:t>
      </w:r>
      <w:r w:rsidR="003951C4" w:rsidRPr="00730F74">
        <w:t>Physical Status</w:t>
      </w:r>
      <w:r w:rsidRPr="00730F74">
        <w:t xml:space="preserve"> (ASA-PS)</w:t>
      </w:r>
      <w:r w:rsidR="003951C4" w:rsidRPr="00730F74">
        <w:t xml:space="preserve"> classification</w:t>
      </w:r>
      <w:r w:rsidRPr="00730F74">
        <w:t xml:space="preserve">, </w:t>
      </w:r>
      <w:commentRangeStart w:id="3"/>
      <w:r w:rsidRPr="00730F74">
        <w:rPr>
          <w:highlight w:val="yellow"/>
        </w:rPr>
        <w:t>Duke’s Activity Scores</w:t>
      </w:r>
      <w:commentRangeEnd w:id="3"/>
      <w:r w:rsidR="003951C4" w:rsidRPr="00730F74">
        <w:rPr>
          <w:rStyle w:val="CommentReference"/>
          <w:vanish/>
          <w:lang/>
        </w:rPr>
        <w:commentReference w:id="3"/>
      </w:r>
      <w:r w:rsidRPr="00730F74">
        <w:t xml:space="preserve">, </w:t>
      </w:r>
      <w:r w:rsidR="00782953" w:rsidRPr="00730F74">
        <w:t xml:space="preserve">the </w:t>
      </w:r>
      <w:r w:rsidRPr="00730F74">
        <w:t xml:space="preserve">Physiological and Operative Severity Score for </w:t>
      </w:r>
      <w:r w:rsidR="00782953" w:rsidRPr="00730F74">
        <w:t>the e</w:t>
      </w:r>
      <w:r w:rsidRPr="00730F74">
        <w:t>n</w:t>
      </w:r>
      <w:r w:rsidR="00782953" w:rsidRPr="00730F74">
        <w:t>U</w:t>
      </w:r>
      <w:r w:rsidRPr="00730F74">
        <w:t xml:space="preserve">meration of Mortality and </w:t>
      </w:r>
      <w:r w:rsidR="004C007E" w:rsidRPr="00730F74">
        <w:t>m</w:t>
      </w:r>
      <w:r w:rsidRPr="00730F74">
        <w:t>orbidity (POSSUM)</w:t>
      </w:r>
      <w:r w:rsidR="004C007E" w:rsidRPr="00730F74">
        <w:t xml:space="preserve"> and colorectal (</w:t>
      </w:r>
      <w:r w:rsidRPr="00730F74">
        <w:t>CR</w:t>
      </w:r>
      <w:r w:rsidR="004C007E" w:rsidRPr="00730F74">
        <w:t>)</w:t>
      </w:r>
      <w:r w:rsidRPr="00730F74">
        <w:t>-POSSUM)</w:t>
      </w:r>
      <w:r w:rsidRPr="00730F74">
        <w:rPr>
          <w:vertAlign w:val="superscript"/>
        </w:rPr>
        <w:fldChar w:fldCharType="begin" w:fldLock="1"/>
      </w:r>
      <w:r w:rsidRPr="00730F74">
        <w:rPr>
          <w:vertAlign w:val="superscript"/>
        </w:rPr>
        <w:instrText>ADDIN CSL_CITATION { "citationItems" : [ { "id" : "ITEM-1", "itemData" : { "DOI" : "10.1093/bja/aeq034", "ISSN" : "1471-6771", "PMID" : "20190255", "abstract" : "This pilot study compared the risk predictive value of preoperative physiological capacity (PC: defined by gas exchange measured during cardiopulmonary exercise testing) with the ASA physical status classification in the same patients (n=32) undergoing major abdominal cancer surgery.", "author" : [ { "dropping-particle" : "", "family" : "Hightower", "given" : "C E", "non-dropping-particle" : "", "parse-names" : false, "suffix" : "" }, { "dropping-particle" : "", "family" : "Riedel", "given" : "B J", "non-dropping-particle" : "", "parse-names" : false, "suffix" : "" }, { "dropping-particle" : "", "family" : "Feig", "given" : "B W", "non-dropping-particle" : "", "parse-names" : false, "suffix" : "" }, { "dropping-particle" : "", "family" : "Morris", "given" : "G S", "non-dropping-particle" : "", "parse-names" : false, "suffix" : "" }, { "dropping-particle" : "", "family" : "Ensor", "given" : "J E", "non-dropping-particle" : "", "parse-names" : false, "suffix" : "" }, { "dropping-particle" : "", "family" : "Woodruff", "given" : "V D", "non-dropping-particle" : "", "parse-names" : false, "suffix" : "" }, { "dropping-particle" : "", "family" : "Daley-Norman", "given" : "M D", "non-dropping-particle" : "", "parse-names" : false, "suffix" : "" }, { "dropping-particle" : "", "family" : "Sun", "given" : "X G", "non-dropping-particle" : "", "parse-names" : false, "suffix" : "" } ], "container-title" : "British journal of anaesthesia", "id" : "ITEM-1", "issue" : "4", "issued" : { "date-parts" : [ [ "2010", "4" ] ] }, "page" : "465-71", "title" : "A pilot study evaluating predictors of postoperative outcomes after major abdominal surgery: Physiological capacity compared with the ASA physical status classification system.", "type" : "article-journal", "volume" : "104" }, "uris" : [ "http://www.mendeley.com/documents/?uuid=9e7d9f7c-6ee2-4eb3-93b3-c4fed40215ed" ] }, { "id" : "ITEM-2", "itemData" : { "DOI" : "10.1002/bjs.4430", "ISSN" : "0007-1323", "PMID" : "15449270", "abstract" : "The aim of the study was to develop a dedicated colorectal Physiological and Operative Severity Score for the enUmeration of Mortality and morbidity (CR-POSSUM) equation for predicting operative mortality, and to compare its performance with the Portsmouth (P)-POSSUM model.", "author" : [ { "dropping-particle" : "", "family" : "Tekkis", "given" : "P P", "non-dropping-particle" : "", "parse-names" : false, "suffix" : "" }, { "dropping-particle" : "", "family" : "Prytherch", "given" : "D R", "non-dropping-particle" : "", "parse-names" : false, "suffix" : "" }, { "dropping-particle" : "", "family" : "Kocher", "given" : "H M", "non-dropping-particle" : "", "parse-names" : false, "suffix" : "" }, { "dropping-particle" : "", "family" : "Senapati", "given" : "A", "non-dropping-particle" : "", "parse-names" : false, "suffix" : "" }, { "dropping-particle" : "", "family" : "Poloniecki", "given" : "J D", "non-dropping-particle" : "", "parse-names" : false, "suffix" : "" }, { "dropping-particle" : "", "family" : "Stamatakis", "given" : "J D", "non-dropping-particle" : "", "parse-names" : false, "suffix" : "" }, { "dropping-particle" : "", "family" : "Windsor", "given" : "a C J", "non-dropping-particle" : "", "parse-names" : false, "suffix" : "" } ], "container-title" : "Br J Surg", "id" : "ITEM-2", "issue" : "9", "issued" : { "date-parts" : [ [ "2004", "9" ] ] }, "page" : "1174-82", "title" : "Development of a dedicated risk-adjustment scoring system for colorectal surgery (colorectal POSSUM).", "type" : "article-journal", "volume" : "91" }, "uris" : [ "http://www.mendeley.com/documents/?uuid=fc8a92a4-8c41-4d83-b95c-8600b996cbd2" ] } ], "mendeley" : { "previouslyFormattedCitation" : "(4,5)" }, "properties" : { "noteIndex" : 0 }, "schema" : "https://github.com/citation-style-language/schema/raw/master/csl-citation.json" }</w:instrText>
      </w:r>
      <w:r w:rsidRPr="00730F74">
        <w:rPr>
          <w:vertAlign w:val="superscript"/>
        </w:rPr>
        <w:fldChar w:fldCharType="separate"/>
      </w:r>
      <w:r w:rsidRPr="00730F74">
        <w:rPr>
          <w:noProof/>
          <w:vertAlign w:val="superscript"/>
        </w:rPr>
        <w:t>4,5</w:t>
      </w:r>
      <w:r w:rsidRPr="00730F74">
        <w:rPr>
          <w:vertAlign w:val="superscript"/>
        </w:rPr>
        <w:fldChar w:fldCharType="end"/>
      </w:r>
      <w:r w:rsidRPr="00730F74">
        <w:t>, plasma biomarkers</w:t>
      </w:r>
      <w:r w:rsidRPr="00730F74">
        <w:rPr>
          <w:vertAlign w:val="superscript"/>
        </w:rPr>
        <w:fldChar w:fldCharType="begin" w:fldLock="1"/>
      </w:r>
      <w:r w:rsidRPr="00730F74">
        <w:rPr>
          <w:vertAlign w:val="superscript"/>
        </w:rPr>
        <w:instrText>ADDIN CSL_CITATION { "citationItems" : [ { "id" : "ITEM-1", "itemData" : { "DOI" : "10.1136/pgmj.2010.107177", "ISSN" : "1469-0756", "PMID" : "21242576", "abstract" : "Stratifying preoperative risk and guiding perioperative therapy objectively has acquired critical importance, given robust data demonstrating that morbidity following non-cardiac surgery confers substantially increased risk of death, even beyond hospital discharge. The development of useful perioperative biomarkers depends fundamentally on both prospective morbidity data that enable the identification of higher risk patients as well as the translational understanding of pathophysiological mechanisms underlying postoperative organ dysfunction, the development of which may be specific to the perioperative environment. The emergence of cardiac insufficiency, rather than cardiac ischaemia, as the dominant factor associated with excess risk of prolonged postoperative morbidity has promoted the application of biomarkers used commonly in cardiovascular medicine. Several novel, organ specific biomarkers offer potential perioperative application. Nevertheless, common tests/biomarkers that are widely available do provide valuable, objective information that is perhaps under-utilised perioperatively. Despite significant challenges, perioperative medicine presents exciting-arguably unique-opportunities for novel biomarker development.", "author" : [ { "dropping-particle" : "", "family" : "Edwards", "given" : "Mark", "non-dropping-particle" : "", "parse-names" : false, "suffix" : "" }, { "dropping-particle" : "", "family" : "Whittle", "given" : "John", "non-dropping-particle" : "", "parse-names" : false, "suffix" : "" }, { "dropping-particle" : "", "family" : "Ackland", "given" : "Gareth L", "non-dropping-particle" : "", "parse-names" : false, "suffix" : "" } ], "container-title" : "Postgraduate medical journal", "id" : "ITEM-1", "issue" : "1030", "issued" : { "date-parts" : [ [ "2011", "8" ] ] }, "page" : "542-9", "title" : "Biomarkers to guide perioperative management.", "type" : "article-journal", "volume" : "87" }, "uris" : [ "http://www.mendeley.com/documents/?uuid=316488fd-a409-4d77-87f3-fc325037fdee" ] } ], "mendeley" : { "previouslyFormattedCitation" : "(6)" }, "properties" : { "noteIndex" : 0 }, "schema" : "https://github.com/citation-style-language/schema/raw/master/csl-citation.json" }</w:instrText>
      </w:r>
      <w:r w:rsidRPr="00730F74">
        <w:rPr>
          <w:vertAlign w:val="superscript"/>
        </w:rPr>
        <w:fldChar w:fldCharType="separate"/>
      </w:r>
      <w:r w:rsidRPr="00730F74">
        <w:rPr>
          <w:noProof/>
          <w:vertAlign w:val="superscript"/>
        </w:rPr>
        <w:t>6</w:t>
      </w:r>
      <w:r w:rsidRPr="00730F74">
        <w:rPr>
          <w:vertAlign w:val="superscript"/>
        </w:rPr>
        <w:fldChar w:fldCharType="end"/>
      </w:r>
      <w:r w:rsidRPr="00730F74">
        <w:t>, measures of cardiac function</w:t>
      </w:r>
      <w:r w:rsidRPr="00730F74">
        <w:rPr>
          <w:vertAlign w:val="superscript"/>
        </w:rPr>
        <w:fldChar w:fldCharType="begin" w:fldLock="1"/>
      </w:r>
      <w:r w:rsidRPr="00730F74">
        <w:rPr>
          <w:vertAlign w:val="superscript"/>
        </w:rPr>
        <w:instrText>ADDIN CSL_CITATION { "citationItems" : [ { "id" : "ITEM-1", "itemData" : { "author" : [ { "dropping-particle" : "", "family" : "Ethan A. Halm, Warren S. Browner, Julio F. Tubau, Ida M. Tateo", "given" : "and Dennis T. Mangano", "non-dropping-particle" : "", "parse-names" : false, "suffix" : "" } ], "container-title" : "Ann Intern Med", "id" : "ITEM-1", "issue" : "6", "issued" : { "date-parts" : [ [ "1996" ] ] }, "page" : "433-441", "title" : "Echocardiography for Assessing Cardiac Risk in Patients Having Noncardiac Surgery", "type" : "article-journal", "volume" : "125" }, "uris" : [ "http://www.mendeley.com/documents/?uuid=2e95bcae-4201-4b27-9fa3-98f4bfa71220" ] } ], "mendeley" : { "previouslyFormattedCitation" : "(7)" }, "properties" : { "noteIndex" : 0 }, "schema" : "https://github.com/citation-style-language/schema/raw/master/csl-citation.json" }</w:instrText>
      </w:r>
      <w:r w:rsidRPr="00730F74">
        <w:rPr>
          <w:vertAlign w:val="superscript"/>
        </w:rPr>
        <w:fldChar w:fldCharType="separate"/>
      </w:r>
      <w:r w:rsidRPr="00730F74">
        <w:rPr>
          <w:noProof/>
          <w:vertAlign w:val="superscript"/>
        </w:rPr>
        <w:t>7</w:t>
      </w:r>
      <w:r w:rsidRPr="00730F74">
        <w:rPr>
          <w:vertAlign w:val="superscript"/>
        </w:rPr>
        <w:fldChar w:fldCharType="end"/>
      </w:r>
      <w:r w:rsidRPr="00730F74">
        <w:t xml:space="preserve"> and shuttle walk tests</w:t>
      </w:r>
      <w:r w:rsidRPr="00730F74">
        <w:rPr>
          <w:vertAlign w:val="superscript"/>
        </w:rPr>
        <w:fldChar w:fldCharType="begin" w:fldLock="1"/>
      </w:r>
      <w:r w:rsidRPr="00730F74">
        <w:rPr>
          <w:vertAlign w:val="superscript"/>
        </w:rPr>
        <w:instrText>ADDIN CSL_CITATION { "citationItems" : [ { "id" : "ITEM-1", "itemData" : { "DOI" : "10.1093/bja/aen310", "ISSN" : "1471-6771", "PMID" : "18953057", "abstract" : "Morbidity and mortality are higher in patients with poor preoperative cardiorespiratory reserve. This study aimed to ascertain fitness and therefore risk in elective patients, comparing three measures: Duke Activity Status Index (DASI) questionnaire, incremental shuttle walk test (ISWT), and cycle cardiopulmonary exercise testing (CPET). We looked for correlation between the measures and for thresholds on the questionnaire or shuttle test which could identify fit patients and render CPET unnecessary.", "author" : [ { "dropping-particle" : "", "family" : "Struthers", "given" : "R", "non-dropping-particle" : "", "parse-names" : false, "suffix" : "" }, { "dropping-particle" : "", "family" : "Erasmus", "given" : "P", "non-dropping-particle" : "", "parse-names" : false, "suffix" : "" }, { "dropping-particle" : "", "family" : "Holmes", "given" : "K", "non-dropping-particle" : "", "parse-names" : false, "suffix" : "" }, { "dropping-particle" : "", "family" : "Warman", "given" : "P", "non-dropping-particle" : "", "parse-names" : false, "suffix" : "" }, { "dropping-particle" : "", "family" : "Collingwood", "given" : "a", "non-dropping-particle" : "", "parse-names" : false, "suffix" : "" }, { "dropping-particle" : "", "family" : "Sneyd", "given" : "J R", "non-dropping-particle" : "", "parse-names" : false, "suffix" : "" } ], "container-title" : "British journal of anaesthesia", "id" : "ITEM-1", "issue" : "6", "issued" : { "date-parts" : [ [ "2008", "12" ] ] }, "page" : "774-80", "title" : "Assessing fitness for surgery: a comparison of questionnaire, incremental shuttle walk, and cardiopulmonary exercise testing in general surgical patients.", "type" : "article-journal", "volume" : "101" }, "uris" : [ "http://www.mendeley.com/documents/?uuid=3d259285-3087-4fb2-a918-1e1feb71c165" ] } ], "mendeley" : { "previouslyFormattedCitation" : "(8)" }, "properties" : { "noteIndex" : 0 }, "schema" : "https://github.com/citation-style-language/schema/raw/master/csl-citation.json" }</w:instrText>
      </w:r>
      <w:r w:rsidRPr="00730F74">
        <w:rPr>
          <w:vertAlign w:val="superscript"/>
        </w:rPr>
        <w:fldChar w:fldCharType="separate"/>
      </w:r>
      <w:r w:rsidRPr="00730F74">
        <w:rPr>
          <w:noProof/>
          <w:vertAlign w:val="superscript"/>
        </w:rPr>
        <w:t>8</w:t>
      </w:r>
      <w:r w:rsidRPr="00730F74">
        <w:rPr>
          <w:vertAlign w:val="superscript"/>
        </w:rPr>
        <w:fldChar w:fldCharType="end"/>
      </w:r>
      <w:r w:rsidRPr="00730F74">
        <w:t>. Their effectiveness in predicting surgical morbidity is not well established</w:t>
      </w:r>
      <w:r w:rsidRPr="00730F74">
        <w:rPr>
          <w:vertAlign w:val="superscript"/>
        </w:rPr>
        <w:fldChar w:fldCharType="begin" w:fldLock="1"/>
      </w:r>
      <w:r w:rsidRPr="00730F74">
        <w:rPr>
          <w:vertAlign w:val="superscript"/>
        </w:rPr>
        <w:instrText>ADDIN CSL_CITATION { "citationItems" : [ { "id" : "ITEM-1", "itemData" : { "DOI" : "10.1093/bja/aen310", "ISSN" : "1471-6771", "PMID" : "18953057", "abstract" : "Morbidity and mortality are higher in patients with poor preoperative cardiorespiratory reserve. This study aimed to ascertain fitness and therefore risk in elective patients, comparing three measures: Duke Activity Status Index (DASI) questionnaire, incremental shuttle walk test (ISWT), and cycle cardiopulmonary exercise testing (CPET). We looked for correlation between the measures and for thresholds on the questionnaire or shuttle test which could identify fit patients and render CPET unnecessary.", "author" : [ { "dropping-particle" : "", "family" : "Struthers", "given" : "R", "non-dropping-particle" : "", "parse-names" : false, "suffix" : "" }, { "dropping-particle" : "", "family" : "Erasmus", "given" : "P", "non-dropping-particle" : "", "parse-names" : false, "suffix" : "" }, { "dropping-particle" : "", "family" : "Holmes", "given" : "K", "non-dropping-particle" : "", "parse-names" : false, "suffix" : "" }, { "dropping-particle" : "", "family" : "Warman", "given" : "P", "non-dropping-particle" : "", "parse-names" : false, "suffix" : "" }, { "dropping-particle" : "", "family" : "Collingwood", "given" : "a", "non-dropping-particle" : "", "parse-names" : false, "suffix" : "" }, { "dropping-particle" : "", "family" : "Sneyd", "given" : "J R", "non-dropping-particle" : "", "parse-names" : false, "suffix" : "" } ], "container-title" : "British journal of anaesthesia", "id" : "ITEM-1", "issue" : "6", "issued" : { "date-parts" : [ [ "2008", "12" ] ] }, "page" : "774-80", "title" : "Assessing fitness for surgery: a comparison of questionnaire, incremental shuttle walk, and cardiopulmonary exercise testing in general surgical patients.", "type" : "article-journal", "volume" : "101" }, "uris" : [ "http://www.mendeley.com/documents/?uuid=3d259285-3087-4fb2-a918-1e1feb71c165" ] } ], "mendeley" : { "previouslyFormattedCitation" : "(8)" }, "properties" : { "noteIndex" : 0 }, "schema" : "https://github.com/citation-style-language/schema/raw/master/csl-citation.json" }</w:instrText>
      </w:r>
      <w:r w:rsidRPr="00730F74">
        <w:rPr>
          <w:vertAlign w:val="superscript"/>
        </w:rPr>
        <w:fldChar w:fldCharType="separate"/>
      </w:r>
      <w:r w:rsidRPr="00730F74">
        <w:rPr>
          <w:noProof/>
          <w:vertAlign w:val="superscript"/>
        </w:rPr>
        <w:t>8</w:t>
      </w:r>
      <w:r w:rsidRPr="00730F74">
        <w:rPr>
          <w:vertAlign w:val="superscript"/>
        </w:rPr>
        <w:fldChar w:fldCharType="end"/>
      </w:r>
      <w:r w:rsidR="00782953" w:rsidRPr="00730F74">
        <w:t>.</w:t>
      </w:r>
    </w:p>
    <w:p w:rsidR="009937D1" w:rsidRPr="00730F74" w:rsidRDefault="004C007E" w:rsidP="00782953">
      <w:pPr>
        <w:ind w:firstLine="540"/>
      </w:pPr>
      <w:r w:rsidRPr="00730F74">
        <w:t>T</w:t>
      </w:r>
      <w:r w:rsidR="009937D1" w:rsidRPr="00730F74">
        <w:t>he distance walked in 6</w:t>
      </w:r>
      <w:r w:rsidRPr="00730F74">
        <w:t> </w:t>
      </w:r>
      <w:r w:rsidR="009937D1" w:rsidRPr="00730F74">
        <w:t xml:space="preserve">min </w:t>
      </w:r>
      <w:r w:rsidRPr="00730F74">
        <w:t xml:space="preserve">at preoperative assessment </w:t>
      </w:r>
      <w:r w:rsidR="009937D1" w:rsidRPr="00730F74">
        <w:t>can help predict morbidity following colorectal surgery</w:t>
      </w:r>
      <w:r w:rsidR="009937D1" w:rsidRPr="00730F74">
        <w:fldChar w:fldCharType="begin" w:fldLock="1"/>
      </w:r>
      <w:r w:rsidR="009937D1" w:rsidRPr="00730F74">
        <w:instrText>ADDIN CSL_CITATION { "citationItems" : [ { "id" : "ITEM-1", "itemData" : { "DOI" : "10.1111/anae.12329", "ISSN" : "1365-2044", "PMID" : "23789780", "abstract" : "We measured the distance 112 patients walked in 6\u00a0min, as well as their peak oxygen consumption pedalling a bicycle, week before scheduled resection of benign or malignant colorectal disease. The distance walked correlated with peak oxygen consumption, the former 'accounting' for about half the variation in the latter, r(2) 0.52 (95% CI 0.38-0.64), p\u00a0&lt;\u00a00.0001. In the first postoperative month, 42/112 patients experienced a complication. In multivariate analysis, complications were less likely with longer walking distances and increasing age: the odds ratio (95% CI) reduced to 0.995 (0.990-0.999) for each metre distance, and to 0.96 (0.93-0.99) with each year of age, p\u00a0=\u00a00.025 and p\u00a0=\u00a00.018, respectively. The distance walked in 6\u00a0min before surgery can provide prognostic information when cardiopulmonary exercise testing is unavailable.", "author" : [ { "dropping-particle" : "", "family" : "Lee", "given" : "L", "non-dropping-particle" : "", "parse-names" : false, "suffix" : "" }, { "dropping-particle" : "", "family" : "Schwartzman", "given" : "K", "non-dropping-particle" : "", "parse-names" : false, "suffix" : "" }, { "dropping-particle" : "", "family" : "Carli", "given" : "F", "non-dropping-particle" : "", "parse-names" : false, "suffix" : "" }, { "dropping-particle" : "", "family" : "Zavorsky", "given" : "G S", "non-dropping-particle" : "", "parse-names" : false, "suffix" : "" }, { "dropping-particle" : "", "family" : "Li", "given" : "C", "non-dropping-particle" : "", "parse-names" : false, "suffix" : "" }, { "dropping-particle" : "", "family" : "Charlebois", "given" : "P", "non-dropping-particle" : "", "parse-names" : false, "suffix" : "" }, { "dropping-particle" : "", "family" : "Stein", "given" : "B", "non-dropping-particle" : "", "parse-names" : false, "suffix" : "" }, { "dropping-particle" : "", "family" : "Liberman", "given" : "a S", "non-dropping-particle" : "", "parse-names" : false, "suffix" : "" }, { "dropping-particle" : "", "family" : "Fried", "given" : "G M", "non-dropping-particle" : "", "parse-names" : false, "suffix" : "" }, { "dropping-particle" : "", "family" : "Feldman", "given" : "L S", "non-dropping-particle" : "", "parse-names" : false, "suffix" : "" } ], "container-title" : "Anaesthesia", "id" : "ITEM-1", "issued" : { "date-parts" : [ [ "2013", "6", "21" ] ] }, "page" : "811-816", "title" : "The association of the distance walked in 6\u00a0min with pre-operative peak oxygen consumption and complications 1\u00a0month after colorectal resection.", "type" : "article-journal" }, "uris" : [ "http://www.mendeley.com/documents/?uuid=9618e883-53cf-47b5-9d0a-66445bf0dd26" ] } ], "mendeley" : { "previouslyFormattedCitation" : "(9)" }, "properties" : { "noteIndex" : 0 }, "schema" : "https://github.com/citation-style-language/schema/raw/master/csl-citation.json" }</w:instrText>
      </w:r>
      <w:r w:rsidR="009937D1" w:rsidRPr="00730F74">
        <w:fldChar w:fldCharType="separate"/>
      </w:r>
      <w:r w:rsidR="009937D1" w:rsidRPr="00730F74">
        <w:rPr>
          <w:noProof/>
          <w:vertAlign w:val="superscript"/>
        </w:rPr>
        <w:t>9</w:t>
      </w:r>
      <w:r w:rsidR="009937D1" w:rsidRPr="00730F74">
        <w:fldChar w:fldCharType="end"/>
      </w:r>
      <w:r w:rsidR="009937D1" w:rsidRPr="00730F74">
        <w:t>. Cardiopulmonary exercise testing (CPET) is the most objective and precise means of evaluating presurgical physical fitness</w:t>
      </w:r>
      <w:r w:rsidR="009937D1" w:rsidRPr="00730F74">
        <w:rPr>
          <w:vertAlign w:val="superscript"/>
        </w:rPr>
        <w:fldChar w:fldCharType="begin" w:fldLock="1"/>
      </w:r>
      <w:r w:rsidR="009937D1" w:rsidRPr="00730F74">
        <w:rPr>
          <w:vertAlign w:val="superscript"/>
        </w:rPr>
        <w:instrText>ADDIN CSL_CITATION { "citationItems" : [ { "id" : "ITEM-1", "itemData" : { "DOI" : "10.1111/j.1365-2044.2009.05983.x", "ISSN" : "1365-2044", "PMID" : "19604193", "abstract" : "This study reviews the predictive value of maximum oxygen consumption (VO2max) and anaerobic threshold, obtained through cardiopulmonary exercise testing, in calculating peri-operative morbidity and mortality in non-cardiopulmonary thoraco-abdominal surgery. A literature review provided nine studies that investigated either one or both of these two variables across a wide range of surgical procedures. Six of the seven studies that reported sufficiently detailed results on peak oxygen consumption and four of the six studies that reported sufficiently detailed results on anaerobic threshold found them to be significant predictors. We conclude that peak oxygen consumption and possibly anaerobic threshold are valid predictors of peri-operative morbidity and mortality in non-cardiopulmonary thoraco-abdominal surgery. These indicators could potentially provide a means of allocating increased care to high-risk patients.", "author" : [ { "dropping-particle" : "", "family" : "Smith", "given" : "T B", "non-dropping-particle" : "", "parse-names" : false, "suffix" : "" }, { "dropping-particle" : "", "family" : "Stonell", "given" : "C", "non-dropping-particle" : "", "parse-names" : false, "suffix" : "" }, { "dropping-particle" : "", "family" : "Purkayastha", "given" : "S", "non-dropping-particle" : "", "parse-names" : false, "suffix" : "" }, { "dropping-particle" : "", "family" : "Paraskevas", "given" : "P", "non-dropping-particle" : "", "parse-names" : false, "suffix" : "" } ], "container-title" : "Anaesthesia", "id" : "ITEM-1", "issue" : "8", "issued" : { "date-parts" : [ [ "2009", "8" ] ] }, "page" : "883-93", "title" : "Cardiopulmonary exercise testing as a risk assessment method in non cardio-pulmonary surgery: a systematic review.", "type" : "article-journal", "volume" : "64" }, "uris" : [ "http://www.mendeley.com/documents/?uuid=e375fb55-3b19-4817-9e73-e8b418b693f7" ] }, { "id" : "ITEM-2", "itemData" : { "DOI" : "10.1016/j.bpa.2011.07.004", "ISSN" : "1521-6896", "PMID" : "21925407", "abstract" : "The elderly constitute an increasingly large segment of the population and of the patients requiring medical attention. Major surgery is associated with a substantial burden of postoperative morbidity and mortality. Advancing age is a particular risk factor for these outcomes. This article reviews the current literature on the value and practical applications of cardiopulmonary exercise testing (CPET) as a tool to evaluate risk and thereby improve the management of the elderly patient undergoing major surgery. There is a consistent association between CPET-derived variables and outcome following major surgery. Furthermore, CPET-derived variables have utility in perioperative risk prediction and identification of patients at high risk of adverse outcome following major surgery. This optimal predictor appears to differ between various surgery types and the incremental benefit of combining CPET with alternative methods of perioperative risk prediction remains poorly defined.", "author" : [ { "dropping-particle" : "", "family" : "West", "given" : "M", "non-dropping-particle" : "", "parse-names" : false, "suffix" : "" }, { "dropping-particle" : "", "family" : "Jack", "given" : "S", "non-dropping-particle" : "", "parse-names" : false, "suffix" : "" }, { "dropping-particle" : "", "family" : "Grocott", "given" : "M P W", "non-dropping-particle" : "", "parse-names" : false, "suffix" : "" } ], "container-title" : "Best practice &amp; research. Clinical anaesthesiology", "id" : "ITEM-2", "issue" : "3", "issued" : { "date-parts" : [ [ "2011", "9" ] ] }, "page" : "427-37", "publisher" : "Elsevier Ltd", "title" : "Perioperative cardiopulmonary exercise testing in the elderly.", "type" : "article-journal", "volume" : "25" }, "uris" : [ "http://www.mendeley.com/documents/?uuid=836cd805-8fb3-452f-851b-2fbbe19dd198" ] }, { "id" : "ITEM-3", "itemData" : { "DOI" : "10.1136/pgmj.2010.107185", "ISSN" : "1469-0756", "PMID" : "21693573", "abstract" : "The use of cardiopulmonary exercise testing (CPET) as a preoperative risk stratification tool for a range of non-cardiopulmonary surgery is increasing. The utility of CPET in this role is dependent on the technology being able to identify accurately and reliably those patients at increased risk of perioperative events when compared with existing risk stratification tools. This article identifies and reviews systematically the current literature regarding the use of CPET as a preoperative tool for stratifying risk in major non-cardiopulmonary surgery. Specifically, it focuses on evaluating the capacity of CPET variables to predict the risk of postoperative complications and mortality in comparison to other methods of risk assessment. Furthermore, the potential for combining results from CPET and non-CPET methods of risk prediction to enhance the capacity to identify high risk patients is considered. The review indicates that CPET can identify patients at increased risk of adverse perioperative outcomes. However, the selection of variables and threshold values to indicate high risk differ for different surgical procedures and underlying conditions. Furthermore, the available data suggest that CPET variables outperform alternative methods of preoperative risk stratification. Several studies also identify that CPET variables may be used in combination with non-CPET variables to increase perioperative risk prediction accuracy. These findings illustrate that CPET has the capacity to identify patients at increased risk of adverse outcome before a range of non-cardiopulmonary surgical procedures. Further research is required to optimise its use, potentially by combining CPET results with alternative methods of risk stratification.", "author" : [ { "dropping-particle" : "", "family" : "Hennis", "given" : "Philip J", "non-dropping-particle" : "", "parse-names" : false, "suffix" : "" }, { "dropping-particle" : "", "family" : "Meale", "given" : "Paula M", "non-dropping-particle" : "", "parse-names" : false, "suffix" : "" }, { "dropping-particle" : "", "family" : "Grocott", "given" : "Michael P W", "non-dropping-particle" : "", "parse-names" : false, "suffix" : "" } ], "container-title" : "Postgrad Med J", "id" : "ITEM-3", "issue" : "1030", "issued" : { "date-parts" : [ [ "2011", "8" ] ] }, "page" : "550-7", "title" : "Cardiopulmonary exercise testing for the evaluation of perioperative risk in non-cardiopulmonary surgery.", "type" : "article-journal", "volume" : "87" }, "uris" : [ "http://www.mendeley.com/documents/?uuid=49ae0ffd-6482-4259-bbf6-6197d41a4873" ] } ], "mendeley" : { "previouslyFormattedCitation" : "(10\u201312)" }, "properties" : { "noteIndex" : 0 }, "schema" : "https://github.com/citation-style-language/schema/raw/master/csl-citation.json" }</w:instrText>
      </w:r>
      <w:r w:rsidR="009937D1" w:rsidRPr="00730F74">
        <w:rPr>
          <w:vertAlign w:val="superscript"/>
        </w:rPr>
        <w:fldChar w:fldCharType="separate"/>
      </w:r>
      <w:r w:rsidR="009937D1" w:rsidRPr="00730F74">
        <w:rPr>
          <w:noProof/>
          <w:vertAlign w:val="superscript"/>
        </w:rPr>
        <w:t>10–12</w:t>
      </w:r>
      <w:r w:rsidR="009937D1" w:rsidRPr="00730F74">
        <w:rPr>
          <w:vertAlign w:val="superscript"/>
        </w:rPr>
        <w:fldChar w:fldCharType="end"/>
      </w:r>
      <w:r w:rsidR="009937D1" w:rsidRPr="00730F74">
        <w:t xml:space="preserve">. CPET </w:t>
      </w:r>
      <w:r w:rsidRPr="00730F74">
        <w:t>assesses</w:t>
      </w:r>
      <w:r w:rsidR="009937D1" w:rsidRPr="00730F74">
        <w:t xml:space="preserve"> cardiorespiratory reserve (physical fitness)</w:t>
      </w:r>
      <w:r w:rsidRPr="00730F74">
        <w:t xml:space="preserve"> </w:t>
      </w:r>
      <w:r w:rsidR="009937D1" w:rsidRPr="00730F74">
        <w:t xml:space="preserve">and has been used for risk stratification </w:t>
      </w:r>
      <w:r w:rsidRPr="00730F74">
        <w:t>before</w:t>
      </w:r>
      <w:r w:rsidR="009937D1" w:rsidRPr="00730F74">
        <w:t xml:space="preserve"> thoracic and abdominal surgery</w:t>
      </w:r>
      <w:r w:rsidR="009937D1" w:rsidRPr="00730F74">
        <w:rPr>
          <w:vertAlign w:val="superscript"/>
        </w:rPr>
        <w:fldChar w:fldCharType="begin" w:fldLock="1"/>
      </w:r>
      <w:r w:rsidR="009937D1" w:rsidRPr="00730F74">
        <w:rPr>
          <w:vertAlign w:val="superscript"/>
        </w:rPr>
        <w:instrText>ADDIN CSL_CITATION { "citationItems" : [ { "id" : "ITEM-1", "itemData" : { "DOI" : "10.1093/bja/aeq128", "ISSN" : "1471-6771", "PMID" : "20573634", "abstract" : "Studies of preoperative cardiopulmonary exercise testing (CPET) have shown that a reduced oxygen uptake at anaerobic threshold (AT) and elevated ventilatory equivalent for carbon dioxide (VE/VCO(2)) were associated with reduced short- and medium-term survival after major surgery. The aim of this study was to determine the relative values of these, and also clinical risk factors, in identifying patients at risk of death after major intra-abdominal, non-vascular surgery.", "author" : [ { "dropping-particle" : "", "family" : "Wilson", "given" : "R J T", "non-dropping-particle" : "", "parse-names" : false, "suffix" : "" }, { "dropping-particle" : "", "family" : "Davies", "given" : "S", "non-dropping-particle" : "", "parse-names" : false, "suffix" : "" }, { "dropping-particle" : "", "family" : "Yates", "given" : "D", "non-dropping-particle" : "", "parse-names" : false, "suffix" : "" }, { "dropping-particle" : "", "family" : "Redman", "given" : "J", "non-dropping-particle" : "", "parse-names" : false, "suffix" : "" }, { "dropping-particle" : "", "family" : "Stone", "given" : "M", "non-dropping-particle" : "", "parse-names" : false, "suffix" : "" } ], "container-title" : "Br J Anaesth", "id" : "ITEM-1", "issue" : "3", "issued" : { "date-parts" : [ [ "2010", "9" ] ] }, "page" : "297-303", "title" : "Impaired functional capacity is associated with all-cause mortality after major elective intra-abdominal surgery.", "type" : "article-journal", "volume" : "105" }, "uris" : [ "http://www.mendeley.com/documents/?uuid=97859c2a-baea-4357-82af-c6c459ff303b" ] }, { "id" : "ITEM-2", "itemData" : { "DOI" : "10.1002/bjs.5734", "ISSN" : "0007-1323", "PMID" : "17440956", "abstract" : "Cardiopulmonary exercise (CPX) testing measures how efficiently subjects meet increased metabolic demand. This study aimed to determine whether preoperative CPX testing predicted postoperative survival following elective abdominal aortic aneurysm (AAA) repair.", "author" : [ { "dropping-particle" : "", "family" : "Carlisle", "given" : "J", "non-dropping-particle" : "", "parse-names" : false, "suffix" : "" }, { "dropping-particle" : "", "family" : "Swart", "given" : "M", "non-dropping-particle" : "", "parse-names" : false, "suffix" : "" } ], "container-title" : "The British journal of surgery", "id" : "ITEM-2", "issue" : "8", "issued" : { "date-parts" : [ [ "2007", "8" ] ] }, "note" : "        From Duplicate 1 (                   Mid-term survival after abdominal aortic aneurysm surgery predicted by cardiopulmonary exercise testing.                 - Carlisle, J; Swart, M )\n                \n        \n        \n      ", "page" : "966-9", "title" : "Mid-term survival after abdominal aortic aneurysm surgery predicted by cardiopulmonary exercise testing.", "type" : "article-journal", "volume" : "94" }, "uris" : [ "http://www.mendeley.com/documents/?uuid=f4fbd061-8a4c-418b-be1c-5bb600025f11" ] }, { "id" : "ITEM-3", "itemData" : { "DOI" : "10.1097/SLA.0b013e3181cf811d", "ISSN" : "1528-1140", "PMID" : "20134313", "abstract" : "To investigate the null hypothesis that an objective, noninvasive technique of measuring cardiorespiratory reserve, does not improve the preoperative assessment of patient risk of postoperative complications, when compared with a standard questionnaire-based assessment of functional capacity.", "author" : [ { "dropping-particle" : "", "family" : "Snowden", "given" : "Chris P", "non-dropping-particle" : "", "parse-names" : false, "suffix" : "" }, { "dropping-particle" : "", "family" : "Prentis", "given" : "James M", "non-dropping-particle" : "", "parse-names" : false, "suffix" : "" }, { "dropping-particle" : "", "family" : "Anderson", "given" : "Helen L", "non-dropping-particle" : "", "parse-names" : false, "suffix" : "" }, { "dropping-particle" : "", "family" : "Roberts", "given" : "Digby R", "non-dropping-particle" : "", "parse-names" : false, "suffix" : "" }, { "dropping-particle" : "", "family" : "Randles", "given" : "Derek", "non-dropping-particle" : "", "parse-names" : false, "suffix" : "" }, { "dropping-particle" : "", "family" : "Renton", "given" : "Morag", "non-dropping-particle" : "", "parse-names" : false, "suffix" : "" }, { "dropping-particle" : "", "family" : "Manas", "given" : "Derek M", "non-dropping-particle" : "", "parse-names" : false, "suffix" : "" } ], "container-title" : "Annals of surgery", "id" : "ITEM-3", "issue" : "3", "issued" : { "date-parts" : [ [ "2010", "3" ] ] }, "page" : "535-41", "title" : "Submaximal cardiopulmonary exercise testing predicts complications and hospital length of stay in patients undergoing major elective surgery.", "type" : "article-journal", "volume" : "251" }, "uris" : [ "http://www.mendeley.com/documents/?uuid=142f973e-509b-43cb-9c96-746119e01223" ] } ], "mendeley" : { "previouslyFormattedCitation" : "(13\u201315)" }, "properties" : { "noteIndex" : 0 }, "schema" : "https://github.com/citation-style-language/schema/raw/master/csl-citation.json" }</w:instrText>
      </w:r>
      <w:r w:rsidR="009937D1" w:rsidRPr="00730F74">
        <w:rPr>
          <w:vertAlign w:val="superscript"/>
        </w:rPr>
        <w:fldChar w:fldCharType="separate"/>
      </w:r>
      <w:r w:rsidR="009937D1" w:rsidRPr="00730F74">
        <w:rPr>
          <w:noProof/>
          <w:vertAlign w:val="superscript"/>
        </w:rPr>
        <w:t>13–15</w:t>
      </w:r>
      <w:r w:rsidR="009937D1" w:rsidRPr="00730F74">
        <w:rPr>
          <w:vertAlign w:val="superscript"/>
        </w:rPr>
        <w:fldChar w:fldCharType="end"/>
      </w:r>
      <w:r w:rsidR="009937D1" w:rsidRPr="00730F74">
        <w:t>.</w:t>
      </w:r>
      <w:r w:rsidRPr="00730F74">
        <w:t xml:space="preserve"> </w:t>
      </w:r>
      <w:r w:rsidR="009937D1" w:rsidRPr="00730F74">
        <w:t>It is not known whether CPET variables can predict risk in patients with rectal cancer.</w:t>
      </w:r>
      <w:r w:rsidR="00CE5AC0" w:rsidRPr="00730F74">
        <w:t xml:space="preserve"> </w:t>
      </w:r>
      <w:r w:rsidR="009937D1" w:rsidRPr="00730F74">
        <w:t>This study tested the hypothesis that</w:t>
      </w:r>
      <w:r w:rsidR="00CE5AC0" w:rsidRPr="00730F74">
        <w:t xml:space="preserve"> </w:t>
      </w:r>
      <w:r w:rsidR="009937D1" w:rsidRPr="00730F74">
        <w:t>CPET variables are associated with in-hospital morbidity in this patient group.</w:t>
      </w:r>
    </w:p>
    <w:p w:rsidR="009937D1" w:rsidRPr="00730F74" w:rsidRDefault="004C007E" w:rsidP="009937D1">
      <w:r w:rsidRPr="00730F74">
        <w:rPr>
          <w:b/>
        </w:rPr>
        <w:t xml:space="preserve">+A: </w:t>
      </w:r>
      <w:r w:rsidR="009937D1" w:rsidRPr="00730F74">
        <w:rPr>
          <w:b/>
        </w:rPr>
        <w:t>Methods</w:t>
      </w:r>
    </w:p>
    <w:p w:rsidR="009937D1" w:rsidRPr="00730F74" w:rsidRDefault="009937D1" w:rsidP="009937D1">
      <w:r w:rsidRPr="00730F74">
        <w:t xml:space="preserve">Between January 2010 and December 2011, consecutive adult patients referred to the CPET service by the </w:t>
      </w:r>
      <w:r w:rsidR="004C007E" w:rsidRPr="00730F74">
        <w:t>c</w:t>
      </w:r>
      <w:r w:rsidRPr="00730F74">
        <w:t xml:space="preserve">olorectal </w:t>
      </w:r>
      <w:r w:rsidR="004C007E" w:rsidRPr="00730F74">
        <w:t>m</w:t>
      </w:r>
      <w:r w:rsidRPr="00730F74">
        <w:t>ulti</w:t>
      </w:r>
      <w:r w:rsidR="004C007E" w:rsidRPr="00730F74">
        <w:t>d</w:t>
      </w:r>
      <w:r w:rsidRPr="00730F74">
        <w:t xml:space="preserve">isciplinary </w:t>
      </w:r>
      <w:r w:rsidR="004C007E" w:rsidRPr="00730F74">
        <w:t>t</w:t>
      </w:r>
      <w:r w:rsidRPr="00730F74">
        <w:t xml:space="preserve">eam (MDT) were assessed for suitability of inclusion. Predefined inclusion criteria were </w:t>
      </w:r>
      <w:r w:rsidR="00F53469" w:rsidRPr="00730F74">
        <w:t>diagnosis of</w:t>
      </w:r>
      <w:r w:rsidRPr="00730F74">
        <w:t xml:space="preserve"> operable rectal cancer </w:t>
      </w:r>
      <w:r w:rsidR="00F53469" w:rsidRPr="00730F74">
        <w:t>and</w:t>
      </w:r>
      <w:r w:rsidRPr="00730F74">
        <w:t xml:space="preserve"> no distant metastasis. </w:t>
      </w:r>
      <w:r w:rsidR="00F53469" w:rsidRPr="00730F74">
        <w:t>E</w:t>
      </w:r>
      <w:r w:rsidRPr="00730F74">
        <w:t xml:space="preserve">xclusion criteria were inability to perform CPET </w:t>
      </w:r>
      <w:r w:rsidR="004C007E" w:rsidRPr="00730F74">
        <w:t>owing</w:t>
      </w:r>
      <w:r w:rsidRPr="00730F74">
        <w:t xml:space="preserve"> to lower limb dysfunction or inability </w:t>
      </w:r>
      <w:r w:rsidR="004C007E" w:rsidRPr="00730F74">
        <w:t>t</w:t>
      </w:r>
      <w:r w:rsidRPr="00730F74">
        <w:t xml:space="preserve">o give informed consent, or </w:t>
      </w:r>
      <w:r w:rsidR="004C007E" w:rsidRPr="00730F74">
        <w:t xml:space="preserve">patients </w:t>
      </w:r>
      <w:r w:rsidRPr="00730F74">
        <w:t>who declined neoadjuvant chemoradiotherapy (</w:t>
      </w:r>
      <w:r w:rsidR="004B557B">
        <w:t>CRT)</w:t>
      </w:r>
      <w:r w:rsidRPr="00730F74">
        <w:t xml:space="preserve"> </w:t>
      </w:r>
      <w:r w:rsidR="004C007E" w:rsidRPr="00730F74">
        <w:t>or had emergency surgery.</w:t>
      </w:r>
    </w:p>
    <w:p w:rsidR="009937D1" w:rsidRPr="00730F74" w:rsidRDefault="009937D1" w:rsidP="00F53469">
      <w:pPr>
        <w:ind w:firstLine="540"/>
      </w:pPr>
      <w:r w:rsidRPr="00730F74">
        <w:lastRenderedPageBreak/>
        <w:t xml:space="preserve">Discussions with Aintree University Hospitals NHS Foundation Trust and subsequently with the North West Research Ethics Committee established that formal ethical approval was </w:t>
      </w:r>
      <w:r w:rsidR="004B557B">
        <w:t xml:space="preserve">not </w:t>
      </w:r>
      <w:r w:rsidRPr="00730F74">
        <w:t xml:space="preserve">necessary, </w:t>
      </w:r>
      <w:r w:rsidR="00F53469" w:rsidRPr="00730F74">
        <w:t>as the study</w:t>
      </w:r>
      <w:r w:rsidRPr="00730F74">
        <w:t xml:space="preserve"> was deemed to be </w:t>
      </w:r>
      <w:r w:rsidR="00F53469" w:rsidRPr="00730F74">
        <w:t xml:space="preserve">a </w:t>
      </w:r>
      <w:r w:rsidRPr="00730F74">
        <w:t xml:space="preserve">service evaluation of consecutively recruited patients. </w:t>
      </w:r>
      <w:r w:rsidR="00F53469" w:rsidRPr="00730F74">
        <w:t>H</w:t>
      </w:r>
      <w:r w:rsidRPr="00730F74">
        <w:t>owever</w:t>
      </w:r>
      <w:r w:rsidR="00F53469" w:rsidRPr="00730F74">
        <w:t>,</w:t>
      </w:r>
      <w:r w:rsidRPr="00730F74">
        <w:t xml:space="preserve"> </w:t>
      </w:r>
      <w:r w:rsidR="00F53469" w:rsidRPr="00730F74">
        <w:t>Caldicott guidelines</w:t>
      </w:r>
      <w:r w:rsidR="00F53469" w:rsidRPr="00730F74">
        <w:fldChar w:fldCharType="begin" w:fldLock="1"/>
      </w:r>
      <w:r w:rsidR="00F53469" w:rsidRPr="00730F74">
        <w:instrText>ADDIN CSL_CITATION { "citationItems" : [ { "id" : "ITEM-1", "itemData" : { "author" : [ { "dropping-particle" : "", "family" : "Committee", "given" : "The Caldicott", "non-dropping-particle" : "", "parse-names" : false, "suffix" : "" } ], "id" : "ITEM-1", "issue" : "December", "issued" : { "date-parts" : [ [ "1997" ] ] }, "page" : "1-137", "title" : "Report on the Review of Information Report on the Review of Patient-Identifiable Information", "type" : "report" }, "uris" : [ "http://www.mendeley.com/documents/?uuid=12cf5576-b955-4f4e-807b-f9fa9d4e1db6" ] } ], "mendeley" : { "previouslyFormattedCitation" : "(16)" }, "properties" : { "noteIndex" : 0 }, "schema" : "https://github.com/citation-style-language/schema/raw/master/csl-citation.json" }</w:instrText>
      </w:r>
      <w:r w:rsidR="00F53469" w:rsidRPr="00730F74">
        <w:fldChar w:fldCharType="separate"/>
      </w:r>
      <w:r w:rsidR="00F53469" w:rsidRPr="00730F74">
        <w:rPr>
          <w:noProof/>
          <w:vertAlign w:val="superscript"/>
        </w:rPr>
        <w:t>16</w:t>
      </w:r>
      <w:r w:rsidR="00F53469" w:rsidRPr="00730F74">
        <w:fldChar w:fldCharType="end"/>
      </w:r>
      <w:r w:rsidR="00F53469" w:rsidRPr="00730F74">
        <w:t xml:space="preserve"> were a</w:t>
      </w:r>
      <w:r w:rsidRPr="00730F74">
        <w:t xml:space="preserve">dhered </w:t>
      </w:r>
      <w:r w:rsidR="00F53469" w:rsidRPr="00730F74">
        <w:t xml:space="preserve">to </w:t>
      </w:r>
      <w:r w:rsidRPr="00730F74">
        <w:t>fully. All patients received an information sheet regarding CPET</w:t>
      </w:r>
      <w:r w:rsidR="004B557B">
        <w:t>,</w:t>
      </w:r>
      <w:r w:rsidRPr="00730F74">
        <w:t xml:space="preserve"> and written consent was obtained. No patient was refused surgery on the basis of gas</w:t>
      </w:r>
      <w:r w:rsidR="0044076B" w:rsidRPr="00730F74">
        <w:t xml:space="preserve"> </w:t>
      </w:r>
      <w:r w:rsidRPr="00730F74">
        <w:t>exchange measurements, although any electrocardiograph</w:t>
      </w:r>
      <w:r w:rsidR="0044076B" w:rsidRPr="00730F74">
        <w:t>y</w:t>
      </w:r>
      <w:r w:rsidRPr="00730F74">
        <w:t xml:space="preserve"> (ECG) abnormalities were raised at the colorectal MDT meet</w:t>
      </w:r>
      <w:r w:rsidR="0044076B" w:rsidRPr="00730F74">
        <w:t>ing and the patient was referred appropriately.</w:t>
      </w:r>
    </w:p>
    <w:p w:rsidR="009937D1" w:rsidRPr="00730F74" w:rsidRDefault="009937D1" w:rsidP="0044076B">
      <w:pPr>
        <w:ind w:firstLine="540"/>
      </w:pPr>
      <w:r w:rsidRPr="00730F74">
        <w:t>CPET was performed 2</w:t>
      </w:r>
      <w:r w:rsidR="0044076B" w:rsidRPr="00730F74">
        <w:t> </w:t>
      </w:r>
      <w:r w:rsidRPr="00730F74">
        <w:t xml:space="preserve">weeks before starting any neoadjuvant therapy or major surgery. Eligible patients underwent neoadjuvant radiotherapy on the basis of threatened circumferential resection margins on staging magnetic resonance imaging (MRI). </w:t>
      </w:r>
      <w:r w:rsidRPr="00730F74">
        <w:rPr>
          <w:rFonts w:eastAsia="JansonText-Roman"/>
        </w:rPr>
        <w:t>A total dose of 45</w:t>
      </w:r>
      <w:r w:rsidR="0044076B" w:rsidRPr="00730F74">
        <w:rPr>
          <w:rFonts w:eastAsia="JansonText-Roman"/>
        </w:rPr>
        <w:t> </w:t>
      </w:r>
      <w:r w:rsidRPr="00730F74">
        <w:rPr>
          <w:rFonts w:eastAsia="JansonText-Roman"/>
        </w:rPr>
        <w:t xml:space="preserve">Gy in 25 fractions was given using a three-dimensional conformal technique with </w:t>
      </w:r>
      <w:r w:rsidR="0044076B" w:rsidRPr="00730F74">
        <w:rPr>
          <w:rFonts w:eastAsia="JansonText-Roman"/>
        </w:rPr>
        <w:t>computed tomographic</w:t>
      </w:r>
      <w:r w:rsidRPr="00730F74">
        <w:rPr>
          <w:rFonts w:eastAsia="JansonText-Roman"/>
        </w:rPr>
        <w:t xml:space="preserve"> guidance. </w:t>
      </w:r>
      <w:r w:rsidRPr="00730F74">
        <w:t xml:space="preserve">A </w:t>
      </w:r>
      <w:r w:rsidR="008A5232" w:rsidRPr="00730F74">
        <w:t xml:space="preserve">further </w:t>
      </w:r>
      <w:r w:rsidRPr="00730F74">
        <w:t>boost dose was given (5.4</w:t>
      </w:r>
      <w:r w:rsidR="008A5232" w:rsidRPr="00730F74">
        <w:t> </w:t>
      </w:r>
      <w:r w:rsidRPr="00730F74">
        <w:t>Gy in 3 fractions) to the primary tumour only</w:t>
      </w:r>
      <w:r w:rsidRPr="00730F74">
        <w:rPr>
          <w:rFonts w:eastAsia="JansonText-Roman"/>
        </w:rPr>
        <w:t>. Oral capecitabine (825</w:t>
      </w:r>
      <w:r w:rsidR="008A5232" w:rsidRPr="00730F74">
        <w:rPr>
          <w:rFonts w:eastAsia="JansonText-Roman"/>
        </w:rPr>
        <w:t> </w:t>
      </w:r>
      <w:r w:rsidRPr="00730F74">
        <w:rPr>
          <w:rFonts w:eastAsia="JansonText-Roman"/>
        </w:rPr>
        <w:t>mg</w:t>
      </w:r>
      <w:r w:rsidR="008A5232" w:rsidRPr="00730F74">
        <w:rPr>
          <w:rFonts w:eastAsia="JansonText-Roman"/>
        </w:rPr>
        <w:t>/</w:t>
      </w:r>
      <w:r w:rsidRPr="00730F74">
        <w:rPr>
          <w:rFonts w:eastAsia="JansonText-Roman"/>
        </w:rPr>
        <w:t>m</w:t>
      </w:r>
      <w:r w:rsidRPr="00730F74">
        <w:rPr>
          <w:rFonts w:eastAsia="JansonText-Roman"/>
          <w:vertAlign w:val="superscript"/>
        </w:rPr>
        <w:t>2</w:t>
      </w:r>
      <w:r w:rsidRPr="00730F74">
        <w:rPr>
          <w:rFonts w:eastAsia="JansonText-Roman"/>
        </w:rPr>
        <w:t xml:space="preserve">) was given twice daily on radiotherapy days. </w:t>
      </w:r>
      <w:r w:rsidRPr="00730F74">
        <w:t>No patients received brachytherapy. Surgery for patients receiving</w:t>
      </w:r>
      <w:r w:rsidR="004B557B">
        <w:t xml:space="preserve"> neoadjuvant CRT</w:t>
      </w:r>
      <w:r w:rsidRPr="00730F74">
        <w:t xml:space="preserve"> was performed 9</w:t>
      </w:r>
      <w:r w:rsidR="008A5232" w:rsidRPr="00730F74">
        <w:t> </w:t>
      </w:r>
      <w:r w:rsidRPr="00730F74">
        <w:t xml:space="preserve">weeks </w:t>
      </w:r>
      <w:r w:rsidR="008A5232" w:rsidRPr="00730F74">
        <w:t>after</w:t>
      </w:r>
      <w:r w:rsidRPr="00730F74">
        <w:t xml:space="preserve"> the end of their treatment. </w:t>
      </w:r>
      <w:r w:rsidRPr="00730F74">
        <w:rPr>
          <w:rFonts w:eastAsia="JansonText-Roman"/>
        </w:rPr>
        <w:t xml:space="preserve">All patients </w:t>
      </w:r>
      <w:r w:rsidR="008A5232" w:rsidRPr="00730F74">
        <w:rPr>
          <w:rFonts w:eastAsia="JansonText-Roman"/>
        </w:rPr>
        <w:t>had</w:t>
      </w:r>
      <w:r w:rsidRPr="00730F74">
        <w:rPr>
          <w:rFonts w:eastAsia="JansonText-Roman"/>
        </w:rPr>
        <w:t xml:space="preserve"> total m</w:t>
      </w:r>
      <w:r w:rsidR="008A5232" w:rsidRPr="00730F74">
        <w:rPr>
          <w:rFonts w:eastAsia="JansonText-Roman"/>
        </w:rPr>
        <w:t>esorectal excision</w:t>
      </w:r>
      <w:r w:rsidRPr="00730F74">
        <w:rPr>
          <w:rFonts w:eastAsia="JansonText-Roman"/>
        </w:rPr>
        <w:t>. A defunctioning stoma was constructed at the discretion of the surgeon</w:t>
      </w:r>
      <w:r w:rsidRPr="00730F74">
        <w:t>.</w:t>
      </w:r>
    </w:p>
    <w:p w:rsidR="009937D1" w:rsidRPr="00730F74" w:rsidRDefault="008A5232" w:rsidP="009937D1">
      <w:pPr>
        <w:pStyle w:val="Heading2"/>
        <w:rPr>
          <w:i/>
        </w:rPr>
      </w:pPr>
      <w:r w:rsidRPr="00730F74">
        <w:rPr>
          <w:i/>
        </w:rPr>
        <w:t xml:space="preserve">+B: </w:t>
      </w:r>
      <w:r w:rsidR="009937D1" w:rsidRPr="00730F74">
        <w:rPr>
          <w:i/>
        </w:rPr>
        <w:t xml:space="preserve">Cardiopulmonary </w:t>
      </w:r>
      <w:r w:rsidRPr="00730F74">
        <w:rPr>
          <w:i/>
        </w:rPr>
        <w:t>e</w:t>
      </w:r>
      <w:r w:rsidR="009937D1" w:rsidRPr="00730F74">
        <w:rPr>
          <w:i/>
        </w:rPr>
        <w:t xml:space="preserve">xercise </w:t>
      </w:r>
      <w:r w:rsidRPr="00730F74">
        <w:rPr>
          <w:i/>
        </w:rPr>
        <w:t>t</w:t>
      </w:r>
      <w:r w:rsidR="009937D1" w:rsidRPr="00730F74">
        <w:rPr>
          <w:i/>
        </w:rPr>
        <w:t>esting</w:t>
      </w:r>
    </w:p>
    <w:p w:rsidR="009937D1" w:rsidRPr="00730F74" w:rsidRDefault="009937D1" w:rsidP="009937D1">
      <w:r w:rsidRPr="00730F74">
        <w:t>CPET followed American Thoracic Society</w:t>
      </w:r>
      <w:r w:rsidR="008A5232" w:rsidRPr="00730F74">
        <w:t>–</w:t>
      </w:r>
      <w:r w:rsidRPr="00730F74">
        <w:t>American College of Chest Physicians recommendations</w:t>
      </w:r>
      <w:r w:rsidRPr="00730F74">
        <w:rPr>
          <w:vertAlign w:val="superscript"/>
        </w:rPr>
        <w:fldChar w:fldCharType="begin" w:fldLock="1"/>
      </w:r>
      <w:r w:rsidRPr="00730F74">
        <w:rPr>
          <w:vertAlign w:val="superscript"/>
        </w:rPr>
        <w:instrText>ADDIN CSL_CITATION { "citationItems" : [ { "id" : "ITEM-1", "itemData" : { "DOI" : "10.1164/rccm.167.2.211", "ISSN" : "1073-449X", "PMID" : "12524257", "author" : [ { "dropping-particle" : "", "family" : "Weisman", "given" : "Idelle M", "non-dropping-particle" : "", "parse-names" : false, "suffix" : "" }, { "dropping-particle" : "", "family" : "Marciniuk", "given" : "Darcy", "non-dropping-particle" : "", "parse-names" : false, "suffix" : "" }, { "dropping-particle" : "", "family" : "Martinez", "given" : "Fernando J", "non-dropping-particle" : "", "parse-names" : false, "suffix" : "" }, { "dropping-particle" : "", "family" : "Sciurba", "given" : "Frank", "non-dropping-particle" : "", "parse-names" : false, "suffix" : "" }, { "dropping-particle" : "", "family" : "Sue", "given" : "Darryl", "non-dropping-particle" : "", "parse-names" : false, "suffix" : "" }, { "dropping-particle" : "", "family" : "Myers", "given" : "Jonathan", "non-dropping-particle" : "", "parse-names" : false, "suffix" : "" }, { "dropping-particle" : "", "family" : "Casaburi", "given" : "Richard", "non-dropping-particle" : "", "parse-names" : false, "suffix" : "" }, { "dropping-particle" : "", "family" : "Beck", "given" : "Ken", "non-dropping-particle" : "", "parse-names" : false, "suffix" : "" }, { "dropping-particle" : "", "family" : "Zeballos", "given" : "Jorge", "non-dropping-particle" : "", "parse-names" : false, "suffix" : "" }, { "dropping-particle" : "", "family" : "Swanson", "given" : "George", "non-dropping-particle" : "", "parse-names" : false, "suffix" : "" }, { "dropping-particle" : "", "family" : "Johnson", "given" : "Bruce", "non-dropping-particle" : "", "parse-names" : false, "suffix" : "" }, { "dropping-particle" : "", "family" : "Whipp", "given" : "Brian", "non-dropping-particle" : "", "parse-names" : false, "suffix" : "" }, { "dropping-particle" : "", "family" : "Mahler", "given" : "Donald", "non-dropping-particle" : "", "parse-names" : false, "suffix" : "" }, { "dropping-particle" : "", "family" : "Cotes", "given" : "John", "non-dropping-particle" : "", "parse-names" : false, "suffix" : "" }, { "dropping-particle" : "", "family" : "Sietsema", "given" : "Kathy", "non-dropping-particle" : "", "parse-names" : false, "suffix" : "" } ], "container-title" : "American journal of respiratory and critical care medicine", "id" : "ITEM-1", "issue" : "2", "issued" : { "date-parts" : [ [ "2003", "1", "15" ] ] }, "page" : "211-77", "title" : "ATS/ACCP Statement on cardiopulmonary exercise testing.", "type" : "article-journal", "volume" : "167" }, "uris" : [ "http://www.mendeley.com/documents/?uuid=c7c9b1c5-6ffa-4006-b8c3-e4a4a6c8e75c" ] } ], "mendeley" : { "previouslyFormattedCitation" : "(17)" }, "properties" : { "noteIndex" : 0 }, "schema" : "https://github.com/citation-style-language/schema/raw/master/csl-citation.json" }</w:instrText>
      </w:r>
      <w:r w:rsidRPr="00730F74">
        <w:rPr>
          <w:vertAlign w:val="superscript"/>
        </w:rPr>
        <w:fldChar w:fldCharType="separate"/>
      </w:r>
      <w:r w:rsidRPr="00730F74">
        <w:rPr>
          <w:noProof/>
          <w:vertAlign w:val="superscript"/>
        </w:rPr>
        <w:t>17</w:t>
      </w:r>
      <w:r w:rsidRPr="00730F74">
        <w:rPr>
          <w:vertAlign w:val="superscript"/>
        </w:rPr>
        <w:fldChar w:fldCharType="end"/>
      </w:r>
      <w:r w:rsidRPr="00730F74">
        <w:t>. After resting spirometry (flow</w:t>
      </w:r>
      <w:r w:rsidR="008A5232" w:rsidRPr="00730F74">
        <w:t>–</w:t>
      </w:r>
      <w:r w:rsidRPr="00730F74">
        <w:t>volume loops), CPET on an electromagnetically</w:t>
      </w:r>
      <w:r w:rsidR="008A5232" w:rsidRPr="00730F74">
        <w:t xml:space="preserve"> </w:t>
      </w:r>
      <w:r w:rsidRPr="00730F74">
        <w:t>braked cycle ergometer (</w:t>
      </w:r>
      <w:commentRangeStart w:id="4"/>
      <w:r w:rsidRPr="00730F74">
        <w:rPr>
          <w:highlight w:val="yellow"/>
        </w:rPr>
        <w:t>Ergoline 200</w:t>
      </w:r>
      <w:commentRangeEnd w:id="4"/>
      <w:r w:rsidR="008A5232" w:rsidRPr="00730F74">
        <w:rPr>
          <w:rStyle w:val="CommentReference"/>
          <w:vanish/>
          <w:lang/>
        </w:rPr>
        <w:commentReference w:id="4"/>
      </w:r>
      <w:r w:rsidRPr="00730F74">
        <w:t>) comprised 3</w:t>
      </w:r>
      <w:r w:rsidR="008A5232" w:rsidRPr="00730F74">
        <w:t> </w:t>
      </w:r>
      <w:r w:rsidRPr="00730F74">
        <w:t>min resting (to allow gas exchange variables to stabili</w:t>
      </w:r>
      <w:r w:rsidR="008A5232" w:rsidRPr="00730F74">
        <w:t>z</w:t>
      </w:r>
      <w:r w:rsidRPr="00730F74">
        <w:t>e), 3</w:t>
      </w:r>
      <w:r w:rsidR="008A5232" w:rsidRPr="00730F74">
        <w:t> </w:t>
      </w:r>
      <w:r w:rsidRPr="00730F74">
        <w:t>min freewheel pedalling, and then a ramped incremental protocol until volitional termination and 5</w:t>
      </w:r>
      <w:r w:rsidR="008A5232" w:rsidRPr="00730F74">
        <w:t> </w:t>
      </w:r>
      <w:r w:rsidRPr="00730F74">
        <w:t xml:space="preserve">min recovery. </w:t>
      </w:r>
      <w:r w:rsidRPr="00730F74">
        <w:lastRenderedPageBreak/>
        <w:t>Ventilation and gas exchange w</w:t>
      </w:r>
      <w:r w:rsidR="008A5232" w:rsidRPr="00730F74">
        <w:t>ere</w:t>
      </w:r>
      <w:r w:rsidRPr="00730F74">
        <w:t xml:space="preserve"> measured using a metabolic cart (</w:t>
      </w:r>
      <w:r w:rsidRPr="00730F74">
        <w:rPr>
          <w:i/>
        </w:rPr>
        <w:t>Fig</w:t>
      </w:r>
      <w:r w:rsidR="008A5232" w:rsidRPr="00730F74">
        <w:rPr>
          <w:i/>
        </w:rPr>
        <w:t>. </w:t>
      </w:r>
      <w:r w:rsidRPr="00730F74">
        <w:rPr>
          <w:i/>
        </w:rPr>
        <w:t>1</w:t>
      </w:r>
      <w:r w:rsidRPr="00730F74">
        <w:t>). Heart rate, full disclosure 12-lead ECG, blood pressure and pulse oximetry were monitored throughout. Ramp gradient was set to 10</w:t>
      </w:r>
      <w:r w:rsidR="008A5232" w:rsidRPr="00730F74">
        <w:t>–</w:t>
      </w:r>
      <w:r w:rsidRPr="00730F74">
        <w:t>25</w:t>
      </w:r>
      <w:r w:rsidR="008A5232" w:rsidRPr="00730F74">
        <w:t> </w:t>
      </w:r>
      <w:commentRangeStart w:id="5"/>
      <w:r w:rsidRPr="00730F74">
        <w:rPr>
          <w:highlight w:val="yellow"/>
        </w:rPr>
        <w:t>W/min</w:t>
      </w:r>
      <w:commentRangeEnd w:id="5"/>
      <w:r w:rsidR="003951C4" w:rsidRPr="00730F74">
        <w:rPr>
          <w:rStyle w:val="CommentReference"/>
          <w:vanish/>
          <w:lang/>
        </w:rPr>
        <w:commentReference w:id="5"/>
      </w:r>
      <w:r w:rsidRPr="00730F74">
        <w:t xml:space="preserve"> based on a calculation</w:t>
      </w:r>
      <w:r w:rsidRPr="00730F74">
        <w:rPr>
          <w:vertAlign w:val="superscript"/>
        </w:rPr>
        <w:t xml:space="preserve"> </w:t>
      </w:r>
      <w:r w:rsidRPr="00730F74">
        <w:t>using predicted freewheel oxygen uptake (</w:t>
      </w:r>
      <w:r w:rsidR="00A92B0C" w:rsidRPr="00730F74">
        <w:rPr>
          <w:position w:val="-6"/>
        </w:rPr>
        <w:object w:dxaOrig="260" w:dyaOrig="320">
          <v:shape id="_x0000_i1081" type="#_x0000_t75" style="width:8.6pt;height:15.6pt" o:ole="">
            <v:imagedata r:id="rId9" o:title=""/>
          </v:shape>
          <o:OLEObject Type="Embed" ProgID="Equation.3" ShapeID="_x0000_i1081" DrawAspect="Content" ObjectID="_1460191734" r:id="rId16"/>
        </w:object>
      </w:r>
      <w:r w:rsidR="00A92B0C" w:rsidRPr="00730F74">
        <w:rPr>
          <w:smallCaps/>
        </w:rPr>
        <w:t>o</w:t>
      </w:r>
      <w:r w:rsidR="00A92B0C" w:rsidRPr="00730F74">
        <w:rPr>
          <w:vertAlign w:val="subscript"/>
        </w:rPr>
        <w:t>2</w:t>
      </w:r>
      <w:r w:rsidRPr="00730F74">
        <w:t>),</w:t>
      </w:r>
      <w:r w:rsidR="00CE5AC0" w:rsidRPr="00730F74">
        <w:t xml:space="preserve"> </w:t>
      </w:r>
      <w:r w:rsidRPr="00730F74">
        <w:t xml:space="preserve">predicted </w:t>
      </w:r>
      <w:r w:rsidR="00A92B0C" w:rsidRPr="00730F74">
        <w:rPr>
          <w:position w:val="-6"/>
        </w:rPr>
        <w:object w:dxaOrig="260" w:dyaOrig="320">
          <v:shape id="_x0000_i1082" type="#_x0000_t75" style="width:8.6pt;height:15.6pt" o:ole="">
            <v:imagedata r:id="rId9" o:title=""/>
          </v:shape>
          <o:OLEObject Type="Embed" ProgID="Equation.3" ShapeID="_x0000_i1082" DrawAspect="Content" ObjectID="_1460191735" r:id="rId17"/>
        </w:object>
      </w:r>
      <w:r w:rsidR="00A92B0C" w:rsidRPr="00730F74">
        <w:rPr>
          <w:smallCaps/>
        </w:rPr>
        <w:t>o</w:t>
      </w:r>
      <w:r w:rsidR="00A92B0C" w:rsidRPr="00730F74">
        <w:rPr>
          <w:vertAlign w:val="subscript"/>
        </w:rPr>
        <w:t>2</w:t>
      </w:r>
      <w:r w:rsidRPr="00730F74">
        <w:t xml:space="preserve"> </w:t>
      </w:r>
      <w:r w:rsidRPr="004B557B">
        <w:t>at peak exercise, height</w:t>
      </w:r>
      <w:r w:rsidRPr="00730F74">
        <w:t xml:space="preserve"> and age</w:t>
      </w:r>
      <w:r w:rsidRPr="00730F74">
        <w:rPr>
          <w:vertAlign w:val="superscript"/>
        </w:rPr>
        <w:fldChar w:fldCharType="begin" w:fldLock="1"/>
      </w:r>
      <w:r w:rsidRPr="00730F74">
        <w:rPr>
          <w:vertAlign w:val="superscript"/>
        </w:rPr>
        <w:instrText>ADDIN CSL_CITATION { "citationItems" : [ { "id" : "ITEM-1", "itemData" : { "author" : [ { "dropping-particle" : "", "family" : "Wasserman K, Hansen JE, Sue DY", "given" : "Stringer WW and Whipp BJ", "non-dropping-particle" : "", "parse-names" : false, "suffix" : "" } ], "edition" : "4th Editio", "id" : "ITEM-1", "issued" : { "date-parts" : [ [ "2005" ] ] }, "page" : "1 - 180", "publisher" : "Lippincott Williams &amp; Wilkins", "publisher-place" : "Baltimore, Maryland", "title" : "Principles of Exercise Testing and Interpretation: Pathophysiology and Clinical Applications.", "type" : "book" }, "uris" : [ "http://www.mendeley.com/documents/?uuid=cc7f3222-7401-4d9d-96e8-5c8892db99af" ] } ], "mendeley" : { "previouslyFormattedCitation" : "(18)" }, "properties" : { "noteIndex" : 0 }, "schema" : "https://github.com/citation-style-language/schema/raw/master/csl-citation.json" }</w:instrText>
      </w:r>
      <w:r w:rsidRPr="00730F74">
        <w:rPr>
          <w:vertAlign w:val="superscript"/>
        </w:rPr>
        <w:fldChar w:fldCharType="separate"/>
      </w:r>
      <w:r w:rsidRPr="00730F74">
        <w:rPr>
          <w:noProof/>
          <w:vertAlign w:val="superscript"/>
        </w:rPr>
        <w:t>18</w:t>
      </w:r>
      <w:r w:rsidRPr="00730F74">
        <w:rPr>
          <w:vertAlign w:val="superscript"/>
        </w:rPr>
        <w:fldChar w:fldCharType="end"/>
      </w:r>
      <w:r w:rsidR="008A5232" w:rsidRPr="00730F74">
        <w:t>.</w:t>
      </w:r>
    </w:p>
    <w:p w:rsidR="009937D1" w:rsidRPr="00730F74" w:rsidRDefault="003951C4" w:rsidP="009937D1">
      <w:pPr>
        <w:pStyle w:val="Heading2"/>
        <w:rPr>
          <w:i/>
        </w:rPr>
      </w:pPr>
      <w:r w:rsidRPr="00730F74">
        <w:rPr>
          <w:i/>
        </w:rPr>
        <w:t xml:space="preserve">+B: </w:t>
      </w:r>
      <w:r w:rsidR="009937D1" w:rsidRPr="00730F74">
        <w:rPr>
          <w:i/>
        </w:rPr>
        <w:t xml:space="preserve">Patient </w:t>
      </w:r>
      <w:r w:rsidRPr="00730F74">
        <w:rPr>
          <w:i/>
        </w:rPr>
        <w:t>c</w:t>
      </w:r>
      <w:r w:rsidR="009937D1" w:rsidRPr="00730F74">
        <w:rPr>
          <w:i/>
        </w:rPr>
        <w:t xml:space="preserve">haracteristics and </w:t>
      </w:r>
      <w:r w:rsidRPr="00730F74">
        <w:rPr>
          <w:i/>
        </w:rPr>
        <w:t>o</w:t>
      </w:r>
      <w:r w:rsidR="009937D1" w:rsidRPr="00730F74">
        <w:rPr>
          <w:i/>
        </w:rPr>
        <w:t>utcome measures</w:t>
      </w:r>
    </w:p>
    <w:p w:rsidR="009937D1" w:rsidRPr="00730F74" w:rsidRDefault="009937D1" w:rsidP="009937D1">
      <w:pPr>
        <w:rPr>
          <w:u w:color="0000FF"/>
        </w:rPr>
      </w:pPr>
      <w:r w:rsidRPr="00730F74">
        <w:t xml:space="preserve">Patient characteristics recorded at the initial CPET session included age, </w:t>
      </w:r>
      <w:r w:rsidR="003951C4" w:rsidRPr="00730F74">
        <w:t>sex</w:t>
      </w:r>
      <w:r w:rsidRPr="00730F74">
        <w:t>, height, weight, pelvic MRI staging, surgical procedure, planned cancer therapy (straight to surgery, long</w:t>
      </w:r>
      <w:r w:rsidR="003951C4" w:rsidRPr="00730F74">
        <w:t>-</w:t>
      </w:r>
      <w:r w:rsidRPr="00730F74">
        <w:t xml:space="preserve"> or short</w:t>
      </w:r>
      <w:r w:rsidR="003951C4" w:rsidRPr="00730F74">
        <w:t>-</w:t>
      </w:r>
      <w:r w:rsidRPr="00730F74">
        <w:t>course neoadjuvant chemotherapy</w:t>
      </w:r>
      <w:r w:rsidR="00C2617F">
        <w:t>,</w:t>
      </w:r>
      <w:r w:rsidRPr="00730F74">
        <w:t xml:space="preserve"> or</w:t>
      </w:r>
      <w:r w:rsidR="00C2617F">
        <w:t xml:space="preserve"> CRT</w:t>
      </w:r>
      <w:r w:rsidRPr="00730F74">
        <w:t>), W</w:t>
      </w:r>
      <w:r w:rsidR="003951C4" w:rsidRPr="00730F74">
        <w:t xml:space="preserve">orld Health Organization </w:t>
      </w:r>
      <w:r w:rsidRPr="00730F74">
        <w:t xml:space="preserve">classification and ASA-PS), as well as </w:t>
      </w:r>
      <w:r w:rsidRPr="00730F74">
        <w:rPr>
          <w:u w:color="0000FF"/>
        </w:rPr>
        <w:t xml:space="preserve">diagnosis of diabetes, ischaemic heart disease, cerebrovascular disease or heart failure. </w:t>
      </w:r>
      <w:r w:rsidRPr="00730F74">
        <w:t>Resting flow</w:t>
      </w:r>
      <w:r w:rsidR="003951C4" w:rsidRPr="00730F74">
        <w:t>–</w:t>
      </w:r>
      <w:r w:rsidRPr="00730F74">
        <w:t xml:space="preserve">volume loops were used to derive </w:t>
      </w:r>
      <w:r w:rsidR="003951C4" w:rsidRPr="00730F74">
        <w:t>values for f</w:t>
      </w:r>
      <w:r w:rsidRPr="00730F74">
        <w:t xml:space="preserve">orced </w:t>
      </w:r>
      <w:r w:rsidR="003951C4" w:rsidRPr="00730F74">
        <w:t>e</w:t>
      </w:r>
      <w:r w:rsidRPr="00730F74">
        <w:t xml:space="preserve">xpiratory </w:t>
      </w:r>
      <w:r w:rsidR="003951C4" w:rsidRPr="00730F74">
        <w:t>v</w:t>
      </w:r>
      <w:r w:rsidRPr="00730F74">
        <w:t xml:space="preserve">olume </w:t>
      </w:r>
      <w:r w:rsidR="003951C4" w:rsidRPr="00730F74">
        <w:t>in</w:t>
      </w:r>
      <w:r w:rsidRPr="00730F74">
        <w:t xml:space="preserve"> 1</w:t>
      </w:r>
      <w:r w:rsidR="003951C4" w:rsidRPr="00730F74">
        <w:t> </w:t>
      </w:r>
      <w:r w:rsidRPr="00730F74">
        <w:t xml:space="preserve">s and </w:t>
      </w:r>
      <w:r w:rsidR="003951C4" w:rsidRPr="00730F74">
        <w:t>f</w:t>
      </w:r>
      <w:r w:rsidRPr="00730F74">
        <w:t xml:space="preserve">orced </w:t>
      </w:r>
      <w:r w:rsidR="003951C4" w:rsidRPr="00730F74">
        <w:t>v</w:t>
      </w:r>
      <w:r w:rsidRPr="00730F74">
        <w:t xml:space="preserve">ital </w:t>
      </w:r>
      <w:r w:rsidR="003951C4" w:rsidRPr="00730F74">
        <w:t>c</w:t>
      </w:r>
      <w:r w:rsidRPr="00730F74">
        <w:t xml:space="preserve">apacity. Ventilation and gas exchange variables derived from CPET included </w:t>
      </w:r>
      <w:r w:rsidR="00A92B0C" w:rsidRPr="00730F74">
        <w:rPr>
          <w:position w:val="-6"/>
        </w:rPr>
        <w:object w:dxaOrig="260" w:dyaOrig="320">
          <v:shape id="_x0000_i1083" type="#_x0000_t75" style="width:8.6pt;height:15.6pt" o:ole="">
            <v:imagedata r:id="rId9" o:title=""/>
          </v:shape>
          <o:OLEObject Type="Embed" ProgID="Equation.3" ShapeID="_x0000_i1083" DrawAspect="Content" ObjectID="_1460191736" r:id="rId18"/>
        </w:object>
      </w:r>
      <w:r w:rsidR="00A92B0C" w:rsidRPr="00730F74">
        <w:rPr>
          <w:smallCaps/>
        </w:rPr>
        <w:t>o</w:t>
      </w:r>
      <w:r w:rsidR="00A92B0C" w:rsidRPr="00730F74">
        <w:rPr>
          <w:vertAlign w:val="subscript"/>
        </w:rPr>
        <w:t>2</w:t>
      </w:r>
      <w:r w:rsidRPr="00730F74">
        <w:t>, ventilatory equivalents for oxygen and carbon dioxide (</w:t>
      </w:r>
      <w:commentRangeStart w:id="6"/>
      <w:r w:rsidR="00A92B0C" w:rsidRPr="00730F74">
        <w:rPr>
          <w:position w:val="-6"/>
        </w:rPr>
        <w:object w:dxaOrig="220" w:dyaOrig="300">
          <v:shape id="_x0000_i1028" type="#_x0000_t75" style="width:8.05pt;height:15.6pt" o:ole="">
            <v:imagedata r:id="rId19" o:title=""/>
          </v:shape>
          <o:OLEObject Type="Embed" ProgID="Equation.3" ShapeID="_x0000_i1028" DrawAspect="Content" ObjectID="_1460191737" r:id="rId20"/>
        </w:object>
      </w:r>
      <w:r w:rsidRPr="00730F74">
        <w:rPr>
          <w:vertAlign w:val="subscript"/>
        </w:rPr>
        <w:t>E</w:t>
      </w:r>
      <w:r w:rsidRPr="00730F74">
        <w:t>/</w:t>
      </w:r>
      <w:r w:rsidR="00A92B0C" w:rsidRPr="00730F74">
        <w:rPr>
          <w:position w:val="-6"/>
        </w:rPr>
        <w:object w:dxaOrig="220" w:dyaOrig="300">
          <v:shape id="_x0000_i1029" type="#_x0000_t75" style="width:8.6pt;height:15.6pt" o:ole="">
            <v:imagedata r:id="rId19" o:title=""/>
          </v:shape>
          <o:OLEObject Type="Embed" ProgID="Equation.3" ShapeID="_x0000_i1029" DrawAspect="Content" ObjectID="_1460191738" r:id="rId21"/>
        </w:object>
      </w:r>
      <w:r w:rsidRPr="00730F74">
        <w:rPr>
          <w:smallCaps/>
        </w:rPr>
        <w:t>o</w:t>
      </w:r>
      <w:r w:rsidRPr="00730F74">
        <w:rPr>
          <w:vertAlign w:val="subscript"/>
        </w:rPr>
        <w:t>2</w:t>
      </w:r>
      <w:r w:rsidR="003951C4" w:rsidRPr="00730F74">
        <w:t>,</w:t>
      </w:r>
      <w:r w:rsidRPr="00730F74">
        <w:t xml:space="preserve"> </w:t>
      </w:r>
      <w:r w:rsidR="00A92B0C" w:rsidRPr="00730F74">
        <w:rPr>
          <w:position w:val="-6"/>
        </w:rPr>
        <w:object w:dxaOrig="220" w:dyaOrig="300">
          <v:shape id="_x0000_i1030" type="#_x0000_t75" style="width:8.6pt;height:16.1pt" o:ole="">
            <v:imagedata r:id="rId19" o:title=""/>
          </v:shape>
          <o:OLEObject Type="Embed" ProgID="Equation.3" ShapeID="_x0000_i1030" DrawAspect="Content" ObjectID="_1460191739" r:id="rId22"/>
        </w:object>
      </w:r>
      <w:r w:rsidRPr="00730F74">
        <w:rPr>
          <w:vertAlign w:val="subscript"/>
        </w:rPr>
        <w:t>E</w:t>
      </w:r>
      <w:r w:rsidRPr="00730F74">
        <w:t>/</w:t>
      </w:r>
      <w:r w:rsidR="00A92B0C" w:rsidRPr="00730F74">
        <w:rPr>
          <w:position w:val="-6"/>
        </w:rPr>
        <w:object w:dxaOrig="220" w:dyaOrig="300">
          <v:shape id="_x0000_i1031" type="#_x0000_t75" style="width:8.6pt;height:16.1pt" o:ole="">
            <v:imagedata r:id="rId19" o:title=""/>
          </v:shape>
          <o:OLEObject Type="Embed" ProgID="Equation.3" ShapeID="_x0000_i1031" DrawAspect="Content" ObjectID="_1460191740" r:id="rId23"/>
        </w:object>
      </w:r>
      <w:r w:rsidRPr="00730F74">
        <w:rPr>
          <w:smallCaps/>
        </w:rPr>
        <w:t>co</w:t>
      </w:r>
      <w:r w:rsidRPr="00730F74">
        <w:rPr>
          <w:vertAlign w:val="subscript"/>
        </w:rPr>
        <w:t>2</w:t>
      </w:r>
      <w:r w:rsidRPr="00730F74">
        <w:t>)</w:t>
      </w:r>
      <w:commentRangeEnd w:id="6"/>
      <w:r w:rsidR="003951C4" w:rsidRPr="00730F74">
        <w:rPr>
          <w:rStyle w:val="CommentReference"/>
          <w:vanish/>
          <w:lang/>
        </w:rPr>
        <w:commentReference w:id="6"/>
      </w:r>
      <w:r w:rsidR="00C93250" w:rsidRPr="00730F74">
        <w:t>,</w:t>
      </w:r>
      <w:r w:rsidRPr="00730F74">
        <w:t xml:space="preserve"> and oxygen pulse (</w:t>
      </w:r>
      <w:r w:rsidR="00A92B0C" w:rsidRPr="00730F74">
        <w:rPr>
          <w:position w:val="-6"/>
        </w:rPr>
        <w:object w:dxaOrig="220" w:dyaOrig="300">
          <v:shape id="_x0000_i1032" type="#_x0000_t75" style="width:8.6pt;height:16.1pt" o:ole="">
            <v:imagedata r:id="rId24" o:title=""/>
          </v:shape>
          <o:OLEObject Type="Embed" ProgID="Equation.3" ShapeID="_x0000_i1032" DrawAspect="Content" ObjectID="_1460191741" r:id="rId25"/>
        </w:object>
      </w:r>
      <w:r w:rsidR="007E1059" w:rsidRPr="00730F74">
        <w:rPr>
          <w:smallCaps/>
        </w:rPr>
        <w:t>o</w:t>
      </w:r>
      <w:r w:rsidR="007E1059" w:rsidRPr="00730F74">
        <w:rPr>
          <w:vertAlign w:val="subscript"/>
        </w:rPr>
        <w:t>2</w:t>
      </w:r>
      <w:r w:rsidRPr="00730F74">
        <w:t>/heart rate), all measured at estimated lactate threshold (</w:t>
      </w:r>
      <w:r w:rsidRPr="00730F74">
        <w:rPr>
          <w:position w:val="-6"/>
        </w:rPr>
        <w:object w:dxaOrig="180" w:dyaOrig="320">
          <v:shape id="_x0000_i1033" type="#_x0000_t75" style="width:8.6pt;height:15.6pt" o:ole="">
            <v:imagedata r:id="rId11" o:title=""/>
          </v:shape>
          <o:OLEObject Type="Embed" ProgID="Equation.3" ShapeID="_x0000_i1033" DrawAspect="Content" ObjectID="_1460191742" r:id="rId26"/>
        </w:object>
      </w:r>
      <w:r w:rsidRPr="00730F74">
        <w:rPr>
          <w:vertAlign w:val="subscript"/>
        </w:rPr>
        <w:t>L</w:t>
      </w:r>
      <w:r w:rsidRPr="00730F74">
        <w:t>) and at peak exercise</w:t>
      </w:r>
      <w:r w:rsidRPr="00730F74">
        <w:rPr>
          <w:vertAlign w:val="superscript"/>
        </w:rPr>
        <w:fldChar w:fldCharType="begin" w:fldLock="1"/>
      </w:r>
      <w:r w:rsidRPr="00730F74">
        <w:rPr>
          <w:vertAlign w:val="superscript"/>
        </w:rPr>
        <w:instrText>ADDIN CSL_CITATION { "citationItems" : [ { "id" : "ITEM-1", "itemData" : { "author" : [ { "dropping-particle" : "", "family" : "Wasserman K, Hansen JE, Sue DY", "given" : "Stringer WW and Whipp BJ", "non-dropping-particle" : "", "parse-names" : false, "suffix" : "" } ], "edition" : "4th Editio", "id" : "ITEM-1", "issued" : { "date-parts" : [ [ "2005" ] ] }, "page" : "1 - 180", "publisher" : "Lippincott Williams &amp; Wilkins", "publisher-place" : "Baltimore, Maryland", "title" : "Principles of Exercise Testing and Interpretation: Pathophysiology and Clinical Applications.", "type" : "book" }, "uris" : [ "http://www.mendeley.com/documents/?uuid=cc7f3222-7401-4d9d-96e8-5c8892db99af" ] } ], "mendeley" : { "previouslyFormattedCitation" : "(18)" }, "properties" : { "noteIndex" : 0 }, "schema" : "https://github.com/citation-style-language/schema/raw/master/csl-citation.json" }</w:instrText>
      </w:r>
      <w:r w:rsidRPr="00730F74">
        <w:rPr>
          <w:vertAlign w:val="superscript"/>
        </w:rPr>
        <w:fldChar w:fldCharType="separate"/>
      </w:r>
      <w:r w:rsidRPr="00730F74">
        <w:rPr>
          <w:noProof/>
          <w:vertAlign w:val="superscript"/>
        </w:rPr>
        <w:t>18</w:t>
      </w:r>
      <w:r w:rsidRPr="00730F74">
        <w:rPr>
          <w:vertAlign w:val="superscript"/>
        </w:rPr>
        <w:fldChar w:fldCharType="end"/>
      </w:r>
      <w:r w:rsidRPr="00730F74">
        <w:t xml:space="preserve">. </w:t>
      </w:r>
      <w:r w:rsidRPr="00730F74">
        <w:rPr>
          <w:position w:val="-6"/>
        </w:rPr>
        <w:object w:dxaOrig="180" w:dyaOrig="320">
          <v:shape id="_x0000_i1034" type="#_x0000_t75" style="width:8.6pt;height:15.6pt" o:ole="">
            <v:imagedata r:id="rId11" o:title=""/>
          </v:shape>
          <o:OLEObject Type="Embed" ProgID="Equation.3" ShapeID="_x0000_i1034" DrawAspect="Content" ObjectID="_1460191743" r:id="rId27"/>
        </w:object>
      </w:r>
      <w:r w:rsidRPr="00730F74">
        <w:rPr>
          <w:vertAlign w:val="subscript"/>
        </w:rPr>
        <w:t>L</w:t>
      </w:r>
      <w:r w:rsidRPr="00730F74">
        <w:t xml:space="preserve"> was estimated conventionally (breakpoint in the </w:t>
      </w:r>
      <w:r w:rsidR="00C4373E" w:rsidRPr="00730F74">
        <w:rPr>
          <w:position w:val="-6"/>
        </w:rPr>
        <w:object w:dxaOrig="220" w:dyaOrig="300">
          <v:shape id="_x0000_i1084" type="#_x0000_t75" style="width:8.6pt;height:16.1pt" o:ole="">
            <v:imagedata r:id="rId19" o:title=""/>
          </v:shape>
          <o:OLEObject Type="Embed" ProgID="Equation.3" ShapeID="_x0000_i1084" DrawAspect="Content" ObjectID="_1460191744" r:id="rId28"/>
        </w:object>
      </w:r>
      <w:r w:rsidR="00C4373E" w:rsidRPr="00730F74">
        <w:rPr>
          <w:smallCaps/>
        </w:rPr>
        <w:t>co</w:t>
      </w:r>
      <w:r w:rsidR="00C4373E" w:rsidRPr="00730F74">
        <w:rPr>
          <w:vertAlign w:val="subscript"/>
        </w:rPr>
        <w:t>2</w:t>
      </w:r>
      <w:r w:rsidR="00C4373E">
        <w:rPr>
          <w:vertAlign w:val="subscript"/>
        </w:rPr>
        <w:t xml:space="preserve"> </w:t>
      </w:r>
      <w:r w:rsidR="007E1059" w:rsidRPr="00730F74">
        <w:t>–</w:t>
      </w:r>
      <w:r w:rsidR="00C4373E">
        <w:t xml:space="preserve"> </w:t>
      </w:r>
      <w:r w:rsidR="00C4373E" w:rsidRPr="00730F74">
        <w:rPr>
          <w:position w:val="-6"/>
        </w:rPr>
        <w:object w:dxaOrig="220" w:dyaOrig="300">
          <v:shape id="_x0000_i1085" type="#_x0000_t75" style="width:8.6pt;height:16.1pt" o:ole="">
            <v:imagedata r:id="rId19" o:title=""/>
          </v:shape>
          <o:OLEObject Type="Embed" ProgID="Equation.3" ShapeID="_x0000_i1085" DrawAspect="Content" ObjectID="_1460191745" r:id="rId29"/>
        </w:object>
      </w:r>
      <w:r w:rsidR="00C4373E" w:rsidRPr="00730F74">
        <w:rPr>
          <w:smallCaps/>
        </w:rPr>
        <w:t>o</w:t>
      </w:r>
      <w:r w:rsidR="00C4373E" w:rsidRPr="00730F74">
        <w:rPr>
          <w:vertAlign w:val="subscript"/>
        </w:rPr>
        <w:t>2</w:t>
      </w:r>
      <w:r w:rsidRPr="00730F74">
        <w:t xml:space="preserve"> relationship</w:t>
      </w:r>
      <w:r w:rsidRPr="00730F74">
        <w:rPr>
          <w:vertAlign w:val="superscript"/>
        </w:rPr>
        <w:fldChar w:fldCharType="begin" w:fldLock="1"/>
      </w:r>
      <w:r w:rsidRPr="00730F74">
        <w:rPr>
          <w:vertAlign w:val="superscript"/>
        </w:rPr>
        <w:instrText>ADDIN CSL_CITATION { "citationItems" : [ { "id" : "ITEM-1", "itemData" : { "author" : [ { "dropping-particle" : "", "family" : "William", "given" : "B", "non-dropping-particle" : "", "parse-names" : false, "suffix" : "" }, { "dropping-particle" : "", "family" : "Wasserman", "given" : "K", "non-dropping-particle" : "", "parse-names" : false, "suffix" : "" }, { "dropping-particle" : "", "family" : "Whipp", "given" : "J", "non-dropping-particle" : "", "parse-names" : false, "suffix" : "" } ], "container-title" : "J Appl Physiology", "id" : "ITEM-1", "issue" : "6", "issued" : { "date-parts" : [ [ "1986" ] ] }, "page" : "2020-7", "title" : "A new method for detecting anaerobic threshold by gas exchange", "type" : "article-journal", "volume" : "60" }, "uris" : [ "http://www.mendeley.com/documents/?uuid=345fe505-02d0-4fc3-96f6-a02dba16b704" ] } ], "mendeley" : { "previouslyFormattedCitation" : "(19)" }, "properties" : { "noteIndex" : 0 }, "schema" : "https://github.com/citation-style-language/schema/raw/master/csl-citation.json" }</w:instrText>
      </w:r>
      <w:r w:rsidRPr="00730F74">
        <w:rPr>
          <w:vertAlign w:val="superscript"/>
        </w:rPr>
        <w:fldChar w:fldCharType="separate"/>
      </w:r>
      <w:r w:rsidRPr="00730F74">
        <w:rPr>
          <w:noProof/>
          <w:vertAlign w:val="superscript"/>
        </w:rPr>
        <w:t>19</w:t>
      </w:r>
      <w:r w:rsidRPr="00730F74">
        <w:rPr>
          <w:vertAlign w:val="superscript"/>
        </w:rPr>
        <w:fldChar w:fldCharType="end"/>
      </w:r>
      <w:r w:rsidRPr="00730F74">
        <w:t xml:space="preserve">, with increases in </w:t>
      </w:r>
      <w:r w:rsidR="00C4373E" w:rsidRPr="00730F74">
        <w:rPr>
          <w:position w:val="-6"/>
        </w:rPr>
        <w:object w:dxaOrig="220" w:dyaOrig="300">
          <v:shape id="_x0000_i1086" type="#_x0000_t75" style="width:8.05pt;height:15.6pt" o:ole="">
            <v:imagedata r:id="rId19" o:title=""/>
          </v:shape>
          <o:OLEObject Type="Embed" ProgID="Equation.3" ShapeID="_x0000_i1086" DrawAspect="Content" ObjectID="_1460191746" r:id="rId30"/>
        </w:object>
      </w:r>
      <w:r w:rsidR="00C4373E" w:rsidRPr="00730F74">
        <w:rPr>
          <w:vertAlign w:val="subscript"/>
        </w:rPr>
        <w:t>E</w:t>
      </w:r>
      <w:r w:rsidR="00C4373E" w:rsidRPr="00730F74">
        <w:t>/</w:t>
      </w:r>
      <w:r w:rsidR="00C4373E" w:rsidRPr="00730F74">
        <w:rPr>
          <w:position w:val="-6"/>
        </w:rPr>
        <w:object w:dxaOrig="220" w:dyaOrig="300">
          <v:shape id="_x0000_i1087" type="#_x0000_t75" style="width:8.6pt;height:15.6pt" o:ole="">
            <v:imagedata r:id="rId19" o:title=""/>
          </v:shape>
          <o:OLEObject Type="Embed" ProgID="Equation.3" ShapeID="_x0000_i1087" DrawAspect="Content" ObjectID="_1460191747" r:id="rId31"/>
        </w:object>
      </w:r>
      <w:r w:rsidR="00C4373E" w:rsidRPr="00730F74">
        <w:rPr>
          <w:smallCaps/>
        </w:rPr>
        <w:t>o</w:t>
      </w:r>
      <w:r w:rsidR="00C4373E" w:rsidRPr="00730F74">
        <w:rPr>
          <w:vertAlign w:val="subscript"/>
        </w:rPr>
        <w:t>2</w:t>
      </w:r>
      <w:r w:rsidRPr="00730F74">
        <w:t xml:space="preserve"> and </w:t>
      </w:r>
      <w:commentRangeStart w:id="7"/>
      <w:r w:rsidRPr="00730F74">
        <w:rPr>
          <w:highlight w:val="yellow"/>
        </w:rPr>
        <w:t>end</w:t>
      </w:r>
      <w:r w:rsidR="007E1059" w:rsidRPr="00730F74">
        <w:rPr>
          <w:highlight w:val="yellow"/>
        </w:rPr>
        <w:t>-</w:t>
      </w:r>
      <w:r w:rsidRPr="00730F74">
        <w:rPr>
          <w:highlight w:val="yellow"/>
        </w:rPr>
        <w:t xml:space="preserve">tidal (PET) </w:t>
      </w:r>
      <w:r w:rsidRPr="00730F74">
        <w:rPr>
          <w:smallCaps/>
          <w:highlight w:val="yellow"/>
        </w:rPr>
        <w:t>o</w:t>
      </w:r>
      <w:r w:rsidRPr="00730F74">
        <w:rPr>
          <w:highlight w:val="yellow"/>
          <w:vertAlign w:val="subscript"/>
        </w:rPr>
        <w:t xml:space="preserve">2 </w:t>
      </w:r>
      <w:commentRangeEnd w:id="7"/>
      <w:r w:rsidR="007E1059" w:rsidRPr="00730F74">
        <w:rPr>
          <w:rStyle w:val="CommentReference"/>
          <w:vanish/>
          <w:highlight w:val="yellow"/>
          <w:lang/>
        </w:rPr>
        <w:commentReference w:id="7"/>
      </w:r>
      <w:r w:rsidRPr="00730F74">
        <w:t xml:space="preserve">but no increase in </w:t>
      </w:r>
      <w:r w:rsidR="00C4373E" w:rsidRPr="00730F74">
        <w:rPr>
          <w:position w:val="-6"/>
        </w:rPr>
        <w:object w:dxaOrig="220" w:dyaOrig="300">
          <v:shape id="_x0000_i1088" type="#_x0000_t75" style="width:8.6pt;height:16.1pt" o:ole="">
            <v:imagedata r:id="rId19" o:title=""/>
          </v:shape>
          <o:OLEObject Type="Embed" ProgID="Equation.3" ShapeID="_x0000_i1088" DrawAspect="Content" ObjectID="_1460191748" r:id="rId32"/>
        </w:object>
      </w:r>
      <w:r w:rsidR="00C4373E" w:rsidRPr="00730F74">
        <w:rPr>
          <w:vertAlign w:val="subscript"/>
        </w:rPr>
        <w:t>E</w:t>
      </w:r>
      <w:r w:rsidR="00C4373E" w:rsidRPr="00730F74">
        <w:t>/</w:t>
      </w:r>
      <w:r w:rsidR="00C4373E" w:rsidRPr="00730F74">
        <w:rPr>
          <w:position w:val="-6"/>
        </w:rPr>
        <w:object w:dxaOrig="220" w:dyaOrig="300">
          <v:shape id="_x0000_i1089" type="#_x0000_t75" style="width:8.6pt;height:16.1pt" o:ole="">
            <v:imagedata r:id="rId19" o:title=""/>
          </v:shape>
          <o:OLEObject Type="Embed" ProgID="Equation.3" ShapeID="_x0000_i1089" DrawAspect="Content" ObjectID="_1460191749" r:id="rId33"/>
        </w:object>
      </w:r>
      <w:r w:rsidR="00C4373E" w:rsidRPr="00730F74">
        <w:rPr>
          <w:smallCaps/>
        </w:rPr>
        <w:t>co</w:t>
      </w:r>
      <w:r w:rsidR="00C4373E" w:rsidRPr="00730F74">
        <w:rPr>
          <w:vertAlign w:val="subscript"/>
        </w:rPr>
        <w:t>2</w:t>
      </w:r>
      <w:r w:rsidR="00C4373E">
        <w:rPr>
          <w:vertAlign w:val="subscript"/>
        </w:rPr>
        <w:t xml:space="preserve"> </w:t>
      </w:r>
      <w:r w:rsidRPr="00730F74">
        <w:t xml:space="preserve">or decrease </w:t>
      </w:r>
      <w:r w:rsidRPr="00730F74">
        <w:rPr>
          <w:highlight w:val="yellow"/>
        </w:rPr>
        <w:t xml:space="preserve">in </w:t>
      </w:r>
      <w:commentRangeStart w:id="8"/>
      <w:r w:rsidRPr="00730F74">
        <w:rPr>
          <w:highlight w:val="yellow"/>
        </w:rPr>
        <w:t xml:space="preserve">PET </w:t>
      </w:r>
      <w:r w:rsidRPr="00730F74">
        <w:rPr>
          <w:smallCaps/>
          <w:highlight w:val="yellow"/>
        </w:rPr>
        <w:t>co</w:t>
      </w:r>
      <w:r w:rsidRPr="00730F74">
        <w:rPr>
          <w:highlight w:val="yellow"/>
          <w:vertAlign w:val="subscript"/>
        </w:rPr>
        <w:t>2</w:t>
      </w:r>
      <w:r w:rsidRPr="00730F74">
        <w:t xml:space="preserve"> </w:t>
      </w:r>
      <w:commentRangeEnd w:id="8"/>
      <w:r w:rsidR="007E1059" w:rsidRPr="00730F74">
        <w:rPr>
          <w:rStyle w:val="CommentReference"/>
          <w:vanish/>
          <w:lang/>
        </w:rPr>
        <w:commentReference w:id="8"/>
      </w:r>
      <w:r w:rsidRPr="00730F74">
        <w:rPr>
          <w:vertAlign w:val="superscript"/>
        </w:rPr>
        <w:fldChar w:fldCharType="begin" w:fldLock="1"/>
      </w:r>
      <w:r w:rsidRPr="00730F74">
        <w:rPr>
          <w:vertAlign w:val="superscript"/>
        </w:rPr>
        <w:instrText>ADDIN CSL_CITATION { "citationItems" : [ { "id" : "ITEM-1", "itemData" : { "DOI" : "10.1378/chest.94.5.931", "ISSN" : "0012-3692", "author" : [ { "dropping-particle" : "", "family" : "Sue", "given" : "D.", "non-dropping-particle" : "", "parse-names" : false, "suffix" : "" }, { "dropping-particle" : "", "family" : "Wasserman", "given" : "K", "non-dropping-particle" : "", "parse-names" : false, "suffix" : "" }, { "dropping-particle" : "", "family" : "Moricca", "given" : "R.", "non-dropping-particle" : "", "parse-names" : false, "suffix" : "" }, { "dropping-particle" : "", "family" : "Casaburi", "given" : "R", "non-dropping-particle" : "", "parse-names" : false, "suffix" : "" } ], "container-title" : "Chest", "id" : "ITEM-1", "issue" : "5", "issued" : { "date-parts" : [ [ "1988", "11", "1" ] ] }, "page" : "931-938", "title" : "Metabolic acidosis during exercise in patients with chronic obstructive pulmonary disease. Use of the V-slope method for anaerobic threshold determination", "type" : "article-journal", "volume" : "94" }, "uris" : [ "http://www.mendeley.com/documents/?uuid=1fd63915-ef94-4dd2-8bc1-c15a6f4a7687" ] } ], "mendeley" : { "previouslyFormattedCitation" : "(20)" }, "properties" : { "noteIndex" : 0 }, "schema" : "https://github.com/citation-style-language/schema/raw/master/csl-citation.json" }</w:instrText>
      </w:r>
      <w:r w:rsidRPr="00730F74">
        <w:rPr>
          <w:vertAlign w:val="superscript"/>
        </w:rPr>
        <w:fldChar w:fldCharType="separate"/>
      </w:r>
      <w:r w:rsidRPr="00730F74">
        <w:rPr>
          <w:noProof/>
          <w:vertAlign w:val="superscript"/>
        </w:rPr>
        <w:t>20</w:t>
      </w:r>
      <w:r w:rsidRPr="00730F74">
        <w:rPr>
          <w:vertAlign w:val="superscript"/>
        </w:rPr>
        <w:fldChar w:fldCharType="end"/>
      </w:r>
      <w:r w:rsidRPr="00730F74">
        <w:t xml:space="preserve">). Peak </w:t>
      </w:r>
      <w:r w:rsidR="00D27B15" w:rsidRPr="00730F74">
        <w:rPr>
          <w:position w:val="-6"/>
        </w:rPr>
        <w:object w:dxaOrig="220" w:dyaOrig="300">
          <v:shape id="_x0000_i1035" type="#_x0000_t75" style="width:11.3pt;height:15.6pt" o:ole="">
            <v:imagedata r:id="rId24" o:title=""/>
          </v:shape>
          <o:OLEObject Type="Embed" ProgID="Equation.3" ShapeID="_x0000_i1035" DrawAspect="Content" ObjectID="_1460191750" r:id="rId34"/>
        </w:object>
      </w:r>
      <w:r w:rsidR="00D27B15" w:rsidRPr="00730F74">
        <w:rPr>
          <w:smallCaps/>
        </w:rPr>
        <w:t>o</w:t>
      </w:r>
      <w:r w:rsidR="00D27B15" w:rsidRPr="00730F74">
        <w:rPr>
          <w:vertAlign w:val="subscript"/>
        </w:rPr>
        <w:t>2</w:t>
      </w:r>
      <w:r w:rsidRPr="00730F74">
        <w:t xml:space="preserve"> was averaged over the last 30</w:t>
      </w:r>
      <w:r w:rsidR="00D27B15" w:rsidRPr="00730F74">
        <w:t> </w:t>
      </w:r>
      <w:r w:rsidRPr="00730F74">
        <w:t>s of exercise</w:t>
      </w:r>
      <w:r w:rsidRPr="00730F74">
        <w:rPr>
          <w:u w:color="0000FF"/>
        </w:rPr>
        <w:t xml:space="preserve">. CPETs were reported by </w:t>
      </w:r>
      <w:r w:rsidRPr="00730F74">
        <w:t>two experienced assessors</w:t>
      </w:r>
      <w:r w:rsidR="00D27B15" w:rsidRPr="00730F74">
        <w:t>,</w:t>
      </w:r>
      <w:r w:rsidRPr="00730F74">
        <w:t xml:space="preserve"> both blind</w:t>
      </w:r>
      <w:r w:rsidR="00CA69B5">
        <w:t>ed</w:t>
      </w:r>
      <w:r w:rsidRPr="00730F74">
        <w:t xml:space="preserve"> to patient demographics and outcome data, with resolution of any differences by a third assessor.</w:t>
      </w:r>
    </w:p>
    <w:p w:rsidR="00D354EE" w:rsidRPr="00730F74" w:rsidRDefault="009937D1" w:rsidP="00D354EE">
      <w:pPr>
        <w:ind w:firstLine="360"/>
        <w:rPr>
          <w:u w:color="0000FF"/>
        </w:rPr>
      </w:pPr>
      <w:r w:rsidRPr="00730F74">
        <w:rPr>
          <w:u w:color="0000FF"/>
        </w:rPr>
        <w:t>Short-term surgical outcome (recorded by medical and nursing staff blind</w:t>
      </w:r>
      <w:r w:rsidR="00CA69B5">
        <w:rPr>
          <w:u w:color="0000FF"/>
        </w:rPr>
        <w:t>ed</w:t>
      </w:r>
      <w:r w:rsidRPr="00730F74">
        <w:rPr>
          <w:u w:color="0000FF"/>
        </w:rPr>
        <w:t xml:space="preserve"> to CPET data) using the </w:t>
      </w:r>
      <w:r w:rsidR="00D27B15" w:rsidRPr="00730F74">
        <w:rPr>
          <w:u w:color="0000FF"/>
        </w:rPr>
        <w:t>nine</w:t>
      </w:r>
      <w:r w:rsidRPr="00730F74">
        <w:rPr>
          <w:u w:color="0000FF"/>
        </w:rPr>
        <w:t xml:space="preserve"> domains listed in the Post</w:t>
      </w:r>
      <w:r w:rsidR="00D27B15" w:rsidRPr="00730F74">
        <w:rPr>
          <w:u w:color="0000FF"/>
        </w:rPr>
        <w:t>o</w:t>
      </w:r>
      <w:r w:rsidRPr="00730F74">
        <w:rPr>
          <w:u w:color="0000FF"/>
        </w:rPr>
        <w:t xml:space="preserve">perative Morbidity Survey </w:t>
      </w:r>
      <w:r w:rsidRPr="00730F74">
        <w:rPr>
          <w:u w:color="0000FF"/>
        </w:rPr>
        <w:lastRenderedPageBreak/>
        <w:t>(POMS)</w:t>
      </w:r>
      <w:r w:rsidRPr="00730F74">
        <w:rPr>
          <w:u w:color="0000FF"/>
          <w:vertAlign w:val="superscript"/>
        </w:rPr>
        <w:fldChar w:fldCharType="begin" w:fldLock="1"/>
      </w:r>
      <w:r w:rsidRPr="00730F74">
        <w:rPr>
          <w:u w:color="0000FF"/>
          <w:vertAlign w:val="superscript"/>
        </w:rPr>
        <w:instrText>ADDIN CSL_CITATION { "citationItems" : [ { "id" : "ITEM-1", "itemData" : { "DOI" : "10.1016/j.jclinepi.2006.12.003", "ISSN" : "0895-4356", "PMID" : "17689808", "abstract" : "To describe the reliability and validity of the Postoperative Morbidity Survey (POMS). To describe the level and pattern of short-term postoperative morbidity after major elective surgery using the POMS.", "author" : [ { "dropping-particle" : "", "family" : "Grocott", "given" : "M P W", "non-dropping-particle" : "", "parse-names" : false, "suffix" : "" }, { "dropping-particle" : "", "family" : "Browne", "given" : "J P", "non-dropping-particle" : "", "parse-names" : false, "suffix" : "" }, { "dropping-particle" : "", "family" : "Meulen", "given" : "J", "non-dropping-particle" : "Van der", "parse-names" : false, "suffix" : "" }, { "dropping-particle" : "", "family" : "Matejowsky", "given" : "C", "non-dropping-particle" : "", "parse-names" : false, "suffix" : "" }, { "dropping-particle" : "", "family" : "Mutch", "given" : "M", "non-dropping-particle" : "", "parse-names" : false, "suffix" : "" }, { "dropping-particle" : "", "family" : "Hamilton", "given" : "M a", "non-dropping-particle" : "", "parse-names" : false, "suffix" : "" }, { "dropping-particle" : "", "family" : "Levett", "given" : "D Z H", "non-dropping-particle" : "", "parse-names" : false, "suffix" : "" }, { "dropping-particle" : "", "family" : "Emberton", "given" : "M", "non-dropping-particle" : "", "parse-names" : false, "suffix" : "" }, { "dropping-particle" : "", "family" : "Haddad", "given" : "F S", "non-dropping-particle" : "", "parse-names" : false, "suffix" : "" }, { "dropping-particle" : "", "family" : "Mythen", "given" : "M G", "non-dropping-particle" : "", "parse-names" : false, "suffix" : "" } ], "container-title" : "Journal of clinical epidemiology", "id" : "ITEM-1", "issue" : "9", "issued" : { "date-parts" : [ [ "2007", "9" ] ] }, "page" : "919-28", "title" : "The Postoperative Morbidity Survey was validated and used to describe morbidity after major surgery.", "type" : "article-journal", "volume" : "60" }, "uris" : [ "http://www.mendeley.com/documents/?uuid=f9c9a6f5-2675-44f9-8dd0-c0ae32e705c3" ] } ], "mendeley" : { "previouslyFormattedCitation" : "(21)" }, "properties" : { "noteIndex" : 0 }, "schema" : "https://github.com/citation-style-language/schema/raw/master/csl-citation.json" }</w:instrText>
      </w:r>
      <w:r w:rsidRPr="00730F74">
        <w:rPr>
          <w:u w:color="0000FF"/>
          <w:vertAlign w:val="superscript"/>
        </w:rPr>
        <w:fldChar w:fldCharType="separate"/>
      </w:r>
      <w:r w:rsidRPr="00730F74">
        <w:rPr>
          <w:noProof/>
          <w:u w:color="0000FF"/>
          <w:vertAlign w:val="superscript"/>
        </w:rPr>
        <w:t>21</w:t>
      </w:r>
      <w:r w:rsidRPr="00730F74">
        <w:rPr>
          <w:u w:color="0000FF"/>
          <w:vertAlign w:val="superscript"/>
        </w:rPr>
        <w:fldChar w:fldCharType="end"/>
      </w:r>
      <w:r w:rsidRPr="00730F74">
        <w:rPr>
          <w:u w:color="0000FF"/>
        </w:rPr>
        <w:t xml:space="preserve"> on day 5, the Dindo</w:t>
      </w:r>
      <w:r w:rsidR="00D27B15" w:rsidRPr="00730F74">
        <w:rPr>
          <w:u w:color="0000FF"/>
        </w:rPr>
        <w:t>–</w:t>
      </w:r>
      <w:r w:rsidRPr="00730F74">
        <w:rPr>
          <w:u w:color="0000FF"/>
        </w:rPr>
        <w:t>Demartines</w:t>
      </w:r>
      <w:r w:rsidR="00D27B15" w:rsidRPr="00730F74">
        <w:rPr>
          <w:u w:color="0000FF"/>
        </w:rPr>
        <w:t>–</w:t>
      </w:r>
      <w:r w:rsidRPr="00730F74">
        <w:rPr>
          <w:u w:color="0000FF"/>
        </w:rPr>
        <w:t xml:space="preserve">Clavien </w:t>
      </w:r>
      <w:r w:rsidR="00D27B15" w:rsidRPr="00730F74">
        <w:rPr>
          <w:u w:color="0000FF"/>
        </w:rPr>
        <w:t>c</w:t>
      </w:r>
      <w:r w:rsidRPr="00730F74">
        <w:rPr>
          <w:u w:color="0000FF"/>
        </w:rPr>
        <w:t>lassification</w:t>
      </w:r>
      <w:r w:rsidRPr="00730F74">
        <w:rPr>
          <w:u w:color="0000FF"/>
          <w:vertAlign w:val="superscript"/>
        </w:rPr>
        <w:fldChar w:fldCharType="begin" w:fldLock="1"/>
      </w:r>
      <w:r w:rsidRPr="00730F74">
        <w:rPr>
          <w:u w:color="0000FF"/>
          <w:vertAlign w:val="superscript"/>
        </w:rPr>
        <w:instrText>ADDIN CSL_CITATION { "citationItems" : [ { "id" : "ITEM-1", "itemData" : { "DOI" : "10.1097/01.sla.0000133083.54934.ae", "ISSN" : "0003-4932", "author" : [ { "dropping-particle" : "", "family" : "Dindo", "given" : "Daniel", "non-dropping-particle" : "", "parse-names" : false, "suffix" : "" }, { "dropping-particle" : "", "family" : "Demartines", "given" : "Nicolas", "non-dropping-particle" : "", "parse-names" : false, "suffix" : "" }, { "dropping-particle" : "", "family" : "Clavien", "given" : "Pierre-Alain", "non-dropping-particle" : "", "parse-names" : false, "suffix" : "" } ], "container-title" : "Annals of Surgery", "id" : "ITEM-1", "issue" : "2", "issued" : { "date-parts" : [ [ "2004", "8" ] ] }, "page" : "205-213", "title" : "Classification of Surgical Complications. A new proposal with evluation in a cohort of 6336 patients and results of a survey", "type" : "article-journal", "volume" : "240" }, "uris" : [ "http://www.mendeley.com/documents/?uuid=dbe1afee-5cb4-4890-905c-933d3d18482b" ] } ], "mendeley" : { "previouslyFormattedCitation" : "(22)" }, "properties" : { "noteIndex" : 0 }, "schema" : "https://github.com/citation-style-language/schema/raw/master/csl-citation.json" }</w:instrText>
      </w:r>
      <w:r w:rsidRPr="00730F74">
        <w:rPr>
          <w:u w:color="0000FF"/>
          <w:vertAlign w:val="superscript"/>
        </w:rPr>
        <w:fldChar w:fldCharType="separate"/>
      </w:r>
      <w:r w:rsidRPr="00730F74">
        <w:rPr>
          <w:noProof/>
          <w:u w:color="0000FF"/>
          <w:vertAlign w:val="superscript"/>
        </w:rPr>
        <w:t>22</w:t>
      </w:r>
      <w:r w:rsidRPr="00730F74">
        <w:rPr>
          <w:u w:color="0000FF"/>
          <w:vertAlign w:val="superscript"/>
        </w:rPr>
        <w:fldChar w:fldCharType="end"/>
      </w:r>
      <w:r w:rsidRPr="00730F74">
        <w:rPr>
          <w:u w:color="0000FF"/>
        </w:rPr>
        <w:t xml:space="preserve"> (highest grade for the most serious sustained in-hospital morbidity) and in-hospital mortality were recorded. Postoperative morbidity is defined as POMS </w:t>
      </w:r>
      <w:r w:rsidR="00CA69B5">
        <w:rPr>
          <w:u w:color="0000FF"/>
        </w:rPr>
        <w:t xml:space="preserve">score </w:t>
      </w:r>
      <w:r w:rsidR="00D354EE" w:rsidRPr="00730F74">
        <w:rPr>
          <w:u w:color="0000FF"/>
        </w:rPr>
        <w:t>of 1 or above</w:t>
      </w:r>
      <w:r w:rsidRPr="00730F74">
        <w:rPr>
          <w:u w:color="0000FF"/>
        </w:rPr>
        <w:t>. Length of hospital stay was also recorded and all patients were followed up to 1</w:t>
      </w:r>
      <w:r w:rsidR="00D354EE" w:rsidRPr="00730F74">
        <w:rPr>
          <w:u w:color="0000FF"/>
        </w:rPr>
        <w:t> </w:t>
      </w:r>
      <w:r w:rsidRPr="00730F74">
        <w:rPr>
          <w:u w:color="0000FF"/>
        </w:rPr>
        <w:t xml:space="preserve">year for mortality. The colorectal MDT (including anaesthetists) was </w:t>
      </w:r>
      <w:r w:rsidR="00D354EE" w:rsidRPr="00730F74">
        <w:rPr>
          <w:u w:color="0000FF"/>
        </w:rPr>
        <w:t>blind</w:t>
      </w:r>
      <w:r w:rsidR="00CA69B5">
        <w:rPr>
          <w:u w:color="0000FF"/>
        </w:rPr>
        <w:t>ed</w:t>
      </w:r>
      <w:r w:rsidR="00D354EE" w:rsidRPr="00730F74">
        <w:rPr>
          <w:u w:color="0000FF"/>
        </w:rPr>
        <w:t xml:space="preserve"> to all CPET data. No peri</w:t>
      </w:r>
      <w:r w:rsidRPr="00730F74">
        <w:rPr>
          <w:u w:color="0000FF"/>
        </w:rPr>
        <w:t>operative management or decisions were influenced by CPET data.</w:t>
      </w:r>
    </w:p>
    <w:p w:rsidR="009937D1" w:rsidRPr="00730F74" w:rsidRDefault="009937D1" w:rsidP="00D354EE">
      <w:pPr>
        <w:ind w:firstLine="360"/>
      </w:pPr>
      <w:r w:rsidRPr="00730F74">
        <w:rPr>
          <w:rFonts w:eastAsia="JansonText-Roman"/>
        </w:rPr>
        <w:t xml:space="preserve">The variables of </w:t>
      </w:r>
      <w:r w:rsidR="00D354EE" w:rsidRPr="00730F74">
        <w:rPr>
          <w:rFonts w:eastAsia="JansonText-Roman"/>
        </w:rPr>
        <w:t xml:space="preserve">primary </w:t>
      </w:r>
      <w:r w:rsidRPr="00730F74">
        <w:rPr>
          <w:rFonts w:eastAsia="JansonText-Roman"/>
        </w:rPr>
        <w:t xml:space="preserve">interest were </w:t>
      </w:r>
      <w:r w:rsidR="00C4373E" w:rsidRPr="00730F74">
        <w:rPr>
          <w:position w:val="-6"/>
        </w:rPr>
        <w:object w:dxaOrig="220" w:dyaOrig="300">
          <v:shape id="_x0000_i1090" type="#_x0000_t75" style="width:8.6pt;height:16.1pt" o:ole="">
            <v:imagedata r:id="rId24" o:title=""/>
          </v:shape>
          <o:OLEObject Type="Embed" ProgID="Equation.3" ShapeID="_x0000_i1090" DrawAspect="Content" ObjectID="_1460191751" r:id="rId35"/>
        </w:object>
      </w:r>
      <w:r w:rsidR="00C4373E" w:rsidRPr="00730F74">
        <w:rPr>
          <w:smallCaps/>
        </w:rPr>
        <w:t>o</w:t>
      </w:r>
      <w:r w:rsidR="00C4373E" w:rsidRPr="00730F74">
        <w:rPr>
          <w:vertAlign w:val="subscript"/>
        </w:rPr>
        <w:t>2</w:t>
      </w:r>
      <w:r w:rsidR="00D354EE" w:rsidRPr="00730F74">
        <w:t xml:space="preserve"> </w:t>
      </w:r>
      <w:r w:rsidRPr="00730F74">
        <w:rPr>
          <w:rFonts w:eastAsia="JansonText-Roman"/>
        </w:rPr>
        <w:t xml:space="preserve">at </w:t>
      </w:r>
      <w:r w:rsidRPr="00730F74">
        <w:rPr>
          <w:position w:val="-6"/>
        </w:rPr>
        <w:object w:dxaOrig="180" w:dyaOrig="320">
          <v:shape id="_x0000_i1036" type="#_x0000_t75" style="width:9.65pt;height:15.6pt" o:ole="">
            <v:imagedata r:id="rId11" o:title=""/>
          </v:shape>
          <o:OLEObject Type="Embed" ProgID="Equation.3" ShapeID="_x0000_i1036" DrawAspect="Content" ObjectID="_1460191752" r:id="rId36"/>
        </w:object>
      </w:r>
      <w:r w:rsidRPr="00730F74">
        <w:rPr>
          <w:vertAlign w:val="subscript"/>
        </w:rPr>
        <w:t>L</w:t>
      </w:r>
      <w:r w:rsidRPr="00730F74">
        <w:rPr>
          <w:rFonts w:eastAsia="JansonText-Roman"/>
        </w:rPr>
        <w:t xml:space="preserve"> and at </w:t>
      </w:r>
      <w:r w:rsidR="00D354EE" w:rsidRPr="00730F74">
        <w:rPr>
          <w:rFonts w:eastAsia="JansonText-Roman"/>
        </w:rPr>
        <w:t>p</w:t>
      </w:r>
      <w:r w:rsidRPr="00730F74">
        <w:t>eak</w:t>
      </w:r>
      <w:r w:rsidRPr="00730F74">
        <w:rPr>
          <w:rFonts w:eastAsia="JansonText-Roman"/>
        </w:rPr>
        <w:t xml:space="preserve"> (ml</w:t>
      </w:r>
      <w:r w:rsidR="00D354EE" w:rsidRPr="00730F74">
        <w:rPr>
          <w:rFonts w:eastAsia="JansonText-Roman"/>
        </w:rPr>
        <w:t xml:space="preserve"> per </w:t>
      </w:r>
      <w:r w:rsidRPr="00730F74">
        <w:rPr>
          <w:rFonts w:eastAsia="JansonText-Roman"/>
        </w:rPr>
        <w:t>kg</w:t>
      </w:r>
      <w:r w:rsidR="00D354EE" w:rsidRPr="00730F74">
        <w:rPr>
          <w:rFonts w:eastAsia="JansonText-Roman"/>
        </w:rPr>
        <w:t xml:space="preserve"> per </w:t>
      </w:r>
      <w:r w:rsidRPr="00730F74">
        <w:rPr>
          <w:rFonts w:eastAsia="JansonText-Roman"/>
        </w:rPr>
        <w:t xml:space="preserve">min). Exploratory variables included </w:t>
      </w:r>
      <w:r w:rsidR="00D354EE" w:rsidRPr="00730F74">
        <w:rPr>
          <w:rFonts w:eastAsia="JansonText-Roman"/>
        </w:rPr>
        <w:t>oxygen p</w:t>
      </w:r>
      <w:r w:rsidRPr="00730F74">
        <w:t xml:space="preserve">ulse </w:t>
      </w:r>
      <w:r w:rsidRPr="00730F74">
        <w:rPr>
          <w:rFonts w:eastAsia="JansonText-Roman"/>
        </w:rPr>
        <w:t xml:space="preserve">at </w:t>
      </w:r>
      <w:r w:rsidRPr="00730F74">
        <w:rPr>
          <w:position w:val="-6"/>
        </w:rPr>
        <w:object w:dxaOrig="180" w:dyaOrig="320">
          <v:shape id="_x0000_i1037" type="#_x0000_t75" style="width:9.65pt;height:15.6pt" o:ole="">
            <v:imagedata r:id="rId11" o:title=""/>
          </v:shape>
          <o:OLEObject Type="Embed" ProgID="Equation.3" ShapeID="_x0000_i1037" DrawAspect="Content" ObjectID="_1460191753" r:id="rId37"/>
        </w:object>
      </w:r>
      <w:r w:rsidRPr="00730F74">
        <w:rPr>
          <w:vertAlign w:val="subscript"/>
        </w:rPr>
        <w:t xml:space="preserve">L </w:t>
      </w:r>
      <w:r w:rsidRPr="00730F74">
        <w:t>(ml</w:t>
      </w:r>
      <w:r w:rsidR="00D354EE" w:rsidRPr="00730F74">
        <w:t>/</w:t>
      </w:r>
      <w:r w:rsidRPr="00730F74">
        <w:t xml:space="preserve">beat), </w:t>
      </w:r>
      <w:r w:rsidR="00C4373E" w:rsidRPr="00730F74">
        <w:rPr>
          <w:position w:val="-6"/>
        </w:rPr>
        <w:object w:dxaOrig="220" w:dyaOrig="300">
          <v:shape id="_x0000_i1091" type="#_x0000_t75" style="width:8.6pt;height:16.1pt" o:ole="">
            <v:imagedata r:id="rId19" o:title=""/>
          </v:shape>
          <o:OLEObject Type="Embed" ProgID="Equation.3" ShapeID="_x0000_i1091" DrawAspect="Content" ObjectID="_1460191754" r:id="rId38"/>
        </w:object>
      </w:r>
      <w:r w:rsidR="00C4373E" w:rsidRPr="00730F74">
        <w:rPr>
          <w:vertAlign w:val="subscript"/>
        </w:rPr>
        <w:t>E</w:t>
      </w:r>
      <w:r w:rsidR="00C4373E" w:rsidRPr="00730F74">
        <w:t>/</w:t>
      </w:r>
      <w:r w:rsidR="00C4373E" w:rsidRPr="00730F74">
        <w:rPr>
          <w:position w:val="-6"/>
        </w:rPr>
        <w:object w:dxaOrig="220" w:dyaOrig="300">
          <v:shape id="_x0000_i1092" type="#_x0000_t75" style="width:8.6pt;height:16.1pt" o:ole="">
            <v:imagedata r:id="rId19" o:title=""/>
          </v:shape>
          <o:OLEObject Type="Embed" ProgID="Equation.3" ShapeID="_x0000_i1092" DrawAspect="Content" ObjectID="_1460191755" r:id="rId39"/>
        </w:object>
      </w:r>
      <w:r w:rsidR="00C4373E" w:rsidRPr="00730F74">
        <w:rPr>
          <w:smallCaps/>
        </w:rPr>
        <w:t>co</w:t>
      </w:r>
      <w:r w:rsidR="00C4373E" w:rsidRPr="00730F74">
        <w:rPr>
          <w:vertAlign w:val="subscript"/>
        </w:rPr>
        <w:t>2</w:t>
      </w:r>
      <w:r w:rsidR="00D354EE" w:rsidRPr="00730F74">
        <w:t xml:space="preserve"> </w:t>
      </w:r>
      <w:r w:rsidRPr="00730F74">
        <w:t xml:space="preserve">at </w:t>
      </w:r>
      <w:r w:rsidRPr="00730F74">
        <w:rPr>
          <w:position w:val="-6"/>
        </w:rPr>
        <w:object w:dxaOrig="180" w:dyaOrig="320">
          <v:shape id="_x0000_i1038" type="#_x0000_t75" style="width:9.65pt;height:15.6pt" o:ole="">
            <v:imagedata r:id="rId11" o:title=""/>
          </v:shape>
          <o:OLEObject Type="Embed" ProgID="Equation.3" ShapeID="_x0000_i1038" DrawAspect="Content" ObjectID="_1460191756" r:id="rId40"/>
        </w:object>
      </w:r>
      <w:r w:rsidR="00D354EE" w:rsidRPr="00730F74">
        <w:rPr>
          <w:vertAlign w:val="subscript"/>
        </w:rPr>
        <w:t>L</w:t>
      </w:r>
      <w:r w:rsidR="00D354EE" w:rsidRPr="00730F74">
        <w:t>,</w:t>
      </w:r>
      <w:r w:rsidR="00D354EE" w:rsidRPr="00730F74">
        <w:rPr>
          <w:vertAlign w:val="subscript"/>
        </w:rPr>
        <w:t xml:space="preserve"> </w:t>
      </w:r>
      <w:r w:rsidRPr="00730F74">
        <w:t xml:space="preserve">and </w:t>
      </w:r>
      <w:commentRangeStart w:id="9"/>
      <w:r w:rsidR="00D354EE" w:rsidRPr="00CA69B5">
        <w:rPr>
          <w:highlight w:val="yellow"/>
        </w:rPr>
        <w:t>w</w:t>
      </w:r>
      <w:r w:rsidRPr="00CA69B5">
        <w:rPr>
          <w:highlight w:val="yellow"/>
        </w:rPr>
        <w:t xml:space="preserve">ork rate at </w:t>
      </w:r>
      <w:r w:rsidRPr="00CA69B5">
        <w:rPr>
          <w:position w:val="-6"/>
          <w:highlight w:val="yellow"/>
        </w:rPr>
        <w:object w:dxaOrig="180" w:dyaOrig="320">
          <v:shape id="_x0000_i1039" type="#_x0000_t75" style="width:9.65pt;height:15.6pt" o:ole="">
            <v:imagedata r:id="rId11" o:title=""/>
          </v:shape>
          <o:OLEObject Type="Embed" ProgID="Equation.3" ShapeID="_x0000_i1039" DrawAspect="Content" ObjectID="_1460191757" r:id="rId41"/>
        </w:object>
      </w:r>
      <w:r w:rsidRPr="00CA69B5">
        <w:rPr>
          <w:highlight w:val="yellow"/>
          <w:vertAlign w:val="subscript"/>
        </w:rPr>
        <w:t>L</w:t>
      </w:r>
      <w:commentRangeEnd w:id="9"/>
      <w:r w:rsidR="00CA69B5">
        <w:rPr>
          <w:rStyle w:val="CommentReference"/>
          <w:vanish/>
          <w:lang/>
        </w:rPr>
        <w:commentReference w:id="9"/>
      </w:r>
      <w:r w:rsidR="003324E8" w:rsidRPr="00730F74">
        <w:rPr>
          <w:rFonts w:eastAsia="JansonText-Roman"/>
        </w:rPr>
        <w:t xml:space="preserve">. The </w:t>
      </w:r>
      <w:r w:rsidRPr="00730F74">
        <w:rPr>
          <w:rFonts w:eastAsia="JansonText-Roman"/>
        </w:rPr>
        <w:t xml:space="preserve">primary aim was to </w:t>
      </w:r>
      <w:r w:rsidRPr="00730F74">
        <w:t>establis</w:t>
      </w:r>
      <w:r w:rsidR="003324E8" w:rsidRPr="00730F74">
        <w:t>h the relationship between post</w:t>
      </w:r>
      <w:r w:rsidRPr="00730F74">
        <w:t xml:space="preserve">operative morbidity (assessed by </w:t>
      </w:r>
      <w:r w:rsidRPr="00CA69B5">
        <w:t xml:space="preserve">POMS </w:t>
      </w:r>
      <w:r w:rsidR="00CA69B5">
        <w:t>at</w:t>
      </w:r>
      <w:r w:rsidRPr="00730F74">
        <w:t xml:space="preserve"> day 5) and </w:t>
      </w:r>
      <w:r w:rsidR="00C4373E" w:rsidRPr="00730F74">
        <w:rPr>
          <w:position w:val="-6"/>
        </w:rPr>
        <w:object w:dxaOrig="220" w:dyaOrig="300">
          <v:shape id="_x0000_i1093" type="#_x0000_t75" style="width:8.6pt;height:16.1pt" o:ole="">
            <v:imagedata r:id="rId24" o:title=""/>
          </v:shape>
          <o:OLEObject Type="Embed" ProgID="Equation.3" ShapeID="_x0000_i1093" DrawAspect="Content" ObjectID="_1460191758" r:id="rId42"/>
        </w:object>
      </w:r>
      <w:r w:rsidR="00C4373E" w:rsidRPr="00730F74">
        <w:rPr>
          <w:smallCaps/>
        </w:rPr>
        <w:t>o</w:t>
      </w:r>
      <w:r w:rsidR="00C4373E" w:rsidRPr="00730F74">
        <w:rPr>
          <w:vertAlign w:val="subscript"/>
        </w:rPr>
        <w:t>2</w:t>
      </w:r>
      <w:r w:rsidR="003324E8" w:rsidRPr="00730F74">
        <w:t xml:space="preserve"> </w:t>
      </w:r>
      <w:r w:rsidRPr="00730F74">
        <w:t xml:space="preserve">at </w:t>
      </w:r>
      <w:r w:rsidRPr="00730F74">
        <w:rPr>
          <w:position w:val="-6"/>
        </w:rPr>
        <w:object w:dxaOrig="180" w:dyaOrig="320">
          <v:shape id="_x0000_i1040" type="#_x0000_t75" style="width:8.6pt;height:15.6pt" o:ole="">
            <v:imagedata r:id="rId11" o:title=""/>
          </v:shape>
          <o:OLEObject Type="Embed" ProgID="Equation.3" ShapeID="_x0000_i1040" DrawAspect="Content" ObjectID="_1460191759" r:id="rId43"/>
        </w:object>
      </w:r>
      <w:r w:rsidRPr="00730F74">
        <w:rPr>
          <w:vertAlign w:val="subscript"/>
        </w:rPr>
        <w:t>L</w:t>
      </w:r>
      <w:r w:rsidRPr="00730F74">
        <w:t>.</w:t>
      </w:r>
      <w:r w:rsidRPr="00730F74">
        <w:rPr>
          <w:rFonts w:eastAsia="JansonText-Roman"/>
        </w:rPr>
        <w:t xml:space="preserve"> </w:t>
      </w:r>
      <w:r w:rsidR="003324E8" w:rsidRPr="00730F74">
        <w:rPr>
          <w:rFonts w:eastAsia="JansonText-Roman"/>
        </w:rPr>
        <w:t>The study also aimed</w:t>
      </w:r>
      <w:r w:rsidRPr="00730F74">
        <w:rPr>
          <w:rFonts w:eastAsia="JansonText-Roman"/>
        </w:rPr>
        <w:t xml:space="preserve"> </w:t>
      </w:r>
      <w:r w:rsidR="00C4373E">
        <w:rPr>
          <w:rFonts w:eastAsia="JansonText-Roman"/>
        </w:rPr>
        <w:t xml:space="preserve">to </w:t>
      </w:r>
      <w:r w:rsidRPr="00730F74">
        <w:rPr>
          <w:rFonts w:eastAsia="JansonText-Roman"/>
        </w:rPr>
        <w:t xml:space="preserve">explore the </w:t>
      </w:r>
      <w:r w:rsidRPr="00730F74">
        <w:t>multivariable relationship between CPET variables and postoperative in-hospital morbidity.</w:t>
      </w:r>
    </w:p>
    <w:p w:rsidR="009937D1" w:rsidRPr="00730F74" w:rsidRDefault="003324E8" w:rsidP="009937D1">
      <w:pPr>
        <w:pStyle w:val="Heading2"/>
        <w:rPr>
          <w:i/>
        </w:rPr>
      </w:pPr>
      <w:r w:rsidRPr="00730F74">
        <w:rPr>
          <w:i/>
        </w:rPr>
        <w:t>+B: Statistical analysis</w:t>
      </w:r>
    </w:p>
    <w:p w:rsidR="009937D1" w:rsidRPr="00730F74" w:rsidRDefault="009937D1" w:rsidP="009937D1">
      <w:r w:rsidRPr="00730F74">
        <w:t>Non-parametric receiver operat</w:t>
      </w:r>
      <w:r w:rsidR="003324E8" w:rsidRPr="00730F74">
        <w:t>ing</w:t>
      </w:r>
      <w:r w:rsidRPr="00730F74">
        <w:t xml:space="preserve"> characteristic (ROC) curves were constructed for </w:t>
      </w:r>
      <w:r w:rsidR="00C4373E" w:rsidRPr="00730F74">
        <w:rPr>
          <w:position w:val="-6"/>
        </w:rPr>
        <w:object w:dxaOrig="220" w:dyaOrig="300">
          <v:shape id="_x0000_i1094" type="#_x0000_t75" style="width:8.6pt;height:16.1pt" o:ole="">
            <v:imagedata r:id="rId24" o:title=""/>
          </v:shape>
          <o:OLEObject Type="Embed" ProgID="Equation.3" ShapeID="_x0000_i1094" DrawAspect="Content" ObjectID="_1460191760" r:id="rId44"/>
        </w:object>
      </w:r>
      <w:r w:rsidR="00C4373E" w:rsidRPr="00730F74">
        <w:rPr>
          <w:smallCaps/>
        </w:rPr>
        <w:t>o</w:t>
      </w:r>
      <w:r w:rsidR="00C4373E" w:rsidRPr="00730F74">
        <w:rPr>
          <w:vertAlign w:val="subscript"/>
        </w:rPr>
        <w:t>2</w:t>
      </w:r>
      <w:r w:rsidR="003324E8" w:rsidRPr="00730F74">
        <w:t xml:space="preserve"> </w:t>
      </w:r>
      <w:r w:rsidRPr="00730F74">
        <w:t xml:space="preserve">at </w:t>
      </w:r>
      <w:r w:rsidRPr="00730F74">
        <w:rPr>
          <w:position w:val="-6"/>
        </w:rPr>
        <w:object w:dxaOrig="180" w:dyaOrig="320">
          <v:shape id="_x0000_i1041" type="#_x0000_t75" style="width:8.6pt;height:15.6pt" o:ole="">
            <v:imagedata r:id="rId11" o:title=""/>
          </v:shape>
          <o:OLEObject Type="Embed" ProgID="Equation.3" ShapeID="_x0000_i1041" DrawAspect="Content" ObjectID="_1460191761" r:id="rId45"/>
        </w:object>
      </w:r>
      <w:r w:rsidRPr="00730F74">
        <w:rPr>
          <w:vertAlign w:val="subscript"/>
        </w:rPr>
        <w:t>L</w:t>
      </w:r>
      <w:r w:rsidRPr="00730F74">
        <w:t xml:space="preserve"> and at </w:t>
      </w:r>
      <w:r w:rsidR="003324E8" w:rsidRPr="00730F74">
        <w:t>p</w:t>
      </w:r>
      <w:r w:rsidRPr="00730F74">
        <w:t>eak in order to assess their independent ability to discriminate between patients with and without in-hospital postoperative morbidity. Optimal cut-</w:t>
      </w:r>
      <w:r w:rsidR="003324E8" w:rsidRPr="00730F74">
        <w:t>off points were obtained by minimiz</w:t>
      </w:r>
      <w:r w:rsidRPr="00730F74">
        <w:t>ing the distance between points on the ROC curve and the upper left corner. Five variables (limited to satisfy the ‘10 events per variable’ rule</w:t>
      </w:r>
      <w:r w:rsidRPr="00730F74">
        <w:rPr>
          <w:vertAlign w:val="superscript"/>
        </w:rPr>
        <w:fldChar w:fldCharType="begin" w:fldLock="1"/>
      </w:r>
      <w:r w:rsidRPr="00730F74">
        <w:rPr>
          <w:vertAlign w:val="superscript"/>
        </w:rPr>
        <w:instrText>ADDIN CSL_CITATION { "citationItems" : [ { "id" : "ITEM-1", "itemData" : { "author" : [ { "dropping-particle" : "van", "family" : "Belle", "given" : "G", "non-dropping-particle" : "", "parse-names" : false, "suffix" : "" } ], "id" : "ITEM-1", "issue" : "1987", "issued" : { "date-parts" : [ [ "2008" ] ] }, "page" : "17-21", "title" : "Statistical Rules of Thumb, 2nd Edition", "type" : "book", "volume" : "I" }, "uris" : [ "http://www.mendeley.com/documents/?uuid=c527495d-f993-4cf5-9353-01bff8ef17cc" ] } ], "mendeley" : { "previouslyFormattedCitation" : "(23)" }, "properties" : { "noteIndex" : 0 }, "schema" : "https://github.com/citation-style-language/schema/raw/master/csl-citation.json" }</w:instrText>
      </w:r>
      <w:r w:rsidRPr="00730F74">
        <w:rPr>
          <w:vertAlign w:val="superscript"/>
        </w:rPr>
        <w:fldChar w:fldCharType="separate"/>
      </w:r>
      <w:r w:rsidRPr="00730F74">
        <w:rPr>
          <w:noProof/>
          <w:vertAlign w:val="superscript"/>
        </w:rPr>
        <w:t>23</w:t>
      </w:r>
      <w:r w:rsidRPr="00730F74">
        <w:rPr>
          <w:vertAlign w:val="superscript"/>
        </w:rPr>
        <w:fldChar w:fldCharType="end"/>
      </w:r>
      <w:r w:rsidRPr="00730F74">
        <w:t xml:space="preserve">) were identified as candidates for a multivariable logistic regression model: </w:t>
      </w:r>
      <w:r w:rsidR="003324E8" w:rsidRPr="00730F74">
        <w:rPr>
          <w:position w:val="-6"/>
        </w:rPr>
        <w:object w:dxaOrig="220" w:dyaOrig="300">
          <v:shape id="_x0000_i1042" type="#_x0000_t75" style="width:11.3pt;height:15.6pt" o:ole="">
            <v:imagedata r:id="rId24" o:title=""/>
          </v:shape>
          <o:OLEObject Type="Embed" ProgID="Equation.3" ShapeID="_x0000_i1042" DrawAspect="Content" ObjectID="_1460191762" r:id="rId46"/>
        </w:object>
      </w:r>
      <w:r w:rsidR="003324E8" w:rsidRPr="00730F74">
        <w:rPr>
          <w:smallCaps/>
        </w:rPr>
        <w:t>o</w:t>
      </w:r>
      <w:r w:rsidR="003324E8" w:rsidRPr="00730F74">
        <w:rPr>
          <w:vertAlign w:val="subscript"/>
        </w:rPr>
        <w:t>2</w:t>
      </w:r>
      <w:r w:rsidR="003324E8" w:rsidRPr="00730F74">
        <w:t xml:space="preserve"> </w:t>
      </w:r>
      <w:r w:rsidRPr="00730F74">
        <w:t xml:space="preserve">at </w:t>
      </w:r>
      <w:r w:rsidRPr="00730F74">
        <w:rPr>
          <w:position w:val="-6"/>
        </w:rPr>
        <w:object w:dxaOrig="180" w:dyaOrig="320">
          <v:shape id="_x0000_i1043" type="#_x0000_t75" style="width:8.6pt;height:15.6pt" o:ole="">
            <v:imagedata r:id="rId11" o:title=""/>
          </v:shape>
          <o:OLEObject Type="Embed" ProgID="Equation.3" ShapeID="_x0000_i1043" DrawAspect="Content" ObjectID="_1460191763" r:id="rId47"/>
        </w:object>
      </w:r>
      <w:r w:rsidRPr="00730F74">
        <w:rPr>
          <w:vertAlign w:val="subscript"/>
        </w:rPr>
        <w:t>L</w:t>
      </w:r>
      <w:r w:rsidRPr="00730F74">
        <w:t xml:space="preserve"> and at </w:t>
      </w:r>
      <w:r w:rsidR="003324E8" w:rsidRPr="00730F74">
        <w:t>p</w:t>
      </w:r>
      <w:r w:rsidRPr="00730F74">
        <w:t xml:space="preserve">eak, </w:t>
      </w:r>
      <w:r w:rsidR="003324E8" w:rsidRPr="00730F74">
        <w:t>sex</w:t>
      </w:r>
      <w:r w:rsidRPr="00730F74">
        <w:t>, operation type (laparoscopic</w:t>
      </w:r>
      <w:r w:rsidR="003324E8" w:rsidRPr="00730F74">
        <w:t xml:space="preserve"> or </w:t>
      </w:r>
      <w:r w:rsidRPr="00730F74">
        <w:t>open) and age. Model fit was assessed using the Hosmer and Lemeshow goodness-of-fit test</w:t>
      </w:r>
      <w:r w:rsidR="003324E8" w:rsidRPr="00730F74">
        <w:t>,</w:t>
      </w:r>
      <w:r w:rsidRPr="00730F74">
        <w:t xml:space="preserve"> and model selection was achieved using backward stepwise selection</w:t>
      </w:r>
      <w:r w:rsidR="003324E8" w:rsidRPr="00730F74">
        <w:t>,</w:t>
      </w:r>
      <w:r w:rsidRPr="00730F74">
        <w:t xml:space="preserve"> minimi</w:t>
      </w:r>
      <w:r w:rsidR="003324E8" w:rsidRPr="00730F74">
        <w:t>zing the Akaike i</w:t>
      </w:r>
      <w:r w:rsidRPr="00730F74">
        <w:t xml:space="preserve">nformation </w:t>
      </w:r>
      <w:r w:rsidR="003324E8" w:rsidRPr="00730F74">
        <w:t>c</w:t>
      </w:r>
      <w:r w:rsidRPr="00730F74">
        <w:t>riteri</w:t>
      </w:r>
      <w:r w:rsidR="003324E8" w:rsidRPr="00730F74">
        <w:t>on</w:t>
      </w:r>
      <w:r w:rsidRPr="00730F74">
        <w:t>.</w:t>
      </w:r>
    </w:p>
    <w:p w:rsidR="009937D1" w:rsidRPr="00730F74" w:rsidRDefault="009937D1" w:rsidP="003324E8">
      <w:pPr>
        <w:ind w:firstLine="540"/>
        <w:rPr>
          <w:highlight w:val="yellow"/>
        </w:rPr>
      </w:pPr>
      <w:r w:rsidRPr="00730F74">
        <w:rPr>
          <w:rStyle w:val="apple-style-span"/>
        </w:rPr>
        <w:lastRenderedPageBreak/>
        <w:t xml:space="preserve">The log rank test was used to compare </w:t>
      </w:r>
      <w:r w:rsidRPr="00730F74">
        <w:t>Kaplan</w:t>
      </w:r>
      <w:r w:rsidR="003324E8" w:rsidRPr="00730F74">
        <w:t>–</w:t>
      </w:r>
      <w:r w:rsidRPr="00730F74">
        <w:t xml:space="preserve">Meier </w:t>
      </w:r>
      <w:r w:rsidRPr="00730F74">
        <w:rPr>
          <w:rStyle w:val="apple-style-span"/>
        </w:rPr>
        <w:t>survival (length of stay) curves for patients with and</w:t>
      </w:r>
      <w:r w:rsidR="003324E8" w:rsidRPr="00730F74">
        <w:rPr>
          <w:rStyle w:val="apple-style-span"/>
        </w:rPr>
        <w:t xml:space="preserve"> those</w:t>
      </w:r>
      <w:r w:rsidRPr="00730F74">
        <w:rPr>
          <w:rStyle w:val="apple-style-span"/>
        </w:rPr>
        <w:t xml:space="preserve"> without postoperative morbidity.</w:t>
      </w:r>
      <w:r w:rsidRPr="00730F74">
        <w:t xml:space="preserve"> Continuous variables are reported as mean</w:t>
      </w:r>
      <w:r w:rsidR="00C4373E">
        <w:t xml:space="preserve"> </w:t>
      </w:r>
      <w:r w:rsidR="003324E8" w:rsidRPr="00730F74">
        <w:t>(</w:t>
      </w:r>
      <w:proofErr w:type="spellStart"/>
      <w:r w:rsidR="003324E8" w:rsidRPr="00730F74">
        <w:t>s.d</w:t>
      </w:r>
      <w:proofErr w:type="spellEnd"/>
      <w:r w:rsidR="003324E8" w:rsidRPr="00730F74">
        <w:t>.)</w:t>
      </w:r>
      <w:r w:rsidRPr="00730F74">
        <w:t xml:space="preserve"> or median </w:t>
      </w:r>
      <w:r w:rsidR="003324E8" w:rsidRPr="00730F74">
        <w:t>(i.q.r.),</w:t>
      </w:r>
      <w:r w:rsidRPr="00730F74">
        <w:t xml:space="preserve"> depending on their distribution. Categorical variables are presented as frequenc</w:t>
      </w:r>
      <w:r w:rsidR="003324E8" w:rsidRPr="00730F74">
        <w:t>ies</w:t>
      </w:r>
      <w:r w:rsidRPr="00730F74">
        <w:t xml:space="preserve"> </w:t>
      </w:r>
      <w:r w:rsidR="003324E8" w:rsidRPr="00730F74">
        <w:t xml:space="preserve">with </w:t>
      </w:r>
      <w:r w:rsidRPr="00730F74">
        <w:t>percentage</w:t>
      </w:r>
      <w:r w:rsidR="003324E8" w:rsidRPr="00730F74">
        <w:t>s</w:t>
      </w:r>
      <w:r w:rsidRPr="00730F74">
        <w:t>. Logistic regression was used to assess the relation</w:t>
      </w:r>
      <w:r w:rsidR="003324E8" w:rsidRPr="00730F74">
        <w:t xml:space="preserve">ship between variables and morbidity on </w:t>
      </w:r>
      <w:r w:rsidRPr="00730F74">
        <w:t>day 5</w:t>
      </w:r>
      <w:r w:rsidR="003324E8" w:rsidRPr="00730F74">
        <w:t xml:space="preserve"> after surgery</w:t>
      </w:r>
      <w:r w:rsidRPr="00730F74">
        <w:t>. Other categorical comparisons were conducted using</w:t>
      </w:r>
      <w:r w:rsidR="003324E8" w:rsidRPr="00730F74">
        <w:t xml:space="preserve"> the</w:t>
      </w:r>
      <w:r w:rsidRPr="00730F74">
        <w:t xml:space="preserve"> </w:t>
      </w:r>
      <w:r w:rsidR="003324E8" w:rsidRPr="00730F74">
        <w:t>χ</w:t>
      </w:r>
      <w:r w:rsidR="003324E8" w:rsidRPr="00730F74">
        <w:rPr>
          <w:vertAlign w:val="superscript"/>
        </w:rPr>
        <w:t>2</w:t>
      </w:r>
      <w:r w:rsidRPr="00730F74">
        <w:t xml:space="preserve"> </w:t>
      </w:r>
      <w:r w:rsidR="003324E8" w:rsidRPr="00730F74">
        <w:t xml:space="preserve">test, </w:t>
      </w:r>
      <w:r w:rsidRPr="00730F74">
        <w:t xml:space="preserve">or Fisher’s </w:t>
      </w:r>
      <w:r w:rsidR="003324E8" w:rsidRPr="00730F74">
        <w:t>e</w:t>
      </w:r>
      <w:r w:rsidRPr="00730F74">
        <w:t>xact test where expected cell counts were insufficient or in the presence of zero cells. Results were considered to be statistically significant at the 5</w:t>
      </w:r>
      <w:r w:rsidR="003324E8" w:rsidRPr="00730F74">
        <w:t xml:space="preserve"> per cent</w:t>
      </w:r>
      <w:r w:rsidRPr="00730F74">
        <w:t xml:space="preserve"> level; no corrections were made for multiple comparisons. All analyses were conducted using Stata</w:t>
      </w:r>
      <w:r w:rsidR="003324E8" w:rsidRPr="00730F74">
        <w:rPr>
          <w:vertAlign w:val="superscript"/>
        </w:rPr>
        <w:t>®</w:t>
      </w:r>
      <w:r w:rsidRPr="00730F74">
        <w:t xml:space="preserve"> </w:t>
      </w:r>
      <w:r w:rsidR="003324E8" w:rsidRPr="00730F74">
        <w:t xml:space="preserve">release 12 </w:t>
      </w:r>
      <w:r w:rsidRPr="00730F74">
        <w:t>(</w:t>
      </w:r>
      <w:r w:rsidRPr="00730F74">
        <w:rPr>
          <w:shd w:val="clear" w:color="auto" w:fill="FFFFFF"/>
        </w:rPr>
        <w:t>StataCorp</w:t>
      </w:r>
      <w:r w:rsidR="003324E8" w:rsidRPr="00730F74">
        <w:rPr>
          <w:shd w:val="clear" w:color="auto" w:fill="FFFFFF"/>
        </w:rPr>
        <w:t xml:space="preserve"> LP, </w:t>
      </w:r>
      <w:r w:rsidRPr="00730F74">
        <w:rPr>
          <w:shd w:val="clear" w:color="auto" w:fill="FFFFFF"/>
        </w:rPr>
        <w:t>College Station, T</w:t>
      </w:r>
      <w:r w:rsidR="003324E8" w:rsidRPr="00730F74">
        <w:rPr>
          <w:shd w:val="clear" w:color="auto" w:fill="FFFFFF"/>
        </w:rPr>
        <w:t>exas, USA</w:t>
      </w:r>
      <w:r w:rsidRPr="00730F74">
        <w:rPr>
          <w:shd w:val="clear" w:color="auto" w:fill="FFFFFF"/>
        </w:rPr>
        <w:t>)</w:t>
      </w:r>
      <w:r w:rsidRPr="00730F74">
        <w:t>.</w:t>
      </w:r>
    </w:p>
    <w:p w:rsidR="009937D1" w:rsidRPr="00730F74" w:rsidRDefault="003324E8" w:rsidP="009937D1">
      <w:pPr>
        <w:rPr>
          <w:b/>
        </w:rPr>
      </w:pPr>
      <w:r w:rsidRPr="00730F74">
        <w:rPr>
          <w:b/>
        </w:rPr>
        <w:t xml:space="preserve">+A: </w:t>
      </w:r>
      <w:r w:rsidR="009937D1" w:rsidRPr="00730F74">
        <w:rPr>
          <w:b/>
        </w:rPr>
        <w:t>Results</w:t>
      </w:r>
    </w:p>
    <w:p w:rsidR="009937D1" w:rsidRPr="00730F74" w:rsidRDefault="009937D1" w:rsidP="009937D1">
      <w:r w:rsidRPr="00730F74">
        <w:t xml:space="preserve">One hundred and five consecutive patients were </w:t>
      </w:r>
      <w:r w:rsidRPr="00730F74">
        <w:rPr>
          <w:u w:color="0000FF"/>
        </w:rPr>
        <w:t>recruited and underwent CPET. Of these</w:t>
      </w:r>
      <w:r w:rsidR="00C97660" w:rsidRPr="00730F74">
        <w:rPr>
          <w:u w:color="0000FF"/>
        </w:rPr>
        <w:t>, ten</w:t>
      </w:r>
      <w:r w:rsidRPr="00730F74">
        <w:t xml:space="preserve"> had no surg</w:t>
      </w:r>
      <w:r w:rsidR="00C97660" w:rsidRPr="00730F74">
        <w:t>ery (</w:t>
      </w:r>
      <w:r w:rsidRPr="00730F74">
        <w:t>patient choice,</w:t>
      </w:r>
      <w:r w:rsidR="00C97660" w:rsidRPr="00730F74">
        <w:t xml:space="preserve"> 3; un</w:t>
      </w:r>
      <w:r w:rsidRPr="00730F74">
        <w:t>resectable metastasis on restaging</w:t>
      </w:r>
      <w:r w:rsidR="00C97660" w:rsidRPr="00730F74">
        <w:t>, 7</w:t>
      </w:r>
      <w:r w:rsidRPr="00730F74">
        <w:t>). Thus, 95 patients (72 m</w:t>
      </w:r>
      <w:r w:rsidR="00C97660" w:rsidRPr="00730F74">
        <w:t>en</w:t>
      </w:r>
      <w:r w:rsidRPr="00730F74">
        <w:t xml:space="preserve"> and 23 </w:t>
      </w:r>
      <w:r w:rsidR="00C97660" w:rsidRPr="00730F74">
        <w:t>women</w:t>
      </w:r>
      <w:r w:rsidRPr="00730F74">
        <w:t xml:space="preserve">) </w:t>
      </w:r>
      <w:r w:rsidR="00C97660" w:rsidRPr="00730F74">
        <w:t>had</w:t>
      </w:r>
      <w:r w:rsidRPr="00730F74">
        <w:t xml:space="preserve"> major elective surgery and </w:t>
      </w:r>
      <w:r w:rsidR="00C97660" w:rsidRPr="00730F74">
        <w:t>complete outcome data.</w:t>
      </w:r>
    </w:p>
    <w:p w:rsidR="009937D1" w:rsidRPr="00730F74" w:rsidRDefault="00C97660" w:rsidP="009937D1">
      <w:pPr>
        <w:rPr>
          <w:i/>
        </w:rPr>
      </w:pPr>
      <w:r w:rsidRPr="00730F74">
        <w:rPr>
          <w:i/>
        </w:rPr>
        <w:t xml:space="preserve">+B: </w:t>
      </w:r>
      <w:r w:rsidR="009937D1" w:rsidRPr="00730F74">
        <w:rPr>
          <w:i/>
        </w:rPr>
        <w:t xml:space="preserve">Patient </w:t>
      </w:r>
      <w:r w:rsidRPr="00730F74">
        <w:rPr>
          <w:i/>
        </w:rPr>
        <w:t>c</w:t>
      </w:r>
      <w:r w:rsidR="009937D1" w:rsidRPr="00730F74">
        <w:rPr>
          <w:i/>
        </w:rPr>
        <w:t>haracteristics</w:t>
      </w:r>
    </w:p>
    <w:p w:rsidR="009937D1" w:rsidRPr="00730F74" w:rsidRDefault="009937D1" w:rsidP="009937D1">
      <w:r w:rsidRPr="00730F74">
        <w:rPr>
          <w:i/>
        </w:rPr>
        <w:t>Table</w:t>
      </w:r>
      <w:r w:rsidR="00C97660" w:rsidRPr="00730F74">
        <w:rPr>
          <w:i/>
        </w:rPr>
        <w:t> </w:t>
      </w:r>
      <w:r w:rsidRPr="00730F74">
        <w:rPr>
          <w:i/>
        </w:rPr>
        <w:t>1</w:t>
      </w:r>
      <w:r w:rsidRPr="00730F74">
        <w:t xml:space="preserve"> </w:t>
      </w:r>
      <w:proofErr w:type="gramStart"/>
      <w:r w:rsidRPr="00730F74">
        <w:t>shows</w:t>
      </w:r>
      <w:proofErr w:type="gramEnd"/>
      <w:r w:rsidRPr="00730F74">
        <w:t xml:space="preserve"> patients grouped by occurrence of in-hospital postoperat</w:t>
      </w:r>
      <w:r w:rsidR="00C97660" w:rsidRPr="00730F74">
        <w:t xml:space="preserve">ive morbidity (defined as POMS </w:t>
      </w:r>
      <w:r w:rsidR="00B659FF">
        <w:t xml:space="preserve">score at </w:t>
      </w:r>
      <w:r w:rsidR="00973BA5" w:rsidRPr="00730F74">
        <w:t xml:space="preserve">day 5 </w:t>
      </w:r>
      <w:r w:rsidR="00C97660" w:rsidRPr="00730F74">
        <w:t xml:space="preserve">of </w:t>
      </w:r>
      <w:r w:rsidRPr="00730F74">
        <w:t>1</w:t>
      </w:r>
      <w:r w:rsidR="00C97660" w:rsidRPr="00730F74">
        <w:t xml:space="preserve"> or above</w:t>
      </w:r>
      <w:r w:rsidRPr="00730F74">
        <w:t xml:space="preserve">). Three patients developed </w:t>
      </w:r>
      <w:r w:rsidR="00C97660" w:rsidRPr="00730F74">
        <w:t xml:space="preserve">a </w:t>
      </w:r>
      <w:r w:rsidRPr="00730F74">
        <w:t>supraventricular tachycardia at peak exercise, which resolved spontaneously during recovery; after discussion at</w:t>
      </w:r>
      <w:r w:rsidR="00C97660" w:rsidRPr="00730F74">
        <w:t xml:space="preserve"> a</w:t>
      </w:r>
      <w:r w:rsidRPr="00730F74">
        <w:t xml:space="preserve"> MDT </w:t>
      </w:r>
      <w:r w:rsidR="00C97660" w:rsidRPr="00730F74">
        <w:t xml:space="preserve">meeting </w:t>
      </w:r>
      <w:r w:rsidRPr="00730F74">
        <w:t>and referral to a cardiologist, surgery proceeded as normal.</w:t>
      </w:r>
      <w:r w:rsidR="00CE5AC0" w:rsidRPr="00730F74">
        <w:t xml:space="preserve"> </w:t>
      </w:r>
      <w:r w:rsidRPr="00730F74">
        <w:t xml:space="preserve">Increased </w:t>
      </w:r>
      <w:r w:rsidR="00C97660" w:rsidRPr="00730F74">
        <w:t xml:space="preserve">body mass index </w:t>
      </w:r>
      <w:r w:rsidRPr="00730F74">
        <w:t>and a preoperative diagnosis of heart failure were associated with increased</w:t>
      </w:r>
      <w:r w:rsidR="00C97660" w:rsidRPr="00730F74">
        <w:t xml:space="preserve"> odds of in-hospital morbidity.</w:t>
      </w:r>
    </w:p>
    <w:p w:rsidR="00EE67A8" w:rsidRPr="00730F74" w:rsidRDefault="009937D1" w:rsidP="00EE67A8">
      <w:pPr>
        <w:ind w:firstLine="540"/>
      </w:pPr>
      <w:r w:rsidRPr="00730F74">
        <w:rPr>
          <w:i/>
        </w:rPr>
        <w:lastRenderedPageBreak/>
        <w:t>Table</w:t>
      </w:r>
      <w:r w:rsidR="00EE67A8" w:rsidRPr="00730F74">
        <w:rPr>
          <w:i/>
        </w:rPr>
        <w:t> </w:t>
      </w:r>
      <w:r w:rsidRPr="00730F74">
        <w:rPr>
          <w:i/>
        </w:rPr>
        <w:t>2</w:t>
      </w:r>
      <w:r w:rsidRPr="00730F74">
        <w:t xml:space="preserve"> shows tumour characteristics</w:t>
      </w:r>
      <w:r w:rsidR="00CE5AC0" w:rsidRPr="00730F74">
        <w:t xml:space="preserve"> </w:t>
      </w:r>
      <w:r w:rsidRPr="00730F74">
        <w:t xml:space="preserve">and oncological treatment received. There was no difference in oncological treatment, clinical or pathological staging between patients with and </w:t>
      </w:r>
      <w:r w:rsidR="00EE67A8" w:rsidRPr="00730F74">
        <w:t xml:space="preserve">those </w:t>
      </w:r>
      <w:r w:rsidRPr="00730F74">
        <w:t>without post</w:t>
      </w:r>
      <w:r w:rsidR="00EE67A8" w:rsidRPr="00730F74">
        <w:t>operative morbidity.</w:t>
      </w:r>
    </w:p>
    <w:p w:rsidR="009937D1" w:rsidRPr="00730F74" w:rsidRDefault="009937D1" w:rsidP="00EE67A8">
      <w:pPr>
        <w:ind w:firstLine="540"/>
      </w:pPr>
      <w:r w:rsidRPr="00730F74">
        <w:rPr>
          <w:i/>
        </w:rPr>
        <w:t>Table</w:t>
      </w:r>
      <w:r w:rsidR="00EE67A8" w:rsidRPr="00730F74">
        <w:rPr>
          <w:i/>
        </w:rPr>
        <w:t> </w:t>
      </w:r>
      <w:r w:rsidRPr="00730F74">
        <w:rPr>
          <w:i/>
        </w:rPr>
        <w:t>3</w:t>
      </w:r>
      <w:r w:rsidRPr="00730F74">
        <w:t xml:space="preserve"> shows grouped CPET data. Lower </w:t>
      </w:r>
      <w:r w:rsidR="00737D7B" w:rsidRPr="00730F74">
        <w:rPr>
          <w:position w:val="-6"/>
        </w:rPr>
        <w:object w:dxaOrig="220" w:dyaOrig="300">
          <v:shape id="_x0000_i1095" type="#_x0000_t75" style="width:8.6pt;height:16.1pt" o:ole="">
            <v:imagedata r:id="rId24" o:title=""/>
          </v:shape>
          <o:OLEObject Type="Embed" ProgID="Equation.3" ShapeID="_x0000_i1095" DrawAspect="Content" ObjectID="_1460191764" r:id="rId48"/>
        </w:object>
      </w:r>
      <w:r w:rsidR="00737D7B" w:rsidRPr="00730F74">
        <w:rPr>
          <w:smallCaps/>
        </w:rPr>
        <w:t>o</w:t>
      </w:r>
      <w:r w:rsidR="00737D7B" w:rsidRPr="00730F74">
        <w:rPr>
          <w:vertAlign w:val="subscript"/>
        </w:rPr>
        <w:t>2</w:t>
      </w:r>
      <w:r w:rsidR="00EE67A8" w:rsidRPr="00730F74">
        <w:t xml:space="preserve"> </w:t>
      </w:r>
      <w:r w:rsidRPr="00730F74">
        <w:t xml:space="preserve">at </w:t>
      </w:r>
      <w:r w:rsidR="00EE67A8" w:rsidRPr="00730F74">
        <w:rPr>
          <w:position w:val="-6"/>
        </w:rPr>
        <w:object w:dxaOrig="180" w:dyaOrig="320">
          <v:shape id="_x0000_i1044" type="#_x0000_t75" style="width:8.05pt;height:15.05pt" o:ole="">
            <v:imagedata r:id="rId49" o:title=""/>
          </v:shape>
          <o:OLEObject Type="Embed" ProgID="Equation.3" ShapeID="_x0000_i1044" DrawAspect="Content" ObjectID="_1460191765" r:id="rId50"/>
        </w:object>
      </w:r>
      <w:r w:rsidR="00EE67A8" w:rsidRPr="00730F74">
        <w:rPr>
          <w:vertAlign w:val="subscript"/>
        </w:rPr>
        <w:t>L</w:t>
      </w:r>
      <w:r w:rsidR="00EE67A8" w:rsidRPr="00730F74">
        <w:t xml:space="preserve">, peak </w:t>
      </w:r>
      <w:r w:rsidR="00737D7B" w:rsidRPr="00730F74">
        <w:rPr>
          <w:position w:val="-6"/>
        </w:rPr>
        <w:object w:dxaOrig="220" w:dyaOrig="300">
          <v:shape id="_x0000_i1096" type="#_x0000_t75" style="width:8.6pt;height:16.1pt" o:ole="">
            <v:imagedata r:id="rId24" o:title=""/>
          </v:shape>
          <o:OLEObject Type="Embed" ProgID="Equation.3" ShapeID="_x0000_i1096" DrawAspect="Content" ObjectID="_1460191766" r:id="rId51"/>
        </w:object>
      </w:r>
      <w:r w:rsidR="00737D7B" w:rsidRPr="00730F74">
        <w:rPr>
          <w:smallCaps/>
        </w:rPr>
        <w:t>o</w:t>
      </w:r>
      <w:r w:rsidR="00737D7B" w:rsidRPr="00730F74">
        <w:rPr>
          <w:vertAlign w:val="subscript"/>
        </w:rPr>
        <w:t>2</w:t>
      </w:r>
      <w:r w:rsidRPr="00730F74">
        <w:t xml:space="preserve">, </w:t>
      </w:r>
      <w:r w:rsidR="00EE67A8" w:rsidRPr="00730F74">
        <w:t>w</w:t>
      </w:r>
      <w:r w:rsidRPr="00730F74">
        <w:t xml:space="preserve">ork rate at </w:t>
      </w:r>
      <w:r w:rsidR="00EE67A8" w:rsidRPr="00730F74">
        <w:rPr>
          <w:position w:val="-6"/>
        </w:rPr>
        <w:object w:dxaOrig="180" w:dyaOrig="320">
          <v:shape id="_x0000_i1045" type="#_x0000_t75" style="width:8.05pt;height:15.05pt" o:ole="">
            <v:imagedata r:id="rId49" o:title=""/>
          </v:shape>
          <o:OLEObject Type="Embed" ProgID="Equation.3" ShapeID="_x0000_i1045" DrawAspect="Content" ObjectID="_1460191767" r:id="rId52"/>
        </w:object>
      </w:r>
      <w:r w:rsidR="00EE67A8" w:rsidRPr="00730F74">
        <w:rPr>
          <w:vertAlign w:val="subscript"/>
        </w:rPr>
        <w:t>L</w:t>
      </w:r>
      <w:r w:rsidR="00EE67A8" w:rsidRPr="00730F74">
        <w:t xml:space="preserve"> </w:t>
      </w:r>
      <w:r w:rsidRPr="00730F74">
        <w:t xml:space="preserve">and </w:t>
      </w:r>
      <w:r w:rsidR="00EE67A8" w:rsidRPr="00730F74">
        <w:t>o</w:t>
      </w:r>
      <w:r w:rsidRPr="00730F74">
        <w:t xml:space="preserve">xygen pulse at </w:t>
      </w:r>
      <w:r w:rsidR="00EE67A8" w:rsidRPr="00730F74">
        <w:rPr>
          <w:position w:val="-6"/>
        </w:rPr>
        <w:object w:dxaOrig="180" w:dyaOrig="320">
          <v:shape id="_x0000_i1046" type="#_x0000_t75" style="width:8.05pt;height:15.05pt" o:ole="">
            <v:imagedata r:id="rId49" o:title=""/>
          </v:shape>
          <o:OLEObject Type="Embed" ProgID="Equation.3" ShapeID="_x0000_i1046" DrawAspect="Content" ObjectID="_1460191768" r:id="rId53"/>
        </w:object>
      </w:r>
      <w:r w:rsidR="00EE67A8" w:rsidRPr="00730F74">
        <w:rPr>
          <w:vertAlign w:val="subscript"/>
        </w:rPr>
        <w:t>L</w:t>
      </w:r>
      <w:r w:rsidR="00EE67A8" w:rsidRPr="00730F74">
        <w:t xml:space="preserve"> </w:t>
      </w:r>
      <w:r w:rsidRPr="00730F74">
        <w:t xml:space="preserve">were independently associated with increased odds of in-hospital morbidity. No major adverse clinical events occurred during CPET. </w:t>
      </w:r>
      <w:r w:rsidR="00EE67A8" w:rsidRPr="00730F74">
        <w:t>Three</w:t>
      </w:r>
      <w:r w:rsidRPr="00730F74">
        <w:t xml:space="preserve"> patients who were unable to attain </w:t>
      </w:r>
      <w:r w:rsidR="00EE67A8" w:rsidRPr="00730F74">
        <w:rPr>
          <w:position w:val="-6"/>
        </w:rPr>
        <w:object w:dxaOrig="180" w:dyaOrig="320">
          <v:shape id="_x0000_i1047" type="#_x0000_t75" style="width:8.05pt;height:15.05pt" o:ole="">
            <v:imagedata r:id="rId49" o:title=""/>
          </v:shape>
          <o:OLEObject Type="Embed" ProgID="Equation.3" ShapeID="_x0000_i1047" DrawAspect="Content" ObjectID="_1460191769" r:id="rId54"/>
        </w:object>
      </w:r>
      <w:r w:rsidR="00EE67A8" w:rsidRPr="00730F74">
        <w:rPr>
          <w:vertAlign w:val="subscript"/>
        </w:rPr>
        <w:t>L</w:t>
      </w:r>
      <w:r w:rsidR="00EE67A8" w:rsidRPr="00730F74">
        <w:t xml:space="preserve"> </w:t>
      </w:r>
      <w:r w:rsidRPr="00730F74">
        <w:t>sustained morbidity and the</w:t>
      </w:r>
      <w:r w:rsidR="00EE67A8" w:rsidRPr="00730F74">
        <w:t>ir discharge was delayed.</w:t>
      </w:r>
    </w:p>
    <w:p w:rsidR="009937D1" w:rsidRPr="00730F74" w:rsidRDefault="00EE67A8" w:rsidP="009937D1">
      <w:pPr>
        <w:rPr>
          <w:i/>
        </w:rPr>
      </w:pPr>
      <w:r w:rsidRPr="00730F74">
        <w:rPr>
          <w:i/>
        </w:rPr>
        <w:t xml:space="preserve">+B: </w:t>
      </w:r>
      <w:r w:rsidR="009937D1" w:rsidRPr="00730F74">
        <w:rPr>
          <w:i/>
        </w:rPr>
        <w:t xml:space="preserve">Postoperative </w:t>
      </w:r>
      <w:r w:rsidRPr="00730F74">
        <w:rPr>
          <w:i/>
        </w:rPr>
        <w:t>m</w:t>
      </w:r>
      <w:r w:rsidR="009937D1" w:rsidRPr="00730F74">
        <w:rPr>
          <w:i/>
        </w:rPr>
        <w:t>orbidity</w:t>
      </w:r>
    </w:p>
    <w:p w:rsidR="009937D1" w:rsidRPr="00730F74" w:rsidRDefault="009937D1" w:rsidP="009937D1">
      <w:r w:rsidRPr="00730F74">
        <w:t>Forty-six patients (48</w:t>
      </w:r>
      <w:r w:rsidR="00EE67A8" w:rsidRPr="00730F74">
        <w:t xml:space="preserve"> per cent</w:t>
      </w:r>
      <w:r w:rsidRPr="00730F74">
        <w:t xml:space="preserve">) </w:t>
      </w:r>
      <w:r w:rsidR="00CB19AF">
        <w:t>experienced</w:t>
      </w:r>
      <w:r w:rsidRPr="00730F74">
        <w:t xml:space="preserve"> in-hospital morbidity. All patients were </w:t>
      </w:r>
      <w:proofErr w:type="gramStart"/>
      <w:r w:rsidRPr="00730F74">
        <w:t>alive</w:t>
      </w:r>
      <w:proofErr w:type="gramEnd"/>
      <w:r w:rsidRPr="00730F74">
        <w:t xml:space="preserve"> 30</w:t>
      </w:r>
      <w:r w:rsidR="00EE67A8" w:rsidRPr="00730F74">
        <w:t> </w:t>
      </w:r>
      <w:r w:rsidRPr="00730F74">
        <w:t>days after surgery. Five patients (5</w:t>
      </w:r>
      <w:r w:rsidR="00EE67A8" w:rsidRPr="00730F74">
        <w:t xml:space="preserve"> per cent</w:t>
      </w:r>
      <w:r w:rsidRPr="00730F74">
        <w:t xml:space="preserve">) </w:t>
      </w:r>
      <w:r w:rsidR="00EE67A8" w:rsidRPr="00730F74">
        <w:t>developed</w:t>
      </w:r>
      <w:r w:rsidRPr="00730F74">
        <w:t xml:space="preserve"> an anastomotic leak at a median of 6</w:t>
      </w:r>
      <w:r w:rsidR="00EE67A8" w:rsidRPr="00730F74">
        <w:t> </w:t>
      </w:r>
      <w:r w:rsidRPr="00730F74">
        <w:t xml:space="preserve">days (all </w:t>
      </w:r>
      <w:r w:rsidR="00EE67A8" w:rsidRPr="00730F74">
        <w:t>following</w:t>
      </w:r>
      <w:r w:rsidRPr="00730F74">
        <w:t xml:space="preserve"> low anterior resections)</w:t>
      </w:r>
      <w:r w:rsidR="00EE67A8" w:rsidRPr="00730F74">
        <w:t>; four</w:t>
      </w:r>
      <w:r w:rsidRPr="00730F74">
        <w:t xml:space="preserve"> of these patients </w:t>
      </w:r>
      <w:r w:rsidR="00EE67A8" w:rsidRPr="00730F74">
        <w:t xml:space="preserve">had </w:t>
      </w:r>
      <w:r w:rsidRPr="00730F74">
        <w:t>reoperat</w:t>
      </w:r>
      <w:r w:rsidR="00EE67A8" w:rsidRPr="00730F74">
        <w:t>ion and one</w:t>
      </w:r>
      <w:r w:rsidRPr="00730F74">
        <w:t xml:space="preserve"> was treated conservatively with radiologically</w:t>
      </w:r>
      <w:r w:rsidR="00EE67A8" w:rsidRPr="00730F74">
        <w:t xml:space="preserve"> </w:t>
      </w:r>
      <w:r w:rsidRPr="00730F74">
        <w:t xml:space="preserve">inserted drains and intravenous antibiotics. A further </w:t>
      </w:r>
      <w:r w:rsidR="00EE67A8" w:rsidRPr="00730F74">
        <w:t>two</w:t>
      </w:r>
      <w:r w:rsidRPr="00730F74">
        <w:t xml:space="preserve"> patients were reoperated</w:t>
      </w:r>
      <w:r w:rsidR="00EE67A8" w:rsidRPr="00730F74">
        <w:t xml:space="preserve"> on</w:t>
      </w:r>
      <w:r w:rsidRPr="00730F74">
        <w:t xml:space="preserve"> at a median of 5</w:t>
      </w:r>
      <w:r w:rsidR="00EE67A8" w:rsidRPr="00730F74">
        <w:t> </w:t>
      </w:r>
      <w:r w:rsidRPr="00730F74">
        <w:t xml:space="preserve">days (1 patient suffered intestinal obstruction and another developed a pelvic collection). All of these patients </w:t>
      </w:r>
      <w:r w:rsidR="00EE67A8" w:rsidRPr="00730F74">
        <w:t>experienced</w:t>
      </w:r>
      <w:r w:rsidRPr="00730F74">
        <w:t xml:space="preserve"> further morbidity </w:t>
      </w:r>
      <w:r w:rsidR="00EE67A8" w:rsidRPr="00730F74">
        <w:t>with delayed</w:t>
      </w:r>
      <w:r w:rsidRPr="00730F74">
        <w:t xml:space="preserve"> </w:t>
      </w:r>
      <w:r w:rsidR="00EE67A8" w:rsidRPr="00730F74">
        <w:t>hospital discharge.</w:t>
      </w:r>
    </w:p>
    <w:p w:rsidR="009937D1" w:rsidRPr="00730F74" w:rsidRDefault="009937D1" w:rsidP="00EE67A8">
      <w:pPr>
        <w:ind w:firstLine="540"/>
      </w:pPr>
      <w:r w:rsidRPr="00730F74">
        <w:t xml:space="preserve">Using non-parametric ROC curves, </w:t>
      </w:r>
      <w:r w:rsidR="00737D7B" w:rsidRPr="00730F74">
        <w:rPr>
          <w:position w:val="-6"/>
        </w:rPr>
        <w:object w:dxaOrig="220" w:dyaOrig="300">
          <v:shape id="_x0000_i1097" type="#_x0000_t75" style="width:8.6pt;height:16.1pt" o:ole="">
            <v:imagedata r:id="rId24" o:title=""/>
          </v:shape>
          <o:OLEObject Type="Embed" ProgID="Equation.3" ShapeID="_x0000_i1097" DrawAspect="Content" ObjectID="_1460191770" r:id="rId55"/>
        </w:object>
      </w:r>
      <w:r w:rsidR="00737D7B" w:rsidRPr="00730F74">
        <w:rPr>
          <w:smallCaps/>
        </w:rPr>
        <w:t>o</w:t>
      </w:r>
      <w:r w:rsidR="00737D7B" w:rsidRPr="00730F74">
        <w:rPr>
          <w:vertAlign w:val="subscript"/>
        </w:rPr>
        <w:t>2</w:t>
      </w:r>
      <w:r w:rsidR="00EE67A8" w:rsidRPr="00730F74">
        <w:t xml:space="preserve"> </w:t>
      </w:r>
      <w:r w:rsidRPr="00730F74">
        <w:t xml:space="preserve">at </w:t>
      </w:r>
      <w:r w:rsidR="00EE67A8" w:rsidRPr="00730F74">
        <w:t xml:space="preserve">both </w:t>
      </w:r>
      <w:r w:rsidR="00EE67A8" w:rsidRPr="00730F74">
        <w:rPr>
          <w:position w:val="-6"/>
        </w:rPr>
        <w:object w:dxaOrig="180" w:dyaOrig="320">
          <v:shape id="_x0000_i1048" type="#_x0000_t75" style="width:8.05pt;height:15.05pt" o:ole="">
            <v:imagedata r:id="rId49" o:title=""/>
          </v:shape>
          <o:OLEObject Type="Embed" ProgID="Equation.3" ShapeID="_x0000_i1048" DrawAspect="Content" ObjectID="_1460191771" r:id="rId56"/>
        </w:object>
      </w:r>
      <w:r w:rsidR="00EE67A8" w:rsidRPr="00730F74">
        <w:rPr>
          <w:vertAlign w:val="subscript"/>
        </w:rPr>
        <w:t>L</w:t>
      </w:r>
      <w:r w:rsidR="00EE67A8" w:rsidRPr="00730F74">
        <w:t xml:space="preserve"> </w:t>
      </w:r>
      <w:r w:rsidRPr="00730F74">
        <w:t xml:space="preserve">and </w:t>
      </w:r>
      <w:r w:rsidR="00EE67A8" w:rsidRPr="00730F74">
        <w:t>p</w:t>
      </w:r>
      <w:r w:rsidRPr="00730F74">
        <w:t xml:space="preserve">eak </w:t>
      </w:r>
      <w:r w:rsidRPr="00730F74">
        <w:rPr>
          <w:rFonts w:eastAsia="JansonText-Roman"/>
        </w:rPr>
        <w:t>w</w:t>
      </w:r>
      <w:r w:rsidR="00EE67A8" w:rsidRPr="00730F74">
        <w:rPr>
          <w:rFonts w:eastAsia="JansonText-Roman"/>
        </w:rPr>
        <w:t>as</w:t>
      </w:r>
      <w:r w:rsidRPr="00730F74">
        <w:rPr>
          <w:rFonts w:eastAsia="JansonText-Roman"/>
        </w:rPr>
        <w:t xml:space="preserve"> associated with POMS day </w:t>
      </w:r>
      <w:proofErr w:type="gramStart"/>
      <w:r w:rsidRPr="00730F74">
        <w:rPr>
          <w:rFonts w:eastAsia="JansonText-Roman"/>
        </w:rPr>
        <w:t>5 morbidity (</w:t>
      </w:r>
      <w:r w:rsidR="00EE67A8" w:rsidRPr="00730F74">
        <w:rPr>
          <w:rFonts w:eastAsia="JansonText-Roman"/>
          <w:i/>
        </w:rPr>
        <w:t>P </w:t>
      </w:r>
      <w:r w:rsidRPr="00730F74">
        <w:rPr>
          <w:rFonts w:eastAsia="JansonText-Roman"/>
        </w:rPr>
        <w:t>&lt;</w:t>
      </w:r>
      <w:r w:rsidR="00EE67A8" w:rsidRPr="00730F74">
        <w:rPr>
          <w:rFonts w:eastAsia="JansonText-Roman"/>
        </w:rPr>
        <w:t> </w:t>
      </w:r>
      <w:r w:rsidRPr="00730F74">
        <w:rPr>
          <w:rFonts w:eastAsia="JansonText-Roman"/>
        </w:rPr>
        <w:t>0.001)</w:t>
      </w:r>
      <w:proofErr w:type="gramEnd"/>
      <w:r w:rsidRPr="00730F74">
        <w:rPr>
          <w:rFonts w:eastAsia="JansonText-Roman"/>
        </w:rPr>
        <w:t xml:space="preserve">. For </w:t>
      </w:r>
      <w:r w:rsidR="00737D7B" w:rsidRPr="00730F74">
        <w:rPr>
          <w:position w:val="-6"/>
        </w:rPr>
        <w:object w:dxaOrig="220" w:dyaOrig="300">
          <v:shape id="_x0000_i1098" type="#_x0000_t75" style="width:8.6pt;height:16.1pt" o:ole="">
            <v:imagedata r:id="rId24" o:title=""/>
          </v:shape>
          <o:OLEObject Type="Embed" ProgID="Equation.3" ShapeID="_x0000_i1098" DrawAspect="Content" ObjectID="_1460191772" r:id="rId57"/>
        </w:object>
      </w:r>
      <w:r w:rsidR="00737D7B" w:rsidRPr="00730F74">
        <w:rPr>
          <w:smallCaps/>
        </w:rPr>
        <w:t>o</w:t>
      </w:r>
      <w:r w:rsidR="00737D7B" w:rsidRPr="00730F74">
        <w:rPr>
          <w:vertAlign w:val="subscript"/>
        </w:rPr>
        <w:t>2</w:t>
      </w:r>
      <w:r w:rsidR="00EE67A8" w:rsidRPr="00730F74">
        <w:t xml:space="preserve"> </w:t>
      </w:r>
      <w:r w:rsidRPr="00730F74">
        <w:t xml:space="preserve">at </w:t>
      </w:r>
      <w:r w:rsidR="00EE67A8" w:rsidRPr="00730F74">
        <w:rPr>
          <w:position w:val="-6"/>
        </w:rPr>
        <w:object w:dxaOrig="180" w:dyaOrig="320">
          <v:shape id="_x0000_i1049" type="#_x0000_t75" style="width:8.05pt;height:15.05pt" o:ole="">
            <v:imagedata r:id="rId49" o:title=""/>
          </v:shape>
          <o:OLEObject Type="Embed" ProgID="Equation.3" ShapeID="_x0000_i1049" DrawAspect="Content" ObjectID="_1460191773" r:id="rId58"/>
        </w:object>
      </w:r>
      <w:r w:rsidR="00EE67A8" w:rsidRPr="00730F74">
        <w:rPr>
          <w:vertAlign w:val="subscript"/>
        </w:rPr>
        <w:t>L</w:t>
      </w:r>
      <w:r w:rsidR="00EE67A8" w:rsidRPr="00730F74">
        <w:t xml:space="preserve"> </w:t>
      </w:r>
      <w:r w:rsidRPr="00730F74">
        <w:t xml:space="preserve">(area under </w:t>
      </w:r>
      <w:r w:rsidR="00EE67A8" w:rsidRPr="00730F74">
        <w:t xml:space="preserve">the </w:t>
      </w:r>
      <w:r w:rsidRPr="00730F74">
        <w:t xml:space="preserve">curve (AUC) 0.87, </w:t>
      </w:r>
      <w:r w:rsidR="00EE67A8" w:rsidRPr="00730F74">
        <w:t>95 per cent confid</w:t>
      </w:r>
      <w:r w:rsidR="00A01147" w:rsidRPr="00730F74">
        <w:t>en</w:t>
      </w:r>
      <w:r w:rsidR="00EE67A8" w:rsidRPr="00730F74">
        <w:t xml:space="preserve">ce interval (c.i.) </w:t>
      </w:r>
      <w:r w:rsidRPr="00730F74">
        <w:t>0.78</w:t>
      </w:r>
      <w:r w:rsidR="00EE67A8" w:rsidRPr="00730F74">
        <w:t xml:space="preserve"> to </w:t>
      </w:r>
      <w:r w:rsidRPr="00730F74">
        <w:t>0.95)</w:t>
      </w:r>
      <w:r w:rsidR="00EE67A8" w:rsidRPr="00730F74">
        <w:t>,</w:t>
      </w:r>
      <w:r w:rsidRPr="00730F74">
        <w:t xml:space="preserve"> the optimal cut-</w:t>
      </w:r>
      <w:r w:rsidR="00EE67A8" w:rsidRPr="00730F74">
        <w:t xml:space="preserve">off </w:t>
      </w:r>
      <w:r w:rsidRPr="00730F74">
        <w:t>was 10.6</w:t>
      </w:r>
      <w:r w:rsidR="00EE67A8" w:rsidRPr="00730F74">
        <w:t> </w:t>
      </w:r>
      <w:r w:rsidRPr="00730F74">
        <w:t>ml</w:t>
      </w:r>
      <w:r w:rsidR="00EE67A8" w:rsidRPr="00730F74">
        <w:t xml:space="preserve"> per </w:t>
      </w:r>
      <w:r w:rsidRPr="00730F74">
        <w:t>kg</w:t>
      </w:r>
      <w:r w:rsidR="00EE67A8" w:rsidRPr="00730F74">
        <w:t xml:space="preserve"> per </w:t>
      </w:r>
      <w:r w:rsidRPr="00730F74">
        <w:t>min, giving 84</w:t>
      </w:r>
      <w:r w:rsidR="00EE67A8" w:rsidRPr="00730F74">
        <w:t xml:space="preserve"> per cent</w:t>
      </w:r>
      <w:r w:rsidRPr="00730F74">
        <w:t xml:space="preserve"> sensitivity and 92</w:t>
      </w:r>
      <w:r w:rsidR="00EE67A8" w:rsidRPr="00730F74">
        <w:t xml:space="preserve"> per cent</w:t>
      </w:r>
      <w:r w:rsidRPr="00730F74">
        <w:t xml:space="preserve"> specificity (</w:t>
      </w:r>
      <w:r w:rsidRPr="00730F74">
        <w:rPr>
          <w:i/>
        </w:rPr>
        <w:t>Fig</w:t>
      </w:r>
      <w:r w:rsidR="00EE67A8" w:rsidRPr="00730F74">
        <w:rPr>
          <w:i/>
        </w:rPr>
        <w:t>. 2a</w:t>
      </w:r>
      <w:r w:rsidRPr="00730F74">
        <w:t>)</w:t>
      </w:r>
      <w:r w:rsidR="00EE67A8" w:rsidRPr="00730F74">
        <w:t>. F</w:t>
      </w:r>
      <w:r w:rsidRPr="00730F74">
        <w:t>or</w:t>
      </w:r>
      <w:r w:rsidR="00EE67A8" w:rsidRPr="00730F74">
        <w:t xml:space="preserve"> peak</w:t>
      </w:r>
      <w:r w:rsidRPr="00730F74">
        <w:t xml:space="preserve"> </w:t>
      </w:r>
      <w:r w:rsidR="00737D7B" w:rsidRPr="00730F74">
        <w:rPr>
          <w:position w:val="-6"/>
        </w:rPr>
        <w:object w:dxaOrig="220" w:dyaOrig="300">
          <v:shape id="_x0000_i1099" type="#_x0000_t75" style="width:8.6pt;height:16.1pt" o:ole="">
            <v:imagedata r:id="rId24" o:title=""/>
          </v:shape>
          <o:OLEObject Type="Embed" ProgID="Equation.3" ShapeID="_x0000_i1099" DrawAspect="Content" ObjectID="_1460191774" r:id="rId59"/>
        </w:object>
      </w:r>
      <w:r w:rsidR="00737D7B" w:rsidRPr="00730F74">
        <w:rPr>
          <w:smallCaps/>
        </w:rPr>
        <w:t>o</w:t>
      </w:r>
      <w:r w:rsidR="00737D7B" w:rsidRPr="00730F74">
        <w:rPr>
          <w:vertAlign w:val="subscript"/>
        </w:rPr>
        <w:t>2</w:t>
      </w:r>
      <w:r w:rsidR="00EE67A8" w:rsidRPr="00730F74">
        <w:t xml:space="preserve"> </w:t>
      </w:r>
      <w:r w:rsidRPr="00730F74">
        <w:t>(AUC 0.85, 95</w:t>
      </w:r>
      <w:r w:rsidR="00EE67A8" w:rsidRPr="00730F74">
        <w:t xml:space="preserve"> per cent c.i.</w:t>
      </w:r>
      <w:r w:rsidRPr="00730F74">
        <w:t xml:space="preserve"> 0.77</w:t>
      </w:r>
      <w:r w:rsidR="00EE67A8" w:rsidRPr="00730F74">
        <w:t xml:space="preserve"> to </w:t>
      </w:r>
      <w:r w:rsidRPr="00730F74">
        <w:t>0.93)</w:t>
      </w:r>
      <w:r w:rsidR="00EE67A8" w:rsidRPr="00730F74">
        <w:t>,</w:t>
      </w:r>
      <w:r w:rsidRPr="00730F74">
        <w:t xml:space="preserve"> the optimal cut-</w:t>
      </w:r>
      <w:r w:rsidR="00EE67A8" w:rsidRPr="00730F74">
        <w:t>off</w:t>
      </w:r>
      <w:r w:rsidRPr="00730F74">
        <w:t xml:space="preserve"> </w:t>
      </w:r>
      <w:r w:rsidRPr="00730F74">
        <w:lastRenderedPageBreak/>
        <w:t>was 18.6</w:t>
      </w:r>
      <w:r w:rsidR="00EE67A8" w:rsidRPr="00730F74">
        <w:t> </w:t>
      </w:r>
      <w:r w:rsidRPr="00730F74">
        <w:t>ml</w:t>
      </w:r>
      <w:r w:rsidR="00EE67A8" w:rsidRPr="00730F74">
        <w:t xml:space="preserve"> per </w:t>
      </w:r>
      <w:r w:rsidRPr="00730F74">
        <w:t>kg</w:t>
      </w:r>
      <w:r w:rsidR="00EE67A8" w:rsidRPr="00730F74">
        <w:t xml:space="preserve"> per </w:t>
      </w:r>
      <w:r w:rsidRPr="00730F74">
        <w:t>min, giving 82</w:t>
      </w:r>
      <w:r w:rsidR="00EE67A8" w:rsidRPr="00730F74">
        <w:t xml:space="preserve"> per cent</w:t>
      </w:r>
      <w:r w:rsidRPr="00730F74">
        <w:t xml:space="preserve"> sensitivity and 80</w:t>
      </w:r>
      <w:r w:rsidR="00EE67A8" w:rsidRPr="00730F74">
        <w:t xml:space="preserve"> per cent</w:t>
      </w:r>
      <w:r w:rsidRPr="00730F74">
        <w:t xml:space="preserve"> specificity (</w:t>
      </w:r>
      <w:r w:rsidRPr="00730F74">
        <w:rPr>
          <w:i/>
        </w:rPr>
        <w:t>Fig</w:t>
      </w:r>
      <w:r w:rsidR="00EE67A8" w:rsidRPr="00730F74">
        <w:rPr>
          <w:i/>
        </w:rPr>
        <w:t>. 2b</w:t>
      </w:r>
      <w:r w:rsidR="00EE67A8" w:rsidRPr="00730F74">
        <w:t>).</w:t>
      </w:r>
    </w:p>
    <w:p w:rsidR="009937D1" w:rsidRPr="00730F74" w:rsidRDefault="00EE67A8" w:rsidP="00EE67A8">
      <w:pPr>
        <w:ind w:firstLine="540"/>
        <w:rPr>
          <w:rStyle w:val="normalchar"/>
        </w:rPr>
      </w:pPr>
      <w:r w:rsidRPr="00730F74">
        <w:rPr>
          <w:rStyle w:val="normalchar"/>
        </w:rPr>
        <w:t>T</w:t>
      </w:r>
      <w:r w:rsidR="009937D1" w:rsidRPr="00730F74">
        <w:rPr>
          <w:rStyle w:val="normalchar"/>
        </w:rPr>
        <w:t>o satisfy the Hosmer</w:t>
      </w:r>
      <w:r w:rsidRPr="00730F74">
        <w:rPr>
          <w:rStyle w:val="normalchar"/>
        </w:rPr>
        <w:t>–</w:t>
      </w:r>
      <w:r w:rsidR="009937D1" w:rsidRPr="00730F74">
        <w:rPr>
          <w:rStyle w:val="normalchar"/>
        </w:rPr>
        <w:t>Lemeshow goodness-of-fit test</w:t>
      </w:r>
      <w:r w:rsidR="00ED6AE9" w:rsidRPr="00730F74">
        <w:rPr>
          <w:rStyle w:val="normalchar"/>
        </w:rPr>
        <w:t xml:space="preserve"> </w:t>
      </w:r>
      <w:r w:rsidR="00737D7B" w:rsidRPr="00730F74">
        <w:rPr>
          <w:position w:val="-6"/>
        </w:rPr>
        <w:object w:dxaOrig="220" w:dyaOrig="300">
          <v:shape id="_x0000_i1100" type="#_x0000_t75" style="width:8.6pt;height:16.1pt" o:ole="">
            <v:imagedata r:id="rId24" o:title=""/>
          </v:shape>
          <o:OLEObject Type="Embed" ProgID="Equation.3" ShapeID="_x0000_i1100" DrawAspect="Content" ObjectID="_1460191775" r:id="rId60"/>
        </w:object>
      </w:r>
      <w:r w:rsidR="00737D7B" w:rsidRPr="00730F74">
        <w:rPr>
          <w:smallCaps/>
        </w:rPr>
        <w:t>o</w:t>
      </w:r>
      <w:r w:rsidR="00737D7B" w:rsidRPr="00730F74">
        <w:rPr>
          <w:vertAlign w:val="subscript"/>
        </w:rPr>
        <w:t>2</w:t>
      </w:r>
      <w:r w:rsidR="009937D1" w:rsidRPr="00730F74">
        <w:rPr>
          <w:rStyle w:val="normalchar"/>
        </w:rPr>
        <w:t xml:space="preserve"> </w:t>
      </w:r>
      <w:r w:rsidR="00ED6AE9" w:rsidRPr="00730F74">
        <w:rPr>
          <w:rStyle w:val="normalchar"/>
        </w:rPr>
        <w:t xml:space="preserve">at both </w:t>
      </w:r>
      <w:r w:rsidR="00ED6AE9" w:rsidRPr="00730F74">
        <w:rPr>
          <w:position w:val="-6"/>
        </w:rPr>
        <w:object w:dxaOrig="180" w:dyaOrig="320">
          <v:shape id="_x0000_i1050" type="#_x0000_t75" style="width:8.05pt;height:15.05pt" o:ole="">
            <v:imagedata r:id="rId49" o:title=""/>
          </v:shape>
          <o:OLEObject Type="Embed" ProgID="Equation.3" ShapeID="_x0000_i1050" DrawAspect="Content" ObjectID="_1460191776" r:id="rId61"/>
        </w:object>
      </w:r>
      <w:r w:rsidR="00ED6AE9" w:rsidRPr="00730F74">
        <w:rPr>
          <w:vertAlign w:val="subscript"/>
        </w:rPr>
        <w:t>L</w:t>
      </w:r>
      <w:r w:rsidR="00ED6AE9" w:rsidRPr="00730F74">
        <w:rPr>
          <w:rStyle w:val="normalchar"/>
        </w:rPr>
        <w:t xml:space="preserve"> and peak w</w:t>
      </w:r>
      <w:r w:rsidR="00346558">
        <w:rPr>
          <w:rStyle w:val="normalchar"/>
        </w:rPr>
        <w:t>as</w:t>
      </w:r>
      <w:r w:rsidR="00ED6AE9" w:rsidRPr="00730F74">
        <w:rPr>
          <w:rStyle w:val="normalchar"/>
        </w:rPr>
        <w:t xml:space="preserve"> dichotomiz</w:t>
      </w:r>
      <w:r w:rsidR="009937D1" w:rsidRPr="00730F74">
        <w:rPr>
          <w:rStyle w:val="normalchar"/>
        </w:rPr>
        <w:t>e</w:t>
      </w:r>
      <w:r w:rsidR="00ED6AE9" w:rsidRPr="00730F74">
        <w:rPr>
          <w:rStyle w:val="normalchar"/>
        </w:rPr>
        <w:t>d</w:t>
      </w:r>
      <w:r w:rsidR="009937D1" w:rsidRPr="00730F74">
        <w:rPr>
          <w:rStyle w:val="normalchar"/>
        </w:rPr>
        <w:t xml:space="preserve"> (at the median</w:t>
      </w:r>
      <w:r w:rsidR="00973BA5" w:rsidRPr="00730F74">
        <w:rPr>
          <w:rStyle w:val="normalchar"/>
        </w:rPr>
        <w:t xml:space="preserve"> value</w:t>
      </w:r>
      <w:r w:rsidR="009937D1" w:rsidRPr="00730F74">
        <w:rPr>
          <w:rStyle w:val="normalchar"/>
        </w:rPr>
        <w:t>)</w:t>
      </w:r>
      <w:r w:rsidR="00ED6AE9" w:rsidRPr="00730F74">
        <w:rPr>
          <w:rStyle w:val="normalchar"/>
        </w:rPr>
        <w:t>, as</w:t>
      </w:r>
      <w:r w:rsidR="009937D1" w:rsidRPr="00730F74">
        <w:rPr>
          <w:rStyle w:val="normalchar"/>
        </w:rPr>
        <w:t xml:space="preserve"> no suitable transformation was found that would yield an easily interpretable result. From the </w:t>
      </w:r>
      <w:r w:rsidR="00ED6AE9" w:rsidRPr="00730F74">
        <w:rPr>
          <w:rStyle w:val="normalchar"/>
        </w:rPr>
        <w:t>five</w:t>
      </w:r>
      <w:r w:rsidR="009937D1" w:rsidRPr="00730F74">
        <w:rPr>
          <w:rStyle w:val="normalchar"/>
        </w:rPr>
        <w:t xml:space="preserve"> candidate variables, </w:t>
      </w:r>
      <w:r w:rsidR="00737D7B" w:rsidRPr="00730F74">
        <w:rPr>
          <w:position w:val="-6"/>
        </w:rPr>
        <w:object w:dxaOrig="220" w:dyaOrig="300">
          <v:shape id="_x0000_i1101" type="#_x0000_t75" style="width:8.6pt;height:16.1pt" o:ole="">
            <v:imagedata r:id="rId24" o:title=""/>
          </v:shape>
          <o:OLEObject Type="Embed" ProgID="Equation.3" ShapeID="_x0000_i1101" DrawAspect="Content" ObjectID="_1460191777" r:id="rId62"/>
        </w:object>
      </w:r>
      <w:r w:rsidR="00737D7B" w:rsidRPr="00730F74">
        <w:rPr>
          <w:smallCaps/>
        </w:rPr>
        <w:t>o</w:t>
      </w:r>
      <w:r w:rsidR="00737D7B" w:rsidRPr="00730F74">
        <w:rPr>
          <w:vertAlign w:val="subscript"/>
        </w:rPr>
        <w:t>2</w:t>
      </w:r>
      <w:r w:rsidR="00973BA5" w:rsidRPr="00730F74">
        <w:t xml:space="preserve"> </w:t>
      </w:r>
      <w:r w:rsidR="009937D1" w:rsidRPr="00730F74">
        <w:t xml:space="preserve">at </w:t>
      </w:r>
      <w:r w:rsidR="00973BA5" w:rsidRPr="00730F74">
        <w:rPr>
          <w:position w:val="-6"/>
        </w:rPr>
        <w:object w:dxaOrig="180" w:dyaOrig="320">
          <v:shape id="_x0000_i1051" type="#_x0000_t75" style="width:8.05pt;height:15.05pt" o:ole="">
            <v:imagedata r:id="rId49" o:title=""/>
          </v:shape>
          <o:OLEObject Type="Embed" ProgID="Equation.3" ShapeID="_x0000_i1051" DrawAspect="Content" ObjectID="_1460191778" r:id="rId63"/>
        </w:object>
      </w:r>
      <w:r w:rsidR="00973BA5" w:rsidRPr="00730F74">
        <w:rPr>
          <w:vertAlign w:val="subscript"/>
        </w:rPr>
        <w:t>L</w:t>
      </w:r>
      <w:r w:rsidR="00973BA5" w:rsidRPr="00730F74">
        <w:t xml:space="preserve"> </w:t>
      </w:r>
      <w:r w:rsidR="009937D1" w:rsidRPr="00730F74">
        <w:rPr>
          <w:rStyle w:val="normalchar"/>
        </w:rPr>
        <w:t xml:space="preserve">and </w:t>
      </w:r>
      <w:r w:rsidR="009937D1" w:rsidRPr="00730F74">
        <w:t xml:space="preserve">at </w:t>
      </w:r>
      <w:r w:rsidR="00973BA5" w:rsidRPr="00730F74">
        <w:t>p</w:t>
      </w:r>
      <w:r w:rsidR="009937D1" w:rsidRPr="00730F74">
        <w:t>eak</w:t>
      </w:r>
      <w:r w:rsidR="009937D1" w:rsidRPr="00730F74">
        <w:rPr>
          <w:rStyle w:val="normalchar"/>
        </w:rPr>
        <w:t xml:space="preserve"> were retained in the final multivariable logistic regression model. However, </w:t>
      </w:r>
      <w:r w:rsidR="00973BA5" w:rsidRPr="00730F74">
        <w:rPr>
          <w:rStyle w:val="normalchar"/>
        </w:rPr>
        <w:t>as</w:t>
      </w:r>
      <w:r w:rsidR="009937D1" w:rsidRPr="00730F74">
        <w:rPr>
          <w:rStyle w:val="normalchar"/>
        </w:rPr>
        <w:t xml:space="preserve"> neither variable </w:t>
      </w:r>
      <w:r w:rsidR="00346558" w:rsidRPr="00730F74">
        <w:rPr>
          <w:rStyle w:val="normalchar"/>
        </w:rPr>
        <w:t xml:space="preserve">contributed </w:t>
      </w:r>
      <w:r w:rsidR="009937D1" w:rsidRPr="00730F74">
        <w:rPr>
          <w:rStyle w:val="normalchar"/>
        </w:rPr>
        <w:t>meaningfully to the other (they are highly correlated), univaria</w:t>
      </w:r>
      <w:r w:rsidR="00973BA5" w:rsidRPr="00730F74">
        <w:rPr>
          <w:rStyle w:val="normalchar"/>
        </w:rPr>
        <w:t>ble</w:t>
      </w:r>
      <w:r w:rsidR="009937D1" w:rsidRPr="00730F74">
        <w:rPr>
          <w:rStyle w:val="normalchar"/>
        </w:rPr>
        <w:t xml:space="preserve"> models were used instead. </w:t>
      </w:r>
      <w:r w:rsidR="00973BA5" w:rsidRPr="00730F74">
        <w:rPr>
          <w:rStyle w:val="normalchar"/>
        </w:rPr>
        <w:t>Owing</w:t>
      </w:r>
      <w:r w:rsidR="009937D1" w:rsidRPr="00730F74">
        <w:rPr>
          <w:rStyle w:val="normalchar"/>
        </w:rPr>
        <w:t xml:space="preserve"> to the dichotomi</w:t>
      </w:r>
      <w:r w:rsidR="00973BA5" w:rsidRPr="00730F74">
        <w:rPr>
          <w:rStyle w:val="normalchar"/>
        </w:rPr>
        <w:t>z</w:t>
      </w:r>
      <w:r w:rsidR="009937D1" w:rsidRPr="00730F74">
        <w:rPr>
          <w:rStyle w:val="normalchar"/>
        </w:rPr>
        <w:t>ation</w:t>
      </w:r>
      <w:r w:rsidR="00973BA5" w:rsidRPr="00730F74">
        <w:rPr>
          <w:rStyle w:val="normalchar"/>
        </w:rPr>
        <w:t>,</w:t>
      </w:r>
      <w:r w:rsidR="009937D1" w:rsidRPr="00730F74">
        <w:rPr>
          <w:rStyle w:val="normalchar"/>
        </w:rPr>
        <w:t xml:space="preserve"> this resulted in two identical models. As a result, the odds of POMS day 5 surgical morbidity were reduced by 93</w:t>
      </w:r>
      <w:r w:rsidR="0041446E" w:rsidRPr="00730F74">
        <w:rPr>
          <w:rStyle w:val="normalchar"/>
        </w:rPr>
        <w:t xml:space="preserve"> per cent</w:t>
      </w:r>
      <w:r w:rsidR="009937D1" w:rsidRPr="00730F74">
        <w:rPr>
          <w:rStyle w:val="normalchar"/>
        </w:rPr>
        <w:t xml:space="preserve"> for patients above the median </w:t>
      </w:r>
      <w:r w:rsidR="0041446E" w:rsidRPr="00730F74">
        <w:rPr>
          <w:rStyle w:val="normalchar"/>
          <w:i/>
        </w:rPr>
        <w:t>versus</w:t>
      </w:r>
      <w:r w:rsidR="009937D1" w:rsidRPr="00730F74">
        <w:rPr>
          <w:rStyle w:val="normalchar"/>
        </w:rPr>
        <w:t xml:space="preserve"> those below the median (</w:t>
      </w:r>
      <w:r w:rsidR="0041446E" w:rsidRPr="00730F74">
        <w:rPr>
          <w:rStyle w:val="normalchar"/>
        </w:rPr>
        <w:t>odds ratio</w:t>
      </w:r>
      <w:r w:rsidR="009937D1" w:rsidRPr="00730F74">
        <w:rPr>
          <w:rStyle w:val="normalchar"/>
        </w:rPr>
        <w:t xml:space="preserve"> 0.07, </w:t>
      </w:r>
      <w:r w:rsidR="0041446E" w:rsidRPr="00730F74">
        <w:rPr>
          <w:rStyle w:val="normalchar"/>
        </w:rPr>
        <w:t>95 per cent c.i.</w:t>
      </w:r>
      <w:r w:rsidR="009937D1" w:rsidRPr="00730F74">
        <w:rPr>
          <w:rStyle w:val="normalchar"/>
        </w:rPr>
        <w:t xml:space="preserve"> 0.03</w:t>
      </w:r>
      <w:r w:rsidR="0041446E" w:rsidRPr="00730F74">
        <w:rPr>
          <w:rStyle w:val="normalchar"/>
        </w:rPr>
        <w:t xml:space="preserve"> to </w:t>
      </w:r>
      <w:r w:rsidR="009937D1" w:rsidRPr="00730F74">
        <w:rPr>
          <w:rStyle w:val="normalchar"/>
        </w:rPr>
        <w:t>0.19</w:t>
      </w:r>
      <w:r w:rsidR="0041446E" w:rsidRPr="00730F74">
        <w:rPr>
          <w:rStyle w:val="normalchar"/>
        </w:rPr>
        <w:t xml:space="preserve">; </w:t>
      </w:r>
      <w:r w:rsidR="0041446E" w:rsidRPr="00730F74">
        <w:rPr>
          <w:rStyle w:val="normalchar"/>
          <w:i/>
        </w:rPr>
        <w:t>P </w:t>
      </w:r>
      <w:r w:rsidR="009937D1" w:rsidRPr="00730F74">
        <w:rPr>
          <w:rStyle w:val="normalchar"/>
        </w:rPr>
        <w:t>&lt;</w:t>
      </w:r>
      <w:r w:rsidR="0041446E" w:rsidRPr="00730F74">
        <w:rPr>
          <w:rStyle w:val="normalchar"/>
        </w:rPr>
        <w:t> </w:t>
      </w:r>
      <w:r w:rsidR="009937D1" w:rsidRPr="00730F74">
        <w:rPr>
          <w:rStyle w:val="normalchar"/>
        </w:rPr>
        <w:t xml:space="preserve">0.001). </w:t>
      </w:r>
      <w:r w:rsidR="0041446E" w:rsidRPr="00730F74">
        <w:rPr>
          <w:rStyle w:val="normalchar"/>
        </w:rPr>
        <w:t>M</w:t>
      </w:r>
      <w:r w:rsidR="009937D1" w:rsidRPr="00730F74">
        <w:rPr>
          <w:rStyle w:val="normalchar"/>
        </w:rPr>
        <w:t>edian</w:t>
      </w:r>
      <w:r w:rsidR="0041446E" w:rsidRPr="00730F74">
        <w:rPr>
          <w:rStyle w:val="normalchar"/>
        </w:rPr>
        <w:t xml:space="preserve"> value</w:t>
      </w:r>
      <w:r w:rsidR="009937D1" w:rsidRPr="00730F74">
        <w:rPr>
          <w:rStyle w:val="normalchar"/>
        </w:rPr>
        <w:t>s were 11.2 and 18.8</w:t>
      </w:r>
      <w:r w:rsidR="0041446E" w:rsidRPr="00730F74">
        <w:rPr>
          <w:rStyle w:val="normalchar"/>
        </w:rPr>
        <w:t> </w:t>
      </w:r>
      <w:r w:rsidR="009937D1" w:rsidRPr="00730F74">
        <w:t>ml</w:t>
      </w:r>
      <w:r w:rsidR="0041446E" w:rsidRPr="00730F74">
        <w:t xml:space="preserve"> per </w:t>
      </w:r>
      <w:r w:rsidR="009937D1" w:rsidRPr="00730F74">
        <w:t>kg</w:t>
      </w:r>
      <w:r w:rsidR="0041446E" w:rsidRPr="00730F74">
        <w:t xml:space="preserve"> per </w:t>
      </w:r>
      <w:r w:rsidR="009937D1" w:rsidRPr="00730F74">
        <w:t xml:space="preserve">min </w:t>
      </w:r>
      <w:r w:rsidR="009937D1" w:rsidRPr="00730F74">
        <w:rPr>
          <w:rStyle w:val="normalchar"/>
        </w:rPr>
        <w:t xml:space="preserve">for </w:t>
      </w:r>
      <w:r w:rsidR="00737D7B" w:rsidRPr="00730F74">
        <w:rPr>
          <w:position w:val="-6"/>
        </w:rPr>
        <w:object w:dxaOrig="220" w:dyaOrig="300">
          <v:shape id="_x0000_i1102" type="#_x0000_t75" style="width:8.6pt;height:16.1pt" o:ole="">
            <v:imagedata r:id="rId24" o:title=""/>
          </v:shape>
          <o:OLEObject Type="Embed" ProgID="Equation.3" ShapeID="_x0000_i1102" DrawAspect="Content" ObjectID="_1460191779" r:id="rId64"/>
        </w:object>
      </w:r>
      <w:r w:rsidR="00737D7B" w:rsidRPr="00730F74">
        <w:rPr>
          <w:smallCaps/>
        </w:rPr>
        <w:t>o</w:t>
      </w:r>
      <w:r w:rsidR="00737D7B" w:rsidRPr="00730F74">
        <w:rPr>
          <w:vertAlign w:val="subscript"/>
        </w:rPr>
        <w:t>2</w:t>
      </w:r>
      <w:r w:rsidR="0041446E" w:rsidRPr="00730F74">
        <w:t xml:space="preserve"> </w:t>
      </w:r>
      <w:r w:rsidR="009937D1" w:rsidRPr="00730F74">
        <w:t xml:space="preserve">at </w:t>
      </w:r>
      <w:r w:rsidR="0041446E" w:rsidRPr="00730F74">
        <w:rPr>
          <w:position w:val="-6"/>
        </w:rPr>
        <w:object w:dxaOrig="180" w:dyaOrig="320">
          <v:shape id="_x0000_i1052" type="#_x0000_t75" style="width:8.05pt;height:15.05pt" o:ole="">
            <v:imagedata r:id="rId49" o:title=""/>
          </v:shape>
          <o:OLEObject Type="Embed" ProgID="Equation.3" ShapeID="_x0000_i1052" DrawAspect="Content" ObjectID="_1460191780" r:id="rId65"/>
        </w:object>
      </w:r>
      <w:r w:rsidR="0041446E" w:rsidRPr="00730F74">
        <w:rPr>
          <w:vertAlign w:val="subscript"/>
        </w:rPr>
        <w:t>L</w:t>
      </w:r>
      <w:r w:rsidR="0041446E" w:rsidRPr="00730F74">
        <w:t xml:space="preserve"> </w:t>
      </w:r>
      <w:r w:rsidR="009937D1" w:rsidRPr="00730F74">
        <w:t xml:space="preserve">and </w:t>
      </w:r>
      <w:r w:rsidR="0041446E" w:rsidRPr="00730F74">
        <w:t>p</w:t>
      </w:r>
      <w:r w:rsidR="009937D1" w:rsidRPr="00730F74">
        <w:t>eak</w:t>
      </w:r>
      <w:r w:rsidR="009937D1" w:rsidRPr="00730F74">
        <w:rPr>
          <w:rStyle w:val="normalchar"/>
        </w:rPr>
        <w:t xml:space="preserve"> respectively.</w:t>
      </w:r>
    </w:p>
    <w:p w:rsidR="001A101F" w:rsidRPr="00730F74" w:rsidRDefault="009937D1" w:rsidP="001A101F">
      <w:pPr>
        <w:ind w:firstLine="540"/>
      </w:pPr>
      <w:r w:rsidRPr="00730F74">
        <w:rPr>
          <w:rFonts w:eastAsia="Times New Roman"/>
          <w:lang w:eastAsia="en-GB"/>
        </w:rPr>
        <w:t>The median number of morbidity events on day 5 (POMS day 5) was 1 (</w:t>
      </w:r>
      <w:r w:rsidR="00846B2B" w:rsidRPr="00730F74">
        <w:rPr>
          <w:rFonts w:eastAsia="Times New Roman"/>
          <w:lang w:eastAsia="en-GB"/>
        </w:rPr>
        <w:t xml:space="preserve">i.q.r. </w:t>
      </w:r>
      <w:r w:rsidRPr="00730F74">
        <w:rPr>
          <w:rFonts w:eastAsia="Times New Roman"/>
          <w:lang w:eastAsia="en-GB"/>
        </w:rPr>
        <w:t xml:space="preserve">0–2). </w:t>
      </w:r>
      <w:r w:rsidRPr="00730F74">
        <w:rPr>
          <w:i/>
        </w:rPr>
        <w:t>Table</w:t>
      </w:r>
      <w:r w:rsidR="00846B2B" w:rsidRPr="00730F74">
        <w:rPr>
          <w:i/>
        </w:rPr>
        <w:t> </w:t>
      </w:r>
      <w:r w:rsidRPr="00730F74">
        <w:rPr>
          <w:i/>
        </w:rPr>
        <w:t>4</w:t>
      </w:r>
      <w:r w:rsidRPr="00730F74">
        <w:t xml:space="preserve"> shows POMS-defined morbidity at day 5 </w:t>
      </w:r>
      <w:r w:rsidR="00071201" w:rsidRPr="00730F74">
        <w:t>after surgery</w:t>
      </w:r>
      <w:r w:rsidRPr="00730F74">
        <w:t xml:space="preserve"> dichotomized at the optimal cut-off for </w:t>
      </w:r>
      <w:r w:rsidR="00737D7B" w:rsidRPr="00730F74">
        <w:rPr>
          <w:position w:val="-6"/>
        </w:rPr>
        <w:object w:dxaOrig="220" w:dyaOrig="300">
          <v:shape id="_x0000_i1103" type="#_x0000_t75" style="width:8.6pt;height:16.1pt" o:ole="">
            <v:imagedata r:id="rId24" o:title=""/>
          </v:shape>
          <o:OLEObject Type="Embed" ProgID="Equation.3" ShapeID="_x0000_i1103" DrawAspect="Content" ObjectID="_1460191781" r:id="rId66"/>
        </w:object>
      </w:r>
      <w:r w:rsidR="00737D7B" w:rsidRPr="00730F74">
        <w:rPr>
          <w:smallCaps/>
        </w:rPr>
        <w:t>o</w:t>
      </w:r>
      <w:r w:rsidR="00737D7B" w:rsidRPr="00730F74">
        <w:rPr>
          <w:vertAlign w:val="subscript"/>
        </w:rPr>
        <w:t>2</w:t>
      </w:r>
      <w:r w:rsidR="00071201" w:rsidRPr="00730F74">
        <w:t xml:space="preserve"> </w:t>
      </w:r>
      <w:r w:rsidRPr="00730F74">
        <w:t xml:space="preserve">at </w:t>
      </w:r>
      <w:r w:rsidR="00071201" w:rsidRPr="00730F74">
        <w:rPr>
          <w:position w:val="-6"/>
        </w:rPr>
        <w:object w:dxaOrig="180" w:dyaOrig="320">
          <v:shape id="_x0000_i1053" type="#_x0000_t75" style="width:8.05pt;height:15.05pt" o:ole="">
            <v:imagedata r:id="rId49" o:title=""/>
          </v:shape>
          <o:OLEObject Type="Embed" ProgID="Equation.3" ShapeID="_x0000_i1053" DrawAspect="Content" ObjectID="_1460191782" r:id="rId67"/>
        </w:object>
      </w:r>
      <w:r w:rsidR="00071201" w:rsidRPr="00730F74">
        <w:rPr>
          <w:vertAlign w:val="subscript"/>
        </w:rPr>
        <w:t>L</w:t>
      </w:r>
      <w:r w:rsidRPr="00730F74">
        <w:t xml:space="preserve">. </w:t>
      </w:r>
      <w:r w:rsidR="00071201" w:rsidRPr="00730F74">
        <w:t>Infection, p</w:t>
      </w:r>
      <w:r w:rsidRPr="00730F74">
        <w:t xml:space="preserve">ulmonary, gastrointestinal, </w:t>
      </w:r>
      <w:proofErr w:type="gramStart"/>
      <w:r w:rsidRPr="00730F74">
        <w:t>cardiovascular</w:t>
      </w:r>
      <w:proofErr w:type="gramEnd"/>
      <w:r w:rsidRPr="00730F74">
        <w:t xml:space="preserve"> and wound morbidity domains differed significantly between groups. </w:t>
      </w:r>
      <w:r w:rsidRPr="00730F74">
        <w:rPr>
          <w:i/>
        </w:rPr>
        <w:t>Table</w:t>
      </w:r>
      <w:r w:rsidR="00071201" w:rsidRPr="00730F74">
        <w:rPr>
          <w:i/>
        </w:rPr>
        <w:t> </w:t>
      </w:r>
      <w:r w:rsidRPr="00730F74">
        <w:rPr>
          <w:i/>
        </w:rPr>
        <w:t>5</w:t>
      </w:r>
      <w:r w:rsidRPr="00730F74">
        <w:t xml:space="preserve"> shows</w:t>
      </w:r>
      <w:r w:rsidRPr="00730F74">
        <w:rPr>
          <w:b/>
        </w:rPr>
        <w:t xml:space="preserve"> </w:t>
      </w:r>
      <w:r w:rsidRPr="00730F74">
        <w:t xml:space="preserve">total postoperative morbidity grade as assessed by the highest grade of </w:t>
      </w:r>
      <w:r w:rsidR="00732AE6" w:rsidRPr="00730F74">
        <w:t xml:space="preserve">in-hospital </w:t>
      </w:r>
      <w:r w:rsidRPr="00730F74">
        <w:t xml:space="preserve">morbidity. A significant difference in the distribution of morbidity grade </w:t>
      </w:r>
      <w:r w:rsidR="001A101F" w:rsidRPr="00730F74">
        <w:t xml:space="preserve">was observed </w:t>
      </w:r>
      <w:r w:rsidRPr="00730F74">
        <w:t>when the patient cohort was dichotomized at the optimal cut-</w:t>
      </w:r>
      <w:r w:rsidR="00AD1887" w:rsidRPr="00730F74">
        <w:t xml:space="preserve">off </w:t>
      </w:r>
      <w:r w:rsidRPr="00730F74">
        <w:t xml:space="preserve">point for </w:t>
      </w:r>
      <w:r w:rsidR="00737D7B" w:rsidRPr="00730F74">
        <w:rPr>
          <w:position w:val="-6"/>
        </w:rPr>
        <w:object w:dxaOrig="220" w:dyaOrig="300">
          <v:shape id="_x0000_i1104" type="#_x0000_t75" style="width:8.6pt;height:16.1pt" o:ole="">
            <v:imagedata r:id="rId24" o:title=""/>
          </v:shape>
          <o:OLEObject Type="Embed" ProgID="Equation.3" ShapeID="_x0000_i1104" DrawAspect="Content" ObjectID="_1460191783" r:id="rId68"/>
        </w:object>
      </w:r>
      <w:r w:rsidR="00737D7B" w:rsidRPr="00730F74">
        <w:rPr>
          <w:smallCaps/>
        </w:rPr>
        <w:t>o</w:t>
      </w:r>
      <w:r w:rsidR="00737D7B" w:rsidRPr="00730F74">
        <w:rPr>
          <w:vertAlign w:val="subscript"/>
        </w:rPr>
        <w:t>2</w:t>
      </w:r>
      <w:r w:rsidR="00AD1887" w:rsidRPr="00730F74">
        <w:t xml:space="preserve"> </w:t>
      </w:r>
      <w:r w:rsidRPr="00730F74">
        <w:t xml:space="preserve">at </w:t>
      </w:r>
      <w:r w:rsidR="00AD1887" w:rsidRPr="00730F74">
        <w:rPr>
          <w:position w:val="-6"/>
        </w:rPr>
        <w:object w:dxaOrig="180" w:dyaOrig="320">
          <v:shape id="_x0000_i1054" type="#_x0000_t75" style="width:8.05pt;height:15.05pt" o:ole="">
            <v:imagedata r:id="rId49" o:title=""/>
          </v:shape>
          <o:OLEObject Type="Embed" ProgID="Equation.3" ShapeID="_x0000_i1054" DrawAspect="Content" ObjectID="_1460191784" r:id="rId69"/>
        </w:object>
      </w:r>
      <w:r w:rsidR="00AD1887" w:rsidRPr="00730F74">
        <w:rPr>
          <w:vertAlign w:val="subscript"/>
        </w:rPr>
        <w:t>L</w:t>
      </w:r>
      <w:r w:rsidRPr="00730F74">
        <w:t>, with a significantly higher morbidity (</w:t>
      </w:r>
      <w:r w:rsidR="00AD1887" w:rsidRPr="00730F74">
        <w:t>g</w:t>
      </w:r>
      <w:r w:rsidRPr="00730F74">
        <w:t>rade 1</w:t>
      </w:r>
      <w:r w:rsidR="00AD1887" w:rsidRPr="00730F74">
        <w:t>–</w:t>
      </w:r>
      <w:r w:rsidRPr="00730F74">
        <w:t xml:space="preserve">4) in patients with </w:t>
      </w:r>
      <w:r w:rsidR="00737D7B" w:rsidRPr="00730F74">
        <w:rPr>
          <w:position w:val="-6"/>
        </w:rPr>
        <w:object w:dxaOrig="220" w:dyaOrig="300">
          <v:shape id="_x0000_i1105" type="#_x0000_t75" style="width:8.6pt;height:16.1pt" o:ole="">
            <v:imagedata r:id="rId24" o:title=""/>
          </v:shape>
          <o:OLEObject Type="Embed" ProgID="Equation.3" ShapeID="_x0000_i1105" DrawAspect="Content" ObjectID="_1460191785" r:id="rId70"/>
        </w:object>
      </w:r>
      <w:r w:rsidR="00737D7B" w:rsidRPr="00730F74">
        <w:rPr>
          <w:smallCaps/>
        </w:rPr>
        <w:t>o</w:t>
      </w:r>
      <w:r w:rsidR="00737D7B" w:rsidRPr="00730F74">
        <w:rPr>
          <w:vertAlign w:val="subscript"/>
        </w:rPr>
        <w:t>2</w:t>
      </w:r>
      <w:r w:rsidR="00AD1887" w:rsidRPr="00730F74">
        <w:t xml:space="preserve"> </w:t>
      </w:r>
      <w:r w:rsidRPr="00730F74">
        <w:t xml:space="preserve">at </w:t>
      </w:r>
      <w:r w:rsidR="00AD1887" w:rsidRPr="00730F74">
        <w:rPr>
          <w:position w:val="-6"/>
        </w:rPr>
        <w:object w:dxaOrig="180" w:dyaOrig="320">
          <v:shape id="_x0000_i1055" type="#_x0000_t75" style="width:8.05pt;height:15.05pt" o:ole="">
            <v:imagedata r:id="rId49" o:title=""/>
          </v:shape>
          <o:OLEObject Type="Embed" ProgID="Equation.3" ShapeID="_x0000_i1055" DrawAspect="Content" ObjectID="_1460191786" r:id="rId71"/>
        </w:object>
      </w:r>
      <w:r w:rsidR="00AD1887" w:rsidRPr="00730F74">
        <w:rPr>
          <w:vertAlign w:val="subscript"/>
        </w:rPr>
        <w:t>L</w:t>
      </w:r>
      <w:r w:rsidR="00AD1887" w:rsidRPr="00730F74">
        <w:t xml:space="preserve"> </w:t>
      </w:r>
      <w:r w:rsidR="00346558">
        <w:t xml:space="preserve">of less than </w:t>
      </w:r>
      <w:r w:rsidRPr="00730F74">
        <w:t>10.6</w:t>
      </w:r>
      <w:r w:rsidR="00AD1887" w:rsidRPr="00730F74">
        <w:t> </w:t>
      </w:r>
      <w:r w:rsidRPr="00730F74">
        <w:t>ml</w:t>
      </w:r>
      <w:r w:rsidR="00AD1887" w:rsidRPr="00730F74">
        <w:t xml:space="preserve"> per </w:t>
      </w:r>
      <w:r w:rsidRPr="00730F74">
        <w:t>kg</w:t>
      </w:r>
      <w:r w:rsidR="00AD1887" w:rsidRPr="00730F74">
        <w:t xml:space="preserve"> per </w:t>
      </w:r>
      <w:r w:rsidRPr="00730F74">
        <w:t>min.</w:t>
      </w:r>
    </w:p>
    <w:p w:rsidR="009937D1" w:rsidRPr="00730F74" w:rsidRDefault="009937D1" w:rsidP="001A101F">
      <w:pPr>
        <w:ind w:firstLine="540"/>
      </w:pPr>
      <w:r w:rsidRPr="00730F74">
        <w:rPr>
          <w:rFonts w:eastAsia="Times New Roman"/>
          <w:lang w:eastAsia="en-GB"/>
        </w:rPr>
        <w:t>Overall median</w:t>
      </w:r>
      <w:r w:rsidR="001A101F" w:rsidRPr="00730F74">
        <w:rPr>
          <w:rFonts w:eastAsia="Times New Roman"/>
          <w:lang w:eastAsia="en-GB"/>
        </w:rPr>
        <w:t xml:space="preserve"> (i.q.r.)</w:t>
      </w:r>
      <w:r w:rsidRPr="00730F74">
        <w:rPr>
          <w:rFonts w:eastAsia="Times New Roman"/>
          <w:lang w:eastAsia="en-GB"/>
        </w:rPr>
        <w:t xml:space="preserve"> length of stay was 9 (6–16</w:t>
      </w:r>
      <w:r w:rsidR="001A101F" w:rsidRPr="00730F74">
        <w:rPr>
          <w:rFonts w:eastAsia="Times New Roman"/>
          <w:lang w:eastAsia="en-GB"/>
        </w:rPr>
        <w:t xml:space="preserve">) </w:t>
      </w:r>
      <w:r w:rsidRPr="00730F74">
        <w:rPr>
          <w:rFonts w:eastAsia="Times New Roman"/>
          <w:lang w:eastAsia="en-GB"/>
        </w:rPr>
        <w:t>days</w:t>
      </w:r>
      <w:r w:rsidR="001A101F" w:rsidRPr="00730F74">
        <w:rPr>
          <w:rFonts w:eastAsia="Times New Roman"/>
          <w:lang w:eastAsia="en-GB"/>
        </w:rPr>
        <w:t>. Patients with no POMS-</w:t>
      </w:r>
      <w:r w:rsidRPr="00730F74">
        <w:rPr>
          <w:rFonts w:eastAsia="Times New Roman"/>
          <w:lang w:eastAsia="en-GB"/>
        </w:rPr>
        <w:t xml:space="preserve">defined morbidity on </w:t>
      </w:r>
      <w:r w:rsidR="001A101F" w:rsidRPr="00730F74">
        <w:rPr>
          <w:rFonts w:eastAsia="Times New Roman"/>
          <w:lang w:eastAsia="en-GB"/>
        </w:rPr>
        <w:t>d</w:t>
      </w:r>
      <w:r w:rsidRPr="00730F74">
        <w:rPr>
          <w:rFonts w:eastAsia="Times New Roman"/>
          <w:lang w:eastAsia="en-GB"/>
        </w:rPr>
        <w:t>ay 5 had a median length of stay of 7 (6–9)</w:t>
      </w:r>
      <w:r w:rsidR="001A101F" w:rsidRPr="00730F74">
        <w:rPr>
          <w:rFonts w:eastAsia="Times New Roman"/>
          <w:lang w:eastAsia="en-GB"/>
        </w:rPr>
        <w:t xml:space="preserve"> days,</w:t>
      </w:r>
      <w:r w:rsidRPr="00730F74">
        <w:rPr>
          <w:rFonts w:eastAsia="Times New Roman"/>
          <w:lang w:eastAsia="en-GB"/>
        </w:rPr>
        <w:t xml:space="preserve"> compared with 15 (7–24)</w:t>
      </w:r>
      <w:r w:rsidR="001A101F" w:rsidRPr="00730F74">
        <w:rPr>
          <w:rFonts w:eastAsia="Times New Roman"/>
          <w:lang w:eastAsia="en-GB"/>
        </w:rPr>
        <w:t xml:space="preserve"> days</w:t>
      </w:r>
      <w:r w:rsidRPr="00730F74">
        <w:rPr>
          <w:rFonts w:eastAsia="Times New Roman"/>
          <w:lang w:eastAsia="en-GB"/>
        </w:rPr>
        <w:t xml:space="preserve"> in patients with POMS-defined morbidity on </w:t>
      </w:r>
      <w:r w:rsidR="001A101F" w:rsidRPr="00730F74">
        <w:rPr>
          <w:rFonts w:eastAsia="Times New Roman"/>
          <w:lang w:eastAsia="en-GB"/>
        </w:rPr>
        <w:t>d</w:t>
      </w:r>
      <w:r w:rsidRPr="00730F74">
        <w:rPr>
          <w:rFonts w:eastAsia="Times New Roman"/>
          <w:lang w:eastAsia="en-GB"/>
        </w:rPr>
        <w:t xml:space="preserve">ay 5 </w:t>
      </w:r>
      <w:r w:rsidRPr="00730F74">
        <w:rPr>
          <w:rFonts w:eastAsia="Times New Roman"/>
          <w:lang w:eastAsia="en-GB"/>
        </w:rPr>
        <w:lastRenderedPageBreak/>
        <w:t>(</w:t>
      </w:r>
      <w:r w:rsidR="001A101F" w:rsidRPr="00730F74">
        <w:rPr>
          <w:rFonts w:eastAsia="Times New Roman"/>
          <w:i/>
          <w:lang w:eastAsia="en-GB"/>
        </w:rPr>
        <w:t>P </w:t>
      </w:r>
      <w:r w:rsidR="001A101F" w:rsidRPr="00730F74">
        <w:rPr>
          <w:rFonts w:eastAsia="Times New Roman"/>
          <w:lang w:eastAsia="en-GB"/>
        </w:rPr>
        <w:t>&lt; 0.001, l</w:t>
      </w:r>
      <w:r w:rsidRPr="00730F74">
        <w:rPr>
          <w:rFonts w:eastAsia="Times New Roman"/>
          <w:lang w:eastAsia="en-GB"/>
        </w:rPr>
        <w:t>og</w:t>
      </w:r>
      <w:r w:rsidR="001A101F" w:rsidRPr="00730F74">
        <w:rPr>
          <w:rFonts w:eastAsia="Times New Roman"/>
          <w:lang w:eastAsia="en-GB"/>
        </w:rPr>
        <w:t xml:space="preserve"> </w:t>
      </w:r>
      <w:r w:rsidRPr="00730F74">
        <w:rPr>
          <w:rFonts w:eastAsia="Times New Roman"/>
          <w:lang w:eastAsia="en-GB"/>
        </w:rPr>
        <w:t>rank test).</w:t>
      </w:r>
      <w:r w:rsidR="00CE5AC0" w:rsidRPr="00730F74">
        <w:rPr>
          <w:rFonts w:eastAsia="Times New Roman"/>
          <w:lang w:eastAsia="en-GB"/>
        </w:rPr>
        <w:t xml:space="preserve"> </w:t>
      </w:r>
      <w:r w:rsidRPr="00730F74">
        <w:rPr>
          <w:rFonts w:eastAsia="Times New Roman"/>
          <w:lang w:eastAsia="en-GB"/>
        </w:rPr>
        <w:t xml:space="preserve">Four patients discharged </w:t>
      </w:r>
      <w:r w:rsidR="001A101F" w:rsidRPr="00730F74">
        <w:rPr>
          <w:rFonts w:eastAsia="Times New Roman"/>
          <w:lang w:eastAsia="en-GB"/>
        </w:rPr>
        <w:t>before</w:t>
      </w:r>
      <w:r w:rsidRPr="00730F74">
        <w:rPr>
          <w:rFonts w:eastAsia="Times New Roman"/>
          <w:lang w:eastAsia="en-GB"/>
        </w:rPr>
        <w:t xml:space="preserve"> day 5 were assumed to have </w:t>
      </w:r>
      <w:r w:rsidR="00346558">
        <w:rPr>
          <w:rFonts w:eastAsia="Times New Roman"/>
          <w:lang w:eastAsia="en-GB"/>
        </w:rPr>
        <w:t xml:space="preserve">a </w:t>
      </w:r>
      <w:r w:rsidRPr="00730F74">
        <w:rPr>
          <w:rFonts w:eastAsia="Times New Roman"/>
          <w:lang w:eastAsia="en-GB"/>
        </w:rPr>
        <w:t xml:space="preserve">POMS </w:t>
      </w:r>
      <w:r w:rsidR="00346558">
        <w:rPr>
          <w:rFonts w:eastAsia="Times New Roman"/>
          <w:lang w:eastAsia="en-GB"/>
        </w:rPr>
        <w:t xml:space="preserve">score </w:t>
      </w:r>
      <w:r w:rsidRPr="00730F74">
        <w:rPr>
          <w:rFonts w:eastAsia="Times New Roman"/>
          <w:lang w:eastAsia="en-GB"/>
        </w:rPr>
        <w:t xml:space="preserve">of </w:t>
      </w:r>
      <w:r w:rsidR="00AB5CD9" w:rsidRPr="00730F74">
        <w:rPr>
          <w:rFonts w:eastAsia="Times New Roman"/>
          <w:lang w:eastAsia="en-GB"/>
        </w:rPr>
        <w:t>zero</w:t>
      </w:r>
      <w:r w:rsidRPr="00730F74">
        <w:rPr>
          <w:rFonts w:eastAsia="Times New Roman"/>
          <w:lang w:eastAsia="en-GB"/>
        </w:rPr>
        <w:t xml:space="preserve">. All patients were followed up </w:t>
      </w:r>
      <w:r w:rsidR="00AB5CD9" w:rsidRPr="00730F74">
        <w:rPr>
          <w:rFonts w:eastAsia="Times New Roman"/>
          <w:lang w:eastAsia="en-GB"/>
        </w:rPr>
        <w:t>for 1 </w:t>
      </w:r>
      <w:r w:rsidRPr="00730F74">
        <w:rPr>
          <w:rFonts w:eastAsia="Times New Roman"/>
          <w:lang w:eastAsia="en-GB"/>
        </w:rPr>
        <w:t xml:space="preserve">year </w:t>
      </w:r>
      <w:r w:rsidR="00AB5CD9" w:rsidRPr="00730F74">
        <w:rPr>
          <w:rFonts w:eastAsia="Times New Roman"/>
          <w:lang w:eastAsia="en-GB"/>
        </w:rPr>
        <w:t>after surgery to determine</w:t>
      </w:r>
      <w:r w:rsidRPr="00730F74">
        <w:rPr>
          <w:rFonts w:eastAsia="Times New Roman"/>
          <w:lang w:eastAsia="en-GB"/>
        </w:rPr>
        <w:t xml:space="preserve"> mortality. Seven patients died within 1</w:t>
      </w:r>
      <w:r w:rsidR="00AB5CD9" w:rsidRPr="00730F74">
        <w:rPr>
          <w:rFonts w:eastAsia="Times New Roman"/>
          <w:lang w:eastAsia="en-GB"/>
        </w:rPr>
        <w:t> </w:t>
      </w:r>
      <w:r w:rsidRPr="00730F74">
        <w:rPr>
          <w:rFonts w:eastAsia="Times New Roman"/>
          <w:lang w:eastAsia="en-GB"/>
        </w:rPr>
        <w:t>year of operation (liver and lung metastasis</w:t>
      </w:r>
      <w:r w:rsidR="00AB5CD9" w:rsidRPr="00730F74">
        <w:rPr>
          <w:rFonts w:eastAsia="Times New Roman"/>
          <w:lang w:eastAsia="en-GB"/>
        </w:rPr>
        <w:t>, 3</w:t>
      </w:r>
      <w:r w:rsidRPr="00730F74">
        <w:rPr>
          <w:rFonts w:eastAsia="Times New Roman"/>
          <w:lang w:eastAsia="en-GB"/>
        </w:rPr>
        <w:t>; liver and brain metastasis</w:t>
      </w:r>
      <w:r w:rsidR="00AB5CD9" w:rsidRPr="00730F74">
        <w:rPr>
          <w:rFonts w:eastAsia="Times New Roman"/>
          <w:lang w:eastAsia="en-GB"/>
        </w:rPr>
        <w:t>, 2</w:t>
      </w:r>
      <w:r w:rsidRPr="00730F74">
        <w:rPr>
          <w:rFonts w:eastAsia="Times New Roman"/>
          <w:lang w:eastAsia="en-GB"/>
        </w:rPr>
        <w:t>; hospital</w:t>
      </w:r>
      <w:r w:rsidR="00AB5CD9" w:rsidRPr="00730F74">
        <w:rPr>
          <w:rFonts w:eastAsia="Times New Roman"/>
          <w:lang w:eastAsia="en-GB"/>
        </w:rPr>
        <w:t>-</w:t>
      </w:r>
      <w:r w:rsidRPr="00730F74">
        <w:rPr>
          <w:rFonts w:eastAsia="Times New Roman"/>
          <w:lang w:eastAsia="en-GB"/>
        </w:rPr>
        <w:t>acquired pneumonia</w:t>
      </w:r>
      <w:r w:rsidR="00AB5CD9" w:rsidRPr="00730F74">
        <w:rPr>
          <w:rFonts w:eastAsia="Times New Roman"/>
          <w:lang w:eastAsia="en-GB"/>
        </w:rPr>
        <w:t>, 1;</w:t>
      </w:r>
      <w:r w:rsidRPr="00730F74">
        <w:rPr>
          <w:rFonts w:eastAsia="Times New Roman"/>
          <w:lang w:eastAsia="en-GB"/>
        </w:rPr>
        <w:t xml:space="preserve"> out-of-hospital cardiac arrest</w:t>
      </w:r>
      <w:r w:rsidR="00AB5CD9" w:rsidRPr="00730F74">
        <w:rPr>
          <w:rFonts w:eastAsia="Times New Roman"/>
          <w:lang w:eastAsia="en-GB"/>
        </w:rPr>
        <w:t xml:space="preserve">, 1); </w:t>
      </w:r>
      <w:r w:rsidRPr="00730F74">
        <w:rPr>
          <w:rFonts w:eastAsia="Times New Roman"/>
          <w:lang w:eastAsia="en-GB"/>
        </w:rPr>
        <w:t>all had a</w:t>
      </w:r>
      <w:r w:rsidR="00AB5CD9" w:rsidRPr="00730F74">
        <w:rPr>
          <w:rFonts w:eastAsia="Times New Roman"/>
          <w:lang w:eastAsia="en-GB"/>
        </w:rPr>
        <w:t xml:space="preserve"> </w:t>
      </w:r>
      <w:r w:rsidR="00737D7B" w:rsidRPr="00730F74">
        <w:rPr>
          <w:position w:val="-6"/>
        </w:rPr>
        <w:object w:dxaOrig="220" w:dyaOrig="300">
          <v:shape id="_x0000_i1106" type="#_x0000_t75" style="width:8.6pt;height:16.1pt" o:ole="">
            <v:imagedata r:id="rId24" o:title=""/>
          </v:shape>
          <o:OLEObject Type="Embed" ProgID="Equation.3" ShapeID="_x0000_i1106" DrawAspect="Content" ObjectID="_1460191787" r:id="rId72"/>
        </w:object>
      </w:r>
      <w:r w:rsidR="00737D7B" w:rsidRPr="00730F74">
        <w:rPr>
          <w:smallCaps/>
        </w:rPr>
        <w:t>o</w:t>
      </w:r>
      <w:r w:rsidR="00737D7B" w:rsidRPr="00730F74">
        <w:rPr>
          <w:vertAlign w:val="subscript"/>
        </w:rPr>
        <w:t>2</w:t>
      </w:r>
      <w:r w:rsidRPr="00730F74">
        <w:rPr>
          <w:rFonts w:eastAsia="Times New Roman"/>
          <w:lang w:eastAsia="en-GB"/>
        </w:rPr>
        <w:t xml:space="preserve"> </w:t>
      </w:r>
      <w:r w:rsidRPr="00730F74">
        <w:t xml:space="preserve">at </w:t>
      </w:r>
      <w:r w:rsidR="00AB5CD9" w:rsidRPr="00730F74">
        <w:rPr>
          <w:position w:val="-6"/>
        </w:rPr>
        <w:object w:dxaOrig="180" w:dyaOrig="320">
          <v:shape id="_x0000_i1056" type="#_x0000_t75" style="width:8.05pt;height:15.05pt" o:ole="">
            <v:imagedata r:id="rId49" o:title=""/>
          </v:shape>
          <o:OLEObject Type="Embed" ProgID="Equation.3" ShapeID="_x0000_i1056" DrawAspect="Content" ObjectID="_1460191788" r:id="rId73"/>
        </w:object>
      </w:r>
      <w:r w:rsidR="00AB5CD9" w:rsidRPr="00730F74">
        <w:rPr>
          <w:vertAlign w:val="subscript"/>
        </w:rPr>
        <w:t>L</w:t>
      </w:r>
      <w:r w:rsidR="00AB5CD9" w:rsidRPr="00730F74">
        <w:t xml:space="preserve"> </w:t>
      </w:r>
      <w:r w:rsidRPr="00730F74">
        <w:t xml:space="preserve">of </w:t>
      </w:r>
      <w:r w:rsidR="00AB5CD9" w:rsidRPr="00730F74">
        <w:t xml:space="preserve">less than </w:t>
      </w:r>
      <w:r w:rsidRPr="00730F74">
        <w:t>10.6</w:t>
      </w:r>
      <w:r w:rsidR="00AB5CD9" w:rsidRPr="00730F74">
        <w:t> </w:t>
      </w:r>
      <w:r w:rsidRPr="00730F74">
        <w:t>ml</w:t>
      </w:r>
      <w:r w:rsidR="00AB5CD9" w:rsidRPr="00730F74">
        <w:t xml:space="preserve"> per </w:t>
      </w:r>
      <w:r w:rsidRPr="00730F74">
        <w:t>kg</w:t>
      </w:r>
      <w:r w:rsidR="00AB5CD9" w:rsidRPr="00730F74">
        <w:t xml:space="preserve"> per </w:t>
      </w:r>
      <w:r w:rsidRPr="00730F74">
        <w:t>min</w:t>
      </w:r>
      <w:r w:rsidRPr="00730F74">
        <w:rPr>
          <w:vertAlign w:val="superscript"/>
        </w:rPr>
        <w:t xml:space="preserve"> </w:t>
      </w:r>
      <w:r w:rsidRPr="00730F74">
        <w:t xml:space="preserve">and </w:t>
      </w:r>
      <w:r w:rsidR="00AB5CD9" w:rsidRPr="00730F74">
        <w:t>experienced</w:t>
      </w:r>
      <w:r w:rsidRPr="00730F74">
        <w:t xml:space="preserve"> postoperative in-hospital morbidity (4 </w:t>
      </w:r>
      <w:r w:rsidR="00AB5CD9" w:rsidRPr="00730F74">
        <w:t>developed</w:t>
      </w:r>
      <w:r w:rsidRPr="00730F74">
        <w:t xml:space="preserve"> hospital</w:t>
      </w:r>
      <w:r w:rsidR="00AB5CD9" w:rsidRPr="00730F74">
        <w:t>-</w:t>
      </w:r>
      <w:r w:rsidRPr="00730F74">
        <w:t xml:space="preserve">acquired pneumonia, 2 </w:t>
      </w:r>
      <w:r w:rsidR="00AB5CD9" w:rsidRPr="00730F74">
        <w:t>had</w:t>
      </w:r>
      <w:r w:rsidRPr="00730F74">
        <w:t xml:space="preserve"> further surgery for a postoperative collection and 1 for wound dehiscence)</w:t>
      </w:r>
      <w:r w:rsidR="00AB5CD9" w:rsidRPr="00730F74">
        <w:t>.</w:t>
      </w:r>
    </w:p>
    <w:p w:rsidR="00CE5AC0" w:rsidRPr="00730F74" w:rsidRDefault="00AB5CD9" w:rsidP="009937D1">
      <w:pPr>
        <w:rPr>
          <w:b/>
        </w:rPr>
      </w:pPr>
      <w:r w:rsidRPr="00730F74">
        <w:rPr>
          <w:b/>
        </w:rPr>
        <w:t xml:space="preserve">+A: </w:t>
      </w:r>
      <w:r w:rsidR="009937D1" w:rsidRPr="00730F74">
        <w:rPr>
          <w:b/>
        </w:rPr>
        <w:t>Discussion</w:t>
      </w:r>
    </w:p>
    <w:p w:rsidR="009937D1" w:rsidRPr="00730F74" w:rsidRDefault="009937D1" w:rsidP="009937D1">
      <w:r w:rsidRPr="00730F74">
        <w:t>Th</w:t>
      </w:r>
      <w:r w:rsidR="00C352B5" w:rsidRPr="00730F74">
        <w:t>e</w:t>
      </w:r>
      <w:r w:rsidRPr="00730F74">
        <w:t xml:space="preserve"> </w:t>
      </w:r>
      <w:r w:rsidR="00C352B5" w:rsidRPr="00730F74">
        <w:t xml:space="preserve">findings in this study support the use of </w:t>
      </w:r>
      <w:r w:rsidRPr="00730F74">
        <w:t xml:space="preserve">CPET as an objective tool for risk assessment before rectal cancer surgery. Patients with lower </w:t>
      </w:r>
      <w:r w:rsidR="00737D7B" w:rsidRPr="00730F74">
        <w:rPr>
          <w:position w:val="-6"/>
        </w:rPr>
        <w:object w:dxaOrig="220" w:dyaOrig="300">
          <v:shape id="_x0000_i1107" type="#_x0000_t75" style="width:8.6pt;height:16.1pt" o:ole="">
            <v:imagedata r:id="rId24" o:title=""/>
          </v:shape>
          <o:OLEObject Type="Embed" ProgID="Equation.3" ShapeID="_x0000_i1107" DrawAspect="Content" ObjectID="_1460191789" r:id="rId74"/>
        </w:object>
      </w:r>
      <w:r w:rsidR="00737D7B" w:rsidRPr="00730F74">
        <w:rPr>
          <w:smallCaps/>
        </w:rPr>
        <w:t>o</w:t>
      </w:r>
      <w:r w:rsidR="00737D7B" w:rsidRPr="00730F74">
        <w:rPr>
          <w:vertAlign w:val="subscript"/>
        </w:rPr>
        <w:t>2</w:t>
      </w:r>
      <w:r w:rsidR="00C352B5" w:rsidRPr="00730F74">
        <w:t xml:space="preserve"> </w:t>
      </w:r>
      <w:r w:rsidRPr="00730F74">
        <w:t xml:space="preserve">at </w:t>
      </w:r>
      <w:r w:rsidR="00C352B5" w:rsidRPr="00730F74">
        <w:rPr>
          <w:position w:val="-6"/>
        </w:rPr>
        <w:object w:dxaOrig="180" w:dyaOrig="320">
          <v:shape id="_x0000_i1057" type="#_x0000_t75" style="width:8.05pt;height:15.05pt" o:ole="">
            <v:imagedata r:id="rId49" o:title=""/>
          </v:shape>
          <o:OLEObject Type="Embed" ProgID="Equation.3" ShapeID="_x0000_i1057" DrawAspect="Content" ObjectID="_1460191790" r:id="rId75"/>
        </w:object>
      </w:r>
      <w:r w:rsidR="00C352B5" w:rsidRPr="00730F74">
        <w:rPr>
          <w:vertAlign w:val="subscript"/>
        </w:rPr>
        <w:t>L</w:t>
      </w:r>
      <w:r w:rsidRPr="00730F74">
        <w:t>,</w:t>
      </w:r>
      <w:r w:rsidR="00C352B5" w:rsidRPr="00730F74">
        <w:t xml:space="preserve"> peak </w:t>
      </w:r>
      <w:r w:rsidR="00737D7B" w:rsidRPr="00730F74">
        <w:rPr>
          <w:position w:val="-6"/>
        </w:rPr>
        <w:object w:dxaOrig="220" w:dyaOrig="300">
          <v:shape id="_x0000_i1108" type="#_x0000_t75" style="width:8.6pt;height:16.1pt" o:ole="">
            <v:imagedata r:id="rId24" o:title=""/>
          </v:shape>
          <o:OLEObject Type="Embed" ProgID="Equation.3" ShapeID="_x0000_i1108" DrawAspect="Content" ObjectID="_1460191791" r:id="rId76"/>
        </w:object>
      </w:r>
      <w:r w:rsidR="00737D7B" w:rsidRPr="00730F74">
        <w:rPr>
          <w:smallCaps/>
        </w:rPr>
        <w:t>o</w:t>
      </w:r>
      <w:r w:rsidR="00737D7B" w:rsidRPr="00730F74">
        <w:rPr>
          <w:vertAlign w:val="subscript"/>
        </w:rPr>
        <w:t>2</w:t>
      </w:r>
      <w:r w:rsidRPr="00730F74">
        <w:t xml:space="preserve">, work rate at </w:t>
      </w:r>
      <w:r w:rsidR="00C352B5" w:rsidRPr="00730F74">
        <w:rPr>
          <w:position w:val="-6"/>
        </w:rPr>
        <w:object w:dxaOrig="180" w:dyaOrig="320">
          <v:shape id="_x0000_i1058" type="#_x0000_t75" style="width:8.05pt;height:15.05pt" o:ole="">
            <v:imagedata r:id="rId49" o:title=""/>
          </v:shape>
          <o:OLEObject Type="Embed" ProgID="Equation.3" ShapeID="_x0000_i1058" DrawAspect="Content" ObjectID="_1460191792" r:id="rId77"/>
        </w:object>
      </w:r>
      <w:r w:rsidR="00C352B5" w:rsidRPr="00730F74">
        <w:rPr>
          <w:vertAlign w:val="subscript"/>
        </w:rPr>
        <w:t>L</w:t>
      </w:r>
      <w:r w:rsidR="00C352B5" w:rsidRPr="00730F74">
        <w:t xml:space="preserve"> </w:t>
      </w:r>
      <w:r w:rsidRPr="00730F74">
        <w:t xml:space="preserve">and </w:t>
      </w:r>
      <w:r w:rsidR="00C352B5" w:rsidRPr="00730F74">
        <w:t>o</w:t>
      </w:r>
      <w:r w:rsidRPr="00730F74">
        <w:t xml:space="preserve">xygen pulse at </w:t>
      </w:r>
      <w:r w:rsidR="00C352B5" w:rsidRPr="00730F74">
        <w:rPr>
          <w:position w:val="-6"/>
        </w:rPr>
        <w:object w:dxaOrig="180" w:dyaOrig="320">
          <v:shape id="_x0000_i1059" type="#_x0000_t75" style="width:8.05pt;height:15.05pt" o:ole="">
            <v:imagedata r:id="rId49" o:title=""/>
          </v:shape>
          <o:OLEObject Type="Embed" ProgID="Equation.3" ShapeID="_x0000_i1059" DrawAspect="Content" ObjectID="_1460191793" r:id="rId78"/>
        </w:object>
      </w:r>
      <w:r w:rsidR="00C352B5" w:rsidRPr="00730F74">
        <w:rPr>
          <w:vertAlign w:val="subscript"/>
        </w:rPr>
        <w:t>L</w:t>
      </w:r>
      <w:r w:rsidR="00C352B5" w:rsidRPr="00730F74">
        <w:t xml:space="preserve"> </w:t>
      </w:r>
      <w:r w:rsidRPr="00730F74">
        <w:t>are at increased risk of postoperative morbidity</w:t>
      </w:r>
      <w:r w:rsidR="00C352B5" w:rsidRPr="00730F74">
        <w:t>, so t</w:t>
      </w:r>
      <w:r w:rsidRPr="00730F74">
        <w:t xml:space="preserve">hese variables </w:t>
      </w:r>
      <w:r w:rsidR="00C352B5" w:rsidRPr="00730F74">
        <w:t>may be</w:t>
      </w:r>
      <w:r w:rsidRPr="00730F74">
        <w:t xml:space="preserve"> useful in perioperative risk stratification. </w:t>
      </w:r>
      <w:r w:rsidR="00C352B5" w:rsidRPr="00730F74">
        <w:t>Sex</w:t>
      </w:r>
      <w:r w:rsidRPr="00730F74">
        <w:t xml:space="preserve">, operation type and age were not independently related to postoperative morbidity and did not contribute more information than either </w:t>
      </w:r>
      <w:r w:rsidR="00737D7B" w:rsidRPr="00730F74">
        <w:rPr>
          <w:position w:val="-6"/>
        </w:rPr>
        <w:object w:dxaOrig="220" w:dyaOrig="300">
          <v:shape id="_x0000_i1109" type="#_x0000_t75" style="width:8.6pt;height:16.1pt" o:ole="">
            <v:imagedata r:id="rId24" o:title=""/>
          </v:shape>
          <o:OLEObject Type="Embed" ProgID="Equation.3" ShapeID="_x0000_i1109" DrawAspect="Content" ObjectID="_1460191794" r:id="rId79"/>
        </w:object>
      </w:r>
      <w:r w:rsidR="00737D7B" w:rsidRPr="00730F74">
        <w:rPr>
          <w:smallCaps/>
        </w:rPr>
        <w:t>o</w:t>
      </w:r>
      <w:r w:rsidR="00737D7B" w:rsidRPr="00730F74">
        <w:rPr>
          <w:vertAlign w:val="subscript"/>
        </w:rPr>
        <w:t>2</w:t>
      </w:r>
      <w:r w:rsidR="00C352B5" w:rsidRPr="00730F74">
        <w:t xml:space="preserve"> </w:t>
      </w:r>
      <w:r w:rsidRPr="00730F74">
        <w:t xml:space="preserve">at </w:t>
      </w:r>
      <w:r w:rsidR="00C352B5" w:rsidRPr="00730F74">
        <w:rPr>
          <w:position w:val="-6"/>
        </w:rPr>
        <w:object w:dxaOrig="180" w:dyaOrig="320">
          <v:shape id="_x0000_i1060" type="#_x0000_t75" style="width:8.05pt;height:15.05pt" o:ole="">
            <v:imagedata r:id="rId49" o:title=""/>
          </v:shape>
          <o:OLEObject Type="Embed" ProgID="Equation.3" ShapeID="_x0000_i1060" DrawAspect="Content" ObjectID="_1460191795" r:id="rId80"/>
        </w:object>
      </w:r>
      <w:r w:rsidR="00C352B5" w:rsidRPr="00730F74">
        <w:rPr>
          <w:vertAlign w:val="subscript"/>
        </w:rPr>
        <w:t>L</w:t>
      </w:r>
      <w:r w:rsidR="00C352B5" w:rsidRPr="00730F74">
        <w:t xml:space="preserve"> or</w:t>
      </w:r>
      <w:r w:rsidRPr="00730F74">
        <w:t xml:space="preserve"> </w:t>
      </w:r>
      <w:r w:rsidR="00C352B5" w:rsidRPr="00730F74">
        <w:t xml:space="preserve">peak </w:t>
      </w:r>
      <w:r w:rsidR="00737D7B" w:rsidRPr="00730F74">
        <w:rPr>
          <w:position w:val="-6"/>
        </w:rPr>
        <w:object w:dxaOrig="220" w:dyaOrig="300">
          <v:shape id="_x0000_i1110" type="#_x0000_t75" style="width:8.6pt;height:16.1pt" o:ole="">
            <v:imagedata r:id="rId24" o:title=""/>
          </v:shape>
          <o:OLEObject Type="Embed" ProgID="Equation.3" ShapeID="_x0000_i1110" DrawAspect="Content" ObjectID="_1460191796" r:id="rId81"/>
        </w:object>
      </w:r>
      <w:r w:rsidR="00737D7B" w:rsidRPr="00730F74">
        <w:rPr>
          <w:smallCaps/>
        </w:rPr>
        <w:t>o</w:t>
      </w:r>
      <w:r w:rsidR="00737D7B" w:rsidRPr="00730F74">
        <w:rPr>
          <w:vertAlign w:val="subscript"/>
        </w:rPr>
        <w:t>2</w:t>
      </w:r>
      <w:r w:rsidR="00C352B5" w:rsidRPr="00730F74">
        <w:t xml:space="preserve"> alone.</w:t>
      </w:r>
    </w:p>
    <w:p w:rsidR="00C352B5" w:rsidRPr="00730F74" w:rsidRDefault="009937D1" w:rsidP="00C352B5">
      <w:pPr>
        <w:ind w:firstLine="540"/>
      </w:pPr>
      <w:r w:rsidRPr="00730F74">
        <w:t>This study adds to the literature supporting objective measures of physical fitness derived by CPET for risk assessment in major abdominal surgery</w:t>
      </w:r>
      <w:r w:rsidRPr="00730F74">
        <w:fldChar w:fldCharType="begin" w:fldLock="1"/>
      </w:r>
      <w:r w:rsidRPr="00730F74">
        <w:instrText>ADDIN CSL_CITATION { "citationItems" : [ { "id" : "ITEM-1", "itemData" : { "DOI" : "10.1093/bja/aeq034", "ISSN" : "1471-6771", "PMID" : "20190255", "abstract" : "This pilot study compared the risk predictive value of preoperative physiological capacity (PC: defined by gas exchange measured during cardiopulmonary exercise testing) with the ASA physical status classification in the same patients (n=32) undergoing major abdominal cancer surgery.", "author" : [ { "dropping-particle" : "", "family" : "Hightower", "given" : "C E", "non-dropping-particle" : "", "parse-names" : false, "suffix" : "" }, { "dropping-particle" : "", "family" : "Riedel", "given" : "B J", "non-dropping-particle" : "", "parse-names" : false, "suffix" : "" }, { "dropping-particle" : "", "family" : "Feig", "given" : "B W", "non-dropping-particle" : "", "parse-names" : false, "suffix" : "" }, { "dropping-particle" : "", "family" : "Morris", "given" : "G S", "non-dropping-particle" : "", "parse-names" : false, "suffix" : "" }, { "dropping-particle" : "", "family" : "Ensor", "given" : "J E", "non-dropping-particle" : "", "parse-names" : false, "suffix" : "" }, { "dropping-particle" : "", "family" : "Woodruff", "given" : "V D", "non-dropping-particle" : "", "parse-names" : false, "suffix" : "" }, { "dropping-particle" : "", "family" : "Daley-Norman", "given" : "M D", "non-dropping-particle" : "", "parse-names" : false, "suffix" : "" }, { "dropping-particle" : "", "family" : "Sun", "given" : "X G", "non-dropping-particle" : "", "parse-names" : false, "suffix" : "" } ], "container-title" : "British journal of anaesthesia", "id" : "ITEM-1", "issue" : "4", "issued" : { "date-parts" : [ [ "2010", "4" ] ] }, "page" : "465-71", "title" : "A pilot study evaluating predictors of postoperative outcomes after major abdominal surgery: Physiological capacity compared with the ASA physical status classification system.", "type" : "article-journal", "volume" : "104" }, "uris" : [ "http://www.mendeley.com/documents/?uuid=9e7d9f7c-6ee2-4eb3-93b3-c4fed40215ed" ] }, { "id" : "ITEM-2", "itemData" : { "DOI" : "10.1097/SLA.0b013e3181cf811d", "ISSN" : "1528-1140", "PMID" : "20134313", "abstract" : "To investigate the null hypothesis that an objective, noninvasive technique of measuring cardiorespiratory reserve, does not improve the preoperative assessment of patient risk of postoperative complications, when compared with a standard questionnaire-based assessment of functional capacity.", "author" : [ { "dropping-particle" : "", "family" : "Snowden", "given" : "Chris P", "non-dropping-particle" : "", "parse-names" : false, "suffix" : "" }, { "dropping-particle" : "", "family" : "Prentis", "given" : "James M", "non-dropping-particle" : "", "parse-names" : false, "suffix" : "" }, { "dropping-particle" : "", "family" : "Anderson", "given" : "Helen L", "non-dropping-particle" : "", "parse-names" : false, "suffix" : "" }, { "dropping-particle" : "", "family" : "Roberts", "given" : "Digby R", "non-dropping-particle" : "", "parse-names" : false, "suffix" : "" }, { "dropping-particle" : "", "family" : "Randles", "given" : "Derek", "non-dropping-particle" : "", "parse-names" : false, "suffix" : "" }, { "dropping-particle" : "", "family" : "Renton", "given" : "Morag", "non-dropping-particle" : "", "parse-names" : false, "suffix" : "" }, { "dropping-particle" : "", "family" : "Manas", "given" : "Derek M", "non-dropping-particle" : "", "parse-names" : false, "suffix" : "" } ], "container-title" : "Annals of surgery", "id" : "ITEM-2", "issue" : "3", "issued" : { "date-parts" : [ [ "2010", "3" ] ] }, "page" : "535-41", "title" : "Submaximal cardiopulmonary exercise testing predicts complications and hospital length of stay in patients undergoing major elective surgery.", "type" : "article-journal", "volume" : "251" }, "uris" : [ "http://www.mendeley.com/documents/?uuid=142f973e-509b-43cb-9c96-746119e01223" ] }, { "id" : "ITEM-3", "itemData" : { "DOI" : "10.1093/bja/aeq128", "ISSN" : "1471-6771", "PMID" : "20573634", "abstract" : "Studies of preoperative cardiopulmonary exercise testing (CPET) have shown that a reduced oxygen uptake at anaerobic threshold (AT) and elevated ventilatory equivalent for carbon dioxide (VE/VCO(2)) were associated with reduced short- and medium-term survival after major surgery. The aim of this study was to determine the relative values of these, and also clinical risk factors, in identifying patients at risk of death after major intra-abdominal, non-vascular surgery.", "author" : [ { "dropping-particle" : "", "family" : "Wilson", "given" : "R J T", "non-dropping-particle" : "", "parse-names" : false, "suffix" : "" }, { "dropping-particle" : "", "family" : "Davies", "given" : "S", "non-dropping-particle" : "", "parse-names" : false, "suffix" : "" }, { "dropping-particle" : "", "family" : "Yates", "given" : "D", "non-dropping-particle" : "", "parse-names" : false, "suffix" : "" }, { "dropping-particle" : "", "family" : "Redman", "given" : "J", "non-dropping-particle" : "", "parse-names" : false, "suffix" : "" }, { "dropping-particle" : "", "family" : "Stone", "given" : "M", "non-dropping-particle" : "", "parse-names" : false, "suffix" : "" } ], "container-title" : "Br J Anaesth", "id" : "ITEM-3", "issue" : "3", "issued" : { "date-parts" : [ [ "2010", "9" ] ] }, "page" : "297-303", "title" : "Impaired functional capacity is associated with all-cause mortality after major elective intra-abdominal surgery.", "type" : "article-journal", "volume" : "105" }, "uris" : [ "http://www.mendeley.com/documents/?uuid=97859c2a-baea-4357-82af-c6c459ff303b" ] }, { "id" : "ITEM-4", "itemData" : { "DOI" : "10.1002/bjs.5734", "ISSN" : "0007-1323", "PMID" : "17440956", "abstract" : "Cardiopulmonary exercise (CPX) testing measures how efficiently subjects meet increased metabolic demand. This study aimed to determine whether preoperative CPX testing predicted postoperative survival following elective abdominal aortic aneurysm (AAA) repair.", "author" : [ { "dropping-particle" : "", "family" : "Carlisle", "given" : "J", "non-dropping-particle" : "", "parse-names" : false, "suffix" : "" }, { "dropping-particle" : "", "family" : "Swart", "given" : "M", "non-dropping-particle" : "", "parse-names" : false, "suffix" : "" } ], "container-title" : "The British journal of surgery", "id" : "ITEM-4", "issue" : "8", "issued" : { "date-parts" : [ [ "2007", "8" ] ] }, "note" : "        From Duplicate 1 (                   Mid-term survival after abdominal aortic aneurysm surgery predicted by cardiopulmonary exercise testing.                 - Carlisle, J; Swart, M )\n                \n        \n        \n      ", "page" : "966-9", "title" : "Mid-term survival after abdominal aortic aneurysm surgery predicted by cardiopulmonary exercise testing.", "type" : "article-journal", "volume" : "94" }, "uris" : [ "http://www.mendeley.com/documents/?uuid=f4fbd061-8a4c-418b-be1c-5bb600025f11" ] }, { "id" : "ITEM-5", "itemData" : { "DOI" : "10.1111/j.1365-2044.2009.05983.x", "ISSN" : "1365-2044", "PMID" : "19604193", "abstract" : "This study reviews the predictive value of maximum oxygen consumption (VO2max) and anaerobic threshold, obtained through cardiopulmonary exercise testing, in calculating peri-operative morbidity and mortality in non-cardiopulmonary thoraco-abdominal surgery. A literature review provided nine studies that investigated either one or both of these two variables across a wide range of surgical procedures. Six of the seven studies that reported sufficiently detailed results on peak oxygen consumption and four of the six studies that reported sufficiently detailed results on anaerobic threshold found them to be significant predictors. We conclude that peak oxygen consumption and possibly anaerobic threshold are valid predictors of peri-operative morbidity and mortality in non-cardiopulmonary thoraco-abdominal surgery. These indicators could potentially provide a means of allocating increased care to high-risk patients.", "author" : [ { "dropping-particle" : "", "family" : "Smith", "given" : "T B", "non-dropping-particle" : "", "parse-names" : false, "suffix" : "" }, { "dropping-particle" : "", "family" : "Stonell", "given" : "C", "non-dropping-particle" : "", "parse-names" : false, "suffix" : "" }, { "dropping-particle" : "", "family" : "Purkayastha", "given" : "S", "non-dropping-particle" : "", "parse-names" : false, "suffix" : "" }, { "dropping-particle" : "", "family" : "Paraskevas", "given" : "P", "non-dropping-particle" : "", "parse-names" : false, "suffix" : "" } ], "container-title" : "Anaesthesia", "id" : "ITEM-5", "issue" : "8", "issued" : { "date-parts" : [ [ "2009", "8" ] ] }, "page" : "883-93", "title" : "Cardiopulmonary exercise testing as a risk assessment method in non cardio-pulmonary surgery: a systematic review.", "type" : "article-journal", "volume" : "64" }, "uris" : [ "http://www.mendeley.com/documents/?uuid=e375fb55-3b19-4817-9e73-e8b418b693f7" ] }, { "id" : "ITEM-6", "itemData" : { "DOI" : "10.1016/j.bpa.2011.07.004", "ISSN" : "1521-6896", "PMID" : "21925407", "abstract" : "The elderly constitute an increasingly large segment of the population and of the patients requiring medical attention. Major surgery is associated with a substantial burden of postoperative morbidity and mortality. Advancing age is a particular risk factor for these outcomes. This article reviews the current literature on the value and practical applications of cardiopulmonary exercise testing (CPET) as a tool to evaluate risk and thereby improve the management of the elderly patient undergoing major surgery. There is a consistent association between CPET-derived variables and outcome following major surgery. Furthermore, CPET-derived variables have utility in perioperative risk prediction and identification of patients at high risk of adverse outcome following major surgery. This optimal predictor appears to differ between various surgery types and the incremental benefit of combining CPET with alternative methods of perioperative risk prediction remains poorly defined.", "author" : [ { "dropping-particle" : "", "family" : "West", "given" : "M", "non-dropping-particle" : "", "parse-names" : false, "suffix" : "" }, { "dropping-particle" : "", "family" : "Jack", "given" : "S", "non-dropping-particle" : "", "parse-names" : false, "suffix" : "" }, { "dropping-particle" : "", "family" : "Grocott", "given" : "M P W", "non-dropping-particle" : "", "parse-names" : false, "suffix" : "" } ], "container-title" : "Best practice &amp; research. Clinical anaesthesiology", "id" : "ITEM-6", "issue" : "3", "issued" : { "date-parts" : [ [ "2011", "9" ] ] }, "page" : "427-37", "publisher" : "Elsevier Ltd", "title" : "Perioperative cardiopulmonary exercise testing in the elderly.", "type" : "article-journal", "volume" : "25" }, "uris" : [ "http://www.mendeley.com/documents/?uuid=836cd805-8fb3-452f-851b-2fbbe19dd198" ] }, { "id" : "ITEM-7", "itemData" : { "DOI" : "10.1136/pgmj.2010.107185", "ISSN" : "1469-0756", "PMID" : "21693573", "abstract" : "The use of cardiopulmonary exercise testing (CPET) as a preoperative risk stratification tool for a range of non-cardiopulmonary surgery is increasing. The utility of CPET in this role is dependent on the technology being able to identify accurately and reliably those patients at increased risk of perioperative events when compared with existing risk stratification tools. This article identifies and reviews systematically the current literature regarding the use of CPET as a preoperative tool for stratifying risk in major non-cardiopulmonary surgery. Specifically, it focuses on evaluating the capacity of CPET variables to predict the risk of postoperative complications and mortality in comparison to other methods of risk assessment. Furthermore, the potential for combining results from CPET and non-CPET methods of risk prediction to enhance the capacity to identify high risk patients is considered. The review indicates that CPET can identify patients at increased risk of adverse perioperative outcomes. However, the selection of variables and threshold values to indicate high risk differ for different surgical procedures and underlying conditions. Furthermore, the available data suggest that CPET variables outperform alternative methods of preoperative risk stratification. Several studies also identify that CPET variables may be used in combination with non-CPET variables to increase perioperative risk prediction accuracy. These findings illustrate that CPET has the capacity to identify patients at increased risk of adverse outcome before a range of non-cardiopulmonary surgical procedures. Further research is required to optimise its use, potentially by combining CPET results with alternative methods of risk stratification.", "author" : [ { "dropping-particle" : "", "family" : "Hennis", "given" : "Philip J", "non-dropping-particle" : "", "parse-names" : false, "suffix" : "" }, { "dropping-particle" : "", "family" : "Meale", "given" : "Paula M", "non-dropping-particle" : "", "parse-names" : false, "suffix" : "" }, { "dropping-particle" : "", "family" : "Grocott", "given" : "Michael P W", "non-dropping-particle" : "", "parse-names" : false, "suffix" : "" } ], "container-title" : "Postgrad Med J", "id" : "ITEM-7", "issue" : "1030", "issued" : { "date-parts" : [ [ "2011", "8" ] ] }, "page" : "550-7", "title" : "Cardiopulmonary exercise testing for the evaluation of perioperative risk in non-cardiopulmonary surgery.", "type" : "article-journal", "volume" : "87" }, "uris" : [ "http://www.mendeley.com/documents/?uuid=49ae0ffd-6482-4259-bbf6-6197d41a4873" ] }, { "id" : "ITEM-8", "itemData" : { "DOI" : "10.1002/bjs.8773", "ISSN" : "1365-2168", "PMID" : "22696424", "abstract" : "Contemporary liver surgery practice must accurately assess operative risk in increasingly elderly populations with greater co-morbidity. This study evaluated preoperative cardiopulmonary exercise testing (CPET) in high-risk patients undergoing hepatic resection.", "author" : [ { "dropping-particle" : "", "family" : "Junejo", "given" : "MA a", "non-dropping-particle" : "", "parse-names" : false, "suffix" : "" }, { "dropping-particle" : "", "family" : "Mason", "given" : "JM M", "non-dropping-particle" : "", "parse-names" : false, "suffix" : "" }, { "dropping-particle" : "", "family" : "Sheen", "given" : "a J", "non-dropping-particle" : "", "parse-names" : false, "suffix" : "" }, { "dropping-particle" : "", "family" : "Moore", "given" : "J", "non-dropping-particle" : "", "parse-names" : false, "suffix" : "" }, { "dropping-particle" : "", "family" : "Foster", "given" : "P", "non-dropping-particle" : "", "parse-names" : false, "suffix" : "" }, { "dropping-particle" : "", "family" : "Atkinson", "given" : "D", "non-dropping-particle" : "", "parse-names" : false, "suffix" : "" }, { "dropping-particle" : "", "family" : "Parker", "given" : "M J", "non-dropping-particle" : "", "parse-names" : false, "suffix" : "" }, { "dropping-particle" : "", "family" : "Siriwardena", "given" : "a K", "non-dropping-particle" : "", "parse-names" : false, "suffix" : "" } ], "container-title" : "British Journal of Surgery", "id" : "ITEM-8", "issue" : "8", "issued" : { "date-parts" : [ [ "2012", "8" ] ] }, "page" : "1097-1104", "title" : "Cardiopulmonary exercise testing for preoperative risk assessment before hepatic resection.", "type" : "article-journal", "volume" : "99" }, "uris" : [ "http://www.mendeley.com/documents/?uuid=26e9a14b-6d94-45d8-8122-b65e65b51d5a" ] }, { "id" : "ITEM-9", "itemData" : { "DOI" : "10.1097/ACO.0b013e32834f6c32", "ISSN" : "1473-6500", "PMID" : "22327200", "abstract" : "We reviewed recent articles, guidelines, and meta-analyses concerning the use of cardiopulmonary exercise testing (CPET) in preoperative risk evaluation and fitness for surgery. When the risk of surgery mortality is high (e.g. &gt;5%), and/or the preoperative state of the patient indicates increased propensity toward morbidity and mortality (advanced age, presence of cardiovascular risk factors, multisystem disease, poor functional status, and so on), the thoroughness of the perioperative assessment should be intensified beyond the standard history and physical, basic laboratories, and electrocardiogram stress testing to include CPET.", "author" : [ { "dropping-particle" : "", "family" : "Stringer", "given" : "William", "non-dropping-particle" : "", "parse-names" : false, "suffix" : "" }, { "dropping-particle" : "", "family" : "Casaburi", "given" : "Richard", "non-dropping-particle" : "", "parse-names" : false, "suffix" : "" }, { "dropping-particle" : "", "family" : "Older", "given" : "Paul", "non-dropping-particle" : "", "parse-names" : false, "suffix" : "" } ], "container-title" : "Current opinion in anaesthesiology", "id" : "ITEM-9", "issue" : "2", "issued" : { "date-parts" : [ [ "2012", "4" ] ] }, "page" : "178-84", "title" : "Cardiopulmonary exercise testing: does it improve perioperative care and outcome?", "type" : "article-journal", "volume" : "25" }, "uris" : [ "http://www.mendeley.com/documents/?uuid=5f439e21-d779-4ccc-8b27-82c0eb566e79" ] }, { "id" : "ITEM-10", "itemData" : { "DOI" : "10.1002/bjs.8859", "ISSN" : "1365-2168", "PMID" : "22828960", "abstract" : "Postoperative complications are increased in patients with reduced cardiopulmonary reserve undergoing major surgery. Pancreatic leak is an important contributor to postoperative complications and death following pancreaticoduodenectomy. The aim of this study was to determine whether reduced cardiopulmonary reserve was a risk factor for pancreatic leak.", "author" : [ { "dropping-particle" : "", "family" : "Ausania", "given" : "F", "non-dropping-particle" : "", "parse-names" : false, "suffix" : "" }, { "dropping-particle" : "", "family" : "Snowden", "given" : "C P", "non-dropping-particle" : "", "parse-names" : false, "suffix" : "" }, { "dropping-particle" : "", "family" : "Prentis", "given" : "J M", "non-dropping-particle" : "", "parse-names" : false, "suffix" : "" }, { "dropping-particle" : "", "family" : "Holmes", "given" : "L R", "non-dropping-particle" : "", "parse-names" : false, "suffix" : "" }, { "dropping-particle" : "", "family" : "Jaques", "given" : "B C", "non-dropping-particle" : "", "parse-names" : false, "suffix" : "" }, { "dropping-particle" : "", "family" : "White", "given" : "S a", "non-dropping-particle" : "", "parse-names" : false, "suffix" : "" }, { "dropping-particle" : "", "family" : "French", "given" : "J J", "non-dropping-particle" : "", "parse-names" : false, "suffix" : "" }, { "dropping-particle" : "", "family" : "Manas", "given" : "D M", "non-dropping-particle" : "", "parse-names" : false, "suffix" : "" }, { "dropping-particle" : "", "family" : "Charnley", "given" : "R M", "non-dropping-particle" : "", "parse-names" : false, "suffix" : "" } ], "container-title" : "The British journal of surgery", "id" : "ITEM-10", "issue" : "9", "issued" : { "date-parts" : [ [ "2012", "9" ] ] }, "page" : "1290-4", "title" : "Effects of low cardiopulmonary reserve on pancreatic leak following pancreaticoduodenectomy.", "type" : "article-journal", "volume" : "99" }, "uris" : [ "http://www.mendeley.com/documents/?uuid=7e6cc2b6-dee0-4619-90c6-eaa659955427" ] } ], "mendeley" : { "previouslyFormattedCitation" : "(4,10\u201315,24\u201326)" }, "properties" : { "noteIndex" : 0 }, "schema" : "https://github.com/citation-style-language/schema/raw/master/csl-citation.json" }</w:instrText>
      </w:r>
      <w:r w:rsidRPr="00730F74">
        <w:fldChar w:fldCharType="separate"/>
      </w:r>
      <w:r w:rsidRPr="00730F74">
        <w:rPr>
          <w:noProof/>
          <w:vertAlign w:val="superscript"/>
        </w:rPr>
        <w:t>4,10–15,2</w:t>
      </w:r>
      <w:r w:rsidR="0051795E" w:rsidRPr="00730F74">
        <w:rPr>
          <w:noProof/>
          <w:vertAlign w:val="superscript"/>
        </w:rPr>
        <w:t>5</w:t>
      </w:r>
      <w:r w:rsidRPr="00730F74">
        <w:rPr>
          <w:noProof/>
          <w:vertAlign w:val="superscript"/>
        </w:rPr>
        <w:t>–2</w:t>
      </w:r>
      <w:r w:rsidR="0051795E" w:rsidRPr="00730F74">
        <w:rPr>
          <w:noProof/>
          <w:vertAlign w:val="superscript"/>
        </w:rPr>
        <w:t>7</w:t>
      </w:r>
      <w:r w:rsidRPr="00730F74">
        <w:fldChar w:fldCharType="end"/>
      </w:r>
      <w:r w:rsidRPr="00730F74">
        <w:t>. A particular strength of the study</w:t>
      </w:r>
      <w:r w:rsidR="00C352B5" w:rsidRPr="00730F74">
        <w:t xml:space="preserve"> </w:t>
      </w:r>
      <w:r w:rsidRPr="00730F74">
        <w:t>is that clinicians were blinded to CPET results (as in previous studies</w:t>
      </w:r>
      <w:r w:rsidRPr="00730F74">
        <w:fldChar w:fldCharType="begin" w:fldLock="1"/>
      </w:r>
      <w:r w:rsidRPr="00730F74">
        <w:instrText>ADDIN CSL_CITATION { "citationItems" : [ { "id" : "ITEM-1", "itemData" : { "DOI" : "10.1097/SLA.0b013e3181cf811d", "ISSN" : "1528-1140", "PMID" : "20134313", "abstract" : "To investigate the null hypothesis that an objective, noninvasive technique of measuring cardiorespiratory reserve, does not improve the preoperative assessment of patient risk of postoperative complications, when compared with a standard questionnaire-based assessment of functional capacity.", "author" : [ { "dropping-particle" : "", "family" : "Snowden", "given" : "Chris P", "non-dropping-particle" : "", "parse-names" : false, "suffix" : "" }, { "dropping-particle" : "", "family" : "Prentis", "given" : "James M", "non-dropping-particle" : "", "parse-names" : false, "suffix" : "" }, { "dropping-particle" : "", "family" : "Anderson", "given" : "Helen L", "non-dropping-particle" : "", "parse-names" : false, "suffix" : "" }, { "dropping-particle" : "", "family" : "Roberts", "given" : "Digby R", "non-dropping-particle" : "", "parse-names" : false, "suffix" : "" }, { "dropping-particle" : "", "family" : "Randles", "given" : "Derek", "non-dropping-particle" : "", "parse-names" : false, "suffix" : "" }, { "dropping-particle" : "", "family" : "Renton", "given" : "Morag", "non-dropping-particle" : "", "parse-names" : false, "suffix" : "" }, { "dropping-particle" : "", "family" : "Manas", "given" : "Derek M", "non-dropping-particle" : "", "parse-names" : false, "suffix" : "" } ], "container-title" : "Annals of surgery", "id" : "ITEM-1", "issue" : "3", "issued" : { "date-parts" : [ [ "2010", "3" ] ] }, "page" : "535-41", "title" : "Submaximal cardiopulmonary exercise testing predicts complications and hospital length of stay in patients undergoing major elective surgery.", "type" : "article-journal", "volume" : "251" }, "uris" : [ "http://www.mendeley.com/documents/?uuid=142f973e-509b-43cb-9c96-746119e01223" ] }, { "id" : "ITEM-2", "itemData" : { "DOI" : "10.1093/bja/aeq034", "ISSN" : "1471-6771", "PMID" : "20190255", "abstract" : "This pilot study compared the risk predictive value of preoperative physiological capacity (PC: defined by gas exchange measured during cardiopulmonary exercise testing) with the ASA physical status classification in the same patients (n=32) undergoing major abdominal cancer surgery.", "author" : [ { "dropping-particle" : "", "family" : "Hightower", "given" : "C E", "non-dropping-particle" : "", "parse-names" : false, "suffix" : "" }, { "dropping-particle" : "", "family" : "Riedel", "given" : "B J", "non-dropping-particle" : "", "parse-names" : false, "suffix" : "" }, { "dropping-particle" : "", "family" : "Feig", "given" : "B W", "non-dropping-particle" : "", "parse-names" : false, "suffix" : "" }, { "dropping-particle" : "", "family" : "Morris", "given" : "G S", "non-dropping-particle" : "", "parse-names" : false, "suffix" : "" }, { "dropping-particle" : "", "family" : "Ensor", "given" : "J E", "non-dropping-particle" : "", "parse-names" : false, "suffix" : "" }, { "dropping-particle" : "", "family" : "Woodruff", "given" : "V D", "non-dropping-particle" : "", "parse-names" : false, "suffix" : "" }, { "dropping-particle" : "", "family" : "Daley-Norman", "given" : "M D", "non-dropping-particle" : "", "parse-names" : false, "suffix" : "" }, { "dropping-particle" : "", "family" : "Sun", "given" : "X G", "non-dropping-particle" : "", "parse-names" : false, "suffix" : "" } ], "container-title" : "British journal of anaesthesia", "id" : "ITEM-2", "issue" : "4", "issued" : { "date-parts" : [ [ "2010", "4" ] ] }, "page" : "465-71", "title" : "A pilot study evaluating predictors of postoperative outcomes after major abdominal surgery: Physiological capacity compared with the ASA physical status classification system.", "type" : "article-journal", "volume" : "104" }, "uris" : [ "http://www.mendeley.com/documents/?uuid=9e7d9f7c-6ee2-4eb3-93b3-c4fed40215ed" ] } ], "mendeley" : { "previouslyFormattedCitation" : "(4,15)" }, "properties" : { "noteIndex" : 0 }, "schema" : "https://github.com/citation-style-language/schema/raw/master/csl-citation.json" }</w:instrText>
      </w:r>
      <w:r w:rsidRPr="00730F74">
        <w:fldChar w:fldCharType="separate"/>
      </w:r>
      <w:r w:rsidRPr="00730F74">
        <w:rPr>
          <w:noProof/>
          <w:vertAlign w:val="superscript"/>
        </w:rPr>
        <w:t>4,15</w:t>
      </w:r>
      <w:r w:rsidRPr="00730F74">
        <w:fldChar w:fldCharType="end"/>
      </w:r>
      <w:r w:rsidR="00C352B5" w:rsidRPr="00730F74">
        <w:t>)</w:t>
      </w:r>
      <w:r w:rsidRPr="00730F74">
        <w:t>,</w:t>
      </w:r>
      <w:r w:rsidR="00C352B5" w:rsidRPr="00730F74">
        <w:t xml:space="preserve"> thereby</w:t>
      </w:r>
      <w:r w:rsidR="00CE5AC0" w:rsidRPr="00730F74">
        <w:t xml:space="preserve"> </w:t>
      </w:r>
      <w:r w:rsidRPr="00730F74">
        <w:t>eliminat</w:t>
      </w:r>
      <w:r w:rsidR="00C352B5" w:rsidRPr="00730F74">
        <w:t>ing</w:t>
      </w:r>
      <w:r w:rsidRPr="00730F74">
        <w:t xml:space="preserve"> ‘confounding by indication’</w:t>
      </w:r>
      <w:r w:rsidRPr="00730F74">
        <w:rPr>
          <w:vertAlign w:val="superscript"/>
        </w:rPr>
        <w:fldChar w:fldCharType="begin" w:fldLock="1"/>
      </w:r>
      <w:r w:rsidRPr="00730F74">
        <w:rPr>
          <w:vertAlign w:val="superscript"/>
        </w:rPr>
        <w:instrText>ADDIN CSL_CITATION { "citationItems" : [ { "id" : "ITEM-1", "itemData" : { "DOI" : "10.1093/bja/aeq207", "ISSN" : "1471-6771", "PMID" : "20716567", "author" : [ { "dropping-particle" : "", "family" : "Grocott", "given" : "M P W", "non-dropping-particle" : "", "parse-names" : false, "suffix" : "" }, { "dropping-particle" : "", "family" : "Pearse", "given" : "R M", "non-dropping-particle" : "", "parse-names" : false, "suffix" : "" } ], "container-title" : "British journal of anaesthesia", "id" : "ITEM-1", "issue" : "3", "issued" : { "date-parts" : [ [ "2010", "9" ] ] }, "page" : "243-5", "title" : "Prognostic studies of perioperative risk: robust methodology is needed.", "type" : "article-journal", "volume" : "105" }, "uris" : [ "http://www.mendeley.com/documents/?uuid=1fd55d41-d111-4256-8a0d-bf7658ac3a4e" ] } ], "mendeley" : { "previouslyFormattedCitation" : "(27)" }, "properties" : { "noteIndex" : 0 }, "schema" : "https://github.com/citation-style-language/schema/raw/master/csl-citation.json" }</w:instrText>
      </w:r>
      <w:r w:rsidRPr="00730F74">
        <w:rPr>
          <w:vertAlign w:val="superscript"/>
        </w:rPr>
        <w:fldChar w:fldCharType="separate"/>
      </w:r>
      <w:r w:rsidRPr="00730F74">
        <w:rPr>
          <w:noProof/>
          <w:vertAlign w:val="superscript"/>
        </w:rPr>
        <w:t>2</w:t>
      </w:r>
      <w:r w:rsidR="0051795E" w:rsidRPr="00730F74">
        <w:rPr>
          <w:noProof/>
          <w:vertAlign w:val="superscript"/>
        </w:rPr>
        <w:t>8</w:t>
      </w:r>
      <w:r w:rsidRPr="00730F74">
        <w:rPr>
          <w:vertAlign w:val="superscript"/>
        </w:rPr>
        <w:fldChar w:fldCharType="end"/>
      </w:r>
      <w:r w:rsidRPr="00730F74">
        <w:t>.</w:t>
      </w:r>
      <w:r w:rsidR="00C352B5" w:rsidRPr="00730F74">
        <w:t xml:space="preserve"> </w:t>
      </w:r>
      <w:r w:rsidRPr="00730F74">
        <w:t>The best prognostic markers of postoperative morbidity for this cohort were</w:t>
      </w:r>
      <w:r w:rsidR="00C352B5" w:rsidRPr="00730F74">
        <w:t xml:space="preserve"> </w:t>
      </w:r>
      <w:r w:rsidR="00737D7B" w:rsidRPr="00730F74">
        <w:rPr>
          <w:position w:val="-6"/>
        </w:rPr>
        <w:object w:dxaOrig="220" w:dyaOrig="300">
          <v:shape id="_x0000_i1111" type="#_x0000_t75" style="width:8.6pt;height:16.1pt" o:ole="">
            <v:imagedata r:id="rId24" o:title=""/>
          </v:shape>
          <o:OLEObject Type="Embed" ProgID="Equation.3" ShapeID="_x0000_i1111" DrawAspect="Content" ObjectID="_1460191797" r:id="rId82"/>
        </w:object>
      </w:r>
      <w:r w:rsidR="00737D7B" w:rsidRPr="00730F74">
        <w:rPr>
          <w:smallCaps/>
        </w:rPr>
        <w:t>o</w:t>
      </w:r>
      <w:r w:rsidR="00737D7B" w:rsidRPr="00730F74">
        <w:rPr>
          <w:vertAlign w:val="subscript"/>
        </w:rPr>
        <w:t>2</w:t>
      </w:r>
      <w:r w:rsidRPr="00730F74">
        <w:t xml:space="preserve"> at </w:t>
      </w:r>
      <w:r w:rsidR="00C352B5" w:rsidRPr="00730F74">
        <w:rPr>
          <w:position w:val="-6"/>
        </w:rPr>
        <w:object w:dxaOrig="180" w:dyaOrig="320">
          <v:shape id="_x0000_i1061" type="#_x0000_t75" style="width:8.05pt;height:15.05pt" o:ole="">
            <v:imagedata r:id="rId49" o:title=""/>
          </v:shape>
          <o:OLEObject Type="Embed" ProgID="Equation.3" ShapeID="_x0000_i1061" DrawAspect="Content" ObjectID="_1460191798" r:id="rId83"/>
        </w:object>
      </w:r>
      <w:r w:rsidR="00C352B5" w:rsidRPr="00730F74">
        <w:rPr>
          <w:vertAlign w:val="subscript"/>
        </w:rPr>
        <w:t>L</w:t>
      </w:r>
      <w:r w:rsidR="00C352B5" w:rsidRPr="00730F74">
        <w:t xml:space="preserve">, </w:t>
      </w:r>
      <w:r w:rsidRPr="00730F74">
        <w:t>with an optimal cut-</w:t>
      </w:r>
      <w:r w:rsidR="00C352B5" w:rsidRPr="00730F74">
        <w:t>off</w:t>
      </w:r>
      <w:r w:rsidRPr="00730F74">
        <w:t xml:space="preserve"> of 10.6</w:t>
      </w:r>
      <w:r w:rsidR="00C352B5" w:rsidRPr="00730F74">
        <w:t> </w:t>
      </w:r>
      <w:r w:rsidRPr="00730F74">
        <w:t>ml</w:t>
      </w:r>
      <w:r w:rsidR="00C352B5" w:rsidRPr="00730F74">
        <w:t xml:space="preserve"> per </w:t>
      </w:r>
      <w:r w:rsidRPr="00730F74">
        <w:t>kg</w:t>
      </w:r>
      <w:r w:rsidR="00C352B5" w:rsidRPr="00730F74">
        <w:t xml:space="preserve"> per </w:t>
      </w:r>
      <w:r w:rsidRPr="00730F74">
        <w:t>min</w:t>
      </w:r>
      <w:r w:rsidR="00C352B5" w:rsidRPr="00730F74">
        <w:t xml:space="preserve">, </w:t>
      </w:r>
      <w:r w:rsidRPr="00730F74">
        <w:t xml:space="preserve">and </w:t>
      </w:r>
      <w:r w:rsidR="00C352B5" w:rsidRPr="00730F74">
        <w:t xml:space="preserve">peak </w:t>
      </w:r>
      <w:r w:rsidR="00737D7B" w:rsidRPr="00730F74">
        <w:rPr>
          <w:position w:val="-6"/>
        </w:rPr>
        <w:object w:dxaOrig="220" w:dyaOrig="300">
          <v:shape id="_x0000_i1112" type="#_x0000_t75" style="width:8.6pt;height:16.1pt" o:ole="">
            <v:imagedata r:id="rId24" o:title=""/>
          </v:shape>
          <o:OLEObject Type="Embed" ProgID="Equation.3" ShapeID="_x0000_i1112" DrawAspect="Content" ObjectID="_1460191799" r:id="rId84"/>
        </w:object>
      </w:r>
      <w:r w:rsidR="00737D7B" w:rsidRPr="00730F74">
        <w:rPr>
          <w:smallCaps/>
        </w:rPr>
        <w:t>o</w:t>
      </w:r>
      <w:r w:rsidR="00737D7B" w:rsidRPr="00730F74">
        <w:rPr>
          <w:vertAlign w:val="subscript"/>
        </w:rPr>
        <w:t>2</w:t>
      </w:r>
      <w:r w:rsidR="00C352B5" w:rsidRPr="00730F74">
        <w:t>,</w:t>
      </w:r>
      <w:r w:rsidRPr="00730F74">
        <w:t xml:space="preserve"> with an optimal cut-</w:t>
      </w:r>
      <w:r w:rsidR="00C352B5" w:rsidRPr="00730F74">
        <w:t>off</w:t>
      </w:r>
      <w:r w:rsidRPr="00730F74">
        <w:t xml:space="preserve"> of 18.6</w:t>
      </w:r>
      <w:r w:rsidR="00C352B5" w:rsidRPr="00730F74">
        <w:t> </w:t>
      </w:r>
      <w:r w:rsidRPr="00730F74">
        <w:t>ml</w:t>
      </w:r>
      <w:r w:rsidR="00C352B5" w:rsidRPr="00730F74">
        <w:t xml:space="preserve"> per </w:t>
      </w:r>
      <w:r w:rsidRPr="00730F74">
        <w:t>kg</w:t>
      </w:r>
      <w:r w:rsidR="00C352B5" w:rsidRPr="00730F74">
        <w:t xml:space="preserve"> per </w:t>
      </w:r>
      <w:r w:rsidRPr="00730F74">
        <w:t>min. These are similar to cut-</w:t>
      </w:r>
      <w:r w:rsidR="00C352B5" w:rsidRPr="00730F74">
        <w:t>off values</w:t>
      </w:r>
      <w:r w:rsidRPr="00730F74">
        <w:t xml:space="preserve"> found by others</w:t>
      </w:r>
      <w:r w:rsidRPr="00730F74">
        <w:rPr>
          <w:vertAlign w:val="superscript"/>
        </w:rPr>
        <w:fldChar w:fldCharType="begin" w:fldLock="1"/>
      </w:r>
      <w:r w:rsidRPr="00730F74">
        <w:rPr>
          <w:vertAlign w:val="superscript"/>
        </w:rPr>
        <w:instrText>ADDIN CSL_CITATION { "citationItems" : [ { "id" : "ITEM-1", "itemData" : { "DOI" : "10.1097/SLA.0b013e3181cf811d", "ISSN" : "1528-1140", "PMID" : "20134313", "abstract" : "To investigate the null hypothesis that an objective, noninvasive technique of measuring cardiorespiratory reserve, does not improve the preoperative assessment of patient risk of postoperative complications, when compared with a standard questionnaire-based assessment of functional capacity.", "author" : [ { "dropping-particle" : "", "family" : "Snowden", "given" : "Chris P", "non-dropping-particle" : "", "parse-names" : false, "suffix" : "" }, { "dropping-particle" : "", "family" : "Prentis", "given" : "James M", "non-dropping-particle" : "", "parse-names" : false, "suffix" : "" }, { "dropping-particle" : "", "family" : "Anderson", "given" : "Helen L", "non-dropping-particle" : "", "parse-names" : false, "suffix" : "" }, { "dropping-particle" : "", "family" : "Roberts", "given" : "Digby R", "non-dropping-particle" : "", "parse-names" : false, "suffix" : "" }, { "dropping-particle" : "", "family" : "Randles", "given" : "Derek", "non-dropping-particle" : "", "parse-names" : false, "suffix" : "" }, { "dropping-particle" : "", "family" : "Renton", "given" : "Morag", "non-dropping-particle" : "", "parse-names" : false, "suffix" : "" }, { "dropping-particle" : "", "family" : "Manas", "given" : "Derek M", "non-dropping-particle" : "", "parse-names" : false, "suffix" : "" } ], "container-title" : "Annals of surgery", "id" : "ITEM-1", "issue" : "3", "issued" : { "date-parts" : [ [ "2010", "3" ] ] }, "page" : "535-41", "title" : "Submaximal cardiopulmonary exercise testing predicts complications and hospital length of stay in patients undergoing major elective surgery.", "type" : "article-journal", "volume" : "251" }, "uris" : [ "http://www.mendeley.com/documents/?uuid=142f973e-509b-43cb-9c96-746119e01223" ] } ], "mendeley" : { "previouslyFormattedCitation" : "(15)" }, "properties" : { "noteIndex" : 0 }, "schema" : "https://github.com/citation-style-language/schema/raw/master/csl-citation.json" }</w:instrText>
      </w:r>
      <w:r w:rsidRPr="00730F74">
        <w:rPr>
          <w:vertAlign w:val="superscript"/>
        </w:rPr>
        <w:fldChar w:fldCharType="separate"/>
      </w:r>
      <w:r w:rsidRPr="00730F74">
        <w:rPr>
          <w:noProof/>
          <w:vertAlign w:val="superscript"/>
        </w:rPr>
        <w:t>15</w:t>
      </w:r>
      <w:r w:rsidRPr="00730F74">
        <w:rPr>
          <w:vertAlign w:val="superscript"/>
        </w:rPr>
        <w:fldChar w:fldCharType="end"/>
      </w:r>
      <w:r w:rsidR="00C352B5" w:rsidRPr="00730F74">
        <w:rPr>
          <w:vertAlign w:val="superscript"/>
        </w:rPr>
        <w:t>,</w:t>
      </w:r>
      <w:r w:rsidRPr="00730F74">
        <w:rPr>
          <w:vertAlign w:val="superscript"/>
        </w:rPr>
        <w:fldChar w:fldCharType="begin" w:fldLock="1"/>
      </w:r>
      <w:r w:rsidRPr="00730F74">
        <w:rPr>
          <w:vertAlign w:val="superscript"/>
        </w:rPr>
        <w:instrText>ADDIN CSL_CITATION { "citationItems" : [ { "id" : "ITEM-1", "itemData" : { "DOI" : "10.1002/bjs.8773", "ISSN" : "1365-2168", "PMID" : "22696424", "abstract" : "Contemporary liver surgery practice must accurately assess operative risk in increasingly elderly populations with greater co-morbidity. This study evaluated preoperative cardiopulmonary exercise testing (CPET) in high-risk patients undergoing hepatic resection.", "author" : [ { "dropping-particle" : "", "family" : "Junejo", "given" : "MA a", "non-dropping-particle" : "", "parse-names" : false, "suffix" : "" }, { "dropping-particle" : "", "family" : "Mason", "given" : "JM M", "non-dropping-particle" : "", "parse-names" : false, "suffix" : "" }, { "dropping-particle" : "", "family" : "Sheen", "given" : "a J", "non-dropping-particle" : "", "parse-names" : false, "suffix" : "" }, { "dropping-particle" : "", "family" : "Moore", "given" : "J", "non-dropping-particle" : "", "parse-names" : false, "suffix" : "" }, { "dropping-particle" : "", "family" : "Foster", "given" : "P", "non-dropping-particle" : "", "parse-names" : false, "suffix" : "" }, { "dropping-particle" : "", "family" : "Atkinson", "given" : "D", "non-dropping-particle" : "", "parse-names" : false, "suffix" : "" }, { "dropping-particle" : "", "family" : "Parker", "given" : "M J", "non-dropping-particle" : "", "parse-names" : false, "suffix" : "" }, { "dropping-particle" : "", "family" : "Siriwardena", "given" : "a K", "non-dropping-particle" : "", "parse-names" : false, "suffix" : "" } ], "container-title" : "British Journal of Surgery", "id" : "ITEM-1", "issue" : "8", "issued" : { "date-parts" : [ [ "2012", "8" ] ] }, "page" : "1097-1104", "title" : "Cardiopulmonary exercise testing for preoperative risk assessment before hepatic resection.", "type" : "article-journal", "volume" : "99" }, "uris" : [ "http://www.mendeley.com/documents/?uuid=26e9a14b-6d94-45d8-8122-b65e65b51d5a" ] }, { "id" : "ITEM-2", "itemData" : { "DOI" : "10.1002/bjs.8859", "ISSN" : "1365-2168", "PMID" : "22828960", "abstract" : "Postoperative complications are increased in patients with reduced cardiopulmonary reserve undergoing major surgery. Pancreatic leak is an important contributor to postoperative complications and death following pancreaticoduodenectomy. The aim of this study was to determine whether reduced cardiopulmonary reserve was a risk factor for pancreatic leak.", "author" : [ { "dropping-particle" : "", "family" : "Ausania", "given" : "F", "non-dropping-particle" : "", "parse-names" : false, "suffix" : "" }, { "dropping-particle" : "", "family" : "Snowden", "given" : "C P", "non-dropping-particle" : "", "parse-names" : false, "suffix" : "" }, { "dropping-particle" : "", "family" : "Prentis", "given" : "J M", "non-dropping-particle" : "", "parse-names" : false, "suffix" : "" }, { "dropping-particle" : "", "family" : "Holmes", "given" : "L R", "non-dropping-particle" : "", "parse-names" : false, "suffix" : "" }, { "dropping-particle" : "", "family" : "Jaques", "given" : "B C", "non-dropping-particle" : "", "parse-names" : false, "suffix" : "" }, { "dropping-particle" : "", "family" : "White", "given" : "S a", "non-dropping-particle" : "", "parse-names" : false, "suffix" : "" }, { "dropping-particle" : "", "family" : "French", "given" : "J J", "non-dropping-particle" : "", "parse-names" : false, "suffix" : "" }, { "dropping-particle" : "", "family" : "Manas", "given" : "D M", "non-dropping-particle" : "", "parse-names" : false, "suffix" : "" }, { "dropping-particle" : "", "family" : "Charnley", "given" : "R M", "non-dropping-particle" : "", "parse-names" : false, "suffix" : "" } ], "container-title" : "The British journal of surgery", "id" : "ITEM-2", "issue" : "9", "issued" : { "date-parts" : [ [ "2012", "9" ] ] }, "page" : "1290-4", "title" : "Effects of low cardiopulmonary reserve on pancreatic leak following pancreaticoduodenectomy.", "type" : "article-journal", "volume" : "99" }, "uris" : [ "http://www.mendeley.com/documents/?uuid=7e6cc2b6-dee0-4619-90c6-eaa659955427" ] } ], "mendeley" : { "previouslyFormattedCitation" : "(24,26)" }, "properties" : { "noteIndex" : 0 }, "schema" : "https://github.com/citation-style-language/schema/raw/master/csl-citation.json" }</w:instrText>
      </w:r>
      <w:r w:rsidRPr="00730F74">
        <w:rPr>
          <w:vertAlign w:val="superscript"/>
        </w:rPr>
        <w:fldChar w:fldCharType="separate"/>
      </w:r>
      <w:r w:rsidRPr="00730F74">
        <w:rPr>
          <w:noProof/>
          <w:vertAlign w:val="superscript"/>
        </w:rPr>
        <w:t>2</w:t>
      </w:r>
      <w:r w:rsidR="0051795E" w:rsidRPr="00730F74">
        <w:rPr>
          <w:noProof/>
          <w:vertAlign w:val="superscript"/>
        </w:rPr>
        <w:t>5</w:t>
      </w:r>
      <w:r w:rsidRPr="00730F74">
        <w:rPr>
          <w:noProof/>
          <w:vertAlign w:val="superscript"/>
        </w:rPr>
        <w:t>,2</w:t>
      </w:r>
      <w:r w:rsidR="0051795E" w:rsidRPr="00730F74">
        <w:rPr>
          <w:noProof/>
          <w:vertAlign w:val="superscript"/>
        </w:rPr>
        <w:t>7</w:t>
      </w:r>
      <w:r w:rsidRPr="00730F74">
        <w:rPr>
          <w:vertAlign w:val="superscript"/>
        </w:rPr>
        <w:fldChar w:fldCharType="end"/>
      </w:r>
      <w:r w:rsidR="00C352B5" w:rsidRPr="00730F74">
        <w:rPr>
          <w:vertAlign w:val="superscript"/>
        </w:rPr>
        <w:t>,2</w:t>
      </w:r>
      <w:r w:rsidR="0051795E" w:rsidRPr="00730F74">
        <w:rPr>
          <w:vertAlign w:val="superscript"/>
        </w:rPr>
        <w:t>9</w:t>
      </w:r>
      <w:r w:rsidR="00C352B5" w:rsidRPr="00730F74">
        <w:t>,</w:t>
      </w:r>
      <w:r w:rsidRPr="00730F74">
        <w:t xml:space="preserve"> although individual variables from patients showed higher sensitivity and specificity than</w:t>
      </w:r>
      <w:r w:rsidR="00C352B5" w:rsidRPr="00730F74">
        <w:t xml:space="preserve"> in</w:t>
      </w:r>
      <w:r w:rsidRPr="00730F74">
        <w:t xml:space="preserve"> previous studies.</w:t>
      </w:r>
      <w:r w:rsidR="00C352B5" w:rsidRPr="00730F74">
        <w:t xml:space="preserve"> Single-</w:t>
      </w:r>
      <w:r w:rsidRPr="00730F74">
        <w:t xml:space="preserve">variable endpoints derived from CPET (such as </w:t>
      </w:r>
      <w:r w:rsidR="00C352B5" w:rsidRPr="00730F74">
        <w:rPr>
          <w:position w:val="-6"/>
        </w:rPr>
        <w:object w:dxaOrig="180" w:dyaOrig="320">
          <v:shape id="_x0000_i1062" type="#_x0000_t75" style="width:8.05pt;height:15.05pt" o:ole="">
            <v:imagedata r:id="rId49" o:title=""/>
          </v:shape>
          <o:OLEObject Type="Embed" ProgID="Equation.3" ShapeID="_x0000_i1062" DrawAspect="Content" ObjectID="_1460191800" r:id="rId85"/>
        </w:object>
      </w:r>
      <w:r w:rsidR="00C352B5" w:rsidRPr="00730F74">
        <w:rPr>
          <w:vertAlign w:val="subscript"/>
        </w:rPr>
        <w:t>L</w:t>
      </w:r>
      <w:r w:rsidRPr="00730F74">
        <w:t xml:space="preserve">) </w:t>
      </w:r>
      <w:r w:rsidRPr="00730F74">
        <w:lastRenderedPageBreak/>
        <w:t>may not be associated with 5</w:t>
      </w:r>
      <w:r w:rsidR="00C352B5" w:rsidRPr="00730F74">
        <w:t>-year</w:t>
      </w:r>
      <w:r w:rsidRPr="00730F74">
        <w:t xml:space="preserve"> survival</w:t>
      </w:r>
      <w:r w:rsidRPr="00730F74">
        <w:fldChar w:fldCharType="begin" w:fldLock="1"/>
      </w:r>
      <w:r w:rsidRPr="00730F74">
        <w:instrText>ADDIN CSL_CITATION { "citationItems" : [ { "id" : "ITEM-1", "itemData" : { "DOI" : "10.1093/bja/aes263", "ISSN" : "1471-6771", "PMID" : "22910977", "abstract" : "Cardiopulmonary exercise testing (CPET) is used to assess perioperative risk in surgical patients. While previous studies have looked at short-term outcomes, this paper explores the ability of CPET to predict 5 yr survival after major surgery.", "author" : [ { "dropping-particle" : "", "family" : "Colson", "given" : "M", "non-dropping-particle" : "", "parse-names" : false, "suffix" : "" }, { "dropping-particle" : "", "family" : "Baglin", "given" : "J", "non-dropping-particle" : "", "parse-names" : false, "suffix" : "" }, { "dropping-particle" : "", "family" : "Bolsin", "given" : "S", "non-dropping-particle" : "", "parse-names" : false, "suffix" : "" }, { "dropping-particle" : "", "family" : "Grocott", "given" : "M P W", "non-dropping-particle" : "", "parse-names" : false, "suffix" : "" } ], "container-title" : "British journal of anaesthesia", "id" : "ITEM-1", "issue" : "5", "issued" : { "date-parts" : [ [ "2012", "11" ] ] }, "page" : "735-41", "title" : "Cardiopulmonary exercise testing predicts 5 yr survival after major surgery.", "type" : "article-journal", "volume" : "109" }, "uris" : [ "http://www.mendeley.com/documents/?uuid=3367e75a-33b9-4266-bf14-22c5e5d7df1f" ] } ], "mendeley" : { "previouslyFormattedCitation" : "(29)" }, "properties" : { "noteIndex" : 0 }, "schema" : "https://github.com/citation-style-language/schema/raw/master/csl-citation.json" }</w:instrText>
      </w:r>
      <w:r w:rsidRPr="00730F74">
        <w:fldChar w:fldCharType="separate"/>
      </w:r>
      <w:r w:rsidR="0051795E" w:rsidRPr="00730F74">
        <w:rPr>
          <w:noProof/>
          <w:vertAlign w:val="superscript"/>
        </w:rPr>
        <w:t>30</w:t>
      </w:r>
      <w:r w:rsidRPr="00730F74">
        <w:fldChar w:fldCharType="end"/>
      </w:r>
      <w:r w:rsidRPr="00730F74">
        <w:t xml:space="preserve">. However, in </w:t>
      </w:r>
      <w:r w:rsidR="00C352B5" w:rsidRPr="00730F74">
        <w:t>the present</w:t>
      </w:r>
      <w:r w:rsidR="0051795E" w:rsidRPr="00730F74">
        <w:t xml:space="preserve"> </w:t>
      </w:r>
      <w:r w:rsidRPr="00730F74">
        <w:t xml:space="preserve">study all patients who died within </w:t>
      </w:r>
      <w:r w:rsidR="00C352B5" w:rsidRPr="00730F74">
        <w:t>1 </w:t>
      </w:r>
      <w:r w:rsidRPr="00730F74">
        <w:t>year of surgery (7</w:t>
      </w:r>
      <w:r w:rsidR="00C352B5" w:rsidRPr="00730F74">
        <w:t xml:space="preserve"> per cent</w:t>
      </w:r>
      <w:r w:rsidRPr="00730F74">
        <w:t>)</w:t>
      </w:r>
      <w:r w:rsidRPr="00730F74">
        <w:rPr>
          <w:rFonts w:eastAsia="Times New Roman"/>
          <w:lang w:eastAsia="en-GB"/>
        </w:rPr>
        <w:t xml:space="preserve"> had a</w:t>
      </w:r>
      <w:r w:rsidR="00737D7B">
        <w:rPr>
          <w:rFonts w:eastAsia="Times New Roman"/>
          <w:lang w:eastAsia="en-GB"/>
        </w:rPr>
        <w:t>n</w:t>
      </w:r>
      <w:r w:rsidR="00C352B5" w:rsidRPr="00730F74">
        <w:rPr>
          <w:rFonts w:eastAsia="Times New Roman"/>
          <w:lang w:eastAsia="en-GB"/>
        </w:rPr>
        <w:t xml:space="preserve"> </w:t>
      </w:r>
      <w:r w:rsidR="00737D7B" w:rsidRPr="00730F74">
        <w:rPr>
          <w:position w:val="-6"/>
        </w:rPr>
        <w:object w:dxaOrig="220" w:dyaOrig="300">
          <v:shape id="_x0000_i1113" type="#_x0000_t75" style="width:8.6pt;height:16.1pt" o:ole="">
            <v:imagedata r:id="rId24" o:title=""/>
          </v:shape>
          <o:OLEObject Type="Embed" ProgID="Equation.3" ShapeID="_x0000_i1113" DrawAspect="Content" ObjectID="_1460191801" r:id="rId86"/>
        </w:object>
      </w:r>
      <w:r w:rsidR="00737D7B" w:rsidRPr="00730F74">
        <w:rPr>
          <w:smallCaps/>
        </w:rPr>
        <w:t>o</w:t>
      </w:r>
      <w:r w:rsidR="00737D7B" w:rsidRPr="00730F74">
        <w:rPr>
          <w:vertAlign w:val="subscript"/>
        </w:rPr>
        <w:t>2</w:t>
      </w:r>
      <w:r w:rsidR="00C352B5" w:rsidRPr="00730F74">
        <w:rPr>
          <w:rFonts w:eastAsia="Times New Roman"/>
          <w:lang w:eastAsia="en-GB"/>
        </w:rPr>
        <w:t xml:space="preserve"> </w:t>
      </w:r>
      <w:r w:rsidRPr="00730F74">
        <w:t xml:space="preserve">at </w:t>
      </w:r>
      <w:r w:rsidR="00C352B5" w:rsidRPr="00730F74">
        <w:rPr>
          <w:position w:val="-6"/>
        </w:rPr>
        <w:object w:dxaOrig="180" w:dyaOrig="320">
          <v:shape id="_x0000_i1063" type="#_x0000_t75" style="width:8.05pt;height:15.05pt" o:ole="">
            <v:imagedata r:id="rId49" o:title=""/>
          </v:shape>
          <o:OLEObject Type="Embed" ProgID="Equation.3" ShapeID="_x0000_i1063" DrawAspect="Content" ObjectID="_1460191802" r:id="rId87"/>
        </w:object>
      </w:r>
      <w:r w:rsidR="00C352B5" w:rsidRPr="00730F74">
        <w:rPr>
          <w:vertAlign w:val="subscript"/>
        </w:rPr>
        <w:t>L</w:t>
      </w:r>
      <w:r w:rsidR="00C352B5" w:rsidRPr="00730F74">
        <w:t xml:space="preserve"> </w:t>
      </w:r>
      <w:r w:rsidRPr="00730F74">
        <w:t>of</w:t>
      </w:r>
      <w:r w:rsidR="00C352B5" w:rsidRPr="00730F74">
        <w:t xml:space="preserve"> less than </w:t>
      </w:r>
      <w:r w:rsidRPr="00730F74">
        <w:t>10.6</w:t>
      </w:r>
      <w:r w:rsidR="00C352B5" w:rsidRPr="00730F74">
        <w:t> </w:t>
      </w:r>
      <w:r w:rsidRPr="00730F74">
        <w:t>ml</w:t>
      </w:r>
      <w:r w:rsidR="00C352B5" w:rsidRPr="00730F74">
        <w:t xml:space="preserve"> per </w:t>
      </w:r>
      <w:r w:rsidRPr="00730F74">
        <w:t>kg</w:t>
      </w:r>
      <w:r w:rsidR="00C352B5" w:rsidRPr="00730F74">
        <w:t xml:space="preserve"> per </w:t>
      </w:r>
      <w:r w:rsidRPr="00730F74">
        <w:t>min</w:t>
      </w:r>
      <w:r w:rsidRPr="00730F74">
        <w:rPr>
          <w:vertAlign w:val="superscript"/>
        </w:rPr>
        <w:t xml:space="preserve"> </w:t>
      </w:r>
      <w:r w:rsidRPr="00730F74">
        <w:t xml:space="preserve">and </w:t>
      </w:r>
      <w:r w:rsidR="00C352B5" w:rsidRPr="00730F74">
        <w:t>developed</w:t>
      </w:r>
      <w:r w:rsidRPr="00730F74">
        <w:t xml:space="preserve"> postoperative in-hospital morbidity.</w:t>
      </w:r>
      <w:r w:rsidR="00CE5AC0" w:rsidRPr="00730F74">
        <w:t xml:space="preserve"> </w:t>
      </w:r>
      <w:r w:rsidR="00C352B5" w:rsidRPr="00730F74">
        <w:t>T</w:t>
      </w:r>
      <w:r w:rsidRPr="00730F74">
        <w:t>his might represent an endpoint related to survival</w:t>
      </w:r>
      <w:r w:rsidR="00C352B5" w:rsidRPr="00730F74">
        <w:t xml:space="preserve"> in this cohort</w:t>
      </w:r>
      <w:r w:rsidRPr="00730F74">
        <w:t>, although an adequately powered study is needed to explore this.</w:t>
      </w:r>
    </w:p>
    <w:p w:rsidR="00670977" w:rsidRPr="00730F74" w:rsidRDefault="00C352B5" w:rsidP="00670977">
      <w:pPr>
        <w:ind w:firstLine="540"/>
      </w:pPr>
      <w:r w:rsidRPr="00730F74">
        <w:t>N</w:t>
      </w:r>
      <w:r w:rsidR="009937D1" w:rsidRPr="00730F74">
        <w:t>o difference</w:t>
      </w:r>
      <w:r w:rsidRPr="00730F74">
        <w:t xml:space="preserve"> was found</w:t>
      </w:r>
      <w:r w:rsidR="009937D1" w:rsidRPr="00730F74">
        <w:t xml:space="preserve"> in preoperative physical fitness or postoperative morbidity between patients having</w:t>
      </w:r>
      <w:r w:rsidR="00B576B6">
        <w:t xml:space="preserve"> neoadjuvant CRT</w:t>
      </w:r>
      <w:r w:rsidR="009937D1" w:rsidRPr="00730F74">
        <w:t xml:space="preserve"> and those going straight to surgery</w:t>
      </w:r>
      <w:r w:rsidRPr="00730F74">
        <w:t xml:space="preserve"> (data not shown)</w:t>
      </w:r>
      <w:r w:rsidR="009937D1" w:rsidRPr="00730F74">
        <w:t xml:space="preserve">. </w:t>
      </w:r>
      <w:r w:rsidR="00670977" w:rsidRPr="00730F74">
        <w:t>Neither</w:t>
      </w:r>
      <w:r w:rsidR="009937D1" w:rsidRPr="00730F74">
        <w:t xml:space="preserve"> the impact of</w:t>
      </w:r>
      <w:r w:rsidR="00B576B6">
        <w:t xml:space="preserve"> neoadjuvant CRT</w:t>
      </w:r>
      <w:r w:rsidR="009937D1" w:rsidRPr="00730F74">
        <w:t xml:space="preserve"> on preoperative physical fitness and postoperative morbidity, </w:t>
      </w:r>
      <w:r w:rsidR="00670977" w:rsidRPr="00730F74">
        <w:t>nor</w:t>
      </w:r>
      <w:r w:rsidRPr="00730F74">
        <w:t xml:space="preserve"> the benefits of improving pre</w:t>
      </w:r>
      <w:r w:rsidR="009937D1" w:rsidRPr="00730F74">
        <w:t xml:space="preserve">operative fitness </w:t>
      </w:r>
      <w:r w:rsidRPr="00730F74">
        <w:t>by</w:t>
      </w:r>
      <w:r w:rsidR="009937D1" w:rsidRPr="00730F74">
        <w:t xml:space="preserve"> </w:t>
      </w:r>
      <w:r w:rsidR="00670977" w:rsidRPr="00730F74">
        <w:t>means of</w:t>
      </w:r>
      <w:r w:rsidR="009937D1" w:rsidRPr="00730F74">
        <w:t xml:space="preserve"> exer</w:t>
      </w:r>
      <w:r w:rsidRPr="00730F74">
        <w:t>cise interventions are known.</w:t>
      </w:r>
    </w:p>
    <w:p w:rsidR="009937D1" w:rsidRPr="00730F74" w:rsidRDefault="009937D1" w:rsidP="00670977">
      <w:pPr>
        <w:ind w:firstLine="540"/>
      </w:pPr>
      <w:r w:rsidRPr="00730F74">
        <w:t>The strengths of this study include the consecutive nature of patient assessment for eligibility, the homogeneous study population, the blinded reporting of objectively</w:t>
      </w:r>
      <w:r w:rsidR="00670977" w:rsidRPr="00730F74">
        <w:t xml:space="preserve"> </w:t>
      </w:r>
      <w:r w:rsidRPr="00730F74">
        <w:t xml:space="preserve">measured CPET variables, the blinding to CPET results of both clinicians and outcome data collectors, and use of </w:t>
      </w:r>
      <w:r w:rsidR="008B45BE" w:rsidRPr="00730F74">
        <w:t xml:space="preserve">the </w:t>
      </w:r>
      <w:r w:rsidRPr="00730F74">
        <w:t>POMS</w:t>
      </w:r>
      <w:r w:rsidRPr="00730F74">
        <w:rPr>
          <w:vertAlign w:val="superscript"/>
        </w:rPr>
        <w:fldChar w:fldCharType="begin" w:fldLock="1"/>
      </w:r>
      <w:r w:rsidRPr="00730F74">
        <w:rPr>
          <w:vertAlign w:val="superscript"/>
        </w:rPr>
        <w:instrText>ADDIN CSL_CITATION { "citationItems" : [ { "id" : "ITEM-1", "itemData" : { "DOI" : "10.1016/j.jclinepi.2006.12.003", "ISSN" : "0895-4356", "PMID" : "17689808", "abstract" : "To describe the reliability and validity of the Postoperative Morbidity Survey (POMS). To describe the level and pattern of short-term postoperative morbidity after major elective surgery using the POMS.", "author" : [ { "dropping-particle" : "", "family" : "Grocott", "given" : "M P W", "non-dropping-particle" : "", "parse-names" : false, "suffix" : "" }, { "dropping-particle" : "", "family" : "Browne", "given" : "J P", "non-dropping-particle" : "", "parse-names" : false, "suffix" : "" }, { "dropping-particle" : "", "family" : "Meulen", "given" : "J", "non-dropping-particle" : "Van der", "parse-names" : false, "suffix" : "" }, { "dropping-particle" : "", "family" : "Matejowsky", "given" : "C", "non-dropping-particle" : "", "parse-names" : false, "suffix" : "" }, { "dropping-particle" : "", "family" : "Mutch", "given" : "M", "non-dropping-particle" : "", "parse-names" : false, "suffix" : "" }, { "dropping-particle" : "", "family" : "Hamilton", "given" : "M a", "non-dropping-particle" : "", "parse-names" : false, "suffix" : "" }, { "dropping-particle" : "", "family" : "Levett", "given" : "D Z H", "non-dropping-particle" : "", "parse-names" : false, "suffix" : "" }, { "dropping-particle" : "", "family" : "Emberton", "given" : "M", "non-dropping-particle" : "", "parse-names" : false, "suffix" : "" }, { "dropping-particle" : "", "family" : "Haddad", "given" : "F S", "non-dropping-particle" : "", "parse-names" : false, "suffix" : "" }, { "dropping-particle" : "", "family" : "Mythen", "given" : "M G", "non-dropping-particle" : "", "parse-names" : false, "suffix" : "" } ], "container-title" : "Journal of clinical epidemiology", "id" : "ITEM-1", "issue" : "9", "issued" : { "date-parts" : [ [ "2007", "9" ] ] }, "page" : "919-28", "title" : "The Postoperative Morbidity Survey was validated and used to describe morbidity after major surgery.", "type" : "article-journal", "volume" : "60" }, "uris" : [ "http://www.mendeley.com/documents/?uuid=f9c9a6f5-2675-44f9-8dd0-c0ae32e705c3" ] } ], "mendeley" : { "previouslyFormattedCitation" : "(21)" }, "properties" : { "noteIndex" : 0 }, "schema" : "https://github.com/citation-style-language/schema/raw/master/csl-citation.json" }</w:instrText>
      </w:r>
      <w:r w:rsidRPr="00730F74">
        <w:rPr>
          <w:vertAlign w:val="superscript"/>
        </w:rPr>
        <w:fldChar w:fldCharType="separate"/>
      </w:r>
      <w:r w:rsidRPr="00730F74">
        <w:rPr>
          <w:noProof/>
          <w:vertAlign w:val="superscript"/>
        </w:rPr>
        <w:t>21</w:t>
      </w:r>
      <w:r w:rsidRPr="00730F74">
        <w:rPr>
          <w:vertAlign w:val="superscript"/>
        </w:rPr>
        <w:fldChar w:fldCharType="end"/>
      </w:r>
      <w:r w:rsidRPr="00730F74">
        <w:t xml:space="preserve"> as a primary outcome measure. Potential limitations include the single</w:t>
      </w:r>
      <w:r w:rsidR="00670977" w:rsidRPr="00730F74">
        <w:t>-</w:t>
      </w:r>
      <w:r w:rsidRPr="00730F74">
        <w:t xml:space="preserve">centre design, which limits </w:t>
      </w:r>
      <w:r w:rsidR="00670977" w:rsidRPr="00730F74">
        <w:t xml:space="preserve">the </w:t>
      </w:r>
      <w:r w:rsidRPr="00730F74">
        <w:t xml:space="preserve">generalizability of the data, as well as the ROC curve </w:t>
      </w:r>
      <w:r w:rsidR="00670977" w:rsidRPr="00730F74">
        <w:t>cut-off points that were optimiz</w:t>
      </w:r>
      <w:r w:rsidRPr="00730F74">
        <w:t>ed and derived for this local cohort as part of service evaluation. Decisions</w:t>
      </w:r>
      <w:r w:rsidR="00670977" w:rsidRPr="00730F74">
        <w:t xml:space="preserve"> regarding peri</w:t>
      </w:r>
      <w:r w:rsidRPr="00730F74">
        <w:t>operative care or fitness for surgery should be based on</w:t>
      </w:r>
      <w:r w:rsidR="00CE5AC0" w:rsidRPr="00730F74">
        <w:t xml:space="preserve"> </w:t>
      </w:r>
      <w:r w:rsidR="000C1CD2" w:rsidRPr="00730F74">
        <w:t xml:space="preserve">the </w:t>
      </w:r>
      <w:r w:rsidRPr="00730F74">
        <w:t>complete clinical and CPET picture</w:t>
      </w:r>
      <w:r w:rsidR="008B45BE">
        <w:t>,</w:t>
      </w:r>
      <w:r w:rsidRPr="00730F74">
        <w:t xml:space="preserve"> and not </w:t>
      </w:r>
      <w:r w:rsidR="008B45BE">
        <w:t xml:space="preserve">on </w:t>
      </w:r>
      <w:r w:rsidRPr="00730F74">
        <w:t>individual CPET variables in isolation. Nonetheless, this study demonstrates that</w:t>
      </w:r>
      <w:r w:rsidR="008B45BE">
        <w:t xml:space="preserve"> both</w:t>
      </w:r>
      <w:r w:rsidRPr="00730F74">
        <w:t xml:space="preserve"> </w:t>
      </w:r>
      <w:r w:rsidR="00737D7B" w:rsidRPr="00730F74">
        <w:rPr>
          <w:position w:val="-6"/>
        </w:rPr>
        <w:object w:dxaOrig="220" w:dyaOrig="300">
          <v:shape id="_x0000_i1114" type="#_x0000_t75" style="width:8.6pt;height:16.1pt" o:ole="">
            <v:imagedata r:id="rId24" o:title=""/>
          </v:shape>
          <o:OLEObject Type="Embed" ProgID="Equation.3" ShapeID="_x0000_i1114" DrawAspect="Content" ObjectID="_1460191803" r:id="rId88"/>
        </w:object>
      </w:r>
      <w:r w:rsidR="00737D7B" w:rsidRPr="00730F74">
        <w:rPr>
          <w:smallCaps/>
        </w:rPr>
        <w:t>o</w:t>
      </w:r>
      <w:r w:rsidR="00737D7B" w:rsidRPr="00730F74">
        <w:rPr>
          <w:vertAlign w:val="subscript"/>
        </w:rPr>
        <w:t>2</w:t>
      </w:r>
      <w:r w:rsidR="000C1CD2" w:rsidRPr="00730F74">
        <w:t xml:space="preserve"> </w:t>
      </w:r>
      <w:r w:rsidRPr="00730F74">
        <w:t xml:space="preserve">at </w:t>
      </w:r>
      <w:r w:rsidR="000C1CD2" w:rsidRPr="00730F74">
        <w:rPr>
          <w:position w:val="-6"/>
        </w:rPr>
        <w:object w:dxaOrig="180" w:dyaOrig="320">
          <v:shape id="_x0000_i1064" type="#_x0000_t75" style="width:8.05pt;height:15.05pt" o:ole="">
            <v:imagedata r:id="rId49" o:title=""/>
          </v:shape>
          <o:OLEObject Type="Embed" ProgID="Equation.3" ShapeID="_x0000_i1064" DrawAspect="Content" ObjectID="_1460191804" r:id="rId89"/>
        </w:object>
      </w:r>
      <w:r w:rsidR="000C1CD2" w:rsidRPr="00730F74">
        <w:rPr>
          <w:vertAlign w:val="subscript"/>
        </w:rPr>
        <w:t>L</w:t>
      </w:r>
      <w:r w:rsidR="000C1CD2" w:rsidRPr="00730F74">
        <w:t xml:space="preserve"> </w:t>
      </w:r>
      <w:r w:rsidRPr="00730F74">
        <w:t xml:space="preserve">and </w:t>
      </w:r>
      <w:r w:rsidR="000C1CD2" w:rsidRPr="00730F74">
        <w:t>p</w:t>
      </w:r>
      <w:r w:rsidRPr="00730F74">
        <w:t xml:space="preserve">eak </w:t>
      </w:r>
      <w:r w:rsidR="00737D7B" w:rsidRPr="00730F74">
        <w:rPr>
          <w:position w:val="-6"/>
        </w:rPr>
        <w:object w:dxaOrig="220" w:dyaOrig="300">
          <v:shape id="_x0000_i1115" type="#_x0000_t75" style="width:8.6pt;height:16.1pt" o:ole="">
            <v:imagedata r:id="rId24" o:title=""/>
          </v:shape>
          <o:OLEObject Type="Embed" ProgID="Equation.3" ShapeID="_x0000_i1115" DrawAspect="Content" ObjectID="_1460191805" r:id="rId90"/>
        </w:object>
      </w:r>
      <w:r w:rsidR="00737D7B" w:rsidRPr="00730F74">
        <w:rPr>
          <w:smallCaps/>
        </w:rPr>
        <w:t>o</w:t>
      </w:r>
      <w:r w:rsidR="00737D7B" w:rsidRPr="00730F74">
        <w:rPr>
          <w:vertAlign w:val="subscript"/>
        </w:rPr>
        <w:t>2</w:t>
      </w:r>
      <w:r w:rsidR="008B45BE" w:rsidRPr="00730F74">
        <w:t xml:space="preserve"> </w:t>
      </w:r>
      <w:r w:rsidRPr="00730F74">
        <w:t>a</w:t>
      </w:r>
      <w:r w:rsidR="000C1CD2" w:rsidRPr="00730F74">
        <w:t>re</w:t>
      </w:r>
      <w:r w:rsidRPr="00730F74">
        <w:t xml:space="preserve"> predictor</w:t>
      </w:r>
      <w:r w:rsidR="000C1CD2" w:rsidRPr="00730F74">
        <w:t>s</w:t>
      </w:r>
      <w:r w:rsidRPr="00730F74">
        <w:t xml:space="preserve"> </w:t>
      </w:r>
      <w:r w:rsidR="000C1CD2" w:rsidRPr="00730F74">
        <w:t>of</w:t>
      </w:r>
      <w:r w:rsidRPr="00730F74">
        <w:t xml:space="preserve"> short-term outcome in rectal cancer surgery</w:t>
      </w:r>
      <w:r w:rsidR="000C1CD2" w:rsidRPr="00730F74">
        <w:t>.</w:t>
      </w:r>
    </w:p>
    <w:p w:rsidR="009937D1" w:rsidRPr="00730F74" w:rsidRDefault="0030436B" w:rsidP="009937D1">
      <w:pPr>
        <w:pStyle w:val="Heading1"/>
      </w:pPr>
      <w:r w:rsidRPr="00730F74">
        <w:t xml:space="preserve">+A: </w:t>
      </w:r>
      <w:r w:rsidR="009937D1" w:rsidRPr="00730F74">
        <w:t>Acknowledg</w:t>
      </w:r>
      <w:r w:rsidRPr="00730F74">
        <w:t>e</w:t>
      </w:r>
      <w:r w:rsidR="009937D1" w:rsidRPr="00730F74">
        <w:t>ments</w:t>
      </w:r>
    </w:p>
    <w:p w:rsidR="009937D1" w:rsidRPr="00730F74" w:rsidRDefault="0030436B" w:rsidP="009937D1">
      <w:pPr>
        <w:pStyle w:val="Heading1"/>
        <w:rPr>
          <w:b w:val="0"/>
        </w:rPr>
      </w:pPr>
      <w:r w:rsidRPr="00730F74">
        <w:rPr>
          <w:b w:val="0"/>
        </w:rPr>
        <w:lastRenderedPageBreak/>
        <w:t xml:space="preserve">The authors thank the Colorectal MDT at </w:t>
      </w:r>
      <w:r w:rsidR="009937D1" w:rsidRPr="00730F74">
        <w:rPr>
          <w:b w:val="0"/>
        </w:rPr>
        <w:t>Aintree University Hospitals NHS Foundation Trust, Liverpool</w:t>
      </w:r>
      <w:r w:rsidR="002D4BA2" w:rsidRPr="00730F74">
        <w:rPr>
          <w:b w:val="0"/>
        </w:rPr>
        <w:t>.</w:t>
      </w:r>
    </w:p>
    <w:p w:rsidR="002D4BA2" w:rsidRPr="00730F74" w:rsidRDefault="002D4BA2" w:rsidP="0030436B">
      <w:pPr>
        <w:ind w:firstLine="540"/>
      </w:pPr>
      <w:r w:rsidRPr="00730F74">
        <w:t>M</w:t>
      </w:r>
      <w:r w:rsidR="0030436B" w:rsidRPr="00730F74">
        <w:t>.</w:t>
      </w:r>
      <w:r w:rsidRPr="00730F74">
        <w:t>P</w:t>
      </w:r>
      <w:r w:rsidR="0030436B" w:rsidRPr="00730F74">
        <w:t>.</w:t>
      </w:r>
      <w:r w:rsidRPr="00730F74">
        <w:t>W</w:t>
      </w:r>
      <w:r w:rsidR="0030436B" w:rsidRPr="00730F74">
        <w:t>.</w:t>
      </w:r>
      <w:r w:rsidRPr="00730F74">
        <w:t>G</w:t>
      </w:r>
      <w:r w:rsidR="0030436B" w:rsidRPr="00730F74">
        <w:t>. has r</w:t>
      </w:r>
      <w:r w:rsidRPr="00730F74">
        <w:t>eceived honoraria for speaking for and/or travel expenses from: Edwards Lifescience, Fresenius-Kabi, BOC Medical (Linde Group), Ely-Lilly Critical Care</w:t>
      </w:r>
      <w:r w:rsidR="0030436B" w:rsidRPr="00730F74">
        <w:t>,</w:t>
      </w:r>
      <w:r w:rsidRPr="00730F74">
        <w:t xml:space="preserve"> and Cortex GmBH. He has also received research grants from</w:t>
      </w:r>
      <w:r w:rsidR="0030436B" w:rsidRPr="00730F74">
        <w:t xml:space="preserve"> the</w:t>
      </w:r>
      <w:r w:rsidRPr="00730F74">
        <w:t xml:space="preserve"> National Institute of Health Research, Association of Anaesthetists of Great Britain and Ireland, Sir Halley Stuart Trust, Francis and Augustus Newman Foundation. He leads the Xtreme Everest </w:t>
      </w:r>
      <w:r w:rsidR="0030436B" w:rsidRPr="00730F74">
        <w:t>H</w:t>
      </w:r>
      <w:r w:rsidRPr="00730F74">
        <w:t xml:space="preserve">ypoxia </w:t>
      </w:r>
      <w:r w:rsidR="0030436B" w:rsidRPr="00730F74">
        <w:t>R</w:t>
      </w:r>
      <w:r w:rsidRPr="00730F74">
        <w:t xml:space="preserve">esearch </w:t>
      </w:r>
      <w:r w:rsidR="0030436B" w:rsidRPr="00730F74">
        <w:t>C</w:t>
      </w:r>
      <w:r w:rsidRPr="00730F74">
        <w:t>onsortium, wh</w:t>
      </w:r>
      <w:r w:rsidR="0030436B" w:rsidRPr="00730F74">
        <w:t>ich has</w:t>
      </w:r>
      <w:r w:rsidRPr="00730F74">
        <w:t xml:space="preserve"> received unrestricted research grant funding from BOC Medical (</w:t>
      </w:r>
      <w:r w:rsidR="00C92739">
        <w:t>Linde Group</w:t>
      </w:r>
      <w:r w:rsidRPr="00730F74">
        <w:t>) Ely-Lilly Critical Care, Smiths Medical, Deltex Medical, London Clinic,</w:t>
      </w:r>
      <w:r w:rsidR="0030436B" w:rsidRPr="00730F74">
        <w:t xml:space="preserve"> and</w:t>
      </w:r>
      <w:r w:rsidRPr="00730F74">
        <w:t xml:space="preserve"> Rolex.</w:t>
      </w:r>
    </w:p>
    <w:p w:rsidR="002D4BA2" w:rsidRPr="00730F74" w:rsidRDefault="0030436B" w:rsidP="002D4BA2">
      <w:pPr>
        <w:rPr>
          <w:lang/>
        </w:rPr>
      </w:pPr>
      <w:r w:rsidRPr="00730F74">
        <w:rPr>
          <w:i/>
        </w:rPr>
        <w:t>Disclosure:</w:t>
      </w:r>
      <w:r w:rsidRPr="00730F74">
        <w:t xml:space="preserve"> The authors declare no </w:t>
      </w:r>
      <w:r w:rsidR="002D4BA2" w:rsidRPr="00730F74">
        <w:t>other</w:t>
      </w:r>
      <w:r w:rsidRPr="00730F74">
        <w:t xml:space="preserve"> conflict of interest.</w:t>
      </w:r>
    </w:p>
    <w:p w:rsidR="009937D1" w:rsidRPr="00730F74" w:rsidRDefault="0030436B" w:rsidP="009937D1">
      <w:pPr>
        <w:pStyle w:val="Heading1"/>
      </w:pPr>
      <w:r w:rsidRPr="00730F74">
        <w:t xml:space="preserve">+A: </w:t>
      </w:r>
      <w:r w:rsidR="00CE5AC0" w:rsidRPr="00730F74">
        <w:t>R</w:t>
      </w:r>
      <w:r w:rsidR="009937D1" w:rsidRPr="00730F74">
        <w:t>eferences</w:t>
      </w:r>
    </w:p>
    <w:p w:rsidR="009937D1" w:rsidRPr="00730F74" w:rsidRDefault="009937D1" w:rsidP="009937D1">
      <w:pPr>
        <w:pStyle w:val="NormalWeb"/>
        <w:ind w:left="640" w:hanging="640"/>
        <w:rPr>
          <w:rFonts w:eastAsia="Times New Roman"/>
          <w:noProof/>
        </w:rPr>
      </w:pPr>
      <w:r w:rsidRPr="00730F74">
        <w:fldChar w:fldCharType="begin" w:fldLock="1"/>
      </w:r>
      <w:r w:rsidRPr="00730F74">
        <w:instrText xml:space="preserve">ADDIN Mendeley Bibliography CSL_BIBLIOGRAPHY </w:instrText>
      </w:r>
      <w:r w:rsidRPr="00730F74">
        <w:fldChar w:fldCharType="separate"/>
      </w:r>
      <w:r w:rsidRPr="00730F74">
        <w:rPr>
          <w:noProof/>
        </w:rPr>
        <w:t>1</w:t>
      </w:r>
      <w:r w:rsidRPr="00730F74">
        <w:rPr>
          <w:noProof/>
        </w:rPr>
        <w:tab/>
        <w:t xml:space="preserve">Burns EM, Bottle A, Aylin P, Darzi A, Nicholls RJ, Faiz O. Variation in reoperation after colorectal surgery in England as an indicator of surgical performance: retrospective analysis of Hospital Episode Statistics. </w:t>
      </w:r>
      <w:r w:rsidRPr="00730F74">
        <w:rPr>
          <w:i/>
          <w:noProof/>
        </w:rPr>
        <w:t>BMJ</w:t>
      </w:r>
      <w:r w:rsidRPr="00730F74">
        <w:rPr>
          <w:noProof/>
        </w:rPr>
        <w:t xml:space="preserve"> 2011;</w:t>
      </w:r>
      <w:r w:rsidR="008F4383" w:rsidRPr="00730F74">
        <w:rPr>
          <w:noProof/>
        </w:rPr>
        <w:t xml:space="preserve"> </w:t>
      </w:r>
      <w:r w:rsidRPr="00730F74">
        <w:rPr>
          <w:b/>
          <w:noProof/>
        </w:rPr>
        <w:t>343</w:t>
      </w:r>
      <w:r w:rsidR="008F4383" w:rsidRPr="00730F74">
        <w:rPr>
          <w:noProof/>
        </w:rPr>
        <w:t xml:space="preserve"> :d4836.</w:t>
      </w:r>
    </w:p>
    <w:p w:rsidR="009937D1" w:rsidRPr="00730F74" w:rsidRDefault="009937D1" w:rsidP="009937D1">
      <w:pPr>
        <w:pStyle w:val="NormalWeb"/>
        <w:ind w:left="640" w:hanging="640"/>
        <w:rPr>
          <w:noProof/>
        </w:rPr>
      </w:pPr>
      <w:r w:rsidRPr="00730F74">
        <w:rPr>
          <w:noProof/>
        </w:rPr>
        <w:t>2</w:t>
      </w:r>
      <w:r w:rsidRPr="00730F74">
        <w:rPr>
          <w:noProof/>
        </w:rPr>
        <w:tab/>
        <w:t xml:space="preserve">Morris EJ, Taylor EF, Thomas JD, Quirke P, Finan PJ, Coleman MP </w:t>
      </w:r>
      <w:r w:rsidRPr="00730F74">
        <w:rPr>
          <w:i/>
          <w:noProof/>
        </w:rPr>
        <w:t>et</w:t>
      </w:r>
      <w:r w:rsidR="008F4383" w:rsidRPr="00730F74">
        <w:rPr>
          <w:i/>
          <w:noProof/>
        </w:rPr>
        <w:t> </w:t>
      </w:r>
      <w:r w:rsidRPr="00730F74">
        <w:rPr>
          <w:i/>
          <w:noProof/>
        </w:rPr>
        <w:t>al</w:t>
      </w:r>
      <w:r w:rsidRPr="00730F74">
        <w:rPr>
          <w:noProof/>
        </w:rPr>
        <w:t xml:space="preserve">. Thirty-day postoperative mortality after colorectal cancer surgery in England. </w:t>
      </w:r>
      <w:r w:rsidRPr="00730F74">
        <w:rPr>
          <w:i/>
          <w:noProof/>
        </w:rPr>
        <w:t>Gut</w:t>
      </w:r>
      <w:r w:rsidRPr="00730F74">
        <w:rPr>
          <w:noProof/>
        </w:rPr>
        <w:t xml:space="preserve"> 2011;</w:t>
      </w:r>
      <w:r w:rsidR="008F4383" w:rsidRPr="00730F74">
        <w:rPr>
          <w:noProof/>
        </w:rPr>
        <w:t xml:space="preserve"> </w:t>
      </w:r>
      <w:r w:rsidRPr="00730F74">
        <w:rPr>
          <w:b/>
          <w:noProof/>
        </w:rPr>
        <w:t>60</w:t>
      </w:r>
      <w:r w:rsidRPr="00730F74">
        <w:rPr>
          <w:noProof/>
        </w:rPr>
        <w:t>:</w:t>
      </w:r>
      <w:r w:rsidR="008F4383" w:rsidRPr="00730F74">
        <w:rPr>
          <w:noProof/>
        </w:rPr>
        <w:t xml:space="preserve"> 806–813.</w:t>
      </w:r>
    </w:p>
    <w:p w:rsidR="009937D1" w:rsidRPr="00730F74" w:rsidRDefault="009937D1" w:rsidP="009937D1">
      <w:pPr>
        <w:pStyle w:val="NormalWeb"/>
        <w:ind w:left="640" w:hanging="640"/>
        <w:rPr>
          <w:noProof/>
        </w:rPr>
      </w:pPr>
      <w:r w:rsidRPr="00730F74">
        <w:rPr>
          <w:noProof/>
        </w:rPr>
        <w:t>3</w:t>
      </w:r>
      <w:r w:rsidRPr="00730F74">
        <w:rPr>
          <w:noProof/>
        </w:rPr>
        <w:tab/>
      </w:r>
      <w:r w:rsidR="008F4383" w:rsidRPr="00730F74">
        <w:rPr>
          <w:noProof/>
        </w:rPr>
        <w:t>&lt;EPATH&gt;</w:t>
      </w:r>
      <w:r w:rsidRPr="00730F74">
        <w:rPr>
          <w:noProof/>
        </w:rPr>
        <w:t xml:space="preserve">Association of Coloproctology of Great Britain and Ireland. </w:t>
      </w:r>
      <w:r w:rsidRPr="00730F74">
        <w:rPr>
          <w:i/>
          <w:noProof/>
        </w:rPr>
        <w:t>National B</w:t>
      </w:r>
      <w:r w:rsidR="008F4383" w:rsidRPr="00730F74">
        <w:rPr>
          <w:i/>
          <w:noProof/>
        </w:rPr>
        <w:t>owel Cancer Audit Annual Report</w:t>
      </w:r>
      <w:r w:rsidRPr="00730F74">
        <w:rPr>
          <w:i/>
          <w:noProof/>
        </w:rPr>
        <w:t xml:space="preserve"> 2013</w:t>
      </w:r>
      <w:r w:rsidRPr="00730F74">
        <w:rPr>
          <w:noProof/>
        </w:rPr>
        <w:t xml:space="preserve">. </w:t>
      </w:r>
      <w:r w:rsidR="008F4383" w:rsidRPr="00730F74">
        <w:rPr>
          <w:noProof/>
        </w:rPr>
        <w:t>http://www.hqip.org.uk/assets/NCAPOP-Library/NCAPOP-2013-14/Bowel-</w:t>
      </w:r>
      <w:r w:rsidR="008F4383" w:rsidRPr="00730F74">
        <w:rPr>
          <w:noProof/>
        </w:rPr>
        <w:lastRenderedPageBreak/>
        <w:t>Cancer-Audit-Jul-2013-MAINREPORT-update-Mar-2014.pdf [accessed 15 April 2014].</w:t>
      </w:r>
    </w:p>
    <w:p w:rsidR="009937D1" w:rsidRPr="00730F74" w:rsidRDefault="009937D1" w:rsidP="009937D1">
      <w:pPr>
        <w:pStyle w:val="NormalWeb"/>
        <w:ind w:left="640" w:hanging="640"/>
        <w:rPr>
          <w:noProof/>
        </w:rPr>
      </w:pPr>
      <w:r w:rsidRPr="00730F74">
        <w:rPr>
          <w:noProof/>
        </w:rPr>
        <w:t>4</w:t>
      </w:r>
      <w:r w:rsidRPr="00730F74">
        <w:rPr>
          <w:noProof/>
        </w:rPr>
        <w:tab/>
        <w:t>Hightower CE, Riedel BJ, Feig BW, Morris GS, Ensor JE</w:t>
      </w:r>
      <w:r w:rsidR="008F4383" w:rsidRPr="00730F74">
        <w:rPr>
          <w:noProof/>
        </w:rPr>
        <w:t xml:space="preserve"> Jr</w:t>
      </w:r>
      <w:r w:rsidRPr="00730F74">
        <w:rPr>
          <w:noProof/>
        </w:rPr>
        <w:t xml:space="preserve">, Woodruff VD </w:t>
      </w:r>
      <w:r w:rsidRPr="00730F74">
        <w:rPr>
          <w:i/>
          <w:noProof/>
        </w:rPr>
        <w:t>et</w:t>
      </w:r>
      <w:r w:rsidR="008F4383" w:rsidRPr="00730F74">
        <w:rPr>
          <w:i/>
          <w:noProof/>
        </w:rPr>
        <w:t> </w:t>
      </w:r>
      <w:r w:rsidRPr="00730F74">
        <w:rPr>
          <w:i/>
          <w:noProof/>
        </w:rPr>
        <w:t>al</w:t>
      </w:r>
      <w:r w:rsidRPr="00730F74">
        <w:rPr>
          <w:noProof/>
        </w:rPr>
        <w:t xml:space="preserve">. A pilot study evaluating predictors of postoperative outcomes after major abdominal surgery: </w:t>
      </w:r>
      <w:r w:rsidR="008F4383" w:rsidRPr="00730F74">
        <w:rPr>
          <w:noProof/>
        </w:rPr>
        <w:t>p</w:t>
      </w:r>
      <w:r w:rsidRPr="00730F74">
        <w:rPr>
          <w:noProof/>
        </w:rPr>
        <w:t xml:space="preserve">hysiological capacity compared with the ASA physical status classification system. </w:t>
      </w:r>
      <w:r w:rsidRPr="00730F74">
        <w:rPr>
          <w:i/>
          <w:noProof/>
        </w:rPr>
        <w:t>Br J Anaesth</w:t>
      </w:r>
      <w:r w:rsidRPr="00730F74">
        <w:rPr>
          <w:noProof/>
        </w:rPr>
        <w:t xml:space="preserve"> 2010;</w:t>
      </w:r>
      <w:r w:rsidR="008F4383" w:rsidRPr="00730F74">
        <w:rPr>
          <w:noProof/>
        </w:rPr>
        <w:t xml:space="preserve"> </w:t>
      </w:r>
      <w:r w:rsidRPr="00730F74">
        <w:rPr>
          <w:b/>
          <w:noProof/>
        </w:rPr>
        <w:t>104</w:t>
      </w:r>
      <w:r w:rsidRPr="00730F74">
        <w:rPr>
          <w:noProof/>
        </w:rPr>
        <w:t>:</w:t>
      </w:r>
      <w:r w:rsidR="008F4383" w:rsidRPr="00730F74">
        <w:rPr>
          <w:noProof/>
        </w:rPr>
        <w:t xml:space="preserve"> 465–471.</w:t>
      </w:r>
    </w:p>
    <w:p w:rsidR="009937D1" w:rsidRPr="00730F74" w:rsidRDefault="009937D1" w:rsidP="009937D1">
      <w:pPr>
        <w:pStyle w:val="NormalWeb"/>
        <w:ind w:left="640" w:hanging="640"/>
        <w:rPr>
          <w:noProof/>
        </w:rPr>
      </w:pPr>
      <w:r w:rsidRPr="00730F74">
        <w:rPr>
          <w:noProof/>
        </w:rPr>
        <w:t>5</w:t>
      </w:r>
      <w:r w:rsidRPr="00730F74">
        <w:rPr>
          <w:noProof/>
        </w:rPr>
        <w:tab/>
        <w:t xml:space="preserve">Tekkis PP, Prytherch DR, Kocher HM, Senapati A, Poloniecki JD, Stamatakis JD </w:t>
      </w:r>
      <w:r w:rsidRPr="00730F74">
        <w:rPr>
          <w:i/>
          <w:noProof/>
        </w:rPr>
        <w:t>et</w:t>
      </w:r>
      <w:r w:rsidR="00D43487" w:rsidRPr="00730F74">
        <w:rPr>
          <w:i/>
          <w:noProof/>
        </w:rPr>
        <w:t> </w:t>
      </w:r>
      <w:r w:rsidRPr="00730F74">
        <w:rPr>
          <w:i/>
          <w:noProof/>
        </w:rPr>
        <w:t>al</w:t>
      </w:r>
      <w:r w:rsidRPr="00730F74">
        <w:rPr>
          <w:noProof/>
        </w:rPr>
        <w:t xml:space="preserve">. Development of a dedicated risk-adjustment scoring system for colorectal surgery (colorectal POSSUM). </w:t>
      </w:r>
      <w:r w:rsidRPr="00730F74">
        <w:rPr>
          <w:i/>
          <w:noProof/>
        </w:rPr>
        <w:t>Br J Surg</w:t>
      </w:r>
      <w:r w:rsidRPr="00730F74">
        <w:rPr>
          <w:noProof/>
        </w:rPr>
        <w:t xml:space="preserve"> 2004;</w:t>
      </w:r>
      <w:r w:rsidR="00D43487" w:rsidRPr="00730F74">
        <w:rPr>
          <w:noProof/>
        </w:rPr>
        <w:t xml:space="preserve"> </w:t>
      </w:r>
      <w:r w:rsidRPr="00730F74">
        <w:rPr>
          <w:b/>
          <w:noProof/>
        </w:rPr>
        <w:t>91</w:t>
      </w:r>
      <w:r w:rsidRPr="00730F74">
        <w:rPr>
          <w:noProof/>
        </w:rPr>
        <w:t>:</w:t>
      </w:r>
      <w:r w:rsidR="00D43487" w:rsidRPr="00730F74">
        <w:rPr>
          <w:noProof/>
        </w:rPr>
        <w:t xml:space="preserve"> 1174–1182.</w:t>
      </w:r>
    </w:p>
    <w:p w:rsidR="009937D1" w:rsidRPr="00730F74" w:rsidRDefault="009937D1" w:rsidP="009937D1">
      <w:pPr>
        <w:pStyle w:val="NormalWeb"/>
        <w:ind w:left="640" w:hanging="640"/>
        <w:rPr>
          <w:noProof/>
        </w:rPr>
      </w:pPr>
      <w:r w:rsidRPr="00730F74">
        <w:rPr>
          <w:noProof/>
        </w:rPr>
        <w:t>6</w:t>
      </w:r>
      <w:r w:rsidRPr="00730F74">
        <w:rPr>
          <w:noProof/>
        </w:rPr>
        <w:tab/>
        <w:t xml:space="preserve">Edwards M, Whittle J, Ackland GL. Biomarkers to guide perioperative management. </w:t>
      </w:r>
      <w:r w:rsidRPr="00730F74">
        <w:rPr>
          <w:i/>
          <w:noProof/>
        </w:rPr>
        <w:t>Postgrad Med J</w:t>
      </w:r>
      <w:r w:rsidRPr="00730F74">
        <w:rPr>
          <w:noProof/>
        </w:rPr>
        <w:t xml:space="preserve"> 2011;</w:t>
      </w:r>
      <w:r w:rsidR="00D43487" w:rsidRPr="00730F74">
        <w:rPr>
          <w:noProof/>
        </w:rPr>
        <w:t xml:space="preserve"> </w:t>
      </w:r>
      <w:r w:rsidRPr="00730F74">
        <w:rPr>
          <w:b/>
          <w:noProof/>
        </w:rPr>
        <w:t>87</w:t>
      </w:r>
      <w:r w:rsidRPr="00730F74">
        <w:rPr>
          <w:noProof/>
        </w:rPr>
        <w:t>:</w:t>
      </w:r>
      <w:r w:rsidR="00D43487" w:rsidRPr="00730F74">
        <w:rPr>
          <w:noProof/>
        </w:rPr>
        <w:t xml:space="preserve"> 542–549.</w:t>
      </w:r>
    </w:p>
    <w:p w:rsidR="009937D1" w:rsidRPr="00730F74" w:rsidRDefault="009937D1" w:rsidP="009937D1">
      <w:pPr>
        <w:pStyle w:val="NormalWeb"/>
        <w:ind w:left="640" w:hanging="640"/>
        <w:rPr>
          <w:noProof/>
        </w:rPr>
      </w:pPr>
      <w:r w:rsidRPr="00730F74">
        <w:rPr>
          <w:noProof/>
        </w:rPr>
        <w:t>7</w:t>
      </w:r>
      <w:r w:rsidRPr="00730F74">
        <w:rPr>
          <w:noProof/>
        </w:rPr>
        <w:tab/>
        <w:t>Halm EA, Browner WS, Tubau JS, Tateo IM</w:t>
      </w:r>
      <w:r w:rsidR="00D43487" w:rsidRPr="00730F74">
        <w:rPr>
          <w:noProof/>
        </w:rPr>
        <w:t>,</w:t>
      </w:r>
      <w:r w:rsidRPr="00730F74">
        <w:rPr>
          <w:noProof/>
        </w:rPr>
        <w:t xml:space="preserve"> Mangano DT. Echocardiography for </w:t>
      </w:r>
      <w:r w:rsidR="00D43487" w:rsidRPr="00730F74">
        <w:rPr>
          <w:noProof/>
        </w:rPr>
        <w:t>a</w:t>
      </w:r>
      <w:r w:rsidRPr="00730F74">
        <w:rPr>
          <w:noProof/>
        </w:rPr>
        <w:t xml:space="preserve">ssessing </w:t>
      </w:r>
      <w:r w:rsidR="00D43487" w:rsidRPr="00730F74">
        <w:rPr>
          <w:noProof/>
        </w:rPr>
        <w:t>c</w:t>
      </w:r>
      <w:r w:rsidRPr="00730F74">
        <w:rPr>
          <w:noProof/>
        </w:rPr>
        <w:t xml:space="preserve">ardiac </w:t>
      </w:r>
      <w:r w:rsidR="00D43487" w:rsidRPr="00730F74">
        <w:rPr>
          <w:noProof/>
        </w:rPr>
        <w:t>r</w:t>
      </w:r>
      <w:r w:rsidRPr="00730F74">
        <w:rPr>
          <w:noProof/>
        </w:rPr>
        <w:t xml:space="preserve">isk in </w:t>
      </w:r>
      <w:r w:rsidR="00D43487" w:rsidRPr="00730F74">
        <w:rPr>
          <w:noProof/>
        </w:rPr>
        <w:t>p</w:t>
      </w:r>
      <w:r w:rsidRPr="00730F74">
        <w:rPr>
          <w:noProof/>
        </w:rPr>
        <w:t xml:space="preserve">atients </w:t>
      </w:r>
      <w:r w:rsidR="00D43487" w:rsidRPr="00730F74">
        <w:rPr>
          <w:noProof/>
        </w:rPr>
        <w:t>h</w:t>
      </w:r>
      <w:r w:rsidRPr="00730F74">
        <w:rPr>
          <w:noProof/>
        </w:rPr>
        <w:t xml:space="preserve">aving </w:t>
      </w:r>
      <w:r w:rsidR="00D43487" w:rsidRPr="00730F74">
        <w:rPr>
          <w:noProof/>
        </w:rPr>
        <w:t>n</w:t>
      </w:r>
      <w:r w:rsidRPr="00730F74">
        <w:rPr>
          <w:noProof/>
        </w:rPr>
        <w:t xml:space="preserve">oncardiac </w:t>
      </w:r>
      <w:r w:rsidR="00D43487" w:rsidRPr="00730F74">
        <w:rPr>
          <w:noProof/>
        </w:rPr>
        <w:t>s</w:t>
      </w:r>
      <w:r w:rsidRPr="00730F74">
        <w:rPr>
          <w:noProof/>
        </w:rPr>
        <w:t>urgery.</w:t>
      </w:r>
      <w:r w:rsidR="00D43487" w:rsidRPr="00730F74">
        <w:rPr>
          <w:noProof/>
        </w:rPr>
        <w:t xml:space="preserve"> Study of Perioperative Ischemia Research Group.</w:t>
      </w:r>
      <w:r w:rsidRPr="00730F74">
        <w:rPr>
          <w:noProof/>
        </w:rPr>
        <w:t xml:space="preserve"> </w:t>
      </w:r>
      <w:r w:rsidRPr="00730F74">
        <w:rPr>
          <w:i/>
          <w:noProof/>
        </w:rPr>
        <w:t>Ann Intern Med</w:t>
      </w:r>
      <w:r w:rsidRPr="00730F74">
        <w:rPr>
          <w:noProof/>
        </w:rPr>
        <w:t xml:space="preserve"> 1996;</w:t>
      </w:r>
      <w:r w:rsidR="00D43487" w:rsidRPr="00730F74">
        <w:rPr>
          <w:noProof/>
        </w:rPr>
        <w:t xml:space="preserve"> </w:t>
      </w:r>
      <w:r w:rsidRPr="00730F74">
        <w:rPr>
          <w:b/>
          <w:noProof/>
        </w:rPr>
        <w:t>125</w:t>
      </w:r>
      <w:r w:rsidRPr="00730F74">
        <w:rPr>
          <w:noProof/>
        </w:rPr>
        <w:t>:</w:t>
      </w:r>
      <w:r w:rsidR="00D43487" w:rsidRPr="00730F74">
        <w:rPr>
          <w:noProof/>
        </w:rPr>
        <w:t xml:space="preserve"> 433–441.</w:t>
      </w:r>
    </w:p>
    <w:p w:rsidR="009937D1" w:rsidRPr="00730F74" w:rsidRDefault="009937D1" w:rsidP="009937D1">
      <w:pPr>
        <w:pStyle w:val="NormalWeb"/>
        <w:ind w:left="640" w:hanging="640"/>
        <w:rPr>
          <w:noProof/>
        </w:rPr>
      </w:pPr>
      <w:r w:rsidRPr="00730F74">
        <w:rPr>
          <w:noProof/>
        </w:rPr>
        <w:t>8</w:t>
      </w:r>
      <w:r w:rsidRPr="00730F74">
        <w:rPr>
          <w:noProof/>
        </w:rPr>
        <w:tab/>
        <w:t xml:space="preserve">Struthers R, Erasmus P, Holmes K, Warman P, Collingwood A, Sneyd JR. Assessing fitness for surgery: a comparison of questionnaire, incremental shuttle walk, and cardiopulmonary exercise testing in general surgical patients. </w:t>
      </w:r>
      <w:r w:rsidRPr="00730F74">
        <w:rPr>
          <w:i/>
          <w:noProof/>
        </w:rPr>
        <w:t>Br J Anaesth</w:t>
      </w:r>
      <w:r w:rsidRPr="00730F74">
        <w:rPr>
          <w:noProof/>
        </w:rPr>
        <w:t xml:space="preserve"> 2008;</w:t>
      </w:r>
      <w:r w:rsidR="00D43487" w:rsidRPr="00730F74">
        <w:rPr>
          <w:noProof/>
        </w:rPr>
        <w:t xml:space="preserve"> </w:t>
      </w:r>
      <w:r w:rsidRPr="00730F74">
        <w:rPr>
          <w:b/>
          <w:noProof/>
        </w:rPr>
        <w:t>101</w:t>
      </w:r>
      <w:r w:rsidRPr="00730F74">
        <w:rPr>
          <w:noProof/>
        </w:rPr>
        <w:t>:</w:t>
      </w:r>
      <w:r w:rsidR="00D43487" w:rsidRPr="00730F74">
        <w:rPr>
          <w:noProof/>
        </w:rPr>
        <w:t xml:space="preserve"> 774–780.</w:t>
      </w:r>
    </w:p>
    <w:p w:rsidR="009937D1" w:rsidRPr="00730F74" w:rsidRDefault="009937D1" w:rsidP="009937D1">
      <w:pPr>
        <w:pStyle w:val="NormalWeb"/>
        <w:ind w:left="640" w:hanging="640"/>
        <w:rPr>
          <w:noProof/>
        </w:rPr>
      </w:pPr>
      <w:r w:rsidRPr="00730F74">
        <w:rPr>
          <w:noProof/>
        </w:rPr>
        <w:t>9</w:t>
      </w:r>
      <w:r w:rsidRPr="00730F74">
        <w:rPr>
          <w:noProof/>
        </w:rPr>
        <w:tab/>
        <w:t xml:space="preserve">Lee L, Schwartzman K, Carli F, Zavorsky GS, Li C, Charlebois P </w:t>
      </w:r>
      <w:r w:rsidRPr="00730F74">
        <w:rPr>
          <w:i/>
          <w:noProof/>
        </w:rPr>
        <w:t>et</w:t>
      </w:r>
      <w:r w:rsidR="00BC6236" w:rsidRPr="00730F74">
        <w:rPr>
          <w:i/>
          <w:noProof/>
        </w:rPr>
        <w:t> </w:t>
      </w:r>
      <w:r w:rsidRPr="00730F74">
        <w:rPr>
          <w:i/>
          <w:noProof/>
        </w:rPr>
        <w:t>al</w:t>
      </w:r>
      <w:r w:rsidRPr="00730F74">
        <w:rPr>
          <w:noProof/>
        </w:rPr>
        <w:t>. The association of the distance walked in 6</w:t>
      </w:r>
      <w:r w:rsidR="00BC6236" w:rsidRPr="00730F74">
        <w:rPr>
          <w:noProof/>
        </w:rPr>
        <w:t> </w:t>
      </w:r>
      <w:r w:rsidRPr="00730F74">
        <w:rPr>
          <w:noProof/>
        </w:rPr>
        <w:t>min with pre-operative peak oxygen consumption and complications 1</w:t>
      </w:r>
      <w:r w:rsidR="00BC6236" w:rsidRPr="00730F74">
        <w:rPr>
          <w:noProof/>
        </w:rPr>
        <w:t> </w:t>
      </w:r>
      <w:r w:rsidRPr="00730F74">
        <w:rPr>
          <w:noProof/>
        </w:rPr>
        <w:t xml:space="preserve">month after colorectal resection. </w:t>
      </w:r>
      <w:r w:rsidRPr="00730F74">
        <w:rPr>
          <w:i/>
          <w:noProof/>
        </w:rPr>
        <w:t>Anaesthesia</w:t>
      </w:r>
      <w:r w:rsidRPr="00730F74">
        <w:rPr>
          <w:noProof/>
        </w:rPr>
        <w:t xml:space="preserve"> 2013;</w:t>
      </w:r>
      <w:r w:rsidR="00BC6236" w:rsidRPr="00730F74">
        <w:rPr>
          <w:noProof/>
        </w:rPr>
        <w:t xml:space="preserve"> </w:t>
      </w:r>
      <w:r w:rsidRPr="00730F74">
        <w:rPr>
          <w:b/>
          <w:noProof/>
        </w:rPr>
        <w:t>68</w:t>
      </w:r>
      <w:r w:rsidRPr="00730F74">
        <w:rPr>
          <w:noProof/>
        </w:rPr>
        <w:t>:</w:t>
      </w:r>
      <w:r w:rsidR="00BC6236" w:rsidRPr="00730F74">
        <w:rPr>
          <w:noProof/>
        </w:rPr>
        <w:t xml:space="preserve"> 811–816.</w:t>
      </w:r>
    </w:p>
    <w:p w:rsidR="009937D1" w:rsidRPr="00730F74" w:rsidRDefault="009937D1" w:rsidP="009937D1">
      <w:pPr>
        <w:pStyle w:val="NormalWeb"/>
        <w:ind w:left="640" w:hanging="640"/>
        <w:rPr>
          <w:noProof/>
        </w:rPr>
      </w:pPr>
      <w:r w:rsidRPr="00730F74">
        <w:rPr>
          <w:noProof/>
        </w:rPr>
        <w:lastRenderedPageBreak/>
        <w:t>10</w:t>
      </w:r>
      <w:r w:rsidRPr="00730F74">
        <w:rPr>
          <w:noProof/>
        </w:rPr>
        <w:tab/>
        <w:t xml:space="preserve">Smith TB, Stonell C, Purkayastha S, Paraskevas P. Cardiopulmonary exercise testing as a risk assessment method in non cardio-pulmonary surgery: a systematic review. </w:t>
      </w:r>
      <w:r w:rsidRPr="00730F74">
        <w:rPr>
          <w:i/>
          <w:noProof/>
        </w:rPr>
        <w:t>Anaesthesia</w:t>
      </w:r>
      <w:r w:rsidRPr="00730F74">
        <w:rPr>
          <w:noProof/>
        </w:rPr>
        <w:t xml:space="preserve"> 2009;</w:t>
      </w:r>
      <w:r w:rsidR="00BC6236" w:rsidRPr="00730F74">
        <w:rPr>
          <w:noProof/>
        </w:rPr>
        <w:t xml:space="preserve"> </w:t>
      </w:r>
      <w:r w:rsidRPr="00730F74">
        <w:rPr>
          <w:b/>
          <w:noProof/>
        </w:rPr>
        <w:t>64</w:t>
      </w:r>
      <w:r w:rsidRPr="00730F74">
        <w:rPr>
          <w:noProof/>
        </w:rPr>
        <w:t>:</w:t>
      </w:r>
      <w:r w:rsidR="00BC6236" w:rsidRPr="00730F74">
        <w:rPr>
          <w:noProof/>
        </w:rPr>
        <w:t xml:space="preserve"> 883–893.</w:t>
      </w:r>
    </w:p>
    <w:p w:rsidR="009937D1" w:rsidRPr="00730F74" w:rsidRDefault="009937D1" w:rsidP="009937D1">
      <w:pPr>
        <w:pStyle w:val="NormalWeb"/>
        <w:ind w:left="640" w:hanging="640"/>
        <w:rPr>
          <w:noProof/>
        </w:rPr>
      </w:pPr>
      <w:r w:rsidRPr="00730F74">
        <w:rPr>
          <w:noProof/>
        </w:rPr>
        <w:t>11</w:t>
      </w:r>
      <w:r w:rsidRPr="00730F74">
        <w:rPr>
          <w:noProof/>
        </w:rPr>
        <w:tab/>
        <w:t xml:space="preserve">West M, Jack S, Grocott MP. Perioperative cardiopulmonary exercise testing in the elderly. </w:t>
      </w:r>
      <w:r w:rsidRPr="00730F74">
        <w:rPr>
          <w:i/>
          <w:noProof/>
        </w:rPr>
        <w:t>Best Pract Res Clin Anaesthesiol</w:t>
      </w:r>
      <w:r w:rsidRPr="00730F74">
        <w:rPr>
          <w:noProof/>
        </w:rPr>
        <w:t xml:space="preserve"> 2011;</w:t>
      </w:r>
      <w:r w:rsidR="00514F14" w:rsidRPr="00730F74">
        <w:rPr>
          <w:noProof/>
        </w:rPr>
        <w:t xml:space="preserve"> </w:t>
      </w:r>
      <w:r w:rsidRPr="00730F74">
        <w:rPr>
          <w:b/>
          <w:noProof/>
        </w:rPr>
        <w:t>25</w:t>
      </w:r>
      <w:r w:rsidRPr="00730F74">
        <w:rPr>
          <w:noProof/>
        </w:rPr>
        <w:t>:</w:t>
      </w:r>
      <w:r w:rsidR="00514F14" w:rsidRPr="00730F74">
        <w:rPr>
          <w:noProof/>
        </w:rPr>
        <w:t xml:space="preserve"> 427–437.</w:t>
      </w:r>
    </w:p>
    <w:p w:rsidR="009937D1" w:rsidRPr="00730F74" w:rsidRDefault="009937D1" w:rsidP="009937D1">
      <w:pPr>
        <w:pStyle w:val="NormalWeb"/>
        <w:ind w:left="640" w:hanging="640"/>
        <w:rPr>
          <w:noProof/>
        </w:rPr>
      </w:pPr>
      <w:r w:rsidRPr="00730F74">
        <w:rPr>
          <w:noProof/>
        </w:rPr>
        <w:t>12</w:t>
      </w:r>
      <w:r w:rsidRPr="00730F74">
        <w:rPr>
          <w:noProof/>
        </w:rPr>
        <w:tab/>
        <w:t xml:space="preserve">Hennis PJ, Meale PM, Grocott MP. Cardiopulmonary exercise testing for the evaluation of perioperative risk in non-cardiopulmonary surgery. </w:t>
      </w:r>
      <w:r w:rsidRPr="00730F74">
        <w:rPr>
          <w:i/>
          <w:noProof/>
        </w:rPr>
        <w:t>Postgr</w:t>
      </w:r>
      <w:r w:rsidR="00514F14" w:rsidRPr="00730F74">
        <w:rPr>
          <w:i/>
          <w:noProof/>
        </w:rPr>
        <w:t>ad</w:t>
      </w:r>
      <w:r w:rsidRPr="00730F74">
        <w:rPr>
          <w:i/>
          <w:noProof/>
        </w:rPr>
        <w:t xml:space="preserve"> Med J</w:t>
      </w:r>
      <w:r w:rsidRPr="00730F74">
        <w:rPr>
          <w:noProof/>
        </w:rPr>
        <w:t xml:space="preserve"> 2011;</w:t>
      </w:r>
      <w:r w:rsidR="00514F14" w:rsidRPr="00730F74">
        <w:rPr>
          <w:noProof/>
        </w:rPr>
        <w:t xml:space="preserve"> </w:t>
      </w:r>
      <w:r w:rsidRPr="00730F74">
        <w:rPr>
          <w:b/>
          <w:noProof/>
        </w:rPr>
        <w:t>87</w:t>
      </w:r>
      <w:r w:rsidRPr="00730F74">
        <w:rPr>
          <w:noProof/>
        </w:rPr>
        <w:t>:</w:t>
      </w:r>
      <w:r w:rsidR="00514F14" w:rsidRPr="00730F74">
        <w:rPr>
          <w:noProof/>
        </w:rPr>
        <w:t xml:space="preserve"> 550–557.</w:t>
      </w:r>
    </w:p>
    <w:p w:rsidR="009937D1" w:rsidRPr="00730F74" w:rsidRDefault="009937D1" w:rsidP="009937D1">
      <w:pPr>
        <w:pStyle w:val="NormalWeb"/>
        <w:ind w:left="640" w:hanging="640"/>
        <w:rPr>
          <w:noProof/>
        </w:rPr>
      </w:pPr>
      <w:r w:rsidRPr="00730F74">
        <w:rPr>
          <w:noProof/>
        </w:rPr>
        <w:t>13</w:t>
      </w:r>
      <w:r w:rsidRPr="00730F74">
        <w:rPr>
          <w:noProof/>
        </w:rPr>
        <w:tab/>
        <w:t xml:space="preserve">Wilson RJT, Davies S, Yates D, Redman J, Stone M. Impaired functional capacity is associated with all-cause mortality after major elective intra-abdominal surgery. </w:t>
      </w:r>
      <w:r w:rsidRPr="00730F74">
        <w:rPr>
          <w:i/>
          <w:noProof/>
        </w:rPr>
        <w:t>Br J Anaesth</w:t>
      </w:r>
      <w:r w:rsidRPr="00730F74">
        <w:rPr>
          <w:noProof/>
        </w:rPr>
        <w:t xml:space="preserve"> 2010;</w:t>
      </w:r>
      <w:r w:rsidR="00514F14" w:rsidRPr="00730F74">
        <w:rPr>
          <w:noProof/>
        </w:rPr>
        <w:t xml:space="preserve"> </w:t>
      </w:r>
      <w:r w:rsidRPr="00730F74">
        <w:rPr>
          <w:b/>
          <w:noProof/>
        </w:rPr>
        <w:t>105</w:t>
      </w:r>
      <w:r w:rsidRPr="00730F74">
        <w:rPr>
          <w:noProof/>
        </w:rPr>
        <w:t>:</w:t>
      </w:r>
      <w:r w:rsidR="00514F14" w:rsidRPr="00730F74">
        <w:rPr>
          <w:noProof/>
        </w:rPr>
        <w:t xml:space="preserve"> 297–303.</w:t>
      </w:r>
    </w:p>
    <w:p w:rsidR="009937D1" w:rsidRPr="00730F74" w:rsidRDefault="009937D1" w:rsidP="009937D1">
      <w:pPr>
        <w:pStyle w:val="NormalWeb"/>
        <w:ind w:left="640" w:hanging="640"/>
        <w:rPr>
          <w:noProof/>
        </w:rPr>
      </w:pPr>
      <w:r w:rsidRPr="00730F74">
        <w:rPr>
          <w:noProof/>
        </w:rPr>
        <w:t>14</w:t>
      </w:r>
      <w:r w:rsidRPr="00730F74">
        <w:rPr>
          <w:noProof/>
        </w:rPr>
        <w:tab/>
        <w:t xml:space="preserve">Carlisle J, Swart M. Mid-term survival after abdominal aortic aneurysm surgery predicted by cardiopulmonary exercise testing. </w:t>
      </w:r>
      <w:r w:rsidRPr="00730F74">
        <w:rPr>
          <w:i/>
          <w:noProof/>
        </w:rPr>
        <w:t>Br J Surg</w:t>
      </w:r>
      <w:r w:rsidRPr="00730F74">
        <w:rPr>
          <w:noProof/>
        </w:rPr>
        <w:t xml:space="preserve"> 2007;</w:t>
      </w:r>
      <w:r w:rsidR="00514F14" w:rsidRPr="00730F74">
        <w:rPr>
          <w:noProof/>
        </w:rPr>
        <w:t xml:space="preserve"> </w:t>
      </w:r>
      <w:r w:rsidRPr="00730F74">
        <w:rPr>
          <w:b/>
          <w:noProof/>
        </w:rPr>
        <w:t>94</w:t>
      </w:r>
      <w:r w:rsidRPr="00730F74">
        <w:rPr>
          <w:noProof/>
        </w:rPr>
        <w:t>:</w:t>
      </w:r>
      <w:r w:rsidR="00514F14" w:rsidRPr="00730F74">
        <w:rPr>
          <w:noProof/>
        </w:rPr>
        <w:t xml:space="preserve"> 966–969.</w:t>
      </w:r>
    </w:p>
    <w:p w:rsidR="009937D1" w:rsidRPr="00730F74" w:rsidRDefault="009937D1" w:rsidP="009937D1">
      <w:pPr>
        <w:pStyle w:val="NormalWeb"/>
        <w:ind w:left="640" w:hanging="640"/>
        <w:rPr>
          <w:noProof/>
        </w:rPr>
      </w:pPr>
      <w:r w:rsidRPr="00730F74">
        <w:rPr>
          <w:noProof/>
        </w:rPr>
        <w:t>15</w:t>
      </w:r>
      <w:r w:rsidRPr="00730F74">
        <w:rPr>
          <w:noProof/>
        </w:rPr>
        <w:tab/>
        <w:t xml:space="preserve">Snowden CP, Prentis JM, Anderson HL, Roberts DR, Randles D, Renton M </w:t>
      </w:r>
      <w:r w:rsidRPr="00730F74">
        <w:rPr>
          <w:i/>
          <w:noProof/>
        </w:rPr>
        <w:t>et</w:t>
      </w:r>
      <w:r w:rsidR="00514F14" w:rsidRPr="00730F74">
        <w:rPr>
          <w:i/>
          <w:noProof/>
        </w:rPr>
        <w:t> </w:t>
      </w:r>
      <w:r w:rsidRPr="00730F74">
        <w:rPr>
          <w:i/>
          <w:noProof/>
        </w:rPr>
        <w:t>al</w:t>
      </w:r>
      <w:r w:rsidRPr="00730F74">
        <w:rPr>
          <w:noProof/>
        </w:rPr>
        <w:t xml:space="preserve">. Submaximal cardiopulmonary exercise testing predicts complications and hospital length of stay in patients undergoing major elective surgery. </w:t>
      </w:r>
      <w:r w:rsidRPr="00730F74">
        <w:rPr>
          <w:i/>
          <w:noProof/>
        </w:rPr>
        <w:t>Ann Surg</w:t>
      </w:r>
      <w:r w:rsidRPr="00730F74">
        <w:rPr>
          <w:noProof/>
        </w:rPr>
        <w:t xml:space="preserve"> 2010;</w:t>
      </w:r>
      <w:r w:rsidR="00514F14" w:rsidRPr="00730F74">
        <w:rPr>
          <w:noProof/>
        </w:rPr>
        <w:t xml:space="preserve"> </w:t>
      </w:r>
      <w:r w:rsidRPr="00730F74">
        <w:rPr>
          <w:b/>
          <w:noProof/>
        </w:rPr>
        <w:t>251</w:t>
      </w:r>
      <w:r w:rsidRPr="00730F74">
        <w:rPr>
          <w:noProof/>
        </w:rPr>
        <w:t>:</w:t>
      </w:r>
      <w:r w:rsidR="00514F14" w:rsidRPr="00730F74">
        <w:rPr>
          <w:noProof/>
        </w:rPr>
        <w:t xml:space="preserve"> 535–541.</w:t>
      </w:r>
    </w:p>
    <w:p w:rsidR="009937D1" w:rsidRPr="00730F74" w:rsidRDefault="009937D1" w:rsidP="009937D1">
      <w:pPr>
        <w:pStyle w:val="NormalWeb"/>
        <w:ind w:left="640" w:hanging="640"/>
        <w:rPr>
          <w:noProof/>
        </w:rPr>
      </w:pPr>
      <w:r w:rsidRPr="00730F74">
        <w:rPr>
          <w:noProof/>
        </w:rPr>
        <w:t>16</w:t>
      </w:r>
      <w:r w:rsidRPr="00730F74">
        <w:rPr>
          <w:noProof/>
        </w:rPr>
        <w:tab/>
      </w:r>
      <w:r w:rsidR="00D43661" w:rsidRPr="00730F74">
        <w:rPr>
          <w:noProof/>
        </w:rPr>
        <w:t xml:space="preserve">&lt;B&gt;The </w:t>
      </w:r>
      <w:r w:rsidRPr="00730F74">
        <w:rPr>
          <w:noProof/>
        </w:rPr>
        <w:t xml:space="preserve">Caldicott Committee. </w:t>
      </w:r>
      <w:r w:rsidRPr="00730F74">
        <w:rPr>
          <w:i/>
          <w:noProof/>
        </w:rPr>
        <w:t>Report on the Review of Patient-Identi</w:t>
      </w:r>
      <w:r w:rsidR="00D43661" w:rsidRPr="00730F74">
        <w:rPr>
          <w:i/>
          <w:noProof/>
        </w:rPr>
        <w:t>fiable Information</w:t>
      </w:r>
      <w:r w:rsidR="00D43661" w:rsidRPr="00730F74">
        <w:rPr>
          <w:noProof/>
        </w:rPr>
        <w:t>. Department of Health: London, 1997.</w:t>
      </w:r>
    </w:p>
    <w:p w:rsidR="009937D1" w:rsidRPr="00730F74" w:rsidRDefault="009937D1" w:rsidP="009937D1">
      <w:pPr>
        <w:pStyle w:val="NormalWeb"/>
        <w:ind w:left="640" w:hanging="640"/>
        <w:rPr>
          <w:noProof/>
        </w:rPr>
      </w:pPr>
      <w:r w:rsidRPr="00730F74">
        <w:rPr>
          <w:noProof/>
        </w:rPr>
        <w:t>17</w:t>
      </w:r>
      <w:r w:rsidRPr="00730F74">
        <w:rPr>
          <w:noProof/>
        </w:rPr>
        <w:tab/>
        <w:t>Weisman IM, Marciniuk D, Martinez FJ</w:t>
      </w:r>
      <w:r w:rsidR="001C221F" w:rsidRPr="00730F74">
        <w:rPr>
          <w:noProof/>
        </w:rPr>
        <w:t xml:space="preserve">, Sciurba F, Sue D, Myers J </w:t>
      </w:r>
      <w:r w:rsidR="001C221F" w:rsidRPr="00730F74">
        <w:rPr>
          <w:i/>
          <w:noProof/>
        </w:rPr>
        <w:t>et </w:t>
      </w:r>
      <w:r w:rsidRPr="00730F74">
        <w:rPr>
          <w:i/>
          <w:noProof/>
        </w:rPr>
        <w:t>al</w:t>
      </w:r>
      <w:r w:rsidRPr="00730F74">
        <w:rPr>
          <w:noProof/>
        </w:rPr>
        <w:t>.</w:t>
      </w:r>
      <w:r w:rsidR="001C221F" w:rsidRPr="00730F74">
        <w:rPr>
          <w:noProof/>
        </w:rPr>
        <w:t>;</w:t>
      </w:r>
      <w:r w:rsidRPr="00730F74">
        <w:rPr>
          <w:noProof/>
        </w:rPr>
        <w:t xml:space="preserve"> </w:t>
      </w:r>
      <w:r w:rsidR="001C221F" w:rsidRPr="00730F74">
        <w:rPr>
          <w:noProof/>
        </w:rPr>
        <w:t xml:space="preserve">American Thoracic Society, American College of Chest Physicians </w:t>
      </w:r>
      <w:r w:rsidR="00D43661" w:rsidRPr="00730F74">
        <w:rPr>
          <w:noProof/>
        </w:rPr>
        <w:t xml:space="preserve">Indications </w:t>
      </w:r>
      <w:r w:rsidR="00D43661" w:rsidRPr="00730F74">
        <w:rPr>
          <w:noProof/>
        </w:rPr>
        <w:lastRenderedPageBreak/>
        <w:t xml:space="preserve">for pulmonary exercise testing. </w:t>
      </w:r>
      <w:r w:rsidRPr="00730F74">
        <w:rPr>
          <w:noProof/>
        </w:rPr>
        <w:t xml:space="preserve">ATS/ACCP </w:t>
      </w:r>
      <w:r w:rsidR="00AE0E18" w:rsidRPr="00730F74">
        <w:rPr>
          <w:noProof/>
        </w:rPr>
        <w:t>s</w:t>
      </w:r>
      <w:r w:rsidRPr="00730F74">
        <w:rPr>
          <w:noProof/>
        </w:rPr>
        <w:t xml:space="preserve">tatement on cardiopulmonary exercise testing. </w:t>
      </w:r>
      <w:r w:rsidRPr="00730F74">
        <w:rPr>
          <w:i/>
          <w:noProof/>
        </w:rPr>
        <w:t>Am J Respir Crit Care Med</w:t>
      </w:r>
      <w:r w:rsidRPr="00730F74">
        <w:rPr>
          <w:noProof/>
        </w:rPr>
        <w:t xml:space="preserve"> 2003;</w:t>
      </w:r>
      <w:r w:rsidR="00AE0E18" w:rsidRPr="00730F74">
        <w:rPr>
          <w:noProof/>
        </w:rPr>
        <w:t xml:space="preserve"> </w:t>
      </w:r>
      <w:r w:rsidRPr="00730F74">
        <w:rPr>
          <w:b/>
          <w:noProof/>
        </w:rPr>
        <w:t>167</w:t>
      </w:r>
      <w:r w:rsidRPr="00730F74">
        <w:rPr>
          <w:noProof/>
        </w:rPr>
        <w:t>:</w:t>
      </w:r>
      <w:r w:rsidR="00AE0E18" w:rsidRPr="00730F74">
        <w:rPr>
          <w:noProof/>
        </w:rPr>
        <w:t xml:space="preserve"> 211–277.</w:t>
      </w:r>
    </w:p>
    <w:p w:rsidR="009937D1" w:rsidRPr="00730F74" w:rsidRDefault="009937D1" w:rsidP="009937D1">
      <w:pPr>
        <w:pStyle w:val="NormalWeb"/>
        <w:ind w:left="640" w:hanging="640"/>
        <w:rPr>
          <w:noProof/>
        </w:rPr>
      </w:pPr>
      <w:r w:rsidRPr="00730F74">
        <w:rPr>
          <w:noProof/>
        </w:rPr>
        <w:t>18</w:t>
      </w:r>
      <w:r w:rsidRPr="00730F74">
        <w:rPr>
          <w:noProof/>
        </w:rPr>
        <w:tab/>
      </w:r>
      <w:r w:rsidR="00AE0E18" w:rsidRPr="00730F74">
        <w:rPr>
          <w:noProof/>
        </w:rPr>
        <w:t>&lt;B&gt;</w:t>
      </w:r>
      <w:r w:rsidRPr="00730F74">
        <w:rPr>
          <w:noProof/>
        </w:rPr>
        <w:t>Wasserman K, Hansen JE, Sue DY</w:t>
      </w:r>
      <w:r w:rsidR="00AE0E18" w:rsidRPr="00730F74">
        <w:rPr>
          <w:noProof/>
        </w:rPr>
        <w:t>,</w:t>
      </w:r>
      <w:r w:rsidRPr="00730F74">
        <w:rPr>
          <w:noProof/>
        </w:rPr>
        <w:t xml:space="preserve"> S</w:t>
      </w:r>
      <w:r w:rsidR="00AE0E18" w:rsidRPr="00730F74">
        <w:rPr>
          <w:noProof/>
        </w:rPr>
        <w:t>tringer W</w:t>
      </w:r>
      <w:r w:rsidRPr="00730F74">
        <w:rPr>
          <w:noProof/>
        </w:rPr>
        <w:t>W</w:t>
      </w:r>
      <w:r w:rsidR="00AE0E18" w:rsidRPr="00730F74">
        <w:rPr>
          <w:noProof/>
        </w:rPr>
        <w:t>,</w:t>
      </w:r>
      <w:r w:rsidRPr="00730F74">
        <w:rPr>
          <w:noProof/>
        </w:rPr>
        <w:t xml:space="preserve"> Whipp BJ. </w:t>
      </w:r>
      <w:r w:rsidRPr="00730F74">
        <w:rPr>
          <w:i/>
          <w:noProof/>
        </w:rPr>
        <w:t xml:space="preserve">Principles of Exercise Testing and Interpretation: </w:t>
      </w:r>
      <w:r w:rsidR="00AE0E18" w:rsidRPr="00730F74">
        <w:rPr>
          <w:i/>
          <w:noProof/>
        </w:rPr>
        <w:t xml:space="preserve">Including </w:t>
      </w:r>
      <w:r w:rsidRPr="00730F74">
        <w:rPr>
          <w:i/>
          <w:noProof/>
        </w:rPr>
        <w:t>Pathophysi</w:t>
      </w:r>
      <w:r w:rsidR="00AE0E18" w:rsidRPr="00730F74">
        <w:rPr>
          <w:i/>
          <w:noProof/>
        </w:rPr>
        <w:t>ology and Clinical Applications</w:t>
      </w:r>
      <w:r w:rsidRPr="00730F74">
        <w:rPr>
          <w:noProof/>
        </w:rPr>
        <w:t xml:space="preserve"> </w:t>
      </w:r>
      <w:r w:rsidR="00AE0E18" w:rsidRPr="00730F74">
        <w:rPr>
          <w:noProof/>
        </w:rPr>
        <w:t>(</w:t>
      </w:r>
      <w:r w:rsidRPr="00730F74">
        <w:rPr>
          <w:noProof/>
        </w:rPr>
        <w:t xml:space="preserve">4th </w:t>
      </w:r>
      <w:r w:rsidR="00AE0E18" w:rsidRPr="00730F74">
        <w:rPr>
          <w:noProof/>
        </w:rPr>
        <w:t>edn).</w:t>
      </w:r>
      <w:r w:rsidRPr="00730F74">
        <w:rPr>
          <w:noProof/>
        </w:rPr>
        <w:t xml:space="preserve"> </w:t>
      </w:r>
      <w:r w:rsidR="00AE0E18" w:rsidRPr="00730F74">
        <w:rPr>
          <w:noProof/>
        </w:rPr>
        <w:t xml:space="preserve">Lippincott Williams &amp; Wilkins: </w:t>
      </w:r>
      <w:r w:rsidRPr="00730F74">
        <w:rPr>
          <w:noProof/>
        </w:rPr>
        <w:t>Baltimore, 2005</w:t>
      </w:r>
      <w:r w:rsidR="00AE0E18" w:rsidRPr="00730F74">
        <w:rPr>
          <w:noProof/>
        </w:rPr>
        <w:t>.</w:t>
      </w:r>
    </w:p>
    <w:p w:rsidR="009937D1" w:rsidRPr="00730F74" w:rsidRDefault="009937D1" w:rsidP="009937D1">
      <w:pPr>
        <w:pStyle w:val="NormalWeb"/>
        <w:ind w:left="640" w:hanging="640"/>
        <w:rPr>
          <w:noProof/>
        </w:rPr>
      </w:pPr>
      <w:r w:rsidRPr="00730F74">
        <w:rPr>
          <w:noProof/>
        </w:rPr>
        <w:t>19</w:t>
      </w:r>
      <w:r w:rsidRPr="00730F74">
        <w:rPr>
          <w:noProof/>
        </w:rPr>
        <w:tab/>
      </w:r>
      <w:r w:rsidR="000B4CA9" w:rsidRPr="00730F74">
        <w:rPr>
          <w:noProof/>
        </w:rPr>
        <w:t>Beaver WL</w:t>
      </w:r>
      <w:r w:rsidRPr="00730F74">
        <w:rPr>
          <w:noProof/>
        </w:rPr>
        <w:t xml:space="preserve">, Wasserman K, Whipp </w:t>
      </w:r>
      <w:r w:rsidR="000B4CA9" w:rsidRPr="00730F74">
        <w:rPr>
          <w:noProof/>
        </w:rPr>
        <w:t>B</w:t>
      </w:r>
      <w:r w:rsidRPr="00730F74">
        <w:rPr>
          <w:noProof/>
        </w:rPr>
        <w:t xml:space="preserve">J. A new method for detecting anaerobic threshold by gas exchange. </w:t>
      </w:r>
      <w:r w:rsidRPr="00730F74">
        <w:rPr>
          <w:i/>
          <w:noProof/>
        </w:rPr>
        <w:t>J Appl Physiol</w:t>
      </w:r>
      <w:r w:rsidRPr="00730F74">
        <w:rPr>
          <w:noProof/>
        </w:rPr>
        <w:t xml:space="preserve"> 1986;</w:t>
      </w:r>
      <w:r w:rsidR="000B4CA9" w:rsidRPr="00730F74">
        <w:rPr>
          <w:noProof/>
        </w:rPr>
        <w:t xml:space="preserve"> </w:t>
      </w:r>
      <w:r w:rsidRPr="00730F74">
        <w:rPr>
          <w:b/>
          <w:noProof/>
        </w:rPr>
        <w:t>60</w:t>
      </w:r>
      <w:r w:rsidRPr="00730F74">
        <w:rPr>
          <w:noProof/>
        </w:rPr>
        <w:t>:</w:t>
      </w:r>
      <w:r w:rsidR="000B4CA9" w:rsidRPr="00730F74">
        <w:rPr>
          <w:noProof/>
        </w:rPr>
        <w:t xml:space="preserve"> 2020–2027.</w:t>
      </w:r>
    </w:p>
    <w:p w:rsidR="009937D1" w:rsidRPr="00730F74" w:rsidRDefault="009937D1" w:rsidP="009937D1">
      <w:pPr>
        <w:pStyle w:val="NormalWeb"/>
        <w:ind w:left="640" w:hanging="640"/>
        <w:rPr>
          <w:noProof/>
        </w:rPr>
      </w:pPr>
      <w:r w:rsidRPr="00730F74">
        <w:rPr>
          <w:noProof/>
        </w:rPr>
        <w:t>20</w:t>
      </w:r>
      <w:r w:rsidRPr="00730F74">
        <w:rPr>
          <w:noProof/>
        </w:rPr>
        <w:tab/>
        <w:t>Sue D</w:t>
      </w:r>
      <w:r w:rsidR="007E1059" w:rsidRPr="00730F74">
        <w:rPr>
          <w:noProof/>
        </w:rPr>
        <w:t>Y</w:t>
      </w:r>
      <w:r w:rsidRPr="00730F74">
        <w:rPr>
          <w:noProof/>
        </w:rPr>
        <w:t>, Wasserman K, Moricca R</w:t>
      </w:r>
      <w:r w:rsidR="007E1059" w:rsidRPr="00730F74">
        <w:rPr>
          <w:noProof/>
        </w:rPr>
        <w:t>B</w:t>
      </w:r>
      <w:r w:rsidRPr="00730F74">
        <w:rPr>
          <w:noProof/>
        </w:rPr>
        <w:t xml:space="preserve">, Casaburi R. Metabolic acidosis during exercise in patients with chronic obstructive pulmonary disease. Use of the V-slope method for anaerobic threshold determination. </w:t>
      </w:r>
      <w:r w:rsidRPr="00730F74">
        <w:rPr>
          <w:i/>
          <w:noProof/>
        </w:rPr>
        <w:t>Chest</w:t>
      </w:r>
      <w:r w:rsidRPr="00730F74">
        <w:rPr>
          <w:noProof/>
        </w:rPr>
        <w:t xml:space="preserve"> 1988;</w:t>
      </w:r>
      <w:r w:rsidR="007E1059" w:rsidRPr="00730F74">
        <w:rPr>
          <w:noProof/>
        </w:rPr>
        <w:t xml:space="preserve"> </w:t>
      </w:r>
      <w:r w:rsidRPr="00730F74">
        <w:rPr>
          <w:b/>
          <w:noProof/>
        </w:rPr>
        <w:t>94</w:t>
      </w:r>
      <w:r w:rsidRPr="00730F74">
        <w:rPr>
          <w:noProof/>
        </w:rPr>
        <w:t>:</w:t>
      </w:r>
      <w:r w:rsidR="007E1059" w:rsidRPr="00730F74">
        <w:rPr>
          <w:noProof/>
        </w:rPr>
        <w:t xml:space="preserve"> 931–938.</w:t>
      </w:r>
    </w:p>
    <w:p w:rsidR="009937D1" w:rsidRPr="00730F74" w:rsidRDefault="009937D1" w:rsidP="009937D1">
      <w:pPr>
        <w:pStyle w:val="NormalWeb"/>
        <w:ind w:left="640" w:hanging="640"/>
        <w:rPr>
          <w:noProof/>
        </w:rPr>
      </w:pPr>
      <w:r w:rsidRPr="00730F74">
        <w:rPr>
          <w:noProof/>
        </w:rPr>
        <w:t>21</w:t>
      </w:r>
      <w:r w:rsidRPr="00730F74">
        <w:rPr>
          <w:noProof/>
        </w:rPr>
        <w:tab/>
        <w:t xml:space="preserve">Grocott MPW, Browne JP, Van der Meulen J, Matejowsky C, Mutch M, Hamilton M </w:t>
      </w:r>
      <w:r w:rsidRPr="00730F74">
        <w:rPr>
          <w:i/>
          <w:noProof/>
        </w:rPr>
        <w:t>et</w:t>
      </w:r>
      <w:r w:rsidR="00D27B15" w:rsidRPr="00730F74">
        <w:rPr>
          <w:i/>
          <w:noProof/>
        </w:rPr>
        <w:t> </w:t>
      </w:r>
      <w:r w:rsidRPr="00730F74">
        <w:rPr>
          <w:i/>
          <w:noProof/>
        </w:rPr>
        <w:t>al</w:t>
      </w:r>
      <w:r w:rsidRPr="00730F74">
        <w:rPr>
          <w:noProof/>
        </w:rPr>
        <w:t xml:space="preserve">. The Postoperative Morbidity Survey was validated and used to describe morbidity after major surgery. </w:t>
      </w:r>
      <w:r w:rsidRPr="00730F74">
        <w:rPr>
          <w:i/>
          <w:noProof/>
        </w:rPr>
        <w:t>J Clin Epidemiol</w:t>
      </w:r>
      <w:r w:rsidRPr="00730F74">
        <w:rPr>
          <w:noProof/>
        </w:rPr>
        <w:t xml:space="preserve"> 2007;</w:t>
      </w:r>
      <w:r w:rsidR="00D27B15" w:rsidRPr="00730F74">
        <w:rPr>
          <w:noProof/>
        </w:rPr>
        <w:t xml:space="preserve"> </w:t>
      </w:r>
      <w:r w:rsidRPr="00730F74">
        <w:rPr>
          <w:b/>
          <w:noProof/>
        </w:rPr>
        <w:t>60</w:t>
      </w:r>
      <w:r w:rsidRPr="00730F74">
        <w:rPr>
          <w:noProof/>
        </w:rPr>
        <w:t>:</w:t>
      </w:r>
      <w:r w:rsidR="00D27B15" w:rsidRPr="00730F74">
        <w:rPr>
          <w:noProof/>
        </w:rPr>
        <w:t xml:space="preserve"> 919–928.</w:t>
      </w:r>
    </w:p>
    <w:p w:rsidR="009937D1" w:rsidRPr="00730F74" w:rsidRDefault="009937D1" w:rsidP="009937D1">
      <w:pPr>
        <w:pStyle w:val="NormalWeb"/>
        <w:ind w:left="640" w:hanging="640"/>
        <w:rPr>
          <w:noProof/>
        </w:rPr>
      </w:pPr>
      <w:r w:rsidRPr="00730F74">
        <w:rPr>
          <w:noProof/>
        </w:rPr>
        <w:t>22</w:t>
      </w:r>
      <w:r w:rsidRPr="00730F74">
        <w:rPr>
          <w:noProof/>
        </w:rPr>
        <w:tab/>
        <w:t>Dindo D, Demartines N,</w:t>
      </w:r>
      <w:r w:rsidR="000B4CA9" w:rsidRPr="00730F74">
        <w:rPr>
          <w:noProof/>
        </w:rPr>
        <w:t xml:space="preserve"> Clavien PA. Classification of s</w:t>
      </w:r>
      <w:r w:rsidRPr="00730F74">
        <w:rPr>
          <w:noProof/>
        </w:rPr>
        <w:t xml:space="preserve">urgical </w:t>
      </w:r>
      <w:r w:rsidR="000B4CA9" w:rsidRPr="00730F74">
        <w:rPr>
          <w:noProof/>
        </w:rPr>
        <w:t>c</w:t>
      </w:r>
      <w:r w:rsidRPr="00730F74">
        <w:rPr>
          <w:noProof/>
        </w:rPr>
        <w:t>omplications</w:t>
      </w:r>
      <w:r w:rsidR="000B4CA9" w:rsidRPr="00730F74">
        <w:rPr>
          <w:noProof/>
        </w:rPr>
        <w:t>: a</w:t>
      </w:r>
      <w:r w:rsidRPr="00730F74">
        <w:rPr>
          <w:noProof/>
        </w:rPr>
        <w:t xml:space="preserve"> new proposal with evluation in a cohort of 6336 patients and results of a survey. </w:t>
      </w:r>
      <w:r w:rsidRPr="00730F74">
        <w:rPr>
          <w:i/>
          <w:noProof/>
        </w:rPr>
        <w:t>Ann Surg</w:t>
      </w:r>
      <w:r w:rsidRPr="00730F74">
        <w:rPr>
          <w:noProof/>
        </w:rPr>
        <w:t xml:space="preserve"> 2004;</w:t>
      </w:r>
      <w:r w:rsidR="000B4CA9" w:rsidRPr="00730F74">
        <w:rPr>
          <w:noProof/>
        </w:rPr>
        <w:t xml:space="preserve"> </w:t>
      </w:r>
      <w:r w:rsidRPr="00730F74">
        <w:rPr>
          <w:b/>
          <w:noProof/>
        </w:rPr>
        <w:t>240</w:t>
      </w:r>
      <w:r w:rsidRPr="00730F74">
        <w:rPr>
          <w:noProof/>
        </w:rPr>
        <w:t>:</w:t>
      </w:r>
      <w:r w:rsidR="000B4CA9" w:rsidRPr="00730F74">
        <w:rPr>
          <w:noProof/>
        </w:rPr>
        <w:t xml:space="preserve"> 205–213.</w:t>
      </w:r>
    </w:p>
    <w:p w:rsidR="009937D1" w:rsidRPr="00730F74" w:rsidRDefault="009937D1" w:rsidP="009937D1">
      <w:pPr>
        <w:pStyle w:val="NormalWeb"/>
        <w:ind w:left="640" w:hanging="640"/>
        <w:rPr>
          <w:noProof/>
        </w:rPr>
      </w:pPr>
      <w:r w:rsidRPr="00730F74">
        <w:rPr>
          <w:noProof/>
        </w:rPr>
        <w:t>23</w:t>
      </w:r>
      <w:r w:rsidRPr="00730F74">
        <w:rPr>
          <w:noProof/>
        </w:rPr>
        <w:tab/>
      </w:r>
      <w:r w:rsidR="00884D4A" w:rsidRPr="00730F74">
        <w:rPr>
          <w:noProof/>
        </w:rPr>
        <w:t xml:space="preserve">&lt;B&gt;van </w:t>
      </w:r>
      <w:r w:rsidRPr="00730F74">
        <w:rPr>
          <w:noProof/>
        </w:rPr>
        <w:t xml:space="preserve">Belle G. </w:t>
      </w:r>
      <w:r w:rsidRPr="00730F74">
        <w:rPr>
          <w:i/>
          <w:noProof/>
        </w:rPr>
        <w:t>Statistical Rules of Thumb</w:t>
      </w:r>
      <w:r w:rsidR="00884D4A" w:rsidRPr="00730F74">
        <w:rPr>
          <w:noProof/>
        </w:rPr>
        <w:t xml:space="preserve"> (</w:t>
      </w:r>
      <w:r w:rsidRPr="00730F74">
        <w:rPr>
          <w:noProof/>
        </w:rPr>
        <w:t>2nd</w:t>
      </w:r>
      <w:r w:rsidR="00884D4A" w:rsidRPr="00730F74">
        <w:rPr>
          <w:noProof/>
        </w:rPr>
        <w:t xml:space="preserve"> edn).</w:t>
      </w:r>
      <w:r w:rsidRPr="00730F74">
        <w:rPr>
          <w:noProof/>
        </w:rPr>
        <w:t xml:space="preserve"> </w:t>
      </w:r>
      <w:r w:rsidR="00884D4A" w:rsidRPr="00730F74">
        <w:rPr>
          <w:noProof/>
        </w:rPr>
        <w:t>Wiley: Hoboken, 2008.</w:t>
      </w:r>
    </w:p>
    <w:p w:rsidR="0051795E" w:rsidRPr="00730F74" w:rsidRDefault="0051795E" w:rsidP="0051795E">
      <w:pPr>
        <w:pStyle w:val="NormalWeb"/>
        <w:ind w:left="640" w:hanging="640"/>
        <w:rPr>
          <w:noProof/>
        </w:rPr>
      </w:pPr>
      <w:r w:rsidRPr="00730F74">
        <w:rPr>
          <w:noProof/>
        </w:rPr>
        <w:t>24</w:t>
      </w:r>
      <w:r w:rsidRPr="00730F74">
        <w:rPr>
          <w:noProof/>
        </w:rPr>
        <w:tab/>
        <w:t xml:space="preserve">&lt;B&gt;Sobin LH, Gospodarowicz MK, Wittekind C (eds). </w:t>
      </w:r>
      <w:r w:rsidRPr="00730F74">
        <w:rPr>
          <w:i/>
          <w:noProof/>
        </w:rPr>
        <w:t>UICC TNM Classification of Malignant Tumours</w:t>
      </w:r>
      <w:r w:rsidRPr="00730F74">
        <w:rPr>
          <w:noProof/>
        </w:rPr>
        <w:t xml:space="preserve"> (7th edn). Wiley–Blackwell: Oxford, 2009.</w:t>
      </w:r>
    </w:p>
    <w:p w:rsidR="009937D1" w:rsidRPr="00730F74" w:rsidRDefault="009937D1" w:rsidP="009937D1">
      <w:pPr>
        <w:pStyle w:val="NormalWeb"/>
        <w:ind w:left="640" w:hanging="640"/>
        <w:rPr>
          <w:noProof/>
        </w:rPr>
      </w:pPr>
      <w:r w:rsidRPr="00730F74">
        <w:rPr>
          <w:noProof/>
        </w:rPr>
        <w:lastRenderedPageBreak/>
        <w:t>2</w:t>
      </w:r>
      <w:r w:rsidR="0051795E" w:rsidRPr="00730F74">
        <w:rPr>
          <w:noProof/>
        </w:rPr>
        <w:t>5</w:t>
      </w:r>
      <w:r w:rsidRPr="00730F74">
        <w:rPr>
          <w:noProof/>
        </w:rPr>
        <w:tab/>
        <w:t xml:space="preserve">Junejo MA, Mason JM, Sheen AJ, Moore J, Foster P, Atkinson D </w:t>
      </w:r>
      <w:r w:rsidRPr="00730F74">
        <w:rPr>
          <w:i/>
          <w:noProof/>
        </w:rPr>
        <w:t>et</w:t>
      </w:r>
      <w:r w:rsidR="00884D4A" w:rsidRPr="00730F74">
        <w:rPr>
          <w:i/>
          <w:noProof/>
        </w:rPr>
        <w:t> </w:t>
      </w:r>
      <w:r w:rsidRPr="00730F74">
        <w:rPr>
          <w:i/>
          <w:noProof/>
        </w:rPr>
        <w:t>al</w:t>
      </w:r>
      <w:r w:rsidRPr="00730F74">
        <w:rPr>
          <w:noProof/>
        </w:rPr>
        <w:t xml:space="preserve">. Cardiopulmonary exercise testing for preoperative risk assessment before hepatic resection. </w:t>
      </w:r>
      <w:r w:rsidRPr="00730F74">
        <w:rPr>
          <w:i/>
          <w:noProof/>
        </w:rPr>
        <w:t>Br J Surg</w:t>
      </w:r>
      <w:r w:rsidRPr="00730F74">
        <w:rPr>
          <w:noProof/>
        </w:rPr>
        <w:t xml:space="preserve"> 2012;</w:t>
      </w:r>
      <w:r w:rsidR="00884D4A" w:rsidRPr="00730F74">
        <w:rPr>
          <w:noProof/>
        </w:rPr>
        <w:t xml:space="preserve"> </w:t>
      </w:r>
      <w:r w:rsidRPr="00730F74">
        <w:rPr>
          <w:b/>
          <w:noProof/>
        </w:rPr>
        <w:t>99</w:t>
      </w:r>
      <w:r w:rsidRPr="00730F74">
        <w:rPr>
          <w:noProof/>
        </w:rPr>
        <w:t>:</w:t>
      </w:r>
      <w:r w:rsidR="00884D4A" w:rsidRPr="00730F74">
        <w:rPr>
          <w:noProof/>
        </w:rPr>
        <w:t xml:space="preserve"> 1097–1104.</w:t>
      </w:r>
    </w:p>
    <w:p w:rsidR="009937D1" w:rsidRPr="00730F74" w:rsidRDefault="0051795E" w:rsidP="009937D1">
      <w:pPr>
        <w:pStyle w:val="NormalWeb"/>
        <w:ind w:left="640" w:hanging="640"/>
        <w:rPr>
          <w:noProof/>
        </w:rPr>
      </w:pPr>
      <w:r w:rsidRPr="00730F74">
        <w:rPr>
          <w:noProof/>
        </w:rPr>
        <w:t>26</w:t>
      </w:r>
      <w:r w:rsidR="009937D1" w:rsidRPr="00730F74">
        <w:rPr>
          <w:noProof/>
        </w:rPr>
        <w:tab/>
        <w:t xml:space="preserve">Stringer W, Casaburi R, Older P. Cardiopulmonary exercise testing: does it improve perioperative care and outcome? </w:t>
      </w:r>
      <w:r w:rsidR="009937D1" w:rsidRPr="00730F74">
        <w:rPr>
          <w:i/>
          <w:noProof/>
        </w:rPr>
        <w:t>Curr Opin Anaesthesiol</w:t>
      </w:r>
      <w:r w:rsidR="009937D1" w:rsidRPr="00730F74">
        <w:rPr>
          <w:noProof/>
        </w:rPr>
        <w:t xml:space="preserve"> 2012;</w:t>
      </w:r>
      <w:r w:rsidR="00884D4A" w:rsidRPr="00730F74">
        <w:rPr>
          <w:noProof/>
        </w:rPr>
        <w:t xml:space="preserve"> </w:t>
      </w:r>
      <w:r w:rsidR="009937D1" w:rsidRPr="00730F74">
        <w:rPr>
          <w:b/>
          <w:noProof/>
        </w:rPr>
        <w:t>25</w:t>
      </w:r>
      <w:r w:rsidR="009937D1" w:rsidRPr="00730F74">
        <w:rPr>
          <w:noProof/>
        </w:rPr>
        <w:t>:</w:t>
      </w:r>
      <w:r w:rsidR="00884D4A" w:rsidRPr="00730F74">
        <w:rPr>
          <w:noProof/>
        </w:rPr>
        <w:t xml:space="preserve"> 178–184.</w:t>
      </w:r>
    </w:p>
    <w:p w:rsidR="009937D1" w:rsidRPr="00730F74" w:rsidRDefault="0051795E" w:rsidP="009937D1">
      <w:pPr>
        <w:pStyle w:val="NormalWeb"/>
        <w:ind w:left="640" w:hanging="640"/>
        <w:rPr>
          <w:noProof/>
        </w:rPr>
      </w:pPr>
      <w:r w:rsidRPr="00730F74">
        <w:rPr>
          <w:noProof/>
        </w:rPr>
        <w:t>27</w:t>
      </w:r>
      <w:r w:rsidR="009937D1" w:rsidRPr="00730F74">
        <w:rPr>
          <w:noProof/>
        </w:rPr>
        <w:tab/>
        <w:t xml:space="preserve">Ausania F, Snowden CP, Prentis JM, Holmes LR, Jaques BC, White SA </w:t>
      </w:r>
      <w:r w:rsidR="009937D1" w:rsidRPr="00730F74">
        <w:rPr>
          <w:i/>
          <w:noProof/>
        </w:rPr>
        <w:t>et</w:t>
      </w:r>
      <w:r w:rsidR="00884D4A" w:rsidRPr="00730F74">
        <w:rPr>
          <w:i/>
          <w:noProof/>
        </w:rPr>
        <w:t> </w:t>
      </w:r>
      <w:r w:rsidR="009937D1" w:rsidRPr="00730F74">
        <w:rPr>
          <w:i/>
          <w:noProof/>
        </w:rPr>
        <w:t>al</w:t>
      </w:r>
      <w:r w:rsidR="009937D1" w:rsidRPr="00730F74">
        <w:rPr>
          <w:noProof/>
        </w:rPr>
        <w:t xml:space="preserve">. Effects of low cardiopulmonary reserve on pancreatic leak following pancreaticoduodenectomy. </w:t>
      </w:r>
      <w:r w:rsidR="009937D1" w:rsidRPr="00730F74">
        <w:rPr>
          <w:i/>
          <w:noProof/>
        </w:rPr>
        <w:t>Br J Surg</w:t>
      </w:r>
      <w:r w:rsidR="009937D1" w:rsidRPr="00730F74">
        <w:rPr>
          <w:noProof/>
        </w:rPr>
        <w:t xml:space="preserve"> 2012;</w:t>
      </w:r>
      <w:r w:rsidR="00884D4A" w:rsidRPr="00730F74">
        <w:rPr>
          <w:noProof/>
        </w:rPr>
        <w:t xml:space="preserve"> </w:t>
      </w:r>
      <w:r w:rsidR="009937D1" w:rsidRPr="00730F74">
        <w:rPr>
          <w:b/>
          <w:noProof/>
        </w:rPr>
        <w:t>99</w:t>
      </w:r>
      <w:r w:rsidR="009937D1" w:rsidRPr="00730F74">
        <w:rPr>
          <w:noProof/>
        </w:rPr>
        <w:t>:</w:t>
      </w:r>
      <w:r w:rsidR="00884D4A" w:rsidRPr="00730F74">
        <w:rPr>
          <w:noProof/>
        </w:rPr>
        <w:t xml:space="preserve"> 1290–1294.</w:t>
      </w:r>
    </w:p>
    <w:p w:rsidR="009937D1" w:rsidRPr="00730F74" w:rsidRDefault="0051795E" w:rsidP="009937D1">
      <w:pPr>
        <w:pStyle w:val="NormalWeb"/>
        <w:ind w:left="640" w:hanging="640"/>
        <w:rPr>
          <w:noProof/>
        </w:rPr>
      </w:pPr>
      <w:r w:rsidRPr="00730F74">
        <w:rPr>
          <w:noProof/>
        </w:rPr>
        <w:t>28</w:t>
      </w:r>
      <w:r w:rsidR="009937D1" w:rsidRPr="00730F74">
        <w:rPr>
          <w:noProof/>
        </w:rPr>
        <w:tab/>
        <w:t xml:space="preserve">Grocott MP, Pearse RM. Prognostic studies of perioperative risk: robust methodology is needed. </w:t>
      </w:r>
      <w:r w:rsidR="009937D1" w:rsidRPr="00730F74">
        <w:rPr>
          <w:i/>
          <w:noProof/>
        </w:rPr>
        <w:t>Br J Anaesth</w:t>
      </w:r>
      <w:r w:rsidR="009937D1" w:rsidRPr="00730F74">
        <w:rPr>
          <w:noProof/>
        </w:rPr>
        <w:t xml:space="preserve"> 2010;</w:t>
      </w:r>
      <w:r w:rsidR="00884D4A" w:rsidRPr="00730F74">
        <w:rPr>
          <w:noProof/>
        </w:rPr>
        <w:t xml:space="preserve"> </w:t>
      </w:r>
      <w:r w:rsidR="009937D1" w:rsidRPr="00730F74">
        <w:rPr>
          <w:b/>
          <w:noProof/>
        </w:rPr>
        <w:t>105</w:t>
      </w:r>
      <w:r w:rsidR="009937D1" w:rsidRPr="00730F74">
        <w:rPr>
          <w:noProof/>
        </w:rPr>
        <w:t>:</w:t>
      </w:r>
      <w:r w:rsidR="00884D4A" w:rsidRPr="00730F74">
        <w:rPr>
          <w:noProof/>
        </w:rPr>
        <w:t xml:space="preserve"> 243–245.</w:t>
      </w:r>
    </w:p>
    <w:p w:rsidR="009937D1" w:rsidRPr="00730F74" w:rsidRDefault="0051795E" w:rsidP="009937D1">
      <w:pPr>
        <w:pStyle w:val="NormalWeb"/>
        <w:ind w:left="640" w:hanging="640"/>
        <w:rPr>
          <w:noProof/>
        </w:rPr>
      </w:pPr>
      <w:r w:rsidRPr="00730F74">
        <w:rPr>
          <w:noProof/>
        </w:rPr>
        <w:t>29</w:t>
      </w:r>
      <w:r w:rsidR="009937D1" w:rsidRPr="00730F74">
        <w:rPr>
          <w:noProof/>
        </w:rPr>
        <w:tab/>
        <w:t xml:space="preserve">Older P, Hall A, Hader R. Cardiopulmonary exercise testing as a screening test for perioperative management of major surgery in the elderly. </w:t>
      </w:r>
      <w:r w:rsidR="009937D1" w:rsidRPr="00730F74">
        <w:rPr>
          <w:i/>
          <w:noProof/>
        </w:rPr>
        <w:t>Chest</w:t>
      </w:r>
      <w:r w:rsidR="009937D1" w:rsidRPr="00730F74">
        <w:rPr>
          <w:noProof/>
        </w:rPr>
        <w:t xml:space="preserve"> 1999;</w:t>
      </w:r>
      <w:r w:rsidR="00884D4A" w:rsidRPr="00730F74">
        <w:rPr>
          <w:noProof/>
        </w:rPr>
        <w:t xml:space="preserve"> </w:t>
      </w:r>
      <w:r w:rsidR="009937D1" w:rsidRPr="00730F74">
        <w:rPr>
          <w:b/>
          <w:noProof/>
        </w:rPr>
        <w:t>116</w:t>
      </w:r>
      <w:r w:rsidR="009937D1" w:rsidRPr="00730F74">
        <w:rPr>
          <w:noProof/>
        </w:rPr>
        <w:t>:</w:t>
      </w:r>
      <w:r w:rsidR="00884D4A" w:rsidRPr="00730F74">
        <w:rPr>
          <w:noProof/>
        </w:rPr>
        <w:t xml:space="preserve"> 355–362.</w:t>
      </w:r>
    </w:p>
    <w:p w:rsidR="009937D1" w:rsidRPr="00730F74" w:rsidRDefault="0051795E" w:rsidP="009937D1">
      <w:pPr>
        <w:pStyle w:val="NormalWeb"/>
        <w:ind w:left="640" w:hanging="640"/>
        <w:rPr>
          <w:noProof/>
        </w:rPr>
      </w:pPr>
      <w:r w:rsidRPr="00730F74">
        <w:rPr>
          <w:noProof/>
        </w:rPr>
        <w:t>30</w:t>
      </w:r>
      <w:r w:rsidR="009937D1" w:rsidRPr="00730F74">
        <w:rPr>
          <w:noProof/>
        </w:rPr>
        <w:tab/>
        <w:t>Colson M, Baglin J, Bolsin S, Grocott MP. Cardiopulmonary exercise testing predicts 5</w:t>
      </w:r>
      <w:r w:rsidR="00884D4A" w:rsidRPr="00730F74">
        <w:rPr>
          <w:noProof/>
        </w:rPr>
        <w:t> </w:t>
      </w:r>
      <w:r w:rsidR="009937D1" w:rsidRPr="00730F74">
        <w:rPr>
          <w:noProof/>
        </w:rPr>
        <w:t xml:space="preserve">yr survival after major surgery. </w:t>
      </w:r>
      <w:r w:rsidR="009937D1" w:rsidRPr="00730F74">
        <w:rPr>
          <w:i/>
          <w:noProof/>
        </w:rPr>
        <w:t>Br J Anaesth</w:t>
      </w:r>
      <w:r w:rsidR="009937D1" w:rsidRPr="00730F74">
        <w:rPr>
          <w:noProof/>
        </w:rPr>
        <w:t xml:space="preserve"> 2012;</w:t>
      </w:r>
      <w:r w:rsidR="00884D4A" w:rsidRPr="00730F74">
        <w:rPr>
          <w:noProof/>
        </w:rPr>
        <w:t xml:space="preserve"> </w:t>
      </w:r>
      <w:r w:rsidR="009937D1" w:rsidRPr="00730F74">
        <w:rPr>
          <w:b/>
          <w:noProof/>
        </w:rPr>
        <w:t>109</w:t>
      </w:r>
      <w:r w:rsidR="009937D1" w:rsidRPr="00730F74">
        <w:rPr>
          <w:noProof/>
        </w:rPr>
        <w:t>:</w:t>
      </w:r>
      <w:r w:rsidR="00884D4A" w:rsidRPr="00730F74">
        <w:rPr>
          <w:noProof/>
        </w:rPr>
        <w:t xml:space="preserve"> 735–741.</w:t>
      </w:r>
    </w:p>
    <w:p w:rsidR="00AD255E" w:rsidRPr="00730F74" w:rsidRDefault="009D2CB7" w:rsidP="009D2CB7">
      <w:pPr>
        <w:pStyle w:val="NormalWeb"/>
        <w:spacing w:line="240" w:lineRule="auto"/>
        <w:ind w:left="641" w:hanging="641"/>
        <w:rPr>
          <w:b/>
          <w:noProof/>
          <w:color w:val="FF0000"/>
        </w:rPr>
      </w:pPr>
      <w:r w:rsidRPr="00730F74">
        <w:rPr>
          <w:b/>
          <w:noProof/>
          <w:color w:val="FF0000"/>
        </w:rPr>
        <w:br w:type="page"/>
      </w:r>
      <w:r w:rsidR="00A731AF" w:rsidRPr="00730F74">
        <w:rPr>
          <w:b/>
          <w:noProof/>
          <w:color w:val="FF0000"/>
        </w:rPr>
        <w:lastRenderedPageBreak/>
        <w:t xml:space="preserve">TYPESETTER: Set Fig. 1 </w:t>
      </w:r>
      <w:r w:rsidRPr="00730F74">
        <w:rPr>
          <w:b/>
          <w:noProof/>
          <w:color w:val="FF0000"/>
        </w:rPr>
        <w:t xml:space="preserve">(half-tone) </w:t>
      </w:r>
      <w:r w:rsidR="00A731AF" w:rsidRPr="00730F74">
        <w:rPr>
          <w:b/>
          <w:noProof/>
          <w:color w:val="FF0000"/>
        </w:rPr>
        <w:t>across 1 column</w:t>
      </w:r>
    </w:p>
    <w:p w:rsidR="00A731AF" w:rsidRPr="00730F74" w:rsidRDefault="00A731AF" w:rsidP="009D2CB7">
      <w:pPr>
        <w:pStyle w:val="NormalWeb"/>
        <w:rPr>
          <w:b/>
          <w:noProof/>
          <w:color w:val="FF0000"/>
        </w:rPr>
      </w:pPr>
      <w:r w:rsidRPr="00730F74">
        <w:rPr>
          <w:b/>
          <w:noProof/>
          <w:color w:val="FF0000"/>
        </w:rPr>
        <w:t>Fig. 2:</w:t>
      </w:r>
      <w:r w:rsidR="009D2CB7" w:rsidRPr="00730F74">
        <w:rPr>
          <w:b/>
          <w:noProof/>
          <w:color w:val="FF0000"/>
        </w:rPr>
        <w:t xml:space="preserve"> Please follow mark-ups for parts a &amp; b. NB: Lengthen vertical axes so that figures are square</w:t>
      </w:r>
    </w:p>
    <w:p w:rsidR="00AD255E" w:rsidRPr="00730F74" w:rsidRDefault="00AD255E" w:rsidP="00AD255E">
      <w:pPr>
        <w:spacing w:line="360" w:lineRule="auto"/>
      </w:pPr>
      <w:r w:rsidRPr="00730F74">
        <w:rPr>
          <w:b/>
        </w:rPr>
        <w:t>Fig</w:t>
      </w:r>
      <w:r w:rsidR="00A731AF" w:rsidRPr="00730F74">
        <w:rPr>
          <w:b/>
        </w:rPr>
        <w:t>. </w:t>
      </w:r>
      <w:r w:rsidRPr="00730F74">
        <w:rPr>
          <w:b/>
        </w:rPr>
        <w:t>1</w:t>
      </w:r>
      <w:r w:rsidRPr="00730F74">
        <w:t xml:space="preserve"> Cardiopulmonary exercise testing equipment</w:t>
      </w:r>
      <w:r w:rsidR="00A731AF" w:rsidRPr="00730F74">
        <w:t xml:space="preserve">: </w:t>
      </w:r>
      <w:r w:rsidRPr="00730F74">
        <w:t>static</w:t>
      </w:r>
      <w:r w:rsidR="00A731AF" w:rsidRPr="00730F74">
        <w:t>,</w:t>
      </w:r>
      <w:r w:rsidRPr="00730F74">
        <w:t xml:space="preserve"> electromechanically</w:t>
      </w:r>
      <w:r w:rsidR="00A731AF" w:rsidRPr="00730F74">
        <w:t xml:space="preserve"> </w:t>
      </w:r>
      <w:r w:rsidRPr="00730F74">
        <w:t>braked exercise bike and metabolic cart (</w:t>
      </w:r>
      <w:r w:rsidR="00A731AF" w:rsidRPr="00730F74">
        <w:t>w</w:t>
      </w:r>
      <w:r w:rsidR="008A5232" w:rsidRPr="00730F74">
        <w:t xml:space="preserve">ith permission of </w:t>
      </w:r>
      <w:r w:rsidRPr="00730F74">
        <w:t>Geratherm Respiratory GmbH</w:t>
      </w:r>
      <w:r w:rsidR="00A731AF" w:rsidRPr="00730F74">
        <w:t xml:space="preserve">, </w:t>
      </w:r>
      <w:r w:rsidRPr="00730F74">
        <w:t>Love Medical Cardiopulmonary Diagnostics Ltd, Manchester, UK)</w:t>
      </w:r>
    </w:p>
    <w:p w:rsidR="00AD255E" w:rsidRPr="00730F74" w:rsidRDefault="00AD255E" w:rsidP="00AD255E">
      <w:pPr>
        <w:spacing w:line="360" w:lineRule="auto"/>
      </w:pPr>
      <w:r w:rsidRPr="00730F74">
        <w:rPr>
          <w:b/>
        </w:rPr>
        <w:t>Fig</w:t>
      </w:r>
      <w:r w:rsidR="00A731AF" w:rsidRPr="00730F74">
        <w:rPr>
          <w:b/>
        </w:rPr>
        <w:t>. </w:t>
      </w:r>
      <w:r w:rsidRPr="00730F74">
        <w:rPr>
          <w:b/>
        </w:rPr>
        <w:t>2</w:t>
      </w:r>
      <w:r w:rsidRPr="00730F74">
        <w:rPr>
          <w:rFonts w:eastAsia="JansonText-Roman"/>
          <w:color w:val="231F20"/>
        </w:rPr>
        <w:t xml:space="preserve"> R</w:t>
      </w:r>
      <w:r w:rsidR="00A731AF" w:rsidRPr="00730F74">
        <w:rPr>
          <w:rFonts w:eastAsia="JansonText-Roman"/>
          <w:color w:val="231F20"/>
        </w:rPr>
        <w:t>eceiver operating characteristic (R</w:t>
      </w:r>
      <w:r w:rsidRPr="00730F74">
        <w:rPr>
          <w:rFonts w:eastAsia="JansonText-Roman"/>
          <w:color w:val="231F20"/>
        </w:rPr>
        <w:t>OC</w:t>
      </w:r>
      <w:r w:rsidR="00A731AF" w:rsidRPr="00730F74">
        <w:rPr>
          <w:rFonts w:eastAsia="JansonText-Roman"/>
          <w:color w:val="231F20"/>
        </w:rPr>
        <w:t>)</w:t>
      </w:r>
      <w:r w:rsidRPr="00730F74">
        <w:rPr>
          <w:rFonts w:eastAsia="JansonText-Roman"/>
          <w:color w:val="231F20"/>
        </w:rPr>
        <w:t xml:space="preserve"> curves for </w:t>
      </w:r>
      <w:r w:rsidR="00A731AF" w:rsidRPr="00730F74">
        <w:rPr>
          <w:rFonts w:eastAsia="JansonText-Roman"/>
          <w:color w:val="231F20"/>
        </w:rPr>
        <w:t>o</w:t>
      </w:r>
      <w:r w:rsidRPr="00730F74">
        <w:rPr>
          <w:rFonts w:eastAsia="JansonText-Roman"/>
          <w:color w:val="231F20"/>
        </w:rPr>
        <w:t xml:space="preserve">xygen uptake at </w:t>
      </w:r>
      <w:proofErr w:type="gramStart"/>
      <w:r w:rsidR="00A731AF" w:rsidRPr="00730F74">
        <w:rPr>
          <w:rFonts w:eastAsia="JansonText-Roman"/>
          <w:b/>
          <w:color w:val="231F20"/>
        </w:rPr>
        <w:t>a</w:t>
      </w:r>
      <w:proofErr w:type="gramEnd"/>
      <w:r w:rsidR="00A731AF" w:rsidRPr="00730F74">
        <w:rPr>
          <w:rFonts w:eastAsia="JansonText-Roman"/>
          <w:color w:val="231F20"/>
        </w:rPr>
        <w:t xml:space="preserve"> </w:t>
      </w:r>
      <w:r w:rsidRPr="00730F74">
        <w:rPr>
          <w:rFonts w:eastAsia="JansonText-Roman"/>
          <w:color w:val="231F20"/>
        </w:rPr>
        <w:t>estimated lactate threshold (</w:t>
      </w:r>
      <w:r w:rsidR="00A914C1" w:rsidRPr="00730F74">
        <w:rPr>
          <w:position w:val="-6"/>
        </w:rPr>
        <w:object w:dxaOrig="220" w:dyaOrig="300">
          <v:shape id="_x0000_i1116" type="#_x0000_t75" style="width:8.6pt;height:16.1pt" o:ole="">
            <v:imagedata r:id="rId24" o:title=""/>
          </v:shape>
          <o:OLEObject Type="Embed" ProgID="Equation.3" ShapeID="_x0000_i1116" DrawAspect="Content" ObjectID="_1460191806" r:id="rId91"/>
        </w:object>
      </w:r>
      <w:r w:rsidR="00A914C1" w:rsidRPr="00730F74">
        <w:rPr>
          <w:smallCaps/>
        </w:rPr>
        <w:t>o</w:t>
      </w:r>
      <w:r w:rsidR="00A914C1" w:rsidRPr="00730F74">
        <w:rPr>
          <w:vertAlign w:val="subscript"/>
        </w:rPr>
        <w:t>2</w:t>
      </w:r>
      <w:r w:rsidR="00A731AF" w:rsidRPr="00730F74">
        <w:rPr>
          <w:rFonts w:eastAsia="Calibri"/>
          <w:sz w:val="22"/>
          <w:szCs w:val="22"/>
        </w:rPr>
        <w:t xml:space="preserve"> </w:t>
      </w:r>
      <w:r w:rsidRPr="00730F74">
        <w:rPr>
          <w:rFonts w:eastAsia="JansonText-Roman"/>
          <w:color w:val="231F20"/>
        </w:rPr>
        <w:t>at</w:t>
      </w:r>
      <w:r w:rsidR="00A731AF" w:rsidRPr="00730F74">
        <w:rPr>
          <w:rFonts w:eastAsia="JansonText-Roman"/>
          <w:color w:val="231F20"/>
        </w:rPr>
        <w:t xml:space="preserve"> </w:t>
      </w:r>
      <w:r w:rsidR="00A731AF" w:rsidRPr="00730F74">
        <w:rPr>
          <w:position w:val="-6"/>
        </w:rPr>
        <w:object w:dxaOrig="180" w:dyaOrig="320">
          <v:shape id="_x0000_i1065" type="#_x0000_t75" style="width:8.05pt;height:15.05pt" o:ole="">
            <v:imagedata r:id="rId49" o:title=""/>
          </v:shape>
          <o:OLEObject Type="Embed" ProgID="Equation.3" ShapeID="_x0000_i1065" DrawAspect="Content" ObjectID="_1460191807" r:id="rId92"/>
        </w:object>
      </w:r>
      <w:r w:rsidR="00A731AF" w:rsidRPr="00730F74">
        <w:rPr>
          <w:vertAlign w:val="subscript"/>
        </w:rPr>
        <w:t>L</w:t>
      </w:r>
      <w:r w:rsidRPr="00730F74">
        <w:t>)</w:t>
      </w:r>
      <w:r w:rsidRPr="00730F74">
        <w:rPr>
          <w:rFonts w:eastAsia="JansonText-Roman"/>
          <w:color w:val="231F20"/>
        </w:rPr>
        <w:t xml:space="preserve"> (A) and </w:t>
      </w:r>
      <w:r w:rsidR="00A731AF" w:rsidRPr="00730F74">
        <w:rPr>
          <w:rFonts w:eastAsia="JansonText-Roman"/>
          <w:b/>
          <w:color w:val="231F20"/>
        </w:rPr>
        <w:t>b</w:t>
      </w:r>
      <w:r w:rsidR="00A731AF" w:rsidRPr="00730F74">
        <w:rPr>
          <w:rFonts w:eastAsia="JansonText-Roman"/>
          <w:color w:val="231F20"/>
        </w:rPr>
        <w:t xml:space="preserve"> </w:t>
      </w:r>
      <w:r w:rsidRPr="00730F74">
        <w:rPr>
          <w:rFonts w:eastAsia="JansonText-Roman"/>
          <w:color w:val="231F20"/>
        </w:rPr>
        <w:t>peak exercise (</w:t>
      </w:r>
      <w:r w:rsidR="00A731AF" w:rsidRPr="00730F74">
        <w:rPr>
          <w:rFonts w:eastAsia="JansonText-Roman"/>
          <w:color w:val="231F20"/>
        </w:rPr>
        <w:t>peak</w:t>
      </w:r>
      <w:r w:rsidR="00A914C1">
        <w:rPr>
          <w:rFonts w:eastAsia="JansonText-Roman"/>
          <w:color w:val="231F20"/>
        </w:rPr>
        <w:t xml:space="preserve"> </w:t>
      </w:r>
      <w:r w:rsidR="00A914C1" w:rsidRPr="00730F74">
        <w:rPr>
          <w:position w:val="-6"/>
        </w:rPr>
        <w:object w:dxaOrig="220" w:dyaOrig="300">
          <v:shape id="_x0000_i1117" type="#_x0000_t75" style="width:8.6pt;height:16.1pt" o:ole="">
            <v:imagedata r:id="rId24" o:title=""/>
          </v:shape>
          <o:OLEObject Type="Embed" ProgID="Equation.3" ShapeID="_x0000_i1117" DrawAspect="Content" ObjectID="_1460191808" r:id="rId93"/>
        </w:object>
      </w:r>
      <w:r w:rsidR="00A914C1" w:rsidRPr="00730F74">
        <w:rPr>
          <w:smallCaps/>
        </w:rPr>
        <w:t>o</w:t>
      </w:r>
      <w:r w:rsidR="00A914C1" w:rsidRPr="00730F74">
        <w:rPr>
          <w:vertAlign w:val="subscript"/>
        </w:rPr>
        <w:t>2</w:t>
      </w:r>
      <w:r w:rsidRPr="00730F74">
        <w:rPr>
          <w:rFonts w:eastAsia="JansonText-Roman"/>
          <w:color w:val="231F20"/>
        </w:rPr>
        <w:t xml:space="preserve">). </w:t>
      </w:r>
      <w:r w:rsidR="00612332" w:rsidRPr="00730F74">
        <w:rPr>
          <w:rFonts w:eastAsia="JansonText-Roman"/>
          <w:color w:val="231F20"/>
        </w:rPr>
        <w:t>Open circle</w:t>
      </w:r>
      <w:r w:rsidR="009D2CB7" w:rsidRPr="00730F74">
        <w:rPr>
          <w:rFonts w:eastAsia="JansonText-Roman"/>
          <w:color w:val="231F20"/>
        </w:rPr>
        <w:t>s</w:t>
      </w:r>
      <w:r w:rsidRPr="00730F74">
        <w:rPr>
          <w:rFonts w:eastAsia="JansonText-Roman"/>
          <w:color w:val="231F20"/>
        </w:rPr>
        <w:t xml:space="preserve"> indicate optim</w:t>
      </w:r>
      <w:r w:rsidR="00A731AF" w:rsidRPr="00730F74">
        <w:rPr>
          <w:rFonts w:eastAsia="JansonText-Roman"/>
          <w:color w:val="231F20"/>
        </w:rPr>
        <w:t>al</w:t>
      </w:r>
      <w:r w:rsidRPr="00730F74">
        <w:rPr>
          <w:rFonts w:eastAsia="JansonText-Roman"/>
          <w:color w:val="231F20"/>
        </w:rPr>
        <w:t xml:space="preserve"> cut-</w:t>
      </w:r>
      <w:r w:rsidR="00A731AF" w:rsidRPr="00730F74">
        <w:rPr>
          <w:rFonts w:eastAsia="JansonText-Roman"/>
          <w:color w:val="231F20"/>
        </w:rPr>
        <w:t xml:space="preserve">off </w:t>
      </w:r>
      <w:r w:rsidRPr="00730F74">
        <w:rPr>
          <w:rFonts w:eastAsia="JansonText-Roman"/>
          <w:color w:val="231F20"/>
        </w:rPr>
        <w:t>point obtained by minimi</w:t>
      </w:r>
      <w:r w:rsidR="00A731AF" w:rsidRPr="00730F74">
        <w:rPr>
          <w:rFonts w:eastAsia="JansonText-Roman"/>
          <w:color w:val="231F20"/>
        </w:rPr>
        <w:t>z</w:t>
      </w:r>
      <w:r w:rsidRPr="00730F74">
        <w:rPr>
          <w:rFonts w:eastAsia="JansonText-Roman"/>
          <w:color w:val="231F20"/>
        </w:rPr>
        <w:t xml:space="preserve">ing the </w:t>
      </w:r>
      <w:r w:rsidR="00A731AF" w:rsidRPr="00730F74">
        <w:rPr>
          <w:rFonts w:eastAsia="JansonText-Roman"/>
          <w:color w:val="231F20"/>
        </w:rPr>
        <w:t xml:space="preserve">distance to the </w:t>
      </w:r>
      <w:r w:rsidR="0089747C">
        <w:rPr>
          <w:rFonts w:eastAsia="JansonText-Roman"/>
          <w:color w:val="231F20"/>
        </w:rPr>
        <w:t xml:space="preserve">upper </w:t>
      </w:r>
      <w:r w:rsidR="00A731AF" w:rsidRPr="00730F74">
        <w:rPr>
          <w:rFonts w:eastAsia="JansonText-Roman"/>
          <w:color w:val="231F20"/>
        </w:rPr>
        <w:t>left corner</w:t>
      </w:r>
      <w:r w:rsidR="00612332" w:rsidRPr="00730F74">
        <w:rPr>
          <w:rFonts w:eastAsia="JansonText-Roman"/>
          <w:color w:val="231F20"/>
        </w:rPr>
        <w:t>. Area under ROC curve</w:t>
      </w:r>
      <w:r w:rsidR="009D2CB7" w:rsidRPr="00730F74">
        <w:rPr>
          <w:rFonts w:eastAsia="JansonText-Roman"/>
          <w:color w:val="231F20"/>
        </w:rPr>
        <w:t xml:space="preserve">: </w:t>
      </w:r>
      <w:r w:rsidR="009D2CB7" w:rsidRPr="00730F74">
        <w:rPr>
          <w:rFonts w:eastAsia="JansonText-Roman"/>
          <w:b/>
          <w:color w:val="231F20"/>
        </w:rPr>
        <w:t>a</w:t>
      </w:r>
      <w:r w:rsidR="00612332" w:rsidRPr="00730F74">
        <w:rPr>
          <w:rFonts w:eastAsia="JansonText-Roman"/>
          <w:color w:val="231F20"/>
        </w:rPr>
        <w:t xml:space="preserve"> 0.87</w:t>
      </w:r>
      <w:r w:rsidR="009D2CB7" w:rsidRPr="00730F74">
        <w:rPr>
          <w:rFonts w:eastAsia="JansonText-Roman"/>
          <w:color w:val="231F20"/>
        </w:rPr>
        <w:t>,</w:t>
      </w:r>
      <w:r w:rsidR="00612332" w:rsidRPr="00730F74">
        <w:rPr>
          <w:rFonts w:eastAsia="JansonText-Roman"/>
          <w:color w:val="231F20"/>
        </w:rPr>
        <w:t xml:space="preserve"> </w:t>
      </w:r>
      <w:r w:rsidR="00612332" w:rsidRPr="00730F74">
        <w:rPr>
          <w:rFonts w:eastAsia="JansonText-Roman"/>
          <w:b/>
          <w:color w:val="231F20"/>
        </w:rPr>
        <w:t>b</w:t>
      </w:r>
      <w:r w:rsidR="00612332" w:rsidRPr="00730F74">
        <w:rPr>
          <w:rFonts w:eastAsia="JansonText-Roman"/>
          <w:color w:val="231F20"/>
        </w:rPr>
        <w:t xml:space="preserve"> 0.85</w:t>
      </w:r>
    </w:p>
    <w:p w:rsidR="009937D1" w:rsidRPr="00730F74" w:rsidRDefault="002D4BA2" w:rsidP="002D4BA2">
      <w:r w:rsidRPr="00730F74">
        <w:br w:type="page"/>
      </w:r>
      <w:r w:rsidR="009937D1" w:rsidRPr="00730F74">
        <w:lastRenderedPageBreak/>
        <w:fldChar w:fldCharType="end"/>
      </w:r>
      <w:r w:rsidR="009937D1" w:rsidRPr="00730F74">
        <w:rPr>
          <w:b/>
        </w:rPr>
        <w:t xml:space="preserve">Table 1 </w:t>
      </w:r>
      <w:r w:rsidR="009937D1" w:rsidRPr="00730F74">
        <w:t>Patient demographics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9"/>
        <w:gridCol w:w="1260"/>
        <w:gridCol w:w="1716"/>
        <w:gridCol w:w="1681"/>
        <w:gridCol w:w="876"/>
      </w:tblGrid>
      <w:tr w:rsidR="00C11F00" w:rsidRPr="00C11F00" w:rsidTr="00C11F00">
        <w:tc>
          <w:tcPr>
            <w:tcW w:w="1754" w:type="pct"/>
            <w:vAlign w:val="bottom"/>
          </w:tcPr>
          <w:p w:rsidR="007D0310" w:rsidRPr="00C11F00" w:rsidRDefault="007D0310" w:rsidP="00C11F00">
            <w:pPr>
              <w:pStyle w:val="NoSpacing1"/>
              <w:jc w:val="center"/>
              <w:rPr>
                <w:rFonts w:ascii="Times New Roman" w:hAnsi="Times New Roman"/>
                <w:b/>
                <w:lang w:val="en-US"/>
              </w:rPr>
            </w:pPr>
          </w:p>
        </w:tc>
        <w:tc>
          <w:tcPr>
            <w:tcW w:w="739" w:type="pct"/>
            <w:vAlign w:val="bottom"/>
          </w:tcPr>
          <w:p w:rsidR="007D0310" w:rsidRPr="00C11F00" w:rsidRDefault="007D0310" w:rsidP="00C11F00">
            <w:pPr>
              <w:pStyle w:val="NoSpacing1"/>
              <w:jc w:val="center"/>
              <w:rPr>
                <w:rFonts w:ascii="Times New Roman" w:hAnsi="Times New Roman"/>
                <w:lang w:val="en-US"/>
              </w:rPr>
            </w:pPr>
            <w:r w:rsidRPr="00C11F00">
              <w:rPr>
                <w:rFonts w:ascii="Times New Roman" w:hAnsi="Times New Roman"/>
                <w:lang w:val="en-US"/>
              </w:rPr>
              <w:t>Total</w:t>
            </w:r>
            <w:r w:rsidR="00366078" w:rsidRPr="00C11F00">
              <w:rPr>
                <w:rFonts w:ascii="Times New Roman" w:hAnsi="Times New Roman"/>
                <w:lang w:val="en-US"/>
              </w:rPr>
              <w:t xml:space="preserve"> (</w:t>
            </w:r>
            <w:r w:rsidR="00366078" w:rsidRPr="00C11F00">
              <w:rPr>
                <w:rFonts w:ascii="Times New Roman" w:hAnsi="Times New Roman"/>
                <w:i/>
                <w:lang w:val="en-US"/>
              </w:rPr>
              <w:t>n</w:t>
            </w:r>
            <w:r w:rsidR="00366078" w:rsidRPr="00C11F00">
              <w:rPr>
                <w:rFonts w:ascii="Times New Roman" w:hAnsi="Times New Roman"/>
                <w:lang w:val="en-US"/>
              </w:rPr>
              <w:t> = 95)</w:t>
            </w:r>
          </w:p>
        </w:tc>
        <w:tc>
          <w:tcPr>
            <w:tcW w:w="1007" w:type="pct"/>
            <w:vAlign w:val="bottom"/>
          </w:tcPr>
          <w:p w:rsidR="007D0310" w:rsidRPr="00C11F00" w:rsidRDefault="007D0310" w:rsidP="00C11F00">
            <w:pPr>
              <w:pStyle w:val="NoSpacing1"/>
              <w:jc w:val="center"/>
              <w:rPr>
                <w:rFonts w:ascii="Times New Roman" w:hAnsi="Times New Roman"/>
                <w:lang w:val="en-US"/>
              </w:rPr>
            </w:pPr>
            <w:r w:rsidRPr="00C11F00">
              <w:rPr>
                <w:rFonts w:ascii="Times New Roman" w:hAnsi="Times New Roman"/>
                <w:lang w:val="en-US"/>
              </w:rPr>
              <w:t xml:space="preserve">No </w:t>
            </w:r>
            <w:r w:rsidR="00366078" w:rsidRPr="00C11F00">
              <w:rPr>
                <w:rFonts w:ascii="Times New Roman" w:hAnsi="Times New Roman"/>
                <w:lang w:val="en-US"/>
              </w:rPr>
              <w:t>m</w:t>
            </w:r>
            <w:r w:rsidRPr="00C11F00">
              <w:rPr>
                <w:rFonts w:ascii="Times New Roman" w:hAnsi="Times New Roman"/>
                <w:lang w:val="en-US"/>
              </w:rPr>
              <w:t>orbidity</w:t>
            </w:r>
            <w:r w:rsidR="00366078" w:rsidRPr="00C11F00">
              <w:rPr>
                <w:rFonts w:ascii="Times New Roman" w:hAnsi="Times New Roman"/>
                <w:lang w:val="en-US"/>
              </w:rPr>
              <w:t xml:space="preserve"> </w:t>
            </w:r>
            <w:r w:rsidR="00440347" w:rsidRPr="00C11F00">
              <w:rPr>
                <w:rFonts w:ascii="Times New Roman" w:hAnsi="Times New Roman"/>
                <w:lang w:val="en-US"/>
              </w:rPr>
              <w:t>(</w:t>
            </w:r>
            <w:r w:rsidR="00366078" w:rsidRPr="00C11F00">
              <w:rPr>
                <w:rFonts w:ascii="Times New Roman" w:hAnsi="Times New Roman"/>
                <w:i/>
                <w:lang w:val="en-US"/>
              </w:rPr>
              <w:t>n</w:t>
            </w:r>
            <w:r w:rsidR="00366078" w:rsidRPr="00C11F00">
              <w:rPr>
                <w:rFonts w:ascii="Times New Roman" w:hAnsi="Times New Roman"/>
                <w:lang w:val="en-US"/>
              </w:rPr>
              <w:t> = 49)</w:t>
            </w:r>
          </w:p>
        </w:tc>
        <w:tc>
          <w:tcPr>
            <w:tcW w:w="986" w:type="pct"/>
            <w:vAlign w:val="bottom"/>
          </w:tcPr>
          <w:p w:rsidR="007D0310" w:rsidRPr="00C11F00" w:rsidRDefault="007D0310" w:rsidP="00C11F00">
            <w:pPr>
              <w:pStyle w:val="NoSpacing1"/>
              <w:jc w:val="center"/>
              <w:rPr>
                <w:rFonts w:ascii="Times New Roman" w:hAnsi="Times New Roman"/>
                <w:lang w:val="en-US"/>
              </w:rPr>
            </w:pPr>
            <w:r w:rsidRPr="00C11F00">
              <w:rPr>
                <w:rFonts w:ascii="Times New Roman" w:hAnsi="Times New Roman"/>
                <w:lang w:val="en-US"/>
              </w:rPr>
              <w:t>Morbidity</w:t>
            </w:r>
            <w:r w:rsidR="00366078" w:rsidRPr="00C11F00">
              <w:rPr>
                <w:rFonts w:ascii="Times New Roman" w:hAnsi="Times New Roman"/>
                <w:lang w:val="en-US"/>
              </w:rPr>
              <w:t xml:space="preserve"> </w:t>
            </w:r>
            <w:r w:rsidR="00440347" w:rsidRPr="00C11F00">
              <w:rPr>
                <w:rFonts w:ascii="Times New Roman" w:hAnsi="Times New Roman"/>
                <w:lang w:val="en-US"/>
              </w:rPr>
              <w:t>(</w:t>
            </w:r>
            <w:r w:rsidR="00366078" w:rsidRPr="00C11F00">
              <w:rPr>
                <w:rFonts w:ascii="Times New Roman" w:hAnsi="Times New Roman"/>
                <w:i/>
                <w:lang w:val="en-US"/>
              </w:rPr>
              <w:t>n</w:t>
            </w:r>
            <w:r w:rsidR="00366078" w:rsidRPr="00C11F00">
              <w:rPr>
                <w:rFonts w:ascii="Times New Roman" w:hAnsi="Times New Roman"/>
                <w:lang w:val="en-US"/>
              </w:rPr>
              <w:t> = 46)</w:t>
            </w:r>
          </w:p>
        </w:tc>
        <w:tc>
          <w:tcPr>
            <w:tcW w:w="514" w:type="pct"/>
            <w:vAlign w:val="bottom"/>
          </w:tcPr>
          <w:p w:rsidR="007D0310" w:rsidRPr="00C11F00" w:rsidRDefault="007D0310" w:rsidP="00C11F00">
            <w:pPr>
              <w:pStyle w:val="NoSpacing1"/>
              <w:jc w:val="center"/>
              <w:rPr>
                <w:rFonts w:ascii="Times New Roman" w:hAnsi="Times New Roman"/>
                <w:lang w:val="en-US"/>
              </w:rPr>
            </w:pPr>
            <w:r w:rsidRPr="00C11F00">
              <w:rPr>
                <w:rFonts w:ascii="Times New Roman" w:hAnsi="Times New Roman"/>
                <w:i/>
                <w:lang w:val="en-US"/>
              </w:rPr>
              <w:t>P</w:t>
            </w:r>
          </w:p>
        </w:tc>
      </w:tr>
      <w:tr w:rsidR="00C11F00" w:rsidRPr="00C11F00" w:rsidTr="00C11F00">
        <w:tc>
          <w:tcPr>
            <w:tcW w:w="1754" w:type="pct"/>
          </w:tcPr>
          <w:p w:rsidR="00366078" w:rsidRPr="00C11F00" w:rsidRDefault="00366078" w:rsidP="00C11F00">
            <w:pPr>
              <w:pStyle w:val="NoSpacing1"/>
              <w:jc w:val="both"/>
              <w:rPr>
                <w:rFonts w:ascii="Times New Roman" w:hAnsi="Times New Roman"/>
                <w:lang w:val="en-US"/>
              </w:rPr>
            </w:pPr>
            <w:r w:rsidRPr="00C11F00">
              <w:rPr>
                <w:rFonts w:ascii="Times New Roman" w:hAnsi="Times New Roman"/>
                <w:lang w:val="en-US"/>
              </w:rPr>
              <w:t>Age (years)*</w:t>
            </w:r>
          </w:p>
        </w:tc>
        <w:tc>
          <w:tcPr>
            <w:tcW w:w="739" w:type="pct"/>
          </w:tcPr>
          <w:p w:rsidR="00366078" w:rsidRPr="00C11F00" w:rsidRDefault="00366078" w:rsidP="00C11F00">
            <w:pPr>
              <w:pStyle w:val="NoSpacing1"/>
              <w:jc w:val="center"/>
              <w:rPr>
                <w:rFonts w:ascii="Times New Roman" w:hAnsi="Times New Roman"/>
                <w:lang w:val="en-US"/>
              </w:rPr>
            </w:pPr>
            <w:commentRangeStart w:id="10"/>
            <w:r w:rsidRPr="00C11F00">
              <w:rPr>
                <w:rFonts w:ascii="Times New Roman" w:hAnsi="Times New Roman"/>
                <w:highlight w:val="yellow"/>
                <w:lang w:val="en-US"/>
              </w:rPr>
              <w:t>66(10</w:t>
            </w:r>
            <w:r w:rsidR="00A914C1" w:rsidRPr="00C11F00">
              <w:rPr>
                <w:rFonts w:ascii="Times New Roman" w:hAnsi="Times New Roman"/>
                <w:highlight w:val="yellow"/>
                <w:lang w:val="en-US"/>
              </w:rPr>
              <w:t>.0</w:t>
            </w:r>
            <w:r w:rsidRPr="00C11F00">
              <w:rPr>
                <w:rFonts w:ascii="Times New Roman" w:hAnsi="Times New Roman"/>
                <w:highlight w:val="yellow"/>
                <w:lang w:val="en-US"/>
              </w:rPr>
              <w:t>)</w:t>
            </w:r>
          </w:p>
        </w:tc>
        <w:tc>
          <w:tcPr>
            <w:tcW w:w="1007"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highlight w:val="yellow"/>
                <w:lang w:val="en-US"/>
              </w:rPr>
              <w:t>65(9.4)</w:t>
            </w:r>
          </w:p>
        </w:tc>
        <w:tc>
          <w:tcPr>
            <w:tcW w:w="986"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highlight w:val="yellow"/>
                <w:lang w:val="en-US"/>
              </w:rPr>
              <w:t>68(10.5)</w:t>
            </w:r>
            <w:commentRangeEnd w:id="10"/>
            <w:r w:rsidRPr="00C11F00">
              <w:rPr>
                <w:rStyle w:val="CommentReference"/>
                <w:rFonts w:ascii="Times New Roman" w:hAnsi="Times New Roman"/>
                <w:vanish/>
                <w:lang/>
              </w:rPr>
              <w:commentReference w:id="10"/>
            </w:r>
          </w:p>
        </w:tc>
        <w:tc>
          <w:tcPr>
            <w:tcW w:w="514"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0.122</w:t>
            </w:r>
            <w:r w:rsidR="00AD5967" w:rsidRPr="00C11F00">
              <w:rPr>
                <w:rFonts w:ascii="Times New Roman" w:hAnsi="Times New Roman"/>
                <w:lang w:val="en-US"/>
              </w:rPr>
              <w:t>†</w:t>
            </w:r>
          </w:p>
        </w:tc>
      </w:tr>
      <w:tr w:rsidR="00C11F00" w:rsidRPr="00C11F00" w:rsidTr="00C11F00">
        <w:tc>
          <w:tcPr>
            <w:tcW w:w="1754" w:type="pct"/>
          </w:tcPr>
          <w:p w:rsidR="00366078" w:rsidRPr="00C11F00" w:rsidRDefault="00366078" w:rsidP="00C11F00">
            <w:pPr>
              <w:pStyle w:val="NoSpacing1"/>
              <w:jc w:val="both"/>
              <w:rPr>
                <w:rFonts w:ascii="Times New Roman" w:hAnsi="Times New Roman"/>
                <w:lang w:val="en-US"/>
              </w:rPr>
            </w:pPr>
            <w:r w:rsidRPr="00C11F00">
              <w:rPr>
                <w:rFonts w:ascii="Times New Roman" w:hAnsi="Times New Roman"/>
                <w:lang w:val="en-US"/>
              </w:rPr>
              <w:t>Sex ratio (M : F)</w:t>
            </w:r>
          </w:p>
        </w:tc>
        <w:tc>
          <w:tcPr>
            <w:tcW w:w="739"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72 : 23</w:t>
            </w:r>
          </w:p>
        </w:tc>
        <w:tc>
          <w:tcPr>
            <w:tcW w:w="1007"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39 : 10</w:t>
            </w:r>
          </w:p>
        </w:tc>
        <w:tc>
          <w:tcPr>
            <w:tcW w:w="986"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33 : 13</w:t>
            </w:r>
          </w:p>
        </w:tc>
        <w:tc>
          <w:tcPr>
            <w:tcW w:w="514"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0.372</w:t>
            </w:r>
            <w:r w:rsidR="00AD5967" w:rsidRPr="00C11F00">
              <w:rPr>
                <w:rFonts w:ascii="Times New Roman" w:hAnsi="Times New Roman"/>
                <w:lang w:val="en-US"/>
              </w:rPr>
              <w:t>‡</w:t>
            </w:r>
          </w:p>
        </w:tc>
      </w:tr>
      <w:tr w:rsidR="00C11F00" w:rsidRPr="00C11F00" w:rsidTr="00C11F00">
        <w:tc>
          <w:tcPr>
            <w:tcW w:w="1754" w:type="pct"/>
          </w:tcPr>
          <w:p w:rsidR="00366078" w:rsidRPr="00C11F00" w:rsidRDefault="00366078" w:rsidP="00C776C7">
            <w:pPr>
              <w:pStyle w:val="NoSpacing1"/>
              <w:rPr>
                <w:rFonts w:ascii="Times New Roman" w:hAnsi="Times New Roman"/>
                <w:lang w:val="en-US"/>
              </w:rPr>
            </w:pPr>
            <w:r w:rsidRPr="00C11F00">
              <w:rPr>
                <w:rFonts w:ascii="Times New Roman" w:hAnsi="Times New Roman"/>
                <w:lang w:val="en-US"/>
              </w:rPr>
              <w:t>Body mass index (kg/m</w:t>
            </w:r>
            <w:r w:rsidRPr="00C11F00">
              <w:rPr>
                <w:rFonts w:ascii="Times New Roman" w:hAnsi="Times New Roman"/>
                <w:vertAlign w:val="superscript"/>
                <w:lang w:val="en-US"/>
              </w:rPr>
              <w:t>2</w:t>
            </w:r>
            <w:r w:rsidRPr="00C11F00">
              <w:rPr>
                <w:rFonts w:ascii="Times New Roman" w:hAnsi="Times New Roman"/>
                <w:lang w:val="en-US"/>
              </w:rPr>
              <w:t>)*</w:t>
            </w:r>
          </w:p>
        </w:tc>
        <w:tc>
          <w:tcPr>
            <w:tcW w:w="739"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27.7(4.1)</w:t>
            </w:r>
          </w:p>
        </w:tc>
        <w:tc>
          <w:tcPr>
            <w:tcW w:w="1007"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27.1(3.2)</w:t>
            </w:r>
          </w:p>
        </w:tc>
        <w:tc>
          <w:tcPr>
            <w:tcW w:w="986"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28.3(4.8)</w:t>
            </w:r>
          </w:p>
        </w:tc>
        <w:tc>
          <w:tcPr>
            <w:tcW w:w="514"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0.003</w:t>
            </w:r>
            <w:r w:rsidR="00AD5967" w:rsidRPr="00C11F00">
              <w:rPr>
                <w:rFonts w:ascii="Times New Roman" w:hAnsi="Times New Roman"/>
                <w:lang w:val="en-US"/>
              </w:rPr>
              <w:t>†</w:t>
            </w:r>
          </w:p>
        </w:tc>
      </w:tr>
      <w:tr w:rsidR="00C11F00" w:rsidRPr="00C11F00" w:rsidTr="00C11F00">
        <w:tc>
          <w:tcPr>
            <w:tcW w:w="1754" w:type="pct"/>
          </w:tcPr>
          <w:p w:rsidR="00366078" w:rsidRPr="00C11F00" w:rsidRDefault="00366078" w:rsidP="00C11F00">
            <w:pPr>
              <w:pStyle w:val="NoSpacing1"/>
              <w:jc w:val="both"/>
              <w:rPr>
                <w:rFonts w:ascii="Times New Roman" w:hAnsi="Times New Roman"/>
                <w:lang w:val="en-US"/>
              </w:rPr>
            </w:pPr>
            <w:r w:rsidRPr="00C11F00">
              <w:rPr>
                <w:rFonts w:ascii="Times New Roman" w:hAnsi="Times New Roman"/>
                <w:lang w:val="en-US"/>
              </w:rPr>
              <w:t>Haemoglobin (g/dl)*</w:t>
            </w:r>
          </w:p>
        </w:tc>
        <w:tc>
          <w:tcPr>
            <w:tcW w:w="739"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12.5(1.4)</w:t>
            </w:r>
          </w:p>
        </w:tc>
        <w:tc>
          <w:tcPr>
            <w:tcW w:w="1007"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12.3(1.5)</w:t>
            </w:r>
          </w:p>
        </w:tc>
        <w:tc>
          <w:tcPr>
            <w:tcW w:w="986"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12.8(1.5)</w:t>
            </w:r>
          </w:p>
        </w:tc>
        <w:tc>
          <w:tcPr>
            <w:tcW w:w="514"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0.890</w:t>
            </w:r>
            <w:r w:rsidR="00AD5967" w:rsidRPr="00C11F00">
              <w:rPr>
                <w:rFonts w:ascii="Times New Roman" w:hAnsi="Times New Roman"/>
                <w:lang w:val="en-US"/>
              </w:rPr>
              <w:t>†</w:t>
            </w:r>
          </w:p>
        </w:tc>
      </w:tr>
      <w:tr w:rsidR="00C11F00" w:rsidRPr="00C11F00" w:rsidTr="00C11F00">
        <w:trPr>
          <w:trHeight w:val="277"/>
        </w:trPr>
        <w:tc>
          <w:tcPr>
            <w:tcW w:w="1754" w:type="pct"/>
          </w:tcPr>
          <w:p w:rsidR="00366078" w:rsidRPr="00C11F00" w:rsidRDefault="00366078" w:rsidP="00C11F00">
            <w:pPr>
              <w:pStyle w:val="NoSpacing1"/>
              <w:jc w:val="both"/>
              <w:rPr>
                <w:rFonts w:ascii="Times New Roman" w:hAnsi="Times New Roman"/>
                <w:lang w:val="en-US"/>
              </w:rPr>
            </w:pPr>
            <w:commentRangeStart w:id="11"/>
            <w:r w:rsidRPr="00C11F00">
              <w:rPr>
                <w:rFonts w:ascii="Times New Roman" w:hAnsi="Times New Roman"/>
                <w:highlight w:val="yellow"/>
                <w:lang w:val="en-US"/>
              </w:rPr>
              <w:t>Co-morbidity</w:t>
            </w:r>
            <w:commentRangeEnd w:id="11"/>
            <w:r w:rsidRPr="00C11F00">
              <w:rPr>
                <w:rStyle w:val="CommentReference"/>
                <w:rFonts w:ascii="Times New Roman" w:hAnsi="Times New Roman"/>
                <w:vanish/>
                <w:sz w:val="24"/>
                <w:szCs w:val="24"/>
                <w:lang/>
              </w:rPr>
              <w:commentReference w:id="11"/>
            </w:r>
          </w:p>
        </w:tc>
        <w:tc>
          <w:tcPr>
            <w:tcW w:w="739" w:type="pct"/>
          </w:tcPr>
          <w:p w:rsidR="00366078" w:rsidRPr="00C11F00" w:rsidRDefault="00366078" w:rsidP="00C11F00">
            <w:pPr>
              <w:pStyle w:val="NoSpacing1"/>
              <w:jc w:val="center"/>
              <w:rPr>
                <w:rFonts w:ascii="Times New Roman" w:hAnsi="Times New Roman"/>
                <w:lang w:val="en-US"/>
              </w:rPr>
            </w:pPr>
          </w:p>
        </w:tc>
        <w:tc>
          <w:tcPr>
            <w:tcW w:w="1007" w:type="pct"/>
          </w:tcPr>
          <w:p w:rsidR="00366078" w:rsidRPr="00C11F00" w:rsidRDefault="00366078" w:rsidP="00C11F00">
            <w:pPr>
              <w:pStyle w:val="NoSpacing1"/>
              <w:jc w:val="center"/>
              <w:rPr>
                <w:rFonts w:ascii="Times New Roman" w:hAnsi="Times New Roman"/>
                <w:lang w:val="en-US"/>
              </w:rPr>
            </w:pPr>
          </w:p>
        </w:tc>
        <w:tc>
          <w:tcPr>
            <w:tcW w:w="986" w:type="pct"/>
          </w:tcPr>
          <w:p w:rsidR="00366078" w:rsidRPr="00C11F00" w:rsidRDefault="00366078" w:rsidP="00C11F00">
            <w:pPr>
              <w:pStyle w:val="NoSpacing1"/>
              <w:jc w:val="center"/>
              <w:rPr>
                <w:rFonts w:ascii="Times New Roman" w:hAnsi="Times New Roman"/>
                <w:lang w:val="en-US"/>
              </w:rPr>
            </w:pPr>
          </w:p>
        </w:tc>
        <w:tc>
          <w:tcPr>
            <w:tcW w:w="514" w:type="pct"/>
          </w:tcPr>
          <w:p w:rsidR="00366078" w:rsidRPr="00C11F00" w:rsidRDefault="00366078" w:rsidP="00C11F00">
            <w:pPr>
              <w:pStyle w:val="NoSpacing1"/>
              <w:jc w:val="center"/>
              <w:rPr>
                <w:rFonts w:ascii="Times New Roman" w:hAnsi="Times New Roman"/>
                <w:lang w:val="en-US"/>
              </w:rPr>
            </w:pPr>
          </w:p>
        </w:tc>
      </w:tr>
      <w:tr w:rsidR="00C11F00" w:rsidRPr="00C11F00" w:rsidTr="00C11F00">
        <w:tc>
          <w:tcPr>
            <w:tcW w:w="1754" w:type="pct"/>
          </w:tcPr>
          <w:p w:rsidR="00366078" w:rsidRPr="00C11F00" w:rsidRDefault="00366078" w:rsidP="00C11F00">
            <w:pPr>
              <w:pStyle w:val="NoSpacing1"/>
              <w:ind w:left="360" w:hanging="180"/>
              <w:jc w:val="both"/>
              <w:rPr>
                <w:rFonts w:ascii="Times New Roman" w:hAnsi="Times New Roman"/>
                <w:lang w:val="en-US"/>
              </w:rPr>
            </w:pPr>
            <w:r w:rsidRPr="00C11F00">
              <w:rPr>
                <w:rFonts w:ascii="Times New Roman" w:hAnsi="Times New Roman"/>
                <w:lang w:val="en-US"/>
              </w:rPr>
              <w:t>Ischaemic heart disease</w:t>
            </w:r>
          </w:p>
        </w:tc>
        <w:tc>
          <w:tcPr>
            <w:tcW w:w="739"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14 (15)</w:t>
            </w:r>
          </w:p>
        </w:tc>
        <w:tc>
          <w:tcPr>
            <w:tcW w:w="1007"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9 (18)</w:t>
            </w:r>
          </w:p>
        </w:tc>
        <w:tc>
          <w:tcPr>
            <w:tcW w:w="986"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5 (</w:t>
            </w:r>
            <w:r w:rsidR="00440347" w:rsidRPr="00C11F00">
              <w:rPr>
                <w:rFonts w:ascii="Times New Roman" w:hAnsi="Times New Roman"/>
                <w:lang w:val="en-US"/>
              </w:rPr>
              <w:t>11</w:t>
            </w:r>
            <w:r w:rsidRPr="00C11F00">
              <w:rPr>
                <w:rFonts w:ascii="Times New Roman" w:hAnsi="Times New Roman"/>
                <w:lang w:val="en-US"/>
              </w:rPr>
              <w:t>)</w:t>
            </w:r>
          </w:p>
        </w:tc>
        <w:tc>
          <w:tcPr>
            <w:tcW w:w="514"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0.391</w:t>
            </w:r>
            <w:r w:rsidR="00AD5967" w:rsidRPr="00C11F00">
              <w:rPr>
                <w:rFonts w:ascii="Times New Roman" w:hAnsi="Times New Roman"/>
                <w:lang w:val="en-US"/>
              </w:rPr>
              <w:t>‡</w:t>
            </w:r>
          </w:p>
        </w:tc>
      </w:tr>
      <w:tr w:rsidR="00C11F00" w:rsidRPr="00C11F00" w:rsidTr="00C11F00">
        <w:tc>
          <w:tcPr>
            <w:tcW w:w="1754" w:type="pct"/>
          </w:tcPr>
          <w:p w:rsidR="00366078" w:rsidRPr="00C11F00" w:rsidRDefault="00366078" w:rsidP="00C11F00">
            <w:pPr>
              <w:pStyle w:val="NoSpacing1"/>
              <w:ind w:left="360" w:hanging="180"/>
              <w:jc w:val="both"/>
              <w:rPr>
                <w:rFonts w:ascii="Times New Roman" w:hAnsi="Times New Roman"/>
                <w:lang w:val="en-US"/>
              </w:rPr>
            </w:pPr>
            <w:r w:rsidRPr="00C11F00">
              <w:rPr>
                <w:rFonts w:ascii="Times New Roman" w:hAnsi="Times New Roman"/>
                <w:lang w:val="en-US"/>
              </w:rPr>
              <w:t>Heart failure</w:t>
            </w:r>
          </w:p>
        </w:tc>
        <w:tc>
          <w:tcPr>
            <w:tcW w:w="739"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6 (6)</w:t>
            </w:r>
          </w:p>
        </w:tc>
        <w:tc>
          <w:tcPr>
            <w:tcW w:w="1007" w:type="pct"/>
          </w:tcPr>
          <w:p w:rsidR="00366078" w:rsidRPr="00C11F00" w:rsidRDefault="00E10079" w:rsidP="00C11F00">
            <w:pPr>
              <w:pStyle w:val="NoSpacing1"/>
              <w:jc w:val="center"/>
              <w:rPr>
                <w:rFonts w:ascii="Times New Roman" w:hAnsi="Times New Roman"/>
                <w:lang w:val="en-US"/>
              </w:rPr>
            </w:pPr>
            <w:r w:rsidRPr="00C11F00">
              <w:rPr>
                <w:rFonts w:ascii="Times New Roman" w:hAnsi="Times New Roman"/>
                <w:lang w:val="en-US"/>
              </w:rPr>
              <w:t>0 (0</w:t>
            </w:r>
            <w:r w:rsidR="00366078" w:rsidRPr="00C11F00">
              <w:rPr>
                <w:rFonts w:ascii="Times New Roman" w:hAnsi="Times New Roman"/>
                <w:lang w:val="en-US"/>
              </w:rPr>
              <w:t>)</w:t>
            </w:r>
          </w:p>
        </w:tc>
        <w:tc>
          <w:tcPr>
            <w:tcW w:w="986"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6 (13)</w:t>
            </w:r>
          </w:p>
        </w:tc>
        <w:tc>
          <w:tcPr>
            <w:tcW w:w="514"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0.008</w:t>
            </w:r>
            <w:r w:rsidR="00AD5967" w:rsidRPr="00C11F00">
              <w:rPr>
                <w:rFonts w:ascii="Times New Roman" w:hAnsi="Times New Roman"/>
                <w:lang w:val="en-US"/>
              </w:rPr>
              <w:t>§</w:t>
            </w:r>
          </w:p>
        </w:tc>
      </w:tr>
      <w:tr w:rsidR="00C11F00" w:rsidRPr="00C11F00" w:rsidTr="00C11F00">
        <w:tc>
          <w:tcPr>
            <w:tcW w:w="1754" w:type="pct"/>
          </w:tcPr>
          <w:p w:rsidR="00366078" w:rsidRPr="00C11F00" w:rsidRDefault="00366078" w:rsidP="00C11F00">
            <w:pPr>
              <w:pStyle w:val="NoSpacing1"/>
              <w:ind w:left="360" w:hanging="180"/>
              <w:jc w:val="both"/>
              <w:rPr>
                <w:rFonts w:ascii="Times New Roman" w:hAnsi="Times New Roman"/>
                <w:lang w:val="en-US"/>
              </w:rPr>
            </w:pPr>
            <w:r w:rsidRPr="00C11F00">
              <w:rPr>
                <w:rFonts w:ascii="Times New Roman" w:hAnsi="Times New Roman"/>
                <w:lang w:val="en-US"/>
              </w:rPr>
              <w:t>Cerebrovascular disease</w:t>
            </w:r>
          </w:p>
        </w:tc>
        <w:tc>
          <w:tcPr>
            <w:tcW w:w="739" w:type="pct"/>
          </w:tcPr>
          <w:p w:rsidR="00366078" w:rsidRPr="00C11F00" w:rsidRDefault="00E10079" w:rsidP="00C11F00">
            <w:pPr>
              <w:pStyle w:val="NoSpacing1"/>
              <w:jc w:val="center"/>
              <w:rPr>
                <w:rFonts w:ascii="Times New Roman" w:hAnsi="Times New Roman"/>
                <w:lang w:val="en-US"/>
              </w:rPr>
            </w:pPr>
            <w:r w:rsidRPr="00C11F00">
              <w:rPr>
                <w:rFonts w:ascii="Times New Roman" w:hAnsi="Times New Roman"/>
                <w:lang w:val="en-US"/>
              </w:rPr>
              <w:t>4 (4</w:t>
            </w:r>
            <w:r w:rsidR="00366078" w:rsidRPr="00C11F00">
              <w:rPr>
                <w:rFonts w:ascii="Times New Roman" w:hAnsi="Times New Roman"/>
                <w:lang w:val="en-US"/>
              </w:rPr>
              <w:t>)</w:t>
            </w:r>
          </w:p>
        </w:tc>
        <w:tc>
          <w:tcPr>
            <w:tcW w:w="1007"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1 (2)</w:t>
            </w:r>
          </w:p>
        </w:tc>
        <w:tc>
          <w:tcPr>
            <w:tcW w:w="986" w:type="pct"/>
          </w:tcPr>
          <w:p w:rsidR="00366078" w:rsidRPr="00C11F00" w:rsidRDefault="00440347" w:rsidP="00C11F00">
            <w:pPr>
              <w:pStyle w:val="NoSpacing1"/>
              <w:jc w:val="center"/>
              <w:rPr>
                <w:rFonts w:ascii="Times New Roman" w:hAnsi="Times New Roman"/>
                <w:lang w:val="en-US"/>
              </w:rPr>
            </w:pPr>
            <w:r w:rsidRPr="00C11F00">
              <w:rPr>
                <w:rFonts w:ascii="Times New Roman" w:hAnsi="Times New Roman"/>
                <w:lang w:val="en-US"/>
              </w:rPr>
              <w:t>3 (7</w:t>
            </w:r>
            <w:r w:rsidR="00366078" w:rsidRPr="00C11F00">
              <w:rPr>
                <w:rFonts w:ascii="Times New Roman" w:hAnsi="Times New Roman"/>
                <w:lang w:val="en-US"/>
              </w:rPr>
              <w:t>)</w:t>
            </w:r>
          </w:p>
        </w:tc>
        <w:tc>
          <w:tcPr>
            <w:tcW w:w="514"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0.092</w:t>
            </w:r>
            <w:r w:rsidR="00AD5967" w:rsidRPr="00C11F00">
              <w:rPr>
                <w:rFonts w:ascii="Times New Roman" w:hAnsi="Times New Roman"/>
                <w:lang w:val="en-US"/>
              </w:rPr>
              <w:t>§</w:t>
            </w:r>
          </w:p>
        </w:tc>
      </w:tr>
      <w:tr w:rsidR="00C11F00" w:rsidRPr="00C11F00" w:rsidTr="00C11F00">
        <w:tc>
          <w:tcPr>
            <w:tcW w:w="1754" w:type="pct"/>
          </w:tcPr>
          <w:p w:rsidR="00366078" w:rsidRPr="00C11F00" w:rsidRDefault="00366078" w:rsidP="00C11F00">
            <w:pPr>
              <w:pStyle w:val="NoSpacing1"/>
              <w:ind w:left="360" w:hanging="180"/>
              <w:jc w:val="both"/>
              <w:rPr>
                <w:rFonts w:ascii="Times New Roman" w:hAnsi="Times New Roman"/>
                <w:lang w:val="en-US"/>
              </w:rPr>
            </w:pPr>
            <w:r w:rsidRPr="00C11F00">
              <w:rPr>
                <w:rFonts w:ascii="Times New Roman" w:hAnsi="Times New Roman"/>
                <w:lang w:val="en-US"/>
              </w:rPr>
              <w:t>Diabetes</w:t>
            </w:r>
          </w:p>
        </w:tc>
        <w:tc>
          <w:tcPr>
            <w:tcW w:w="739"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18 (19)</w:t>
            </w:r>
          </w:p>
        </w:tc>
        <w:tc>
          <w:tcPr>
            <w:tcW w:w="1007"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8 (16)</w:t>
            </w:r>
          </w:p>
        </w:tc>
        <w:tc>
          <w:tcPr>
            <w:tcW w:w="986" w:type="pct"/>
          </w:tcPr>
          <w:p w:rsidR="00366078" w:rsidRPr="00C11F00" w:rsidRDefault="00440347" w:rsidP="00C11F00">
            <w:pPr>
              <w:pStyle w:val="NoSpacing1"/>
              <w:jc w:val="center"/>
              <w:rPr>
                <w:rFonts w:ascii="Times New Roman" w:hAnsi="Times New Roman"/>
                <w:lang w:val="en-US"/>
              </w:rPr>
            </w:pPr>
            <w:r w:rsidRPr="00C11F00">
              <w:rPr>
                <w:rFonts w:ascii="Times New Roman" w:hAnsi="Times New Roman"/>
                <w:lang w:val="en-US"/>
              </w:rPr>
              <w:t>10 (22</w:t>
            </w:r>
            <w:r w:rsidR="00366078" w:rsidRPr="00C11F00">
              <w:rPr>
                <w:rFonts w:ascii="Times New Roman" w:hAnsi="Times New Roman"/>
                <w:lang w:val="en-US"/>
              </w:rPr>
              <w:t>)</w:t>
            </w:r>
          </w:p>
        </w:tc>
        <w:tc>
          <w:tcPr>
            <w:tcW w:w="514" w:type="pct"/>
          </w:tcPr>
          <w:p w:rsidR="00366078" w:rsidRPr="00C11F00" w:rsidRDefault="00366078" w:rsidP="00C11F00">
            <w:pPr>
              <w:pStyle w:val="NoSpacing1"/>
              <w:jc w:val="center"/>
              <w:rPr>
                <w:rFonts w:ascii="Times New Roman" w:hAnsi="Times New Roman"/>
                <w:b/>
                <w:lang w:val="en-US"/>
              </w:rPr>
            </w:pPr>
            <w:r w:rsidRPr="00C11F00">
              <w:rPr>
                <w:rFonts w:ascii="Times New Roman" w:hAnsi="Times New Roman"/>
                <w:lang w:val="en-US"/>
              </w:rPr>
              <w:t>0.293</w:t>
            </w:r>
            <w:r w:rsidR="00AD5967" w:rsidRPr="00C11F00">
              <w:rPr>
                <w:rFonts w:ascii="Times New Roman" w:hAnsi="Times New Roman"/>
                <w:lang w:val="en-US"/>
              </w:rPr>
              <w:t>‡</w:t>
            </w:r>
          </w:p>
        </w:tc>
      </w:tr>
      <w:tr w:rsidR="00C11F00" w:rsidRPr="00730F74" w:rsidTr="00C11F00">
        <w:trPr>
          <w:trHeight w:val="289"/>
        </w:trPr>
        <w:tc>
          <w:tcPr>
            <w:tcW w:w="1754" w:type="pct"/>
          </w:tcPr>
          <w:p w:rsidR="00366078" w:rsidRPr="00C11F00" w:rsidRDefault="00366078" w:rsidP="00C11F00">
            <w:pPr>
              <w:pStyle w:val="NoSpacing1"/>
              <w:jc w:val="both"/>
              <w:rPr>
                <w:rFonts w:ascii="Times New Roman" w:hAnsi="Times New Roman"/>
                <w:lang w:val="en-US"/>
              </w:rPr>
            </w:pPr>
            <w:r w:rsidRPr="00C11F00">
              <w:rPr>
                <w:rFonts w:ascii="Times New Roman" w:hAnsi="Times New Roman"/>
                <w:highlight w:val="yellow"/>
                <w:lang w:val="en-US"/>
              </w:rPr>
              <w:t>Surgical procedure</w:t>
            </w:r>
          </w:p>
        </w:tc>
        <w:tc>
          <w:tcPr>
            <w:tcW w:w="739" w:type="pct"/>
          </w:tcPr>
          <w:p w:rsidR="00366078" w:rsidRPr="00C11F00" w:rsidRDefault="00366078" w:rsidP="00C11F00">
            <w:pPr>
              <w:pStyle w:val="NoSpacing1"/>
              <w:jc w:val="center"/>
              <w:rPr>
                <w:rFonts w:ascii="Times New Roman" w:hAnsi="Times New Roman"/>
                <w:lang w:val="en-US"/>
              </w:rPr>
            </w:pPr>
          </w:p>
        </w:tc>
        <w:tc>
          <w:tcPr>
            <w:tcW w:w="1007" w:type="pct"/>
          </w:tcPr>
          <w:p w:rsidR="00366078" w:rsidRPr="00C11F00" w:rsidRDefault="00366078" w:rsidP="00C11F00">
            <w:pPr>
              <w:pStyle w:val="NoSpacing1"/>
              <w:jc w:val="center"/>
              <w:rPr>
                <w:rFonts w:ascii="Times New Roman" w:hAnsi="Times New Roman"/>
                <w:lang w:val="en-US"/>
              </w:rPr>
            </w:pPr>
          </w:p>
        </w:tc>
        <w:tc>
          <w:tcPr>
            <w:tcW w:w="986" w:type="pct"/>
          </w:tcPr>
          <w:p w:rsidR="00366078" w:rsidRPr="00C11F00" w:rsidRDefault="00366078" w:rsidP="00C11F00">
            <w:pPr>
              <w:pStyle w:val="NoSpacing1"/>
              <w:jc w:val="center"/>
              <w:rPr>
                <w:rFonts w:ascii="Times New Roman" w:hAnsi="Times New Roman"/>
                <w:lang w:val="en-US"/>
              </w:rPr>
            </w:pPr>
          </w:p>
        </w:tc>
        <w:tc>
          <w:tcPr>
            <w:tcW w:w="514" w:type="pct"/>
          </w:tcPr>
          <w:p w:rsidR="00366078" w:rsidRPr="00C11F00" w:rsidRDefault="00366078" w:rsidP="00C11F00">
            <w:pPr>
              <w:pStyle w:val="NoSpacing1"/>
              <w:jc w:val="center"/>
              <w:rPr>
                <w:rFonts w:ascii="Times New Roman" w:hAnsi="Times New Roman"/>
              </w:rPr>
            </w:pPr>
            <w:r w:rsidRPr="00C11F00">
              <w:rPr>
                <w:rFonts w:ascii="Times New Roman" w:hAnsi="Times New Roman"/>
                <w:lang w:val="en-US"/>
              </w:rPr>
              <w:t>0.223</w:t>
            </w:r>
            <w:r w:rsidR="00AD5967" w:rsidRPr="00C11F00">
              <w:rPr>
                <w:rFonts w:ascii="Times New Roman" w:hAnsi="Times New Roman"/>
                <w:lang w:val="en-US"/>
              </w:rPr>
              <w:t>‡</w:t>
            </w:r>
          </w:p>
        </w:tc>
      </w:tr>
      <w:tr w:rsidR="00C11F00" w:rsidRPr="00730F74" w:rsidTr="00C11F00">
        <w:tc>
          <w:tcPr>
            <w:tcW w:w="1754" w:type="pct"/>
          </w:tcPr>
          <w:p w:rsidR="00366078" w:rsidRPr="00C11F00" w:rsidRDefault="00366078" w:rsidP="00C11F00">
            <w:pPr>
              <w:pStyle w:val="NoSpacing1"/>
              <w:ind w:left="360" w:hanging="180"/>
              <w:jc w:val="both"/>
              <w:rPr>
                <w:rFonts w:ascii="Times New Roman" w:hAnsi="Times New Roman"/>
                <w:lang w:val="en-US"/>
              </w:rPr>
            </w:pPr>
            <w:r w:rsidRPr="00C11F00">
              <w:rPr>
                <w:rFonts w:ascii="Times New Roman" w:hAnsi="Times New Roman"/>
                <w:lang w:val="en-US"/>
              </w:rPr>
              <w:t>Anterior resection</w:t>
            </w:r>
          </w:p>
        </w:tc>
        <w:tc>
          <w:tcPr>
            <w:tcW w:w="739" w:type="pct"/>
          </w:tcPr>
          <w:p w:rsidR="00366078" w:rsidRPr="00C11F00" w:rsidRDefault="00366078" w:rsidP="00C11F00">
            <w:pPr>
              <w:pStyle w:val="NoSpacing1"/>
              <w:jc w:val="center"/>
              <w:rPr>
                <w:rFonts w:ascii="Times New Roman" w:hAnsi="Times New Roman"/>
              </w:rPr>
            </w:pPr>
            <w:r w:rsidRPr="00C11F00">
              <w:rPr>
                <w:rFonts w:ascii="Times New Roman" w:hAnsi="Times New Roman"/>
                <w:lang w:val="en-US"/>
              </w:rPr>
              <w:t>66 (</w:t>
            </w:r>
            <w:r w:rsidR="00E10079" w:rsidRPr="00C11F00">
              <w:rPr>
                <w:rFonts w:ascii="Times New Roman" w:hAnsi="Times New Roman"/>
                <w:lang w:val="en-US"/>
              </w:rPr>
              <w:t>69</w:t>
            </w:r>
            <w:r w:rsidRPr="00C11F00">
              <w:rPr>
                <w:rFonts w:ascii="Times New Roman" w:hAnsi="Times New Roman"/>
                <w:lang w:val="en-US"/>
              </w:rPr>
              <w:t>)</w:t>
            </w:r>
          </w:p>
        </w:tc>
        <w:tc>
          <w:tcPr>
            <w:tcW w:w="1007" w:type="pct"/>
          </w:tcPr>
          <w:p w:rsidR="00366078" w:rsidRPr="00C11F00" w:rsidRDefault="00366078" w:rsidP="00C11F00">
            <w:pPr>
              <w:pStyle w:val="NoSpacing1"/>
              <w:jc w:val="center"/>
              <w:rPr>
                <w:rFonts w:ascii="Times New Roman" w:hAnsi="Times New Roman"/>
              </w:rPr>
            </w:pPr>
            <w:r w:rsidRPr="00C11F00">
              <w:rPr>
                <w:rFonts w:ascii="Times New Roman" w:hAnsi="Times New Roman"/>
                <w:lang w:val="en-US"/>
              </w:rPr>
              <w:t>37 (76)</w:t>
            </w:r>
          </w:p>
        </w:tc>
        <w:tc>
          <w:tcPr>
            <w:tcW w:w="986" w:type="pct"/>
          </w:tcPr>
          <w:p w:rsidR="00366078" w:rsidRPr="00C11F00" w:rsidRDefault="00366078" w:rsidP="00C11F00">
            <w:pPr>
              <w:pStyle w:val="NoSpacing1"/>
              <w:jc w:val="center"/>
              <w:rPr>
                <w:rFonts w:ascii="Times New Roman" w:hAnsi="Times New Roman"/>
              </w:rPr>
            </w:pPr>
            <w:r w:rsidRPr="00C11F00">
              <w:rPr>
                <w:rFonts w:ascii="Times New Roman" w:hAnsi="Times New Roman"/>
                <w:lang w:val="en-US"/>
              </w:rPr>
              <w:t>29 (63)</w:t>
            </w:r>
          </w:p>
        </w:tc>
        <w:tc>
          <w:tcPr>
            <w:tcW w:w="514" w:type="pct"/>
          </w:tcPr>
          <w:p w:rsidR="00366078" w:rsidRPr="00C11F00" w:rsidRDefault="00366078" w:rsidP="00C11F00">
            <w:pPr>
              <w:pStyle w:val="NoSpacing1"/>
              <w:jc w:val="center"/>
              <w:rPr>
                <w:rFonts w:ascii="Times New Roman" w:hAnsi="Times New Roman"/>
              </w:rPr>
            </w:pPr>
          </w:p>
        </w:tc>
      </w:tr>
      <w:tr w:rsidR="00C11F00" w:rsidRPr="00730F74" w:rsidTr="00C11F00">
        <w:tc>
          <w:tcPr>
            <w:tcW w:w="1754" w:type="pct"/>
          </w:tcPr>
          <w:p w:rsidR="00366078" w:rsidRPr="00C11F00" w:rsidRDefault="00366078" w:rsidP="00C11F00">
            <w:pPr>
              <w:pStyle w:val="NoSpacing1"/>
              <w:ind w:left="360" w:hanging="180"/>
              <w:jc w:val="both"/>
              <w:rPr>
                <w:rFonts w:ascii="Times New Roman" w:hAnsi="Times New Roman"/>
                <w:lang w:val="en-US"/>
              </w:rPr>
            </w:pPr>
            <w:r w:rsidRPr="00C11F00">
              <w:rPr>
                <w:rFonts w:ascii="Times New Roman" w:hAnsi="Times New Roman"/>
                <w:lang w:val="en-US"/>
              </w:rPr>
              <w:t xml:space="preserve">Abdominoperineal resection </w:t>
            </w:r>
          </w:p>
        </w:tc>
        <w:tc>
          <w:tcPr>
            <w:tcW w:w="739"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22</w:t>
            </w:r>
            <w:r w:rsidR="00E10079" w:rsidRPr="00C11F00">
              <w:rPr>
                <w:rFonts w:ascii="Times New Roman" w:hAnsi="Times New Roman"/>
                <w:lang w:val="en-US"/>
              </w:rPr>
              <w:t xml:space="preserve"> </w:t>
            </w:r>
            <w:r w:rsidRPr="00C11F00">
              <w:rPr>
                <w:rFonts w:ascii="Times New Roman" w:hAnsi="Times New Roman"/>
                <w:lang w:val="en-US"/>
              </w:rPr>
              <w:t>(23)</w:t>
            </w:r>
          </w:p>
        </w:tc>
        <w:tc>
          <w:tcPr>
            <w:tcW w:w="1007"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11 (22)</w:t>
            </w:r>
          </w:p>
        </w:tc>
        <w:tc>
          <w:tcPr>
            <w:tcW w:w="986"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11 (24</w:t>
            </w:r>
            <w:r w:rsidR="00440347" w:rsidRPr="00C11F00">
              <w:rPr>
                <w:rFonts w:ascii="Times New Roman" w:hAnsi="Times New Roman"/>
                <w:lang w:val="en-US"/>
              </w:rPr>
              <w:t>)</w:t>
            </w:r>
          </w:p>
        </w:tc>
        <w:tc>
          <w:tcPr>
            <w:tcW w:w="514" w:type="pct"/>
          </w:tcPr>
          <w:p w:rsidR="00366078" w:rsidRPr="00C11F00" w:rsidRDefault="00366078" w:rsidP="00C11F00">
            <w:pPr>
              <w:pStyle w:val="NoSpacing1"/>
              <w:jc w:val="center"/>
              <w:rPr>
                <w:rFonts w:ascii="Times New Roman" w:hAnsi="Times New Roman"/>
              </w:rPr>
            </w:pPr>
          </w:p>
        </w:tc>
      </w:tr>
      <w:tr w:rsidR="00C11F00" w:rsidRPr="00730F74" w:rsidTr="00C11F00">
        <w:tc>
          <w:tcPr>
            <w:tcW w:w="1754" w:type="pct"/>
          </w:tcPr>
          <w:p w:rsidR="00366078" w:rsidRPr="00C11F00" w:rsidRDefault="00366078" w:rsidP="00C11F00">
            <w:pPr>
              <w:pStyle w:val="NoSpacing1"/>
              <w:ind w:left="360" w:hanging="180"/>
              <w:jc w:val="both"/>
              <w:rPr>
                <w:rFonts w:ascii="Times New Roman" w:hAnsi="Times New Roman"/>
                <w:lang w:val="en-US"/>
              </w:rPr>
            </w:pPr>
            <w:r w:rsidRPr="00C11F00">
              <w:rPr>
                <w:rFonts w:ascii="Times New Roman" w:hAnsi="Times New Roman"/>
                <w:lang w:val="en-US"/>
              </w:rPr>
              <w:t>Hartmann procedure</w:t>
            </w:r>
          </w:p>
        </w:tc>
        <w:tc>
          <w:tcPr>
            <w:tcW w:w="739" w:type="pct"/>
          </w:tcPr>
          <w:p w:rsidR="00366078" w:rsidRPr="00C11F00" w:rsidRDefault="00E10079" w:rsidP="00C11F00">
            <w:pPr>
              <w:pStyle w:val="NoSpacing1"/>
              <w:jc w:val="center"/>
              <w:rPr>
                <w:rFonts w:ascii="Times New Roman" w:hAnsi="Times New Roman"/>
                <w:lang w:val="en-US"/>
              </w:rPr>
            </w:pPr>
            <w:r w:rsidRPr="00C11F00">
              <w:rPr>
                <w:rFonts w:ascii="Times New Roman" w:hAnsi="Times New Roman"/>
                <w:lang w:val="en-US"/>
              </w:rPr>
              <w:t>4 (4</w:t>
            </w:r>
            <w:r w:rsidR="00366078" w:rsidRPr="00C11F00">
              <w:rPr>
                <w:rFonts w:ascii="Times New Roman" w:hAnsi="Times New Roman"/>
                <w:lang w:val="en-US"/>
              </w:rPr>
              <w:t>)</w:t>
            </w:r>
          </w:p>
        </w:tc>
        <w:tc>
          <w:tcPr>
            <w:tcW w:w="1007"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0</w:t>
            </w:r>
            <w:r w:rsidR="00E10079" w:rsidRPr="00C11F00">
              <w:rPr>
                <w:rFonts w:ascii="Times New Roman" w:hAnsi="Times New Roman"/>
                <w:lang w:val="en-US"/>
              </w:rPr>
              <w:t xml:space="preserve"> (0)</w:t>
            </w:r>
          </w:p>
        </w:tc>
        <w:tc>
          <w:tcPr>
            <w:tcW w:w="986" w:type="pct"/>
          </w:tcPr>
          <w:p w:rsidR="00366078" w:rsidRPr="00C11F00" w:rsidRDefault="00440347" w:rsidP="00C11F00">
            <w:pPr>
              <w:pStyle w:val="NoSpacing1"/>
              <w:jc w:val="center"/>
              <w:rPr>
                <w:rFonts w:ascii="Times New Roman" w:hAnsi="Times New Roman"/>
                <w:lang w:val="en-US"/>
              </w:rPr>
            </w:pPr>
            <w:r w:rsidRPr="00C11F00">
              <w:rPr>
                <w:rFonts w:ascii="Times New Roman" w:hAnsi="Times New Roman"/>
                <w:lang w:val="en-US"/>
              </w:rPr>
              <w:t>4 (9</w:t>
            </w:r>
            <w:r w:rsidR="00366078" w:rsidRPr="00C11F00">
              <w:rPr>
                <w:rFonts w:ascii="Times New Roman" w:hAnsi="Times New Roman"/>
                <w:lang w:val="en-US"/>
              </w:rPr>
              <w:t>)</w:t>
            </w:r>
          </w:p>
        </w:tc>
        <w:tc>
          <w:tcPr>
            <w:tcW w:w="514" w:type="pct"/>
          </w:tcPr>
          <w:p w:rsidR="00366078" w:rsidRPr="00C11F00" w:rsidRDefault="00366078" w:rsidP="00C11F00">
            <w:pPr>
              <w:pStyle w:val="NoSpacing1"/>
              <w:jc w:val="center"/>
              <w:rPr>
                <w:rFonts w:ascii="Times New Roman" w:hAnsi="Times New Roman"/>
              </w:rPr>
            </w:pPr>
          </w:p>
        </w:tc>
      </w:tr>
      <w:tr w:rsidR="00C11F00" w:rsidRPr="00730F74" w:rsidTr="00C11F00">
        <w:tc>
          <w:tcPr>
            <w:tcW w:w="1754" w:type="pct"/>
          </w:tcPr>
          <w:p w:rsidR="00366078" w:rsidRPr="00C11F00" w:rsidRDefault="00366078" w:rsidP="00C11F00">
            <w:pPr>
              <w:pStyle w:val="NoSpacing1"/>
              <w:ind w:left="360" w:hanging="180"/>
              <w:jc w:val="both"/>
              <w:rPr>
                <w:rFonts w:ascii="Times New Roman" w:hAnsi="Times New Roman"/>
                <w:lang w:val="en-US"/>
              </w:rPr>
            </w:pPr>
            <w:r w:rsidRPr="00C11F00">
              <w:rPr>
                <w:rFonts w:ascii="Times New Roman" w:hAnsi="Times New Roman"/>
                <w:lang w:val="en-US"/>
              </w:rPr>
              <w:t>Other</w:t>
            </w:r>
          </w:p>
        </w:tc>
        <w:tc>
          <w:tcPr>
            <w:tcW w:w="739"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3 (3)</w:t>
            </w:r>
          </w:p>
        </w:tc>
        <w:tc>
          <w:tcPr>
            <w:tcW w:w="1007" w:type="pct"/>
          </w:tcPr>
          <w:p w:rsidR="00366078" w:rsidRPr="00C11F00" w:rsidRDefault="00E10079" w:rsidP="00C11F00">
            <w:pPr>
              <w:pStyle w:val="NoSpacing1"/>
              <w:jc w:val="center"/>
              <w:rPr>
                <w:rFonts w:ascii="Times New Roman" w:hAnsi="Times New Roman"/>
                <w:lang w:val="en-US"/>
              </w:rPr>
            </w:pPr>
            <w:r w:rsidRPr="00C11F00">
              <w:rPr>
                <w:rFonts w:ascii="Times New Roman" w:hAnsi="Times New Roman"/>
                <w:lang w:val="en-US"/>
              </w:rPr>
              <w:t>1 (2</w:t>
            </w:r>
            <w:r w:rsidR="00366078" w:rsidRPr="00C11F00">
              <w:rPr>
                <w:rFonts w:ascii="Times New Roman" w:hAnsi="Times New Roman"/>
                <w:lang w:val="en-US"/>
              </w:rPr>
              <w:t>)</w:t>
            </w:r>
          </w:p>
        </w:tc>
        <w:tc>
          <w:tcPr>
            <w:tcW w:w="986"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2 (4)</w:t>
            </w:r>
          </w:p>
        </w:tc>
        <w:tc>
          <w:tcPr>
            <w:tcW w:w="514" w:type="pct"/>
          </w:tcPr>
          <w:p w:rsidR="00366078" w:rsidRPr="00C11F00" w:rsidRDefault="00366078" w:rsidP="00C11F00">
            <w:pPr>
              <w:pStyle w:val="NoSpacing1"/>
              <w:jc w:val="center"/>
              <w:rPr>
                <w:rFonts w:ascii="Times New Roman" w:hAnsi="Times New Roman"/>
              </w:rPr>
            </w:pPr>
          </w:p>
        </w:tc>
      </w:tr>
      <w:tr w:rsidR="00C11F00" w:rsidRPr="00C11F00" w:rsidTr="00C11F00">
        <w:trPr>
          <w:trHeight w:val="273"/>
        </w:trPr>
        <w:tc>
          <w:tcPr>
            <w:tcW w:w="1754" w:type="pct"/>
          </w:tcPr>
          <w:p w:rsidR="00366078" w:rsidRPr="00C11F00" w:rsidRDefault="00366078" w:rsidP="00C11F00">
            <w:pPr>
              <w:pStyle w:val="NoSpacing1"/>
              <w:jc w:val="both"/>
              <w:rPr>
                <w:rFonts w:ascii="Times New Roman" w:hAnsi="Times New Roman"/>
                <w:lang w:val="en-US"/>
              </w:rPr>
            </w:pPr>
            <w:r w:rsidRPr="00C11F00">
              <w:rPr>
                <w:rFonts w:ascii="Times New Roman" w:hAnsi="Times New Roman"/>
                <w:highlight w:val="yellow"/>
                <w:lang w:val="en-US"/>
              </w:rPr>
              <w:t>Type of surgery</w:t>
            </w:r>
          </w:p>
        </w:tc>
        <w:tc>
          <w:tcPr>
            <w:tcW w:w="739" w:type="pct"/>
          </w:tcPr>
          <w:p w:rsidR="00366078" w:rsidRPr="00C11F00" w:rsidRDefault="00366078" w:rsidP="00C11F00">
            <w:pPr>
              <w:pStyle w:val="NoSpacing1"/>
              <w:jc w:val="center"/>
              <w:rPr>
                <w:rFonts w:ascii="Times New Roman" w:hAnsi="Times New Roman"/>
                <w:lang w:val="en-US"/>
              </w:rPr>
            </w:pPr>
          </w:p>
        </w:tc>
        <w:tc>
          <w:tcPr>
            <w:tcW w:w="1007" w:type="pct"/>
          </w:tcPr>
          <w:p w:rsidR="00366078" w:rsidRPr="00C11F00" w:rsidRDefault="00366078" w:rsidP="00C11F00">
            <w:pPr>
              <w:pStyle w:val="NoSpacing1"/>
              <w:jc w:val="center"/>
              <w:rPr>
                <w:rFonts w:ascii="Times New Roman" w:hAnsi="Times New Roman"/>
                <w:lang w:val="en-US"/>
              </w:rPr>
            </w:pPr>
          </w:p>
        </w:tc>
        <w:tc>
          <w:tcPr>
            <w:tcW w:w="986" w:type="pct"/>
          </w:tcPr>
          <w:p w:rsidR="00366078" w:rsidRPr="00C11F00" w:rsidRDefault="00366078" w:rsidP="00C11F00">
            <w:pPr>
              <w:pStyle w:val="NoSpacing1"/>
              <w:jc w:val="center"/>
              <w:rPr>
                <w:rFonts w:ascii="Times New Roman" w:hAnsi="Times New Roman"/>
                <w:lang w:val="en-US"/>
              </w:rPr>
            </w:pPr>
          </w:p>
        </w:tc>
        <w:tc>
          <w:tcPr>
            <w:tcW w:w="514"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0.941</w:t>
            </w:r>
            <w:r w:rsidR="00AD5967" w:rsidRPr="00C11F00">
              <w:rPr>
                <w:rFonts w:ascii="Times New Roman" w:hAnsi="Times New Roman"/>
                <w:lang w:val="en-US"/>
              </w:rPr>
              <w:t>‡</w:t>
            </w:r>
          </w:p>
        </w:tc>
      </w:tr>
      <w:tr w:rsidR="00C11F00" w:rsidRPr="00C11F00" w:rsidTr="00C11F00">
        <w:tc>
          <w:tcPr>
            <w:tcW w:w="1754" w:type="pct"/>
          </w:tcPr>
          <w:p w:rsidR="00366078" w:rsidRPr="00C11F00" w:rsidRDefault="00366078" w:rsidP="00C11F00">
            <w:pPr>
              <w:pStyle w:val="NoSpacing1"/>
              <w:ind w:left="360" w:hanging="180"/>
              <w:jc w:val="both"/>
              <w:rPr>
                <w:rFonts w:ascii="Times New Roman" w:hAnsi="Times New Roman"/>
                <w:lang w:val="en-US"/>
              </w:rPr>
            </w:pPr>
            <w:r w:rsidRPr="00C11F00">
              <w:rPr>
                <w:rFonts w:ascii="Times New Roman" w:hAnsi="Times New Roman"/>
                <w:lang w:val="en-US"/>
              </w:rPr>
              <w:t>Laparoscopic</w:t>
            </w:r>
          </w:p>
        </w:tc>
        <w:tc>
          <w:tcPr>
            <w:tcW w:w="739"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43 (45)</w:t>
            </w:r>
          </w:p>
        </w:tc>
        <w:tc>
          <w:tcPr>
            <w:tcW w:w="1007"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22 (45)</w:t>
            </w:r>
          </w:p>
        </w:tc>
        <w:tc>
          <w:tcPr>
            <w:tcW w:w="986"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21 (46)</w:t>
            </w:r>
          </w:p>
        </w:tc>
        <w:tc>
          <w:tcPr>
            <w:tcW w:w="514" w:type="pct"/>
          </w:tcPr>
          <w:p w:rsidR="00366078" w:rsidRPr="00C11F00" w:rsidRDefault="00366078" w:rsidP="00C11F00">
            <w:pPr>
              <w:pStyle w:val="NoSpacing1"/>
              <w:jc w:val="center"/>
              <w:rPr>
                <w:rFonts w:ascii="Times New Roman" w:hAnsi="Times New Roman"/>
                <w:lang w:val="en-US"/>
              </w:rPr>
            </w:pPr>
          </w:p>
        </w:tc>
      </w:tr>
      <w:tr w:rsidR="00C11F00" w:rsidRPr="00C11F00" w:rsidTr="00C11F00">
        <w:tc>
          <w:tcPr>
            <w:tcW w:w="1754" w:type="pct"/>
          </w:tcPr>
          <w:p w:rsidR="00366078" w:rsidRPr="00C11F00" w:rsidRDefault="00366078" w:rsidP="00C11F00">
            <w:pPr>
              <w:pStyle w:val="NoSpacing1"/>
              <w:ind w:left="360" w:hanging="180"/>
              <w:jc w:val="both"/>
              <w:rPr>
                <w:rFonts w:ascii="Times New Roman" w:hAnsi="Times New Roman"/>
                <w:lang w:val="en-US"/>
              </w:rPr>
            </w:pPr>
            <w:r w:rsidRPr="00C11F00">
              <w:rPr>
                <w:rFonts w:ascii="Times New Roman" w:hAnsi="Times New Roman"/>
                <w:lang w:val="en-US"/>
              </w:rPr>
              <w:t>Open</w:t>
            </w:r>
          </w:p>
        </w:tc>
        <w:tc>
          <w:tcPr>
            <w:tcW w:w="739"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52 (55)</w:t>
            </w:r>
          </w:p>
        </w:tc>
        <w:tc>
          <w:tcPr>
            <w:tcW w:w="1007"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27 (55)</w:t>
            </w:r>
          </w:p>
        </w:tc>
        <w:tc>
          <w:tcPr>
            <w:tcW w:w="986"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25 (54)</w:t>
            </w:r>
          </w:p>
        </w:tc>
        <w:tc>
          <w:tcPr>
            <w:tcW w:w="514" w:type="pct"/>
          </w:tcPr>
          <w:p w:rsidR="00366078" w:rsidRPr="00C11F00" w:rsidRDefault="00366078" w:rsidP="00C11F00">
            <w:pPr>
              <w:pStyle w:val="NoSpacing1"/>
              <w:jc w:val="center"/>
              <w:rPr>
                <w:rFonts w:ascii="Times New Roman" w:hAnsi="Times New Roman"/>
                <w:lang w:val="en-US"/>
              </w:rPr>
            </w:pPr>
          </w:p>
        </w:tc>
      </w:tr>
      <w:tr w:rsidR="00C11F00" w:rsidRPr="00730F74" w:rsidTr="00C11F00">
        <w:tc>
          <w:tcPr>
            <w:tcW w:w="1754" w:type="pct"/>
          </w:tcPr>
          <w:p w:rsidR="00366078" w:rsidRPr="00C11F00" w:rsidRDefault="00366078" w:rsidP="00C11F00">
            <w:pPr>
              <w:pStyle w:val="NoSpacing1"/>
              <w:jc w:val="both"/>
              <w:rPr>
                <w:rFonts w:ascii="Times New Roman" w:hAnsi="Times New Roman"/>
                <w:lang w:val="en-US"/>
              </w:rPr>
            </w:pPr>
            <w:r w:rsidRPr="00C11F00">
              <w:rPr>
                <w:rFonts w:ascii="Times New Roman" w:hAnsi="Times New Roman"/>
                <w:lang w:val="en-US"/>
              </w:rPr>
              <w:t>Anastomosis</w:t>
            </w:r>
          </w:p>
        </w:tc>
        <w:tc>
          <w:tcPr>
            <w:tcW w:w="739" w:type="pct"/>
          </w:tcPr>
          <w:p w:rsidR="00366078" w:rsidRPr="00C11F00" w:rsidRDefault="00366078" w:rsidP="00C11F00">
            <w:pPr>
              <w:pStyle w:val="NoSpacing1"/>
              <w:jc w:val="center"/>
              <w:rPr>
                <w:rFonts w:ascii="Times New Roman" w:hAnsi="Times New Roman"/>
              </w:rPr>
            </w:pPr>
          </w:p>
        </w:tc>
        <w:tc>
          <w:tcPr>
            <w:tcW w:w="1007" w:type="pct"/>
          </w:tcPr>
          <w:p w:rsidR="00366078" w:rsidRPr="00C11F00" w:rsidRDefault="00366078" w:rsidP="00C11F00">
            <w:pPr>
              <w:pStyle w:val="NoSpacing1"/>
              <w:jc w:val="center"/>
              <w:rPr>
                <w:rFonts w:ascii="Times New Roman" w:hAnsi="Times New Roman"/>
              </w:rPr>
            </w:pPr>
          </w:p>
        </w:tc>
        <w:tc>
          <w:tcPr>
            <w:tcW w:w="986" w:type="pct"/>
          </w:tcPr>
          <w:p w:rsidR="00366078" w:rsidRPr="00C11F00" w:rsidRDefault="00366078" w:rsidP="00C11F00">
            <w:pPr>
              <w:pStyle w:val="NoSpacing1"/>
              <w:jc w:val="center"/>
              <w:rPr>
                <w:rFonts w:ascii="Times New Roman" w:hAnsi="Times New Roman"/>
              </w:rPr>
            </w:pPr>
          </w:p>
        </w:tc>
        <w:tc>
          <w:tcPr>
            <w:tcW w:w="514" w:type="pct"/>
          </w:tcPr>
          <w:p w:rsidR="00366078" w:rsidRPr="00C11F00" w:rsidRDefault="00366078" w:rsidP="00C11F00">
            <w:pPr>
              <w:pStyle w:val="NoSpacing1"/>
              <w:jc w:val="center"/>
              <w:rPr>
                <w:rFonts w:ascii="Times New Roman" w:hAnsi="Times New Roman"/>
              </w:rPr>
            </w:pPr>
            <w:r w:rsidRPr="00C11F00">
              <w:rPr>
                <w:rFonts w:ascii="Times New Roman" w:hAnsi="Times New Roman"/>
                <w:lang w:val="en-US"/>
              </w:rPr>
              <w:t>0.653</w:t>
            </w:r>
            <w:r w:rsidR="00AD5967" w:rsidRPr="00C11F00">
              <w:rPr>
                <w:rFonts w:ascii="Times New Roman" w:hAnsi="Times New Roman"/>
                <w:lang w:val="en-US"/>
              </w:rPr>
              <w:t>‡</w:t>
            </w:r>
          </w:p>
        </w:tc>
      </w:tr>
      <w:tr w:rsidR="00C11F00" w:rsidRPr="00730F74" w:rsidTr="00C11F00">
        <w:tc>
          <w:tcPr>
            <w:tcW w:w="1754" w:type="pct"/>
          </w:tcPr>
          <w:p w:rsidR="00366078" w:rsidRPr="00C11F00" w:rsidRDefault="00366078" w:rsidP="00C11F00">
            <w:pPr>
              <w:pStyle w:val="NoSpacing1"/>
              <w:ind w:left="360" w:hanging="180"/>
              <w:jc w:val="both"/>
              <w:rPr>
                <w:rFonts w:ascii="Times New Roman" w:hAnsi="Times New Roman"/>
                <w:lang w:val="en-US"/>
              </w:rPr>
            </w:pPr>
            <w:r w:rsidRPr="00C11F00">
              <w:rPr>
                <w:rFonts w:ascii="Times New Roman" w:hAnsi="Times New Roman"/>
                <w:lang w:val="en-US"/>
              </w:rPr>
              <w:t>Yes</w:t>
            </w:r>
          </w:p>
        </w:tc>
        <w:tc>
          <w:tcPr>
            <w:tcW w:w="739"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69 (7</w:t>
            </w:r>
            <w:r w:rsidR="00E10079" w:rsidRPr="00C11F00">
              <w:rPr>
                <w:rFonts w:ascii="Times New Roman" w:hAnsi="Times New Roman"/>
                <w:lang w:val="en-US"/>
              </w:rPr>
              <w:t>3</w:t>
            </w:r>
            <w:r w:rsidRPr="00C11F00">
              <w:rPr>
                <w:rFonts w:ascii="Times New Roman" w:hAnsi="Times New Roman"/>
                <w:lang w:val="en-US"/>
              </w:rPr>
              <w:t>)</w:t>
            </w:r>
          </w:p>
        </w:tc>
        <w:tc>
          <w:tcPr>
            <w:tcW w:w="1007" w:type="pct"/>
          </w:tcPr>
          <w:p w:rsidR="00366078" w:rsidRPr="00C11F00" w:rsidRDefault="00366078" w:rsidP="00C11F00">
            <w:pPr>
              <w:pStyle w:val="NoSpacing1"/>
              <w:jc w:val="center"/>
              <w:rPr>
                <w:rFonts w:ascii="Times New Roman" w:hAnsi="Times New Roman"/>
              </w:rPr>
            </w:pPr>
            <w:r w:rsidRPr="00C11F00">
              <w:rPr>
                <w:rFonts w:ascii="Times New Roman" w:hAnsi="Times New Roman"/>
                <w:lang w:val="en-US"/>
              </w:rPr>
              <w:t>38 (78)</w:t>
            </w:r>
          </w:p>
        </w:tc>
        <w:tc>
          <w:tcPr>
            <w:tcW w:w="986"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31 (67)</w:t>
            </w:r>
          </w:p>
        </w:tc>
        <w:tc>
          <w:tcPr>
            <w:tcW w:w="514" w:type="pct"/>
          </w:tcPr>
          <w:p w:rsidR="00366078" w:rsidRPr="00C11F00" w:rsidRDefault="00366078" w:rsidP="00C11F00">
            <w:pPr>
              <w:pStyle w:val="NoSpacing1"/>
              <w:jc w:val="center"/>
              <w:rPr>
                <w:rFonts w:ascii="Times New Roman" w:hAnsi="Times New Roman"/>
                <w:lang w:val="en-US"/>
              </w:rPr>
            </w:pPr>
          </w:p>
        </w:tc>
      </w:tr>
      <w:tr w:rsidR="00C11F00" w:rsidRPr="00730F74" w:rsidTr="00C11F00">
        <w:tc>
          <w:tcPr>
            <w:tcW w:w="1754" w:type="pct"/>
          </w:tcPr>
          <w:p w:rsidR="00366078" w:rsidRPr="00C11F00" w:rsidRDefault="00366078" w:rsidP="00C11F00">
            <w:pPr>
              <w:pStyle w:val="NoSpacing1"/>
              <w:ind w:left="360" w:hanging="180"/>
              <w:jc w:val="both"/>
              <w:rPr>
                <w:rFonts w:ascii="Times New Roman" w:hAnsi="Times New Roman"/>
                <w:lang w:val="en-US"/>
              </w:rPr>
            </w:pPr>
            <w:r w:rsidRPr="00C11F00">
              <w:rPr>
                <w:rFonts w:ascii="Times New Roman" w:hAnsi="Times New Roman"/>
                <w:lang w:val="en-US"/>
              </w:rPr>
              <w:t>No</w:t>
            </w:r>
          </w:p>
        </w:tc>
        <w:tc>
          <w:tcPr>
            <w:tcW w:w="739"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26 (27)</w:t>
            </w:r>
          </w:p>
        </w:tc>
        <w:tc>
          <w:tcPr>
            <w:tcW w:w="1007"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11 (22)</w:t>
            </w:r>
          </w:p>
        </w:tc>
        <w:tc>
          <w:tcPr>
            <w:tcW w:w="986" w:type="pct"/>
          </w:tcPr>
          <w:p w:rsidR="00366078" w:rsidRPr="00C11F00" w:rsidRDefault="00366078" w:rsidP="00C11F00">
            <w:pPr>
              <w:pStyle w:val="NoSpacing1"/>
              <w:jc w:val="center"/>
              <w:rPr>
                <w:rFonts w:ascii="Times New Roman" w:hAnsi="Times New Roman"/>
                <w:lang w:val="en-US"/>
              </w:rPr>
            </w:pPr>
            <w:r w:rsidRPr="00C11F00">
              <w:rPr>
                <w:rFonts w:ascii="Times New Roman" w:hAnsi="Times New Roman"/>
                <w:lang w:val="en-US"/>
              </w:rPr>
              <w:t>15 (33)</w:t>
            </w:r>
          </w:p>
        </w:tc>
        <w:tc>
          <w:tcPr>
            <w:tcW w:w="514" w:type="pct"/>
          </w:tcPr>
          <w:p w:rsidR="00366078" w:rsidRPr="00C11F00" w:rsidRDefault="00366078" w:rsidP="00C11F00">
            <w:pPr>
              <w:pStyle w:val="NoSpacing1"/>
              <w:jc w:val="center"/>
              <w:rPr>
                <w:rFonts w:ascii="Times New Roman" w:hAnsi="Times New Roman"/>
              </w:rPr>
            </w:pPr>
          </w:p>
        </w:tc>
      </w:tr>
    </w:tbl>
    <w:p w:rsidR="009937D1" w:rsidRPr="00730F74" w:rsidRDefault="00AD5967" w:rsidP="009937D1">
      <w:pPr>
        <w:pStyle w:val="NoSpacing1"/>
        <w:rPr>
          <w:rFonts w:ascii="Times New Roman" w:hAnsi="Times New Roman"/>
          <w:b/>
        </w:rPr>
      </w:pPr>
      <w:r w:rsidRPr="00730F74">
        <w:rPr>
          <w:rFonts w:ascii="Times New Roman" w:hAnsi="Times New Roman"/>
        </w:rPr>
        <w:t xml:space="preserve">Values in parentheses are percentages unless indicated otherwise; *values are </w:t>
      </w:r>
      <w:proofErr w:type="gramStart"/>
      <w:r w:rsidRPr="00730F74">
        <w:rPr>
          <w:rFonts w:ascii="Times New Roman" w:hAnsi="Times New Roman"/>
        </w:rPr>
        <w:t>mean(</w:t>
      </w:r>
      <w:proofErr w:type="gramEnd"/>
      <w:r w:rsidRPr="00730F74">
        <w:rPr>
          <w:rFonts w:ascii="Times New Roman" w:hAnsi="Times New Roman"/>
        </w:rPr>
        <w:t xml:space="preserve">s.d.). </w:t>
      </w:r>
      <w:commentRangeStart w:id="12"/>
      <w:r w:rsidR="00C776C7" w:rsidRPr="00730F74">
        <w:rPr>
          <w:rFonts w:ascii="Times New Roman" w:hAnsi="Times New Roman"/>
          <w:highlight w:val="yellow"/>
          <w:lang w:val="en-US"/>
        </w:rPr>
        <w:t>†U</w:t>
      </w:r>
      <w:r w:rsidR="00C776C7" w:rsidRPr="00730F74">
        <w:rPr>
          <w:rFonts w:ascii="Times New Roman" w:hAnsi="Times New Roman"/>
          <w:highlight w:val="yellow"/>
        </w:rPr>
        <w:t xml:space="preserve">nivariable logistic regression; </w:t>
      </w:r>
      <w:r w:rsidR="00C776C7" w:rsidRPr="00730F74">
        <w:rPr>
          <w:rFonts w:ascii="Times New Roman" w:hAnsi="Times New Roman"/>
          <w:highlight w:val="yellow"/>
          <w:lang w:val="en-US"/>
        </w:rPr>
        <w:t>‡χ</w:t>
      </w:r>
      <w:r w:rsidR="00C776C7" w:rsidRPr="00730F74">
        <w:rPr>
          <w:rFonts w:ascii="Times New Roman" w:hAnsi="Times New Roman"/>
          <w:highlight w:val="yellow"/>
          <w:vertAlign w:val="superscript"/>
          <w:lang w:val="en-US"/>
        </w:rPr>
        <w:t>2</w:t>
      </w:r>
      <w:r w:rsidR="00C776C7" w:rsidRPr="00730F74">
        <w:rPr>
          <w:rFonts w:ascii="Times New Roman" w:hAnsi="Times New Roman"/>
          <w:highlight w:val="yellow"/>
          <w:lang w:val="en-US"/>
        </w:rPr>
        <w:t xml:space="preserve"> test</w:t>
      </w:r>
      <w:r w:rsidR="00C776C7" w:rsidRPr="00730F74">
        <w:rPr>
          <w:rFonts w:ascii="Times New Roman" w:hAnsi="Times New Roman"/>
          <w:highlight w:val="yellow"/>
        </w:rPr>
        <w:t xml:space="preserve">; </w:t>
      </w:r>
      <w:r w:rsidR="00C776C7" w:rsidRPr="00730F74">
        <w:rPr>
          <w:rFonts w:ascii="Times New Roman" w:hAnsi="Times New Roman"/>
          <w:highlight w:val="yellow"/>
          <w:lang w:val="en-US"/>
        </w:rPr>
        <w:t>§</w:t>
      </w:r>
      <w:r w:rsidR="00C776C7" w:rsidRPr="00730F74">
        <w:rPr>
          <w:rFonts w:ascii="Times New Roman" w:hAnsi="Times New Roman"/>
          <w:highlight w:val="yellow"/>
        </w:rPr>
        <w:t>Fisher’s exact test.</w:t>
      </w:r>
      <w:commentRangeEnd w:id="12"/>
      <w:r w:rsidR="00C776C7" w:rsidRPr="00730F74">
        <w:rPr>
          <w:rStyle w:val="CommentReference"/>
          <w:rFonts w:ascii="Times New Roman" w:hAnsi="Times New Roman"/>
          <w:vanish/>
          <w:lang/>
        </w:rPr>
        <w:commentReference w:id="12"/>
      </w:r>
    </w:p>
    <w:p w:rsidR="009937D1" w:rsidRPr="00730F74" w:rsidRDefault="009937D1" w:rsidP="009937D1">
      <w:pPr>
        <w:pStyle w:val="NoSpacing1"/>
        <w:rPr>
          <w:rFonts w:ascii="Times New Roman" w:hAnsi="Times New Roman"/>
          <w:b/>
        </w:rPr>
      </w:pPr>
    </w:p>
    <w:p w:rsidR="009937D1" w:rsidRPr="00730F74" w:rsidRDefault="007D0310" w:rsidP="001860CD">
      <w:pPr>
        <w:pStyle w:val="NoSpacing1"/>
        <w:rPr>
          <w:rFonts w:ascii="Times New Roman" w:hAnsi="Times New Roman"/>
          <w:b/>
        </w:rPr>
      </w:pPr>
      <w:r w:rsidRPr="00730F74">
        <w:rPr>
          <w:rFonts w:ascii="Times New Roman" w:hAnsi="Times New Roman"/>
        </w:rPr>
        <w:br w:type="page"/>
      </w:r>
      <w:r w:rsidRPr="00730F74">
        <w:rPr>
          <w:rFonts w:ascii="Times New Roman" w:hAnsi="Times New Roman"/>
          <w:b/>
        </w:rPr>
        <w:lastRenderedPageBreak/>
        <w:t>Table</w:t>
      </w:r>
      <w:r w:rsidR="003D581B" w:rsidRPr="00730F74">
        <w:rPr>
          <w:rFonts w:ascii="Times New Roman" w:hAnsi="Times New Roman"/>
          <w:b/>
        </w:rPr>
        <w:t> </w:t>
      </w:r>
      <w:r w:rsidRPr="00730F74">
        <w:rPr>
          <w:rFonts w:ascii="Times New Roman" w:hAnsi="Times New Roman"/>
          <w:b/>
        </w:rPr>
        <w:t xml:space="preserve">2 </w:t>
      </w:r>
      <w:r w:rsidRPr="00730F74">
        <w:rPr>
          <w:rFonts w:ascii="Times New Roman" w:hAnsi="Times New Roman"/>
        </w:rPr>
        <w:t>Clinical staging and histopathological tumour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284"/>
        <w:gridCol w:w="1716"/>
        <w:gridCol w:w="1390"/>
        <w:gridCol w:w="1324"/>
      </w:tblGrid>
      <w:tr w:rsidR="00C11F00" w:rsidRPr="00C11F00" w:rsidTr="00C11F00">
        <w:tc>
          <w:tcPr>
            <w:tcW w:w="2808" w:type="dxa"/>
            <w:vAlign w:val="bottom"/>
          </w:tcPr>
          <w:p w:rsidR="007D0310" w:rsidRPr="00C11F00" w:rsidRDefault="007D0310" w:rsidP="00C11F00">
            <w:pPr>
              <w:pStyle w:val="NoSpacing"/>
              <w:jc w:val="center"/>
              <w:rPr>
                <w:rFonts w:ascii="Times New Roman" w:eastAsia="Times New Roman" w:hAnsi="Times New Roman"/>
                <w:sz w:val="24"/>
                <w:szCs w:val="24"/>
              </w:rPr>
            </w:pPr>
          </w:p>
        </w:tc>
        <w:tc>
          <w:tcPr>
            <w:tcW w:w="1284" w:type="dxa"/>
            <w:vAlign w:val="bottom"/>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Total</w:t>
            </w:r>
            <w:r w:rsidR="008D19D3" w:rsidRPr="00C11F00">
              <w:rPr>
                <w:rFonts w:ascii="Times New Roman" w:eastAsia="Times New Roman" w:hAnsi="Times New Roman"/>
                <w:sz w:val="24"/>
                <w:szCs w:val="24"/>
              </w:rPr>
              <w:t xml:space="preserve"> </w:t>
            </w:r>
            <w:r w:rsidR="008D19D3" w:rsidRPr="00C11F00">
              <w:rPr>
                <w:rFonts w:ascii="Times New Roman" w:hAnsi="Times New Roman"/>
                <w:sz w:val="24"/>
                <w:szCs w:val="24"/>
              </w:rPr>
              <w:t>(</w:t>
            </w:r>
            <w:r w:rsidR="008D19D3" w:rsidRPr="00C11F00">
              <w:rPr>
                <w:rFonts w:ascii="Times New Roman" w:hAnsi="Times New Roman"/>
                <w:i/>
                <w:sz w:val="24"/>
                <w:szCs w:val="24"/>
              </w:rPr>
              <w:t>n</w:t>
            </w:r>
            <w:r w:rsidR="008D19D3" w:rsidRPr="00C11F00">
              <w:rPr>
                <w:rFonts w:ascii="Times New Roman" w:hAnsi="Times New Roman"/>
                <w:sz w:val="24"/>
                <w:szCs w:val="24"/>
              </w:rPr>
              <w:t> = 95)</w:t>
            </w:r>
          </w:p>
        </w:tc>
        <w:tc>
          <w:tcPr>
            <w:tcW w:w="1716" w:type="dxa"/>
            <w:vAlign w:val="bottom"/>
          </w:tcPr>
          <w:p w:rsidR="007D0310" w:rsidRPr="00C11F00" w:rsidRDefault="003D581B"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No m</w:t>
            </w:r>
            <w:r w:rsidR="007D0310" w:rsidRPr="00C11F00">
              <w:rPr>
                <w:rFonts w:ascii="Times New Roman" w:eastAsia="Times New Roman" w:hAnsi="Times New Roman"/>
                <w:sz w:val="24"/>
                <w:szCs w:val="24"/>
              </w:rPr>
              <w:t>orbidity</w:t>
            </w:r>
            <w:r w:rsidR="008D19D3" w:rsidRPr="00C11F00">
              <w:rPr>
                <w:rFonts w:ascii="Times New Roman" w:eastAsia="Times New Roman" w:hAnsi="Times New Roman"/>
                <w:sz w:val="24"/>
                <w:szCs w:val="24"/>
              </w:rPr>
              <w:t xml:space="preserve"> </w:t>
            </w:r>
            <w:r w:rsidR="008D19D3" w:rsidRPr="00C11F00">
              <w:rPr>
                <w:rFonts w:ascii="Times New Roman" w:hAnsi="Times New Roman"/>
                <w:sz w:val="24"/>
                <w:szCs w:val="24"/>
              </w:rPr>
              <w:t>(</w:t>
            </w:r>
            <w:r w:rsidR="008D19D3" w:rsidRPr="00C11F00">
              <w:rPr>
                <w:rFonts w:ascii="Times New Roman" w:hAnsi="Times New Roman"/>
                <w:i/>
                <w:sz w:val="24"/>
                <w:szCs w:val="24"/>
              </w:rPr>
              <w:t>n</w:t>
            </w:r>
            <w:r w:rsidR="008D19D3" w:rsidRPr="00C11F00">
              <w:rPr>
                <w:rFonts w:ascii="Times New Roman" w:hAnsi="Times New Roman"/>
                <w:sz w:val="24"/>
                <w:szCs w:val="24"/>
              </w:rPr>
              <w:t> = 49)</w:t>
            </w:r>
          </w:p>
        </w:tc>
        <w:tc>
          <w:tcPr>
            <w:tcW w:w="1390" w:type="dxa"/>
            <w:vAlign w:val="bottom"/>
          </w:tcPr>
          <w:p w:rsidR="007D0310" w:rsidRPr="00C11F00" w:rsidRDefault="003D581B" w:rsidP="00C11F00">
            <w:pPr>
              <w:pStyle w:val="NoSpacing"/>
              <w:jc w:val="center"/>
              <w:rPr>
                <w:rFonts w:ascii="Times New Roman" w:eastAsia="Times New Roman" w:hAnsi="Times New Roman"/>
                <w:sz w:val="24"/>
                <w:szCs w:val="24"/>
              </w:rPr>
            </w:pPr>
            <w:bookmarkStart w:id="13" w:name="_GoBack"/>
            <w:bookmarkEnd w:id="13"/>
            <w:r w:rsidRPr="00C11F00">
              <w:rPr>
                <w:rFonts w:ascii="Times New Roman" w:eastAsia="Times New Roman" w:hAnsi="Times New Roman"/>
                <w:sz w:val="24"/>
                <w:szCs w:val="24"/>
              </w:rPr>
              <w:t>M</w:t>
            </w:r>
            <w:r w:rsidR="007D0310" w:rsidRPr="00C11F00">
              <w:rPr>
                <w:rFonts w:ascii="Times New Roman" w:eastAsia="Times New Roman" w:hAnsi="Times New Roman"/>
                <w:sz w:val="24"/>
                <w:szCs w:val="24"/>
              </w:rPr>
              <w:t>orbidity</w:t>
            </w:r>
            <w:r w:rsidR="008D19D3" w:rsidRPr="00C11F00">
              <w:rPr>
                <w:rFonts w:ascii="Times New Roman" w:eastAsia="Times New Roman" w:hAnsi="Times New Roman"/>
                <w:sz w:val="24"/>
                <w:szCs w:val="24"/>
              </w:rPr>
              <w:t xml:space="preserve"> </w:t>
            </w:r>
            <w:r w:rsidR="008D19D3" w:rsidRPr="00C11F00">
              <w:rPr>
                <w:rFonts w:ascii="Times New Roman" w:hAnsi="Times New Roman"/>
                <w:sz w:val="24"/>
                <w:szCs w:val="24"/>
              </w:rPr>
              <w:t>(</w:t>
            </w:r>
            <w:r w:rsidR="008D19D3" w:rsidRPr="00C11F00">
              <w:rPr>
                <w:rFonts w:ascii="Times New Roman" w:hAnsi="Times New Roman"/>
                <w:i/>
                <w:sz w:val="24"/>
                <w:szCs w:val="24"/>
              </w:rPr>
              <w:t>n</w:t>
            </w:r>
            <w:r w:rsidR="008D19D3" w:rsidRPr="00C11F00">
              <w:rPr>
                <w:rFonts w:ascii="Times New Roman" w:hAnsi="Times New Roman"/>
                <w:sz w:val="24"/>
                <w:szCs w:val="24"/>
              </w:rPr>
              <w:t> = 46)</w:t>
            </w:r>
          </w:p>
        </w:tc>
        <w:tc>
          <w:tcPr>
            <w:tcW w:w="1324" w:type="dxa"/>
            <w:vAlign w:val="bottom"/>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i/>
                <w:sz w:val="24"/>
                <w:szCs w:val="24"/>
              </w:rPr>
              <w:t>P</w:t>
            </w:r>
            <w:r w:rsidR="0072502A" w:rsidRPr="00C11F00">
              <w:rPr>
                <w:rFonts w:ascii="Times New Roman" w:hAnsi="Times New Roman"/>
                <w:sz w:val="24"/>
                <w:szCs w:val="24"/>
              </w:rPr>
              <w:t>‡</w:t>
            </w:r>
          </w:p>
        </w:tc>
      </w:tr>
      <w:tr w:rsidR="00C11F00" w:rsidRPr="00C11F00" w:rsidTr="00C11F00">
        <w:tc>
          <w:tcPr>
            <w:tcW w:w="2808" w:type="dxa"/>
          </w:tcPr>
          <w:p w:rsidR="000458AA" w:rsidRPr="00C11F00" w:rsidRDefault="000458AA" w:rsidP="00350B5F">
            <w:pPr>
              <w:pStyle w:val="NoSpacing"/>
              <w:rPr>
                <w:rFonts w:ascii="Times New Roman" w:eastAsia="Times New Roman" w:hAnsi="Times New Roman"/>
                <w:sz w:val="24"/>
                <w:szCs w:val="24"/>
              </w:rPr>
            </w:pPr>
            <w:r w:rsidRPr="00C11F00">
              <w:rPr>
                <w:rFonts w:ascii="Times New Roman" w:eastAsia="Times New Roman" w:hAnsi="Times New Roman"/>
                <w:sz w:val="24"/>
                <w:szCs w:val="24"/>
              </w:rPr>
              <w:t>Neoadjuvant therapy</w:t>
            </w:r>
          </w:p>
        </w:tc>
        <w:tc>
          <w:tcPr>
            <w:tcW w:w="1284" w:type="dxa"/>
          </w:tcPr>
          <w:p w:rsidR="000458AA" w:rsidRPr="00C11F00" w:rsidRDefault="000458AA" w:rsidP="00350B5F">
            <w:pPr>
              <w:pStyle w:val="NoSpacing"/>
              <w:rPr>
                <w:rFonts w:ascii="Times New Roman" w:eastAsia="Times New Roman" w:hAnsi="Times New Roman"/>
                <w:sz w:val="24"/>
                <w:szCs w:val="24"/>
              </w:rPr>
            </w:pPr>
          </w:p>
        </w:tc>
        <w:tc>
          <w:tcPr>
            <w:tcW w:w="1716" w:type="dxa"/>
          </w:tcPr>
          <w:p w:rsidR="000458AA" w:rsidRPr="00C11F00" w:rsidRDefault="000458AA" w:rsidP="00350B5F">
            <w:pPr>
              <w:pStyle w:val="NoSpacing"/>
              <w:rPr>
                <w:rFonts w:ascii="Times New Roman" w:eastAsia="Times New Roman" w:hAnsi="Times New Roman"/>
                <w:sz w:val="24"/>
                <w:szCs w:val="24"/>
              </w:rPr>
            </w:pPr>
          </w:p>
        </w:tc>
        <w:tc>
          <w:tcPr>
            <w:tcW w:w="1390" w:type="dxa"/>
          </w:tcPr>
          <w:p w:rsidR="000458AA" w:rsidRPr="00C11F00" w:rsidRDefault="000458AA" w:rsidP="00350B5F">
            <w:pPr>
              <w:pStyle w:val="NoSpacing"/>
              <w:rPr>
                <w:rFonts w:ascii="Times New Roman" w:eastAsia="Times New Roman" w:hAnsi="Times New Roman"/>
                <w:sz w:val="24"/>
                <w:szCs w:val="24"/>
              </w:rPr>
            </w:pPr>
          </w:p>
        </w:tc>
        <w:tc>
          <w:tcPr>
            <w:tcW w:w="1324" w:type="dxa"/>
          </w:tcPr>
          <w:p w:rsidR="000458AA"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1.000</w:t>
            </w:r>
          </w:p>
        </w:tc>
      </w:tr>
      <w:tr w:rsidR="00C11F00" w:rsidRPr="00C11F00" w:rsidTr="00C11F00">
        <w:tc>
          <w:tcPr>
            <w:tcW w:w="2808" w:type="dxa"/>
          </w:tcPr>
          <w:p w:rsidR="007D0310" w:rsidRPr="00C11F00" w:rsidRDefault="000458AA"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Yes</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68 (72)</w:t>
            </w:r>
          </w:p>
        </w:tc>
        <w:tc>
          <w:tcPr>
            <w:tcW w:w="1716"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35 (71)</w:t>
            </w:r>
          </w:p>
        </w:tc>
        <w:tc>
          <w:tcPr>
            <w:tcW w:w="1390"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33 (72)</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p>
        </w:tc>
      </w:tr>
      <w:tr w:rsidR="00C11F00" w:rsidRPr="00C11F00" w:rsidTr="00C11F00">
        <w:tc>
          <w:tcPr>
            <w:tcW w:w="2808" w:type="dxa"/>
          </w:tcPr>
          <w:p w:rsidR="007D0310" w:rsidRPr="00C11F00" w:rsidRDefault="000458AA"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No (s</w:t>
            </w:r>
            <w:r w:rsidR="007D0310" w:rsidRPr="00C11F00">
              <w:rPr>
                <w:rFonts w:ascii="Times New Roman" w:eastAsia="Times New Roman" w:hAnsi="Times New Roman"/>
                <w:sz w:val="24"/>
                <w:szCs w:val="24"/>
              </w:rPr>
              <w:t>traight to surgery</w:t>
            </w:r>
            <w:r w:rsidRPr="00C11F00">
              <w:rPr>
                <w:rFonts w:ascii="Times New Roman" w:eastAsia="Times New Roman" w:hAnsi="Times New Roman"/>
                <w:sz w:val="24"/>
                <w:szCs w:val="24"/>
              </w:rPr>
              <w:t>)</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27 (28)</w:t>
            </w:r>
          </w:p>
        </w:tc>
        <w:tc>
          <w:tcPr>
            <w:tcW w:w="1716"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14 (29)</w:t>
            </w:r>
          </w:p>
        </w:tc>
        <w:tc>
          <w:tcPr>
            <w:tcW w:w="1390"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13 (28)</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p>
        </w:tc>
      </w:tr>
      <w:tr w:rsidR="00C11F00" w:rsidRPr="00C11F00" w:rsidTr="00C11F00">
        <w:tc>
          <w:tcPr>
            <w:tcW w:w="2808" w:type="dxa"/>
          </w:tcPr>
          <w:p w:rsidR="007D0310" w:rsidRPr="00C11F00" w:rsidRDefault="000458AA" w:rsidP="00350B5F">
            <w:pPr>
              <w:pStyle w:val="NoSpacing"/>
              <w:rPr>
                <w:rFonts w:ascii="Times New Roman" w:eastAsia="Times New Roman" w:hAnsi="Times New Roman"/>
                <w:sz w:val="24"/>
                <w:szCs w:val="24"/>
              </w:rPr>
            </w:pPr>
            <w:r w:rsidRPr="00C11F00">
              <w:rPr>
                <w:rFonts w:ascii="Times New Roman" w:eastAsia="Times New Roman" w:hAnsi="Times New Roman"/>
                <w:sz w:val="24"/>
                <w:szCs w:val="24"/>
              </w:rPr>
              <w:t>MRI tumour category</w:t>
            </w:r>
            <w:r w:rsidR="0072502A" w:rsidRPr="00C11F00">
              <w:rPr>
                <w:rFonts w:ascii="Times New Roman" w:hAnsi="Times New Roman"/>
                <w:sz w:val="24"/>
                <w:szCs w:val="24"/>
              </w:rPr>
              <w:t>†</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p>
        </w:tc>
        <w:tc>
          <w:tcPr>
            <w:tcW w:w="1716" w:type="dxa"/>
          </w:tcPr>
          <w:p w:rsidR="007D0310" w:rsidRPr="00C11F00" w:rsidRDefault="007D0310" w:rsidP="00C11F00">
            <w:pPr>
              <w:pStyle w:val="NoSpacing"/>
              <w:jc w:val="center"/>
              <w:rPr>
                <w:rFonts w:ascii="Times New Roman" w:eastAsia="Times New Roman" w:hAnsi="Times New Roman"/>
                <w:sz w:val="24"/>
                <w:szCs w:val="24"/>
              </w:rPr>
            </w:pPr>
          </w:p>
        </w:tc>
        <w:tc>
          <w:tcPr>
            <w:tcW w:w="1390" w:type="dxa"/>
          </w:tcPr>
          <w:p w:rsidR="007D0310" w:rsidRPr="00C11F00" w:rsidRDefault="007D0310" w:rsidP="00C11F00">
            <w:pPr>
              <w:pStyle w:val="NoSpacing"/>
              <w:jc w:val="center"/>
              <w:rPr>
                <w:rFonts w:ascii="Times New Roman" w:eastAsia="Times New Roman" w:hAnsi="Times New Roman"/>
                <w:sz w:val="24"/>
                <w:szCs w:val="24"/>
              </w:rPr>
            </w:pPr>
          </w:p>
        </w:tc>
        <w:tc>
          <w:tcPr>
            <w:tcW w:w="132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0.088</w:t>
            </w: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T1</w:t>
            </w:r>
          </w:p>
        </w:tc>
        <w:tc>
          <w:tcPr>
            <w:tcW w:w="1284"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 (1</w:t>
            </w:r>
            <w:r w:rsidR="007D0310" w:rsidRPr="00C11F00">
              <w:rPr>
                <w:rFonts w:ascii="Times New Roman" w:eastAsia="Times New Roman" w:hAnsi="Times New Roman"/>
                <w:sz w:val="24"/>
                <w:szCs w:val="24"/>
              </w:rPr>
              <w:t>)</w:t>
            </w:r>
          </w:p>
        </w:tc>
        <w:tc>
          <w:tcPr>
            <w:tcW w:w="1716"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0 (0</w:t>
            </w:r>
            <w:r w:rsidR="007D0310" w:rsidRPr="00C11F00">
              <w:rPr>
                <w:rFonts w:ascii="Times New Roman" w:eastAsia="Times New Roman" w:hAnsi="Times New Roman"/>
                <w:sz w:val="24"/>
                <w:szCs w:val="24"/>
              </w:rPr>
              <w:t>)</w:t>
            </w:r>
          </w:p>
        </w:tc>
        <w:tc>
          <w:tcPr>
            <w:tcW w:w="1390"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 (2</w:t>
            </w:r>
            <w:r w:rsidR="007D0310" w:rsidRPr="00C11F00">
              <w:rPr>
                <w:rFonts w:ascii="Times New Roman" w:eastAsia="Times New Roman" w:hAnsi="Times New Roman"/>
                <w:sz w:val="24"/>
                <w:szCs w:val="24"/>
              </w:rPr>
              <w:t>)</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T2</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25 (26)</w:t>
            </w:r>
          </w:p>
        </w:tc>
        <w:tc>
          <w:tcPr>
            <w:tcW w:w="1716"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11 (2</w:t>
            </w:r>
            <w:r w:rsidR="008D19D3" w:rsidRPr="00C11F00">
              <w:rPr>
                <w:rFonts w:ascii="Times New Roman" w:eastAsia="Times New Roman" w:hAnsi="Times New Roman"/>
                <w:sz w:val="24"/>
                <w:szCs w:val="24"/>
              </w:rPr>
              <w:t>2</w:t>
            </w:r>
            <w:r w:rsidRPr="00C11F00">
              <w:rPr>
                <w:rFonts w:ascii="Times New Roman" w:eastAsia="Times New Roman" w:hAnsi="Times New Roman"/>
                <w:sz w:val="24"/>
                <w:szCs w:val="24"/>
              </w:rPr>
              <w:t>)</w:t>
            </w:r>
          </w:p>
        </w:tc>
        <w:tc>
          <w:tcPr>
            <w:tcW w:w="1390"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14 (30)</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T3</w:t>
            </w:r>
          </w:p>
        </w:tc>
        <w:tc>
          <w:tcPr>
            <w:tcW w:w="1284"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66 (69</w:t>
            </w:r>
            <w:r w:rsidR="007D0310" w:rsidRPr="00C11F00">
              <w:rPr>
                <w:rFonts w:ascii="Times New Roman" w:eastAsia="Times New Roman" w:hAnsi="Times New Roman"/>
                <w:sz w:val="24"/>
                <w:szCs w:val="24"/>
              </w:rPr>
              <w:t>)</w:t>
            </w:r>
          </w:p>
        </w:tc>
        <w:tc>
          <w:tcPr>
            <w:tcW w:w="1716"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38 (78)</w:t>
            </w:r>
          </w:p>
        </w:tc>
        <w:tc>
          <w:tcPr>
            <w:tcW w:w="1390"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28 (61)</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T4</w:t>
            </w:r>
          </w:p>
        </w:tc>
        <w:tc>
          <w:tcPr>
            <w:tcW w:w="1284"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3 (3</w:t>
            </w:r>
            <w:r w:rsidR="007D0310" w:rsidRPr="00C11F00">
              <w:rPr>
                <w:rFonts w:ascii="Times New Roman" w:eastAsia="Times New Roman" w:hAnsi="Times New Roman"/>
                <w:sz w:val="24"/>
                <w:szCs w:val="24"/>
              </w:rPr>
              <w:t>)</w:t>
            </w:r>
          </w:p>
        </w:tc>
        <w:tc>
          <w:tcPr>
            <w:tcW w:w="1716"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0 (0</w:t>
            </w:r>
            <w:r w:rsidR="007D0310" w:rsidRPr="00C11F00">
              <w:rPr>
                <w:rFonts w:ascii="Times New Roman" w:eastAsia="Times New Roman" w:hAnsi="Times New Roman"/>
                <w:sz w:val="24"/>
                <w:szCs w:val="24"/>
              </w:rPr>
              <w:t>)</w:t>
            </w:r>
          </w:p>
        </w:tc>
        <w:tc>
          <w:tcPr>
            <w:tcW w:w="1390"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3 (7</w:t>
            </w:r>
            <w:r w:rsidR="007D0310" w:rsidRPr="00C11F00">
              <w:rPr>
                <w:rFonts w:ascii="Times New Roman" w:eastAsia="Times New Roman" w:hAnsi="Times New Roman"/>
                <w:sz w:val="24"/>
                <w:szCs w:val="24"/>
              </w:rPr>
              <w:t>)</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p>
        </w:tc>
      </w:tr>
      <w:tr w:rsidR="00C11F00" w:rsidRPr="00C11F00" w:rsidTr="00C11F00">
        <w:tc>
          <w:tcPr>
            <w:tcW w:w="2808" w:type="dxa"/>
          </w:tcPr>
          <w:p w:rsidR="007D0310" w:rsidRPr="00C11F00" w:rsidRDefault="000458AA" w:rsidP="00350B5F">
            <w:pPr>
              <w:pStyle w:val="NoSpacing"/>
              <w:rPr>
                <w:rFonts w:ascii="Times New Roman" w:eastAsia="Times New Roman" w:hAnsi="Times New Roman"/>
                <w:sz w:val="24"/>
                <w:szCs w:val="24"/>
              </w:rPr>
            </w:pPr>
            <w:r w:rsidRPr="00C11F00">
              <w:rPr>
                <w:rFonts w:ascii="Times New Roman" w:eastAsia="Times New Roman" w:hAnsi="Times New Roman"/>
                <w:sz w:val="24"/>
                <w:szCs w:val="24"/>
              </w:rPr>
              <w:t>MRI node category</w:t>
            </w:r>
            <w:r w:rsidR="0072502A" w:rsidRPr="00C11F00">
              <w:rPr>
                <w:rFonts w:ascii="Times New Roman" w:hAnsi="Times New Roman"/>
                <w:sz w:val="24"/>
                <w:szCs w:val="24"/>
              </w:rPr>
              <w:t>†</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p>
        </w:tc>
        <w:tc>
          <w:tcPr>
            <w:tcW w:w="1716" w:type="dxa"/>
          </w:tcPr>
          <w:p w:rsidR="007D0310" w:rsidRPr="00C11F00" w:rsidRDefault="007D0310" w:rsidP="00C11F00">
            <w:pPr>
              <w:pStyle w:val="NoSpacing"/>
              <w:jc w:val="center"/>
              <w:rPr>
                <w:rFonts w:ascii="Times New Roman" w:eastAsia="Times New Roman" w:hAnsi="Times New Roman"/>
                <w:sz w:val="24"/>
                <w:szCs w:val="24"/>
              </w:rPr>
            </w:pPr>
          </w:p>
        </w:tc>
        <w:tc>
          <w:tcPr>
            <w:tcW w:w="1390" w:type="dxa"/>
          </w:tcPr>
          <w:p w:rsidR="007D0310" w:rsidRPr="00C11F00" w:rsidRDefault="007D0310" w:rsidP="00C11F00">
            <w:pPr>
              <w:pStyle w:val="NoSpacing"/>
              <w:jc w:val="center"/>
              <w:rPr>
                <w:rFonts w:ascii="Times New Roman" w:eastAsia="Times New Roman" w:hAnsi="Times New Roman"/>
                <w:sz w:val="24"/>
                <w:szCs w:val="24"/>
              </w:rPr>
            </w:pPr>
          </w:p>
        </w:tc>
        <w:tc>
          <w:tcPr>
            <w:tcW w:w="132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0.892</w:t>
            </w: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N0</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10 (11)</w:t>
            </w:r>
          </w:p>
        </w:tc>
        <w:tc>
          <w:tcPr>
            <w:tcW w:w="1716"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6 (12)</w:t>
            </w:r>
          </w:p>
        </w:tc>
        <w:tc>
          <w:tcPr>
            <w:tcW w:w="1390"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4 (9)</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p>
        </w:tc>
      </w:tr>
      <w:tr w:rsidR="00C11F00" w:rsidRPr="00C11F00" w:rsidTr="00C11F00">
        <w:tc>
          <w:tcPr>
            <w:tcW w:w="2808" w:type="dxa"/>
          </w:tcPr>
          <w:p w:rsidR="007D0310" w:rsidRPr="00C11F00" w:rsidRDefault="008D19D3"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 </w:t>
            </w:r>
            <w:r w:rsidR="007D0310" w:rsidRPr="00C11F00">
              <w:rPr>
                <w:rFonts w:ascii="Times New Roman" w:eastAsia="Times New Roman" w:hAnsi="Times New Roman"/>
                <w:sz w:val="24"/>
                <w:szCs w:val="24"/>
              </w:rPr>
              <w:t>N1</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85 (89)</w:t>
            </w:r>
          </w:p>
        </w:tc>
        <w:tc>
          <w:tcPr>
            <w:tcW w:w="1716"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43 (8</w:t>
            </w:r>
            <w:r w:rsidR="008D19D3" w:rsidRPr="00C11F00">
              <w:rPr>
                <w:rFonts w:ascii="Times New Roman" w:eastAsia="Times New Roman" w:hAnsi="Times New Roman"/>
                <w:sz w:val="24"/>
                <w:szCs w:val="24"/>
              </w:rPr>
              <w:t>8</w:t>
            </w:r>
            <w:r w:rsidRPr="00C11F00">
              <w:rPr>
                <w:rFonts w:ascii="Times New Roman" w:eastAsia="Times New Roman" w:hAnsi="Times New Roman"/>
                <w:sz w:val="24"/>
                <w:szCs w:val="24"/>
              </w:rPr>
              <w:t>)</w:t>
            </w:r>
          </w:p>
        </w:tc>
        <w:tc>
          <w:tcPr>
            <w:tcW w:w="1390"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42 (91)</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p>
        </w:tc>
      </w:tr>
      <w:tr w:rsidR="00C11F00" w:rsidRPr="00C11F00" w:rsidTr="00C11F00">
        <w:tc>
          <w:tcPr>
            <w:tcW w:w="2808" w:type="dxa"/>
          </w:tcPr>
          <w:p w:rsidR="007D0310" w:rsidRPr="00C11F00" w:rsidRDefault="007D0310" w:rsidP="00350B5F">
            <w:pPr>
              <w:pStyle w:val="NoSpacing"/>
              <w:rPr>
                <w:rFonts w:ascii="Times New Roman" w:eastAsia="Times New Roman" w:hAnsi="Times New Roman"/>
                <w:sz w:val="24"/>
                <w:szCs w:val="24"/>
              </w:rPr>
            </w:pPr>
            <w:r w:rsidRPr="00C11F00">
              <w:rPr>
                <w:rFonts w:ascii="Times New Roman" w:eastAsia="Times New Roman" w:hAnsi="Times New Roman"/>
                <w:sz w:val="24"/>
                <w:szCs w:val="24"/>
              </w:rPr>
              <w:t xml:space="preserve">Pathological </w:t>
            </w:r>
            <w:r w:rsidR="000458AA" w:rsidRPr="00C11F00">
              <w:rPr>
                <w:rFonts w:ascii="Times New Roman" w:eastAsia="Times New Roman" w:hAnsi="Times New Roman"/>
                <w:sz w:val="24"/>
                <w:szCs w:val="24"/>
              </w:rPr>
              <w:t>tumour category</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p>
        </w:tc>
        <w:tc>
          <w:tcPr>
            <w:tcW w:w="1716" w:type="dxa"/>
          </w:tcPr>
          <w:p w:rsidR="007D0310" w:rsidRPr="00C11F00" w:rsidRDefault="007D0310" w:rsidP="00C11F00">
            <w:pPr>
              <w:pStyle w:val="NoSpacing"/>
              <w:jc w:val="center"/>
              <w:rPr>
                <w:rFonts w:ascii="Times New Roman" w:eastAsia="Times New Roman" w:hAnsi="Times New Roman"/>
                <w:sz w:val="24"/>
                <w:szCs w:val="24"/>
              </w:rPr>
            </w:pPr>
          </w:p>
        </w:tc>
        <w:tc>
          <w:tcPr>
            <w:tcW w:w="1390" w:type="dxa"/>
          </w:tcPr>
          <w:p w:rsidR="007D0310" w:rsidRPr="00C11F00" w:rsidRDefault="007D0310" w:rsidP="00C11F00">
            <w:pPr>
              <w:pStyle w:val="NoSpacing"/>
              <w:jc w:val="center"/>
              <w:rPr>
                <w:rFonts w:ascii="Times New Roman" w:eastAsia="Times New Roman" w:hAnsi="Times New Roman"/>
                <w:sz w:val="24"/>
                <w:szCs w:val="24"/>
              </w:rPr>
            </w:pPr>
          </w:p>
        </w:tc>
        <w:tc>
          <w:tcPr>
            <w:tcW w:w="1324" w:type="dxa"/>
          </w:tcPr>
          <w:p w:rsidR="007D0310" w:rsidRPr="00C11F00" w:rsidRDefault="007D0310" w:rsidP="00C11F00">
            <w:pPr>
              <w:pStyle w:val="NoSpacing"/>
              <w:jc w:val="center"/>
              <w:rPr>
                <w:rFonts w:ascii="Times New Roman" w:eastAsia="Times New Roman" w:hAnsi="Times New Roman"/>
                <w:sz w:val="24"/>
                <w:szCs w:val="24"/>
                <w:lang w:val="en-GB"/>
              </w:rPr>
            </w:pPr>
            <w:r w:rsidRPr="00C11F00">
              <w:rPr>
                <w:rFonts w:ascii="Times New Roman" w:eastAsia="Times New Roman" w:hAnsi="Times New Roman"/>
                <w:sz w:val="24"/>
                <w:szCs w:val="24"/>
              </w:rPr>
              <w:t>0.325</w:t>
            </w: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T0</w:t>
            </w:r>
          </w:p>
        </w:tc>
        <w:tc>
          <w:tcPr>
            <w:tcW w:w="1284"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7 (7</w:t>
            </w:r>
            <w:r w:rsidR="007D0310" w:rsidRPr="00C11F00">
              <w:rPr>
                <w:rFonts w:ascii="Times New Roman" w:eastAsia="Times New Roman" w:hAnsi="Times New Roman"/>
                <w:sz w:val="24"/>
                <w:szCs w:val="24"/>
              </w:rPr>
              <w:t>)</w:t>
            </w:r>
          </w:p>
        </w:tc>
        <w:tc>
          <w:tcPr>
            <w:tcW w:w="1716"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4 (8</w:t>
            </w:r>
            <w:r w:rsidR="007D0310" w:rsidRPr="00C11F00">
              <w:rPr>
                <w:rFonts w:ascii="Times New Roman" w:eastAsia="Times New Roman" w:hAnsi="Times New Roman"/>
                <w:sz w:val="24"/>
                <w:szCs w:val="24"/>
              </w:rPr>
              <w:t>)</w:t>
            </w:r>
          </w:p>
        </w:tc>
        <w:tc>
          <w:tcPr>
            <w:tcW w:w="1390"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3 (7</w:t>
            </w:r>
            <w:r w:rsidR="007D0310" w:rsidRPr="00C11F00">
              <w:rPr>
                <w:rFonts w:ascii="Times New Roman" w:eastAsia="Times New Roman" w:hAnsi="Times New Roman"/>
                <w:sz w:val="24"/>
                <w:szCs w:val="24"/>
              </w:rPr>
              <w:t>)</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T1</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11 (12)</w:t>
            </w:r>
          </w:p>
        </w:tc>
        <w:tc>
          <w:tcPr>
            <w:tcW w:w="1716"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6 (12)</w:t>
            </w:r>
          </w:p>
        </w:tc>
        <w:tc>
          <w:tcPr>
            <w:tcW w:w="1390"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5 (11)</w:t>
            </w:r>
          </w:p>
        </w:tc>
        <w:tc>
          <w:tcPr>
            <w:tcW w:w="1324" w:type="dxa"/>
          </w:tcPr>
          <w:p w:rsidR="007D0310" w:rsidRPr="00C11F00" w:rsidRDefault="007D0310" w:rsidP="00C11F00">
            <w:pPr>
              <w:pStyle w:val="NoSpacing"/>
              <w:jc w:val="center"/>
              <w:rPr>
                <w:rFonts w:ascii="Times New Roman" w:eastAsia="Times New Roman" w:hAnsi="Times New Roman"/>
                <w:sz w:val="24"/>
                <w:szCs w:val="24"/>
                <w:lang w:val="en-GB"/>
              </w:rPr>
            </w:pP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T2</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23 (24)</w:t>
            </w:r>
          </w:p>
        </w:tc>
        <w:tc>
          <w:tcPr>
            <w:tcW w:w="1716"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11 (2</w:t>
            </w:r>
            <w:r w:rsidR="008D19D3" w:rsidRPr="00C11F00">
              <w:rPr>
                <w:rFonts w:ascii="Times New Roman" w:eastAsia="Times New Roman" w:hAnsi="Times New Roman"/>
                <w:sz w:val="24"/>
                <w:szCs w:val="24"/>
              </w:rPr>
              <w:t>2</w:t>
            </w:r>
            <w:r w:rsidRPr="00C11F00">
              <w:rPr>
                <w:rFonts w:ascii="Times New Roman" w:eastAsia="Times New Roman" w:hAnsi="Times New Roman"/>
                <w:sz w:val="24"/>
                <w:szCs w:val="24"/>
              </w:rPr>
              <w:t>)</w:t>
            </w:r>
          </w:p>
        </w:tc>
        <w:tc>
          <w:tcPr>
            <w:tcW w:w="1390"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12 (26)</w:t>
            </w:r>
          </w:p>
        </w:tc>
        <w:tc>
          <w:tcPr>
            <w:tcW w:w="1324" w:type="dxa"/>
          </w:tcPr>
          <w:p w:rsidR="007D0310" w:rsidRPr="00C11F00" w:rsidRDefault="007D0310" w:rsidP="00C11F00">
            <w:pPr>
              <w:pStyle w:val="NoSpacing"/>
              <w:jc w:val="center"/>
              <w:rPr>
                <w:rFonts w:ascii="Times New Roman" w:eastAsia="Times New Roman" w:hAnsi="Times New Roman"/>
                <w:sz w:val="24"/>
                <w:szCs w:val="24"/>
                <w:lang w:val="en-GB"/>
              </w:rPr>
            </w:pP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T3</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50 (53)</w:t>
            </w:r>
          </w:p>
        </w:tc>
        <w:tc>
          <w:tcPr>
            <w:tcW w:w="1716"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28 (57)</w:t>
            </w:r>
          </w:p>
        </w:tc>
        <w:tc>
          <w:tcPr>
            <w:tcW w:w="1390"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22 (48)</w:t>
            </w:r>
          </w:p>
        </w:tc>
        <w:tc>
          <w:tcPr>
            <w:tcW w:w="1324" w:type="dxa"/>
          </w:tcPr>
          <w:p w:rsidR="007D0310" w:rsidRPr="00C11F00" w:rsidRDefault="007D0310" w:rsidP="00C11F00">
            <w:pPr>
              <w:pStyle w:val="NoSpacing"/>
              <w:jc w:val="center"/>
              <w:rPr>
                <w:rFonts w:ascii="Times New Roman" w:eastAsia="Times New Roman" w:hAnsi="Times New Roman"/>
                <w:sz w:val="24"/>
                <w:szCs w:val="24"/>
                <w:lang w:val="en-GB"/>
              </w:rPr>
            </w:pP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T4</w:t>
            </w:r>
          </w:p>
        </w:tc>
        <w:tc>
          <w:tcPr>
            <w:tcW w:w="1284"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4 (4</w:t>
            </w:r>
            <w:r w:rsidR="007D0310" w:rsidRPr="00C11F00">
              <w:rPr>
                <w:rFonts w:ascii="Times New Roman" w:eastAsia="Times New Roman" w:hAnsi="Times New Roman"/>
                <w:sz w:val="24"/>
                <w:szCs w:val="24"/>
              </w:rPr>
              <w:t>)</w:t>
            </w:r>
          </w:p>
        </w:tc>
        <w:tc>
          <w:tcPr>
            <w:tcW w:w="1716"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0 (0</w:t>
            </w:r>
            <w:r w:rsidR="007D0310" w:rsidRPr="00C11F00">
              <w:rPr>
                <w:rFonts w:ascii="Times New Roman" w:eastAsia="Times New Roman" w:hAnsi="Times New Roman"/>
                <w:sz w:val="24"/>
                <w:szCs w:val="24"/>
              </w:rPr>
              <w:t>)</w:t>
            </w:r>
          </w:p>
        </w:tc>
        <w:tc>
          <w:tcPr>
            <w:tcW w:w="1390"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4 (9</w:t>
            </w:r>
            <w:r w:rsidR="007D0310" w:rsidRPr="00C11F00">
              <w:rPr>
                <w:rFonts w:ascii="Times New Roman" w:eastAsia="Times New Roman" w:hAnsi="Times New Roman"/>
                <w:sz w:val="24"/>
                <w:szCs w:val="24"/>
              </w:rPr>
              <w:t>)</w:t>
            </w:r>
          </w:p>
        </w:tc>
        <w:tc>
          <w:tcPr>
            <w:tcW w:w="1324" w:type="dxa"/>
          </w:tcPr>
          <w:p w:rsidR="007D0310" w:rsidRPr="00C11F00" w:rsidRDefault="007D0310" w:rsidP="00C11F00">
            <w:pPr>
              <w:pStyle w:val="NoSpacing"/>
              <w:jc w:val="center"/>
              <w:rPr>
                <w:rFonts w:ascii="Times New Roman" w:eastAsia="Times New Roman" w:hAnsi="Times New Roman"/>
                <w:sz w:val="24"/>
                <w:szCs w:val="24"/>
                <w:lang w:val="en-GB"/>
              </w:rPr>
            </w:pPr>
          </w:p>
        </w:tc>
      </w:tr>
      <w:tr w:rsidR="00C11F00" w:rsidRPr="00C11F00" w:rsidTr="00C11F00">
        <w:tc>
          <w:tcPr>
            <w:tcW w:w="2808" w:type="dxa"/>
          </w:tcPr>
          <w:p w:rsidR="007D0310" w:rsidRPr="00C11F00" w:rsidRDefault="007D0310" w:rsidP="00350B5F">
            <w:pPr>
              <w:pStyle w:val="NoSpacing"/>
              <w:rPr>
                <w:rFonts w:ascii="Times New Roman" w:eastAsia="Times New Roman" w:hAnsi="Times New Roman"/>
                <w:sz w:val="24"/>
                <w:szCs w:val="24"/>
              </w:rPr>
            </w:pPr>
            <w:r w:rsidRPr="00C11F00">
              <w:rPr>
                <w:rFonts w:ascii="Times New Roman" w:eastAsia="Times New Roman" w:hAnsi="Times New Roman"/>
                <w:sz w:val="24"/>
                <w:szCs w:val="24"/>
              </w:rPr>
              <w:t xml:space="preserve">Pathological </w:t>
            </w:r>
            <w:r w:rsidR="000458AA" w:rsidRPr="00C11F00">
              <w:rPr>
                <w:rFonts w:ascii="Times New Roman" w:eastAsia="Times New Roman" w:hAnsi="Times New Roman"/>
                <w:sz w:val="24"/>
                <w:szCs w:val="24"/>
              </w:rPr>
              <w:t>node category</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p>
        </w:tc>
        <w:tc>
          <w:tcPr>
            <w:tcW w:w="1716" w:type="dxa"/>
          </w:tcPr>
          <w:p w:rsidR="007D0310" w:rsidRPr="00C11F00" w:rsidRDefault="007D0310" w:rsidP="00C11F00">
            <w:pPr>
              <w:pStyle w:val="NoSpacing"/>
              <w:jc w:val="center"/>
              <w:rPr>
                <w:rFonts w:ascii="Times New Roman" w:eastAsia="Times New Roman" w:hAnsi="Times New Roman"/>
                <w:sz w:val="24"/>
                <w:szCs w:val="24"/>
              </w:rPr>
            </w:pPr>
          </w:p>
        </w:tc>
        <w:tc>
          <w:tcPr>
            <w:tcW w:w="1390" w:type="dxa"/>
          </w:tcPr>
          <w:p w:rsidR="007D0310" w:rsidRPr="00C11F00" w:rsidRDefault="007D0310" w:rsidP="00C11F00">
            <w:pPr>
              <w:pStyle w:val="NoSpacing"/>
              <w:jc w:val="center"/>
              <w:rPr>
                <w:rFonts w:ascii="Times New Roman" w:eastAsia="Times New Roman" w:hAnsi="Times New Roman"/>
                <w:sz w:val="24"/>
                <w:szCs w:val="24"/>
              </w:rPr>
            </w:pPr>
          </w:p>
        </w:tc>
        <w:tc>
          <w:tcPr>
            <w:tcW w:w="132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0.151</w:t>
            </w: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N0</w:t>
            </w:r>
          </w:p>
        </w:tc>
        <w:tc>
          <w:tcPr>
            <w:tcW w:w="1284"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55 (58</w:t>
            </w:r>
            <w:r w:rsidR="007D0310" w:rsidRPr="00C11F00">
              <w:rPr>
                <w:rFonts w:ascii="Times New Roman" w:eastAsia="Times New Roman" w:hAnsi="Times New Roman"/>
                <w:sz w:val="24"/>
                <w:szCs w:val="24"/>
              </w:rPr>
              <w:t>)</w:t>
            </w:r>
          </w:p>
        </w:tc>
        <w:tc>
          <w:tcPr>
            <w:tcW w:w="1716"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32 (65)</w:t>
            </w:r>
          </w:p>
        </w:tc>
        <w:tc>
          <w:tcPr>
            <w:tcW w:w="1390"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23</w:t>
            </w:r>
            <w:r w:rsidR="008D19D3" w:rsidRPr="00C11F00">
              <w:rPr>
                <w:rFonts w:ascii="Times New Roman" w:eastAsia="Times New Roman" w:hAnsi="Times New Roman"/>
                <w:sz w:val="24"/>
                <w:szCs w:val="24"/>
              </w:rPr>
              <w:t xml:space="preserve"> </w:t>
            </w:r>
            <w:r w:rsidRPr="00C11F00">
              <w:rPr>
                <w:rFonts w:ascii="Times New Roman" w:eastAsia="Times New Roman" w:hAnsi="Times New Roman"/>
                <w:sz w:val="24"/>
                <w:szCs w:val="24"/>
              </w:rPr>
              <w:t>(50)</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p>
        </w:tc>
      </w:tr>
      <w:tr w:rsidR="00C11F00" w:rsidRPr="00C11F00" w:rsidTr="00C11F00">
        <w:tc>
          <w:tcPr>
            <w:tcW w:w="2808" w:type="dxa"/>
          </w:tcPr>
          <w:p w:rsidR="007D0310" w:rsidRPr="00C11F00" w:rsidRDefault="008D19D3"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 </w:t>
            </w:r>
            <w:r w:rsidR="007D0310" w:rsidRPr="00C11F00">
              <w:rPr>
                <w:rFonts w:ascii="Times New Roman" w:eastAsia="Times New Roman" w:hAnsi="Times New Roman"/>
                <w:sz w:val="24"/>
                <w:szCs w:val="24"/>
              </w:rPr>
              <w:t>N1</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40 (42)</w:t>
            </w:r>
          </w:p>
        </w:tc>
        <w:tc>
          <w:tcPr>
            <w:tcW w:w="1716"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17 (35</w:t>
            </w:r>
            <w:r w:rsidR="007D0310" w:rsidRPr="00C11F00">
              <w:rPr>
                <w:rFonts w:ascii="Times New Roman" w:eastAsia="Times New Roman" w:hAnsi="Times New Roman"/>
                <w:sz w:val="24"/>
                <w:szCs w:val="24"/>
              </w:rPr>
              <w:t>)</w:t>
            </w:r>
          </w:p>
        </w:tc>
        <w:tc>
          <w:tcPr>
            <w:tcW w:w="1390"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23</w:t>
            </w:r>
            <w:r w:rsidR="008D19D3" w:rsidRPr="00C11F00">
              <w:rPr>
                <w:rFonts w:ascii="Times New Roman" w:eastAsia="Times New Roman" w:hAnsi="Times New Roman"/>
                <w:sz w:val="24"/>
                <w:szCs w:val="24"/>
              </w:rPr>
              <w:t xml:space="preserve"> </w:t>
            </w:r>
            <w:r w:rsidRPr="00C11F00">
              <w:rPr>
                <w:rFonts w:ascii="Times New Roman" w:eastAsia="Times New Roman" w:hAnsi="Times New Roman"/>
                <w:sz w:val="24"/>
                <w:szCs w:val="24"/>
              </w:rPr>
              <w:t>(50)</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p>
        </w:tc>
      </w:tr>
      <w:tr w:rsidR="00C11F00" w:rsidRPr="00C11F00" w:rsidTr="00C11F00">
        <w:tc>
          <w:tcPr>
            <w:tcW w:w="2808" w:type="dxa"/>
          </w:tcPr>
          <w:p w:rsidR="007D0310" w:rsidRPr="00C11F00" w:rsidRDefault="000458AA" w:rsidP="00350B5F">
            <w:pPr>
              <w:pStyle w:val="NoSpacing"/>
              <w:rPr>
                <w:rFonts w:ascii="Times New Roman" w:eastAsia="Times New Roman" w:hAnsi="Times New Roman"/>
                <w:sz w:val="24"/>
                <w:szCs w:val="24"/>
              </w:rPr>
            </w:pPr>
            <w:r w:rsidRPr="00C11F00">
              <w:rPr>
                <w:rFonts w:ascii="Times New Roman" w:eastAsia="Times New Roman" w:hAnsi="Times New Roman"/>
                <w:sz w:val="24"/>
                <w:szCs w:val="24"/>
              </w:rPr>
              <w:t>No. n</w:t>
            </w:r>
            <w:r w:rsidR="007D0310" w:rsidRPr="00C11F00">
              <w:rPr>
                <w:rFonts w:ascii="Times New Roman" w:eastAsia="Times New Roman" w:hAnsi="Times New Roman"/>
                <w:sz w:val="24"/>
                <w:szCs w:val="24"/>
              </w:rPr>
              <w:t>odes retrieved</w:t>
            </w:r>
            <w:r w:rsidR="0072502A" w:rsidRPr="00C11F00">
              <w:rPr>
                <w:rFonts w:ascii="Times New Roman" w:eastAsia="Times New Roman" w:hAnsi="Times New Roman"/>
                <w:sz w:val="24"/>
                <w:szCs w:val="24"/>
              </w:rPr>
              <w:t>*</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14 (10</w:t>
            </w:r>
            <w:r w:rsidR="008D19D3" w:rsidRPr="00C11F00">
              <w:rPr>
                <w:rFonts w:ascii="Times New Roman" w:eastAsia="Times New Roman" w:hAnsi="Times New Roman"/>
                <w:sz w:val="24"/>
                <w:szCs w:val="24"/>
              </w:rPr>
              <w:t>–</w:t>
            </w:r>
            <w:r w:rsidRPr="00C11F00">
              <w:rPr>
                <w:rFonts w:ascii="Times New Roman" w:eastAsia="Times New Roman" w:hAnsi="Times New Roman"/>
                <w:sz w:val="24"/>
                <w:szCs w:val="24"/>
              </w:rPr>
              <w:t>18)</w:t>
            </w:r>
          </w:p>
        </w:tc>
        <w:tc>
          <w:tcPr>
            <w:tcW w:w="1716"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12 (8–</w:t>
            </w:r>
            <w:r w:rsidR="007D0310" w:rsidRPr="00C11F00">
              <w:rPr>
                <w:rFonts w:ascii="Times New Roman" w:eastAsia="Times New Roman" w:hAnsi="Times New Roman"/>
                <w:sz w:val="24"/>
                <w:szCs w:val="24"/>
              </w:rPr>
              <w:t>17)</w:t>
            </w:r>
          </w:p>
        </w:tc>
        <w:tc>
          <w:tcPr>
            <w:tcW w:w="1390"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15 (11</w:t>
            </w:r>
            <w:r w:rsidR="008D19D3" w:rsidRPr="00C11F00">
              <w:rPr>
                <w:rFonts w:ascii="Times New Roman" w:eastAsia="Times New Roman" w:hAnsi="Times New Roman"/>
                <w:sz w:val="24"/>
                <w:szCs w:val="24"/>
              </w:rPr>
              <w:t>–</w:t>
            </w:r>
            <w:r w:rsidRPr="00C11F00">
              <w:rPr>
                <w:rFonts w:ascii="Times New Roman" w:eastAsia="Times New Roman" w:hAnsi="Times New Roman"/>
                <w:sz w:val="24"/>
                <w:szCs w:val="24"/>
              </w:rPr>
              <w:t>19)</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0.123</w:t>
            </w:r>
            <w:r w:rsidR="0072502A" w:rsidRPr="00C11F00">
              <w:rPr>
                <w:rFonts w:ascii="Times New Roman" w:hAnsi="Times New Roman"/>
                <w:sz w:val="24"/>
                <w:szCs w:val="24"/>
              </w:rPr>
              <w:t>§</w:t>
            </w:r>
          </w:p>
        </w:tc>
      </w:tr>
      <w:tr w:rsidR="00C11F00" w:rsidRPr="00C11F00" w:rsidTr="00C11F00">
        <w:tc>
          <w:tcPr>
            <w:tcW w:w="2808" w:type="dxa"/>
          </w:tcPr>
          <w:p w:rsidR="007D0310" w:rsidRPr="00C11F00" w:rsidRDefault="007D0310" w:rsidP="00350B5F">
            <w:pPr>
              <w:pStyle w:val="NoSpacing"/>
              <w:rPr>
                <w:rFonts w:ascii="Times New Roman" w:eastAsia="Times New Roman" w:hAnsi="Times New Roman"/>
                <w:sz w:val="24"/>
                <w:szCs w:val="24"/>
              </w:rPr>
            </w:pPr>
            <w:r w:rsidRPr="00C11F00">
              <w:rPr>
                <w:rFonts w:ascii="Times New Roman" w:eastAsia="Times New Roman" w:hAnsi="Times New Roman"/>
                <w:sz w:val="24"/>
                <w:szCs w:val="24"/>
              </w:rPr>
              <w:t>Resection margin</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p>
        </w:tc>
        <w:tc>
          <w:tcPr>
            <w:tcW w:w="1716" w:type="dxa"/>
          </w:tcPr>
          <w:p w:rsidR="007D0310" w:rsidRPr="00C11F00" w:rsidRDefault="007D0310" w:rsidP="00C11F00">
            <w:pPr>
              <w:pStyle w:val="NoSpacing"/>
              <w:jc w:val="center"/>
              <w:rPr>
                <w:rFonts w:ascii="Times New Roman" w:eastAsia="Times New Roman" w:hAnsi="Times New Roman"/>
                <w:sz w:val="24"/>
                <w:szCs w:val="24"/>
              </w:rPr>
            </w:pPr>
          </w:p>
        </w:tc>
        <w:tc>
          <w:tcPr>
            <w:tcW w:w="1390" w:type="dxa"/>
          </w:tcPr>
          <w:p w:rsidR="007D0310" w:rsidRPr="00C11F00" w:rsidRDefault="007D0310" w:rsidP="00C11F00">
            <w:pPr>
              <w:pStyle w:val="NoSpacing"/>
              <w:jc w:val="center"/>
              <w:rPr>
                <w:rFonts w:ascii="Times New Roman" w:eastAsia="Times New Roman" w:hAnsi="Times New Roman"/>
                <w:sz w:val="24"/>
                <w:szCs w:val="24"/>
              </w:rPr>
            </w:pPr>
          </w:p>
        </w:tc>
        <w:tc>
          <w:tcPr>
            <w:tcW w:w="1324" w:type="dxa"/>
          </w:tcPr>
          <w:p w:rsidR="007D0310" w:rsidRPr="00C11F00" w:rsidRDefault="007D0310" w:rsidP="00C11F00">
            <w:pPr>
              <w:pStyle w:val="NoSpacing"/>
              <w:jc w:val="center"/>
              <w:rPr>
                <w:rFonts w:ascii="Times New Roman" w:eastAsia="Times New Roman" w:hAnsi="Times New Roman"/>
                <w:sz w:val="24"/>
                <w:szCs w:val="24"/>
                <w:lang w:val="en-GB"/>
              </w:rPr>
            </w:pPr>
            <w:r w:rsidRPr="00C11F00">
              <w:rPr>
                <w:rFonts w:ascii="Times New Roman" w:eastAsia="Times New Roman" w:hAnsi="Times New Roman"/>
                <w:sz w:val="24"/>
                <w:szCs w:val="24"/>
              </w:rPr>
              <w:t>0.283</w:t>
            </w: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R0</w:t>
            </w:r>
          </w:p>
        </w:tc>
        <w:tc>
          <w:tcPr>
            <w:tcW w:w="1284"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84 (88</w:t>
            </w:r>
            <w:r w:rsidR="0072502A" w:rsidRPr="00C11F00">
              <w:rPr>
                <w:rFonts w:ascii="Times New Roman" w:eastAsia="Times New Roman" w:hAnsi="Times New Roman"/>
                <w:sz w:val="24"/>
                <w:szCs w:val="24"/>
              </w:rPr>
              <w:t>)</w:t>
            </w:r>
          </w:p>
        </w:tc>
        <w:tc>
          <w:tcPr>
            <w:tcW w:w="1716" w:type="dxa"/>
          </w:tcPr>
          <w:p w:rsidR="007D0310" w:rsidRPr="00C11F00" w:rsidRDefault="007D0310"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45 (92)</w:t>
            </w:r>
          </w:p>
        </w:tc>
        <w:tc>
          <w:tcPr>
            <w:tcW w:w="1390"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39 (85</w:t>
            </w:r>
            <w:r w:rsidR="007D0310" w:rsidRPr="00C11F00">
              <w:rPr>
                <w:rFonts w:ascii="Times New Roman" w:eastAsia="Times New Roman" w:hAnsi="Times New Roman"/>
                <w:sz w:val="24"/>
                <w:szCs w:val="24"/>
              </w:rPr>
              <w:t>)</w:t>
            </w:r>
          </w:p>
        </w:tc>
        <w:tc>
          <w:tcPr>
            <w:tcW w:w="1324" w:type="dxa"/>
          </w:tcPr>
          <w:p w:rsidR="007D0310" w:rsidRPr="00C11F00" w:rsidRDefault="007D0310" w:rsidP="00C11F00">
            <w:pPr>
              <w:pStyle w:val="NoSpacing"/>
              <w:jc w:val="center"/>
              <w:rPr>
                <w:rFonts w:ascii="Times New Roman" w:eastAsia="Times New Roman" w:hAnsi="Times New Roman"/>
                <w:sz w:val="24"/>
                <w:szCs w:val="24"/>
              </w:rPr>
            </w:pPr>
          </w:p>
        </w:tc>
      </w:tr>
      <w:tr w:rsidR="00C11F00" w:rsidRPr="00C11F00" w:rsidTr="00C11F00">
        <w:tc>
          <w:tcPr>
            <w:tcW w:w="2808" w:type="dxa"/>
          </w:tcPr>
          <w:p w:rsidR="007D0310" w:rsidRPr="00C11F00" w:rsidRDefault="007D0310" w:rsidP="00C11F00">
            <w:pPr>
              <w:pStyle w:val="NoSpacing"/>
              <w:ind w:left="360" w:hanging="180"/>
              <w:rPr>
                <w:rFonts w:ascii="Times New Roman" w:eastAsia="Times New Roman" w:hAnsi="Times New Roman"/>
                <w:sz w:val="24"/>
                <w:szCs w:val="24"/>
              </w:rPr>
            </w:pPr>
            <w:r w:rsidRPr="00C11F00">
              <w:rPr>
                <w:rFonts w:ascii="Times New Roman" w:eastAsia="Times New Roman" w:hAnsi="Times New Roman"/>
                <w:sz w:val="24"/>
                <w:szCs w:val="24"/>
              </w:rPr>
              <w:t>R1</w:t>
            </w:r>
          </w:p>
        </w:tc>
        <w:tc>
          <w:tcPr>
            <w:tcW w:w="1284"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11 (12</w:t>
            </w:r>
            <w:r w:rsidR="007D0310" w:rsidRPr="00C11F00">
              <w:rPr>
                <w:rFonts w:ascii="Times New Roman" w:eastAsia="Times New Roman" w:hAnsi="Times New Roman"/>
                <w:sz w:val="24"/>
                <w:szCs w:val="24"/>
              </w:rPr>
              <w:t>)</w:t>
            </w:r>
          </w:p>
        </w:tc>
        <w:tc>
          <w:tcPr>
            <w:tcW w:w="1716"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4 (8</w:t>
            </w:r>
            <w:r w:rsidR="007D0310" w:rsidRPr="00C11F00">
              <w:rPr>
                <w:rFonts w:ascii="Times New Roman" w:eastAsia="Times New Roman" w:hAnsi="Times New Roman"/>
                <w:sz w:val="24"/>
                <w:szCs w:val="24"/>
              </w:rPr>
              <w:t>)</w:t>
            </w:r>
          </w:p>
        </w:tc>
        <w:tc>
          <w:tcPr>
            <w:tcW w:w="1390" w:type="dxa"/>
          </w:tcPr>
          <w:p w:rsidR="007D0310" w:rsidRPr="00C11F00" w:rsidRDefault="008D19D3" w:rsidP="00C11F00">
            <w:pPr>
              <w:pStyle w:val="NoSpacing"/>
              <w:jc w:val="center"/>
              <w:rPr>
                <w:rFonts w:ascii="Times New Roman" w:eastAsia="Times New Roman" w:hAnsi="Times New Roman"/>
                <w:sz w:val="24"/>
                <w:szCs w:val="24"/>
              </w:rPr>
            </w:pPr>
            <w:r w:rsidRPr="00C11F00">
              <w:rPr>
                <w:rFonts w:ascii="Times New Roman" w:eastAsia="Times New Roman" w:hAnsi="Times New Roman"/>
                <w:sz w:val="24"/>
                <w:szCs w:val="24"/>
              </w:rPr>
              <w:t>7 (15</w:t>
            </w:r>
            <w:r w:rsidR="007D0310" w:rsidRPr="00C11F00">
              <w:rPr>
                <w:rFonts w:ascii="Times New Roman" w:eastAsia="Times New Roman" w:hAnsi="Times New Roman"/>
                <w:sz w:val="24"/>
                <w:szCs w:val="24"/>
              </w:rPr>
              <w:t>)</w:t>
            </w:r>
          </w:p>
        </w:tc>
        <w:tc>
          <w:tcPr>
            <w:tcW w:w="1324" w:type="dxa"/>
          </w:tcPr>
          <w:p w:rsidR="007D0310" w:rsidRPr="00C11F00" w:rsidRDefault="007D0310" w:rsidP="00C11F00">
            <w:pPr>
              <w:pStyle w:val="NoSpacing"/>
              <w:jc w:val="center"/>
              <w:rPr>
                <w:rFonts w:ascii="Times New Roman" w:eastAsia="Times New Roman" w:hAnsi="Times New Roman"/>
                <w:sz w:val="24"/>
                <w:szCs w:val="24"/>
                <w:lang w:val="en-GB"/>
              </w:rPr>
            </w:pPr>
          </w:p>
        </w:tc>
      </w:tr>
    </w:tbl>
    <w:p w:rsidR="0072502A" w:rsidRPr="00730F74" w:rsidRDefault="0072502A" w:rsidP="0072502A">
      <w:pPr>
        <w:pStyle w:val="NoSpacing1"/>
        <w:rPr>
          <w:rFonts w:ascii="Times New Roman" w:hAnsi="Times New Roman"/>
          <w:b/>
        </w:rPr>
      </w:pPr>
      <w:r w:rsidRPr="00730F74">
        <w:rPr>
          <w:rFonts w:ascii="Times New Roman" w:hAnsi="Times New Roman"/>
        </w:rPr>
        <w:t xml:space="preserve">Values in parentheses are percentages unless indicated otherwise; *values are </w:t>
      </w:r>
      <w:proofErr w:type="gramStart"/>
      <w:r w:rsidRPr="00730F74">
        <w:rPr>
          <w:rFonts w:ascii="Times New Roman" w:hAnsi="Times New Roman"/>
        </w:rPr>
        <w:t>median</w:t>
      </w:r>
      <w:proofErr w:type="gramEnd"/>
      <w:r w:rsidRPr="00730F74">
        <w:rPr>
          <w:rFonts w:ascii="Times New Roman" w:hAnsi="Times New Roman"/>
        </w:rPr>
        <w:t xml:space="preserve"> (</w:t>
      </w:r>
      <w:r w:rsidR="0078276D" w:rsidRPr="00730F74">
        <w:rPr>
          <w:rFonts w:ascii="Times New Roman" w:hAnsi="Times New Roman"/>
        </w:rPr>
        <w:t>i.q.r.</w:t>
      </w:r>
      <w:r w:rsidRPr="00730F74">
        <w:rPr>
          <w:rFonts w:ascii="Times New Roman" w:hAnsi="Times New Roman"/>
        </w:rPr>
        <w:t>).</w:t>
      </w:r>
      <w:r w:rsidRPr="00730F74">
        <w:rPr>
          <w:rFonts w:ascii="Times New Roman" w:hAnsi="Times New Roman"/>
          <w:lang w:val="en-US"/>
        </w:rPr>
        <w:t xml:space="preserve"> †</w:t>
      </w:r>
      <w:r w:rsidRPr="00730F74">
        <w:rPr>
          <w:rFonts w:ascii="Times New Roman" w:hAnsi="Times New Roman"/>
        </w:rPr>
        <w:t xml:space="preserve">Magnetic resonance imaging (MRI) classified according to International Union </w:t>
      </w:r>
      <w:proofErr w:type="gramStart"/>
      <w:r w:rsidRPr="00730F74">
        <w:rPr>
          <w:rFonts w:ascii="Times New Roman" w:hAnsi="Times New Roman"/>
        </w:rPr>
        <w:t>Against</w:t>
      </w:r>
      <w:proofErr w:type="gramEnd"/>
      <w:r w:rsidRPr="00730F74">
        <w:rPr>
          <w:rFonts w:ascii="Times New Roman" w:hAnsi="Times New Roman"/>
        </w:rPr>
        <w:t xml:space="preserve"> Cancer TNM Classification of Malignant Tumours, seventh edition</w:t>
      </w:r>
      <w:r w:rsidRPr="00730F74">
        <w:rPr>
          <w:rFonts w:ascii="Times New Roman" w:hAnsi="Times New Roman"/>
          <w:vertAlign w:val="superscript"/>
        </w:rPr>
        <w:t>24</w:t>
      </w:r>
      <w:r w:rsidRPr="00730F74">
        <w:rPr>
          <w:rFonts w:ascii="Times New Roman" w:hAnsi="Times New Roman"/>
        </w:rPr>
        <w:t xml:space="preserve">. </w:t>
      </w:r>
      <w:commentRangeStart w:id="14"/>
      <w:proofErr w:type="gramStart"/>
      <w:r w:rsidRPr="00730F74">
        <w:rPr>
          <w:rFonts w:ascii="Times New Roman" w:hAnsi="Times New Roman"/>
          <w:highlight w:val="yellow"/>
          <w:lang w:val="en-US"/>
        </w:rPr>
        <w:t>‡χ</w:t>
      </w:r>
      <w:r w:rsidRPr="00730F74">
        <w:rPr>
          <w:rFonts w:ascii="Times New Roman" w:hAnsi="Times New Roman"/>
          <w:highlight w:val="yellow"/>
          <w:vertAlign w:val="superscript"/>
          <w:lang w:val="en-US"/>
        </w:rPr>
        <w:t>2</w:t>
      </w:r>
      <w:r w:rsidRPr="00730F74">
        <w:rPr>
          <w:rFonts w:ascii="Times New Roman" w:hAnsi="Times New Roman"/>
          <w:highlight w:val="yellow"/>
          <w:lang w:val="en-US"/>
        </w:rPr>
        <w:t xml:space="preserve"> test, except §u</w:t>
      </w:r>
      <w:r w:rsidRPr="00730F74">
        <w:rPr>
          <w:rFonts w:ascii="Times New Roman" w:hAnsi="Times New Roman"/>
          <w:highlight w:val="yellow"/>
        </w:rPr>
        <w:t>nivariable logistic regression.</w:t>
      </w:r>
      <w:proofErr w:type="gramEnd"/>
      <w:r w:rsidRPr="00730F74">
        <w:rPr>
          <w:rFonts w:ascii="Times New Roman" w:hAnsi="Times New Roman"/>
          <w:b/>
        </w:rPr>
        <w:t xml:space="preserve"> </w:t>
      </w:r>
      <w:commentRangeEnd w:id="14"/>
      <w:r w:rsidRPr="00730F74">
        <w:rPr>
          <w:rStyle w:val="CommentReference"/>
          <w:rFonts w:ascii="Times New Roman" w:hAnsi="Times New Roman"/>
          <w:vanish/>
          <w:lang/>
        </w:rPr>
        <w:commentReference w:id="14"/>
      </w:r>
    </w:p>
    <w:p w:rsidR="009937D1" w:rsidRPr="00730F74" w:rsidRDefault="001860CD" w:rsidP="001860CD">
      <w:pPr>
        <w:spacing w:line="240" w:lineRule="auto"/>
      </w:pPr>
      <w:r w:rsidRPr="00730F74">
        <w:br w:type="page"/>
      </w:r>
      <w:r w:rsidR="0078276D" w:rsidRPr="00730F74">
        <w:rPr>
          <w:b/>
        </w:rPr>
        <w:lastRenderedPageBreak/>
        <w:t>Table </w:t>
      </w:r>
      <w:r w:rsidRPr="00730F74">
        <w:rPr>
          <w:b/>
        </w:rPr>
        <w:t xml:space="preserve">3 </w:t>
      </w:r>
      <w:r w:rsidRPr="00730F74">
        <w:t>Cardiopulmonary exercise testing variables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7"/>
        <w:gridCol w:w="1589"/>
        <w:gridCol w:w="1608"/>
        <w:gridCol w:w="1616"/>
        <w:gridCol w:w="1072"/>
      </w:tblGrid>
      <w:tr w:rsidR="00C11F00" w:rsidRPr="00C11F00" w:rsidTr="00C11F00">
        <w:tc>
          <w:tcPr>
            <w:tcW w:w="1565" w:type="pct"/>
          </w:tcPr>
          <w:p w:rsidR="001860CD" w:rsidRPr="00C11F00" w:rsidRDefault="001860CD" w:rsidP="00C11F00">
            <w:pPr>
              <w:pStyle w:val="NoSpacing1"/>
              <w:jc w:val="both"/>
              <w:rPr>
                <w:rFonts w:ascii="Times New Roman" w:hAnsi="Times New Roman"/>
                <w:lang w:val="en-US"/>
              </w:rPr>
            </w:pPr>
          </w:p>
        </w:tc>
        <w:tc>
          <w:tcPr>
            <w:tcW w:w="950" w:type="pct"/>
            <w:vAlign w:val="bottom"/>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Total</w:t>
            </w:r>
          </w:p>
        </w:tc>
        <w:tc>
          <w:tcPr>
            <w:tcW w:w="961" w:type="pct"/>
            <w:vAlign w:val="bottom"/>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No morbidity</w:t>
            </w:r>
          </w:p>
        </w:tc>
        <w:tc>
          <w:tcPr>
            <w:tcW w:w="965" w:type="pct"/>
            <w:vAlign w:val="bottom"/>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Morbidity</w:t>
            </w:r>
          </w:p>
        </w:tc>
        <w:tc>
          <w:tcPr>
            <w:tcW w:w="559" w:type="pct"/>
            <w:vAlign w:val="bottom"/>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i/>
                <w:lang w:val="en-US"/>
              </w:rPr>
              <w:t>P</w:t>
            </w:r>
            <w:r w:rsidR="00094E87" w:rsidRPr="00C11F00">
              <w:rPr>
                <w:rFonts w:ascii="Times New Roman" w:hAnsi="Times New Roman"/>
                <w:lang w:val="en-US"/>
              </w:rPr>
              <w:t>†</w:t>
            </w:r>
          </w:p>
        </w:tc>
      </w:tr>
      <w:tr w:rsidR="00C11F00" w:rsidRPr="00C11F00" w:rsidTr="00C11F00">
        <w:tc>
          <w:tcPr>
            <w:tcW w:w="1565" w:type="pct"/>
          </w:tcPr>
          <w:p w:rsidR="001860CD" w:rsidRPr="00C11F00" w:rsidRDefault="00F262EE" w:rsidP="00C11F00">
            <w:pPr>
              <w:pStyle w:val="NoSpacing1"/>
              <w:ind w:left="180" w:hanging="180"/>
              <w:rPr>
                <w:rFonts w:ascii="Times New Roman" w:hAnsi="Times New Roman"/>
                <w:lang w:val="en-US"/>
              </w:rPr>
            </w:pPr>
            <w:r w:rsidRPr="00C11F00">
              <w:rPr>
                <w:position w:val="-6"/>
              </w:rPr>
              <w:object w:dxaOrig="220" w:dyaOrig="300">
                <v:shape id="_x0000_i1119" type="#_x0000_t75" style="width:8.6pt;height:16.1pt" o:ole="">
                  <v:imagedata r:id="rId24" o:title=""/>
                </v:shape>
                <o:OLEObject Type="Embed" ProgID="Equation.3" ShapeID="_x0000_i1119" DrawAspect="Content" ObjectID="_1460191809" r:id="rId94"/>
              </w:object>
            </w:r>
            <w:r w:rsidRPr="00C11F00">
              <w:rPr>
                <w:smallCaps/>
              </w:rPr>
              <w:t>o</w:t>
            </w:r>
            <w:r w:rsidRPr="00C11F00">
              <w:rPr>
                <w:vertAlign w:val="subscript"/>
              </w:rPr>
              <w:t>2</w:t>
            </w:r>
            <w:r w:rsidR="001860CD" w:rsidRPr="00C11F00">
              <w:rPr>
                <w:rFonts w:ascii="Times New Roman" w:eastAsia="JansonText-Roman" w:hAnsi="Times New Roman"/>
                <w:lang w:val="en-US"/>
              </w:rPr>
              <w:t xml:space="preserve"> at</w:t>
            </w:r>
            <w:r w:rsidR="0078276D" w:rsidRPr="00C11F00">
              <w:rPr>
                <w:rFonts w:ascii="Times New Roman" w:eastAsia="JansonText-Roman" w:hAnsi="Times New Roman"/>
                <w:lang w:val="en-US"/>
              </w:rPr>
              <w:t xml:space="preserve"> </w:t>
            </w:r>
            <w:r w:rsidR="0078276D" w:rsidRPr="00C11F00">
              <w:rPr>
                <w:rFonts w:ascii="Times New Roman" w:hAnsi="Times New Roman"/>
                <w:position w:val="-6"/>
              </w:rPr>
              <w:object w:dxaOrig="180" w:dyaOrig="320">
                <v:shape id="_x0000_i1118" type="#_x0000_t75" style="width:8.05pt;height:15.05pt" o:ole="">
                  <v:imagedata r:id="rId49" o:title=""/>
                </v:shape>
                <o:OLEObject Type="Embed" ProgID="Equation.3" ShapeID="_x0000_i1118" DrawAspect="Content" ObjectID="_1460191810" r:id="rId95"/>
              </w:object>
            </w:r>
            <w:r w:rsidR="0078276D" w:rsidRPr="00C11F00">
              <w:rPr>
                <w:rFonts w:ascii="Times New Roman" w:hAnsi="Times New Roman"/>
                <w:vertAlign w:val="subscript"/>
              </w:rPr>
              <w:t>L</w:t>
            </w:r>
            <w:r w:rsidR="001860CD" w:rsidRPr="00C11F00">
              <w:rPr>
                <w:rFonts w:ascii="Times New Roman" w:eastAsia="JansonText-Roman" w:hAnsi="Times New Roman"/>
                <w:lang w:val="en-US"/>
              </w:rPr>
              <w:t xml:space="preserve"> (ml</w:t>
            </w:r>
            <w:r w:rsidR="0078276D" w:rsidRPr="00C11F00">
              <w:rPr>
                <w:rFonts w:ascii="Times New Roman" w:eastAsia="JansonText-Roman" w:hAnsi="Times New Roman"/>
                <w:lang w:val="en-US"/>
              </w:rPr>
              <w:t xml:space="preserve"> per </w:t>
            </w:r>
            <w:r w:rsidR="001860CD" w:rsidRPr="00C11F00">
              <w:rPr>
                <w:rFonts w:ascii="Times New Roman" w:eastAsia="JansonText-Roman" w:hAnsi="Times New Roman"/>
                <w:lang w:val="en-US"/>
              </w:rPr>
              <w:t>kg</w:t>
            </w:r>
            <w:r w:rsidR="0078276D" w:rsidRPr="00C11F00">
              <w:rPr>
                <w:rFonts w:ascii="Times New Roman" w:eastAsia="JansonText-Roman" w:hAnsi="Times New Roman"/>
                <w:lang w:val="en-US"/>
              </w:rPr>
              <w:t xml:space="preserve"> per </w:t>
            </w:r>
            <w:r w:rsidR="001860CD" w:rsidRPr="00C11F00">
              <w:rPr>
                <w:rFonts w:ascii="Times New Roman" w:eastAsia="JansonText-Roman" w:hAnsi="Times New Roman"/>
                <w:lang w:val="en-US"/>
              </w:rPr>
              <w:t>min</w:t>
            </w:r>
            <w:r w:rsidR="001860CD" w:rsidRPr="00C11F00">
              <w:rPr>
                <w:rFonts w:ascii="Times New Roman" w:hAnsi="Times New Roman"/>
                <w:lang w:val="en-US"/>
              </w:rPr>
              <w:t>)</w:t>
            </w:r>
          </w:p>
        </w:tc>
        <w:tc>
          <w:tcPr>
            <w:tcW w:w="950"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11.2 (9.4</w:t>
            </w:r>
            <w:r w:rsidR="0078276D" w:rsidRPr="00C11F00">
              <w:rPr>
                <w:rFonts w:ascii="Times New Roman" w:hAnsi="Times New Roman"/>
                <w:lang w:val="en-US"/>
              </w:rPr>
              <w:t>–</w:t>
            </w:r>
            <w:r w:rsidRPr="00C11F00">
              <w:rPr>
                <w:rFonts w:ascii="Times New Roman" w:hAnsi="Times New Roman"/>
                <w:lang w:val="en-US"/>
              </w:rPr>
              <w:t>13.4)</w:t>
            </w:r>
          </w:p>
        </w:tc>
        <w:tc>
          <w:tcPr>
            <w:tcW w:w="961"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12.7 (11.7</w:t>
            </w:r>
            <w:r w:rsidR="0078276D" w:rsidRPr="00C11F00">
              <w:rPr>
                <w:rFonts w:ascii="Times New Roman" w:hAnsi="Times New Roman"/>
                <w:lang w:val="en-US"/>
              </w:rPr>
              <w:t>–</w:t>
            </w:r>
            <w:r w:rsidRPr="00C11F00">
              <w:rPr>
                <w:rFonts w:ascii="Times New Roman" w:hAnsi="Times New Roman"/>
                <w:lang w:val="en-US"/>
              </w:rPr>
              <w:t>14.4)</w:t>
            </w:r>
          </w:p>
        </w:tc>
        <w:tc>
          <w:tcPr>
            <w:tcW w:w="965"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9.4 (8.6</w:t>
            </w:r>
            <w:r w:rsidR="0078276D" w:rsidRPr="00C11F00">
              <w:rPr>
                <w:rFonts w:ascii="Times New Roman" w:hAnsi="Times New Roman"/>
                <w:lang w:val="en-US"/>
              </w:rPr>
              <w:t>–</w:t>
            </w:r>
            <w:r w:rsidRPr="00C11F00">
              <w:rPr>
                <w:rFonts w:ascii="Times New Roman" w:hAnsi="Times New Roman"/>
                <w:lang w:val="en-US"/>
              </w:rPr>
              <w:t>10.5)</w:t>
            </w:r>
          </w:p>
        </w:tc>
        <w:tc>
          <w:tcPr>
            <w:tcW w:w="559"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&lt;</w:t>
            </w:r>
            <w:r w:rsidR="0078276D" w:rsidRPr="00C11F00">
              <w:rPr>
                <w:rFonts w:ascii="Times New Roman" w:hAnsi="Times New Roman"/>
                <w:lang w:val="en-US"/>
              </w:rPr>
              <w:t> </w:t>
            </w:r>
            <w:r w:rsidRPr="00C11F00">
              <w:rPr>
                <w:rFonts w:ascii="Times New Roman" w:hAnsi="Times New Roman"/>
                <w:lang w:val="en-US"/>
              </w:rPr>
              <w:t>0.001</w:t>
            </w:r>
          </w:p>
        </w:tc>
      </w:tr>
      <w:tr w:rsidR="00C11F00" w:rsidRPr="00C11F00" w:rsidTr="00C11F00">
        <w:tc>
          <w:tcPr>
            <w:tcW w:w="1565" w:type="pct"/>
          </w:tcPr>
          <w:p w:rsidR="001860CD" w:rsidRPr="00C11F00" w:rsidRDefault="0078276D" w:rsidP="00C11F00">
            <w:pPr>
              <w:pStyle w:val="NoSpacing1"/>
              <w:ind w:left="180" w:hanging="180"/>
              <w:rPr>
                <w:rFonts w:ascii="Times New Roman" w:hAnsi="Times New Roman"/>
                <w:lang w:val="en-US"/>
              </w:rPr>
            </w:pPr>
            <w:r w:rsidRPr="00C11F00">
              <w:rPr>
                <w:rFonts w:ascii="Times New Roman" w:hAnsi="Times New Roman"/>
              </w:rPr>
              <w:t xml:space="preserve">Peak </w:t>
            </w:r>
            <w:r w:rsidRPr="00C11F00">
              <w:rPr>
                <w:rFonts w:ascii="Times New Roman" w:hAnsi="Times New Roman"/>
                <w:position w:val="-6"/>
              </w:rPr>
              <w:object w:dxaOrig="220" w:dyaOrig="300">
                <v:shape id="_x0000_i1066" type="#_x0000_t75" style="width:11.3pt;height:15.6pt" o:ole="">
                  <v:imagedata r:id="rId24" o:title=""/>
                </v:shape>
                <o:OLEObject Type="Embed" ProgID="Equation.3" ShapeID="_x0000_i1066" DrawAspect="Content" ObjectID="_1460191811" r:id="rId96"/>
              </w:object>
            </w:r>
            <w:r w:rsidRPr="00C11F00">
              <w:rPr>
                <w:rFonts w:ascii="Times New Roman" w:hAnsi="Times New Roman"/>
                <w:smallCaps/>
              </w:rPr>
              <w:t>o</w:t>
            </w:r>
            <w:r w:rsidRPr="00C11F00">
              <w:rPr>
                <w:rFonts w:ascii="Times New Roman" w:hAnsi="Times New Roman"/>
                <w:vertAlign w:val="subscript"/>
              </w:rPr>
              <w:t>2</w:t>
            </w:r>
            <w:r w:rsidR="001860CD" w:rsidRPr="00C11F00">
              <w:rPr>
                <w:rFonts w:ascii="Times New Roman" w:hAnsi="Times New Roman"/>
                <w:lang w:val="en-US"/>
              </w:rPr>
              <w:t xml:space="preserve"> (ml</w:t>
            </w:r>
            <w:r w:rsidRPr="00C11F00">
              <w:rPr>
                <w:rFonts w:ascii="Times New Roman" w:hAnsi="Times New Roman"/>
                <w:lang w:val="en-US"/>
              </w:rPr>
              <w:t xml:space="preserve"> per </w:t>
            </w:r>
            <w:r w:rsidR="001860CD" w:rsidRPr="00C11F00">
              <w:rPr>
                <w:rFonts w:ascii="Times New Roman" w:hAnsi="Times New Roman"/>
                <w:lang w:val="en-US"/>
              </w:rPr>
              <w:t>kg</w:t>
            </w:r>
            <w:r w:rsidRPr="00C11F00">
              <w:rPr>
                <w:rFonts w:ascii="Times New Roman" w:hAnsi="Times New Roman"/>
                <w:lang w:val="en-US"/>
              </w:rPr>
              <w:t xml:space="preserve"> per </w:t>
            </w:r>
            <w:r w:rsidR="001860CD" w:rsidRPr="00C11F00">
              <w:rPr>
                <w:rFonts w:ascii="Times New Roman" w:hAnsi="Times New Roman"/>
                <w:lang w:val="en-US"/>
              </w:rPr>
              <w:t>min)</w:t>
            </w:r>
            <w:r w:rsidRPr="00C11F00">
              <w:rPr>
                <w:rFonts w:ascii="Times New Roman" w:hAnsi="Times New Roman"/>
                <w:lang w:val="en-US"/>
              </w:rPr>
              <w:t>*</w:t>
            </w:r>
          </w:p>
        </w:tc>
        <w:tc>
          <w:tcPr>
            <w:tcW w:w="950" w:type="pct"/>
          </w:tcPr>
          <w:p w:rsidR="001860CD" w:rsidRPr="00C11F00" w:rsidRDefault="0078276D" w:rsidP="00C11F00">
            <w:pPr>
              <w:pStyle w:val="NoSpacing1"/>
              <w:jc w:val="center"/>
              <w:rPr>
                <w:rFonts w:ascii="Times New Roman" w:hAnsi="Times New Roman"/>
                <w:lang w:val="en-US"/>
              </w:rPr>
            </w:pPr>
            <w:r w:rsidRPr="00C11F00">
              <w:rPr>
                <w:rFonts w:ascii="Times New Roman" w:hAnsi="Times New Roman"/>
                <w:lang w:val="en-US"/>
              </w:rPr>
              <w:t>18.9</w:t>
            </w:r>
            <w:r w:rsidR="001860CD" w:rsidRPr="00C11F00">
              <w:rPr>
                <w:rFonts w:ascii="Times New Roman" w:hAnsi="Times New Roman"/>
                <w:lang w:val="en-US"/>
              </w:rPr>
              <w:t>(5.8)</w:t>
            </w:r>
          </w:p>
        </w:tc>
        <w:tc>
          <w:tcPr>
            <w:tcW w:w="961"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21.8(4.0)</w:t>
            </w:r>
          </w:p>
        </w:tc>
        <w:tc>
          <w:tcPr>
            <w:tcW w:w="965"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15.8(5.9)</w:t>
            </w:r>
          </w:p>
        </w:tc>
        <w:tc>
          <w:tcPr>
            <w:tcW w:w="559"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&lt;</w:t>
            </w:r>
            <w:r w:rsidR="0078276D" w:rsidRPr="00C11F00">
              <w:rPr>
                <w:rFonts w:ascii="Times New Roman" w:hAnsi="Times New Roman"/>
                <w:lang w:val="en-US"/>
              </w:rPr>
              <w:t> </w:t>
            </w:r>
            <w:r w:rsidRPr="00C11F00">
              <w:rPr>
                <w:rFonts w:ascii="Times New Roman" w:hAnsi="Times New Roman"/>
                <w:lang w:val="en-US"/>
              </w:rPr>
              <w:t>0.001</w:t>
            </w:r>
            <w:r w:rsidR="00094E87" w:rsidRPr="00C11F00">
              <w:rPr>
                <w:rFonts w:ascii="Times New Roman" w:hAnsi="Times New Roman"/>
                <w:lang w:val="en-US"/>
              </w:rPr>
              <w:t>‡</w:t>
            </w:r>
          </w:p>
        </w:tc>
      </w:tr>
      <w:tr w:rsidR="00C11F00" w:rsidRPr="00C11F00" w:rsidTr="00C11F00">
        <w:tc>
          <w:tcPr>
            <w:tcW w:w="1565" w:type="pct"/>
          </w:tcPr>
          <w:p w:rsidR="001860CD" w:rsidRPr="00C11F00" w:rsidRDefault="001860CD" w:rsidP="00C11F00">
            <w:pPr>
              <w:pStyle w:val="NoSpacing1"/>
              <w:ind w:left="180" w:hanging="180"/>
              <w:rPr>
                <w:rFonts w:ascii="Times New Roman" w:hAnsi="Times New Roman"/>
                <w:lang w:val="en-US"/>
              </w:rPr>
            </w:pPr>
            <w:r w:rsidRPr="00C11F00">
              <w:rPr>
                <w:rFonts w:ascii="Times New Roman" w:hAnsi="Times New Roman"/>
                <w:lang w:val="en-US"/>
              </w:rPr>
              <w:t>O</w:t>
            </w:r>
            <w:r w:rsidR="0078276D" w:rsidRPr="00C11F00">
              <w:rPr>
                <w:rFonts w:ascii="Times New Roman" w:hAnsi="Times New Roman"/>
                <w:lang w:val="en-US"/>
              </w:rPr>
              <w:t>xygen p</w:t>
            </w:r>
            <w:r w:rsidRPr="00C11F00">
              <w:rPr>
                <w:rFonts w:ascii="Times New Roman" w:hAnsi="Times New Roman"/>
                <w:lang w:val="en-US"/>
              </w:rPr>
              <w:t>ulse at</w:t>
            </w:r>
            <w:r w:rsidR="0078276D" w:rsidRPr="00C11F00">
              <w:rPr>
                <w:rFonts w:ascii="Times New Roman" w:hAnsi="Times New Roman"/>
                <w:lang w:val="en-US"/>
              </w:rPr>
              <w:t xml:space="preserve"> </w:t>
            </w:r>
            <w:r w:rsidR="0078276D" w:rsidRPr="00C11F00">
              <w:rPr>
                <w:rFonts w:ascii="Times New Roman" w:hAnsi="Times New Roman"/>
                <w:position w:val="-6"/>
              </w:rPr>
              <w:object w:dxaOrig="180" w:dyaOrig="320">
                <v:shape id="_x0000_i1067" type="#_x0000_t75" style="width:8.05pt;height:15.05pt" o:ole="">
                  <v:imagedata r:id="rId49" o:title=""/>
                </v:shape>
                <o:OLEObject Type="Embed" ProgID="Equation.3" ShapeID="_x0000_i1067" DrawAspect="Content" ObjectID="_1460191812" r:id="rId97"/>
              </w:object>
            </w:r>
            <w:r w:rsidR="0078276D" w:rsidRPr="00C11F00">
              <w:rPr>
                <w:rFonts w:ascii="Times New Roman" w:hAnsi="Times New Roman"/>
                <w:vertAlign w:val="subscript"/>
              </w:rPr>
              <w:t>L</w:t>
            </w:r>
            <w:r w:rsidRPr="00C11F00">
              <w:rPr>
                <w:rFonts w:ascii="Times New Roman" w:hAnsi="Times New Roman"/>
                <w:vertAlign w:val="subscript"/>
                <w:lang w:val="en-US"/>
              </w:rPr>
              <w:t xml:space="preserve"> </w:t>
            </w:r>
            <w:r w:rsidRPr="00C11F00">
              <w:rPr>
                <w:rFonts w:ascii="Times New Roman" w:hAnsi="Times New Roman"/>
                <w:lang w:val="en-US"/>
              </w:rPr>
              <w:t>(ml</w:t>
            </w:r>
            <w:r w:rsidR="0078276D" w:rsidRPr="00C11F00">
              <w:rPr>
                <w:rFonts w:ascii="Times New Roman" w:hAnsi="Times New Roman"/>
                <w:lang w:val="en-US"/>
              </w:rPr>
              <w:t>/</w:t>
            </w:r>
            <w:r w:rsidRPr="00C11F00">
              <w:rPr>
                <w:rFonts w:ascii="Times New Roman" w:hAnsi="Times New Roman"/>
                <w:lang w:val="en-US"/>
              </w:rPr>
              <w:t>beat)</w:t>
            </w:r>
          </w:p>
        </w:tc>
        <w:tc>
          <w:tcPr>
            <w:tcW w:w="950"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9.1 (7.3</w:t>
            </w:r>
            <w:r w:rsidR="0078276D" w:rsidRPr="00C11F00">
              <w:rPr>
                <w:rFonts w:ascii="Times New Roman" w:hAnsi="Times New Roman"/>
                <w:lang w:val="en-US"/>
              </w:rPr>
              <w:t>–</w:t>
            </w:r>
            <w:r w:rsidRPr="00C11F00">
              <w:rPr>
                <w:rFonts w:ascii="Times New Roman" w:hAnsi="Times New Roman"/>
                <w:lang w:val="en-US"/>
              </w:rPr>
              <w:t>10.3)</w:t>
            </w:r>
          </w:p>
        </w:tc>
        <w:tc>
          <w:tcPr>
            <w:tcW w:w="961"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9.4 (8.3</w:t>
            </w:r>
            <w:r w:rsidR="0078276D" w:rsidRPr="00C11F00">
              <w:rPr>
                <w:rFonts w:ascii="Times New Roman" w:hAnsi="Times New Roman"/>
                <w:lang w:val="en-US"/>
              </w:rPr>
              <w:t>–</w:t>
            </w:r>
            <w:r w:rsidRPr="00C11F00">
              <w:rPr>
                <w:rFonts w:ascii="Times New Roman" w:hAnsi="Times New Roman"/>
                <w:lang w:val="en-US"/>
              </w:rPr>
              <w:t>10.7)</w:t>
            </w:r>
          </w:p>
        </w:tc>
        <w:tc>
          <w:tcPr>
            <w:tcW w:w="965"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8.0 (5.9</w:t>
            </w:r>
            <w:r w:rsidR="0078276D" w:rsidRPr="00C11F00">
              <w:rPr>
                <w:rFonts w:ascii="Times New Roman" w:hAnsi="Times New Roman"/>
                <w:lang w:val="en-US"/>
              </w:rPr>
              <w:t>–</w:t>
            </w:r>
            <w:r w:rsidRPr="00C11F00">
              <w:rPr>
                <w:rFonts w:ascii="Times New Roman" w:hAnsi="Times New Roman"/>
                <w:lang w:val="en-US"/>
              </w:rPr>
              <w:t>9.7)</w:t>
            </w:r>
          </w:p>
        </w:tc>
        <w:tc>
          <w:tcPr>
            <w:tcW w:w="559"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0.004</w:t>
            </w:r>
          </w:p>
        </w:tc>
      </w:tr>
      <w:tr w:rsidR="00C11F00" w:rsidRPr="00730F74" w:rsidTr="00C11F00">
        <w:tc>
          <w:tcPr>
            <w:tcW w:w="1565" w:type="pct"/>
          </w:tcPr>
          <w:p w:rsidR="001860CD" w:rsidRPr="00C11F00" w:rsidRDefault="00F262EE" w:rsidP="00C11F00">
            <w:pPr>
              <w:pStyle w:val="NoSpacing1"/>
              <w:ind w:left="180" w:hanging="180"/>
              <w:rPr>
                <w:rFonts w:ascii="Times New Roman" w:hAnsi="Times New Roman"/>
                <w:lang w:val="en-US"/>
              </w:rPr>
            </w:pPr>
            <w:r w:rsidRPr="00C11F00">
              <w:rPr>
                <w:rFonts w:ascii="Times New Roman" w:hAnsi="Times New Roman"/>
                <w:position w:val="-6"/>
              </w:rPr>
              <w:object w:dxaOrig="220" w:dyaOrig="300">
                <v:shape id="_x0000_i1120" type="#_x0000_t75" style="width:10.2pt;height:15.6pt" o:ole="">
                  <v:imagedata r:id="rId24" o:title=""/>
                </v:shape>
                <o:OLEObject Type="Embed" ProgID="Equation.3" ShapeID="_x0000_i1120" DrawAspect="Content" ObjectID="_1460191813" r:id="rId98"/>
              </w:object>
            </w:r>
            <w:r w:rsidR="0078276D" w:rsidRPr="00C11F00">
              <w:rPr>
                <w:rFonts w:ascii="Times New Roman" w:eastAsia="JansonText-Roman" w:hAnsi="Times New Roman"/>
                <w:vertAlign w:val="subscript"/>
              </w:rPr>
              <w:t>E</w:t>
            </w:r>
            <w:r w:rsidR="001860CD" w:rsidRPr="00C11F00">
              <w:rPr>
                <w:rFonts w:ascii="Times New Roman" w:eastAsia="JansonText-Roman" w:hAnsi="Times New Roman"/>
                <w:lang w:val="en-US"/>
              </w:rPr>
              <w:t>/</w:t>
            </w:r>
            <w:r w:rsidRPr="00C11F00">
              <w:rPr>
                <w:rFonts w:ascii="Times New Roman" w:hAnsi="Times New Roman"/>
                <w:position w:val="-6"/>
              </w:rPr>
              <w:object w:dxaOrig="220" w:dyaOrig="300">
                <v:shape id="_x0000_i1121" type="#_x0000_t75" style="width:8.6pt;height:15.6pt" o:ole="">
                  <v:imagedata r:id="rId24" o:title=""/>
                </v:shape>
                <o:OLEObject Type="Embed" ProgID="Equation.3" ShapeID="_x0000_i1121" DrawAspect="Content" ObjectID="_1460191814" r:id="rId99"/>
              </w:object>
            </w:r>
            <w:r w:rsidR="0078276D" w:rsidRPr="00C11F00">
              <w:rPr>
                <w:rFonts w:ascii="Times New Roman" w:hAnsi="Times New Roman"/>
                <w:smallCaps/>
              </w:rPr>
              <w:t>co</w:t>
            </w:r>
            <w:r w:rsidR="0078276D" w:rsidRPr="00C11F00">
              <w:rPr>
                <w:rFonts w:ascii="Times New Roman" w:hAnsi="Times New Roman"/>
                <w:vertAlign w:val="subscript"/>
              </w:rPr>
              <w:t>2</w:t>
            </w:r>
            <w:r w:rsidR="001860CD" w:rsidRPr="00C11F00">
              <w:rPr>
                <w:rFonts w:ascii="Times New Roman" w:hAnsi="Times New Roman"/>
                <w:lang w:val="en-US"/>
              </w:rPr>
              <w:t xml:space="preserve"> at </w:t>
            </w:r>
            <w:r w:rsidR="0078276D" w:rsidRPr="00C11F00">
              <w:rPr>
                <w:rFonts w:ascii="Times New Roman" w:hAnsi="Times New Roman"/>
                <w:position w:val="-6"/>
              </w:rPr>
              <w:object w:dxaOrig="180" w:dyaOrig="320">
                <v:shape id="_x0000_i1122" type="#_x0000_t75" style="width:8.05pt;height:15.05pt" o:ole="">
                  <v:imagedata r:id="rId49" o:title=""/>
                </v:shape>
                <o:OLEObject Type="Embed" ProgID="Equation.3" ShapeID="_x0000_i1122" DrawAspect="Content" ObjectID="_1460191815" r:id="rId100"/>
              </w:object>
            </w:r>
            <w:r w:rsidR="0078276D" w:rsidRPr="00C11F00">
              <w:rPr>
                <w:rFonts w:ascii="Times New Roman" w:hAnsi="Times New Roman"/>
                <w:vertAlign w:val="subscript"/>
              </w:rPr>
              <w:t>L</w:t>
            </w:r>
          </w:p>
        </w:tc>
        <w:tc>
          <w:tcPr>
            <w:tcW w:w="950"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31.2 (27.6</w:t>
            </w:r>
            <w:r w:rsidR="0078276D" w:rsidRPr="00C11F00">
              <w:rPr>
                <w:rFonts w:ascii="Times New Roman" w:hAnsi="Times New Roman"/>
                <w:lang w:val="en-US"/>
              </w:rPr>
              <w:t>–</w:t>
            </w:r>
            <w:r w:rsidRPr="00C11F00">
              <w:rPr>
                <w:rFonts w:ascii="Times New Roman" w:hAnsi="Times New Roman"/>
                <w:lang w:val="en-US"/>
              </w:rPr>
              <w:t>33.8)</w:t>
            </w:r>
          </w:p>
        </w:tc>
        <w:tc>
          <w:tcPr>
            <w:tcW w:w="961"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30.5 (26.9</w:t>
            </w:r>
            <w:r w:rsidR="0078276D" w:rsidRPr="00C11F00">
              <w:rPr>
                <w:rFonts w:ascii="Times New Roman" w:hAnsi="Times New Roman"/>
                <w:lang w:val="en-US"/>
              </w:rPr>
              <w:t>–</w:t>
            </w:r>
            <w:r w:rsidRPr="00C11F00">
              <w:rPr>
                <w:rFonts w:ascii="Times New Roman" w:hAnsi="Times New Roman"/>
                <w:lang w:val="en-US"/>
              </w:rPr>
              <w:t>32.0)</w:t>
            </w:r>
          </w:p>
        </w:tc>
        <w:tc>
          <w:tcPr>
            <w:tcW w:w="965"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31.8 (28.5</w:t>
            </w:r>
            <w:r w:rsidR="0078276D" w:rsidRPr="00C11F00">
              <w:rPr>
                <w:rFonts w:ascii="Times New Roman" w:hAnsi="Times New Roman"/>
                <w:lang w:val="en-US"/>
              </w:rPr>
              <w:t>–</w:t>
            </w:r>
            <w:r w:rsidRPr="00C11F00">
              <w:rPr>
                <w:rFonts w:ascii="Times New Roman" w:hAnsi="Times New Roman"/>
                <w:lang w:val="en-US"/>
              </w:rPr>
              <w:t>35.3)</w:t>
            </w:r>
          </w:p>
        </w:tc>
        <w:tc>
          <w:tcPr>
            <w:tcW w:w="559"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0.071</w:t>
            </w:r>
          </w:p>
        </w:tc>
      </w:tr>
      <w:tr w:rsidR="00C11F00" w:rsidRPr="00C11F00" w:rsidTr="00C11F00">
        <w:tc>
          <w:tcPr>
            <w:tcW w:w="1565" w:type="pct"/>
          </w:tcPr>
          <w:p w:rsidR="001860CD" w:rsidRPr="00C11F00" w:rsidRDefault="001860CD" w:rsidP="00C11F00">
            <w:pPr>
              <w:pStyle w:val="NoSpacing1"/>
              <w:ind w:left="180" w:hanging="180"/>
              <w:rPr>
                <w:rFonts w:ascii="Times New Roman" w:hAnsi="Times New Roman"/>
                <w:lang w:val="en-US"/>
              </w:rPr>
            </w:pPr>
            <w:r w:rsidRPr="00C11F00">
              <w:rPr>
                <w:rFonts w:ascii="Times New Roman" w:hAnsi="Times New Roman"/>
                <w:lang w:val="en-US"/>
              </w:rPr>
              <w:t xml:space="preserve">Work rate at </w:t>
            </w:r>
            <w:r w:rsidR="0078276D" w:rsidRPr="00C11F00">
              <w:rPr>
                <w:rFonts w:ascii="Times New Roman" w:hAnsi="Times New Roman"/>
                <w:position w:val="-6"/>
              </w:rPr>
              <w:object w:dxaOrig="180" w:dyaOrig="320">
                <v:shape id="_x0000_i1068" type="#_x0000_t75" style="width:8.05pt;height:15.05pt" o:ole="">
                  <v:imagedata r:id="rId49" o:title=""/>
                </v:shape>
                <o:OLEObject Type="Embed" ProgID="Equation.3" ShapeID="_x0000_i1068" DrawAspect="Content" ObjectID="_1460191816" r:id="rId101"/>
              </w:object>
            </w:r>
            <w:r w:rsidR="0078276D" w:rsidRPr="00C11F00">
              <w:rPr>
                <w:rFonts w:ascii="Times New Roman" w:hAnsi="Times New Roman"/>
                <w:vertAlign w:val="subscript"/>
              </w:rPr>
              <w:t>L</w:t>
            </w:r>
            <w:r w:rsidRPr="00C11F00">
              <w:rPr>
                <w:rFonts w:ascii="Times New Roman" w:eastAsia="JansonText-Roman" w:hAnsi="Times New Roman"/>
                <w:lang w:val="en-US"/>
              </w:rPr>
              <w:t xml:space="preserve"> </w:t>
            </w:r>
            <w:r w:rsidRPr="00C11F00">
              <w:rPr>
                <w:rFonts w:ascii="Times New Roman" w:hAnsi="Times New Roman"/>
                <w:lang w:val="en-US"/>
              </w:rPr>
              <w:t>(</w:t>
            </w:r>
            <w:commentRangeStart w:id="15"/>
            <w:r w:rsidRPr="00C11F00">
              <w:rPr>
                <w:rFonts w:ascii="Times New Roman" w:hAnsi="Times New Roman"/>
                <w:highlight w:val="yellow"/>
                <w:lang w:val="en-US"/>
              </w:rPr>
              <w:t>W</w:t>
            </w:r>
            <w:commentRangeEnd w:id="15"/>
            <w:r w:rsidR="00C92739" w:rsidRPr="00C11F00">
              <w:rPr>
                <w:rStyle w:val="CommentReference"/>
                <w:rFonts w:ascii="Times New Roman" w:hAnsi="Times New Roman"/>
                <w:vanish/>
                <w:lang/>
              </w:rPr>
              <w:commentReference w:id="15"/>
            </w:r>
            <w:r w:rsidRPr="00C11F00">
              <w:rPr>
                <w:rFonts w:ascii="Times New Roman" w:hAnsi="Times New Roman"/>
                <w:lang w:val="en-US"/>
              </w:rPr>
              <w:t>)</w:t>
            </w:r>
          </w:p>
        </w:tc>
        <w:tc>
          <w:tcPr>
            <w:tcW w:w="950"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54 (42</w:t>
            </w:r>
            <w:r w:rsidR="0078276D" w:rsidRPr="00C11F00">
              <w:rPr>
                <w:rFonts w:ascii="Times New Roman" w:hAnsi="Times New Roman"/>
                <w:lang w:val="en-US"/>
              </w:rPr>
              <w:t>–</w:t>
            </w:r>
            <w:r w:rsidRPr="00C11F00">
              <w:rPr>
                <w:rFonts w:ascii="Times New Roman" w:hAnsi="Times New Roman"/>
                <w:lang w:val="en-US"/>
              </w:rPr>
              <w:t>70)</w:t>
            </w:r>
          </w:p>
        </w:tc>
        <w:tc>
          <w:tcPr>
            <w:tcW w:w="961"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65 (52</w:t>
            </w:r>
            <w:r w:rsidR="0078276D" w:rsidRPr="00C11F00">
              <w:rPr>
                <w:rFonts w:ascii="Times New Roman" w:hAnsi="Times New Roman"/>
                <w:lang w:val="en-US"/>
              </w:rPr>
              <w:t>–</w:t>
            </w:r>
            <w:r w:rsidRPr="00C11F00">
              <w:rPr>
                <w:rFonts w:ascii="Times New Roman" w:hAnsi="Times New Roman"/>
                <w:lang w:val="en-US"/>
              </w:rPr>
              <w:t>76)</w:t>
            </w:r>
          </w:p>
        </w:tc>
        <w:tc>
          <w:tcPr>
            <w:tcW w:w="965"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45.5 (34.3</w:t>
            </w:r>
            <w:r w:rsidR="0078276D" w:rsidRPr="00C11F00">
              <w:rPr>
                <w:rFonts w:ascii="Times New Roman" w:hAnsi="Times New Roman"/>
                <w:lang w:val="en-US"/>
              </w:rPr>
              <w:t>–</w:t>
            </w:r>
            <w:r w:rsidRPr="00C11F00">
              <w:rPr>
                <w:rFonts w:ascii="Times New Roman" w:hAnsi="Times New Roman"/>
                <w:lang w:val="en-US"/>
              </w:rPr>
              <w:t>56)</w:t>
            </w:r>
          </w:p>
        </w:tc>
        <w:tc>
          <w:tcPr>
            <w:tcW w:w="559" w:type="pct"/>
          </w:tcPr>
          <w:p w:rsidR="001860CD" w:rsidRPr="00C11F00" w:rsidRDefault="001860CD" w:rsidP="00C11F00">
            <w:pPr>
              <w:pStyle w:val="NoSpacing1"/>
              <w:jc w:val="center"/>
              <w:rPr>
                <w:rFonts w:ascii="Times New Roman" w:hAnsi="Times New Roman"/>
                <w:lang w:val="en-US"/>
              </w:rPr>
            </w:pPr>
            <w:r w:rsidRPr="00C11F00">
              <w:rPr>
                <w:rFonts w:ascii="Times New Roman" w:hAnsi="Times New Roman"/>
                <w:lang w:val="en-US"/>
              </w:rPr>
              <w:t>&lt;</w:t>
            </w:r>
            <w:r w:rsidR="0078276D" w:rsidRPr="00C11F00">
              <w:rPr>
                <w:rFonts w:ascii="Times New Roman" w:hAnsi="Times New Roman"/>
                <w:lang w:val="en-US"/>
              </w:rPr>
              <w:t> </w:t>
            </w:r>
            <w:r w:rsidRPr="00C11F00">
              <w:rPr>
                <w:rFonts w:ascii="Times New Roman" w:hAnsi="Times New Roman"/>
                <w:lang w:val="en-US"/>
              </w:rPr>
              <w:t>0.001</w:t>
            </w:r>
          </w:p>
        </w:tc>
      </w:tr>
    </w:tbl>
    <w:p w:rsidR="009937D1" w:rsidRPr="00730F74" w:rsidRDefault="0078276D" w:rsidP="006F0F5C">
      <w:pPr>
        <w:pStyle w:val="NoSpacing1"/>
        <w:rPr>
          <w:rFonts w:ascii="Times New Roman" w:hAnsi="Times New Roman"/>
        </w:rPr>
      </w:pPr>
      <w:r w:rsidRPr="00730F74">
        <w:rPr>
          <w:rFonts w:ascii="Times New Roman" w:hAnsi="Times New Roman"/>
        </w:rPr>
        <w:t>Values are</w:t>
      </w:r>
      <w:r w:rsidR="009937D1" w:rsidRPr="00730F74">
        <w:rPr>
          <w:rFonts w:ascii="Times New Roman" w:hAnsi="Times New Roman"/>
          <w:b/>
        </w:rPr>
        <w:t xml:space="preserve"> </w:t>
      </w:r>
      <w:r w:rsidR="009937D1" w:rsidRPr="00730F74">
        <w:rPr>
          <w:rFonts w:ascii="Times New Roman" w:hAnsi="Times New Roman"/>
        </w:rPr>
        <w:t>median (</w:t>
      </w:r>
      <w:r w:rsidRPr="00730F74">
        <w:rPr>
          <w:rFonts w:ascii="Times New Roman" w:hAnsi="Times New Roman"/>
        </w:rPr>
        <w:t>i.q.r.</w:t>
      </w:r>
      <w:r w:rsidR="009937D1" w:rsidRPr="00730F74">
        <w:rPr>
          <w:rFonts w:ascii="Times New Roman" w:hAnsi="Times New Roman"/>
        </w:rPr>
        <w:t>)</w:t>
      </w:r>
      <w:r w:rsidRPr="00730F74">
        <w:rPr>
          <w:rFonts w:ascii="Times New Roman" w:hAnsi="Times New Roman"/>
        </w:rPr>
        <w:t xml:space="preserve"> unless indicated otherwise; *values are mean</w:t>
      </w:r>
      <w:r w:rsidR="00F262EE">
        <w:rPr>
          <w:rFonts w:ascii="Times New Roman" w:hAnsi="Times New Roman"/>
        </w:rPr>
        <w:t xml:space="preserve"> </w:t>
      </w:r>
      <w:r w:rsidRPr="00730F74">
        <w:rPr>
          <w:rFonts w:ascii="Times New Roman" w:hAnsi="Times New Roman"/>
        </w:rPr>
        <w:t>(</w:t>
      </w:r>
      <w:proofErr w:type="spellStart"/>
      <w:r w:rsidRPr="00730F74">
        <w:rPr>
          <w:rFonts w:ascii="Times New Roman" w:hAnsi="Times New Roman"/>
        </w:rPr>
        <w:t>s.d</w:t>
      </w:r>
      <w:proofErr w:type="spellEnd"/>
      <w:r w:rsidRPr="00730F74">
        <w:rPr>
          <w:rFonts w:ascii="Times New Roman" w:hAnsi="Times New Roman"/>
        </w:rPr>
        <w:t>.)</w:t>
      </w:r>
      <w:r w:rsidR="009937D1" w:rsidRPr="00730F74">
        <w:rPr>
          <w:rFonts w:ascii="Times New Roman" w:hAnsi="Times New Roman"/>
        </w:rPr>
        <w:t>.</w:t>
      </w:r>
      <w:r w:rsidR="00094E87" w:rsidRPr="00730F74">
        <w:rPr>
          <w:rFonts w:ascii="Times New Roman" w:hAnsi="Times New Roman"/>
        </w:rPr>
        <w:t xml:space="preserve"> </w:t>
      </w:r>
      <w:r w:rsidR="00F262EE" w:rsidRPr="00730F74">
        <w:rPr>
          <w:position w:val="-6"/>
        </w:rPr>
        <w:object w:dxaOrig="220" w:dyaOrig="300">
          <v:shape id="_x0000_i1123" type="#_x0000_t75" style="width:8.6pt;height:16.1pt" o:ole="">
            <v:imagedata r:id="rId24" o:title=""/>
          </v:shape>
          <o:OLEObject Type="Embed" ProgID="Equation.3" ShapeID="_x0000_i1123" DrawAspect="Content" ObjectID="_1460191817" r:id="rId102"/>
        </w:object>
      </w:r>
      <w:r w:rsidR="00F262EE" w:rsidRPr="00730F74">
        <w:rPr>
          <w:smallCaps/>
        </w:rPr>
        <w:t>o</w:t>
      </w:r>
      <w:r w:rsidR="00F262EE" w:rsidRPr="00730F74">
        <w:rPr>
          <w:vertAlign w:val="subscript"/>
        </w:rPr>
        <w:t>2</w:t>
      </w:r>
      <w:r w:rsidR="001860CD" w:rsidRPr="00730F74">
        <w:rPr>
          <w:rFonts w:ascii="Times New Roman" w:eastAsia="JansonText-Roman" w:hAnsi="Times New Roman"/>
          <w:color w:val="231F20"/>
        </w:rPr>
        <w:t xml:space="preserve"> at </w:t>
      </w:r>
      <w:r w:rsidR="00765D28" w:rsidRPr="00730F74">
        <w:rPr>
          <w:rFonts w:ascii="Times New Roman" w:hAnsi="Times New Roman"/>
          <w:position w:val="-6"/>
        </w:rPr>
        <w:object w:dxaOrig="180" w:dyaOrig="320">
          <v:shape id="_x0000_i1069" type="#_x0000_t75" style="width:8.05pt;height:15.05pt" o:ole="">
            <v:imagedata r:id="rId49" o:title=""/>
          </v:shape>
          <o:OLEObject Type="Embed" ProgID="Equation.3" ShapeID="_x0000_i1069" DrawAspect="Content" ObjectID="_1460191818" r:id="rId103"/>
        </w:object>
      </w:r>
      <w:r w:rsidR="00765D28" w:rsidRPr="00730F74">
        <w:rPr>
          <w:rFonts w:ascii="Times New Roman" w:hAnsi="Times New Roman"/>
          <w:vertAlign w:val="subscript"/>
        </w:rPr>
        <w:t>L</w:t>
      </w:r>
      <w:r w:rsidR="00765D28" w:rsidRPr="00730F74">
        <w:rPr>
          <w:rFonts w:ascii="Times New Roman" w:hAnsi="Times New Roman"/>
        </w:rPr>
        <w:t>, o</w:t>
      </w:r>
      <w:r w:rsidR="001860CD" w:rsidRPr="00730F74">
        <w:rPr>
          <w:rFonts w:ascii="Times New Roman" w:hAnsi="Times New Roman"/>
        </w:rPr>
        <w:t xml:space="preserve">xygen uptake at estimated lactate threshold; </w:t>
      </w:r>
      <w:r w:rsidR="00765D28" w:rsidRPr="00730F74">
        <w:rPr>
          <w:rFonts w:ascii="Times New Roman" w:hAnsi="Times New Roman"/>
        </w:rPr>
        <w:t xml:space="preserve">peak </w:t>
      </w:r>
      <w:r w:rsidR="00F262EE" w:rsidRPr="00730F74">
        <w:rPr>
          <w:position w:val="-6"/>
        </w:rPr>
        <w:object w:dxaOrig="220" w:dyaOrig="300">
          <v:shape id="_x0000_i1124" type="#_x0000_t75" style="width:8.6pt;height:16.1pt" o:ole="">
            <v:imagedata r:id="rId24" o:title=""/>
          </v:shape>
          <o:OLEObject Type="Embed" ProgID="Equation.3" ShapeID="_x0000_i1124" DrawAspect="Content" ObjectID="_1460191819" r:id="rId104"/>
        </w:object>
      </w:r>
      <w:r w:rsidR="00F262EE" w:rsidRPr="00730F74">
        <w:rPr>
          <w:smallCaps/>
        </w:rPr>
        <w:t>o</w:t>
      </w:r>
      <w:r w:rsidR="00F262EE" w:rsidRPr="00730F74">
        <w:rPr>
          <w:vertAlign w:val="subscript"/>
        </w:rPr>
        <w:t>2</w:t>
      </w:r>
      <w:r w:rsidR="001860CD" w:rsidRPr="00730F74">
        <w:rPr>
          <w:rFonts w:ascii="Times New Roman" w:hAnsi="Times New Roman"/>
        </w:rPr>
        <w:t xml:space="preserve">, </w:t>
      </w:r>
      <w:r w:rsidR="00765D28" w:rsidRPr="00730F74">
        <w:rPr>
          <w:rFonts w:ascii="Times New Roman" w:hAnsi="Times New Roman"/>
        </w:rPr>
        <w:t>o</w:t>
      </w:r>
      <w:r w:rsidR="001860CD" w:rsidRPr="00730F74">
        <w:rPr>
          <w:rFonts w:ascii="Times New Roman" w:hAnsi="Times New Roman"/>
        </w:rPr>
        <w:t xml:space="preserve">xygen uptake at peak exercise; </w:t>
      </w:r>
      <w:r w:rsidR="000402FE" w:rsidRPr="00730F74">
        <w:rPr>
          <w:rFonts w:ascii="Times New Roman" w:hAnsi="Times New Roman"/>
        </w:rPr>
        <w:t>o</w:t>
      </w:r>
      <w:r w:rsidR="00765D28" w:rsidRPr="00730F74">
        <w:rPr>
          <w:rFonts w:ascii="Times New Roman" w:hAnsi="Times New Roman"/>
        </w:rPr>
        <w:t>xygen</w:t>
      </w:r>
      <w:r w:rsidR="001860CD" w:rsidRPr="00730F74">
        <w:rPr>
          <w:rFonts w:ascii="Times New Roman" w:hAnsi="Times New Roman"/>
        </w:rPr>
        <w:t xml:space="preserve"> pulse at </w:t>
      </w:r>
      <w:r w:rsidR="00765D28" w:rsidRPr="00730F74">
        <w:rPr>
          <w:rFonts w:ascii="Times New Roman" w:hAnsi="Times New Roman"/>
          <w:position w:val="-6"/>
        </w:rPr>
        <w:object w:dxaOrig="180" w:dyaOrig="320">
          <v:shape id="_x0000_i1070" type="#_x0000_t75" style="width:8.05pt;height:15.05pt" o:ole="">
            <v:imagedata r:id="rId49" o:title=""/>
          </v:shape>
          <o:OLEObject Type="Embed" ProgID="Equation.3" ShapeID="_x0000_i1070" DrawAspect="Content" ObjectID="_1460191820" r:id="rId105"/>
        </w:object>
      </w:r>
      <w:r w:rsidR="00765D28" w:rsidRPr="00730F74">
        <w:rPr>
          <w:rFonts w:ascii="Times New Roman" w:hAnsi="Times New Roman"/>
          <w:vertAlign w:val="subscript"/>
        </w:rPr>
        <w:t>L</w:t>
      </w:r>
      <w:r w:rsidR="00765D28" w:rsidRPr="00730F74">
        <w:rPr>
          <w:rFonts w:ascii="Times New Roman" w:hAnsi="Times New Roman"/>
        </w:rPr>
        <w:t>, o</w:t>
      </w:r>
      <w:r w:rsidR="001860CD" w:rsidRPr="00730F74">
        <w:rPr>
          <w:rFonts w:ascii="Times New Roman" w:hAnsi="Times New Roman"/>
        </w:rPr>
        <w:t xml:space="preserve">xygen pulse at estimated lactate threshold; </w:t>
      </w:r>
      <w:r w:rsidR="00F262EE" w:rsidRPr="00730F74">
        <w:rPr>
          <w:rFonts w:ascii="Times New Roman" w:hAnsi="Times New Roman"/>
          <w:position w:val="-6"/>
        </w:rPr>
        <w:object w:dxaOrig="220" w:dyaOrig="300">
          <v:shape id="_x0000_i1125" type="#_x0000_t75" style="width:10.2pt;height:15.6pt" o:ole="">
            <v:imagedata r:id="rId24" o:title=""/>
          </v:shape>
          <o:OLEObject Type="Embed" ProgID="Equation.3" ShapeID="_x0000_i1125" DrawAspect="Content" ObjectID="_1460191821" r:id="rId106"/>
        </w:object>
      </w:r>
      <w:r w:rsidR="00F262EE" w:rsidRPr="00730F74">
        <w:rPr>
          <w:rFonts w:ascii="Times New Roman" w:eastAsia="JansonText-Roman" w:hAnsi="Times New Roman"/>
          <w:vertAlign w:val="subscript"/>
        </w:rPr>
        <w:t>E</w:t>
      </w:r>
      <w:r w:rsidR="00F262EE" w:rsidRPr="00730F74">
        <w:rPr>
          <w:rFonts w:ascii="Times New Roman" w:eastAsia="JansonText-Roman" w:hAnsi="Times New Roman"/>
          <w:lang w:val="en-US"/>
        </w:rPr>
        <w:t>/</w:t>
      </w:r>
      <w:r w:rsidR="00F262EE" w:rsidRPr="00730F74">
        <w:rPr>
          <w:rFonts w:ascii="Times New Roman" w:hAnsi="Times New Roman"/>
          <w:position w:val="-6"/>
        </w:rPr>
        <w:object w:dxaOrig="220" w:dyaOrig="300">
          <v:shape id="_x0000_i1126" type="#_x0000_t75" style="width:8.6pt;height:15.6pt" o:ole="">
            <v:imagedata r:id="rId24" o:title=""/>
          </v:shape>
          <o:OLEObject Type="Embed" ProgID="Equation.3" ShapeID="_x0000_i1126" DrawAspect="Content" ObjectID="_1460191823" r:id="rId107"/>
        </w:object>
      </w:r>
      <w:r w:rsidR="00F262EE" w:rsidRPr="00730F74">
        <w:rPr>
          <w:rFonts w:ascii="Times New Roman" w:hAnsi="Times New Roman"/>
          <w:smallCaps/>
        </w:rPr>
        <w:t>co</w:t>
      </w:r>
      <w:r w:rsidR="00F262EE" w:rsidRPr="00730F74">
        <w:rPr>
          <w:rFonts w:ascii="Times New Roman" w:hAnsi="Times New Roman"/>
          <w:vertAlign w:val="subscript"/>
        </w:rPr>
        <w:t>2</w:t>
      </w:r>
      <w:r w:rsidR="001860CD" w:rsidRPr="00730F74">
        <w:rPr>
          <w:rFonts w:ascii="Times New Roman" w:eastAsia="JansonText-Roman" w:hAnsi="Times New Roman"/>
          <w:color w:val="231F20"/>
          <w:vertAlign w:val="subscript"/>
        </w:rPr>
        <w:t xml:space="preserve"> </w:t>
      </w:r>
      <w:r w:rsidR="001860CD" w:rsidRPr="00730F74">
        <w:rPr>
          <w:rFonts w:ascii="Times New Roman" w:eastAsia="JansonText-Roman" w:hAnsi="Times New Roman"/>
          <w:color w:val="231F20"/>
        </w:rPr>
        <w:t xml:space="preserve">at </w:t>
      </w:r>
      <w:r w:rsidR="00765D28" w:rsidRPr="00730F74">
        <w:rPr>
          <w:rFonts w:ascii="Times New Roman" w:hAnsi="Times New Roman"/>
          <w:position w:val="-6"/>
        </w:rPr>
        <w:object w:dxaOrig="180" w:dyaOrig="320">
          <v:shape id="_x0000_i1071" type="#_x0000_t75" style="width:8.05pt;height:15.05pt" o:ole="">
            <v:imagedata r:id="rId49" o:title=""/>
          </v:shape>
          <o:OLEObject Type="Embed" ProgID="Equation.3" ShapeID="_x0000_i1071" DrawAspect="Content" ObjectID="_1460191824" r:id="rId108"/>
        </w:object>
      </w:r>
      <w:r w:rsidR="00765D28" w:rsidRPr="00730F74">
        <w:rPr>
          <w:rFonts w:ascii="Times New Roman" w:hAnsi="Times New Roman"/>
          <w:vertAlign w:val="subscript"/>
        </w:rPr>
        <w:t>L</w:t>
      </w:r>
      <w:r w:rsidR="00765D28" w:rsidRPr="00730F74">
        <w:rPr>
          <w:rFonts w:ascii="Times New Roman" w:hAnsi="Times New Roman"/>
        </w:rPr>
        <w:t>, v</w:t>
      </w:r>
      <w:r w:rsidR="001860CD" w:rsidRPr="00730F74">
        <w:rPr>
          <w:rFonts w:ascii="Times New Roman" w:hAnsi="Times New Roman"/>
        </w:rPr>
        <w:t xml:space="preserve">entilatory equivalents for carbon dioxide at estimated lactate threshold; </w:t>
      </w:r>
      <w:r w:rsidR="00765D28" w:rsidRPr="00730F74">
        <w:rPr>
          <w:rFonts w:ascii="Times New Roman" w:hAnsi="Times New Roman"/>
        </w:rPr>
        <w:t>w</w:t>
      </w:r>
      <w:r w:rsidR="001860CD" w:rsidRPr="00730F74">
        <w:rPr>
          <w:rFonts w:ascii="Times New Roman" w:hAnsi="Times New Roman"/>
        </w:rPr>
        <w:t xml:space="preserve">ork </w:t>
      </w:r>
      <w:r w:rsidR="00765D28" w:rsidRPr="00730F74">
        <w:rPr>
          <w:rFonts w:ascii="Times New Roman" w:hAnsi="Times New Roman"/>
        </w:rPr>
        <w:t>rate</w:t>
      </w:r>
      <w:r w:rsidR="001860CD" w:rsidRPr="00730F74">
        <w:rPr>
          <w:rFonts w:ascii="Times New Roman" w:hAnsi="Times New Roman"/>
        </w:rPr>
        <w:t xml:space="preserve"> at</w:t>
      </w:r>
      <w:r w:rsidR="001860CD" w:rsidRPr="00730F74">
        <w:rPr>
          <w:rFonts w:ascii="Times New Roman" w:eastAsia="JansonText-Roman" w:hAnsi="Times New Roman"/>
          <w:color w:val="231F20"/>
        </w:rPr>
        <w:t xml:space="preserve"> </w:t>
      </w:r>
      <w:r w:rsidR="00765D28" w:rsidRPr="00730F74">
        <w:rPr>
          <w:rFonts w:ascii="Times New Roman" w:hAnsi="Times New Roman"/>
          <w:position w:val="-6"/>
        </w:rPr>
        <w:object w:dxaOrig="180" w:dyaOrig="320">
          <v:shape id="_x0000_i1072" type="#_x0000_t75" style="width:8.05pt;height:15.05pt" o:ole="">
            <v:imagedata r:id="rId49" o:title=""/>
          </v:shape>
          <o:OLEObject Type="Embed" ProgID="Equation.3" ShapeID="_x0000_i1072" DrawAspect="Content" ObjectID="_1460191825" r:id="rId109"/>
        </w:object>
      </w:r>
      <w:r w:rsidR="00765D28" w:rsidRPr="00730F74">
        <w:rPr>
          <w:rFonts w:ascii="Times New Roman" w:hAnsi="Times New Roman"/>
          <w:vertAlign w:val="subscript"/>
        </w:rPr>
        <w:t>L</w:t>
      </w:r>
      <w:r w:rsidR="001860CD" w:rsidRPr="00730F74">
        <w:rPr>
          <w:rFonts w:ascii="Times New Roman" w:hAnsi="Times New Roman"/>
        </w:rPr>
        <w:t xml:space="preserve">, </w:t>
      </w:r>
      <w:r w:rsidR="00765D28" w:rsidRPr="00730F74">
        <w:rPr>
          <w:rFonts w:ascii="Times New Roman" w:hAnsi="Times New Roman"/>
        </w:rPr>
        <w:t>w</w:t>
      </w:r>
      <w:r w:rsidR="001860CD" w:rsidRPr="00730F74">
        <w:rPr>
          <w:rFonts w:ascii="Times New Roman" w:hAnsi="Times New Roman"/>
        </w:rPr>
        <w:t xml:space="preserve">ork </w:t>
      </w:r>
      <w:r w:rsidR="00765D28" w:rsidRPr="00730F74">
        <w:rPr>
          <w:rFonts w:ascii="Times New Roman" w:hAnsi="Times New Roman"/>
        </w:rPr>
        <w:t>rate</w:t>
      </w:r>
      <w:r w:rsidR="001860CD" w:rsidRPr="00730F74">
        <w:rPr>
          <w:rFonts w:ascii="Times New Roman" w:hAnsi="Times New Roman"/>
        </w:rPr>
        <w:t xml:space="preserve"> at estimated lactate threshold.</w:t>
      </w:r>
      <w:r w:rsidR="00094E87" w:rsidRPr="00730F74">
        <w:rPr>
          <w:rFonts w:ascii="Times New Roman" w:hAnsi="Times New Roman"/>
        </w:rPr>
        <w:t xml:space="preserve"> </w:t>
      </w:r>
      <w:r w:rsidR="00094E87" w:rsidRPr="00730F74">
        <w:rPr>
          <w:rFonts w:ascii="Times New Roman" w:hAnsi="Times New Roman"/>
          <w:highlight w:val="yellow"/>
          <w:lang w:val="en-US"/>
        </w:rPr>
        <w:t xml:space="preserve">†??? </w:t>
      </w:r>
      <w:proofErr w:type="gramStart"/>
      <w:r w:rsidR="00094E87" w:rsidRPr="00730F74">
        <w:rPr>
          <w:rFonts w:ascii="Times New Roman" w:hAnsi="Times New Roman"/>
          <w:highlight w:val="yellow"/>
          <w:lang w:val="en-US"/>
        </w:rPr>
        <w:t>test</w:t>
      </w:r>
      <w:proofErr w:type="gramEnd"/>
      <w:r w:rsidR="00094E87" w:rsidRPr="00730F74">
        <w:rPr>
          <w:rFonts w:ascii="Times New Roman" w:hAnsi="Times New Roman"/>
          <w:highlight w:val="yellow"/>
          <w:lang w:val="en-US"/>
        </w:rPr>
        <w:t>, except ‡</w:t>
      </w:r>
      <w:r w:rsidR="00094E87" w:rsidRPr="00730F74">
        <w:rPr>
          <w:rFonts w:ascii="Times New Roman" w:hAnsi="Times New Roman"/>
          <w:highlight w:val="yellow"/>
        </w:rPr>
        <w:t xml:space="preserve">univariable logistic regression </w:t>
      </w:r>
      <w:commentRangeStart w:id="16"/>
      <w:r w:rsidR="00094E87" w:rsidRPr="00730F74">
        <w:rPr>
          <w:rFonts w:ascii="Times New Roman" w:hAnsi="Times New Roman"/>
          <w:highlight w:val="yellow"/>
        </w:rPr>
        <w:t>or Fisher’s exact tests where cell counts were insufficient</w:t>
      </w:r>
      <w:commentRangeEnd w:id="16"/>
      <w:r w:rsidR="00094E87" w:rsidRPr="00730F74">
        <w:rPr>
          <w:rStyle w:val="CommentReference"/>
          <w:rFonts w:ascii="Times New Roman" w:hAnsi="Times New Roman"/>
          <w:vanish/>
          <w:lang/>
        </w:rPr>
        <w:commentReference w:id="16"/>
      </w:r>
      <w:r w:rsidR="00094E87" w:rsidRPr="00730F74">
        <w:rPr>
          <w:rFonts w:ascii="Times New Roman" w:hAnsi="Times New Roman"/>
          <w:highlight w:val="yellow"/>
        </w:rPr>
        <w:t>.</w:t>
      </w:r>
      <w:r w:rsidR="001860CD" w:rsidRPr="00730F74">
        <w:rPr>
          <w:rFonts w:ascii="Times New Roman" w:hAnsi="Times New Roman"/>
        </w:rPr>
        <w:br w:type="page"/>
      </w:r>
      <w:r w:rsidR="009937D1" w:rsidRPr="00730F74">
        <w:rPr>
          <w:rFonts w:ascii="Times New Roman" w:hAnsi="Times New Roman"/>
          <w:b/>
        </w:rPr>
        <w:lastRenderedPageBreak/>
        <w:t>Table</w:t>
      </w:r>
      <w:r w:rsidR="006F0F5C" w:rsidRPr="00730F74">
        <w:rPr>
          <w:rFonts w:ascii="Times New Roman" w:hAnsi="Times New Roman"/>
          <w:b/>
        </w:rPr>
        <w:t> </w:t>
      </w:r>
      <w:r w:rsidR="009937D1" w:rsidRPr="00730F74">
        <w:rPr>
          <w:rFonts w:ascii="Times New Roman" w:hAnsi="Times New Roman"/>
          <w:b/>
        </w:rPr>
        <w:t xml:space="preserve">4 </w:t>
      </w:r>
      <w:r w:rsidR="009937D1" w:rsidRPr="00730F74">
        <w:rPr>
          <w:rFonts w:ascii="Times New Roman" w:hAnsi="Times New Roman"/>
        </w:rPr>
        <w:t xml:space="preserve">Total in-hospital morbidity assessed </w:t>
      </w:r>
      <w:r w:rsidR="000402FE" w:rsidRPr="00730F74">
        <w:rPr>
          <w:rFonts w:ascii="Times New Roman" w:hAnsi="Times New Roman"/>
        </w:rPr>
        <w:t>for the nine domains of</w:t>
      </w:r>
      <w:r w:rsidR="009937D1" w:rsidRPr="00730F74">
        <w:rPr>
          <w:rFonts w:ascii="Times New Roman" w:hAnsi="Times New Roman"/>
        </w:rPr>
        <w:t xml:space="preserve"> the Post</w:t>
      </w:r>
      <w:r w:rsidR="006F0F5C" w:rsidRPr="00730F74">
        <w:rPr>
          <w:rFonts w:ascii="Times New Roman" w:hAnsi="Times New Roman"/>
        </w:rPr>
        <w:t>o</w:t>
      </w:r>
      <w:r w:rsidR="009937D1" w:rsidRPr="00730F74">
        <w:rPr>
          <w:rFonts w:ascii="Times New Roman" w:hAnsi="Times New Roman"/>
        </w:rPr>
        <w:t>perative Morbidity Survey</w:t>
      </w:r>
      <w:r w:rsidR="00730F74" w:rsidRPr="00730F74">
        <w:rPr>
          <w:rFonts w:ascii="Times New Roman" w:hAnsi="Times New Roman"/>
          <w:vertAlign w:val="superscript"/>
        </w:rPr>
        <w:t>21</w:t>
      </w:r>
      <w:r w:rsidR="000402FE" w:rsidRPr="00730F74">
        <w:rPr>
          <w:rFonts w:ascii="Times New Roman" w:hAnsi="Times New Roman"/>
        </w:rPr>
        <w:t xml:space="preserve"> at day 5 after surgery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4"/>
        <w:gridCol w:w="2424"/>
        <w:gridCol w:w="2183"/>
        <w:gridCol w:w="1011"/>
      </w:tblGrid>
      <w:tr w:rsidR="00C11F00" w:rsidRPr="00C11F00" w:rsidTr="00C11F00">
        <w:trPr>
          <w:trHeight w:val="344"/>
        </w:trPr>
        <w:tc>
          <w:tcPr>
            <w:tcW w:w="1704" w:type="pct"/>
            <w:vAlign w:val="bottom"/>
          </w:tcPr>
          <w:p w:rsidR="00730F74" w:rsidRPr="00C11F00" w:rsidRDefault="00730F74" w:rsidP="006F0F5C">
            <w:pPr>
              <w:pStyle w:val="NoSpacing"/>
              <w:rPr>
                <w:rFonts w:ascii="Times New Roman" w:eastAsia="Times New Roman" w:hAnsi="Times New Roman"/>
                <w:b/>
                <w:sz w:val="24"/>
                <w:szCs w:val="24"/>
              </w:rPr>
            </w:pPr>
            <w:r w:rsidRPr="00C11F00">
              <w:rPr>
                <w:rFonts w:ascii="Times New Roman" w:eastAsia="Times New Roman" w:hAnsi="Times New Roman"/>
              </w:rPr>
              <w:t>POMS domain</w:t>
            </w:r>
          </w:p>
        </w:tc>
        <w:tc>
          <w:tcPr>
            <w:tcW w:w="1422" w:type="pct"/>
            <w:vAlign w:val="bottom"/>
          </w:tcPr>
          <w:p w:rsidR="00730F74" w:rsidRPr="00C11F00" w:rsidRDefault="00DC0A2B" w:rsidP="00C11F00">
            <w:pPr>
              <w:spacing w:before="0" w:after="0" w:line="240" w:lineRule="auto"/>
              <w:jc w:val="center"/>
              <w:rPr>
                <w:rFonts w:eastAsia="Times New Roman"/>
              </w:rPr>
            </w:pPr>
            <w:r w:rsidRPr="00C11F00">
              <w:rPr>
                <w:position w:val="-6"/>
              </w:rPr>
              <w:object w:dxaOrig="220" w:dyaOrig="300">
                <v:shape id="_x0000_i1127" type="#_x0000_t75" style="width:8.6pt;height:16.1pt" o:ole="">
                  <v:imagedata r:id="rId24" o:title=""/>
                </v:shape>
                <o:OLEObject Type="Embed" ProgID="Equation.3" ShapeID="_x0000_i1127" DrawAspect="Content" ObjectID="_1460191826" r:id="rId110"/>
              </w:object>
            </w:r>
            <w:r w:rsidRPr="00C11F00">
              <w:rPr>
                <w:smallCaps/>
              </w:rPr>
              <w:t>o</w:t>
            </w:r>
            <w:r w:rsidRPr="00C11F00">
              <w:rPr>
                <w:vertAlign w:val="subscript"/>
              </w:rPr>
              <w:t>2</w:t>
            </w:r>
            <w:r w:rsidR="00730F74" w:rsidRPr="00730F74">
              <w:t xml:space="preserve"> at </w:t>
            </w:r>
            <w:r w:rsidR="00730F74" w:rsidRPr="00C11F00">
              <w:rPr>
                <w:position w:val="-6"/>
              </w:rPr>
              <w:object w:dxaOrig="180" w:dyaOrig="320">
                <v:shape id="_x0000_i1073" type="#_x0000_t75" style="width:8.05pt;height:15.05pt" o:ole="">
                  <v:imagedata r:id="rId49" o:title=""/>
                </v:shape>
                <o:OLEObject Type="Embed" ProgID="Equation.3" ShapeID="_x0000_i1073" DrawAspect="Content" ObjectID="_1460191827" r:id="rId111"/>
              </w:object>
            </w:r>
            <w:r w:rsidR="00730F74" w:rsidRPr="00C11F00">
              <w:rPr>
                <w:vertAlign w:val="subscript"/>
              </w:rPr>
              <w:t>L</w:t>
            </w:r>
            <w:r w:rsidR="00730F74" w:rsidRPr="00C11F00">
              <w:rPr>
                <w:rFonts w:eastAsia="Times New Roman"/>
              </w:rPr>
              <w:t> &lt; 10.6</w:t>
            </w:r>
            <w:r w:rsidR="00730F74" w:rsidRPr="00C11F00">
              <w:rPr>
                <w:rFonts w:eastAsia="Times New Roman"/>
              </w:rPr>
              <w:br/>
              <w:t>(</w:t>
            </w:r>
            <w:r w:rsidR="00730F74" w:rsidRPr="00C11F00">
              <w:rPr>
                <w:rFonts w:eastAsia="Times New Roman"/>
                <w:i/>
              </w:rPr>
              <w:t>n</w:t>
            </w:r>
            <w:r w:rsidR="00730F74" w:rsidRPr="00C11F00">
              <w:rPr>
                <w:rFonts w:eastAsia="Times New Roman"/>
              </w:rPr>
              <w:t> = 39)</w:t>
            </w:r>
          </w:p>
        </w:tc>
        <w:tc>
          <w:tcPr>
            <w:tcW w:w="1281" w:type="pct"/>
            <w:vAlign w:val="bottom"/>
          </w:tcPr>
          <w:p w:rsidR="00730F74" w:rsidRPr="00C11F00" w:rsidRDefault="00DC0A2B" w:rsidP="00C11F00">
            <w:pPr>
              <w:pStyle w:val="NoSpacing"/>
              <w:jc w:val="center"/>
              <w:rPr>
                <w:rFonts w:ascii="Times New Roman" w:eastAsia="Times New Roman" w:hAnsi="Times New Roman"/>
                <w:sz w:val="24"/>
                <w:szCs w:val="24"/>
              </w:rPr>
            </w:pPr>
            <w:r w:rsidRPr="00C11F00">
              <w:rPr>
                <w:position w:val="-6"/>
              </w:rPr>
              <w:object w:dxaOrig="220" w:dyaOrig="300">
                <v:shape id="_x0000_i1128" type="#_x0000_t75" style="width:8.6pt;height:16.1pt" o:ole="">
                  <v:imagedata r:id="rId24" o:title=""/>
                </v:shape>
                <o:OLEObject Type="Embed" ProgID="Equation.3" ShapeID="_x0000_i1128" DrawAspect="Content" ObjectID="_1460191828" r:id="rId112"/>
              </w:object>
            </w:r>
            <w:r w:rsidRPr="00C11F00">
              <w:rPr>
                <w:smallCaps/>
              </w:rPr>
              <w:t>o</w:t>
            </w:r>
            <w:r w:rsidRPr="00C11F00">
              <w:rPr>
                <w:vertAlign w:val="subscript"/>
              </w:rPr>
              <w:t>2</w:t>
            </w:r>
            <w:r w:rsidR="00730F74" w:rsidRPr="00C11F00">
              <w:rPr>
                <w:rFonts w:ascii="Times New Roman" w:hAnsi="Times New Roman"/>
                <w:sz w:val="24"/>
                <w:szCs w:val="24"/>
                <w:lang w:val="en-GB"/>
              </w:rPr>
              <w:t xml:space="preserve"> at </w:t>
            </w:r>
            <w:r w:rsidR="00730F74" w:rsidRPr="00C11F00">
              <w:rPr>
                <w:rFonts w:ascii="Times New Roman" w:hAnsi="Times New Roman"/>
                <w:position w:val="-6"/>
                <w:sz w:val="24"/>
                <w:szCs w:val="24"/>
                <w:lang w:val="en-GB"/>
              </w:rPr>
              <w:object w:dxaOrig="180" w:dyaOrig="320">
                <v:shape id="_x0000_i1074" type="#_x0000_t75" style="width:8.05pt;height:15.05pt" o:ole="">
                  <v:imagedata r:id="rId49" o:title=""/>
                </v:shape>
                <o:OLEObject Type="Embed" ProgID="Equation.3" ShapeID="_x0000_i1074" DrawAspect="Content" ObjectID="_1460191829" r:id="rId113"/>
              </w:object>
            </w:r>
            <w:r w:rsidR="00730F74" w:rsidRPr="00C11F00">
              <w:rPr>
                <w:rFonts w:ascii="Times New Roman" w:hAnsi="Times New Roman"/>
                <w:vertAlign w:val="subscript"/>
              </w:rPr>
              <w:t>L</w:t>
            </w:r>
            <w:r w:rsidR="00730F74" w:rsidRPr="00C11F00">
              <w:rPr>
                <w:rFonts w:ascii="Times New Roman" w:eastAsia="Times New Roman" w:hAnsi="Times New Roman"/>
              </w:rPr>
              <w:t> ≥ 10.6</w:t>
            </w:r>
            <w:r w:rsidR="00730F74" w:rsidRPr="00C11F00">
              <w:rPr>
                <w:rFonts w:ascii="Times New Roman" w:eastAsia="Times New Roman" w:hAnsi="Times New Roman"/>
              </w:rPr>
              <w:br/>
              <w:t>(</w:t>
            </w:r>
            <w:r w:rsidR="00730F74" w:rsidRPr="00C11F00">
              <w:rPr>
                <w:rFonts w:ascii="Times New Roman" w:eastAsia="Times New Roman" w:hAnsi="Times New Roman"/>
                <w:i/>
              </w:rPr>
              <w:t>n </w:t>
            </w:r>
            <w:r w:rsidR="00730F74" w:rsidRPr="00C11F00">
              <w:rPr>
                <w:rFonts w:ascii="Times New Roman" w:eastAsia="Times New Roman" w:hAnsi="Times New Roman"/>
              </w:rPr>
              <w:t>= 56)</w:t>
            </w:r>
          </w:p>
        </w:tc>
        <w:tc>
          <w:tcPr>
            <w:tcW w:w="593" w:type="pct"/>
            <w:vAlign w:val="bottom"/>
          </w:tcPr>
          <w:p w:rsidR="00730F74" w:rsidRPr="00C11F00" w:rsidRDefault="00730F74" w:rsidP="00C11F00">
            <w:pPr>
              <w:pStyle w:val="NoSpacing"/>
              <w:jc w:val="center"/>
              <w:rPr>
                <w:rFonts w:ascii="Times New Roman" w:eastAsia="Times New Roman" w:hAnsi="Times New Roman"/>
                <w:sz w:val="24"/>
                <w:szCs w:val="24"/>
              </w:rPr>
            </w:pPr>
            <w:r w:rsidRPr="00C11F00">
              <w:rPr>
                <w:rFonts w:ascii="Times New Roman" w:eastAsia="Times New Roman" w:hAnsi="Times New Roman"/>
                <w:i/>
              </w:rPr>
              <w:t>P</w:t>
            </w:r>
            <w:r w:rsidRPr="00C11F00">
              <w:rPr>
                <w:rFonts w:ascii="Times New Roman" w:eastAsia="Times New Roman" w:hAnsi="Times New Roman"/>
              </w:rPr>
              <w:t>*</w:t>
            </w:r>
          </w:p>
        </w:tc>
      </w:tr>
      <w:tr w:rsidR="00C11F00" w:rsidRPr="00C11F00" w:rsidTr="00C11F00">
        <w:tc>
          <w:tcPr>
            <w:tcW w:w="1704" w:type="pct"/>
          </w:tcPr>
          <w:p w:rsidR="001860CD" w:rsidRPr="00C11F00" w:rsidRDefault="001860CD" w:rsidP="006F0F5C">
            <w:pPr>
              <w:pStyle w:val="NoSpacing"/>
              <w:rPr>
                <w:rFonts w:ascii="Times New Roman" w:eastAsia="Times New Roman" w:hAnsi="Times New Roman"/>
                <w:sz w:val="24"/>
                <w:szCs w:val="24"/>
              </w:rPr>
            </w:pPr>
            <w:r w:rsidRPr="00C11F00">
              <w:rPr>
                <w:rFonts w:ascii="Times New Roman" w:eastAsia="Times New Roman" w:hAnsi="Times New Roman"/>
              </w:rPr>
              <w:t>Infection</w:t>
            </w:r>
          </w:p>
        </w:tc>
        <w:tc>
          <w:tcPr>
            <w:tcW w:w="1422"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21</w:t>
            </w:r>
            <w:r w:rsidR="000402FE" w:rsidRPr="00C11F00">
              <w:rPr>
                <w:rFonts w:ascii="Times New Roman" w:eastAsia="Times New Roman" w:hAnsi="Times New Roman"/>
              </w:rPr>
              <w:t xml:space="preserve"> </w:t>
            </w:r>
            <w:r w:rsidRPr="00C11F00">
              <w:rPr>
                <w:rFonts w:ascii="Times New Roman" w:eastAsia="Times New Roman" w:hAnsi="Times New Roman"/>
              </w:rPr>
              <w:t>(54)</w:t>
            </w:r>
          </w:p>
        </w:tc>
        <w:tc>
          <w:tcPr>
            <w:tcW w:w="1281"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5 (9)</w:t>
            </w:r>
          </w:p>
        </w:tc>
        <w:tc>
          <w:tcPr>
            <w:tcW w:w="593"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&lt;</w:t>
            </w:r>
            <w:r w:rsidR="006F0F5C" w:rsidRPr="00C11F00">
              <w:rPr>
                <w:rFonts w:ascii="Times New Roman" w:eastAsia="Times New Roman" w:hAnsi="Times New Roman"/>
              </w:rPr>
              <w:t> </w:t>
            </w:r>
            <w:r w:rsidRPr="00C11F00">
              <w:rPr>
                <w:rFonts w:ascii="Times New Roman" w:eastAsia="Times New Roman" w:hAnsi="Times New Roman"/>
              </w:rPr>
              <w:t>0.001</w:t>
            </w:r>
          </w:p>
        </w:tc>
      </w:tr>
      <w:tr w:rsidR="00C11F00" w:rsidRPr="00C11F00" w:rsidTr="00C11F00">
        <w:tc>
          <w:tcPr>
            <w:tcW w:w="1704" w:type="pct"/>
          </w:tcPr>
          <w:p w:rsidR="001860CD" w:rsidRPr="00C11F00" w:rsidRDefault="001860CD" w:rsidP="006F0F5C">
            <w:pPr>
              <w:pStyle w:val="NoSpacing"/>
              <w:rPr>
                <w:rFonts w:ascii="Times New Roman" w:eastAsia="Times New Roman" w:hAnsi="Times New Roman"/>
                <w:sz w:val="24"/>
                <w:szCs w:val="24"/>
              </w:rPr>
            </w:pPr>
            <w:r w:rsidRPr="00C11F00">
              <w:rPr>
                <w:rFonts w:ascii="Times New Roman" w:eastAsia="Times New Roman" w:hAnsi="Times New Roman"/>
              </w:rPr>
              <w:t xml:space="preserve">Wound </w:t>
            </w:r>
            <w:r w:rsidR="006F0F5C" w:rsidRPr="00C11F00">
              <w:rPr>
                <w:rFonts w:ascii="Times New Roman" w:eastAsia="Times New Roman" w:hAnsi="Times New Roman"/>
              </w:rPr>
              <w:t>d</w:t>
            </w:r>
            <w:r w:rsidRPr="00C11F00">
              <w:rPr>
                <w:rFonts w:ascii="Times New Roman" w:eastAsia="Times New Roman" w:hAnsi="Times New Roman"/>
              </w:rPr>
              <w:t>ehiscence</w:t>
            </w:r>
          </w:p>
        </w:tc>
        <w:tc>
          <w:tcPr>
            <w:tcW w:w="1422"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5 (13)</w:t>
            </w:r>
          </w:p>
        </w:tc>
        <w:tc>
          <w:tcPr>
            <w:tcW w:w="1281"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w:t>
            </w:r>
            <w:r w:rsidR="000402FE" w:rsidRPr="00C11F00">
              <w:rPr>
                <w:rFonts w:ascii="Times New Roman" w:eastAsia="Times New Roman" w:hAnsi="Times New Roman"/>
              </w:rPr>
              <w:t xml:space="preserve"> (0)</w:t>
            </w:r>
          </w:p>
        </w:tc>
        <w:tc>
          <w:tcPr>
            <w:tcW w:w="593"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0.010</w:t>
            </w:r>
            <w:r w:rsidR="001758A7" w:rsidRPr="00C11F00">
              <w:rPr>
                <w:rFonts w:ascii="Times New Roman" w:hAnsi="Times New Roman"/>
              </w:rPr>
              <w:t>†</w:t>
            </w:r>
          </w:p>
        </w:tc>
      </w:tr>
      <w:tr w:rsidR="00C11F00" w:rsidRPr="00C11F00" w:rsidTr="00C11F00">
        <w:tc>
          <w:tcPr>
            <w:tcW w:w="1704" w:type="pct"/>
          </w:tcPr>
          <w:p w:rsidR="001860CD" w:rsidRPr="00C11F00" w:rsidRDefault="001860CD" w:rsidP="006F0F5C">
            <w:pPr>
              <w:pStyle w:val="NoSpacing"/>
              <w:rPr>
                <w:rFonts w:ascii="Times New Roman" w:eastAsia="Times New Roman" w:hAnsi="Times New Roman"/>
                <w:sz w:val="24"/>
                <w:szCs w:val="24"/>
              </w:rPr>
            </w:pPr>
            <w:r w:rsidRPr="00C11F00">
              <w:rPr>
                <w:rFonts w:ascii="Times New Roman" w:eastAsia="Times New Roman" w:hAnsi="Times New Roman"/>
              </w:rPr>
              <w:t>Pulmonary</w:t>
            </w:r>
          </w:p>
        </w:tc>
        <w:tc>
          <w:tcPr>
            <w:tcW w:w="1422"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11</w:t>
            </w:r>
            <w:r w:rsidR="000402FE" w:rsidRPr="00C11F00">
              <w:rPr>
                <w:rFonts w:ascii="Times New Roman" w:eastAsia="Times New Roman" w:hAnsi="Times New Roman"/>
              </w:rPr>
              <w:t xml:space="preserve"> </w:t>
            </w:r>
            <w:r w:rsidRPr="00C11F00">
              <w:rPr>
                <w:rFonts w:ascii="Times New Roman" w:eastAsia="Times New Roman" w:hAnsi="Times New Roman"/>
              </w:rPr>
              <w:t>(28)</w:t>
            </w:r>
          </w:p>
        </w:tc>
        <w:tc>
          <w:tcPr>
            <w:tcW w:w="1281"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2 (4)</w:t>
            </w:r>
          </w:p>
        </w:tc>
        <w:tc>
          <w:tcPr>
            <w:tcW w:w="593"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0.001</w:t>
            </w:r>
          </w:p>
        </w:tc>
      </w:tr>
      <w:tr w:rsidR="00C11F00" w:rsidRPr="00C11F00" w:rsidTr="00C11F00">
        <w:tc>
          <w:tcPr>
            <w:tcW w:w="1704" w:type="pct"/>
          </w:tcPr>
          <w:p w:rsidR="001860CD" w:rsidRPr="00C11F00" w:rsidRDefault="001860CD" w:rsidP="006F0F5C">
            <w:pPr>
              <w:pStyle w:val="NoSpacing"/>
              <w:rPr>
                <w:rFonts w:ascii="Times New Roman" w:eastAsia="Times New Roman" w:hAnsi="Times New Roman"/>
                <w:sz w:val="24"/>
                <w:szCs w:val="24"/>
              </w:rPr>
            </w:pPr>
            <w:r w:rsidRPr="00C11F00">
              <w:rPr>
                <w:rFonts w:ascii="Times New Roman" w:eastAsia="Times New Roman" w:hAnsi="Times New Roman"/>
              </w:rPr>
              <w:t>Renal</w:t>
            </w:r>
          </w:p>
        </w:tc>
        <w:tc>
          <w:tcPr>
            <w:tcW w:w="1422"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6 (15)</w:t>
            </w:r>
          </w:p>
        </w:tc>
        <w:tc>
          <w:tcPr>
            <w:tcW w:w="1281"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2 (4)</w:t>
            </w:r>
          </w:p>
        </w:tc>
        <w:tc>
          <w:tcPr>
            <w:tcW w:w="593"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0.061</w:t>
            </w:r>
            <w:r w:rsidR="001758A7" w:rsidRPr="00C11F00">
              <w:rPr>
                <w:rFonts w:ascii="Times New Roman" w:hAnsi="Times New Roman"/>
              </w:rPr>
              <w:t>†</w:t>
            </w:r>
          </w:p>
        </w:tc>
      </w:tr>
      <w:tr w:rsidR="00C11F00" w:rsidRPr="00C11F00" w:rsidTr="00C11F00">
        <w:tc>
          <w:tcPr>
            <w:tcW w:w="1704" w:type="pct"/>
          </w:tcPr>
          <w:p w:rsidR="001860CD" w:rsidRPr="00C11F00" w:rsidRDefault="001860CD" w:rsidP="006F0F5C">
            <w:pPr>
              <w:pStyle w:val="NoSpacing"/>
              <w:rPr>
                <w:rFonts w:ascii="Times New Roman" w:eastAsia="Times New Roman" w:hAnsi="Times New Roman"/>
                <w:sz w:val="24"/>
                <w:szCs w:val="24"/>
              </w:rPr>
            </w:pPr>
            <w:r w:rsidRPr="00C11F00">
              <w:rPr>
                <w:rFonts w:ascii="Times New Roman" w:eastAsia="Times New Roman" w:hAnsi="Times New Roman"/>
              </w:rPr>
              <w:t>Gastrointestinal</w:t>
            </w:r>
          </w:p>
        </w:tc>
        <w:tc>
          <w:tcPr>
            <w:tcW w:w="1422"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12 (31)</w:t>
            </w:r>
          </w:p>
        </w:tc>
        <w:tc>
          <w:tcPr>
            <w:tcW w:w="1281"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6 (11)</w:t>
            </w:r>
          </w:p>
        </w:tc>
        <w:tc>
          <w:tcPr>
            <w:tcW w:w="593"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0.014</w:t>
            </w:r>
          </w:p>
        </w:tc>
      </w:tr>
      <w:tr w:rsidR="00C11F00" w:rsidRPr="00C11F00" w:rsidTr="00C11F00">
        <w:tc>
          <w:tcPr>
            <w:tcW w:w="1704" w:type="pct"/>
          </w:tcPr>
          <w:p w:rsidR="001860CD" w:rsidRPr="00C11F00" w:rsidRDefault="001860CD" w:rsidP="006F0F5C">
            <w:pPr>
              <w:pStyle w:val="NoSpacing"/>
              <w:rPr>
                <w:rFonts w:ascii="Times New Roman" w:eastAsia="Times New Roman" w:hAnsi="Times New Roman"/>
                <w:sz w:val="24"/>
                <w:szCs w:val="24"/>
              </w:rPr>
            </w:pPr>
            <w:r w:rsidRPr="00C11F00">
              <w:rPr>
                <w:rFonts w:ascii="Times New Roman" w:eastAsia="Times New Roman" w:hAnsi="Times New Roman"/>
              </w:rPr>
              <w:t>Cardiovascular</w:t>
            </w:r>
          </w:p>
        </w:tc>
        <w:tc>
          <w:tcPr>
            <w:tcW w:w="1422"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7 (18)</w:t>
            </w:r>
          </w:p>
        </w:tc>
        <w:tc>
          <w:tcPr>
            <w:tcW w:w="1281"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2 (4)</w:t>
            </w:r>
          </w:p>
        </w:tc>
        <w:tc>
          <w:tcPr>
            <w:tcW w:w="593"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0.019</w:t>
            </w:r>
          </w:p>
        </w:tc>
      </w:tr>
      <w:tr w:rsidR="00C11F00" w:rsidRPr="00C11F00" w:rsidTr="00C11F00">
        <w:tc>
          <w:tcPr>
            <w:tcW w:w="1704" w:type="pct"/>
          </w:tcPr>
          <w:p w:rsidR="001860CD" w:rsidRPr="00C11F00" w:rsidRDefault="001860CD" w:rsidP="006F0F5C">
            <w:pPr>
              <w:pStyle w:val="NoSpacing"/>
              <w:rPr>
                <w:rFonts w:ascii="Times New Roman" w:eastAsia="Times New Roman" w:hAnsi="Times New Roman"/>
                <w:sz w:val="24"/>
                <w:szCs w:val="24"/>
              </w:rPr>
            </w:pPr>
            <w:r w:rsidRPr="00C11F00">
              <w:rPr>
                <w:rFonts w:ascii="Times New Roman" w:eastAsia="Times New Roman" w:hAnsi="Times New Roman"/>
              </w:rPr>
              <w:t>Neurological</w:t>
            </w:r>
          </w:p>
        </w:tc>
        <w:tc>
          <w:tcPr>
            <w:tcW w:w="1422"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w:t>
            </w:r>
            <w:r w:rsidR="000402FE" w:rsidRPr="00C11F00">
              <w:rPr>
                <w:rFonts w:ascii="Times New Roman" w:eastAsia="Times New Roman" w:hAnsi="Times New Roman"/>
              </w:rPr>
              <w:t xml:space="preserve"> (0)</w:t>
            </w:r>
          </w:p>
        </w:tc>
        <w:tc>
          <w:tcPr>
            <w:tcW w:w="1281"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w:t>
            </w:r>
            <w:r w:rsidR="000402FE" w:rsidRPr="00C11F00">
              <w:rPr>
                <w:rFonts w:ascii="Times New Roman" w:eastAsia="Times New Roman" w:hAnsi="Times New Roman"/>
              </w:rPr>
              <w:t xml:space="preserve"> (0)</w:t>
            </w:r>
          </w:p>
        </w:tc>
        <w:tc>
          <w:tcPr>
            <w:tcW w:w="593"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1.000</w:t>
            </w:r>
            <w:r w:rsidR="001758A7" w:rsidRPr="00C11F00">
              <w:rPr>
                <w:rFonts w:ascii="Times New Roman" w:hAnsi="Times New Roman"/>
              </w:rPr>
              <w:t>†</w:t>
            </w:r>
          </w:p>
        </w:tc>
      </w:tr>
      <w:tr w:rsidR="00C11F00" w:rsidRPr="00C11F00" w:rsidTr="00C11F00">
        <w:tc>
          <w:tcPr>
            <w:tcW w:w="1704" w:type="pct"/>
          </w:tcPr>
          <w:p w:rsidR="001860CD" w:rsidRPr="00C11F00" w:rsidRDefault="001860CD" w:rsidP="006F0F5C">
            <w:pPr>
              <w:pStyle w:val="NoSpacing"/>
              <w:rPr>
                <w:rFonts w:ascii="Times New Roman" w:eastAsia="Times New Roman" w:hAnsi="Times New Roman"/>
                <w:sz w:val="24"/>
                <w:szCs w:val="24"/>
              </w:rPr>
            </w:pPr>
            <w:r w:rsidRPr="00C11F00">
              <w:rPr>
                <w:rFonts w:ascii="Times New Roman" w:eastAsia="Times New Roman" w:hAnsi="Times New Roman"/>
              </w:rPr>
              <w:t>Haematological</w:t>
            </w:r>
          </w:p>
        </w:tc>
        <w:tc>
          <w:tcPr>
            <w:tcW w:w="1422"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3 (8)</w:t>
            </w:r>
          </w:p>
        </w:tc>
        <w:tc>
          <w:tcPr>
            <w:tcW w:w="1281"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3 (5)</w:t>
            </w:r>
          </w:p>
        </w:tc>
        <w:tc>
          <w:tcPr>
            <w:tcW w:w="593"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0.687</w:t>
            </w:r>
            <w:r w:rsidR="001758A7" w:rsidRPr="00C11F00">
              <w:rPr>
                <w:rFonts w:ascii="Times New Roman" w:hAnsi="Times New Roman"/>
              </w:rPr>
              <w:t>†</w:t>
            </w:r>
          </w:p>
        </w:tc>
      </w:tr>
      <w:tr w:rsidR="00C11F00" w:rsidRPr="00C11F00" w:rsidTr="00C11F00">
        <w:tc>
          <w:tcPr>
            <w:tcW w:w="1704" w:type="pct"/>
          </w:tcPr>
          <w:p w:rsidR="001860CD" w:rsidRPr="00C11F00" w:rsidRDefault="001860CD" w:rsidP="006F0F5C">
            <w:pPr>
              <w:pStyle w:val="NoSpacing"/>
              <w:rPr>
                <w:rFonts w:ascii="Times New Roman" w:eastAsia="Times New Roman" w:hAnsi="Times New Roman"/>
                <w:sz w:val="24"/>
                <w:szCs w:val="24"/>
              </w:rPr>
            </w:pPr>
            <w:r w:rsidRPr="00C11F00">
              <w:rPr>
                <w:rFonts w:ascii="Times New Roman" w:eastAsia="Times New Roman" w:hAnsi="Times New Roman"/>
              </w:rPr>
              <w:t xml:space="preserve">New </w:t>
            </w:r>
            <w:r w:rsidR="006F0F5C" w:rsidRPr="00C11F00">
              <w:rPr>
                <w:rFonts w:ascii="Times New Roman" w:eastAsia="Times New Roman" w:hAnsi="Times New Roman"/>
              </w:rPr>
              <w:t>p</w:t>
            </w:r>
            <w:r w:rsidRPr="00C11F00">
              <w:rPr>
                <w:rFonts w:ascii="Times New Roman" w:eastAsia="Times New Roman" w:hAnsi="Times New Roman"/>
              </w:rPr>
              <w:t>ostop</w:t>
            </w:r>
            <w:r w:rsidR="006F0F5C" w:rsidRPr="00C11F00">
              <w:rPr>
                <w:rFonts w:ascii="Times New Roman" w:eastAsia="Times New Roman" w:hAnsi="Times New Roman"/>
              </w:rPr>
              <w:t>. p</w:t>
            </w:r>
            <w:r w:rsidRPr="00C11F00">
              <w:rPr>
                <w:rFonts w:ascii="Times New Roman" w:eastAsia="Times New Roman" w:hAnsi="Times New Roman"/>
              </w:rPr>
              <w:t>ain</w:t>
            </w:r>
          </w:p>
        </w:tc>
        <w:tc>
          <w:tcPr>
            <w:tcW w:w="1422"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4 (10)</w:t>
            </w:r>
          </w:p>
        </w:tc>
        <w:tc>
          <w:tcPr>
            <w:tcW w:w="1281"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1 (2)</w:t>
            </w:r>
          </w:p>
        </w:tc>
        <w:tc>
          <w:tcPr>
            <w:tcW w:w="593" w:type="pct"/>
          </w:tcPr>
          <w:p w:rsidR="001860CD" w:rsidRPr="00C11F00" w:rsidRDefault="001860CD"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0.155</w:t>
            </w:r>
            <w:r w:rsidR="001758A7" w:rsidRPr="00C11F00">
              <w:rPr>
                <w:rFonts w:ascii="Times New Roman" w:hAnsi="Times New Roman"/>
              </w:rPr>
              <w:t>†</w:t>
            </w:r>
          </w:p>
        </w:tc>
      </w:tr>
    </w:tbl>
    <w:p w:rsidR="009937D1" w:rsidRPr="00730F74" w:rsidRDefault="001758A7" w:rsidP="009937D1">
      <w:pPr>
        <w:pStyle w:val="NoSpacing1"/>
        <w:rPr>
          <w:rFonts w:ascii="Times New Roman" w:hAnsi="Times New Roman"/>
        </w:rPr>
      </w:pPr>
      <w:r w:rsidRPr="00730F74">
        <w:rPr>
          <w:rFonts w:ascii="Times New Roman" w:hAnsi="Times New Roman"/>
        </w:rPr>
        <w:t>Values are numbers of patients (with percentages in parentheses) dichotomized at optimal cut-off for oxygen uptake at estimated lactate threshold (</w:t>
      </w:r>
      <w:r w:rsidR="00DC0A2B" w:rsidRPr="00730F74">
        <w:rPr>
          <w:position w:val="-6"/>
        </w:rPr>
        <w:object w:dxaOrig="220" w:dyaOrig="300">
          <v:shape id="_x0000_i1129" type="#_x0000_t75" style="width:8.6pt;height:16.1pt" o:ole="">
            <v:imagedata r:id="rId24" o:title=""/>
          </v:shape>
          <o:OLEObject Type="Embed" ProgID="Equation.3" ShapeID="_x0000_i1129" DrawAspect="Content" ObjectID="_1460191830" r:id="rId114"/>
        </w:object>
      </w:r>
      <w:r w:rsidR="00DC0A2B" w:rsidRPr="00730F74">
        <w:rPr>
          <w:smallCaps/>
        </w:rPr>
        <w:t>o</w:t>
      </w:r>
      <w:r w:rsidR="00DC0A2B" w:rsidRPr="00730F74">
        <w:rPr>
          <w:vertAlign w:val="subscript"/>
        </w:rPr>
        <w:t>2</w:t>
      </w:r>
      <w:r w:rsidRPr="00730F74">
        <w:rPr>
          <w:rFonts w:ascii="Times New Roman" w:hAnsi="Times New Roman"/>
        </w:rPr>
        <w:t xml:space="preserve"> at </w:t>
      </w:r>
      <w:r w:rsidRPr="00730F74">
        <w:rPr>
          <w:rFonts w:ascii="Times New Roman" w:hAnsi="Times New Roman"/>
          <w:position w:val="-6"/>
        </w:rPr>
        <w:object w:dxaOrig="180" w:dyaOrig="320">
          <v:shape id="_x0000_i1075" type="#_x0000_t75" style="width:8.05pt;height:15.05pt" o:ole="">
            <v:imagedata r:id="rId49" o:title=""/>
          </v:shape>
          <o:OLEObject Type="Embed" ProgID="Equation.3" ShapeID="_x0000_i1075" DrawAspect="Content" ObjectID="_1460191831" r:id="rId115"/>
        </w:object>
      </w:r>
      <w:r w:rsidRPr="00730F74">
        <w:rPr>
          <w:rFonts w:ascii="Times New Roman" w:hAnsi="Times New Roman"/>
          <w:vertAlign w:val="subscript"/>
        </w:rPr>
        <w:t>L</w:t>
      </w:r>
      <w:r w:rsidRPr="00730F74">
        <w:rPr>
          <w:rFonts w:ascii="Times New Roman" w:hAnsi="Times New Roman"/>
        </w:rPr>
        <w:t xml:space="preserve"> of 10.6 ml per kg per min).</w:t>
      </w:r>
      <w:r w:rsidR="000402FE" w:rsidRPr="00730F74">
        <w:rPr>
          <w:rFonts w:ascii="Times New Roman" w:hAnsi="Times New Roman"/>
        </w:rPr>
        <w:t xml:space="preserve"> </w:t>
      </w:r>
      <w:proofErr w:type="gramStart"/>
      <w:r w:rsidRPr="00730F74">
        <w:rPr>
          <w:rFonts w:ascii="Times New Roman" w:hAnsi="Times New Roman"/>
        </w:rPr>
        <w:t xml:space="preserve">POMS, </w:t>
      </w:r>
      <w:r w:rsidR="000402FE" w:rsidRPr="00730F74">
        <w:rPr>
          <w:rFonts w:ascii="Times New Roman" w:hAnsi="Times New Roman"/>
        </w:rPr>
        <w:t>Postoperative Morbidity Survey</w:t>
      </w:r>
      <w:r w:rsidRPr="00730F74">
        <w:rPr>
          <w:rFonts w:ascii="Times New Roman" w:hAnsi="Times New Roman"/>
        </w:rPr>
        <w:t>.</w:t>
      </w:r>
      <w:proofErr w:type="gramEnd"/>
      <w:r w:rsidR="001860CD" w:rsidRPr="00730F74">
        <w:rPr>
          <w:rFonts w:ascii="Times New Roman" w:hAnsi="Times New Roman"/>
        </w:rPr>
        <w:t xml:space="preserve"> </w:t>
      </w:r>
      <w:proofErr w:type="gramStart"/>
      <w:r w:rsidRPr="00730F74">
        <w:rPr>
          <w:rFonts w:ascii="Times New Roman" w:hAnsi="Times New Roman"/>
        </w:rPr>
        <w:t>*χ</w:t>
      </w:r>
      <w:r w:rsidRPr="00730F74">
        <w:rPr>
          <w:rFonts w:ascii="Times New Roman" w:hAnsi="Times New Roman"/>
          <w:vertAlign w:val="superscript"/>
        </w:rPr>
        <w:t>2</w:t>
      </w:r>
      <w:r w:rsidRPr="00730F74">
        <w:rPr>
          <w:rFonts w:ascii="Times New Roman" w:hAnsi="Times New Roman"/>
        </w:rPr>
        <w:t xml:space="preserve"> test, except †</w:t>
      </w:r>
      <w:r w:rsidR="001860CD" w:rsidRPr="00730F74">
        <w:rPr>
          <w:rFonts w:ascii="Times New Roman" w:hAnsi="Times New Roman"/>
        </w:rPr>
        <w:t xml:space="preserve">Fisher’s </w:t>
      </w:r>
      <w:r w:rsidRPr="00730F74">
        <w:rPr>
          <w:rFonts w:ascii="Times New Roman" w:hAnsi="Times New Roman"/>
        </w:rPr>
        <w:t>e</w:t>
      </w:r>
      <w:r w:rsidR="001860CD" w:rsidRPr="00730F74">
        <w:rPr>
          <w:rFonts w:ascii="Times New Roman" w:hAnsi="Times New Roman"/>
        </w:rPr>
        <w:t>xact test</w:t>
      </w:r>
      <w:r w:rsidRPr="00730F74">
        <w:rPr>
          <w:rFonts w:ascii="Times New Roman" w:hAnsi="Times New Roman"/>
        </w:rPr>
        <w:t>.</w:t>
      </w:r>
      <w:proofErr w:type="gramEnd"/>
    </w:p>
    <w:p w:rsidR="009937D1" w:rsidRPr="00730F74" w:rsidRDefault="00D24AF4" w:rsidP="00D24AF4">
      <w:pPr>
        <w:pStyle w:val="NoSpacing1"/>
        <w:rPr>
          <w:rFonts w:ascii="Times New Roman" w:hAnsi="Times New Roman"/>
        </w:rPr>
      </w:pPr>
      <w:r w:rsidRPr="00730F74">
        <w:rPr>
          <w:rFonts w:ascii="Times New Roman" w:hAnsi="Times New Roman"/>
        </w:rPr>
        <w:br w:type="page"/>
      </w:r>
      <w:r w:rsidR="009937D1" w:rsidRPr="00730F74">
        <w:rPr>
          <w:rFonts w:ascii="Times New Roman" w:hAnsi="Times New Roman"/>
          <w:b/>
        </w:rPr>
        <w:lastRenderedPageBreak/>
        <w:t>Table</w:t>
      </w:r>
      <w:r w:rsidR="00730F74" w:rsidRPr="00730F74">
        <w:rPr>
          <w:rFonts w:ascii="Times New Roman" w:hAnsi="Times New Roman"/>
          <w:b/>
        </w:rPr>
        <w:t> </w:t>
      </w:r>
      <w:r w:rsidR="009937D1" w:rsidRPr="00730F74">
        <w:rPr>
          <w:rFonts w:ascii="Times New Roman" w:hAnsi="Times New Roman"/>
          <w:b/>
        </w:rPr>
        <w:t xml:space="preserve">5 </w:t>
      </w:r>
      <w:r w:rsidRPr="00730F74">
        <w:rPr>
          <w:rFonts w:ascii="Times New Roman" w:hAnsi="Times New Roman"/>
        </w:rPr>
        <w:t>T</w:t>
      </w:r>
      <w:r w:rsidR="009937D1" w:rsidRPr="00730F74">
        <w:rPr>
          <w:rFonts w:ascii="Times New Roman" w:hAnsi="Times New Roman"/>
        </w:rPr>
        <w:t xml:space="preserve">otal postoperative morbidity </w:t>
      </w:r>
      <w:r w:rsidR="00730F74" w:rsidRPr="00730F74">
        <w:rPr>
          <w:rFonts w:ascii="Times New Roman" w:hAnsi="Times New Roman"/>
        </w:rPr>
        <w:t>according to the</w:t>
      </w:r>
      <w:r w:rsidR="009937D1" w:rsidRPr="00730F74">
        <w:rPr>
          <w:rFonts w:ascii="Times New Roman" w:hAnsi="Times New Roman"/>
        </w:rPr>
        <w:t xml:space="preserve"> Dindo</w:t>
      </w:r>
      <w:r w:rsidR="00730F74" w:rsidRPr="00730F74">
        <w:rPr>
          <w:rFonts w:ascii="Times New Roman" w:hAnsi="Times New Roman"/>
        </w:rPr>
        <w:t>–</w:t>
      </w:r>
      <w:r w:rsidR="009937D1" w:rsidRPr="00730F74">
        <w:rPr>
          <w:rFonts w:ascii="Times New Roman" w:hAnsi="Times New Roman"/>
        </w:rPr>
        <w:t>Demartines</w:t>
      </w:r>
      <w:r w:rsidR="00730F74" w:rsidRPr="00730F74">
        <w:rPr>
          <w:rFonts w:ascii="Times New Roman" w:hAnsi="Times New Roman"/>
        </w:rPr>
        <w:t>–</w:t>
      </w:r>
      <w:r w:rsidR="009937D1" w:rsidRPr="00730F74">
        <w:rPr>
          <w:rFonts w:ascii="Times New Roman" w:hAnsi="Times New Roman"/>
        </w:rPr>
        <w:t xml:space="preserve">Clavien </w:t>
      </w:r>
      <w:r w:rsidR="00730F74" w:rsidRPr="00730F74">
        <w:rPr>
          <w:rFonts w:ascii="Times New Roman" w:hAnsi="Times New Roman"/>
        </w:rPr>
        <w:t>c</w:t>
      </w:r>
      <w:r w:rsidR="009937D1" w:rsidRPr="00730F74">
        <w:rPr>
          <w:rFonts w:ascii="Times New Roman" w:hAnsi="Times New Roman"/>
        </w:rPr>
        <w:t>lassification</w:t>
      </w:r>
      <w:r w:rsidR="00730F74" w:rsidRPr="00730F74">
        <w:rPr>
          <w:rFonts w:ascii="Times New Roman" w:hAnsi="Times New Roman"/>
          <w:vertAlign w:val="superscript"/>
        </w:rPr>
        <w:t>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5"/>
        <w:gridCol w:w="3729"/>
        <w:gridCol w:w="3758"/>
      </w:tblGrid>
      <w:tr w:rsidR="00D24AF4" w:rsidRPr="00C11F00" w:rsidTr="00C11F00">
        <w:tc>
          <w:tcPr>
            <w:tcW w:w="607" w:type="pct"/>
            <w:vAlign w:val="bottom"/>
          </w:tcPr>
          <w:p w:rsidR="00D24AF4" w:rsidRPr="00C11F00" w:rsidRDefault="00730F74" w:rsidP="00730F74">
            <w:pPr>
              <w:pStyle w:val="NoSpacing"/>
              <w:rPr>
                <w:rFonts w:ascii="Times New Roman" w:eastAsia="Times New Roman" w:hAnsi="Times New Roman"/>
                <w:b/>
                <w:sz w:val="24"/>
                <w:szCs w:val="24"/>
              </w:rPr>
            </w:pPr>
            <w:r w:rsidRPr="00C11F00">
              <w:rPr>
                <w:rFonts w:ascii="Times New Roman" w:eastAsia="Times New Roman" w:hAnsi="Times New Roman"/>
              </w:rPr>
              <w:t>Grade</w:t>
            </w:r>
          </w:p>
        </w:tc>
        <w:tc>
          <w:tcPr>
            <w:tcW w:w="2188"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hAnsi="Times New Roman"/>
              </w:rPr>
            </w:r>
            <w:r w:rsidR="00DC0A2B" w:rsidRPr="00C11F00">
              <w:rPr>
                <w:position w:val="-6"/>
              </w:rPr>
              <w:object w:dxaOrig="220" w:dyaOrig="300">
                <v:shape id="_x0000_i1130" type="#_x0000_t75" style="width:8.6pt;height:16.1pt" o:ole="">
                  <v:imagedata r:id="rId24" o:title=""/>
                </v:shape>
                <o:OLEObject Type="Embed" ProgID="Equation.3" ShapeID="_x0000_i1130" DrawAspect="Content" ObjectID="_1460191833" r:id="rId116"/>
              </w:object>
            </w:r>
            <w:r w:rsidR="00DC0A2B" w:rsidRPr="00C11F00">
              <w:rPr>
                <w:smallCaps/>
              </w:rPr>
              <w:t>o</w:t>
            </w:r>
            <w:r w:rsidR="00DC0A2B" w:rsidRPr="00C11F00">
              <w:rPr>
                <w:vertAlign w:val="subscript"/>
              </w:rPr>
              <w:t>2</w:t>
            </w:r>
            <w:r w:rsidR="00730F74" w:rsidRPr="00C11F00">
              <w:rPr>
                <w:rFonts w:ascii="Times New Roman" w:hAnsi="Times New Roman"/>
              </w:rPr>
              <w:t xml:space="preserve"> at </w:t>
            </w:r>
            <w:r w:rsidR="00730F74" w:rsidRPr="00C11F00">
              <w:rPr>
                <w:rFonts w:ascii="Times New Roman" w:hAnsi="Times New Roman"/>
                <w:position w:val="-6"/>
              </w:rPr>
              <w:object w:dxaOrig="180" w:dyaOrig="320">
                <v:shape id="_x0000_i1076" type="#_x0000_t75" style="width:8.05pt;height:15.05pt" o:ole="">
                  <v:imagedata r:id="rId49" o:title=""/>
                </v:shape>
                <o:OLEObject Type="Embed" ProgID="Equation.3" ShapeID="_x0000_i1076" DrawAspect="Content" ObjectID="_1460191834" r:id="rId117"/>
              </w:object>
            </w:r>
            <w:r w:rsidR="00730F74" w:rsidRPr="00C11F00">
              <w:rPr>
                <w:rFonts w:ascii="Times New Roman" w:hAnsi="Times New Roman"/>
                <w:vertAlign w:val="subscript"/>
              </w:rPr>
              <w:t>L</w:t>
            </w:r>
            <w:r w:rsidR="00730F74" w:rsidRPr="00C11F00">
              <w:rPr>
                <w:rFonts w:ascii="Times New Roman" w:eastAsia="Times New Roman" w:hAnsi="Times New Roman"/>
              </w:rPr>
              <w:t> &lt; 10.6</w:t>
            </w:r>
            <w:r w:rsidR="00730F74" w:rsidRPr="00C11F00">
              <w:rPr>
                <w:rFonts w:ascii="Times New Roman" w:eastAsia="Times New Roman" w:hAnsi="Times New Roman"/>
              </w:rPr>
              <w:br/>
              <w:t>(</w:t>
            </w:r>
            <w:r w:rsidR="00730F74" w:rsidRPr="00C11F00">
              <w:rPr>
                <w:rFonts w:ascii="Times New Roman" w:eastAsia="Times New Roman" w:hAnsi="Times New Roman"/>
                <w:i/>
              </w:rPr>
              <w:t>n</w:t>
            </w:r>
            <w:r w:rsidR="00730F74" w:rsidRPr="00C11F00">
              <w:rPr>
                <w:rFonts w:ascii="Times New Roman" w:eastAsia="Times New Roman" w:hAnsi="Times New Roman"/>
              </w:rPr>
              <w:t> = 39)</w:t>
            </w:r>
          </w:p>
        </w:tc>
        <w:tc>
          <w:tcPr>
            <w:tcW w:w="2205"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hAnsi="Times New Roman"/>
              </w:rPr>
            </w:r>
            <w:r w:rsidR="00DC0A2B" w:rsidRPr="00C11F00">
              <w:rPr>
                <w:position w:val="-6"/>
              </w:rPr>
              <w:object w:dxaOrig="220" w:dyaOrig="300">
                <v:shape id="_x0000_i1131" type="#_x0000_t75" style="width:8.6pt;height:16.1pt" o:ole="">
                  <v:imagedata r:id="rId24" o:title=""/>
                </v:shape>
                <o:OLEObject Type="Embed" ProgID="Equation.3" ShapeID="_x0000_i1131" DrawAspect="Content" ObjectID="_1460191836" r:id="rId118"/>
              </w:object>
            </w:r>
            <w:r w:rsidR="00DC0A2B" w:rsidRPr="00C11F00">
              <w:rPr>
                <w:smallCaps/>
              </w:rPr>
              <w:t>o</w:t>
            </w:r>
            <w:r w:rsidR="00DC0A2B" w:rsidRPr="00C11F00">
              <w:rPr>
                <w:vertAlign w:val="subscript"/>
              </w:rPr>
              <w:t>2</w:t>
            </w:r>
            <w:r w:rsidR="00730F74" w:rsidRPr="00C11F00">
              <w:rPr>
                <w:rFonts w:ascii="Times New Roman" w:hAnsi="Times New Roman"/>
                <w:sz w:val="24"/>
                <w:szCs w:val="24"/>
                <w:lang w:val="en-GB"/>
              </w:rPr>
              <w:t xml:space="preserve"> at </w:t>
            </w:r>
            <w:r w:rsidR="00730F74" w:rsidRPr="00C11F00">
              <w:rPr>
                <w:rFonts w:ascii="Times New Roman" w:hAnsi="Times New Roman"/>
                <w:position w:val="-6"/>
                <w:sz w:val="24"/>
                <w:szCs w:val="24"/>
                <w:lang w:val="en-GB"/>
              </w:rPr>
              <w:object w:dxaOrig="180" w:dyaOrig="320">
                <v:shape id="_x0000_i1077" type="#_x0000_t75" style="width:8.05pt;height:15.05pt" o:ole="">
                  <v:imagedata r:id="rId49" o:title=""/>
                </v:shape>
                <o:OLEObject Type="Embed" ProgID="Equation.3" ShapeID="_x0000_i1077" DrawAspect="Content" ObjectID="_1460191837" r:id="rId119"/>
              </w:object>
            </w:r>
            <w:r w:rsidR="00730F74" w:rsidRPr="00C11F00">
              <w:rPr>
                <w:rFonts w:ascii="Times New Roman" w:hAnsi="Times New Roman"/>
                <w:vertAlign w:val="subscript"/>
              </w:rPr>
              <w:t>L</w:t>
            </w:r>
            <w:r w:rsidR="00730F74" w:rsidRPr="00C11F00">
              <w:rPr>
                <w:rFonts w:ascii="Times New Roman" w:eastAsia="Times New Roman" w:hAnsi="Times New Roman"/>
              </w:rPr>
              <w:t> ≥ 10.6</w:t>
            </w:r>
            <w:r w:rsidR="00730F74" w:rsidRPr="00C11F00">
              <w:rPr>
                <w:rFonts w:ascii="Times New Roman" w:eastAsia="Times New Roman" w:hAnsi="Times New Roman"/>
              </w:rPr>
              <w:br/>
              <w:t>(</w:t>
            </w:r>
            <w:r w:rsidR="00730F74" w:rsidRPr="00C11F00">
              <w:rPr>
                <w:rFonts w:ascii="Times New Roman" w:eastAsia="Times New Roman" w:hAnsi="Times New Roman"/>
                <w:i/>
              </w:rPr>
              <w:t>n </w:t>
            </w:r>
            <w:r w:rsidR="00730F74" w:rsidRPr="00C11F00">
              <w:rPr>
                <w:rFonts w:ascii="Times New Roman" w:eastAsia="Times New Roman" w:hAnsi="Times New Roman"/>
              </w:rPr>
              <w:t>= 56)</w:t>
            </w:r>
          </w:p>
        </w:tc>
      </w:tr>
      <w:tr w:rsidR="00D24AF4" w:rsidRPr="00C11F00" w:rsidTr="00C11F00">
        <w:tc>
          <w:tcPr>
            <w:tcW w:w="607" w:type="pct"/>
          </w:tcPr>
          <w:p w:rsidR="00D24AF4" w:rsidRPr="00C11F00" w:rsidRDefault="00D24AF4" w:rsidP="00D24AF4">
            <w:pPr>
              <w:pStyle w:val="NoSpacing"/>
              <w:rPr>
                <w:rFonts w:ascii="Times New Roman" w:eastAsia="Times New Roman" w:hAnsi="Times New Roman"/>
                <w:sz w:val="24"/>
                <w:szCs w:val="24"/>
              </w:rPr>
            </w:pPr>
            <w:r w:rsidRPr="00C11F00">
              <w:rPr>
                <w:rFonts w:ascii="Times New Roman" w:eastAsia="Times New Roman" w:hAnsi="Times New Roman"/>
              </w:rPr>
              <w:t>1</w:t>
            </w:r>
          </w:p>
        </w:tc>
        <w:tc>
          <w:tcPr>
            <w:tcW w:w="2188"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7 (18)</w:t>
            </w:r>
          </w:p>
        </w:tc>
        <w:tc>
          <w:tcPr>
            <w:tcW w:w="2205"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3 (5)</w:t>
            </w:r>
          </w:p>
        </w:tc>
      </w:tr>
      <w:tr w:rsidR="00D24AF4" w:rsidRPr="00C11F00" w:rsidTr="00C11F00">
        <w:tc>
          <w:tcPr>
            <w:tcW w:w="607" w:type="pct"/>
          </w:tcPr>
          <w:p w:rsidR="00D24AF4" w:rsidRPr="00C11F00" w:rsidRDefault="00D24AF4" w:rsidP="00D24AF4">
            <w:pPr>
              <w:pStyle w:val="NoSpacing"/>
              <w:rPr>
                <w:rFonts w:ascii="Times New Roman" w:eastAsia="Times New Roman" w:hAnsi="Times New Roman"/>
                <w:sz w:val="24"/>
                <w:szCs w:val="24"/>
              </w:rPr>
            </w:pPr>
            <w:r w:rsidRPr="00C11F00">
              <w:rPr>
                <w:rFonts w:ascii="Times New Roman" w:eastAsia="Times New Roman" w:hAnsi="Times New Roman"/>
              </w:rPr>
              <w:t>2</w:t>
            </w:r>
          </w:p>
        </w:tc>
        <w:tc>
          <w:tcPr>
            <w:tcW w:w="2188"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14 (36)</w:t>
            </w:r>
          </w:p>
        </w:tc>
        <w:tc>
          <w:tcPr>
            <w:tcW w:w="2205" w:type="pct"/>
            <w:vAlign w:val="bottom"/>
          </w:tcPr>
          <w:p w:rsidR="00D24AF4" w:rsidRPr="00C11F00" w:rsidRDefault="00D24AF4" w:rsidP="00C11F00">
            <w:pPr>
              <w:pStyle w:val="NoSpacing"/>
              <w:jc w:val="center"/>
              <w:rPr>
                <w:rFonts w:ascii="Times New Roman" w:eastAsia="Times New Roman" w:hAnsi="Times New Roman"/>
                <w:sz w:val="24"/>
                <w:szCs w:val="24"/>
              </w:rPr>
            </w:pPr>
            <w:commentRangeStart w:id="17"/>
            <w:r w:rsidRPr="00C11F00">
              <w:rPr>
                <w:rFonts w:ascii="Times New Roman" w:eastAsia="Times New Roman" w:hAnsi="Times New Roman"/>
                <w:highlight w:val="yellow"/>
              </w:rPr>
              <w:t>5</w:t>
            </w:r>
            <w:r w:rsidR="00DC0A2B" w:rsidRPr="00C11F00">
              <w:rPr>
                <w:rFonts w:ascii="Times New Roman" w:eastAsia="Times New Roman" w:hAnsi="Times New Roman"/>
                <w:highlight w:val="yellow"/>
              </w:rPr>
              <w:t xml:space="preserve"> (10</w:t>
            </w:r>
            <w:r w:rsidRPr="00C11F00">
              <w:rPr>
                <w:rFonts w:ascii="Times New Roman" w:eastAsia="Times New Roman" w:hAnsi="Times New Roman"/>
                <w:highlight w:val="yellow"/>
              </w:rPr>
              <w:t>)</w:t>
            </w:r>
            <w:commentRangeEnd w:id="17"/>
            <w:r w:rsidR="00730F74" w:rsidRPr="00C11F00">
              <w:rPr>
                <w:rStyle w:val="CommentReference"/>
                <w:rFonts w:ascii="Times New Roman" w:hAnsi="Times New Roman"/>
                <w:vanish/>
                <w:lang w:val="en-GB"/>
              </w:rPr>
              <w:commentReference w:id="17"/>
            </w:r>
          </w:p>
        </w:tc>
      </w:tr>
      <w:tr w:rsidR="00D24AF4" w:rsidRPr="00C11F00" w:rsidTr="00C11F00">
        <w:tc>
          <w:tcPr>
            <w:tcW w:w="607" w:type="pct"/>
          </w:tcPr>
          <w:p w:rsidR="00D24AF4" w:rsidRPr="00C11F00" w:rsidRDefault="00D24AF4" w:rsidP="00D24AF4">
            <w:pPr>
              <w:pStyle w:val="NoSpacing"/>
              <w:rPr>
                <w:rFonts w:ascii="Times New Roman" w:eastAsia="Times New Roman" w:hAnsi="Times New Roman"/>
                <w:sz w:val="24"/>
                <w:szCs w:val="24"/>
              </w:rPr>
            </w:pPr>
            <w:r w:rsidRPr="00C11F00">
              <w:rPr>
                <w:rFonts w:ascii="Times New Roman" w:eastAsia="Times New Roman" w:hAnsi="Times New Roman"/>
              </w:rPr>
              <w:t>3a</w:t>
            </w:r>
          </w:p>
        </w:tc>
        <w:tc>
          <w:tcPr>
            <w:tcW w:w="2188"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1 (3)</w:t>
            </w:r>
          </w:p>
        </w:tc>
        <w:tc>
          <w:tcPr>
            <w:tcW w:w="2205"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w:t>
            </w:r>
            <w:r w:rsidR="00730F74" w:rsidRPr="00C11F00">
              <w:rPr>
                <w:rFonts w:ascii="Times New Roman" w:eastAsia="Times New Roman" w:hAnsi="Times New Roman"/>
              </w:rPr>
              <w:t xml:space="preserve"> (0)</w:t>
            </w:r>
          </w:p>
        </w:tc>
      </w:tr>
      <w:tr w:rsidR="00D24AF4" w:rsidRPr="00C11F00" w:rsidTr="00C11F00">
        <w:tc>
          <w:tcPr>
            <w:tcW w:w="607" w:type="pct"/>
          </w:tcPr>
          <w:p w:rsidR="00D24AF4" w:rsidRPr="00C11F00" w:rsidRDefault="00D24AF4" w:rsidP="00D24AF4">
            <w:pPr>
              <w:pStyle w:val="NoSpacing"/>
              <w:rPr>
                <w:rFonts w:ascii="Times New Roman" w:eastAsia="Times New Roman" w:hAnsi="Times New Roman"/>
                <w:sz w:val="24"/>
                <w:szCs w:val="24"/>
              </w:rPr>
            </w:pPr>
            <w:r w:rsidRPr="00C11F00">
              <w:rPr>
                <w:rFonts w:ascii="Times New Roman" w:eastAsia="Times New Roman" w:hAnsi="Times New Roman"/>
              </w:rPr>
              <w:t>3b</w:t>
            </w:r>
          </w:p>
        </w:tc>
        <w:tc>
          <w:tcPr>
            <w:tcW w:w="2188"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8 (23)</w:t>
            </w:r>
          </w:p>
        </w:tc>
        <w:tc>
          <w:tcPr>
            <w:tcW w:w="2205"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1 (2)</w:t>
            </w:r>
          </w:p>
        </w:tc>
      </w:tr>
      <w:tr w:rsidR="00D24AF4" w:rsidRPr="00C11F00" w:rsidTr="00C11F00">
        <w:tc>
          <w:tcPr>
            <w:tcW w:w="607" w:type="pct"/>
          </w:tcPr>
          <w:p w:rsidR="00D24AF4" w:rsidRPr="00C11F00" w:rsidRDefault="00D24AF4" w:rsidP="00D24AF4">
            <w:pPr>
              <w:pStyle w:val="NoSpacing"/>
              <w:rPr>
                <w:rFonts w:ascii="Times New Roman" w:eastAsia="Times New Roman" w:hAnsi="Times New Roman"/>
                <w:sz w:val="24"/>
                <w:szCs w:val="24"/>
              </w:rPr>
            </w:pPr>
            <w:r w:rsidRPr="00C11F00">
              <w:rPr>
                <w:rFonts w:ascii="Times New Roman" w:eastAsia="Times New Roman" w:hAnsi="Times New Roman"/>
              </w:rPr>
              <w:t>4a</w:t>
            </w:r>
          </w:p>
        </w:tc>
        <w:tc>
          <w:tcPr>
            <w:tcW w:w="2188"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5 (13)</w:t>
            </w:r>
          </w:p>
        </w:tc>
        <w:tc>
          <w:tcPr>
            <w:tcW w:w="2205"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1 (2)</w:t>
            </w:r>
          </w:p>
        </w:tc>
      </w:tr>
      <w:tr w:rsidR="00D24AF4" w:rsidRPr="00C11F00" w:rsidTr="00C11F00">
        <w:tc>
          <w:tcPr>
            <w:tcW w:w="607" w:type="pct"/>
          </w:tcPr>
          <w:p w:rsidR="00D24AF4" w:rsidRPr="00C11F00" w:rsidRDefault="00D24AF4" w:rsidP="00D24AF4">
            <w:pPr>
              <w:pStyle w:val="NoSpacing"/>
              <w:rPr>
                <w:rFonts w:ascii="Times New Roman" w:eastAsia="Times New Roman" w:hAnsi="Times New Roman"/>
                <w:sz w:val="24"/>
                <w:szCs w:val="24"/>
              </w:rPr>
            </w:pPr>
            <w:r w:rsidRPr="00C11F00">
              <w:rPr>
                <w:rFonts w:ascii="Times New Roman" w:eastAsia="Times New Roman" w:hAnsi="Times New Roman"/>
              </w:rPr>
              <w:t>4b</w:t>
            </w:r>
          </w:p>
        </w:tc>
        <w:tc>
          <w:tcPr>
            <w:tcW w:w="2188"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w:t>
            </w:r>
            <w:r w:rsidR="00730F74" w:rsidRPr="00C11F00">
              <w:rPr>
                <w:rFonts w:ascii="Times New Roman" w:eastAsia="Times New Roman" w:hAnsi="Times New Roman"/>
              </w:rPr>
              <w:t xml:space="preserve"> (0)</w:t>
            </w:r>
          </w:p>
        </w:tc>
        <w:tc>
          <w:tcPr>
            <w:tcW w:w="2205"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1 (2)</w:t>
            </w:r>
          </w:p>
        </w:tc>
      </w:tr>
      <w:tr w:rsidR="00D24AF4" w:rsidRPr="00C11F00" w:rsidTr="00C11F00">
        <w:tc>
          <w:tcPr>
            <w:tcW w:w="607" w:type="pct"/>
          </w:tcPr>
          <w:p w:rsidR="00D24AF4" w:rsidRPr="00C11F00" w:rsidRDefault="00D24AF4" w:rsidP="00D24AF4">
            <w:pPr>
              <w:pStyle w:val="NoSpacing"/>
              <w:rPr>
                <w:rFonts w:ascii="Times New Roman" w:eastAsia="Times New Roman" w:hAnsi="Times New Roman"/>
                <w:sz w:val="24"/>
                <w:szCs w:val="24"/>
              </w:rPr>
            </w:pPr>
            <w:r w:rsidRPr="00C11F00">
              <w:rPr>
                <w:rFonts w:ascii="Times New Roman" w:eastAsia="Times New Roman" w:hAnsi="Times New Roman"/>
              </w:rPr>
              <w:t>5</w:t>
            </w:r>
          </w:p>
        </w:tc>
        <w:tc>
          <w:tcPr>
            <w:tcW w:w="2188"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w:t>
            </w:r>
            <w:r w:rsidR="00730F74" w:rsidRPr="00C11F00">
              <w:rPr>
                <w:rFonts w:ascii="Times New Roman" w:eastAsia="Times New Roman" w:hAnsi="Times New Roman"/>
              </w:rPr>
              <w:t xml:space="preserve"> (0)</w:t>
            </w:r>
          </w:p>
        </w:tc>
        <w:tc>
          <w:tcPr>
            <w:tcW w:w="2205" w:type="pct"/>
            <w:vAlign w:val="bottom"/>
          </w:tcPr>
          <w:p w:rsidR="00D24AF4" w:rsidRPr="00C11F00" w:rsidRDefault="00D24AF4" w:rsidP="00C11F00">
            <w:pPr>
              <w:pStyle w:val="NoSpacing"/>
              <w:jc w:val="center"/>
              <w:rPr>
                <w:rFonts w:ascii="Times New Roman" w:eastAsia="Times New Roman" w:hAnsi="Times New Roman"/>
                <w:sz w:val="24"/>
                <w:szCs w:val="24"/>
              </w:rPr>
            </w:pPr>
            <w:r w:rsidRPr="00C11F00">
              <w:rPr>
                <w:rFonts w:ascii="Times New Roman" w:eastAsia="Times New Roman" w:hAnsi="Times New Roman"/>
              </w:rPr>
              <w:t>0</w:t>
            </w:r>
            <w:r w:rsidR="00730F74" w:rsidRPr="00C11F00">
              <w:rPr>
                <w:rFonts w:ascii="Times New Roman" w:eastAsia="Times New Roman" w:hAnsi="Times New Roman"/>
              </w:rPr>
              <w:t xml:space="preserve"> (0)</w:t>
            </w:r>
          </w:p>
        </w:tc>
      </w:tr>
    </w:tbl>
    <w:p w:rsidR="00D24AF4" w:rsidRPr="00730F74" w:rsidRDefault="00730F74" w:rsidP="00D24AF4">
      <w:pPr>
        <w:spacing w:line="240" w:lineRule="auto"/>
      </w:pPr>
      <w:r w:rsidRPr="00730F74">
        <w:t>Values are numbers of patients (with percentages in parentheses) dichotomized at optimal cut-off for oxygen uptake at estimated lactate threshold (</w:t>
      </w:r>
      <w:r w:rsidR="00DC0A2B" w:rsidRPr="00730F74">
        <w:rPr>
          <w:position w:val="-6"/>
        </w:rPr>
        <w:object w:dxaOrig="220" w:dyaOrig="300">
          <v:shape id="_x0000_i1132" type="#_x0000_t75" style="width:8.6pt;height:16.1pt" o:ole="">
            <v:imagedata r:id="rId24" o:title=""/>
          </v:shape>
          <o:OLEObject Type="Embed" ProgID="Equation.3" ShapeID="_x0000_i1132" DrawAspect="Content" ObjectID="_1460191838" r:id="rId120"/>
        </w:object>
      </w:r>
      <w:r w:rsidR="00DC0A2B" w:rsidRPr="00730F74">
        <w:rPr>
          <w:smallCaps/>
        </w:rPr>
        <w:t>o</w:t>
      </w:r>
      <w:r w:rsidR="00DC0A2B" w:rsidRPr="00730F74">
        <w:rPr>
          <w:vertAlign w:val="subscript"/>
        </w:rPr>
        <w:t>2</w:t>
      </w:r>
      <w:r w:rsidRPr="00730F74">
        <w:t xml:space="preserve"> at </w:t>
      </w:r>
      <w:r w:rsidRPr="00730F74">
        <w:rPr>
          <w:position w:val="-6"/>
        </w:rPr>
        <w:object w:dxaOrig="180" w:dyaOrig="320">
          <v:shape id="_x0000_i1078" type="#_x0000_t75" style="width:8.05pt;height:15.05pt" o:ole="">
            <v:imagedata r:id="rId49" o:title=""/>
          </v:shape>
          <o:OLEObject Type="Embed" ProgID="Equation.3" ShapeID="_x0000_i1078" DrawAspect="Content" ObjectID="_1460191839" r:id="rId121"/>
        </w:object>
      </w:r>
      <w:r w:rsidRPr="00730F74">
        <w:rPr>
          <w:vertAlign w:val="subscript"/>
        </w:rPr>
        <w:t>L</w:t>
      </w:r>
      <w:r w:rsidRPr="00730F74">
        <w:t xml:space="preserve"> of 10.6 ml per kg per min). </w:t>
      </w:r>
      <w:proofErr w:type="gramStart"/>
      <w:r w:rsidR="00D24AF4" w:rsidRPr="00730F74">
        <w:rPr>
          <w:i/>
        </w:rPr>
        <w:t>P</w:t>
      </w:r>
      <w:r>
        <w:t> &lt; 0.001 (Fisher’s exact test).</w:t>
      </w:r>
      <w:proofErr w:type="gramEnd"/>
    </w:p>
    <w:p w:rsidR="00D24AF4" w:rsidRPr="00730F74" w:rsidRDefault="00D24AF4" w:rsidP="00D24AF4">
      <w:pPr>
        <w:spacing w:line="240" w:lineRule="auto"/>
      </w:pPr>
    </w:p>
    <w:sectPr w:rsidR="00D24AF4" w:rsidRPr="00730F74" w:rsidSect="009937D1">
      <w:pgSz w:w="11906" w:h="16838"/>
      <w:pgMar w:top="1440" w:right="1800" w:bottom="1440" w:left="180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date="2014-04-28T11:04:00Z" w:initials="AU">
    <w:p w:rsidR="003214F3" w:rsidRDefault="003214F3" w:rsidP="00FA1F2D">
      <w:pPr>
        <w:pStyle w:val="CommentText"/>
      </w:pPr>
      <w:r>
        <w:rPr>
          <w:rStyle w:val="CommentReference"/>
        </w:rPr>
        <w:annotationRef/>
      </w:r>
      <w:r>
        <w:t>Au: Is the Colorectal Surgery Research Group affiliated to a particular department?</w:t>
      </w:r>
    </w:p>
    <w:p w:rsidR="00A92B0C" w:rsidRDefault="00A92B0C" w:rsidP="00FA1F2D">
      <w:pPr>
        <w:pStyle w:val="CommentText"/>
      </w:pPr>
    </w:p>
    <w:p w:rsidR="00A92B0C" w:rsidRDefault="00A92B0C" w:rsidP="00FA1F2D">
      <w:pPr>
        <w:pStyle w:val="CommentText"/>
      </w:pPr>
      <w:r>
        <w:t>“Department of Surgery”</w:t>
      </w:r>
    </w:p>
  </w:comment>
  <w:comment w:id="1" w:author="Author" w:date="2014-04-15T13:12:00Z" w:initials="AU">
    <w:p w:rsidR="003214F3" w:rsidRPr="00E61287" w:rsidRDefault="003214F3">
      <w:pPr>
        <w:pStyle w:val="CommentText"/>
        <w:rPr>
          <w:b/>
          <w:color w:val="FF0000"/>
        </w:rPr>
      </w:pPr>
      <w:r>
        <w:rPr>
          <w:rStyle w:val="CommentReference"/>
        </w:rPr>
        <w:annotationRef/>
      </w:r>
      <w:r w:rsidRPr="00E61287">
        <w:rPr>
          <w:b/>
          <w:color w:val="FF0000"/>
        </w:rPr>
        <w:t xml:space="preserve">TYPESETTER: THROUGHOUT PLEASE JOIN UP THE “V” WITH THE </w:t>
      </w:r>
      <w:r w:rsidRPr="00E61287">
        <w:rPr>
          <w:b/>
          <w:smallCaps/>
          <w:color w:val="FF0000"/>
        </w:rPr>
        <w:t>o</w:t>
      </w:r>
      <w:r w:rsidRPr="00E61287">
        <w:rPr>
          <w:b/>
          <w:color w:val="FF0000"/>
          <w:vertAlign w:val="subscript"/>
        </w:rPr>
        <w:t>2</w:t>
      </w:r>
    </w:p>
  </w:comment>
  <w:comment w:id="2" w:author="Malcolm" w:date="2014-04-28T11:16:00Z" w:initials="M">
    <w:p w:rsidR="00737D7B" w:rsidRDefault="00737D7B">
      <w:pPr>
        <w:pStyle w:val="CommentText"/>
      </w:pPr>
      <w:r>
        <w:rPr>
          <w:rStyle w:val="CommentReference"/>
        </w:rPr>
        <w:annotationRef/>
      </w:r>
      <w:r>
        <w:t>Is this correct?</w:t>
      </w:r>
    </w:p>
  </w:comment>
  <w:comment w:id="3" w:author="Author" w:date="2014-04-28T11:05:00Z" w:initials="AU">
    <w:p w:rsidR="003214F3" w:rsidRDefault="003214F3">
      <w:pPr>
        <w:pStyle w:val="CommentText"/>
      </w:pPr>
      <w:r>
        <w:rPr>
          <w:rStyle w:val="CommentReference"/>
        </w:rPr>
        <w:annotationRef/>
      </w:r>
      <w:r>
        <w:t>Au: Do you mean “Duke Activity Status Index score”?</w:t>
      </w:r>
    </w:p>
    <w:p w:rsidR="00A92B0C" w:rsidRDefault="00A92B0C">
      <w:pPr>
        <w:pStyle w:val="CommentText"/>
      </w:pPr>
      <w:r>
        <w:t>YES</w:t>
      </w:r>
    </w:p>
  </w:comment>
  <w:comment w:id="4" w:author="Author" w:date="2014-04-28T11:06:00Z" w:initials="AU">
    <w:p w:rsidR="003214F3" w:rsidRDefault="003214F3">
      <w:pPr>
        <w:pStyle w:val="CommentText"/>
      </w:pPr>
      <w:r>
        <w:rPr>
          <w:rStyle w:val="CommentReference"/>
        </w:rPr>
        <w:annotationRef/>
      </w:r>
      <w:r>
        <w:t xml:space="preserve">Au: Is this Ergoselect 200 from the manufacturer Ergoline, </w:t>
      </w:r>
      <w:proofErr w:type="spellStart"/>
      <w:r>
        <w:t>Bitz</w:t>
      </w:r>
      <w:proofErr w:type="spellEnd"/>
      <w:r>
        <w:t>, Germany?</w:t>
      </w:r>
    </w:p>
    <w:p w:rsidR="00A92B0C" w:rsidRDefault="00A92B0C">
      <w:pPr>
        <w:pStyle w:val="CommentText"/>
      </w:pPr>
    </w:p>
    <w:p w:rsidR="00A92B0C" w:rsidRDefault="00A92B0C">
      <w:pPr>
        <w:pStyle w:val="CommentText"/>
      </w:pPr>
      <w:r>
        <w:t>YES</w:t>
      </w:r>
    </w:p>
  </w:comment>
  <w:comment w:id="5" w:author="Author" w:date="2014-04-28T11:07:00Z" w:initials="AU">
    <w:p w:rsidR="003214F3" w:rsidRDefault="003214F3">
      <w:pPr>
        <w:pStyle w:val="CommentText"/>
      </w:pPr>
      <w:r>
        <w:rPr>
          <w:rStyle w:val="CommentReference"/>
        </w:rPr>
        <w:annotationRef/>
      </w:r>
      <w:r>
        <w:t xml:space="preserve">Au: Please clarify what these units are, as W is usually the symbol for watts - or do these units indicate the “work rate” at a particular ramp gradient? </w:t>
      </w:r>
    </w:p>
    <w:p w:rsidR="00A92B0C" w:rsidRDefault="00A92B0C">
      <w:pPr>
        <w:pStyle w:val="CommentText"/>
      </w:pPr>
    </w:p>
    <w:p w:rsidR="00A92B0C" w:rsidRDefault="00A92B0C">
      <w:pPr>
        <w:pStyle w:val="CommentText"/>
      </w:pPr>
      <w:r>
        <w:t>Ramp is set in Watts/min</w:t>
      </w:r>
    </w:p>
  </w:comment>
  <w:comment w:id="6" w:author="Author" w:date="2014-04-15T14:00:00Z" w:initials="AU">
    <w:p w:rsidR="003214F3" w:rsidRPr="00C93250" w:rsidRDefault="003214F3">
      <w:pPr>
        <w:pStyle w:val="CommentText"/>
        <w:rPr>
          <w:b/>
        </w:rPr>
      </w:pPr>
      <w:r>
        <w:rPr>
          <w:rStyle w:val="CommentReference"/>
        </w:rPr>
        <w:annotationRef/>
      </w:r>
      <w:r w:rsidRPr="00C93250">
        <w:rPr>
          <w:b/>
        </w:rPr>
        <w:t>TYPESETTER: Please remove all spaces in V</w:t>
      </w:r>
      <w:r w:rsidRPr="00C93250">
        <w:rPr>
          <w:b/>
          <w:vertAlign w:val="subscript"/>
        </w:rPr>
        <w:t>E</w:t>
      </w:r>
      <w:r w:rsidRPr="00C93250">
        <w:rPr>
          <w:b/>
        </w:rPr>
        <w:t>/Vo</w:t>
      </w:r>
      <w:r w:rsidRPr="00C93250">
        <w:rPr>
          <w:b/>
          <w:vertAlign w:val="subscript"/>
        </w:rPr>
        <w:t xml:space="preserve">2 </w:t>
      </w:r>
      <w:r w:rsidRPr="00C93250">
        <w:rPr>
          <w:b/>
        </w:rPr>
        <w:t>and VE/Vco</w:t>
      </w:r>
      <w:r w:rsidRPr="00C93250">
        <w:rPr>
          <w:b/>
          <w:vertAlign w:val="subscript"/>
        </w:rPr>
        <w:t>2</w:t>
      </w:r>
    </w:p>
  </w:comment>
  <w:comment w:id="7" w:author="Author" w:date="2014-04-28T11:10:00Z" w:initials="AU">
    <w:p w:rsidR="003214F3" w:rsidRDefault="003214F3">
      <w:pPr>
        <w:pStyle w:val="CommentText"/>
      </w:pPr>
      <w:r>
        <w:rPr>
          <w:rStyle w:val="CommentReference"/>
        </w:rPr>
        <w:annotationRef/>
      </w:r>
      <w:r>
        <w:t xml:space="preserve">Au: Is this “end-tidal partial pressure of oxygen” - </w:t>
      </w:r>
      <w:r w:rsidRPr="007E1059">
        <w:rPr>
          <w:i/>
        </w:rPr>
        <w:t>P</w:t>
      </w:r>
      <w:r>
        <w:t>et</w:t>
      </w:r>
      <w:r w:rsidRPr="007E1059">
        <w:rPr>
          <w:smallCaps/>
        </w:rPr>
        <w:t>o</w:t>
      </w:r>
      <w:r w:rsidRPr="007E1059">
        <w:rPr>
          <w:vertAlign w:val="subscript"/>
        </w:rPr>
        <w:t>2</w:t>
      </w:r>
      <w:r>
        <w:t>?</w:t>
      </w:r>
    </w:p>
    <w:p w:rsidR="00C4373E" w:rsidRDefault="00C4373E">
      <w:pPr>
        <w:pStyle w:val="CommentText"/>
      </w:pPr>
      <w:r>
        <w:t>YES please format accordingly</w:t>
      </w:r>
    </w:p>
  </w:comment>
  <w:comment w:id="8" w:author="Author" w:date="2014-04-28T11:10:00Z" w:initials="AU">
    <w:p w:rsidR="003214F3" w:rsidRDefault="003214F3">
      <w:pPr>
        <w:pStyle w:val="CommentText"/>
      </w:pPr>
      <w:r>
        <w:rPr>
          <w:rStyle w:val="CommentReference"/>
        </w:rPr>
        <w:annotationRef/>
      </w:r>
      <w:r>
        <w:t xml:space="preserve">Au: Is this “end-tidal partial pressure of carbon dioxide” - </w:t>
      </w:r>
      <w:r w:rsidRPr="007E1059">
        <w:rPr>
          <w:i/>
        </w:rPr>
        <w:t>P</w:t>
      </w:r>
      <w:r>
        <w:t>et</w:t>
      </w:r>
      <w:r w:rsidRPr="00D27B15">
        <w:rPr>
          <w:smallCaps/>
        </w:rPr>
        <w:t>c</w:t>
      </w:r>
      <w:r w:rsidRPr="007E1059">
        <w:rPr>
          <w:smallCaps/>
        </w:rPr>
        <w:t>o</w:t>
      </w:r>
      <w:r w:rsidRPr="007E1059">
        <w:rPr>
          <w:vertAlign w:val="subscript"/>
        </w:rPr>
        <w:t>2</w:t>
      </w:r>
      <w:r>
        <w:t>?</w:t>
      </w:r>
    </w:p>
    <w:p w:rsidR="00C4373E" w:rsidRDefault="00C4373E">
      <w:pPr>
        <w:pStyle w:val="CommentText"/>
      </w:pPr>
      <w:r>
        <w:t>YES please format accordingly</w:t>
      </w:r>
    </w:p>
  </w:comment>
  <w:comment w:id="9" w:author="Author" w:date="2014-04-28T11:11:00Z" w:initials="AU">
    <w:p w:rsidR="003214F3" w:rsidRDefault="003214F3">
      <w:pPr>
        <w:pStyle w:val="CommentText"/>
      </w:pPr>
      <w:r>
        <w:rPr>
          <w:rStyle w:val="CommentReference"/>
        </w:rPr>
        <w:annotationRef/>
      </w:r>
      <w:r>
        <w:t>Au: What are the relevant units for work rate?</w:t>
      </w:r>
    </w:p>
    <w:p w:rsidR="00C4373E" w:rsidRDefault="00C4373E">
      <w:pPr>
        <w:pStyle w:val="CommentText"/>
      </w:pPr>
    </w:p>
    <w:p w:rsidR="00C4373E" w:rsidRDefault="00C4373E">
      <w:pPr>
        <w:pStyle w:val="CommentText"/>
      </w:pPr>
      <w:r>
        <w:t>Watts (W)</w:t>
      </w:r>
    </w:p>
  </w:comment>
  <w:comment w:id="10" w:author="Author" w:date="2014-04-28T11:24:00Z" w:initials="AU">
    <w:p w:rsidR="003214F3" w:rsidRDefault="003214F3">
      <w:pPr>
        <w:pStyle w:val="CommentText"/>
      </w:pPr>
      <w:r>
        <w:rPr>
          <w:rStyle w:val="CommentReference"/>
        </w:rPr>
        <w:annotationRef/>
      </w:r>
      <w:r>
        <w:t xml:space="preserve">Au: Please give all </w:t>
      </w:r>
      <w:proofErr w:type="gramStart"/>
      <w:r>
        <w:t>mean(</w:t>
      </w:r>
      <w:proofErr w:type="gramEnd"/>
      <w:r>
        <w:t>s.d.) values to one decimal place for consistency.</w:t>
      </w:r>
    </w:p>
    <w:p w:rsidR="00A914C1" w:rsidRDefault="00A914C1">
      <w:pPr>
        <w:pStyle w:val="CommentText"/>
      </w:pPr>
      <w:r>
        <w:t>DONE</w:t>
      </w:r>
    </w:p>
  </w:comment>
  <w:comment w:id="11" w:author="Author" w:date="2014-04-28T11:24:00Z" w:initials="AU">
    <w:p w:rsidR="003214F3" w:rsidRDefault="003214F3">
      <w:pPr>
        <w:pStyle w:val="CommentText"/>
      </w:pPr>
      <w:r>
        <w:rPr>
          <w:rStyle w:val="CommentReference"/>
        </w:rPr>
        <w:annotationRef/>
      </w:r>
      <w:r>
        <w:t>Au: Please check the added headings (highlighted).</w:t>
      </w:r>
    </w:p>
    <w:p w:rsidR="00A914C1" w:rsidRDefault="00A914C1">
      <w:pPr>
        <w:pStyle w:val="CommentText"/>
      </w:pPr>
      <w:r>
        <w:t>CORRECT</w:t>
      </w:r>
    </w:p>
  </w:comment>
  <w:comment w:id="12" w:author="Author" w:date="2014-04-28T11:25:00Z" w:initials="AU">
    <w:p w:rsidR="003214F3" w:rsidRDefault="003214F3">
      <w:pPr>
        <w:pStyle w:val="CommentText"/>
        <w:rPr>
          <w:lang w:val="en-US"/>
        </w:rPr>
      </w:pPr>
      <w:r>
        <w:rPr>
          <w:rStyle w:val="CommentReference"/>
        </w:rPr>
        <w:annotationRef/>
      </w:r>
      <w:r>
        <w:t>Au: Please check carefully that these symbols (</w:t>
      </w:r>
      <w:r>
        <w:rPr>
          <w:lang w:val="en-US"/>
        </w:rPr>
        <w:t>† ‡ §) have been added correctly in the P column by the copy-editor.</w:t>
      </w:r>
    </w:p>
    <w:p w:rsidR="00A914C1" w:rsidRDefault="00A914C1">
      <w:pPr>
        <w:pStyle w:val="CommentText"/>
      </w:pPr>
      <w:r>
        <w:rPr>
          <w:lang w:val="en-US"/>
        </w:rPr>
        <w:t>CORRECT</w:t>
      </w:r>
    </w:p>
  </w:comment>
  <w:comment w:id="14" w:author="Author" w:date="2014-04-28T11:35:00Z" w:initials="AU">
    <w:p w:rsidR="003214F3" w:rsidRDefault="003214F3">
      <w:pPr>
        <w:pStyle w:val="CommentText"/>
      </w:pPr>
      <w:r>
        <w:rPr>
          <w:rStyle w:val="CommentReference"/>
        </w:rPr>
        <w:annotationRef/>
      </w:r>
      <w:r>
        <w:t>Au: Please check symbols added to table body and confirm that “univariable logistic regression” is correct here (and in other tables - or can a specific test be given?).</w:t>
      </w:r>
    </w:p>
    <w:p w:rsidR="00F262EE" w:rsidRDefault="00F262EE">
      <w:pPr>
        <w:pStyle w:val="CommentText"/>
      </w:pPr>
    </w:p>
    <w:p w:rsidR="00F262EE" w:rsidRPr="00F262EE" w:rsidRDefault="00F262EE">
      <w:pPr>
        <w:pStyle w:val="CommentText"/>
        <w:rPr>
          <w:b/>
        </w:rPr>
      </w:pPr>
      <w:r w:rsidRPr="00F262EE">
        <w:rPr>
          <w:b/>
        </w:rPr>
        <w:t>All symbols correct except No of nodes retrieved is Fisher exact test not logistical regression</w:t>
      </w:r>
    </w:p>
  </w:comment>
  <w:comment w:id="15" w:author="Author" w:date="2014-04-28T11:35:00Z" w:initials="AU">
    <w:p w:rsidR="003214F3" w:rsidRDefault="003214F3">
      <w:pPr>
        <w:pStyle w:val="CommentText"/>
      </w:pPr>
      <w:r>
        <w:rPr>
          <w:rStyle w:val="CommentReference"/>
        </w:rPr>
        <w:annotationRef/>
      </w:r>
      <w:r>
        <w:t>Au: Please check units for work rate.</w:t>
      </w:r>
    </w:p>
    <w:p w:rsidR="00F262EE" w:rsidRDefault="00F262EE">
      <w:pPr>
        <w:pStyle w:val="CommentText"/>
      </w:pPr>
      <w:r>
        <w:t>CORRECT</w:t>
      </w:r>
    </w:p>
  </w:comment>
  <w:comment w:id="16" w:author="Author" w:date="2014-04-28T11:50:00Z" w:initials="AU">
    <w:p w:rsidR="003214F3" w:rsidRDefault="003214F3">
      <w:pPr>
        <w:pStyle w:val="CommentText"/>
      </w:pPr>
      <w:r>
        <w:rPr>
          <w:rStyle w:val="CommentReference"/>
        </w:rPr>
        <w:annotationRef/>
      </w:r>
      <w:r>
        <w:t>Au: Please check/add name of statistical test(s) used for each comparison - as there are no “cell counts” in this table, Fisher’s exact test does not seem applicable.</w:t>
      </w:r>
    </w:p>
    <w:p w:rsidR="00A63C05" w:rsidRDefault="00A63C05">
      <w:pPr>
        <w:pStyle w:val="CommentText"/>
      </w:pPr>
    </w:p>
    <w:p w:rsidR="00A63C05" w:rsidRDefault="00A63C05" w:rsidP="00A63C05">
      <w:r>
        <w:t>Replace with “Continuous univariate comparisons cond</w:t>
      </w:r>
      <w:r w:rsidR="00DC0A2B">
        <w:t>ucted using logistic regression</w:t>
      </w:r>
      <w:r>
        <w:t>.”</w:t>
      </w:r>
    </w:p>
    <w:p w:rsidR="00A63C05" w:rsidRDefault="00A63C05">
      <w:pPr>
        <w:pStyle w:val="CommentText"/>
      </w:pPr>
    </w:p>
  </w:comment>
  <w:comment w:id="17" w:author="Author" w:date="2014-04-28T11:52:00Z" w:initials="AU">
    <w:p w:rsidR="003214F3" w:rsidRDefault="003214F3">
      <w:pPr>
        <w:pStyle w:val="CommentText"/>
      </w:pPr>
      <w:r>
        <w:rPr>
          <w:rStyle w:val="CommentReference"/>
        </w:rPr>
        <w:annotationRef/>
      </w:r>
      <w:r>
        <w:t>Au: But 5/56 = 10%. Please advise. (Should this be 8 (14%)?)</w:t>
      </w:r>
    </w:p>
    <w:p w:rsidR="00DC0A2B" w:rsidRDefault="00DC0A2B">
      <w:pPr>
        <w:pStyle w:val="CommentText"/>
      </w:pPr>
      <w:r>
        <w:t>AMENDED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F00" w:rsidRDefault="00C11F00" w:rsidP="00684A80">
      <w:pPr>
        <w:spacing w:before="0" w:after="0" w:line="240" w:lineRule="auto"/>
      </w:pPr>
      <w:r>
        <w:separator/>
      </w:r>
    </w:p>
  </w:endnote>
  <w:endnote w:type="continuationSeparator" w:id="0">
    <w:p w:rsidR="00C11F00" w:rsidRDefault="00C11F00" w:rsidP="00684A8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JansonText-Roman">
    <w:altName w:val="Arial Unicode MS"/>
    <w:panose1 w:val="00000000000000000000"/>
    <w:charset w:val="81"/>
    <w:family w:val="auto"/>
    <w:notTrueType/>
    <w:pitch w:val="default"/>
    <w:sig w:usb0="00000000" w:usb1="09060000" w:usb2="00000010"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F00" w:rsidRDefault="00C11F00" w:rsidP="00684A80">
      <w:pPr>
        <w:spacing w:before="0" w:after="0" w:line="240" w:lineRule="auto"/>
      </w:pPr>
      <w:r>
        <w:separator/>
      </w:r>
    </w:p>
  </w:footnote>
  <w:footnote w:type="continuationSeparator" w:id="0">
    <w:p w:rsidR="00C11F00" w:rsidRDefault="00C11F00" w:rsidP="00684A80">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19A1"/>
    <w:multiLevelType w:val="hybridMultilevel"/>
    <w:tmpl w:val="DC92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576B6"/>
    <w:multiLevelType w:val="hybridMultilevel"/>
    <w:tmpl w:val="0FA8F504"/>
    <w:lvl w:ilvl="0" w:tplc="2B0A8BCC">
      <w:start w:val="1"/>
      <w:numFmt w:val="decimal"/>
      <w:lvlText w:val="%1."/>
      <w:lvlJc w:val="left"/>
      <w:pPr>
        <w:tabs>
          <w:tab w:val="num" w:pos="720"/>
        </w:tabs>
        <w:ind w:left="720" w:hanging="360"/>
      </w:pPr>
      <w:rPr>
        <w:rFonts w:cs="Times New Roman"/>
      </w:rPr>
    </w:lvl>
    <w:lvl w:ilvl="1" w:tplc="BBF682B2" w:tentative="1">
      <w:start w:val="1"/>
      <w:numFmt w:val="decimal"/>
      <w:lvlText w:val="%2."/>
      <w:lvlJc w:val="left"/>
      <w:pPr>
        <w:tabs>
          <w:tab w:val="num" w:pos="1440"/>
        </w:tabs>
        <w:ind w:left="1440" w:hanging="360"/>
      </w:pPr>
      <w:rPr>
        <w:rFonts w:cs="Times New Roman"/>
      </w:rPr>
    </w:lvl>
    <w:lvl w:ilvl="2" w:tplc="4934DA88" w:tentative="1">
      <w:start w:val="1"/>
      <w:numFmt w:val="decimal"/>
      <w:lvlText w:val="%3."/>
      <w:lvlJc w:val="left"/>
      <w:pPr>
        <w:tabs>
          <w:tab w:val="num" w:pos="2160"/>
        </w:tabs>
        <w:ind w:left="2160" w:hanging="360"/>
      </w:pPr>
      <w:rPr>
        <w:rFonts w:cs="Times New Roman"/>
      </w:rPr>
    </w:lvl>
    <w:lvl w:ilvl="3" w:tplc="1FCAF262" w:tentative="1">
      <w:start w:val="1"/>
      <w:numFmt w:val="decimal"/>
      <w:lvlText w:val="%4."/>
      <w:lvlJc w:val="left"/>
      <w:pPr>
        <w:tabs>
          <w:tab w:val="num" w:pos="2880"/>
        </w:tabs>
        <w:ind w:left="2880" w:hanging="360"/>
      </w:pPr>
      <w:rPr>
        <w:rFonts w:cs="Times New Roman"/>
      </w:rPr>
    </w:lvl>
    <w:lvl w:ilvl="4" w:tplc="2A205A1E" w:tentative="1">
      <w:start w:val="1"/>
      <w:numFmt w:val="decimal"/>
      <w:lvlText w:val="%5."/>
      <w:lvlJc w:val="left"/>
      <w:pPr>
        <w:tabs>
          <w:tab w:val="num" w:pos="3600"/>
        </w:tabs>
        <w:ind w:left="3600" w:hanging="360"/>
      </w:pPr>
      <w:rPr>
        <w:rFonts w:cs="Times New Roman"/>
      </w:rPr>
    </w:lvl>
    <w:lvl w:ilvl="5" w:tplc="92566B1A" w:tentative="1">
      <w:start w:val="1"/>
      <w:numFmt w:val="decimal"/>
      <w:lvlText w:val="%6."/>
      <w:lvlJc w:val="left"/>
      <w:pPr>
        <w:tabs>
          <w:tab w:val="num" w:pos="4320"/>
        </w:tabs>
        <w:ind w:left="4320" w:hanging="360"/>
      </w:pPr>
      <w:rPr>
        <w:rFonts w:cs="Times New Roman"/>
      </w:rPr>
    </w:lvl>
    <w:lvl w:ilvl="6" w:tplc="2306E17E" w:tentative="1">
      <w:start w:val="1"/>
      <w:numFmt w:val="decimal"/>
      <w:lvlText w:val="%7."/>
      <w:lvlJc w:val="left"/>
      <w:pPr>
        <w:tabs>
          <w:tab w:val="num" w:pos="5040"/>
        </w:tabs>
        <w:ind w:left="5040" w:hanging="360"/>
      </w:pPr>
      <w:rPr>
        <w:rFonts w:cs="Times New Roman"/>
      </w:rPr>
    </w:lvl>
    <w:lvl w:ilvl="7" w:tplc="3790DCFC" w:tentative="1">
      <w:start w:val="1"/>
      <w:numFmt w:val="decimal"/>
      <w:lvlText w:val="%8."/>
      <w:lvlJc w:val="left"/>
      <w:pPr>
        <w:tabs>
          <w:tab w:val="num" w:pos="5760"/>
        </w:tabs>
        <w:ind w:left="5760" w:hanging="360"/>
      </w:pPr>
      <w:rPr>
        <w:rFonts w:cs="Times New Roman"/>
      </w:rPr>
    </w:lvl>
    <w:lvl w:ilvl="8" w:tplc="53C2AD8E" w:tentative="1">
      <w:start w:val="1"/>
      <w:numFmt w:val="decimal"/>
      <w:lvlText w:val="%9."/>
      <w:lvlJc w:val="left"/>
      <w:pPr>
        <w:tabs>
          <w:tab w:val="num" w:pos="6480"/>
        </w:tabs>
        <w:ind w:left="6480" w:hanging="360"/>
      </w:pPr>
      <w:rPr>
        <w:rFonts w:cs="Times New Roman"/>
      </w:rPr>
    </w:lvl>
  </w:abstractNum>
  <w:abstractNum w:abstractNumId="2">
    <w:nsid w:val="15B74EC2"/>
    <w:multiLevelType w:val="hybridMultilevel"/>
    <w:tmpl w:val="78109BE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B3A4529"/>
    <w:multiLevelType w:val="multilevel"/>
    <w:tmpl w:val="CFFA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9D40D7"/>
    <w:multiLevelType w:val="hybridMultilevel"/>
    <w:tmpl w:val="95AC65C4"/>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F7C09F0"/>
    <w:multiLevelType w:val="hybridMultilevel"/>
    <w:tmpl w:val="FF8C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D0826"/>
    <w:multiLevelType w:val="hybridMultilevel"/>
    <w:tmpl w:val="992226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30A26576"/>
    <w:multiLevelType w:val="hybridMultilevel"/>
    <w:tmpl w:val="7AB4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833C66"/>
    <w:multiLevelType w:val="hybridMultilevel"/>
    <w:tmpl w:val="70BA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F2619E"/>
    <w:multiLevelType w:val="multilevel"/>
    <w:tmpl w:val="90D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A721CB"/>
    <w:multiLevelType w:val="hybridMultilevel"/>
    <w:tmpl w:val="877C252C"/>
    <w:lvl w:ilvl="0" w:tplc="39D04E9E">
      <w:start w:val="13"/>
      <w:numFmt w:val="bullet"/>
      <w:lvlText w:val=""/>
      <w:lvlJc w:val="left"/>
      <w:pPr>
        <w:ind w:left="720" w:hanging="360"/>
      </w:pPr>
      <w:rPr>
        <w:rFonts w:ascii="Symbol" w:eastAsia="MS Mincho"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FC01A69"/>
    <w:multiLevelType w:val="hybridMultilevel"/>
    <w:tmpl w:val="4BE8607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766D1528"/>
    <w:multiLevelType w:val="hybridMultilevel"/>
    <w:tmpl w:val="876CC5A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7"/>
  </w:num>
  <w:num w:numId="4">
    <w:abstractNumId w:val="5"/>
  </w:num>
  <w:num w:numId="5">
    <w:abstractNumId w:val="1"/>
  </w:num>
  <w:num w:numId="6">
    <w:abstractNumId w:val="3"/>
  </w:num>
  <w:num w:numId="7">
    <w:abstractNumId w:val="9"/>
  </w:num>
  <w:num w:numId="8">
    <w:abstractNumId w:val="10"/>
  </w:num>
  <w:num w:numId="9">
    <w:abstractNumId w:val="12"/>
  </w:num>
  <w:num w:numId="10">
    <w:abstractNumId w:val="6"/>
  </w:num>
  <w:num w:numId="11">
    <w:abstractNumId w:val="4"/>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5009"/>
    <w:rsid w:val="000402FE"/>
    <w:rsid w:val="000458AA"/>
    <w:rsid w:val="00071201"/>
    <w:rsid w:val="000736A8"/>
    <w:rsid w:val="00094E87"/>
    <w:rsid w:val="000B4CA9"/>
    <w:rsid w:val="000C1CD2"/>
    <w:rsid w:val="000E1FC8"/>
    <w:rsid w:val="001324F0"/>
    <w:rsid w:val="001758A7"/>
    <w:rsid w:val="001860CD"/>
    <w:rsid w:val="001A101F"/>
    <w:rsid w:val="001C221F"/>
    <w:rsid w:val="00203A5A"/>
    <w:rsid w:val="00275009"/>
    <w:rsid w:val="00294453"/>
    <w:rsid w:val="002B4696"/>
    <w:rsid w:val="002D4BA2"/>
    <w:rsid w:val="0030436B"/>
    <w:rsid w:val="003214F3"/>
    <w:rsid w:val="003324E8"/>
    <w:rsid w:val="00346558"/>
    <w:rsid w:val="00350B5F"/>
    <w:rsid w:val="00366078"/>
    <w:rsid w:val="003951C4"/>
    <w:rsid w:val="003D581B"/>
    <w:rsid w:val="003E2145"/>
    <w:rsid w:val="0041446E"/>
    <w:rsid w:val="00424EB8"/>
    <w:rsid w:val="00440347"/>
    <w:rsid w:val="0044076B"/>
    <w:rsid w:val="00472A38"/>
    <w:rsid w:val="004B557B"/>
    <w:rsid w:val="004C007E"/>
    <w:rsid w:val="00514F14"/>
    <w:rsid w:val="0051795E"/>
    <w:rsid w:val="00541396"/>
    <w:rsid w:val="005A4885"/>
    <w:rsid w:val="00612332"/>
    <w:rsid w:val="00670977"/>
    <w:rsid w:val="006B44D8"/>
    <w:rsid w:val="006F0F5C"/>
    <w:rsid w:val="0072502A"/>
    <w:rsid w:val="00730F74"/>
    <w:rsid w:val="00732AE6"/>
    <w:rsid w:val="00737D7B"/>
    <w:rsid w:val="00765D28"/>
    <w:rsid w:val="0078276D"/>
    <w:rsid w:val="00782953"/>
    <w:rsid w:val="007D0310"/>
    <w:rsid w:val="007E1059"/>
    <w:rsid w:val="007F32A3"/>
    <w:rsid w:val="00846B2B"/>
    <w:rsid w:val="00884D4A"/>
    <w:rsid w:val="0089747C"/>
    <w:rsid w:val="008A5232"/>
    <w:rsid w:val="008B45BE"/>
    <w:rsid w:val="008D19D3"/>
    <w:rsid w:val="008E5A7F"/>
    <w:rsid w:val="008F4383"/>
    <w:rsid w:val="00973BA5"/>
    <w:rsid w:val="009937D1"/>
    <w:rsid w:val="009D2CB7"/>
    <w:rsid w:val="00A01147"/>
    <w:rsid w:val="00A2136C"/>
    <w:rsid w:val="00A2628E"/>
    <w:rsid w:val="00A60765"/>
    <w:rsid w:val="00A63C05"/>
    <w:rsid w:val="00A731AF"/>
    <w:rsid w:val="00A914C1"/>
    <w:rsid w:val="00A92B0C"/>
    <w:rsid w:val="00AB5CD9"/>
    <w:rsid w:val="00AD1887"/>
    <w:rsid w:val="00AD255E"/>
    <w:rsid w:val="00AD5967"/>
    <w:rsid w:val="00AE0E18"/>
    <w:rsid w:val="00B576B6"/>
    <w:rsid w:val="00B659FF"/>
    <w:rsid w:val="00BC6236"/>
    <w:rsid w:val="00BD3324"/>
    <w:rsid w:val="00BE6FB7"/>
    <w:rsid w:val="00C11F00"/>
    <w:rsid w:val="00C1617C"/>
    <w:rsid w:val="00C2617F"/>
    <w:rsid w:val="00C352B5"/>
    <w:rsid w:val="00C4373E"/>
    <w:rsid w:val="00C776C7"/>
    <w:rsid w:val="00C91158"/>
    <w:rsid w:val="00C92739"/>
    <w:rsid w:val="00C93250"/>
    <w:rsid w:val="00C97660"/>
    <w:rsid w:val="00CA3895"/>
    <w:rsid w:val="00CA69B5"/>
    <w:rsid w:val="00CB19AF"/>
    <w:rsid w:val="00CE5AC0"/>
    <w:rsid w:val="00D135C4"/>
    <w:rsid w:val="00D15314"/>
    <w:rsid w:val="00D24AF4"/>
    <w:rsid w:val="00D27B15"/>
    <w:rsid w:val="00D354EE"/>
    <w:rsid w:val="00D43487"/>
    <w:rsid w:val="00D43661"/>
    <w:rsid w:val="00D66C4A"/>
    <w:rsid w:val="00DC0A2B"/>
    <w:rsid w:val="00E10079"/>
    <w:rsid w:val="00E61287"/>
    <w:rsid w:val="00ED6AE9"/>
    <w:rsid w:val="00EE67A8"/>
    <w:rsid w:val="00F262EE"/>
    <w:rsid w:val="00F53469"/>
    <w:rsid w:val="00F57B33"/>
    <w:rsid w:val="00FA1F2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e"/>
    <w:qFormat/>
    <w:rsid w:val="009937D1"/>
    <w:pPr>
      <w:spacing w:before="120" w:after="240" w:line="480" w:lineRule="auto"/>
      <w:jc w:val="both"/>
    </w:pPr>
    <w:rPr>
      <w:rFonts w:eastAsia="MS Mincho"/>
      <w:sz w:val="24"/>
      <w:szCs w:val="24"/>
      <w:lang w:eastAsia="en-US"/>
    </w:rPr>
  </w:style>
  <w:style w:type="paragraph" w:styleId="Heading1">
    <w:name w:val="heading 1"/>
    <w:basedOn w:val="Normal"/>
    <w:next w:val="Normal"/>
    <w:link w:val="Heading1Char"/>
    <w:qFormat/>
    <w:rsid w:val="009937D1"/>
    <w:pPr>
      <w:outlineLvl w:val="0"/>
    </w:pPr>
    <w:rPr>
      <w:b/>
      <w:lang/>
    </w:rPr>
  </w:style>
  <w:style w:type="paragraph" w:styleId="Heading2">
    <w:name w:val="heading 2"/>
    <w:basedOn w:val="Normal"/>
    <w:next w:val="Normal"/>
    <w:link w:val="Heading2Char"/>
    <w:qFormat/>
    <w:rsid w:val="009937D1"/>
    <w:pPr>
      <w:spacing w:before="240"/>
      <w:outlineLvl w:val="1"/>
    </w:pPr>
    <w:rPr>
      <w:lang/>
    </w:rPr>
  </w:style>
  <w:style w:type="paragraph" w:styleId="Heading3">
    <w:name w:val="heading 3"/>
    <w:basedOn w:val="Normal"/>
    <w:next w:val="Normal"/>
    <w:link w:val="Heading3Char"/>
    <w:qFormat/>
    <w:rsid w:val="009937D1"/>
    <w:pPr>
      <w:keepNext/>
      <w:spacing w:before="240" w:after="60"/>
      <w:outlineLvl w:val="2"/>
    </w:pPr>
    <w:rPr>
      <w:rFonts w:ascii="Cambria" w:hAnsi="Cambria"/>
      <w:b/>
      <w:bCs/>
      <w:sz w:val="26"/>
      <w:szCs w:val="26"/>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rsid w:val="009937D1"/>
    <w:rPr>
      <w:rFonts w:eastAsia="MS Mincho"/>
      <w:b/>
      <w:sz w:val="24"/>
      <w:szCs w:val="24"/>
      <w:lang w:eastAsia="en-US" w:bidi="ar-SA"/>
    </w:rPr>
  </w:style>
  <w:style w:type="character" w:customStyle="1" w:styleId="Heading2Char">
    <w:name w:val="Heading 2 Char"/>
    <w:basedOn w:val="DefaultParagraphFont"/>
    <w:link w:val="Heading2"/>
    <w:rsid w:val="009937D1"/>
    <w:rPr>
      <w:rFonts w:eastAsia="MS Mincho"/>
      <w:sz w:val="24"/>
      <w:szCs w:val="24"/>
      <w:lang w:eastAsia="en-US" w:bidi="ar-SA"/>
    </w:rPr>
  </w:style>
  <w:style w:type="character" w:customStyle="1" w:styleId="Heading3Char">
    <w:name w:val="Heading 3 Char"/>
    <w:basedOn w:val="DefaultParagraphFont"/>
    <w:link w:val="Heading3"/>
    <w:rsid w:val="009937D1"/>
    <w:rPr>
      <w:rFonts w:ascii="Cambria" w:eastAsia="MS Mincho" w:hAnsi="Cambria"/>
      <w:b/>
      <w:bCs/>
      <w:sz w:val="26"/>
      <w:szCs w:val="26"/>
      <w:lang w:eastAsia="en-US" w:bidi="ar-SA"/>
    </w:rPr>
  </w:style>
  <w:style w:type="character" w:customStyle="1" w:styleId="normalchar">
    <w:name w:val="normal__char"/>
    <w:basedOn w:val="DefaultParagraphFont"/>
    <w:rsid w:val="009937D1"/>
    <w:rPr>
      <w:rFonts w:cs="Times New Roman"/>
    </w:rPr>
  </w:style>
  <w:style w:type="paragraph" w:styleId="BalloonText">
    <w:name w:val="Balloon Text"/>
    <w:basedOn w:val="Normal"/>
    <w:link w:val="BalloonTextChar"/>
    <w:semiHidden/>
    <w:rsid w:val="009937D1"/>
    <w:rPr>
      <w:rFonts w:ascii="Tahoma" w:hAnsi="Tahoma"/>
      <w:sz w:val="16"/>
      <w:lang/>
    </w:rPr>
  </w:style>
  <w:style w:type="character" w:customStyle="1" w:styleId="BalloonTextChar">
    <w:name w:val="Balloon Text Char"/>
    <w:link w:val="BalloonText"/>
    <w:semiHidden/>
    <w:rsid w:val="009937D1"/>
    <w:rPr>
      <w:rFonts w:ascii="Tahoma" w:eastAsia="MS Mincho" w:hAnsi="Tahoma"/>
      <w:sz w:val="16"/>
      <w:szCs w:val="24"/>
      <w:lang w:val="en-GB" w:bidi="ar-SA"/>
    </w:rPr>
  </w:style>
  <w:style w:type="paragraph" w:customStyle="1" w:styleId="NoSpacing1">
    <w:name w:val="No Spacing1"/>
    <w:rsid w:val="009937D1"/>
    <w:rPr>
      <w:rFonts w:ascii="Cambria" w:eastAsia="MS Mincho" w:hAnsi="Cambria"/>
      <w:sz w:val="24"/>
      <w:szCs w:val="24"/>
      <w:lang w:eastAsia="en-US"/>
    </w:rPr>
  </w:style>
  <w:style w:type="paragraph" w:styleId="NormalWeb">
    <w:name w:val="Normal (Web)"/>
    <w:basedOn w:val="Normal"/>
    <w:rsid w:val="009937D1"/>
    <w:pPr>
      <w:spacing w:before="100" w:beforeAutospacing="1" w:after="100" w:afterAutospacing="1"/>
    </w:pPr>
    <w:rPr>
      <w:lang w:eastAsia="en-GB"/>
    </w:rPr>
  </w:style>
  <w:style w:type="paragraph" w:styleId="CommentText">
    <w:name w:val="annotation text"/>
    <w:basedOn w:val="Normal"/>
    <w:link w:val="CommentTextChar"/>
    <w:semiHidden/>
    <w:rsid w:val="009937D1"/>
    <w:rPr>
      <w:lang/>
    </w:rPr>
  </w:style>
  <w:style w:type="character" w:customStyle="1" w:styleId="CommentTextChar">
    <w:name w:val="Comment Text Char"/>
    <w:link w:val="CommentText"/>
    <w:rsid w:val="009937D1"/>
    <w:rPr>
      <w:rFonts w:eastAsia="MS Mincho"/>
      <w:sz w:val="24"/>
      <w:szCs w:val="24"/>
      <w:lang w:val="en-GB" w:bidi="ar-SA"/>
    </w:rPr>
  </w:style>
  <w:style w:type="paragraph" w:styleId="CommentSubject">
    <w:name w:val="annotation subject"/>
    <w:basedOn w:val="CommentText"/>
    <w:next w:val="CommentText"/>
    <w:link w:val="CommentSubjectChar"/>
    <w:semiHidden/>
    <w:rsid w:val="009937D1"/>
    <w:rPr>
      <w:b/>
    </w:rPr>
  </w:style>
  <w:style w:type="character" w:customStyle="1" w:styleId="CommentSubjectChar">
    <w:name w:val="Comment Subject Char"/>
    <w:link w:val="CommentSubject"/>
    <w:semiHidden/>
    <w:rsid w:val="009937D1"/>
    <w:rPr>
      <w:rFonts w:eastAsia="MS Mincho"/>
      <w:b/>
      <w:sz w:val="24"/>
      <w:szCs w:val="24"/>
      <w:lang w:val="en-GB" w:bidi="ar-SA"/>
    </w:rPr>
  </w:style>
  <w:style w:type="character" w:customStyle="1" w:styleId="ecxapple-converted-space">
    <w:name w:val="ecxapple-converted-space"/>
    <w:basedOn w:val="DefaultParagraphFont"/>
    <w:rsid w:val="009937D1"/>
    <w:rPr>
      <w:rFonts w:cs="Times New Roman"/>
    </w:rPr>
  </w:style>
  <w:style w:type="character" w:customStyle="1" w:styleId="apple-style-span">
    <w:name w:val="apple-style-span"/>
    <w:basedOn w:val="DefaultParagraphFont"/>
    <w:rsid w:val="009937D1"/>
    <w:rPr>
      <w:rFonts w:cs="Times New Roman"/>
    </w:rPr>
  </w:style>
  <w:style w:type="paragraph" w:styleId="Header">
    <w:name w:val="header"/>
    <w:basedOn w:val="Normal"/>
    <w:link w:val="HeaderChar"/>
    <w:rsid w:val="009937D1"/>
    <w:pPr>
      <w:tabs>
        <w:tab w:val="center" w:pos="4513"/>
        <w:tab w:val="right" w:pos="9026"/>
      </w:tabs>
    </w:pPr>
    <w:rPr>
      <w:lang/>
    </w:rPr>
  </w:style>
  <w:style w:type="character" w:customStyle="1" w:styleId="HeaderChar">
    <w:name w:val="Header Char"/>
    <w:basedOn w:val="DefaultParagraphFont"/>
    <w:link w:val="Header"/>
    <w:rsid w:val="009937D1"/>
    <w:rPr>
      <w:rFonts w:eastAsia="MS Mincho"/>
      <w:sz w:val="24"/>
      <w:szCs w:val="24"/>
      <w:lang w:eastAsia="en-US" w:bidi="ar-SA"/>
    </w:rPr>
  </w:style>
  <w:style w:type="paragraph" w:styleId="Footer">
    <w:name w:val="footer"/>
    <w:basedOn w:val="Normal"/>
    <w:link w:val="FooterChar"/>
    <w:semiHidden/>
    <w:rsid w:val="009937D1"/>
    <w:pPr>
      <w:tabs>
        <w:tab w:val="center" w:pos="4513"/>
        <w:tab w:val="right" w:pos="9026"/>
      </w:tabs>
    </w:pPr>
    <w:rPr>
      <w:lang/>
    </w:rPr>
  </w:style>
  <w:style w:type="character" w:customStyle="1" w:styleId="FooterChar">
    <w:name w:val="Footer Char"/>
    <w:basedOn w:val="DefaultParagraphFont"/>
    <w:link w:val="Footer"/>
    <w:semiHidden/>
    <w:rsid w:val="009937D1"/>
    <w:rPr>
      <w:rFonts w:eastAsia="MS Mincho"/>
      <w:sz w:val="24"/>
      <w:szCs w:val="24"/>
      <w:lang w:eastAsia="en-US" w:bidi="ar-SA"/>
    </w:rPr>
  </w:style>
  <w:style w:type="character" w:styleId="Hyperlink">
    <w:name w:val="Hyperlink"/>
    <w:basedOn w:val="DefaultParagraphFont"/>
    <w:rsid w:val="009937D1"/>
    <w:rPr>
      <w:rFonts w:cs="Times New Roman"/>
      <w:color w:val="0000FF"/>
      <w:u w:val="single"/>
    </w:rPr>
  </w:style>
  <w:style w:type="paragraph" w:styleId="NoSpacing">
    <w:name w:val="No Spacing"/>
    <w:basedOn w:val="Normal"/>
    <w:qFormat/>
    <w:rsid w:val="009937D1"/>
    <w:pPr>
      <w:spacing w:before="0" w:after="0" w:line="240" w:lineRule="auto"/>
      <w:jc w:val="left"/>
    </w:pPr>
    <w:rPr>
      <w:rFonts w:ascii="Calibri" w:hAnsi="Calibri"/>
      <w:sz w:val="22"/>
      <w:szCs w:val="22"/>
      <w:lang w:val="en-US"/>
    </w:rPr>
  </w:style>
  <w:style w:type="table" w:styleId="TableGrid">
    <w:name w:val="Table Grid"/>
    <w:basedOn w:val="TableNormal"/>
    <w:rsid w:val="007D0310"/>
    <w:pPr>
      <w:spacing w:before="120" w:after="240" w:line="48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A1F2D"/>
    <w:rPr>
      <w:sz w:val="16"/>
      <w:szCs w:val="16"/>
    </w:rPr>
  </w:style>
</w:styles>
</file>

<file path=word/webSettings.xml><?xml version="1.0" encoding="utf-8"?>
<w:webSettings xmlns:r="http://schemas.openxmlformats.org/officeDocument/2006/relationships" xmlns:w="http://schemas.openxmlformats.org/wordprocessingml/2006/main">
  <w:divs>
    <w:div w:id="174347065">
      <w:bodyDiv w:val="1"/>
      <w:marLeft w:val="0"/>
      <w:marRight w:val="0"/>
      <w:marTop w:val="0"/>
      <w:marBottom w:val="0"/>
      <w:divBdr>
        <w:top w:val="none" w:sz="0" w:space="0" w:color="auto"/>
        <w:left w:val="none" w:sz="0" w:space="0" w:color="auto"/>
        <w:bottom w:val="none" w:sz="0" w:space="0" w:color="auto"/>
        <w:right w:val="none" w:sz="0" w:space="0" w:color="auto"/>
      </w:divBdr>
    </w:div>
    <w:div w:id="12436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4.bin"/><Relationship Id="rId117" Type="http://schemas.openxmlformats.org/officeDocument/2006/relationships/oleObject" Target="embeddings/oleObject104.bin"/><Relationship Id="rId21" Type="http://schemas.openxmlformats.org/officeDocument/2006/relationships/oleObject" Target="embeddings/oleObject10.bin"/><Relationship Id="rId42" Type="http://schemas.openxmlformats.org/officeDocument/2006/relationships/oleObject" Target="embeddings/oleObject30.bin"/><Relationship Id="rId47" Type="http://schemas.openxmlformats.org/officeDocument/2006/relationships/oleObject" Target="embeddings/oleObject35.bin"/><Relationship Id="rId63" Type="http://schemas.openxmlformats.org/officeDocument/2006/relationships/oleObject" Target="embeddings/oleObject50.bin"/><Relationship Id="rId68" Type="http://schemas.openxmlformats.org/officeDocument/2006/relationships/oleObject" Target="embeddings/oleObject55.bin"/><Relationship Id="rId84" Type="http://schemas.openxmlformats.org/officeDocument/2006/relationships/oleObject" Target="embeddings/oleObject71.bin"/><Relationship Id="rId89" Type="http://schemas.openxmlformats.org/officeDocument/2006/relationships/oleObject" Target="embeddings/oleObject76.bin"/><Relationship Id="rId112" Type="http://schemas.openxmlformats.org/officeDocument/2006/relationships/oleObject" Target="embeddings/oleObject99.bin"/><Relationship Id="rId16" Type="http://schemas.openxmlformats.org/officeDocument/2006/relationships/oleObject" Target="embeddings/oleObject6.bin"/><Relationship Id="rId107" Type="http://schemas.openxmlformats.org/officeDocument/2006/relationships/oleObject" Target="embeddings/oleObject94.bin"/><Relationship Id="rId11" Type="http://schemas.openxmlformats.org/officeDocument/2006/relationships/image" Target="media/image2.wmf"/><Relationship Id="rId32" Type="http://schemas.openxmlformats.org/officeDocument/2006/relationships/oleObject" Target="embeddings/oleObject20.bin"/><Relationship Id="rId37" Type="http://schemas.openxmlformats.org/officeDocument/2006/relationships/oleObject" Target="embeddings/oleObject25.bin"/><Relationship Id="rId53" Type="http://schemas.openxmlformats.org/officeDocument/2006/relationships/oleObject" Target="embeddings/oleObject40.bin"/><Relationship Id="rId58" Type="http://schemas.openxmlformats.org/officeDocument/2006/relationships/oleObject" Target="embeddings/oleObject45.bin"/><Relationship Id="rId74" Type="http://schemas.openxmlformats.org/officeDocument/2006/relationships/oleObject" Target="embeddings/oleObject61.bin"/><Relationship Id="rId79" Type="http://schemas.openxmlformats.org/officeDocument/2006/relationships/oleObject" Target="embeddings/oleObject66.bin"/><Relationship Id="rId102" Type="http://schemas.openxmlformats.org/officeDocument/2006/relationships/oleObject" Target="embeddings/oleObject89.bin"/><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48.bin"/><Relationship Id="rId82" Type="http://schemas.openxmlformats.org/officeDocument/2006/relationships/oleObject" Target="embeddings/oleObject69.bin"/><Relationship Id="rId90" Type="http://schemas.openxmlformats.org/officeDocument/2006/relationships/oleObject" Target="embeddings/oleObject77.bin"/><Relationship Id="rId95" Type="http://schemas.openxmlformats.org/officeDocument/2006/relationships/oleObject" Target="embeddings/oleObject82.bin"/><Relationship Id="rId1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11.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oleObject" Target="embeddings/oleObject23.bin"/><Relationship Id="rId43" Type="http://schemas.openxmlformats.org/officeDocument/2006/relationships/oleObject" Target="embeddings/oleObject31.bin"/><Relationship Id="rId48" Type="http://schemas.openxmlformats.org/officeDocument/2006/relationships/oleObject" Target="embeddings/oleObject36.bin"/><Relationship Id="rId56" Type="http://schemas.openxmlformats.org/officeDocument/2006/relationships/oleObject" Target="embeddings/oleObject43.bin"/><Relationship Id="rId64" Type="http://schemas.openxmlformats.org/officeDocument/2006/relationships/oleObject" Target="embeddings/oleObject51.bin"/><Relationship Id="rId69" Type="http://schemas.openxmlformats.org/officeDocument/2006/relationships/oleObject" Target="embeddings/oleObject56.bin"/><Relationship Id="rId77" Type="http://schemas.openxmlformats.org/officeDocument/2006/relationships/oleObject" Target="embeddings/oleObject64.bin"/><Relationship Id="rId100" Type="http://schemas.openxmlformats.org/officeDocument/2006/relationships/oleObject" Target="embeddings/oleObject87.bin"/><Relationship Id="rId105" Type="http://schemas.openxmlformats.org/officeDocument/2006/relationships/oleObject" Target="embeddings/oleObject92.bin"/><Relationship Id="rId113" Type="http://schemas.openxmlformats.org/officeDocument/2006/relationships/oleObject" Target="embeddings/oleObject100.bin"/><Relationship Id="rId118" Type="http://schemas.openxmlformats.org/officeDocument/2006/relationships/oleObject" Target="embeddings/oleObject105.bin"/><Relationship Id="rId8" Type="http://schemas.openxmlformats.org/officeDocument/2006/relationships/hyperlink" Target="mailto:mwest@liverpool.ac.uk" TargetMode="External"/><Relationship Id="rId51" Type="http://schemas.openxmlformats.org/officeDocument/2006/relationships/oleObject" Target="embeddings/oleObject38.bin"/><Relationship Id="rId72" Type="http://schemas.openxmlformats.org/officeDocument/2006/relationships/oleObject" Target="embeddings/oleObject59.bin"/><Relationship Id="rId80" Type="http://schemas.openxmlformats.org/officeDocument/2006/relationships/oleObject" Target="embeddings/oleObject67.bin"/><Relationship Id="rId85" Type="http://schemas.openxmlformats.org/officeDocument/2006/relationships/oleObject" Target="embeddings/oleObject72.bin"/><Relationship Id="rId93" Type="http://schemas.openxmlformats.org/officeDocument/2006/relationships/oleObject" Target="embeddings/oleObject80.bin"/><Relationship Id="rId98" Type="http://schemas.openxmlformats.org/officeDocument/2006/relationships/oleObject" Target="embeddings/oleObject85.bin"/><Relationship Id="rId121" Type="http://schemas.openxmlformats.org/officeDocument/2006/relationships/oleObject" Target="embeddings/oleObject108.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7.bin"/><Relationship Id="rId25" Type="http://schemas.openxmlformats.org/officeDocument/2006/relationships/oleObject" Target="embeddings/oleObject13.bin"/><Relationship Id="rId33" Type="http://schemas.openxmlformats.org/officeDocument/2006/relationships/oleObject" Target="embeddings/oleObject21.bin"/><Relationship Id="rId38" Type="http://schemas.openxmlformats.org/officeDocument/2006/relationships/oleObject" Target="embeddings/oleObject26.bin"/><Relationship Id="rId46" Type="http://schemas.openxmlformats.org/officeDocument/2006/relationships/oleObject" Target="embeddings/oleObject34.bin"/><Relationship Id="rId59" Type="http://schemas.openxmlformats.org/officeDocument/2006/relationships/oleObject" Target="embeddings/oleObject46.bin"/><Relationship Id="rId67" Type="http://schemas.openxmlformats.org/officeDocument/2006/relationships/oleObject" Target="embeddings/oleObject54.bin"/><Relationship Id="rId103" Type="http://schemas.openxmlformats.org/officeDocument/2006/relationships/oleObject" Target="embeddings/oleObject90.bin"/><Relationship Id="rId108" Type="http://schemas.openxmlformats.org/officeDocument/2006/relationships/oleObject" Target="embeddings/oleObject95.bin"/><Relationship Id="rId116" Type="http://schemas.openxmlformats.org/officeDocument/2006/relationships/oleObject" Target="embeddings/oleObject103.bin"/><Relationship Id="rId20" Type="http://schemas.openxmlformats.org/officeDocument/2006/relationships/oleObject" Target="embeddings/oleObject9.bin"/><Relationship Id="rId41" Type="http://schemas.openxmlformats.org/officeDocument/2006/relationships/oleObject" Target="embeddings/oleObject29.bin"/><Relationship Id="rId54" Type="http://schemas.openxmlformats.org/officeDocument/2006/relationships/oleObject" Target="embeddings/oleObject41.bin"/><Relationship Id="rId62" Type="http://schemas.openxmlformats.org/officeDocument/2006/relationships/oleObject" Target="embeddings/oleObject49.bin"/><Relationship Id="rId70" Type="http://schemas.openxmlformats.org/officeDocument/2006/relationships/oleObject" Target="embeddings/oleObject57.bin"/><Relationship Id="rId75" Type="http://schemas.openxmlformats.org/officeDocument/2006/relationships/oleObject" Target="embeddings/oleObject62.bin"/><Relationship Id="rId83" Type="http://schemas.openxmlformats.org/officeDocument/2006/relationships/oleObject" Target="embeddings/oleObject70.bin"/><Relationship Id="rId88" Type="http://schemas.openxmlformats.org/officeDocument/2006/relationships/oleObject" Target="embeddings/oleObject75.bin"/><Relationship Id="rId91" Type="http://schemas.openxmlformats.org/officeDocument/2006/relationships/oleObject" Target="embeddings/oleObject78.bin"/><Relationship Id="rId96" Type="http://schemas.openxmlformats.org/officeDocument/2006/relationships/oleObject" Target="embeddings/oleObject83.bin"/><Relationship Id="rId111" Type="http://schemas.openxmlformats.org/officeDocument/2006/relationships/oleObject" Target="embeddings/oleObject9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2.bin"/><Relationship Id="rId28" Type="http://schemas.openxmlformats.org/officeDocument/2006/relationships/oleObject" Target="embeddings/oleObject16.bin"/><Relationship Id="rId36" Type="http://schemas.openxmlformats.org/officeDocument/2006/relationships/oleObject" Target="embeddings/oleObject24.bin"/><Relationship Id="rId49" Type="http://schemas.openxmlformats.org/officeDocument/2006/relationships/image" Target="media/image5.wmf"/><Relationship Id="rId57" Type="http://schemas.openxmlformats.org/officeDocument/2006/relationships/oleObject" Target="embeddings/oleObject44.bin"/><Relationship Id="rId106" Type="http://schemas.openxmlformats.org/officeDocument/2006/relationships/oleObject" Target="embeddings/oleObject93.bin"/><Relationship Id="rId114" Type="http://schemas.openxmlformats.org/officeDocument/2006/relationships/oleObject" Target="embeddings/oleObject101.bin"/><Relationship Id="rId119" Type="http://schemas.openxmlformats.org/officeDocument/2006/relationships/oleObject" Target="embeddings/oleObject106.bin"/><Relationship Id="rId10" Type="http://schemas.openxmlformats.org/officeDocument/2006/relationships/oleObject" Target="embeddings/oleObject1.bin"/><Relationship Id="rId31" Type="http://schemas.openxmlformats.org/officeDocument/2006/relationships/oleObject" Target="embeddings/oleObject19.bin"/><Relationship Id="rId44" Type="http://schemas.openxmlformats.org/officeDocument/2006/relationships/oleObject" Target="embeddings/oleObject32.bin"/><Relationship Id="rId52" Type="http://schemas.openxmlformats.org/officeDocument/2006/relationships/oleObject" Target="embeddings/oleObject39.bin"/><Relationship Id="rId60" Type="http://schemas.openxmlformats.org/officeDocument/2006/relationships/oleObject" Target="embeddings/oleObject47.bin"/><Relationship Id="rId65" Type="http://schemas.openxmlformats.org/officeDocument/2006/relationships/oleObject" Target="embeddings/oleObject52.bin"/><Relationship Id="rId73" Type="http://schemas.openxmlformats.org/officeDocument/2006/relationships/oleObject" Target="embeddings/oleObject60.bin"/><Relationship Id="rId78" Type="http://schemas.openxmlformats.org/officeDocument/2006/relationships/oleObject" Target="embeddings/oleObject65.bin"/><Relationship Id="rId81" Type="http://schemas.openxmlformats.org/officeDocument/2006/relationships/oleObject" Target="embeddings/oleObject68.bin"/><Relationship Id="rId86" Type="http://schemas.openxmlformats.org/officeDocument/2006/relationships/oleObject" Target="embeddings/oleObject73.bin"/><Relationship Id="rId94" Type="http://schemas.openxmlformats.org/officeDocument/2006/relationships/oleObject" Target="embeddings/oleObject81.bin"/><Relationship Id="rId99" Type="http://schemas.openxmlformats.org/officeDocument/2006/relationships/oleObject" Target="embeddings/oleObject86.bin"/><Relationship Id="rId101" Type="http://schemas.openxmlformats.org/officeDocument/2006/relationships/oleObject" Target="embeddings/oleObject88.bin"/><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8.bin"/><Relationship Id="rId39" Type="http://schemas.openxmlformats.org/officeDocument/2006/relationships/oleObject" Target="embeddings/oleObject27.bin"/><Relationship Id="rId109" Type="http://schemas.openxmlformats.org/officeDocument/2006/relationships/oleObject" Target="embeddings/oleObject96.bin"/><Relationship Id="rId34" Type="http://schemas.openxmlformats.org/officeDocument/2006/relationships/oleObject" Target="embeddings/oleObject22.bin"/><Relationship Id="rId50" Type="http://schemas.openxmlformats.org/officeDocument/2006/relationships/oleObject" Target="embeddings/oleObject37.bin"/><Relationship Id="rId55" Type="http://schemas.openxmlformats.org/officeDocument/2006/relationships/oleObject" Target="embeddings/oleObject42.bin"/><Relationship Id="rId76" Type="http://schemas.openxmlformats.org/officeDocument/2006/relationships/oleObject" Target="embeddings/oleObject63.bin"/><Relationship Id="rId97" Type="http://schemas.openxmlformats.org/officeDocument/2006/relationships/oleObject" Target="embeddings/oleObject84.bin"/><Relationship Id="rId104" Type="http://schemas.openxmlformats.org/officeDocument/2006/relationships/oleObject" Target="embeddings/oleObject91.bin"/><Relationship Id="rId120" Type="http://schemas.openxmlformats.org/officeDocument/2006/relationships/oleObject" Target="embeddings/oleObject107.bin"/><Relationship Id="rId7" Type="http://schemas.openxmlformats.org/officeDocument/2006/relationships/comments" Target="comments.xml"/><Relationship Id="rId71" Type="http://schemas.openxmlformats.org/officeDocument/2006/relationships/oleObject" Target="embeddings/oleObject58.bin"/><Relationship Id="rId92" Type="http://schemas.openxmlformats.org/officeDocument/2006/relationships/oleObject" Target="embeddings/oleObject79.bin"/><Relationship Id="rId2" Type="http://schemas.openxmlformats.org/officeDocument/2006/relationships/styles" Target="styles.xml"/><Relationship Id="rId29" Type="http://schemas.openxmlformats.org/officeDocument/2006/relationships/oleObject" Target="embeddings/oleObject17.bin"/><Relationship Id="rId24" Type="http://schemas.openxmlformats.org/officeDocument/2006/relationships/image" Target="media/image4.wmf"/><Relationship Id="rId40" Type="http://schemas.openxmlformats.org/officeDocument/2006/relationships/oleObject" Target="embeddings/oleObject28.bin"/><Relationship Id="rId45" Type="http://schemas.openxmlformats.org/officeDocument/2006/relationships/oleObject" Target="embeddings/oleObject33.bin"/><Relationship Id="rId66" Type="http://schemas.openxmlformats.org/officeDocument/2006/relationships/oleObject" Target="embeddings/oleObject53.bin"/><Relationship Id="rId87" Type="http://schemas.openxmlformats.org/officeDocument/2006/relationships/oleObject" Target="embeddings/oleObject74.bin"/><Relationship Id="rId110" Type="http://schemas.openxmlformats.org/officeDocument/2006/relationships/oleObject" Target="embeddings/oleObject97.bin"/><Relationship Id="rId115" Type="http://schemas.openxmlformats.org/officeDocument/2006/relationships/oleObject" Target="embeddings/oleObject10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16494</Words>
  <Characters>94021</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Cardiopulmonary exercise testing for the prediction of morbidity risk after rectal cancer surgery </vt:lpstr>
    </vt:vector>
  </TitlesOfParts>
  <Company/>
  <LinksUpToDate>false</LinksUpToDate>
  <CharactersWithSpaces>110295</CharactersWithSpaces>
  <SharedDoc>false</SharedDoc>
  <HLinks>
    <vt:vector size="6" baseType="variant">
      <vt:variant>
        <vt:i4>5308453</vt:i4>
      </vt:variant>
      <vt:variant>
        <vt:i4>0</vt:i4>
      </vt:variant>
      <vt:variant>
        <vt:i4>0</vt:i4>
      </vt:variant>
      <vt:variant>
        <vt:i4>5</vt:i4>
      </vt:variant>
      <vt:variant>
        <vt:lpwstr>mailto:mwest@liverpool.ac.uk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Cardiopulmonary exercise testing for the prediction of morbidity risk after rectal cancer surgery</dc:title>
  <dc:creator>Author</dc:creator>
  <cp:lastModifiedBy>Malcolm</cp:lastModifiedBy>
  <cp:revision>2</cp:revision>
  <cp:lastPrinted>2014-04-15T11:22:00Z</cp:lastPrinted>
  <dcterms:created xsi:type="dcterms:W3CDTF">2014-04-28T10:52:00Z</dcterms:created>
  <dcterms:modified xsi:type="dcterms:W3CDTF">2014-04-28T10:52:00Z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2061776459</vt:i4>
  </property>
  <property fmtid="{D5CDD505-2E9C-101B-9397-08002B2CF9AE}" pid="3" name="_EmailSubject">
    <vt:lpwstr>British Journal of Surgery article BJS9551</vt:lpwstr>
  </property>
  <property fmtid="{D5CDD505-2E9C-101B-9397-08002B2CF9AE}" pid="4" name="_AuthorEmail">
    <vt:lpwstr>alex.balsdon@hotmail.co.uk</vt:lpwstr>
  </property>
  <property fmtid="{D5CDD505-2E9C-101B-9397-08002B2CF9AE}" pid="5" name="_AuthorEmailDisplayName">
    <vt:lpwstr>Alex Balsdon</vt:lpwstr>
  </property>
  <property fmtid="{D5CDD505-2E9C-101B-9397-08002B2CF9AE}" pid="6" name="_ReviewingToolsShownOnce">
    <vt:lpwstr/>
  </property>
</Properties>
</file>