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295"/>
        <w:gridCol w:w="1623"/>
        <w:gridCol w:w="1616"/>
        <w:gridCol w:w="1439"/>
        <w:gridCol w:w="1326"/>
        <w:gridCol w:w="1391"/>
        <w:gridCol w:w="1366"/>
        <w:gridCol w:w="1372"/>
      </w:tblGrid>
      <w:tr w:rsidR="00810D84" w:rsidTr="00542074">
        <w:trPr>
          <w:trHeight w:val="245"/>
        </w:trPr>
        <w:tc>
          <w:tcPr>
            <w:tcW w:w="1296" w:type="dxa"/>
          </w:tcPr>
          <w:p w:rsidR="00810D84" w:rsidRPr="007E1D14" w:rsidRDefault="00810D84">
            <w:bookmarkStart w:id="0" w:name="_GoBack"/>
            <w:bookmarkEnd w:id="0"/>
          </w:p>
        </w:tc>
        <w:tc>
          <w:tcPr>
            <w:tcW w:w="1295" w:type="dxa"/>
          </w:tcPr>
          <w:p w:rsidR="00810D84" w:rsidRPr="007E1D14" w:rsidRDefault="00810D84"/>
        </w:tc>
        <w:tc>
          <w:tcPr>
            <w:tcW w:w="1623" w:type="dxa"/>
          </w:tcPr>
          <w:p w:rsidR="00810D84" w:rsidRPr="007E1D14" w:rsidRDefault="00810D84">
            <w:r w:rsidRPr="007E1D14">
              <w:t>Ct.vBMD</w:t>
            </w:r>
          </w:p>
        </w:tc>
        <w:tc>
          <w:tcPr>
            <w:tcW w:w="1616" w:type="dxa"/>
          </w:tcPr>
          <w:p w:rsidR="00810D84" w:rsidRPr="007E1D14" w:rsidRDefault="00810D84">
            <w:r w:rsidRPr="007E1D14">
              <w:t>Tr.vBMD</w:t>
            </w:r>
          </w:p>
        </w:tc>
        <w:tc>
          <w:tcPr>
            <w:tcW w:w="1439" w:type="dxa"/>
          </w:tcPr>
          <w:p w:rsidR="00810D84" w:rsidRPr="007E1D14" w:rsidRDefault="00810D84">
            <w:r w:rsidRPr="007E1D14">
              <w:t>BV/TV</w:t>
            </w:r>
          </w:p>
        </w:tc>
        <w:tc>
          <w:tcPr>
            <w:tcW w:w="1326" w:type="dxa"/>
          </w:tcPr>
          <w:p w:rsidR="00810D84" w:rsidRPr="007E1D14" w:rsidRDefault="00810D84">
            <w:r w:rsidRPr="007E1D14">
              <w:t>Tb.N</w:t>
            </w:r>
          </w:p>
        </w:tc>
        <w:tc>
          <w:tcPr>
            <w:tcW w:w="1391" w:type="dxa"/>
          </w:tcPr>
          <w:p w:rsidR="00810D84" w:rsidRPr="007E1D14" w:rsidRDefault="00810D84">
            <w:r w:rsidRPr="007E1D14">
              <w:t>Tb.Th</w:t>
            </w:r>
          </w:p>
        </w:tc>
        <w:tc>
          <w:tcPr>
            <w:tcW w:w="1366" w:type="dxa"/>
          </w:tcPr>
          <w:p w:rsidR="00810D84" w:rsidRPr="007E1D14" w:rsidRDefault="00810D84">
            <w:r w:rsidRPr="007E1D14">
              <w:t>Ct.Th</w:t>
            </w:r>
          </w:p>
        </w:tc>
        <w:tc>
          <w:tcPr>
            <w:tcW w:w="1372" w:type="dxa"/>
          </w:tcPr>
          <w:p w:rsidR="00810D84" w:rsidRPr="007E1D14" w:rsidRDefault="00810D84">
            <w:r w:rsidRPr="007E1D14">
              <w:t>Ct.Po</w:t>
            </w:r>
          </w:p>
        </w:tc>
      </w:tr>
      <w:tr w:rsidR="00810D84" w:rsidTr="00542074">
        <w:trPr>
          <w:trHeight w:val="245"/>
        </w:trPr>
        <w:tc>
          <w:tcPr>
            <w:tcW w:w="1296" w:type="dxa"/>
          </w:tcPr>
          <w:p w:rsidR="00542074" w:rsidRDefault="00810D84" w:rsidP="005463DF">
            <w:r w:rsidRPr="007E1D14">
              <w:t>Zhu</w:t>
            </w:r>
          </w:p>
          <w:p w:rsidR="00810D84" w:rsidRPr="007E1D14" w:rsidRDefault="00542074" w:rsidP="005463DF">
            <w:r>
              <w:t>2014</w:t>
            </w:r>
            <w:r w:rsidR="000D13B4">
              <w:t xml:space="preserve"> (</w:t>
            </w:r>
            <w:r w:rsidR="00CC1637">
              <w:t>2</w:t>
            </w:r>
            <w:r w:rsidR="000D13B4">
              <w:t>4)</w:t>
            </w:r>
          </w:p>
        </w:tc>
        <w:tc>
          <w:tcPr>
            <w:tcW w:w="1295" w:type="dxa"/>
          </w:tcPr>
          <w:p w:rsidR="00810D84" w:rsidRPr="007E1D14" w:rsidRDefault="00810D84" w:rsidP="005463DF">
            <w:r w:rsidRPr="007E1D14">
              <w:t>Male</w:t>
            </w:r>
          </w:p>
        </w:tc>
        <w:tc>
          <w:tcPr>
            <w:tcW w:w="1623" w:type="dxa"/>
          </w:tcPr>
          <w:p w:rsidR="00810D84" w:rsidRPr="007E1D14" w:rsidRDefault="00810D84" w:rsidP="00810D84">
            <w:r w:rsidRPr="007E1D14">
              <w:rPr>
                <w:b/>
              </w:rPr>
              <w:t>↘</w:t>
            </w:r>
            <w:r w:rsidRPr="007E1D14">
              <w:t xml:space="preserve"> -3.9%</w:t>
            </w:r>
          </w:p>
        </w:tc>
        <w:tc>
          <w:tcPr>
            <w:tcW w:w="1616" w:type="dxa"/>
          </w:tcPr>
          <w:p w:rsidR="00810D84" w:rsidRPr="007E1D14" w:rsidRDefault="00810D84" w:rsidP="00810D84">
            <w:r w:rsidRPr="007E1D14">
              <w:rPr>
                <w:b/>
              </w:rPr>
              <w:t>↘</w:t>
            </w:r>
            <w:r w:rsidRPr="007E1D14">
              <w:t xml:space="preserve"> -23.2%</w:t>
            </w:r>
          </w:p>
        </w:tc>
        <w:tc>
          <w:tcPr>
            <w:tcW w:w="1439" w:type="dxa"/>
          </w:tcPr>
          <w:p w:rsidR="00810D84" w:rsidRPr="007E1D14" w:rsidRDefault="00810D84" w:rsidP="005463DF">
            <w:pPr>
              <w:rPr>
                <w:b/>
              </w:rPr>
            </w:pPr>
            <w:r w:rsidRPr="007E1D14">
              <w:rPr>
                <w:b/>
              </w:rPr>
              <w:t>↘</w:t>
            </w:r>
            <w:r w:rsidR="007E1D14">
              <w:t xml:space="preserve"> </w:t>
            </w:r>
            <w:r w:rsidR="007E1D14" w:rsidRPr="007E1D14">
              <w:t>-23.2%</w:t>
            </w:r>
          </w:p>
        </w:tc>
        <w:tc>
          <w:tcPr>
            <w:tcW w:w="1326" w:type="dxa"/>
          </w:tcPr>
          <w:p w:rsidR="00810D84" w:rsidRPr="007E1D14" w:rsidRDefault="00810D84" w:rsidP="005463DF">
            <w:r w:rsidRPr="007E1D14">
              <w:rPr>
                <w:b/>
              </w:rPr>
              <w:t>↘</w:t>
            </w:r>
            <w:r w:rsidR="007E1D14" w:rsidRPr="007E1D14">
              <w:t xml:space="preserve"> -8.1%</w:t>
            </w:r>
          </w:p>
        </w:tc>
        <w:tc>
          <w:tcPr>
            <w:tcW w:w="1391" w:type="dxa"/>
          </w:tcPr>
          <w:p w:rsidR="00810D84" w:rsidRPr="007E1D14" w:rsidRDefault="00810D84" w:rsidP="005463DF">
            <w:r w:rsidRPr="007E1D14">
              <w:rPr>
                <w:b/>
              </w:rPr>
              <w:t>↘</w:t>
            </w:r>
            <w:r w:rsidR="007E1D14">
              <w:t xml:space="preserve"> </w:t>
            </w:r>
            <w:r w:rsidR="007E1D14" w:rsidRPr="007E1D14">
              <w:t>-17.7</w:t>
            </w:r>
            <w:r w:rsidR="007E1D14">
              <w:t>%</w:t>
            </w:r>
          </w:p>
        </w:tc>
        <w:tc>
          <w:tcPr>
            <w:tcW w:w="1366" w:type="dxa"/>
          </w:tcPr>
          <w:p w:rsidR="00810D84" w:rsidRPr="007E1D14" w:rsidRDefault="007E1D14" w:rsidP="005463DF">
            <w:r>
              <w:t>N.S.</w:t>
            </w:r>
          </w:p>
        </w:tc>
        <w:tc>
          <w:tcPr>
            <w:tcW w:w="1372" w:type="dxa"/>
          </w:tcPr>
          <w:p w:rsidR="00810D84" w:rsidRPr="007E1D14" w:rsidRDefault="00810D84" w:rsidP="006D45ED">
            <w:r w:rsidRPr="007E1D14">
              <w:rPr>
                <w:b/>
              </w:rPr>
              <w:t>↗</w:t>
            </w:r>
            <w:r w:rsidR="006D45ED" w:rsidRPr="007E1D14">
              <w:t xml:space="preserve"> </w:t>
            </w:r>
            <w:r w:rsidR="00542074">
              <w:t>+</w:t>
            </w:r>
            <w:r w:rsidR="006D45ED" w:rsidRPr="007E1D14">
              <w:t>63.9%</w:t>
            </w:r>
          </w:p>
        </w:tc>
      </w:tr>
      <w:tr w:rsidR="00542074" w:rsidTr="00542074">
        <w:trPr>
          <w:trHeight w:val="245"/>
        </w:trPr>
        <w:tc>
          <w:tcPr>
            <w:tcW w:w="1296" w:type="dxa"/>
            <w:vMerge w:val="restart"/>
          </w:tcPr>
          <w:p w:rsidR="00542074" w:rsidRPr="007E1D14" w:rsidRDefault="00542074" w:rsidP="00777C55">
            <w:r w:rsidRPr="007E1D14">
              <w:t>Kocijan</w:t>
            </w:r>
            <w:r>
              <w:t xml:space="preserve"> 2014</w:t>
            </w:r>
            <w:r w:rsidR="000D13B4">
              <w:t xml:space="preserve"> (</w:t>
            </w:r>
            <w:r w:rsidR="00CC1637">
              <w:t>2</w:t>
            </w:r>
            <w:r w:rsidR="000D13B4">
              <w:t>5)</w:t>
            </w:r>
          </w:p>
        </w:tc>
        <w:tc>
          <w:tcPr>
            <w:tcW w:w="1295" w:type="dxa"/>
          </w:tcPr>
          <w:p w:rsidR="00542074" w:rsidRPr="007E1D14" w:rsidRDefault="00542074">
            <w:r w:rsidRPr="007E1D14">
              <w:t>Male</w:t>
            </w:r>
          </w:p>
        </w:tc>
        <w:tc>
          <w:tcPr>
            <w:tcW w:w="1623" w:type="dxa"/>
          </w:tcPr>
          <w:p w:rsidR="00542074" w:rsidRPr="007E1D14" w:rsidRDefault="00542074" w:rsidP="00810D84">
            <w:r w:rsidRPr="007E1D14">
              <w:rPr>
                <w:b/>
              </w:rPr>
              <w:t>↘</w:t>
            </w:r>
            <w:r w:rsidRPr="007E1D14">
              <w:t xml:space="preserve"> -11.7%</w:t>
            </w:r>
          </w:p>
        </w:tc>
        <w:tc>
          <w:tcPr>
            <w:tcW w:w="1616" w:type="dxa"/>
          </w:tcPr>
          <w:p w:rsidR="00542074" w:rsidRPr="007E1D14" w:rsidRDefault="00542074">
            <w:r w:rsidRPr="007E1D14">
              <w:rPr>
                <w:b/>
              </w:rPr>
              <w:t>↘</w:t>
            </w:r>
            <w:r w:rsidRPr="007E1D14">
              <w:t xml:space="preserve"> -6.9%</w:t>
            </w:r>
          </w:p>
        </w:tc>
        <w:tc>
          <w:tcPr>
            <w:tcW w:w="1439" w:type="dxa"/>
          </w:tcPr>
          <w:p w:rsidR="00542074" w:rsidRPr="007E1D14" w:rsidRDefault="00542074">
            <w:pPr>
              <w:rPr>
                <w:b/>
              </w:rPr>
            </w:pPr>
            <w:r w:rsidRPr="007E1D14">
              <w:rPr>
                <w:b/>
              </w:rPr>
              <w:t>↘</w:t>
            </w:r>
            <w:r>
              <w:t xml:space="preserve"> </w:t>
            </w:r>
            <w:r w:rsidRPr="007E1D14">
              <w:t>-16.8%</w:t>
            </w:r>
          </w:p>
        </w:tc>
        <w:tc>
          <w:tcPr>
            <w:tcW w:w="1326" w:type="dxa"/>
          </w:tcPr>
          <w:p w:rsidR="00542074" w:rsidRPr="007E1D14" w:rsidRDefault="00542074">
            <w:r>
              <w:t>N.S.</w:t>
            </w:r>
          </w:p>
        </w:tc>
        <w:tc>
          <w:tcPr>
            <w:tcW w:w="1391" w:type="dxa"/>
          </w:tcPr>
          <w:p w:rsidR="00542074" w:rsidRPr="007E1D14" w:rsidRDefault="00542074">
            <w:r w:rsidRPr="007E1D14">
              <w:rPr>
                <w:b/>
              </w:rPr>
              <w:t>↘</w:t>
            </w:r>
            <w:r>
              <w:t xml:space="preserve"> -</w:t>
            </w:r>
            <w:r w:rsidRPr="007E1D14">
              <w:t>8.4%</w:t>
            </w:r>
          </w:p>
        </w:tc>
        <w:tc>
          <w:tcPr>
            <w:tcW w:w="1366" w:type="dxa"/>
          </w:tcPr>
          <w:p w:rsidR="00542074" w:rsidRPr="007E1D14" w:rsidRDefault="00542074">
            <w:r w:rsidRPr="007E1D14">
              <w:rPr>
                <w:b/>
              </w:rPr>
              <w:t>↘</w:t>
            </w:r>
            <w:r>
              <w:t xml:space="preserve"> -</w:t>
            </w:r>
            <w:r w:rsidRPr="007E1D14">
              <w:t>17.3%</w:t>
            </w:r>
          </w:p>
        </w:tc>
        <w:tc>
          <w:tcPr>
            <w:tcW w:w="1372" w:type="dxa"/>
          </w:tcPr>
          <w:p w:rsidR="00542074" w:rsidRPr="007E1D14" w:rsidRDefault="00542074" w:rsidP="000B0912">
            <w:r w:rsidRPr="007E1D14">
              <w:rPr>
                <w:b/>
              </w:rPr>
              <w:t>↗</w:t>
            </w:r>
            <w:r w:rsidRPr="007E1D14">
              <w:t xml:space="preserve"> </w:t>
            </w:r>
            <w:r>
              <w:t>+</w:t>
            </w:r>
            <w:r w:rsidRPr="007E1D14">
              <w:t>51.7%</w:t>
            </w:r>
          </w:p>
        </w:tc>
      </w:tr>
      <w:tr w:rsidR="00542074" w:rsidTr="00542074">
        <w:trPr>
          <w:trHeight w:val="281"/>
        </w:trPr>
        <w:tc>
          <w:tcPr>
            <w:tcW w:w="1296" w:type="dxa"/>
            <w:vMerge/>
          </w:tcPr>
          <w:p w:rsidR="00542074" w:rsidRPr="007E1D14" w:rsidRDefault="00542074" w:rsidP="00777C55"/>
        </w:tc>
        <w:tc>
          <w:tcPr>
            <w:tcW w:w="1295" w:type="dxa"/>
          </w:tcPr>
          <w:p w:rsidR="00542074" w:rsidRPr="007E1D14" w:rsidRDefault="00542074">
            <w:r w:rsidRPr="007E1D14">
              <w:t>Female</w:t>
            </w:r>
          </w:p>
        </w:tc>
        <w:tc>
          <w:tcPr>
            <w:tcW w:w="1623" w:type="dxa"/>
          </w:tcPr>
          <w:p w:rsidR="00542074" w:rsidRPr="007E1D14" w:rsidRDefault="00542074" w:rsidP="00810D84">
            <w:r w:rsidRPr="007E1D14">
              <w:rPr>
                <w:b/>
              </w:rPr>
              <w:t>↘</w:t>
            </w:r>
            <w:r w:rsidRPr="007E1D14">
              <w:t xml:space="preserve"> -8.2%</w:t>
            </w:r>
          </w:p>
        </w:tc>
        <w:tc>
          <w:tcPr>
            <w:tcW w:w="1616" w:type="dxa"/>
          </w:tcPr>
          <w:p w:rsidR="00542074" w:rsidRPr="007E1D14" w:rsidRDefault="00542074">
            <w:pPr>
              <w:rPr>
                <w:b/>
              </w:rPr>
            </w:pPr>
            <w:r w:rsidRPr="007E1D14">
              <w:rPr>
                <w:b/>
              </w:rPr>
              <w:t>↘ -</w:t>
            </w:r>
            <w:r w:rsidRPr="007E1D14">
              <w:t>24.0%</w:t>
            </w:r>
          </w:p>
        </w:tc>
        <w:tc>
          <w:tcPr>
            <w:tcW w:w="1439" w:type="dxa"/>
          </w:tcPr>
          <w:p w:rsidR="00542074" w:rsidRPr="007E1D14" w:rsidRDefault="00542074">
            <w:pPr>
              <w:rPr>
                <w:b/>
              </w:rPr>
            </w:pPr>
            <w:r w:rsidRPr="007E1D14">
              <w:rPr>
                <w:b/>
              </w:rPr>
              <w:t>↘</w:t>
            </w:r>
            <w:r>
              <w:t xml:space="preserve"> </w:t>
            </w:r>
            <w:r w:rsidRPr="007E1D14">
              <w:t>-24.8%</w:t>
            </w:r>
          </w:p>
        </w:tc>
        <w:tc>
          <w:tcPr>
            <w:tcW w:w="1326" w:type="dxa"/>
          </w:tcPr>
          <w:p w:rsidR="00542074" w:rsidRPr="007E1D14" w:rsidRDefault="00542074">
            <w:r w:rsidRPr="007E1D14">
              <w:rPr>
                <w:b/>
              </w:rPr>
              <w:t>↘</w:t>
            </w:r>
            <w:r w:rsidRPr="007E1D14">
              <w:t xml:space="preserve"> -15.9%</w:t>
            </w:r>
          </w:p>
        </w:tc>
        <w:tc>
          <w:tcPr>
            <w:tcW w:w="1391" w:type="dxa"/>
          </w:tcPr>
          <w:p w:rsidR="00542074" w:rsidRPr="007E1D14" w:rsidRDefault="00542074">
            <w:r w:rsidRPr="007E1D14">
              <w:rPr>
                <w:b/>
              </w:rPr>
              <w:t>↘</w:t>
            </w:r>
            <w:r>
              <w:t xml:space="preserve"> -9.4%</w:t>
            </w:r>
          </w:p>
        </w:tc>
        <w:tc>
          <w:tcPr>
            <w:tcW w:w="1366" w:type="dxa"/>
          </w:tcPr>
          <w:p w:rsidR="00542074" w:rsidRPr="007E1D14" w:rsidRDefault="00542074">
            <w:r w:rsidRPr="007E1D14">
              <w:rPr>
                <w:b/>
              </w:rPr>
              <w:t>↘</w:t>
            </w:r>
            <w:r>
              <w:t xml:space="preserve"> -14.0%</w:t>
            </w:r>
          </w:p>
        </w:tc>
        <w:tc>
          <w:tcPr>
            <w:tcW w:w="1372" w:type="dxa"/>
          </w:tcPr>
          <w:p w:rsidR="00542074" w:rsidRPr="007E1D14" w:rsidRDefault="00542074">
            <w:r w:rsidRPr="007E1D14">
              <w:t>N.S.</w:t>
            </w:r>
          </w:p>
        </w:tc>
      </w:tr>
      <w:tr w:rsidR="00810D84" w:rsidTr="00542074">
        <w:trPr>
          <w:trHeight w:val="245"/>
        </w:trPr>
        <w:tc>
          <w:tcPr>
            <w:tcW w:w="1296" w:type="dxa"/>
          </w:tcPr>
          <w:p w:rsidR="00542074" w:rsidRDefault="00810D84">
            <w:r w:rsidRPr="007E1D14">
              <w:t>Zhu</w:t>
            </w:r>
            <w:r w:rsidR="00542074">
              <w:t xml:space="preserve"> </w:t>
            </w:r>
          </w:p>
          <w:p w:rsidR="00810D84" w:rsidRPr="007E1D14" w:rsidRDefault="00542074">
            <w:r>
              <w:t>2013</w:t>
            </w:r>
            <w:r w:rsidR="000D13B4">
              <w:t xml:space="preserve"> (</w:t>
            </w:r>
            <w:r w:rsidR="00CC1637">
              <w:t>2</w:t>
            </w:r>
            <w:r w:rsidR="000D13B4">
              <w:t>3)</w:t>
            </w:r>
          </w:p>
        </w:tc>
        <w:tc>
          <w:tcPr>
            <w:tcW w:w="1295" w:type="dxa"/>
          </w:tcPr>
          <w:p w:rsidR="00810D84" w:rsidRPr="007E1D14" w:rsidRDefault="00810D84">
            <w:r w:rsidRPr="007E1D14">
              <w:t>Female</w:t>
            </w:r>
          </w:p>
        </w:tc>
        <w:tc>
          <w:tcPr>
            <w:tcW w:w="1623" w:type="dxa"/>
          </w:tcPr>
          <w:p w:rsidR="00810D84" w:rsidRPr="007E1D14" w:rsidRDefault="00810D84" w:rsidP="00810D84">
            <w:r w:rsidRPr="007E1D14">
              <w:rPr>
                <w:b/>
              </w:rPr>
              <w:t>↘</w:t>
            </w:r>
            <w:r w:rsidRPr="007E1D14">
              <w:t xml:space="preserve"> -3.5%</w:t>
            </w:r>
          </w:p>
        </w:tc>
        <w:tc>
          <w:tcPr>
            <w:tcW w:w="1616" w:type="dxa"/>
          </w:tcPr>
          <w:p w:rsidR="00810D84" w:rsidRPr="007E1D14" w:rsidRDefault="00810D84">
            <w:r w:rsidRPr="007E1D14">
              <w:rPr>
                <w:b/>
              </w:rPr>
              <w:t>↘</w:t>
            </w:r>
            <w:r w:rsidRPr="007E1D14">
              <w:t xml:space="preserve"> -10.7%</w:t>
            </w:r>
          </w:p>
        </w:tc>
        <w:tc>
          <w:tcPr>
            <w:tcW w:w="1439" w:type="dxa"/>
          </w:tcPr>
          <w:p w:rsidR="00810D84" w:rsidRPr="007E1D14" w:rsidRDefault="00810D84">
            <w:pPr>
              <w:rPr>
                <w:b/>
              </w:rPr>
            </w:pPr>
            <w:r w:rsidRPr="007E1D14">
              <w:rPr>
                <w:b/>
              </w:rPr>
              <w:t>↘</w:t>
            </w:r>
            <w:r w:rsidR="007E1D14">
              <w:t xml:space="preserve"> -</w:t>
            </w:r>
            <w:r w:rsidR="007E1D14" w:rsidRPr="007E1D14">
              <w:t>10.8%</w:t>
            </w:r>
          </w:p>
        </w:tc>
        <w:tc>
          <w:tcPr>
            <w:tcW w:w="1326" w:type="dxa"/>
          </w:tcPr>
          <w:p w:rsidR="00810D84" w:rsidRPr="007E1D14" w:rsidRDefault="007E1D14">
            <w:r w:rsidRPr="007E1D14">
              <w:t>N.S.</w:t>
            </w:r>
          </w:p>
        </w:tc>
        <w:tc>
          <w:tcPr>
            <w:tcW w:w="1391" w:type="dxa"/>
          </w:tcPr>
          <w:p w:rsidR="00810D84" w:rsidRPr="007E1D14" w:rsidRDefault="007E1D14">
            <w:r>
              <w:t>N.S.</w:t>
            </w:r>
          </w:p>
        </w:tc>
        <w:tc>
          <w:tcPr>
            <w:tcW w:w="1366" w:type="dxa"/>
          </w:tcPr>
          <w:p w:rsidR="00810D84" w:rsidRPr="007E1D14" w:rsidRDefault="007E1D14">
            <w:r>
              <w:t>N.S.</w:t>
            </w:r>
          </w:p>
        </w:tc>
        <w:tc>
          <w:tcPr>
            <w:tcW w:w="1372" w:type="dxa"/>
          </w:tcPr>
          <w:p w:rsidR="00810D84" w:rsidRPr="007E1D14" w:rsidRDefault="00810D84">
            <w:r w:rsidRPr="007E1D14">
              <w:rPr>
                <w:b/>
              </w:rPr>
              <w:t>↗</w:t>
            </w:r>
            <w:r w:rsidR="006D45ED" w:rsidRPr="007E1D14">
              <w:t xml:space="preserve"> </w:t>
            </w:r>
            <w:r w:rsidR="00542074">
              <w:t>+</w:t>
            </w:r>
            <w:r w:rsidR="006D45ED" w:rsidRPr="007E1D14">
              <w:t>93%</w:t>
            </w:r>
          </w:p>
        </w:tc>
      </w:tr>
    </w:tbl>
    <w:p w:rsidR="00B10812" w:rsidRPr="00B25B91" w:rsidRDefault="00542074">
      <w:pPr>
        <w:rPr>
          <w:b/>
        </w:rPr>
      </w:pPr>
      <w:r>
        <w:rPr>
          <w:b/>
        </w:rPr>
        <w:t xml:space="preserve">Table </w:t>
      </w:r>
      <w:r w:rsidR="00CC1637">
        <w:rPr>
          <w:b/>
        </w:rPr>
        <w:t>2</w:t>
      </w:r>
      <w:r>
        <w:rPr>
          <w:b/>
        </w:rPr>
        <w:t xml:space="preserve">: </w:t>
      </w:r>
      <w:r w:rsidR="00B25B91" w:rsidRPr="00B25B91">
        <w:rPr>
          <w:b/>
        </w:rPr>
        <w:t xml:space="preserve">Volumetric </w:t>
      </w:r>
      <w:r w:rsidR="006D45ED" w:rsidRPr="00B25B91">
        <w:rPr>
          <w:b/>
        </w:rPr>
        <w:t>BMD</w:t>
      </w:r>
      <w:r w:rsidR="006D45ED">
        <w:rPr>
          <w:b/>
        </w:rPr>
        <w:t xml:space="preserve"> and m</w:t>
      </w:r>
      <w:r w:rsidR="00B25B91" w:rsidRPr="00B25B91">
        <w:rPr>
          <w:b/>
        </w:rPr>
        <w:t xml:space="preserve">icrostructure by HR‐pQCT </w:t>
      </w:r>
      <w:r w:rsidR="00E038AE">
        <w:rPr>
          <w:b/>
        </w:rPr>
        <w:t>at the</w:t>
      </w:r>
      <w:r w:rsidR="006D45ED">
        <w:rPr>
          <w:b/>
        </w:rPr>
        <w:t xml:space="preserve"> distal radius </w:t>
      </w:r>
      <w:r w:rsidR="00B25B91" w:rsidRPr="00B25B91">
        <w:rPr>
          <w:b/>
        </w:rPr>
        <w:t xml:space="preserve">in </w:t>
      </w:r>
      <w:r w:rsidR="006D45ED">
        <w:rPr>
          <w:b/>
        </w:rPr>
        <w:t xml:space="preserve">male and female </w:t>
      </w:r>
      <w:r w:rsidR="00B25B91" w:rsidRPr="00B25B91">
        <w:rPr>
          <w:b/>
        </w:rPr>
        <w:t xml:space="preserve">RA </w:t>
      </w:r>
      <w:r w:rsidR="006D45ED">
        <w:rPr>
          <w:b/>
        </w:rPr>
        <w:t xml:space="preserve">patients </w:t>
      </w:r>
      <w:r w:rsidR="00B25B91" w:rsidRPr="00B25B91">
        <w:rPr>
          <w:b/>
        </w:rPr>
        <w:t>and Controls</w:t>
      </w:r>
    </w:p>
    <w:sectPr w:rsidR="00B10812" w:rsidRPr="00B25B91" w:rsidSect="00E038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96"/>
    <w:rsid w:val="000B0912"/>
    <w:rsid w:val="000D13B4"/>
    <w:rsid w:val="00124621"/>
    <w:rsid w:val="00147691"/>
    <w:rsid w:val="002E2F4D"/>
    <w:rsid w:val="00365A36"/>
    <w:rsid w:val="00452685"/>
    <w:rsid w:val="00457629"/>
    <w:rsid w:val="00542074"/>
    <w:rsid w:val="006D45ED"/>
    <w:rsid w:val="00777C55"/>
    <w:rsid w:val="007E1D14"/>
    <w:rsid w:val="00804EFB"/>
    <w:rsid w:val="00810D84"/>
    <w:rsid w:val="009C40A8"/>
    <w:rsid w:val="00A862D6"/>
    <w:rsid w:val="00B10812"/>
    <w:rsid w:val="00B25B91"/>
    <w:rsid w:val="00C4299F"/>
    <w:rsid w:val="00CC1637"/>
    <w:rsid w:val="00E038AE"/>
    <w:rsid w:val="00F2151D"/>
    <w:rsid w:val="00F60C96"/>
    <w:rsid w:val="00F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Paccou</dc:creator>
  <cp:lastModifiedBy>Karen Drake</cp:lastModifiedBy>
  <cp:revision>2</cp:revision>
  <dcterms:created xsi:type="dcterms:W3CDTF">2015-01-28T11:44:00Z</dcterms:created>
  <dcterms:modified xsi:type="dcterms:W3CDTF">2015-01-28T11:44:00Z</dcterms:modified>
</cp:coreProperties>
</file>