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7E2E7" w14:textId="77777777" w:rsidR="00FB4A6B" w:rsidRPr="00C100D0" w:rsidRDefault="00FB4A6B" w:rsidP="00783484">
      <w:pPr>
        <w:pStyle w:val="01PaperTitle"/>
      </w:pPr>
      <w:r w:rsidRPr="00C100D0">
        <w:t>Anion complexation, transport and structural studies of a series of bis-methylurea compounds</w:t>
      </w:r>
    </w:p>
    <w:p w14:paraId="5ED86E17" w14:textId="77777777" w:rsidR="00FB4A6B" w:rsidRPr="00C100D0" w:rsidRDefault="00FB4A6B" w:rsidP="006F62E9">
      <w:pPr>
        <w:pStyle w:val="02PaperAuthors"/>
        <w:spacing w:before="100" w:beforeAutospacing="1" w:after="100" w:afterAutospacing="1"/>
      </w:pPr>
      <w:r w:rsidRPr="00C100D0">
        <w:t>Martina Olivari,</w:t>
      </w:r>
      <w:r w:rsidRPr="00C100D0">
        <w:rPr>
          <w:vertAlign w:val="superscript"/>
        </w:rPr>
        <w:t>a</w:t>
      </w:r>
      <w:r w:rsidRPr="00C100D0">
        <w:t xml:space="preserve"> Riccardo Montis,</w:t>
      </w:r>
      <w:r w:rsidRPr="00C100D0">
        <w:rPr>
          <w:vertAlign w:val="superscript"/>
        </w:rPr>
        <w:t>a</w:t>
      </w:r>
      <w:r w:rsidRPr="00C100D0">
        <w:t xml:space="preserve"> Louise E. Karagiannidis,</w:t>
      </w:r>
      <w:r w:rsidRPr="00C100D0">
        <w:rPr>
          <w:vertAlign w:val="superscript"/>
        </w:rPr>
        <w:t>b</w:t>
      </w:r>
      <w:r w:rsidRPr="00C100D0">
        <w:t xml:space="preserve"> Peter N. Horton,</w:t>
      </w:r>
      <w:r w:rsidRPr="00C100D0">
        <w:rPr>
          <w:vertAlign w:val="superscript"/>
        </w:rPr>
        <w:t>b</w:t>
      </w:r>
      <w:r w:rsidRPr="00C100D0">
        <w:t xml:space="preserve"> Lucy K. Mapp,</w:t>
      </w:r>
      <w:r w:rsidRPr="00C100D0">
        <w:rPr>
          <w:vertAlign w:val="superscript"/>
        </w:rPr>
        <w:t>b</w:t>
      </w:r>
      <w:r w:rsidRPr="00C100D0">
        <w:t xml:space="preserve"> Simon J. Coles, </w:t>
      </w:r>
      <w:r w:rsidRPr="00C100D0">
        <w:rPr>
          <w:vertAlign w:val="superscript"/>
        </w:rPr>
        <w:t xml:space="preserve">b </w:t>
      </w:r>
      <w:r w:rsidRPr="00C100D0">
        <w:t>Mark E. Light,</w:t>
      </w:r>
      <w:r w:rsidRPr="00C100D0">
        <w:rPr>
          <w:vertAlign w:val="superscript"/>
        </w:rPr>
        <w:t xml:space="preserve">b </w:t>
      </w:r>
      <w:r w:rsidRPr="00C100D0">
        <w:t>Philip A. Gale,</w:t>
      </w:r>
      <w:r w:rsidRPr="00C100D0">
        <w:rPr>
          <w:vertAlign w:val="superscript"/>
        </w:rPr>
        <w:t>b,*</w:t>
      </w:r>
      <w:r w:rsidRPr="00C100D0">
        <w:t xml:space="preserve"> and Claudia Caltagirone</w:t>
      </w:r>
      <w:r w:rsidRPr="00C100D0">
        <w:rPr>
          <w:vertAlign w:val="superscript"/>
        </w:rPr>
        <w:t>a*</w:t>
      </w:r>
    </w:p>
    <w:p w14:paraId="30044EB5" w14:textId="77777777" w:rsidR="00FB4A6B" w:rsidRPr="00C100D0" w:rsidRDefault="00FB4A6B" w:rsidP="009101D8">
      <w:pPr>
        <w:pStyle w:val="L1Receivedaccepteddates"/>
      </w:pPr>
      <w:r w:rsidRPr="00C100D0">
        <w:t>Received (in XXX, XXX) Xth XXXXXXXXX 20XX, Accepted Xth XXXXXXXXX 20XX</w:t>
      </w:r>
    </w:p>
    <w:p w14:paraId="304C543D" w14:textId="77777777" w:rsidR="00FB4A6B" w:rsidRPr="00C100D0" w:rsidRDefault="00FB4A6B" w:rsidP="009101D8">
      <w:pPr>
        <w:pStyle w:val="L2DOI"/>
      </w:pPr>
      <w:r w:rsidRPr="00C100D0">
        <w:t>DOI: 10.1039/b000000x</w:t>
      </w:r>
    </w:p>
    <w:p w14:paraId="7B4883DE" w14:textId="77777777" w:rsidR="00FB4A6B" w:rsidRPr="00C100D0" w:rsidRDefault="00FB4A6B" w:rsidP="00AF46C0">
      <w:pPr>
        <w:pStyle w:val="03Abstract"/>
        <w:rPr>
          <w:b/>
          <w:color w:val="FF0000"/>
        </w:rPr>
        <w:sectPr w:rsidR="00FB4A6B" w:rsidRPr="00C100D0" w:rsidSect="00152DB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5593" w:code="119"/>
          <w:pgMar w:top="1021" w:right="907" w:bottom="1021" w:left="1077" w:header="227" w:footer="624" w:gutter="0"/>
          <w:lnNumType w:countBy="5" w:distance="57"/>
          <w:pgNumType w:start="1"/>
          <w:cols w:space="397"/>
          <w:titlePg/>
          <w:docGrid w:linePitch="360"/>
        </w:sectPr>
      </w:pPr>
      <w:r w:rsidRPr="00C100D0">
        <w:t>A new family of bis-methylureas (</w:t>
      </w:r>
      <w:r w:rsidRPr="00C100D0">
        <w:rPr>
          <w:b/>
        </w:rPr>
        <w:t>L</w:t>
      </w:r>
      <w:r w:rsidRPr="00C100D0">
        <w:rPr>
          <w:b/>
          <w:vertAlign w:val="superscript"/>
        </w:rPr>
        <w:t>1</w:t>
      </w:r>
      <w:r w:rsidRPr="00C100D0">
        <w:t>-</w:t>
      </w:r>
      <w:r w:rsidRPr="00C100D0">
        <w:rPr>
          <w:b/>
        </w:rPr>
        <w:t>L</w:t>
      </w:r>
      <w:r w:rsidRPr="00C100D0">
        <w:rPr>
          <w:b/>
          <w:vertAlign w:val="superscript"/>
        </w:rPr>
        <w:t>6</w:t>
      </w:r>
      <w:r w:rsidRPr="00C100D0">
        <w:t>) have been synthesised and their ability to bind anions both in solution and in the solid state and to transport them through lipid membrane have been studied. From the solid state studies it has emerged that various conformations can be adopted by the receptors allowing the isolation of complexes of different stoichiometry (from 1:1 to 1:3). The transport studies highlighted the possibility to use the bis-methylureas to mediate Cl</w:t>
      </w:r>
      <w:r w:rsidRPr="00C100D0">
        <w:rPr>
          <w:vertAlign w:val="superscript"/>
        </w:rPr>
        <w:t>-</w:t>
      </w:r>
      <w:r w:rsidRPr="00C100D0">
        <w:t xml:space="preserve"> transport across membranes. </w:t>
      </w:r>
    </w:p>
    <w:p w14:paraId="27F7E871" w14:textId="77777777" w:rsidR="00FB4A6B" w:rsidRPr="00C100D0" w:rsidRDefault="00FB4A6B" w:rsidP="003679E6">
      <w:pPr>
        <w:pStyle w:val="04AHeading"/>
      </w:pPr>
      <w:r w:rsidRPr="00C100D0">
        <w:lastRenderedPageBreak/>
        <w:t>1. Introduction</w:t>
      </w:r>
    </w:p>
    <w:p w14:paraId="6C9CF637" w14:textId="77777777" w:rsidR="00FB4A6B" w:rsidRPr="00C100D0" w:rsidRDefault="00FB4A6B" w:rsidP="00A32E32">
      <w:pPr>
        <w:pStyle w:val="08ArticleText"/>
      </w:pPr>
      <w:r w:rsidRPr="00C100D0">
        <w:t>Bis-urea compounds have been used extensively for anion recognition. In 1995, Umezawa and co-workers</w:t>
      </w:r>
      <w:r w:rsidRPr="00C100D0">
        <w:rPr>
          <w:vertAlign w:val="superscript"/>
        </w:rPr>
        <w:t>1</w:t>
      </w:r>
      <w:r w:rsidRPr="00C100D0">
        <w:t xml:space="preserve"> reported that bis-ureas and thioureas, obtained by the reaction of 1,3-bis(aminomethyl)benzene with butylisocyanate and butylisothiocyanate, showed some affinity for H</w:t>
      </w:r>
      <w:r w:rsidRPr="00C100D0">
        <w:rPr>
          <w:vertAlign w:val="subscript"/>
        </w:rPr>
        <w:t>2</w:t>
      </w:r>
      <w:r w:rsidRPr="00C100D0">
        <w:t>PO</w:t>
      </w:r>
      <w:r w:rsidRPr="00C100D0">
        <w:rPr>
          <w:vertAlign w:val="subscript"/>
        </w:rPr>
        <w:t>4</w:t>
      </w:r>
      <w:r w:rsidRPr="00C100D0">
        <w:rPr>
          <w:vertAlign w:val="superscript"/>
        </w:rPr>
        <w:t>-</w:t>
      </w:r>
      <w:r w:rsidRPr="00C100D0">
        <w:t xml:space="preserve"> (K</w:t>
      </w:r>
      <w:r w:rsidRPr="00C100D0">
        <w:rPr>
          <w:vertAlign w:val="subscript"/>
        </w:rPr>
        <w:t>a</w:t>
      </w:r>
      <w:r w:rsidRPr="00C100D0">
        <w:t xml:space="preserve"> = 820 M</w:t>
      </w:r>
      <w:r w:rsidRPr="00C100D0">
        <w:rPr>
          <w:vertAlign w:val="superscript"/>
        </w:rPr>
        <w:t>-1</w:t>
      </w:r>
      <w:r w:rsidRPr="00C100D0">
        <w:t xml:space="preserve"> for the thiourea derivative) in DMSO-</w:t>
      </w:r>
      <w:r w:rsidRPr="00C100D0">
        <w:rPr>
          <w:i/>
        </w:rPr>
        <w:t>d</w:t>
      </w:r>
      <w:r w:rsidRPr="00C100D0">
        <w:rPr>
          <w:i/>
          <w:vertAlign w:val="subscript"/>
        </w:rPr>
        <w:t>6</w:t>
      </w:r>
      <w:r w:rsidRPr="00C100D0">
        <w:t>. The same group also studied the application of phenyl-substituted ureas as an ionophore for the fabrication of anion selective electrodes with remarkable sulfate selectivity.</w:t>
      </w:r>
      <w:r w:rsidRPr="00C100D0">
        <w:rPr>
          <w:vertAlign w:val="superscript"/>
        </w:rPr>
        <w:t>2</w:t>
      </w:r>
      <w:r w:rsidRPr="00C100D0">
        <w:t xml:space="preserve"> More recently Sellergren and co-workers studied the recognition of tyrosine phosphorylated peptides by the vinylphenyl urea derivative of 1,3-bis(aminomethyl)benzene.</w:t>
      </w:r>
      <w:r w:rsidRPr="00C100D0">
        <w:rPr>
          <w:vertAlign w:val="superscript"/>
        </w:rPr>
        <w:t>3</w:t>
      </w:r>
      <w:r w:rsidRPr="00C100D0">
        <w:t xml:space="preserve"> Caltagirone and co-workers have recently reported the pyrophosphate optical sensing properties of 1,3-bis(aminomethyl)benzene and 2,6-bis(aminomethyl)pyridine derivatives bearing naphthalene and 2-nitrobenzene moieties.</w:t>
      </w:r>
      <w:r w:rsidRPr="00C100D0">
        <w:rPr>
          <w:vertAlign w:val="superscript"/>
        </w:rPr>
        <w:t>4</w:t>
      </w:r>
    </w:p>
    <w:p w14:paraId="5C9E7A8A" w14:textId="77777777" w:rsidR="00FB4A6B" w:rsidRPr="00C100D0" w:rsidRDefault="00756951" w:rsidP="006F62E9">
      <w:pPr>
        <w:pStyle w:val="G1aFigureImage"/>
      </w:pPr>
      <w:r w:rsidRPr="00C100D0">
        <w:rPr>
          <w:noProof/>
          <w:lang w:val="en-US" w:eastAsia="en-US"/>
        </w:rPr>
        <w:drawing>
          <wp:inline distT="0" distB="0" distL="0" distR="0" wp14:anchorId="203A1AD9" wp14:editId="7024CCD9">
            <wp:extent cx="2553335" cy="19062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553335" cy="1906270"/>
                    </a:xfrm>
                    <a:prstGeom prst="rect">
                      <a:avLst/>
                    </a:prstGeom>
                    <a:noFill/>
                    <a:ln w="9525">
                      <a:noFill/>
                      <a:miter lim="800000"/>
                      <a:headEnd/>
                      <a:tailEnd/>
                    </a:ln>
                  </pic:spPr>
                </pic:pic>
              </a:graphicData>
            </a:graphic>
          </wp:inline>
        </w:drawing>
      </w:r>
    </w:p>
    <w:p w14:paraId="46CFE2F7" w14:textId="77777777" w:rsidR="00FB4A6B" w:rsidRPr="00C100D0" w:rsidRDefault="00FB4A6B" w:rsidP="006F62E9">
      <w:pPr>
        <w:pStyle w:val="G1bFigureCaption"/>
      </w:pPr>
      <w:r w:rsidRPr="00C100D0">
        <w:rPr>
          <w:b/>
        </w:rPr>
        <w:t xml:space="preserve">Scheme 1 </w:t>
      </w:r>
      <w:r w:rsidRPr="00C100D0">
        <w:t xml:space="preserve">Representation of receptors </w:t>
      </w:r>
      <w:r w:rsidRPr="00C100D0">
        <w:rPr>
          <w:b/>
        </w:rPr>
        <w:t>L</w:t>
      </w:r>
      <w:r w:rsidRPr="00C100D0">
        <w:rPr>
          <w:b/>
          <w:vertAlign w:val="superscript"/>
        </w:rPr>
        <w:t>1</w:t>
      </w:r>
      <w:r w:rsidRPr="00C100D0">
        <w:t>-</w:t>
      </w:r>
      <w:r w:rsidRPr="00C100D0">
        <w:rPr>
          <w:b/>
        </w:rPr>
        <w:t>L</w:t>
      </w:r>
      <w:r w:rsidRPr="00C100D0">
        <w:rPr>
          <w:b/>
          <w:vertAlign w:val="superscript"/>
        </w:rPr>
        <w:t>6</w:t>
      </w:r>
      <w:r w:rsidRPr="00C100D0">
        <w:t xml:space="preserve">. </w:t>
      </w:r>
    </w:p>
    <w:p w14:paraId="3042E79C" w14:textId="77777777" w:rsidR="00FB4A6B" w:rsidRPr="00C100D0" w:rsidRDefault="00FB4A6B" w:rsidP="00A32E32">
      <w:pPr>
        <w:pStyle w:val="08ArticleText"/>
      </w:pPr>
      <w:r w:rsidRPr="00C100D0">
        <w:lastRenderedPageBreak/>
        <w:t xml:space="preserve">Gale and co-workers have previously shown that </w:t>
      </w:r>
      <w:r w:rsidRPr="00C100D0">
        <w:rPr>
          <w:i/>
        </w:rPr>
        <w:t>ortho-</w:t>
      </w:r>
      <w:r w:rsidRPr="00C100D0">
        <w:t>phenylenediamine-based bis-ureas are highly effective anion transport motifs with chloride transport activity observed at concentrations as low as 1:1000000 transporter to lipid molar ratio.</w:t>
      </w:r>
      <w:r w:rsidRPr="00C100D0">
        <w:rPr>
          <w:vertAlign w:val="superscript"/>
        </w:rPr>
        <w:t>5</w:t>
      </w:r>
      <w:r w:rsidRPr="00C100D0">
        <w:t xml:space="preserve">  Gale has also shown that tripodal tren-based tris ureas and thioureas are capable of facilitating chloride/nitrate and chloride/bicarbonate antiport processes in POPC-based vesicles.</w:t>
      </w:r>
      <w:r w:rsidRPr="00C100D0">
        <w:rPr>
          <w:vertAlign w:val="superscript"/>
        </w:rPr>
        <w:t>6</w:t>
      </w:r>
      <w:r w:rsidRPr="00C100D0">
        <w:t xml:space="preserve"> We, therefore, decided to study bis-ureas prepared from 1,3-bis(aminomethyl)benzene and 2,6-bis(aminomethyl)pyridine (see receptors </w:t>
      </w:r>
      <w:r w:rsidRPr="00C100D0">
        <w:rPr>
          <w:b/>
        </w:rPr>
        <w:t>L</w:t>
      </w:r>
      <w:r w:rsidRPr="00C100D0">
        <w:rPr>
          <w:b/>
          <w:vertAlign w:val="superscript"/>
        </w:rPr>
        <w:t>1</w:t>
      </w:r>
      <w:r w:rsidRPr="00C100D0">
        <w:rPr>
          <w:b/>
        </w:rPr>
        <w:t>-L</w:t>
      </w:r>
      <w:r w:rsidRPr="00C100D0">
        <w:rPr>
          <w:b/>
          <w:vertAlign w:val="superscript"/>
        </w:rPr>
        <w:t>6</w:t>
      </w:r>
      <w:r w:rsidRPr="00C100D0">
        <w:t xml:space="preserve"> in scheme 1) as potential anion transporters due to their structural similarity to systems mentioned above.  Therefore a series of </w:t>
      </w:r>
      <w:r w:rsidRPr="00C100D0">
        <w:rPr>
          <w:rFonts w:ascii="Times" w:hAnsi="Times" w:cs="Times"/>
          <w:color w:val="000000"/>
        </w:rPr>
        <w:t>1,1'-(1,3-phenylenebis(methylene))bis(3-phenylureas) and 1,1'-(pyridine-2,6-diylbis(methylene))bis(3-phenylureas) were synthesized with electron withdrawing nitro and trifluoromethyl substituents which had previously been shown to enhance the transport properties of urea-based anion transporters.</w:t>
      </w:r>
      <w:r w:rsidRPr="00C100D0">
        <w:rPr>
          <w:rFonts w:ascii="Times" w:hAnsi="Times" w:cs="Times"/>
          <w:vertAlign w:val="superscript"/>
        </w:rPr>
        <w:t>5</w:t>
      </w:r>
    </w:p>
    <w:p w14:paraId="11BC2943" w14:textId="77777777" w:rsidR="00FB4A6B" w:rsidRPr="00C100D0" w:rsidRDefault="00FB4A6B" w:rsidP="003679E6">
      <w:pPr>
        <w:pStyle w:val="04AHeading"/>
      </w:pPr>
      <w:r w:rsidRPr="00C100D0">
        <w:t>2. Results and Discussion</w:t>
      </w:r>
    </w:p>
    <w:p w14:paraId="7A879DCB" w14:textId="77777777" w:rsidR="00FB4A6B" w:rsidRPr="00C100D0" w:rsidRDefault="00FB4A6B" w:rsidP="003679E6">
      <w:pPr>
        <w:pStyle w:val="06CHeading"/>
        <w:rPr>
          <w:vertAlign w:val="superscript"/>
        </w:rPr>
      </w:pPr>
      <w:r w:rsidRPr="00C100D0">
        <w:t>2.1. Synthesis and solid-state characterisation of receptors L</w:t>
      </w:r>
      <w:r w:rsidRPr="00C100D0">
        <w:rPr>
          <w:vertAlign w:val="superscript"/>
        </w:rPr>
        <w:t>1</w:t>
      </w:r>
      <w:r w:rsidRPr="00C100D0">
        <w:t>-L</w:t>
      </w:r>
      <w:r w:rsidRPr="00C100D0">
        <w:rPr>
          <w:vertAlign w:val="superscript"/>
        </w:rPr>
        <w:t>6</w:t>
      </w:r>
    </w:p>
    <w:p w14:paraId="3FBD6643" w14:textId="77777777" w:rsidR="00FB4A6B" w:rsidRPr="00C100D0" w:rsidRDefault="00FB4A6B" w:rsidP="00A32E32">
      <w:pPr>
        <w:pStyle w:val="08ArticleText"/>
      </w:pPr>
      <w:r w:rsidRPr="00C100D0">
        <w:t xml:space="preserve">Compounds </w:t>
      </w:r>
      <w:r w:rsidRPr="00C100D0">
        <w:rPr>
          <w:b/>
        </w:rPr>
        <w:t>L</w:t>
      </w:r>
      <w:r w:rsidRPr="00C100D0">
        <w:rPr>
          <w:b/>
          <w:vertAlign w:val="superscript"/>
        </w:rPr>
        <w:t>1</w:t>
      </w:r>
      <w:r w:rsidRPr="00C100D0">
        <w:t xml:space="preserve">, </w:t>
      </w:r>
      <w:r w:rsidRPr="00C100D0">
        <w:rPr>
          <w:b/>
        </w:rPr>
        <w:t>L</w:t>
      </w:r>
      <w:r w:rsidRPr="00C100D0">
        <w:rPr>
          <w:b/>
          <w:vertAlign w:val="superscript"/>
        </w:rPr>
        <w:t>3</w:t>
      </w:r>
      <w:r w:rsidRPr="00C100D0">
        <w:t xml:space="preserve">, and </w:t>
      </w:r>
      <w:r w:rsidRPr="00C100D0">
        <w:rPr>
          <w:b/>
        </w:rPr>
        <w:t>L</w:t>
      </w:r>
      <w:r w:rsidRPr="00C100D0">
        <w:rPr>
          <w:b/>
          <w:vertAlign w:val="superscript"/>
        </w:rPr>
        <w:t>5</w:t>
      </w:r>
      <w:r w:rsidRPr="00C100D0">
        <w:t xml:space="preserve"> were synthesised by the reaction of the commercially available 1,3-bis(aminomethyl)benzene reacted with  the appropriate isocyanate (4-(trifluoromethyl)phenyl isocyanate, 3,5-bis(trifluoromethyl) phenyl isocyanate and 4-nitrophenyl isocyanate) in refluxing dichloromethane in the presence of triethylamine under nitrogen to give the three receptors in 70-97% yield. In the case of compounds </w:t>
      </w:r>
      <w:r w:rsidRPr="00C100D0">
        <w:rPr>
          <w:b/>
        </w:rPr>
        <w:t>L</w:t>
      </w:r>
      <w:r w:rsidRPr="00C100D0">
        <w:rPr>
          <w:b/>
          <w:vertAlign w:val="superscript"/>
        </w:rPr>
        <w:t>2</w:t>
      </w:r>
      <w:r w:rsidRPr="00C100D0">
        <w:t xml:space="preserve">, </w:t>
      </w:r>
      <w:r w:rsidRPr="00C100D0">
        <w:rPr>
          <w:b/>
        </w:rPr>
        <w:t>L</w:t>
      </w:r>
      <w:r w:rsidRPr="00C100D0">
        <w:rPr>
          <w:b/>
          <w:vertAlign w:val="superscript"/>
        </w:rPr>
        <w:t>4</w:t>
      </w:r>
      <w:r w:rsidRPr="00C100D0">
        <w:t xml:space="preserve">, and </w:t>
      </w:r>
      <w:r w:rsidRPr="00C100D0">
        <w:rPr>
          <w:b/>
        </w:rPr>
        <w:t>L</w:t>
      </w:r>
      <w:r w:rsidRPr="00C100D0">
        <w:rPr>
          <w:b/>
          <w:vertAlign w:val="superscript"/>
        </w:rPr>
        <w:t>6</w:t>
      </w:r>
      <w:r w:rsidRPr="00C100D0">
        <w:t xml:space="preserve"> we first synthesised the 2,6-bis(amino-methyl)pyridine hydrochloride salt by a Delepine reaction of 2,6-bis-</w:t>
      </w:r>
    </w:p>
    <w:p w14:paraId="6008F95F" w14:textId="77777777" w:rsidR="00FB4A6B" w:rsidRPr="00C100D0" w:rsidRDefault="00FB4A6B" w:rsidP="006F62E9">
      <w:pPr>
        <w:pStyle w:val="08ArticleText"/>
        <w:sectPr w:rsidR="00FB4A6B" w:rsidRPr="00C100D0" w:rsidSect="00152DB1">
          <w:headerReference w:type="even" r:id="rId15"/>
          <w:headerReference w:type="default" r:id="rId16"/>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535393F7" w14:textId="77777777" w:rsidR="00FB4A6B" w:rsidRPr="00C100D0" w:rsidRDefault="00FB4A6B" w:rsidP="00271D7E">
      <w:pPr>
        <w:pStyle w:val="G4aTableTitle"/>
      </w:pPr>
      <w:r w:rsidRPr="00C100D0">
        <w:rPr>
          <w:b/>
        </w:rPr>
        <w:lastRenderedPageBreak/>
        <w:t>Table 1</w:t>
      </w:r>
      <w:r w:rsidRPr="00C100D0">
        <w:t xml:space="preserve"> Basic Crystallographic parameters</w:t>
      </w:r>
    </w:p>
    <w:tbl>
      <w:tblPr>
        <w:tblW w:w="9907" w:type="dxa"/>
        <w:tblLayout w:type="fixed"/>
        <w:tblCellMar>
          <w:left w:w="0" w:type="dxa"/>
          <w:right w:w="0" w:type="dxa"/>
        </w:tblCellMar>
        <w:tblLook w:val="0000" w:firstRow="0" w:lastRow="0" w:firstColumn="0" w:lastColumn="0" w:noHBand="0" w:noVBand="0"/>
      </w:tblPr>
      <w:tblGrid>
        <w:gridCol w:w="9907"/>
      </w:tblGrid>
      <w:tr w:rsidR="00FB4A6B" w:rsidRPr="00C100D0" w14:paraId="53F60FCC" w14:textId="77777777" w:rsidTr="00D52691">
        <w:trPr>
          <w:trHeight w:val="2974"/>
        </w:trPr>
        <w:tc>
          <w:tcPr>
            <w:tcW w:w="9907" w:type="dxa"/>
          </w:tcPr>
          <w:tbl>
            <w:tblPr>
              <w:tblW w:w="9899" w:type="dxa"/>
              <w:tblInd w:w="2" w:type="dxa"/>
              <w:tblLayout w:type="fixed"/>
              <w:tblCellMar>
                <w:left w:w="0" w:type="dxa"/>
                <w:right w:w="0" w:type="dxa"/>
              </w:tblCellMar>
              <w:tblLook w:val="00A0" w:firstRow="1" w:lastRow="0" w:firstColumn="1" w:lastColumn="0" w:noHBand="0" w:noVBand="0"/>
            </w:tblPr>
            <w:tblGrid>
              <w:gridCol w:w="1281"/>
              <w:gridCol w:w="1326"/>
              <w:gridCol w:w="1701"/>
              <w:gridCol w:w="992"/>
              <w:gridCol w:w="1145"/>
              <w:gridCol w:w="882"/>
              <w:gridCol w:w="999"/>
              <w:gridCol w:w="1093"/>
              <w:gridCol w:w="480"/>
            </w:tblGrid>
            <w:tr w:rsidR="00FB4A6B" w:rsidRPr="00C100D0" w14:paraId="7D4C4CD7" w14:textId="77777777" w:rsidTr="007757EC">
              <w:trPr>
                <w:trHeight w:val="335"/>
              </w:trPr>
              <w:tc>
                <w:tcPr>
                  <w:tcW w:w="1281" w:type="dxa"/>
                </w:tcPr>
                <w:p w14:paraId="48605E7F" w14:textId="77777777" w:rsidR="00FB4A6B" w:rsidRPr="00C100D0" w:rsidRDefault="00FB4A6B" w:rsidP="00271D7E">
                  <w:pPr>
                    <w:pStyle w:val="G4bTableBody"/>
                    <w:rPr>
                      <w:rFonts w:ascii="Calibri" w:hAnsi="Calibri"/>
                      <w:b/>
                      <w:sz w:val="18"/>
                      <w:szCs w:val="18"/>
                      <w:lang w:val="en-US" w:eastAsia="en-US"/>
                    </w:rPr>
                  </w:pPr>
                </w:p>
              </w:tc>
              <w:tc>
                <w:tcPr>
                  <w:tcW w:w="1326" w:type="dxa"/>
                </w:tcPr>
                <w:p w14:paraId="3415F9F7" w14:textId="77777777" w:rsidR="00FB4A6B" w:rsidRPr="00C100D0" w:rsidRDefault="00FB4A6B" w:rsidP="00070B1E">
                  <w:pPr>
                    <w:pStyle w:val="G4bTableBody"/>
                    <w:rPr>
                      <w:rFonts w:ascii="Calibri" w:hAnsi="Calibri"/>
                      <w:b/>
                      <w:sz w:val="18"/>
                      <w:szCs w:val="18"/>
                      <w:lang w:val="en-US" w:eastAsia="en-US"/>
                    </w:rPr>
                  </w:pPr>
                  <w:r w:rsidRPr="00C100D0">
                    <w:rPr>
                      <w:rFonts w:ascii="Calibri" w:hAnsi="Calibri"/>
                      <w:b/>
                      <w:sz w:val="18"/>
                      <w:szCs w:val="18"/>
                      <w:lang w:val="en-US" w:eastAsia="en-US"/>
                    </w:rPr>
                    <w:t xml:space="preserve">CCDC </w:t>
                  </w:r>
                </w:p>
              </w:tc>
              <w:tc>
                <w:tcPr>
                  <w:tcW w:w="1701" w:type="dxa"/>
                </w:tcPr>
                <w:p w14:paraId="4A234BAD" w14:textId="77777777" w:rsidR="00FB4A6B" w:rsidRPr="00C100D0" w:rsidRDefault="00FB4A6B" w:rsidP="00E75226">
                  <w:pPr>
                    <w:pStyle w:val="G4bTableBody"/>
                    <w:rPr>
                      <w:rFonts w:ascii="Calibri" w:hAnsi="Calibri"/>
                      <w:b/>
                      <w:sz w:val="18"/>
                      <w:szCs w:val="18"/>
                      <w:lang w:val="en-US" w:eastAsia="en-US"/>
                    </w:rPr>
                  </w:pPr>
                  <w:r w:rsidRPr="00C100D0">
                    <w:rPr>
                      <w:rFonts w:ascii="Calibri" w:hAnsi="Calibri"/>
                      <w:b/>
                      <w:sz w:val="18"/>
                      <w:szCs w:val="18"/>
                      <w:lang w:val="en-US" w:eastAsia="en-US"/>
                    </w:rPr>
                    <w:t xml:space="preserve">Crystal System </w:t>
                  </w:r>
                </w:p>
                <w:p w14:paraId="471B089C" w14:textId="77777777" w:rsidR="00FB4A6B" w:rsidRPr="00C100D0" w:rsidRDefault="00FB4A6B" w:rsidP="00070B1E">
                  <w:pPr>
                    <w:pStyle w:val="G4bTableBody"/>
                    <w:rPr>
                      <w:rFonts w:ascii="Calibri" w:hAnsi="Calibri"/>
                      <w:b/>
                      <w:sz w:val="18"/>
                      <w:szCs w:val="18"/>
                      <w:lang w:val="en-US" w:eastAsia="en-US"/>
                    </w:rPr>
                  </w:pPr>
                  <w:r w:rsidRPr="00C100D0">
                    <w:rPr>
                      <w:rFonts w:ascii="Calibri" w:hAnsi="Calibri"/>
                      <w:b/>
                      <w:sz w:val="18"/>
                      <w:szCs w:val="18"/>
                      <w:lang w:val="en-US" w:eastAsia="en-US"/>
                    </w:rPr>
                    <w:t>(space group)</w:t>
                  </w:r>
                </w:p>
              </w:tc>
              <w:tc>
                <w:tcPr>
                  <w:tcW w:w="992" w:type="dxa"/>
                </w:tcPr>
                <w:p w14:paraId="73261D90" w14:textId="77777777" w:rsidR="00FB4A6B" w:rsidRPr="00C100D0" w:rsidRDefault="00FB4A6B" w:rsidP="00271D7E">
                  <w:pPr>
                    <w:pStyle w:val="G4bTableBody"/>
                    <w:rPr>
                      <w:rFonts w:ascii="Calibri" w:hAnsi="Calibri"/>
                      <w:b/>
                      <w:sz w:val="18"/>
                      <w:szCs w:val="18"/>
                      <w:lang w:val="en-US" w:eastAsia="en-US"/>
                    </w:rPr>
                  </w:pPr>
                  <w:r w:rsidRPr="00C100D0">
                    <w:rPr>
                      <w:rFonts w:ascii="Calibri" w:hAnsi="Calibri"/>
                      <w:b/>
                      <w:sz w:val="18"/>
                      <w:szCs w:val="18"/>
                      <w:lang w:val="en-US" w:eastAsia="en-US"/>
                    </w:rPr>
                    <w:t xml:space="preserve">a </w:t>
                  </w:r>
                  <w:r w:rsidRPr="00C100D0">
                    <w:rPr>
                      <w:rFonts w:ascii="Calibri" w:hAnsi="Calibri"/>
                      <w:b/>
                      <w:bCs/>
                      <w:sz w:val="18"/>
                      <w:szCs w:val="18"/>
                      <w:lang w:val="en-US" w:eastAsia="en-US"/>
                    </w:rPr>
                    <w:t xml:space="preserve"> (</w:t>
                  </w:r>
                  <w:r w:rsidRPr="00C100D0">
                    <w:rPr>
                      <w:rFonts w:ascii="Calibri" w:hAnsi="Calibri"/>
                      <w:b/>
                      <w:bCs/>
                      <w:sz w:val="18"/>
                      <w:szCs w:val="18"/>
                      <w:lang w:eastAsia="en-US"/>
                    </w:rPr>
                    <w:t>Ǻ</w:t>
                  </w:r>
                  <w:r w:rsidRPr="00C100D0">
                    <w:rPr>
                      <w:rFonts w:ascii="Calibri" w:hAnsi="Calibri"/>
                      <w:b/>
                      <w:bCs/>
                      <w:sz w:val="18"/>
                      <w:szCs w:val="18"/>
                      <w:lang w:val="en-US" w:eastAsia="en-US"/>
                    </w:rPr>
                    <w:t>)</w:t>
                  </w:r>
                </w:p>
              </w:tc>
              <w:tc>
                <w:tcPr>
                  <w:tcW w:w="1145" w:type="dxa"/>
                </w:tcPr>
                <w:p w14:paraId="184915CD" w14:textId="77777777" w:rsidR="00FB4A6B" w:rsidRPr="00C100D0" w:rsidRDefault="00FB4A6B" w:rsidP="00271D7E">
                  <w:pPr>
                    <w:pStyle w:val="G4bTableBody"/>
                    <w:rPr>
                      <w:rFonts w:ascii="Calibri" w:hAnsi="Calibri"/>
                      <w:b/>
                      <w:sz w:val="18"/>
                      <w:szCs w:val="18"/>
                      <w:lang w:val="en-US" w:eastAsia="en-US"/>
                    </w:rPr>
                  </w:pPr>
                  <w:r w:rsidRPr="00C100D0">
                    <w:rPr>
                      <w:rFonts w:ascii="Calibri" w:hAnsi="Calibri"/>
                      <w:b/>
                      <w:sz w:val="18"/>
                      <w:szCs w:val="18"/>
                      <w:lang w:val="en-US" w:eastAsia="en-US"/>
                    </w:rPr>
                    <w:t xml:space="preserve">b </w:t>
                  </w:r>
                  <w:r w:rsidRPr="00C100D0">
                    <w:rPr>
                      <w:rFonts w:ascii="Calibri" w:hAnsi="Calibri"/>
                      <w:b/>
                      <w:bCs/>
                      <w:sz w:val="18"/>
                      <w:szCs w:val="18"/>
                      <w:lang w:val="en-US" w:eastAsia="en-US"/>
                    </w:rPr>
                    <w:t>(</w:t>
                  </w:r>
                  <w:r w:rsidRPr="00C100D0">
                    <w:rPr>
                      <w:rFonts w:ascii="Calibri" w:hAnsi="Calibri"/>
                      <w:b/>
                      <w:bCs/>
                      <w:sz w:val="18"/>
                      <w:szCs w:val="18"/>
                      <w:lang w:eastAsia="en-US"/>
                    </w:rPr>
                    <w:t>Ǻ</w:t>
                  </w:r>
                  <w:r w:rsidRPr="00C100D0">
                    <w:rPr>
                      <w:rFonts w:ascii="Calibri" w:hAnsi="Calibri"/>
                      <w:b/>
                      <w:bCs/>
                      <w:sz w:val="18"/>
                      <w:szCs w:val="18"/>
                      <w:lang w:val="en-US" w:eastAsia="en-US"/>
                    </w:rPr>
                    <w:t>)</w:t>
                  </w:r>
                </w:p>
              </w:tc>
              <w:tc>
                <w:tcPr>
                  <w:tcW w:w="882" w:type="dxa"/>
                </w:tcPr>
                <w:p w14:paraId="46D60FF2" w14:textId="77777777" w:rsidR="00FB4A6B" w:rsidRPr="00C100D0" w:rsidRDefault="00FB4A6B" w:rsidP="00271D7E">
                  <w:pPr>
                    <w:pStyle w:val="G4bTableBody"/>
                    <w:rPr>
                      <w:rFonts w:ascii="Calibri" w:hAnsi="Calibri"/>
                      <w:b/>
                      <w:sz w:val="18"/>
                      <w:szCs w:val="18"/>
                      <w:lang w:val="en-US" w:eastAsia="en-US"/>
                    </w:rPr>
                  </w:pPr>
                  <w:r w:rsidRPr="00C100D0">
                    <w:rPr>
                      <w:rFonts w:ascii="Calibri" w:hAnsi="Calibri"/>
                      <w:b/>
                      <w:sz w:val="18"/>
                      <w:szCs w:val="18"/>
                      <w:lang w:val="en-US" w:eastAsia="en-US"/>
                    </w:rPr>
                    <w:t xml:space="preserve">c </w:t>
                  </w:r>
                  <w:r w:rsidRPr="00C100D0">
                    <w:rPr>
                      <w:rFonts w:ascii="Calibri" w:hAnsi="Calibri"/>
                      <w:b/>
                      <w:bCs/>
                      <w:sz w:val="18"/>
                      <w:szCs w:val="18"/>
                      <w:lang w:val="en-US" w:eastAsia="en-US"/>
                    </w:rPr>
                    <w:t>(</w:t>
                  </w:r>
                  <w:r w:rsidRPr="00C100D0">
                    <w:rPr>
                      <w:rFonts w:ascii="Calibri" w:hAnsi="Calibri"/>
                      <w:b/>
                      <w:bCs/>
                      <w:sz w:val="18"/>
                      <w:szCs w:val="18"/>
                      <w:lang w:eastAsia="en-US"/>
                    </w:rPr>
                    <w:t>Ǻ</w:t>
                  </w:r>
                  <w:r w:rsidRPr="00C100D0">
                    <w:rPr>
                      <w:rFonts w:ascii="Calibri" w:hAnsi="Calibri"/>
                      <w:b/>
                      <w:bCs/>
                      <w:sz w:val="18"/>
                      <w:szCs w:val="18"/>
                      <w:lang w:val="en-US" w:eastAsia="en-US"/>
                    </w:rPr>
                    <w:t>)</w:t>
                  </w:r>
                </w:p>
              </w:tc>
              <w:tc>
                <w:tcPr>
                  <w:tcW w:w="999" w:type="dxa"/>
                </w:tcPr>
                <w:p w14:paraId="1D2E92C7" w14:textId="77777777" w:rsidR="00FB4A6B" w:rsidRPr="00C100D0" w:rsidRDefault="00FB4A6B" w:rsidP="00271D7E">
                  <w:pPr>
                    <w:pStyle w:val="G4bTableBody"/>
                    <w:rPr>
                      <w:rFonts w:ascii="Calibri" w:hAnsi="Calibri"/>
                      <w:b/>
                      <w:sz w:val="18"/>
                      <w:szCs w:val="18"/>
                      <w:lang w:val="en-US" w:eastAsia="en-US"/>
                    </w:rPr>
                  </w:pPr>
                  <w:r w:rsidRPr="00C100D0">
                    <w:rPr>
                      <w:rFonts w:ascii="Calibri" w:hAnsi="Calibri"/>
                      <w:b/>
                      <w:sz w:val="18"/>
                      <w:szCs w:val="18"/>
                      <w:lang w:val="en-US" w:eastAsia="en-US"/>
                    </w:rPr>
                    <w:sym w:font="Symbol" w:char="F062"/>
                  </w:r>
                  <w:r w:rsidRPr="00C100D0">
                    <w:rPr>
                      <w:rFonts w:ascii="Calibri" w:hAnsi="Calibri"/>
                      <w:b/>
                      <w:sz w:val="18"/>
                      <w:szCs w:val="18"/>
                      <w:lang w:val="en-US" w:eastAsia="en-US"/>
                    </w:rPr>
                    <w:t xml:space="preserve"> (</w:t>
                  </w:r>
                  <w:r w:rsidRPr="00C100D0">
                    <w:rPr>
                      <w:rFonts w:ascii="Calibri" w:hAnsi="Calibri"/>
                      <w:b/>
                      <w:bCs/>
                      <w:sz w:val="18"/>
                      <w:szCs w:val="18"/>
                      <w:lang w:val="en-US" w:eastAsia="en-US"/>
                    </w:rPr>
                    <w:sym w:font="Symbol" w:char="F0B0"/>
                  </w:r>
                  <w:r w:rsidRPr="00C100D0">
                    <w:rPr>
                      <w:rFonts w:ascii="Calibri" w:hAnsi="Calibri"/>
                      <w:b/>
                      <w:bCs/>
                      <w:sz w:val="18"/>
                      <w:szCs w:val="18"/>
                      <w:lang w:val="en-US" w:eastAsia="en-US"/>
                    </w:rPr>
                    <w:t>)</w:t>
                  </w:r>
                </w:p>
              </w:tc>
              <w:tc>
                <w:tcPr>
                  <w:tcW w:w="1093" w:type="dxa"/>
                </w:tcPr>
                <w:p w14:paraId="1EC1AA4C" w14:textId="77777777" w:rsidR="00FB4A6B" w:rsidRPr="00C100D0" w:rsidRDefault="00FB4A6B" w:rsidP="00271D7E">
                  <w:pPr>
                    <w:pStyle w:val="G4bTableBody"/>
                    <w:rPr>
                      <w:rFonts w:ascii="Calibri" w:hAnsi="Calibri"/>
                      <w:b/>
                      <w:sz w:val="18"/>
                      <w:szCs w:val="18"/>
                      <w:lang w:val="en-US" w:eastAsia="en-US"/>
                    </w:rPr>
                  </w:pPr>
                  <w:r w:rsidRPr="00C100D0">
                    <w:rPr>
                      <w:rFonts w:ascii="Calibri" w:hAnsi="Calibri"/>
                      <w:b/>
                      <w:sz w:val="18"/>
                      <w:szCs w:val="18"/>
                      <w:lang w:val="en-US" w:eastAsia="en-US"/>
                    </w:rPr>
                    <w:t xml:space="preserve">V </w:t>
                  </w:r>
                  <w:r w:rsidRPr="00C100D0">
                    <w:rPr>
                      <w:rFonts w:ascii="Calibri" w:hAnsi="Calibri"/>
                      <w:b/>
                      <w:bCs/>
                      <w:sz w:val="18"/>
                      <w:szCs w:val="18"/>
                      <w:lang w:val="en-US" w:eastAsia="en-US"/>
                    </w:rPr>
                    <w:t>(</w:t>
                  </w:r>
                  <w:r w:rsidRPr="00C100D0">
                    <w:rPr>
                      <w:rFonts w:ascii="Calibri" w:hAnsi="Calibri"/>
                      <w:b/>
                      <w:bCs/>
                      <w:sz w:val="18"/>
                      <w:szCs w:val="18"/>
                      <w:lang w:eastAsia="en-US"/>
                    </w:rPr>
                    <w:t>Ǻ</w:t>
                  </w:r>
                  <w:r w:rsidRPr="00C100D0">
                    <w:rPr>
                      <w:rFonts w:ascii="Calibri" w:hAnsi="Calibri"/>
                      <w:b/>
                      <w:bCs/>
                      <w:sz w:val="18"/>
                      <w:szCs w:val="18"/>
                      <w:vertAlign w:val="superscript"/>
                      <w:lang w:val="en-US" w:eastAsia="en-US"/>
                    </w:rPr>
                    <w:t>3</w:t>
                  </w:r>
                  <w:r w:rsidRPr="00C100D0">
                    <w:rPr>
                      <w:rFonts w:ascii="Calibri" w:hAnsi="Calibri"/>
                      <w:b/>
                      <w:bCs/>
                      <w:sz w:val="18"/>
                      <w:szCs w:val="18"/>
                      <w:lang w:val="en-US" w:eastAsia="en-US"/>
                    </w:rPr>
                    <w:t>)</w:t>
                  </w:r>
                </w:p>
              </w:tc>
              <w:tc>
                <w:tcPr>
                  <w:tcW w:w="480" w:type="dxa"/>
                </w:tcPr>
                <w:p w14:paraId="06AEDC76" w14:textId="77777777" w:rsidR="00FB4A6B" w:rsidRPr="00C100D0" w:rsidRDefault="00FB4A6B" w:rsidP="00271D7E">
                  <w:pPr>
                    <w:pStyle w:val="G4bTableBody"/>
                    <w:rPr>
                      <w:rFonts w:ascii="Calibri" w:hAnsi="Calibri"/>
                      <w:b/>
                      <w:sz w:val="18"/>
                      <w:szCs w:val="18"/>
                      <w:lang w:val="en-US" w:eastAsia="en-US"/>
                    </w:rPr>
                  </w:pPr>
                  <w:r w:rsidRPr="00C100D0">
                    <w:rPr>
                      <w:rFonts w:ascii="Calibri" w:hAnsi="Calibri"/>
                      <w:b/>
                      <w:bCs/>
                      <w:sz w:val="18"/>
                      <w:szCs w:val="18"/>
                      <w:lang w:val="en-US" w:eastAsia="en-US"/>
                    </w:rPr>
                    <w:t>Z</w:t>
                  </w:r>
                </w:p>
              </w:tc>
            </w:tr>
            <w:tr w:rsidR="00FB4A6B" w:rsidRPr="00C100D0" w14:paraId="07537954" w14:textId="77777777" w:rsidTr="007757EC">
              <w:trPr>
                <w:trHeight w:val="314"/>
              </w:trPr>
              <w:tc>
                <w:tcPr>
                  <w:tcW w:w="1281" w:type="dxa"/>
                </w:tcPr>
                <w:p w14:paraId="732CDA39"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3</w:t>
                  </w:r>
                  <w:r w:rsidRPr="00C100D0">
                    <w:rPr>
                      <w:rFonts w:ascii="Calibri" w:hAnsi="Calibri"/>
                      <w:b/>
                      <w:sz w:val="18"/>
                      <w:szCs w:val="18"/>
                      <w:lang w:eastAsia="en-US"/>
                    </w:rPr>
                    <w:t xml:space="preserve">-DMSO </w:t>
                  </w:r>
                </w:p>
              </w:tc>
              <w:tc>
                <w:tcPr>
                  <w:tcW w:w="1326" w:type="dxa"/>
                </w:tcPr>
                <w:p w14:paraId="1ABCC24F" w14:textId="77777777" w:rsidR="00FB4A6B" w:rsidRPr="00C100D0" w:rsidRDefault="00FB4A6B" w:rsidP="00271D7E">
                  <w:pPr>
                    <w:pStyle w:val="G4bTableBody"/>
                    <w:rPr>
                      <w:rFonts w:ascii="Calibri" w:hAnsi="Calibri"/>
                      <w:sz w:val="18"/>
                      <w:szCs w:val="18"/>
                      <w:lang w:val="it-IT" w:eastAsia="en-US"/>
                    </w:rPr>
                  </w:pPr>
                  <w:r w:rsidRPr="00C100D0">
                    <w:rPr>
                      <w:rFonts w:ascii="Calibri" w:hAnsi="Calibri"/>
                      <w:sz w:val="18"/>
                      <w:szCs w:val="18"/>
                      <w:lang w:eastAsia="en-US"/>
                    </w:rPr>
                    <w:t>1016980</w:t>
                  </w:r>
                </w:p>
              </w:tc>
              <w:tc>
                <w:tcPr>
                  <w:tcW w:w="1701" w:type="dxa"/>
                </w:tcPr>
                <w:p w14:paraId="5676FF14" w14:textId="77777777" w:rsidR="00FB4A6B" w:rsidRPr="00C100D0" w:rsidRDefault="00FB4A6B" w:rsidP="00271D7E">
                  <w:pPr>
                    <w:pStyle w:val="G4bTableBody"/>
                    <w:rPr>
                      <w:rFonts w:ascii="Calibri" w:hAnsi="Calibri"/>
                      <w:i/>
                      <w:sz w:val="18"/>
                      <w:szCs w:val="18"/>
                      <w:lang w:val="it-IT" w:eastAsia="en-US"/>
                    </w:rPr>
                  </w:pPr>
                  <w:r w:rsidRPr="00C100D0">
                    <w:rPr>
                      <w:rFonts w:ascii="Calibri" w:hAnsi="Calibri"/>
                      <w:i/>
                      <w:sz w:val="18"/>
                      <w:szCs w:val="18"/>
                      <w:lang w:val="it-IT" w:eastAsia="en-US"/>
                    </w:rPr>
                    <w:t>monoclinic (C</w:t>
                  </w:r>
                  <w:r w:rsidRPr="00C100D0">
                    <w:rPr>
                      <w:rFonts w:ascii="Calibri" w:hAnsi="Calibri"/>
                      <w:sz w:val="18"/>
                      <w:szCs w:val="18"/>
                      <w:lang w:val="it-IT" w:eastAsia="en-US"/>
                    </w:rPr>
                    <w:t>2/</w:t>
                  </w:r>
                  <w:r w:rsidRPr="00C100D0">
                    <w:rPr>
                      <w:rFonts w:ascii="Calibri" w:hAnsi="Calibri"/>
                      <w:i/>
                      <w:sz w:val="18"/>
                      <w:szCs w:val="18"/>
                      <w:lang w:val="it-IT" w:eastAsia="en-US"/>
                    </w:rPr>
                    <w:t>c)</w:t>
                  </w:r>
                </w:p>
              </w:tc>
              <w:tc>
                <w:tcPr>
                  <w:tcW w:w="992" w:type="dxa"/>
                </w:tcPr>
                <w:p w14:paraId="2E248CD1"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val="en-US" w:eastAsia="en-US"/>
                    </w:rPr>
                    <w:t>26.454(2)</w:t>
                  </w:r>
                </w:p>
              </w:tc>
              <w:tc>
                <w:tcPr>
                  <w:tcW w:w="1145" w:type="dxa"/>
                </w:tcPr>
                <w:p w14:paraId="4B3AECA4"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12.7445(9)</w:t>
                  </w:r>
                </w:p>
              </w:tc>
              <w:tc>
                <w:tcPr>
                  <w:tcW w:w="882" w:type="dxa"/>
                </w:tcPr>
                <w:p w14:paraId="2E952AB1"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8.9389(5)</w:t>
                  </w:r>
                </w:p>
              </w:tc>
              <w:tc>
                <w:tcPr>
                  <w:tcW w:w="999" w:type="dxa"/>
                </w:tcPr>
                <w:p w14:paraId="2B939D59"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94.842(3)</w:t>
                  </w:r>
                </w:p>
              </w:tc>
              <w:tc>
                <w:tcPr>
                  <w:tcW w:w="1093" w:type="dxa"/>
                </w:tcPr>
                <w:p w14:paraId="59081907" w14:textId="77777777" w:rsidR="00FB4A6B" w:rsidRPr="00C100D0" w:rsidRDefault="00FB4A6B" w:rsidP="00271D7E">
                  <w:pPr>
                    <w:pStyle w:val="G4bTableBody"/>
                    <w:rPr>
                      <w:rFonts w:ascii="Calibri" w:hAnsi="Calibri"/>
                      <w:sz w:val="18"/>
                      <w:szCs w:val="18"/>
                      <w:lang w:val="en-US" w:eastAsia="en-US"/>
                    </w:rPr>
                  </w:pPr>
                  <w:r w:rsidRPr="00C100D0">
                    <w:rPr>
                      <w:sz w:val="18"/>
                      <w:szCs w:val="18"/>
                      <w:lang w:val="en-US" w:eastAsia="en-US"/>
                    </w:rPr>
                    <w:t>3002.9(4)</w:t>
                  </w:r>
                </w:p>
              </w:tc>
              <w:tc>
                <w:tcPr>
                  <w:tcW w:w="480" w:type="dxa"/>
                </w:tcPr>
                <w:p w14:paraId="26B4F624"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4</w:t>
                  </w:r>
                </w:p>
              </w:tc>
            </w:tr>
            <w:tr w:rsidR="00FB4A6B" w:rsidRPr="00C100D0" w14:paraId="2823924F" w14:textId="77777777" w:rsidTr="007757EC">
              <w:trPr>
                <w:trHeight w:val="335"/>
              </w:trPr>
              <w:tc>
                <w:tcPr>
                  <w:tcW w:w="1281" w:type="dxa"/>
                </w:tcPr>
                <w:p w14:paraId="28625279"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4</w:t>
                  </w:r>
                  <w:r w:rsidRPr="00C100D0">
                    <w:rPr>
                      <w:rFonts w:ascii="Calibri" w:hAnsi="Calibri"/>
                      <w:b/>
                      <w:sz w:val="18"/>
                      <w:szCs w:val="18"/>
                      <w:lang w:eastAsia="en-US"/>
                    </w:rPr>
                    <w:t>-MeOH</w:t>
                  </w:r>
                </w:p>
              </w:tc>
              <w:tc>
                <w:tcPr>
                  <w:tcW w:w="1326" w:type="dxa"/>
                </w:tcPr>
                <w:p w14:paraId="5F02C652" w14:textId="77777777" w:rsidR="00FB4A6B" w:rsidRPr="00C100D0" w:rsidRDefault="00FB4A6B" w:rsidP="00070B1E">
                  <w:pPr>
                    <w:pStyle w:val="G4bTableBody"/>
                    <w:rPr>
                      <w:rFonts w:ascii="Calibri" w:hAnsi="Calibri"/>
                      <w:sz w:val="18"/>
                      <w:szCs w:val="18"/>
                      <w:lang w:val="it-IT" w:eastAsia="en-US"/>
                    </w:rPr>
                  </w:pPr>
                  <w:r w:rsidRPr="00C100D0">
                    <w:rPr>
                      <w:rFonts w:ascii="Calibri" w:hAnsi="Calibri"/>
                      <w:sz w:val="18"/>
                      <w:szCs w:val="18"/>
                      <w:lang w:eastAsia="en-US"/>
                    </w:rPr>
                    <w:t>1016982</w:t>
                  </w:r>
                </w:p>
              </w:tc>
              <w:tc>
                <w:tcPr>
                  <w:tcW w:w="1701" w:type="dxa"/>
                </w:tcPr>
                <w:p w14:paraId="087F13E1" w14:textId="77777777" w:rsidR="00FB4A6B" w:rsidRPr="00C100D0" w:rsidRDefault="00FB4A6B" w:rsidP="00271D7E">
                  <w:pPr>
                    <w:pStyle w:val="G4bTableBody"/>
                    <w:rPr>
                      <w:rFonts w:ascii="Calibri" w:hAnsi="Calibri"/>
                      <w:i/>
                      <w:sz w:val="18"/>
                      <w:szCs w:val="18"/>
                      <w:lang w:val="it-IT" w:eastAsia="en-US"/>
                    </w:rPr>
                  </w:pPr>
                  <w:r w:rsidRPr="00C100D0">
                    <w:rPr>
                      <w:rFonts w:ascii="Calibri" w:hAnsi="Calibri"/>
                      <w:i/>
                      <w:sz w:val="18"/>
                      <w:szCs w:val="18"/>
                      <w:lang w:val="it-IT" w:eastAsia="en-US"/>
                    </w:rPr>
                    <w:t>monoclinic (C</w:t>
                  </w:r>
                  <w:r w:rsidRPr="00C100D0">
                    <w:rPr>
                      <w:rFonts w:ascii="Calibri" w:hAnsi="Calibri"/>
                      <w:sz w:val="18"/>
                      <w:szCs w:val="18"/>
                      <w:lang w:val="it-IT" w:eastAsia="en-US"/>
                    </w:rPr>
                    <w:t>2/</w:t>
                  </w:r>
                  <w:r w:rsidRPr="00C100D0">
                    <w:rPr>
                      <w:rFonts w:ascii="Calibri" w:hAnsi="Calibri"/>
                      <w:i/>
                      <w:sz w:val="18"/>
                      <w:szCs w:val="18"/>
                      <w:lang w:val="it-IT" w:eastAsia="en-US"/>
                    </w:rPr>
                    <w:t>c)</w:t>
                  </w:r>
                </w:p>
              </w:tc>
              <w:tc>
                <w:tcPr>
                  <w:tcW w:w="992" w:type="dxa"/>
                </w:tcPr>
                <w:p w14:paraId="0E2A5B49"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eastAsia="en-US"/>
                    </w:rPr>
                    <w:t>26.210(7)</w:t>
                  </w:r>
                </w:p>
              </w:tc>
              <w:tc>
                <w:tcPr>
                  <w:tcW w:w="1145" w:type="dxa"/>
                </w:tcPr>
                <w:p w14:paraId="09FCAA02"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eastAsia="en-US"/>
                    </w:rPr>
                    <w:t>12.739(3)</w:t>
                  </w:r>
                </w:p>
              </w:tc>
              <w:tc>
                <w:tcPr>
                  <w:tcW w:w="882" w:type="dxa"/>
                </w:tcPr>
                <w:p w14:paraId="3D12C1D4"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eastAsia="en-US"/>
                    </w:rPr>
                    <w:t>8.981(2)</w:t>
                  </w:r>
                </w:p>
              </w:tc>
              <w:tc>
                <w:tcPr>
                  <w:tcW w:w="999" w:type="dxa"/>
                </w:tcPr>
                <w:p w14:paraId="13A2B736"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eastAsia="en-US"/>
                    </w:rPr>
                    <w:t>96.618(5)</w:t>
                  </w:r>
                </w:p>
              </w:tc>
              <w:tc>
                <w:tcPr>
                  <w:tcW w:w="1093" w:type="dxa"/>
                </w:tcPr>
                <w:p w14:paraId="645B5A3F" w14:textId="77777777" w:rsidR="00FB4A6B" w:rsidRPr="00C100D0" w:rsidRDefault="00FB4A6B" w:rsidP="00271D7E">
                  <w:pPr>
                    <w:pStyle w:val="G4bTableBody"/>
                    <w:rPr>
                      <w:rFonts w:ascii="Calibri" w:hAnsi="Calibri"/>
                      <w:sz w:val="18"/>
                      <w:szCs w:val="18"/>
                      <w:lang w:eastAsia="en-US"/>
                    </w:rPr>
                  </w:pPr>
                  <w:r w:rsidRPr="00C100D0">
                    <w:rPr>
                      <w:rFonts w:ascii="Calibri" w:hAnsi="Calibri"/>
                      <w:sz w:val="18"/>
                      <w:szCs w:val="18"/>
                      <w:lang w:eastAsia="en-US"/>
                    </w:rPr>
                    <w:t>2978.7(13)</w:t>
                  </w:r>
                </w:p>
              </w:tc>
              <w:tc>
                <w:tcPr>
                  <w:tcW w:w="480" w:type="dxa"/>
                </w:tcPr>
                <w:p w14:paraId="1FA2159B" w14:textId="77777777" w:rsidR="00FB4A6B" w:rsidRPr="00C100D0" w:rsidRDefault="00FB4A6B" w:rsidP="00271D7E">
                  <w:pPr>
                    <w:pStyle w:val="G4bTableBody"/>
                    <w:rPr>
                      <w:rFonts w:ascii="Calibri" w:hAnsi="Calibri"/>
                      <w:sz w:val="18"/>
                      <w:szCs w:val="18"/>
                      <w:lang w:eastAsia="en-US"/>
                    </w:rPr>
                  </w:pPr>
                  <w:r w:rsidRPr="00C100D0">
                    <w:rPr>
                      <w:rFonts w:ascii="Calibri" w:hAnsi="Calibri"/>
                      <w:sz w:val="18"/>
                      <w:szCs w:val="18"/>
                      <w:lang w:eastAsia="en-US"/>
                    </w:rPr>
                    <w:t>4</w:t>
                  </w:r>
                </w:p>
              </w:tc>
            </w:tr>
            <w:tr w:rsidR="00FB4A6B" w:rsidRPr="00C100D0" w14:paraId="1F539A88" w14:textId="77777777" w:rsidTr="007757EC">
              <w:trPr>
                <w:trHeight w:val="335"/>
              </w:trPr>
              <w:tc>
                <w:tcPr>
                  <w:tcW w:w="1281" w:type="dxa"/>
                </w:tcPr>
                <w:p w14:paraId="77B0A09C"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4</w:t>
                  </w:r>
                  <w:r w:rsidRPr="00C100D0">
                    <w:rPr>
                      <w:rFonts w:ascii="Calibri" w:hAnsi="Calibri"/>
                      <w:b/>
                      <w:sz w:val="18"/>
                      <w:szCs w:val="18"/>
                      <w:lang w:eastAsia="en-US"/>
                    </w:rPr>
                    <w:t>-A</w:t>
                  </w:r>
                </w:p>
              </w:tc>
              <w:tc>
                <w:tcPr>
                  <w:tcW w:w="1326" w:type="dxa"/>
                </w:tcPr>
                <w:p w14:paraId="4E0E7E8D" w14:textId="77777777" w:rsidR="00FB4A6B" w:rsidRPr="00C100D0" w:rsidRDefault="00FB4A6B" w:rsidP="00070B1E">
                  <w:pPr>
                    <w:pStyle w:val="G4bTableBody"/>
                    <w:rPr>
                      <w:rFonts w:ascii="Calibri" w:hAnsi="Calibri"/>
                      <w:sz w:val="18"/>
                      <w:szCs w:val="18"/>
                      <w:lang w:val="it-IT" w:eastAsia="en-US"/>
                    </w:rPr>
                  </w:pPr>
                  <w:r w:rsidRPr="00C100D0">
                    <w:rPr>
                      <w:rFonts w:ascii="Calibri" w:hAnsi="Calibri"/>
                      <w:sz w:val="18"/>
                      <w:szCs w:val="18"/>
                      <w:lang w:eastAsia="en-US"/>
                    </w:rPr>
                    <w:t>1016981</w:t>
                  </w:r>
                </w:p>
              </w:tc>
              <w:tc>
                <w:tcPr>
                  <w:tcW w:w="1701" w:type="dxa"/>
                </w:tcPr>
                <w:p w14:paraId="1D19C70F" w14:textId="77777777" w:rsidR="00FB4A6B" w:rsidRPr="00C100D0" w:rsidRDefault="00FB4A6B" w:rsidP="00271D7E">
                  <w:pPr>
                    <w:pStyle w:val="G4bTableBody"/>
                    <w:rPr>
                      <w:rFonts w:ascii="Calibri" w:hAnsi="Calibri"/>
                      <w:i/>
                      <w:sz w:val="18"/>
                      <w:szCs w:val="18"/>
                      <w:lang w:val="en-US" w:eastAsia="en-US"/>
                    </w:rPr>
                  </w:pPr>
                  <w:r w:rsidRPr="00C100D0">
                    <w:rPr>
                      <w:rFonts w:ascii="Calibri" w:hAnsi="Calibri"/>
                      <w:i/>
                      <w:sz w:val="18"/>
                      <w:szCs w:val="18"/>
                      <w:lang w:val="it-IT" w:eastAsia="en-US"/>
                    </w:rPr>
                    <w:t>monoclinic (</w:t>
                  </w:r>
                  <w:r w:rsidRPr="00C100D0">
                    <w:rPr>
                      <w:rFonts w:ascii="Calibri" w:hAnsi="Calibri"/>
                      <w:i/>
                      <w:sz w:val="18"/>
                      <w:szCs w:val="18"/>
                      <w:lang w:val="en-US" w:eastAsia="en-US"/>
                    </w:rPr>
                    <w:t>P</w:t>
                  </w:r>
                  <w:r w:rsidRPr="00C100D0">
                    <w:rPr>
                      <w:rFonts w:ascii="Calibri" w:hAnsi="Calibri"/>
                      <w:sz w:val="18"/>
                      <w:szCs w:val="18"/>
                      <w:lang w:val="en-US" w:eastAsia="en-US"/>
                    </w:rPr>
                    <w:t>2/</w:t>
                  </w:r>
                  <w:r w:rsidRPr="00C100D0">
                    <w:rPr>
                      <w:rFonts w:ascii="Calibri" w:hAnsi="Calibri"/>
                      <w:i/>
                      <w:sz w:val="18"/>
                      <w:szCs w:val="18"/>
                      <w:lang w:val="en-US" w:eastAsia="en-US"/>
                    </w:rPr>
                    <w:t>c)</w:t>
                  </w:r>
                </w:p>
              </w:tc>
              <w:tc>
                <w:tcPr>
                  <w:tcW w:w="992" w:type="dxa"/>
                </w:tcPr>
                <w:p w14:paraId="00F64A24" w14:textId="77777777" w:rsidR="00FB4A6B" w:rsidRPr="00C100D0" w:rsidRDefault="00FB4A6B" w:rsidP="00D52691">
                  <w:pPr>
                    <w:pStyle w:val="G4bTableBody"/>
                    <w:rPr>
                      <w:rFonts w:ascii="Calibri" w:hAnsi="Calibri"/>
                      <w:sz w:val="18"/>
                      <w:szCs w:val="18"/>
                      <w:lang w:val="en-US" w:eastAsia="en-US"/>
                    </w:rPr>
                  </w:pPr>
                  <w:r w:rsidRPr="00C100D0">
                    <w:rPr>
                      <w:rFonts w:ascii="Calibri" w:hAnsi="Calibri"/>
                      <w:sz w:val="18"/>
                      <w:szCs w:val="18"/>
                      <w:lang w:eastAsia="en-US"/>
                    </w:rPr>
                    <w:t>11.4364(9)</w:t>
                  </w:r>
                </w:p>
              </w:tc>
              <w:tc>
                <w:tcPr>
                  <w:tcW w:w="1145" w:type="dxa"/>
                </w:tcPr>
                <w:p w14:paraId="038709B2"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12.8183(10)</w:t>
                  </w:r>
                </w:p>
              </w:tc>
              <w:tc>
                <w:tcPr>
                  <w:tcW w:w="882" w:type="dxa"/>
                </w:tcPr>
                <w:p w14:paraId="6E8B9122"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9.0313(7)</w:t>
                  </w:r>
                </w:p>
              </w:tc>
              <w:tc>
                <w:tcPr>
                  <w:tcW w:w="999" w:type="dxa"/>
                </w:tcPr>
                <w:p w14:paraId="7B4BB5C6"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100.463(2)</w:t>
                  </w:r>
                </w:p>
              </w:tc>
              <w:tc>
                <w:tcPr>
                  <w:tcW w:w="1093" w:type="dxa"/>
                </w:tcPr>
                <w:p w14:paraId="22896797" w14:textId="77777777" w:rsidR="00FB4A6B" w:rsidRPr="00C100D0" w:rsidRDefault="00FB4A6B" w:rsidP="00271D7E">
                  <w:pPr>
                    <w:pStyle w:val="G4bTableBody"/>
                    <w:rPr>
                      <w:rFonts w:ascii="Calibri" w:hAnsi="Calibri"/>
                      <w:sz w:val="18"/>
                      <w:szCs w:val="18"/>
                      <w:lang w:eastAsia="en-US"/>
                    </w:rPr>
                  </w:pPr>
                  <w:r w:rsidRPr="00C100D0">
                    <w:rPr>
                      <w:rFonts w:ascii="Calibri" w:hAnsi="Calibri"/>
                      <w:sz w:val="18"/>
                      <w:szCs w:val="18"/>
                      <w:lang w:eastAsia="en-US"/>
                    </w:rPr>
                    <w:t>1301.9(2)</w:t>
                  </w:r>
                </w:p>
              </w:tc>
              <w:tc>
                <w:tcPr>
                  <w:tcW w:w="480" w:type="dxa"/>
                </w:tcPr>
                <w:p w14:paraId="0C57CCAC" w14:textId="77777777" w:rsidR="00FB4A6B" w:rsidRPr="00C100D0" w:rsidRDefault="00FB4A6B" w:rsidP="00271D7E">
                  <w:pPr>
                    <w:pStyle w:val="G4bTableBody"/>
                    <w:rPr>
                      <w:rFonts w:ascii="Calibri" w:hAnsi="Calibri"/>
                      <w:sz w:val="18"/>
                      <w:szCs w:val="18"/>
                      <w:lang w:eastAsia="en-US"/>
                    </w:rPr>
                  </w:pPr>
                  <w:r w:rsidRPr="00C100D0">
                    <w:rPr>
                      <w:rFonts w:ascii="Calibri" w:hAnsi="Calibri"/>
                      <w:sz w:val="18"/>
                      <w:szCs w:val="18"/>
                      <w:lang w:eastAsia="en-US"/>
                    </w:rPr>
                    <w:t>2</w:t>
                  </w:r>
                </w:p>
              </w:tc>
            </w:tr>
            <w:tr w:rsidR="00FB4A6B" w:rsidRPr="00C100D0" w14:paraId="4890841C" w14:textId="77777777" w:rsidTr="007757EC">
              <w:trPr>
                <w:trHeight w:val="335"/>
              </w:trPr>
              <w:tc>
                <w:tcPr>
                  <w:tcW w:w="1281" w:type="dxa"/>
                </w:tcPr>
                <w:p w14:paraId="655C2826"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1</w:t>
                  </w:r>
                  <w:r w:rsidRPr="00C100D0">
                    <w:rPr>
                      <w:rFonts w:ascii="Calibri" w:hAnsi="Calibri"/>
                      <w:b/>
                      <w:sz w:val="18"/>
                      <w:szCs w:val="18"/>
                      <w:lang w:eastAsia="en-US"/>
                    </w:rPr>
                    <w:t>-AcO</w:t>
                  </w:r>
                  <w:r w:rsidRPr="00C100D0">
                    <w:rPr>
                      <w:rFonts w:ascii="Calibri" w:hAnsi="Calibri"/>
                      <w:b/>
                      <w:sz w:val="18"/>
                      <w:szCs w:val="18"/>
                      <w:vertAlign w:val="superscript"/>
                      <w:lang w:eastAsia="en-US"/>
                    </w:rPr>
                    <w:t xml:space="preserve">- </w:t>
                  </w:r>
                  <w:r w:rsidRPr="00C100D0">
                    <w:rPr>
                      <w:rFonts w:ascii="Calibri" w:hAnsi="Calibri"/>
                      <w:b/>
                      <w:sz w:val="18"/>
                      <w:szCs w:val="18"/>
                      <w:lang w:eastAsia="en-US"/>
                    </w:rPr>
                    <w:t>(1:2)</w:t>
                  </w:r>
                </w:p>
              </w:tc>
              <w:tc>
                <w:tcPr>
                  <w:tcW w:w="1326" w:type="dxa"/>
                </w:tcPr>
                <w:p w14:paraId="1B7D245B" w14:textId="77777777" w:rsidR="00FB4A6B" w:rsidRPr="00C100D0" w:rsidRDefault="00FB4A6B" w:rsidP="00070B1E">
                  <w:pPr>
                    <w:pStyle w:val="G4bTableBody"/>
                    <w:rPr>
                      <w:rFonts w:ascii="Calibri" w:hAnsi="Calibri"/>
                      <w:sz w:val="18"/>
                      <w:szCs w:val="18"/>
                      <w:lang w:val="it-IT" w:eastAsia="en-US"/>
                    </w:rPr>
                  </w:pPr>
                  <w:r w:rsidRPr="00C100D0">
                    <w:rPr>
                      <w:rFonts w:ascii="Calibri" w:hAnsi="Calibri"/>
                      <w:sz w:val="18"/>
                      <w:szCs w:val="18"/>
                      <w:lang w:eastAsia="en-US"/>
                    </w:rPr>
                    <w:t>1016983</w:t>
                  </w:r>
                </w:p>
              </w:tc>
              <w:tc>
                <w:tcPr>
                  <w:tcW w:w="1701" w:type="dxa"/>
                </w:tcPr>
                <w:p w14:paraId="2AE875C6" w14:textId="77777777" w:rsidR="00FB4A6B" w:rsidRPr="00C100D0" w:rsidRDefault="00FB4A6B" w:rsidP="00271D7E">
                  <w:pPr>
                    <w:pStyle w:val="G4bTableBody"/>
                    <w:rPr>
                      <w:rFonts w:ascii="Calibri" w:hAnsi="Calibri"/>
                      <w:i/>
                      <w:sz w:val="18"/>
                      <w:szCs w:val="18"/>
                      <w:lang w:val="it-IT" w:eastAsia="en-US"/>
                    </w:rPr>
                  </w:pPr>
                  <w:r w:rsidRPr="00C100D0">
                    <w:rPr>
                      <w:rFonts w:ascii="Calibri" w:hAnsi="Calibri"/>
                      <w:i/>
                      <w:sz w:val="18"/>
                      <w:szCs w:val="18"/>
                      <w:lang w:val="it-IT" w:eastAsia="en-US"/>
                    </w:rPr>
                    <w:t>monoclinic (</w:t>
                  </w:r>
                  <w:r w:rsidR="007757EC" w:rsidRPr="00C100D0">
                    <w:rPr>
                      <w:rFonts w:ascii="Calibri" w:hAnsi="Calibri"/>
                      <w:i/>
                      <w:sz w:val="18"/>
                      <w:szCs w:val="18"/>
                      <w:lang w:val="en-US" w:eastAsia="en-US"/>
                    </w:rPr>
                    <w:t>I2/a</w:t>
                  </w:r>
                  <w:r w:rsidRPr="00C100D0">
                    <w:rPr>
                      <w:rFonts w:ascii="Calibri" w:hAnsi="Calibri"/>
                      <w:i/>
                      <w:sz w:val="18"/>
                      <w:szCs w:val="18"/>
                      <w:lang w:val="it-IT" w:eastAsia="en-US"/>
                    </w:rPr>
                    <w:t>)</w:t>
                  </w:r>
                </w:p>
              </w:tc>
              <w:tc>
                <w:tcPr>
                  <w:tcW w:w="992" w:type="dxa"/>
                </w:tcPr>
                <w:p w14:paraId="32FB080B"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sz w:val="18"/>
                      <w:szCs w:val="18"/>
                      <w:lang w:val="en-US" w:eastAsia="en-US"/>
                    </w:rPr>
                    <w:t>34.550(2)</w:t>
                  </w:r>
                </w:p>
              </w:tc>
              <w:tc>
                <w:tcPr>
                  <w:tcW w:w="1145" w:type="dxa"/>
                </w:tcPr>
                <w:p w14:paraId="6370630A" w14:textId="77777777" w:rsidR="00FB4A6B" w:rsidRPr="00C100D0" w:rsidRDefault="007757EC" w:rsidP="007757EC">
                  <w:pPr>
                    <w:pStyle w:val="G4bTableBody"/>
                    <w:rPr>
                      <w:rFonts w:ascii="Calibri" w:hAnsi="Calibri"/>
                      <w:sz w:val="18"/>
                      <w:szCs w:val="18"/>
                      <w:lang w:val="en-US" w:eastAsia="en-US"/>
                    </w:rPr>
                  </w:pPr>
                  <w:r w:rsidRPr="00C100D0">
                    <w:rPr>
                      <w:rFonts w:ascii="Calibri" w:hAnsi="Calibri"/>
                      <w:sz w:val="18"/>
                      <w:szCs w:val="18"/>
                      <w:lang w:val="en-US" w:eastAsia="en-US"/>
                    </w:rPr>
                    <w:t>8.796(1)</w:t>
                  </w:r>
                </w:p>
              </w:tc>
              <w:tc>
                <w:tcPr>
                  <w:tcW w:w="882" w:type="dxa"/>
                </w:tcPr>
                <w:p w14:paraId="699456B0"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sz w:val="18"/>
                      <w:szCs w:val="18"/>
                      <w:lang w:val="en-US" w:eastAsia="en-US"/>
                    </w:rPr>
                    <w:t>43.222(3)</w:t>
                  </w:r>
                </w:p>
              </w:tc>
              <w:tc>
                <w:tcPr>
                  <w:tcW w:w="999" w:type="dxa"/>
                </w:tcPr>
                <w:p w14:paraId="7ACE98E4"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bCs/>
                      <w:sz w:val="18"/>
                      <w:szCs w:val="18"/>
                      <w:lang w:eastAsia="en-US"/>
                    </w:rPr>
                    <w:t>91.801(4)</w:t>
                  </w:r>
                </w:p>
              </w:tc>
              <w:tc>
                <w:tcPr>
                  <w:tcW w:w="1093" w:type="dxa"/>
                </w:tcPr>
                <w:p w14:paraId="62CC65CD"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sz w:val="18"/>
                      <w:szCs w:val="18"/>
                      <w:lang w:val="en-US" w:eastAsia="en-US"/>
                    </w:rPr>
                    <w:t>13128.2(14)</w:t>
                  </w:r>
                </w:p>
              </w:tc>
              <w:tc>
                <w:tcPr>
                  <w:tcW w:w="480" w:type="dxa"/>
                </w:tcPr>
                <w:p w14:paraId="566A56CB"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8</w:t>
                  </w:r>
                </w:p>
              </w:tc>
            </w:tr>
            <w:tr w:rsidR="00FB4A6B" w:rsidRPr="00C100D0" w14:paraId="40E8EBC6" w14:textId="77777777" w:rsidTr="007757EC">
              <w:trPr>
                <w:trHeight w:val="335"/>
              </w:trPr>
              <w:tc>
                <w:tcPr>
                  <w:tcW w:w="1281" w:type="dxa"/>
                </w:tcPr>
                <w:p w14:paraId="6B290242"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3</w:t>
                  </w:r>
                  <w:r w:rsidRPr="00C100D0">
                    <w:rPr>
                      <w:rFonts w:ascii="Calibri" w:hAnsi="Calibri"/>
                      <w:b/>
                      <w:sz w:val="18"/>
                      <w:szCs w:val="18"/>
                      <w:lang w:eastAsia="en-US"/>
                    </w:rPr>
                    <w:t>-AcO</w:t>
                  </w:r>
                  <w:r w:rsidRPr="00C100D0">
                    <w:rPr>
                      <w:rFonts w:ascii="Calibri" w:hAnsi="Calibri"/>
                      <w:b/>
                      <w:sz w:val="18"/>
                      <w:szCs w:val="18"/>
                      <w:vertAlign w:val="superscript"/>
                      <w:lang w:eastAsia="en-US"/>
                    </w:rPr>
                    <w:t>-</w:t>
                  </w:r>
                  <w:r w:rsidRPr="00C100D0">
                    <w:rPr>
                      <w:rFonts w:ascii="Calibri" w:hAnsi="Calibri"/>
                      <w:b/>
                      <w:sz w:val="18"/>
                      <w:szCs w:val="18"/>
                      <w:lang w:eastAsia="en-US"/>
                    </w:rPr>
                    <w:t>(1:2)</w:t>
                  </w:r>
                </w:p>
              </w:tc>
              <w:tc>
                <w:tcPr>
                  <w:tcW w:w="1326" w:type="dxa"/>
                </w:tcPr>
                <w:p w14:paraId="1F4880E2" w14:textId="77777777" w:rsidR="00FB4A6B" w:rsidRPr="00C100D0" w:rsidRDefault="00FB4A6B" w:rsidP="00070B1E">
                  <w:pPr>
                    <w:pStyle w:val="G4bTableBody"/>
                    <w:rPr>
                      <w:rFonts w:ascii="Calibri" w:hAnsi="Calibri"/>
                      <w:sz w:val="18"/>
                      <w:szCs w:val="18"/>
                      <w:lang w:val="it-IT" w:eastAsia="en-US"/>
                    </w:rPr>
                  </w:pPr>
                  <w:r w:rsidRPr="00C100D0">
                    <w:rPr>
                      <w:rFonts w:ascii="Calibri" w:hAnsi="Calibri"/>
                      <w:sz w:val="18"/>
                      <w:szCs w:val="18"/>
                      <w:lang w:eastAsia="en-US"/>
                    </w:rPr>
                    <w:t>1016984</w:t>
                  </w:r>
                </w:p>
              </w:tc>
              <w:tc>
                <w:tcPr>
                  <w:tcW w:w="1701" w:type="dxa"/>
                </w:tcPr>
                <w:p w14:paraId="3B852EF3" w14:textId="77777777" w:rsidR="00FB4A6B" w:rsidRPr="00C100D0" w:rsidRDefault="00FB4A6B" w:rsidP="00271D7E">
                  <w:pPr>
                    <w:pStyle w:val="G4bTableBody"/>
                    <w:rPr>
                      <w:rFonts w:ascii="Calibri" w:hAnsi="Calibri"/>
                      <w:i/>
                      <w:sz w:val="18"/>
                      <w:szCs w:val="18"/>
                      <w:lang w:val="en-US" w:eastAsia="en-US"/>
                    </w:rPr>
                  </w:pPr>
                  <w:r w:rsidRPr="00C100D0">
                    <w:rPr>
                      <w:rFonts w:ascii="Calibri" w:hAnsi="Calibri"/>
                      <w:i/>
                      <w:sz w:val="18"/>
                      <w:szCs w:val="18"/>
                      <w:lang w:val="it-IT" w:eastAsia="en-US"/>
                    </w:rPr>
                    <w:t xml:space="preserve">monoclinic( </w:t>
                  </w:r>
                  <w:r w:rsidRPr="00C100D0">
                    <w:rPr>
                      <w:rFonts w:ascii="Calibri" w:hAnsi="Calibri"/>
                      <w:i/>
                      <w:sz w:val="18"/>
                      <w:szCs w:val="18"/>
                      <w:lang w:val="en-US" w:eastAsia="en-US"/>
                    </w:rPr>
                    <w:t>I2/a)</w:t>
                  </w:r>
                </w:p>
              </w:tc>
              <w:tc>
                <w:tcPr>
                  <w:tcW w:w="992" w:type="dxa"/>
                </w:tcPr>
                <w:p w14:paraId="7F66F9BD" w14:textId="77777777" w:rsidR="00FB4A6B" w:rsidRPr="00C100D0" w:rsidRDefault="007757EC" w:rsidP="007757EC">
                  <w:pPr>
                    <w:pStyle w:val="G4bTableBody"/>
                    <w:rPr>
                      <w:rFonts w:ascii="Calibri" w:hAnsi="Calibri"/>
                      <w:sz w:val="18"/>
                      <w:szCs w:val="18"/>
                      <w:lang w:val="en-US" w:eastAsia="en-US"/>
                    </w:rPr>
                  </w:pPr>
                  <w:r w:rsidRPr="00C100D0">
                    <w:rPr>
                      <w:rFonts w:ascii="Calibri" w:hAnsi="Calibri"/>
                      <w:sz w:val="18"/>
                      <w:szCs w:val="18"/>
                      <w:lang w:eastAsia="en-US"/>
                    </w:rPr>
                    <w:t>19.111(1)</w:t>
                  </w:r>
                </w:p>
              </w:tc>
              <w:tc>
                <w:tcPr>
                  <w:tcW w:w="1145" w:type="dxa"/>
                </w:tcPr>
                <w:p w14:paraId="2C87C338" w14:textId="77777777" w:rsidR="00FB4A6B" w:rsidRPr="00C100D0" w:rsidRDefault="007757EC" w:rsidP="007757EC">
                  <w:pPr>
                    <w:pStyle w:val="G4bTableBody"/>
                    <w:rPr>
                      <w:rFonts w:ascii="Calibri" w:hAnsi="Calibri"/>
                      <w:sz w:val="18"/>
                      <w:szCs w:val="18"/>
                      <w:lang w:val="en-US" w:eastAsia="en-US"/>
                    </w:rPr>
                  </w:pPr>
                  <w:r w:rsidRPr="00C100D0">
                    <w:rPr>
                      <w:rFonts w:ascii="Calibri" w:hAnsi="Calibri"/>
                      <w:sz w:val="18"/>
                      <w:szCs w:val="18"/>
                      <w:lang w:eastAsia="en-US"/>
                    </w:rPr>
                    <w:t>8.420 (1)</w:t>
                  </w:r>
                </w:p>
              </w:tc>
              <w:tc>
                <w:tcPr>
                  <w:tcW w:w="882" w:type="dxa"/>
                </w:tcPr>
                <w:p w14:paraId="6F59030C"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sz w:val="18"/>
                      <w:szCs w:val="18"/>
                      <w:lang w:eastAsia="en-US"/>
                    </w:rPr>
                    <w:t>42.107(3)</w:t>
                  </w:r>
                </w:p>
              </w:tc>
              <w:tc>
                <w:tcPr>
                  <w:tcW w:w="999" w:type="dxa"/>
                </w:tcPr>
                <w:p w14:paraId="44D6DD0B"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sz w:val="18"/>
                      <w:szCs w:val="18"/>
                      <w:lang w:eastAsia="en-US"/>
                    </w:rPr>
                    <w:t>96.582(5)</w:t>
                  </w:r>
                </w:p>
              </w:tc>
              <w:tc>
                <w:tcPr>
                  <w:tcW w:w="1093" w:type="dxa"/>
                </w:tcPr>
                <w:p w14:paraId="01EAC83D" w14:textId="77777777" w:rsidR="00FB4A6B" w:rsidRPr="00C100D0" w:rsidRDefault="007757EC" w:rsidP="00271D7E">
                  <w:pPr>
                    <w:pStyle w:val="G4bTableBody"/>
                    <w:rPr>
                      <w:rFonts w:ascii="Calibri" w:hAnsi="Calibri"/>
                      <w:sz w:val="18"/>
                      <w:szCs w:val="18"/>
                      <w:lang w:val="en-US" w:eastAsia="en-US"/>
                    </w:rPr>
                  </w:pPr>
                  <w:r w:rsidRPr="00C100D0">
                    <w:rPr>
                      <w:sz w:val="18"/>
                      <w:szCs w:val="18"/>
                      <w:lang w:val="en-US" w:eastAsia="en-US"/>
                    </w:rPr>
                    <w:t>6731.0(9)</w:t>
                  </w:r>
                </w:p>
              </w:tc>
              <w:tc>
                <w:tcPr>
                  <w:tcW w:w="480" w:type="dxa"/>
                </w:tcPr>
                <w:p w14:paraId="27108C73"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4</w:t>
                  </w:r>
                </w:p>
              </w:tc>
            </w:tr>
            <w:tr w:rsidR="00FB4A6B" w:rsidRPr="00C100D0" w14:paraId="1048761E" w14:textId="77777777" w:rsidTr="007757EC">
              <w:trPr>
                <w:trHeight w:val="335"/>
              </w:trPr>
              <w:tc>
                <w:tcPr>
                  <w:tcW w:w="1281" w:type="dxa"/>
                </w:tcPr>
                <w:p w14:paraId="42A9ED29"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3</w:t>
                  </w:r>
                  <w:r w:rsidRPr="00C100D0">
                    <w:rPr>
                      <w:rFonts w:ascii="Calibri" w:hAnsi="Calibri"/>
                      <w:b/>
                      <w:sz w:val="18"/>
                      <w:szCs w:val="18"/>
                      <w:lang w:eastAsia="en-US"/>
                    </w:rPr>
                    <w:t>-CO</w:t>
                  </w:r>
                  <w:r w:rsidRPr="00C100D0">
                    <w:rPr>
                      <w:rFonts w:ascii="Calibri" w:hAnsi="Calibri"/>
                      <w:b/>
                      <w:sz w:val="18"/>
                      <w:szCs w:val="18"/>
                      <w:vertAlign w:val="subscript"/>
                      <w:lang w:eastAsia="en-US"/>
                    </w:rPr>
                    <w:t>3</w:t>
                  </w:r>
                  <w:r w:rsidRPr="00C100D0">
                    <w:rPr>
                      <w:rFonts w:ascii="Calibri" w:hAnsi="Calibri"/>
                      <w:b/>
                      <w:sz w:val="18"/>
                      <w:szCs w:val="18"/>
                      <w:vertAlign w:val="superscript"/>
                      <w:lang w:eastAsia="en-US"/>
                    </w:rPr>
                    <w:t>2-</w:t>
                  </w:r>
                  <w:r w:rsidRPr="00C100D0">
                    <w:rPr>
                      <w:rFonts w:ascii="Calibri" w:hAnsi="Calibri"/>
                      <w:b/>
                      <w:sz w:val="18"/>
                      <w:szCs w:val="18"/>
                      <w:lang w:eastAsia="en-US"/>
                    </w:rPr>
                    <w:t xml:space="preserve"> (2:1)</w:t>
                  </w:r>
                </w:p>
              </w:tc>
              <w:tc>
                <w:tcPr>
                  <w:tcW w:w="1326" w:type="dxa"/>
                </w:tcPr>
                <w:p w14:paraId="0BFC1CC2" w14:textId="77777777" w:rsidR="00FB4A6B" w:rsidRPr="00C100D0" w:rsidRDefault="00FB4A6B" w:rsidP="00070B1E">
                  <w:pPr>
                    <w:pStyle w:val="G4bTableBody"/>
                    <w:rPr>
                      <w:rFonts w:ascii="Calibri" w:hAnsi="Calibri"/>
                      <w:sz w:val="18"/>
                      <w:szCs w:val="18"/>
                      <w:lang w:val="en-US" w:eastAsia="en-US"/>
                    </w:rPr>
                  </w:pPr>
                  <w:r w:rsidRPr="00C100D0">
                    <w:rPr>
                      <w:rFonts w:ascii="Calibri" w:hAnsi="Calibri"/>
                      <w:sz w:val="18"/>
                      <w:szCs w:val="18"/>
                      <w:lang w:eastAsia="en-US"/>
                    </w:rPr>
                    <w:t>1016985</w:t>
                  </w:r>
                </w:p>
              </w:tc>
              <w:tc>
                <w:tcPr>
                  <w:tcW w:w="1701" w:type="dxa"/>
                </w:tcPr>
                <w:p w14:paraId="61E7F04D" w14:textId="77777777" w:rsidR="00FB4A6B" w:rsidRPr="00C100D0" w:rsidRDefault="00FB4A6B" w:rsidP="00271D7E">
                  <w:pPr>
                    <w:pStyle w:val="G4bTableBody"/>
                    <w:rPr>
                      <w:rFonts w:ascii="Calibri" w:hAnsi="Calibri"/>
                      <w:i/>
                      <w:sz w:val="18"/>
                      <w:szCs w:val="18"/>
                      <w:lang w:val="en-US" w:eastAsia="en-US"/>
                    </w:rPr>
                  </w:pPr>
                  <w:r w:rsidRPr="00C100D0">
                    <w:rPr>
                      <w:rFonts w:ascii="Calibri" w:hAnsi="Calibri"/>
                      <w:i/>
                      <w:sz w:val="18"/>
                      <w:szCs w:val="18"/>
                      <w:lang w:val="en-US" w:eastAsia="en-US"/>
                    </w:rPr>
                    <w:t>orthorhombic (Pbca)</w:t>
                  </w:r>
                </w:p>
              </w:tc>
              <w:tc>
                <w:tcPr>
                  <w:tcW w:w="992" w:type="dxa"/>
                </w:tcPr>
                <w:p w14:paraId="19FAB229"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20.944(3)</w:t>
                  </w:r>
                </w:p>
              </w:tc>
              <w:tc>
                <w:tcPr>
                  <w:tcW w:w="1145" w:type="dxa"/>
                </w:tcPr>
                <w:p w14:paraId="41918FDC"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24.898(3)</w:t>
                  </w:r>
                </w:p>
              </w:tc>
              <w:tc>
                <w:tcPr>
                  <w:tcW w:w="882" w:type="dxa"/>
                </w:tcPr>
                <w:p w14:paraId="0848B0E9"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38.318(5)</w:t>
                  </w:r>
                </w:p>
              </w:tc>
              <w:tc>
                <w:tcPr>
                  <w:tcW w:w="999" w:type="dxa"/>
                </w:tcPr>
                <w:p w14:paraId="67B780C8"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val="en-US" w:eastAsia="en-US"/>
                    </w:rPr>
                    <w:t>90</w:t>
                  </w:r>
                </w:p>
              </w:tc>
              <w:tc>
                <w:tcPr>
                  <w:tcW w:w="1093" w:type="dxa"/>
                </w:tcPr>
                <w:p w14:paraId="05D463F5" w14:textId="77777777" w:rsidR="00FB4A6B" w:rsidRPr="00C100D0" w:rsidRDefault="00FB4A6B" w:rsidP="00271D7E">
                  <w:pPr>
                    <w:pStyle w:val="G4bTableBody"/>
                    <w:rPr>
                      <w:rFonts w:ascii="Calibri" w:hAnsi="Calibri"/>
                      <w:sz w:val="18"/>
                      <w:szCs w:val="18"/>
                      <w:lang w:val="en-US" w:eastAsia="en-US"/>
                    </w:rPr>
                  </w:pPr>
                  <w:r w:rsidRPr="00C100D0">
                    <w:rPr>
                      <w:sz w:val="18"/>
                      <w:szCs w:val="18"/>
                      <w:lang w:val="en-US" w:eastAsia="en-US"/>
                    </w:rPr>
                    <w:t>19981(5)</w:t>
                  </w:r>
                </w:p>
              </w:tc>
              <w:tc>
                <w:tcPr>
                  <w:tcW w:w="480" w:type="dxa"/>
                </w:tcPr>
                <w:p w14:paraId="400B65AD"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8</w:t>
                  </w:r>
                </w:p>
              </w:tc>
            </w:tr>
            <w:tr w:rsidR="00FB4A6B" w:rsidRPr="00C100D0" w14:paraId="6B8B6EA7" w14:textId="77777777" w:rsidTr="007757EC">
              <w:trPr>
                <w:trHeight w:val="314"/>
              </w:trPr>
              <w:tc>
                <w:tcPr>
                  <w:tcW w:w="1281" w:type="dxa"/>
                </w:tcPr>
                <w:p w14:paraId="46E80F53"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4</w:t>
                  </w:r>
                  <w:r w:rsidRPr="00C100D0">
                    <w:rPr>
                      <w:rFonts w:ascii="Calibri" w:hAnsi="Calibri"/>
                      <w:b/>
                      <w:sz w:val="18"/>
                      <w:szCs w:val="18"/>
                      <w:lang w:eastAsia="en-US"/>
                    </w:rPr>
                    <w:t>-HPO</w:t>
                  </w:r>
                  <w:r w:rsidRPr="00C100D0">
                    <w:rPr>
                      <w:rFonts w:ascii="Calibri" w:hAnsi="Calibri"/>
                      <w:b/>
                      <w:sz w:val="18"/>
                      <w:szCs w:val="18"/>
                      <w:vertAlign w:val="subscript"/>
                      <w:lang w:eastAsia="en-US"/>
                    </w:rPr>
                    <w:t>4</w:t>
                  </w:r>
                  <w:r w:rsidRPr="00C100D0">
                    <w:rPr>
                      <w:rFonts w:ascii="Calibri" w:hAnsi="Calibri"/>
                      <w:b/>
                      <w:sz w:val="18"/>
                      <w:szCs w:val="18"/>
                      <w:vertAlign w:val="superscript"/>
                      <w:lang w:eastAsia="en-US"/>
                    </w:rPr>
                    <w:t>2-</w:t>
                  </w:r>
                  <w:r w:rsidRPr="00C100D0">
                    <w:rPr>
                      <w:rFonts w:ascii="Calibri" w:hAnsi="Calibri"/>
                      <w:b/>
                      <w:sz w:val="18"/>
                      <w:szCs w:val="18"/>
                      <w:lang w:eastAsia="en-US"/>
                    </w:rPr>
                    <w:t>(2:1)</w:t>
                  </w:r>
                </w:p>
              </w:tc>
              <w:tc>
                <w:tcPr>
                  <w:tcW w:w="1326" w:type="dxa"/>
                </w:tcPr>
                <w:p w14:paraId="4FA0C65B" w14:textId="77777777" w:rsidR="00FB4A6B" w:rsidRPr="00C100D0" w:rsidRDefault="00FB4A6B" w:rsidP="00070B1E">
                  <w:pPr>
                    <w:pStyle w:val="G4bTableBody"/>
                    <w:rPr>
                      <w:rFonts w:ascii="Calibri" w:hAnsi="Calibri"/>
                      <w:sz w:val="18"/>
                      <w:szCs w:val="18"/>
                      <w:lang w:val="it-IT" w:eastAsia="en-US"/>
                    </w:rPr>
                  </w:pPr>
                  <w:r w:rsidRPr="00C100D0">
                    <w:rPr>
                      <w:rFonts w:ascii="Calibri" w:hAnsi="Calibri"/>
                      <w:sz w:val="18"/>
                      <w:szCs w:val="18"/>
                      <w:lang w:eastAsia="en-US"/>
                    </w:rPr>
                    <w:t>1016986</w:t>
                  </w:r>
                </w:p>
              </w:tc>
              <w:tc>
                <w:tcPr>
                  <w:tcW w:w="1701" w:type="dxa"/>
                </w:tcPr>
                <w:p w14:paraId="65E67DC7" w14:textId="77777777" w:rsidR="00FB4A6B" w:rsidRPr="00C100D0" w:rsidRDefault="00FB4A6B" w:rsidP="00271D7E">
                  <w:pPr>
                    <w:pStyle w:val="G4bTableBody"/>
                    <w:rPr>
                      <w:rFonts w:ascii="Calibri" w:hAnsi="Calibri"/>
                      <w:i/>
                      <w:sz w:val="18"/>
                      <w:szCs w:val="18"/>
                      <w:lang w:val="en-US" w:eastAsia="en-US"/>
                    </w:rPr>
                  </w:pPr>
                  <w:r w:rsidRPr="00C100D0">
                    <w:rPr>
                      <w:rFonts w:ascii="Calibri" w:hAnsi="Calibri"/>
                      <w:i/>
                      <w:sz w:val="18"/>
                      <w:szCs w:val="18"/>
                      <w:lang w:val="it-IT" w:eastAsia="en-US"/>
                    </w:rPr>
                    <w:t>monoclinic (</w:t>
                  </w:r>
                  <w:r w:rsidRPr="00C100D0">
                    <w:rPr>
                      <w:rFonts w:ascii="Calibri" w:hAnsi="Calibri"/>
                      <w:i/>
                      <w:sz w:val="18"/>
                      <w:szCs w:val="18"/>
                      <w:lang w:val="en-US" w:eastAsia="en-US"/>
                    </w:rPr>
                    <w:t>P</w:t>
                  </w:r>
                  <w:r w:rsidRPr="00C100D0">
                    <w:rPr>
                      <w:rFonts w:ascii="Calibri" w:hAnsi="Calibri"/>
                      <w:sz w:val="18"/>
                      <w:szCs w:val="18"/>
                      <w:lang w:val="en-US" w:eastAsia="en-US"/>
                    </w:rPr>
                    <w:t>2</w:t>
                  </w:r>
                  <w:r w:rsidRPr="00C100D0">
                    <w:rPr>
                      <w:rFonts w:ascii="Calibri" w:hAnsi="Calibri"/>
                      <w:sz w:val="18"/>
                      <w:szCs w:val="18"/>
                      <w:vertAlign w:val="subscript"/>
                      <w:lang w:val="en-US" w:eastAsia="en-US"/>
                    </w:rPr>
                    <w:t>1</w:t>
                  </w:r>
                  <w:r w:rsidRPr="00C100D0">
                    <w:rPr>
                      <w:rFonts w:ascii="Calibri" w:hAnsi="Calibri"/>
                      <w:sz w:val="18"/>
                      <w:szCs w:val="18"/>
                      <w:lang w:val="en-US" w:eastAsia="en-US"/>
                    </w:rPr>
                    <w:t>/</w:t>
                  </w:r>
                  <w:r w:rsidRPr="00C100D0">
                    <w:rPr>
                      <w:rFonts w:ascii="Calibri" w:hAnsi="Calibri"/>
                      <w:i/>
                      <w:sz w:val="18"/>
                      <w:szCs w:val="18"/>
                      <w:lang w:val="en-US" w:eastAsia="en-US"/>
                    </w:rPr>
                    <w:t>n)</w:t>
                  </w:r>
                </w:p>
              </w:tc>
              <w:tc>
                <w:tcPr>
                  <w:tcW w:w="992" w:type="dxa"/>
                </w:tcPr>
                <w:p w14:paraId="56742AA3" w14:textId="77777777" w:rsidR="00FB4A6B" w:rsidRPr="00C100D0" w:rsidRDefault="007757EC" w:rsidP="007757EC">
                  <w:pPr>
                    <w:pStyle w:val="G4bTableBody"/>
                    <w:rPr>
                      <w:rFonts w:ascii="Calibri" w:hAnsi="Calibri"/>
                      <w:sz w:val="18"/>
                      <w:szCs w:val="18"/>
                      <w:lang w:val="en-US" w:eastAsia="en-US"/>
                    </w:rPr>
                  </w:pPr>
                  <w:r w:rsidRPr="00C100D0">
                    <w:rPr>
                      <w:rFonts w:ascii="Calibri" w:hAnsi="Calibri"/>
                      <w:bCs/>
                      <w:sz w:val="18"/>
                      <w:szCs w:val="18"/>
                      <w:lang w:eastAsia="en-US"/>
                    </w:rPr>
                    <w:t>12.536 (2)</w:t>
                  </w:r>
                </w:p>
              </w:tc>
              <w:tc>
                <w:tcPr>
                  <w:tcW w:w="1145" w:type="dxa"/>
                </w:tcPr>
                <w:p w14:paraId="419485E8" w14:textId="77777777" w:rsidR="00FB4A6B" w:rsidRPr="00C100D0" w:rsidRDefault="007757EC" w:rsidP="00271D7E">
                  <w:pPr>
                    <w:pStyle w:val="G4bTableBody"/>
                    <w:rPr>
                      <w:rFonts w:ascii="Calibri" w:hAnsi="Calibri"/>
                      <w:sz w:val="18"/>
                      <w:szCs w:val="18"/>
                      <w:lang w:val="en-US" w:eastAsia="en-US"/>
                    </w:rPr>
                  </w:pPr>
                  <w:r w:rsidRPr="00C100D0">
                    <w:rPr>
                      <w:rFonts w:ascii="Calibri" w:hAnsi="Calibri"/>
                      <w:bCs/>
                      <w:sz w:val="18"/>
                      <w:szCs w:val="18"/>
                      <w:lang w:eastAsia="en-US"/>
                    </w:rPr>
                    <w:t>32.550(4)</w:t>
                  </w:r>
                </w:p>
              </w:tc>
              <w:tc>
                <w:tcPr>
                  <w:tcW w:w="882" w:type="dxa"/>
                </w:tcPr>
                <w:p w14:paraId="79E1F530"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eastAsia="en-US"/>
                    </w:rPr>
                    <w:t>23.279(3)</w:t>
                  </w:r>
                </w:p>
              </w:tc>
              <w:tc>
                <w:tcPr>
                  <w:tcW w:w="999" w:type="dxa"/>
                </w:tcPr>
                <w:p w14:paraId="6C881F75"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eastAsia="en-US"/>
                    </w:rPr>
                    <w:t>97.732(2)</w:t>
                  </w:r>
                </w:p>
              </w:tc>
              <w:tc>
                <w:tcPr>
                  <w:tcW w:w="1093" w:type="dxa"/>
                </w:tcPr>
                <w:p w14:paraId="3D2BB06F"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9413(2)</w:t>
                  </w:r>
                </w:p>
              </w:tc>
              <w:tc>
                <w:tcPr>
                  <w:tcW w:w="480" w:type="dxa"/>
                </w:tcPr>
                <w:p w14:paraId="501C5F93"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4</w:t>
                  </w:r>
                </w:p>
              </w:tc>
            </w:tr>
            <w:tr w:rsidR="00FB4A6B" w:rsidRPr="00C100D0" w14:paraId="00390B5A" w14:textId="77777777" w:rsidTr="007757EC">
              <w:trPr>
                <w:trHeight w:val="335"/>
              </w:trPr>
              <w:tc>
                <w:tcPr>
                  <w:tcW w:w="1281" w:type="dxa"/>
                </w:tcPr>
                <w:p w14:paraId="5F20FE38" w14:textId="77777777" w:rsidR="00FB4A6B" w:rsidRPr="00C100D0" w:rsidRDefault="00FB4A6B" w:rsidP="00E35113">
                  <w:pPr>
                    <w:pStyle w:val="G4bTableBody"/>
                    <w:jc w:val="left"/>
                    <w:rPr>
                      <w:rFonts w:ascii="Calibri" w:hAnsi="Calibri"/>
                      <w:b/>
                      <w:sz w:val="18"/>
                      <w:szCs w:val="18"/>
                      <w:lang w:val="en-US" w:eastAsia="en-US"/>
                    </w:rPr>
                  </w:pPr>
                  <w:r w:rsidRPr="00C100D0">
                    <w:rPr>
                      <w:rFonts w:ascii="Calibri" w:hAnsi="Calibri"/>
                      <w:b/>
                      <w:sz w:val="18"/>
                      <w:szCs w:val="18"/>
                      <w:lang w:eastAsia="en-US"/>
                    </w:rPr>
                    <w:t>L</w:t>
                  </w:r>
                  <w:r w:rsidRPr="00C100D0">
                    <w:rPr>
                      <w:rFonts w:ascii="Calibri" w:hAnsi="Calibri"/>
                      <w:b/>
                      <w:sz w:val="18"/>
                      <w:szCs w:val="18"/>
                      <w:vertAlign w:val="superscript"/>
                      <w:lang w:eastAsia="en-US"/>
                    </w:rPr>
                    <w:t>2</w:t>
                  </w:r>
                  <w:r w:rsidRPr="00C100D0">
                    <w:rPr>
                      <w:rFonts w:ascii="Calibri" w:hAnsi="Calibri"/>
                      <w:b/>
                      <w:sz w:val="18"/>
                      <w:szCs w:val="18"/>
                      <w:lang w:eastAsia="en-US"/>
                    </w:rPr>
                    <w:t>-SO</w:t>
                  </w:r>
                  <w:r w:rsidRPr="00C100D0">
                    <w:rPr>
                      <w:rFonts w:ascii="Calibri" w:hAnsi="Calibri"/>
                      <w:b/>
                      <w:sz w:val="18"/>
                      <w:szCs w:val="18"/>
                      <w:vertAlign w:val="subscript"/>
                      <w:lang w:eastAsia="en-US"/>
                    </w:rPr>
                    <w:t>4</w:t>
                  </w:r>
                  <w:r w:rsidRPr="00C100D0">
                    <w:rPr>
                      <w:rFonts w:ascii="Calibri" w:hAnsi="Calibri"/>
                      <w:b/>
                      <w:sz w:val="18"/>
                      <w:szCs w:val="18"/>
                      <w:vertAlign w:val="superscript"/>
                      <w:lang w:eastAsia="en-US"/>
                    </w:rPr>
                    <w:t>2-</w:t>
                  </w:r>
                  <w:r w:rsidRPr="00C100D0">
                    <w:rPr>
                      <w:rFonts w:ascii="Calibri" w:hAnsi="Calibri"/>
                      <w:b/>
                      <w:sz w:val="18"/>
                      <w:szCs w:val="18"/>
                      <w:lang w:eastAsia="en-US"/>
                    </w:rPr>
                    <w:t xml:space="preserve"> (3:1)</w:t>
                  </w:r>
                </w:p>
              </w:tc>
              <w:tc>
                <w:tcPr>
                  <w:tcW w:w="1326" w:type="dxa"/>
                </w:tcPr>
                <w:p w14:paraId="0FC5866F" w14:textId="77777777" w:rsidR="00FB4A6B" w:rsidRPr="00C100D0" w:rsidRDefault="00FB4A6B" w:rsidP="00070B1E">
                  <w:pPr>
                    <w:pStyle w:val="G4bTableBody"/>
                    <w:rPr>
                      <w:rFonts w:ascii="Calibri" w:hAnsi="Calibri"/>
                      <w:sz w:val="18"/>
                      <w:szCs w:val="18"/>
                      <w:lang w:val="it-IT" w:eastAsia="en-US"/>
                    </w:rPr>
                  </w:pPr>
                  <w:r w:rsidRPr="00C100D0">
                    <w:rPr>
                      <w:rFonts w:ascii="Calibri" w:hAnsi="Calibri"/>
                      <w:sz w:val="18"/>
                      <w:szCs w:val="18"/>
                      <w:lang w:eastAsia="en-US"/>
                    </w:rPr>
                    <w:t>1016987</w:t>
                  </w:r>
                </w:p>
              </w:tc>
              <w:tc>
                <w:tcPr>
                  <w:tcW w:w="1701" w:type="dxa"/>
                </w:tcPr>
                <w:p w14:paraId="27C30CDE" w14:textId="77777777" w:rsidR="00FB4A6B" w:rsidRPr="00C100D0" w:rsidRDefault="00FB4A6B" w:rsidP="00271D7E">
                  <w:pPr>
                    <w:pStyle w:val="G4bTableBody"/>
                    <w:rPr>
                      <w:rFonts w:ascii="Calibri" w:hAnsi="Calibri"/>
                      <w:i/>
                      <w:sz w:val="18"/>
                      <w:szCs w:val="18"/>
                      <w:lang w:val="en-US" w:eastAsia="en-US"/>
                    </w:rPr>
                  </w:pPr>
                  <w:r w:rsidRPr="00C100D0">
                    <w:rPr>
                      <w:rFonts w:ascii="Calibri" w:hAnsi="Calibri"/>
                      <w:i/>
                      <w:sz w:val="18"/>
                      <w:szCs w:val="18"/>
                      <w:lang w:val="it-IT" w:eastAsia="en-US"/>
                    </w:rPr>
                    <w:t>monoclinic (</w:t>
                  </w:r>
                  <w:r w:rsidRPr="00C100D0">
                    <w:rPr>
                      <w:rFonts w:ascii="Calibri" w:hAnsi="Calibri"/>
                      <w:i/>
                      <w:sz w:val="18"/>
                      <w:szCs w:val="18"/>
                      <w:lang w:val="en-US" w:eastAsia="en-US"/>
                    </w:rPr>
                    <w:t>P</w:t>
                  </w:r>
                  <w:r w:rsidRPr="00C100D0">
                    <w:rPr>
                      <w:rFonts w:ascii="Calibri" w:hAnsi="Calibri"/>
                      <w:sz w:val="18"/>
                      <w:szCs w:val="18"/>
                      <w:lang w:val="en-US" w:eastAsia="en-US"/>
                    </w:rPr>
                    <w:t>2</w:t>
                  </w:r>
                  <w:r w:rsidRPr="00C100D0">
                    <w:rPr>
                      <w:rFonts w:ascii="Calibri" w:hAnsi="Calibri"/>
                      <w:sz w:val="18"/>
                      <w:szCs w:val="18"/>
                      <w:vertAlign w:val="subscript"/>
                      <w:lang w:val="en-US" w:eastAsia="en-US"/>
                    </w:rPr>
                    <w:t>1</w:t>
                  </w:r>
                  <w:r w:rsidRPr="00C100D0">
                    <w:rPr>
                      <w:rFonts w:ascii="Calibri" w:hAnsi="Calibri"/>
                      <w:sz w:val="18"/>
                      <w:szCs w:val="18"/>
                      <w:lang w:val="en-US" w:eastAsia="en-US"/>
                    </w:rPr>
                    <w:t>/</w:t>
                  </w:r>
                  <w:r w:rsidRPr="00C100D0">
                    <w:rPr>
                      <w:rFonts w:ascii="Calibri" w:hAnsi="Calibri"/>
                      <w:i/>
                      <w:sz w:val="18"/>
                      <w:szCs w:val="18"/>
                      <w:lang w:val="en-US" w:eastAsia="en-US"/>
                    </w:rPr>
                    <w:t>c)</w:t>
                  </w:r>
                </w:p>
              </w:tc>
              <w:tc>
                <w:tcPr>
                  <w:tcW w:w="992" w:type="dxa"/>
                </w:tcPr>
                <w:p w14:paraId="00D17180"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val="en-US" w:eastAsia="en-US"/>
                    </w:rPr>
                    <w:t>29.281(6)</w:t>
                  </w:r>
                </w:p>
              </w:tc>
              <w:tc>
                <w:tcPr>
                  <w:tcW w:w="1145" w:type="dxa"/>
                </w:tcPr>
                <w:p w14:paraId="7DFBEE99"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val="en-US" w:eastAsia="en-US"/>
                    </w:rPr>
                    <w:t>14.001(2)</w:t>
                  </w:r>
                </w:p>
              </w:tc>
              <w:tc>
                <w:tcPr>
                  <w:tcW w:w="882" w:type="dxa"/>
                </w:tcPr>
                <w:p w14:paraId="44FD5F24"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val="en-US" w:eastAsia="en-US"/>
                    </w:rPr>
                    <w:t>28.838(6)</w:t>
                  </w:r>
                </w:p>
              </w:tc>
              <w:tc>
                <w:tcPr>
                  <w:tcW w:w="999" w:type="dxa"/>
                </w:tcPr>
                <w:p w14:paraId="4737BB53"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bCs/>
                      <w:sz w:val="18"/>
                      <w:szCs w:val="18"/>
                      <w:lang w:val="en-US" w:eastAsia="en-US"/>
                    </w:rPr>
                    <w:t>113.087(3)</w:t>
                  </w:r>
                </w:p>
              </w:tc>
              <w:tc>
                <w:tcPr>
                  <w:tcW w:w="1093" w:type="dxa"/>
                </w:tcPr>
                <w:p w14:paraId="401A316D"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val="en-US" w:eastAsia="en-US"/>
                    </w:rPr>
                    <w:t>10876(4)</w:t>
                  </w:r>
                </w:p>
              </w:tc>
              <w:tc>
                <w:tcPr>
                  <w:tcW w:w="480" w:type="dxa"/>
                </w:tcPr>
                <w:p w14:paraId="47E6E702" w14:textId="77777777" w:rsidR="00FB4A6B" w:rsidRPr="00C100D0" w:rsidRDefault="00FB4A6B" w:rsidP="00271D7E">
                  <w:pPr>
                    <w:pStyle w:val="G4bTableBody"/>
                    <w:rPr>
                      <w:rFonts w:ascii="Calibri" w:hAnsi="Calibri"/>
                      <w:sz w:val="18"/>
                      <w:szCs w:val="18"/>
                      <w:lang w:val="en-US" w:eastAsia="en-US"/>
                    </w:rPr>
                  </w:pPr>
                  <w:r w:rsidRPr="00C100D0">
                    <w:rPr>
                      <w:rFonts w:ascii="Calibri" w:hAnsi="Calibri"/>
                      <w:sz w:val="18"/>
                      <w:szCs w:val="18"/>
                      <w:lang w:eastAsia="en-US"/>
                    </w:rPr>
                    <w:t>4</w:t>
                  </w:r>
                </w:p>
              </w:tc>
            </w:tr>
          </w:tbl>
          <w:p w14:paraId="27752415" w14:textId="77777777" w:rsidR="00FB4A6B" w:rsidRPr="00C100D0" w:rsidRDefault="00FB4A6B" w:rsidP="00271D7E">
            <w:pPr>
              <w:pStyle w:val="G4bTableBody"/>
              <w:rPr>
                <w:lang w:val="en-US" w:eastAsia="en-US"/>
              </w:rPr>
            </w:pPr>
          </w:p>
        </w:tc>
      </w:tr>
    </w:tbl>
    <w:p w14:paraId="21C8E8FE" w14:textId="77777777" w:rsidR="00FB4A6B" w:rsidRPr="00C100D0" w:rsidRDefault="00FB4A6B" w:rsidP="00271D7E">
      <w:pPr>
        <w:pStyle w:val="G4cTableFootnote"/>
      </w:pPr>
    </w:p>
    <w:p w14:paraId="339F109F" w14:textId="77777777" w:rsidR="00FB4A6B" w:rsidRPr="00C100D0" w:rsidRDefault="00FB4A6B" w:rsidP="006F62E9">
      <w:pPr>
        <w:pStyle w:val="08ArticleText"/>
        <w:sectPr w:rsidR="00FB4A6B" w:rsidRPr="00C100D0" w:rsidSect="00271D7E">
          <w:endnotePr>
            <w:numFmt w:val="decimal"/>
          </w:endnotePr>
          <w:type w:val="continuous"/>
          <w:pgSz w:w="11907" w:h="15593" w:code="119"/>
          <w:pgMar w:top="1021" w:right="907" w:bottom="1021" w:left="1077" w:header="227" w:footer="624" w:gutter="0"/>
          <w:lnNumType w:countBy="5" w:distance="57"/>
          <w:cols w:space="397"/>
          <w:titlePg/>
          <w:docGrid w:linePitch="360"/>
        </w:sectPr>
      </w:pPr>
    </w:p>
    <w:p w14:paraId="784D6E03" w14:textId="77777777" w:rsidR="00FB4A6B" w:rsidRPr="00C100D0" w:rsidRDefault="00FB4A6B" w:rsidP="00A32E32">
      <w:pPr>
        <w:pStyle w:val="08ArticleText"/>
      </w:pPr>
      <w:r w:rsidRPr="00C100D0">
        <w:lastRenderedPageBreak/>
        <w:t>bromomethyl)pyridine by bromination with HBr and PBr</w:t>
      </w:r>
      <w:r w:rsidRPr="00C100D0">
        <w:rPr>
          <w:vertAlign w:val="subscript"/>
        </w:rPr>
        <w:t>3</w:t>
      </w:r>
      <w:r w:rsidRPr="00C100D0">
        <w:t>.</w:t>
      </w:r>
      <w:r w:rsidRPr="00C100D0">
        <w:rPr>
          <w:vertAlign w:val="superscript"/>
        </w:rPr>
        <w:t xml:space="preserve">7  </w:t>
      </w:r>
      <w:r w:rsidRPr="00C100D0">
        <w:t xml:space="preserve">2, 6-Bis(amino-methyl)pyridine hydrochloride salt was reacted with the appropriate isocyanate (4-(trifluoromethyl)phenyl isocyanate, 3,5-bis(trifluoromethyl) phenyl isocyanate and 4-nitrophenyl isocyanate) under the same reaction conditions used for </w:t>
      </w:r>
      <w:r w:rsidRPr="00C100D0">
        <w:rPr>
          <w:b/>
        </w:rPr>
        <w:t>L</w:t>
      </w:r>
      <w:r w:rsidRPr="00C100D0">
        <w:rPr>
          <w:b/>
          <w:vertAlign w:val="superscript"/>
        </w:rPr>
        <w:t>1</w:t>
      </w:r>
      <w:r w:rsidRPr="00C100D0">
        <w:t xml:space="preserve">, </w:t>
      </w:r>
      <w:r w:rsidRPr="00C100D0">
        <w:rPr>
          <w:b/>
        </w:rPr>
        <w:t>L</w:t>
      </w:r>
      <w:r w:rsidRPr="00C100D0">
        <w:rPr>
          <w:b/>
          <w:vertAlign w:val="superscript"/>
        </w:rPr>
        <w:t>3</w:t>
      </w:r>
      <w:r w:rsidRPr="00C100D0">
        <w:t xml:space="preserve">, and </w:t>
      </w:r>
      <w:r w:rsidRPr="00C100D0">
        <w:rPr>
          <w:b/>
        </w:rPr>
        <w:t>L</w:t>
      </w:r>
      <w:r w:rsidRPr="00C100D0">
        <w:rPr>
          <w:b/>
          <w:vertAlign w:val="superscript"/>
        </w:rPr>
        <w:t>5</w:t>
      </w:r>
      <w:r w:rsidRPr="00C100D0">
        <w:t xml:space="preserve"> to obtain the desired compounds in 52-74% yield (see ESI† for further details). </w:t>
      </w:r>
    </w:p>
    <w:p w14:paraId="4D826984" w14:textId="77777777" w:rsidR="00FB4A6B" w:rsidRPr="00C100D0" w:rsidRDefault="00FB4A6B" w:rsidP="00A32E32">
      <w:pPr>
        <w:pStyle w:val="08ArticleText"/>
        <w:rPr>
          <w:bCs/>
        </w:rPr>
      </w:pPr>
      <w:r w:rsidRPr="00C100D0">
        <w:tab/>
        <w:t xml:space="preserve">Receptors </w:t>
      </w:r>
      <w:r w:rsidRPr="00C100D0">
        <w:rPr>
          <w:b/>
        </w:rPr>
        <w:t>L</w:t>
      </w:r>
      <w:r w:rsidRPr="00C100D0">
        <w:rPr>
          <w:b/>
          <w:vertAlign w:val="superscript"/>
        </w:rPr>
        <w:t>1</w:t>
      </w:r>
      <w:r w:rsidRPr="00C100D0">
        <w:rPr>
          <w:b/>
        </w:rPr>
        <w:t>-L</w:t>
      </w:r>
      <w:r w:rsidRPr="00C100D0">
        <w:rPr>
          <w:b/>
          <w:vertAlign w:val="superscript"/>
        </w:rPr>
        <w:t>6</w:t>
      </w:r>
      <w:r w:rsidRPr="00C100D0">
        <w:t xml:space="preserve"> were crystallized by slow evaporation from various solvents (see Table S1 in the ESI†). Interestingly, only receptors </w:t>
      </w:r>
      <w:r w:rsidRPr="00C100D0">
        <w:rPr>
          <w:b/>
        </w:rPr>
        <w:t>L</w:t>
      </w:r>
      <w:r w:rsidRPr="00C100D0">
        <w:rPr>
          <w:b/>
          <w:vertAlign w:val="superscript"/>
        </w:rPr>
        <w:t>3</w:t>
      </w:r>
      <w:r w:rsidRPr="00C100D0">
        <w:t xml:space="preserve"> and </w:t>
      </w:r>
      <w:r w:rsidRPr="00C100D0">
        <w:rPr>
          <w:b/>
        </w:rPr>
        <w:t>L</w:t>
      </w:r>
      <w:r w:rsidRPr="00C100D0">
        <w:rPr>
          <w:b/>
          <w:vertAlign w:val="superscript"/>
        </w:rPr>
        <w:t>4</w:t>
      </w:r>
      <w:r w:rsidRPr="00C100D0">
        <w:rPr>
          <w:vertAlign w:val="superscript"/>
        </w:rPr>
        <w:t xml:space="preserve"> </w:t>
      </w:r>
      <w:r w:rsidRPr="00C100D0">
        <w:t xml:space="preserve">showed a tendency to form crystals suitable </w:t>
      </w:r>
      <w:r w:rsidRPr="00C100D0">
        <w:rPr>
          <w:bCs/>
        </w:rPr>
        <w:t>for single crystal X-ray investigation.</w:t>
      </w:r>
    </w:p>
    <w:p w14:paraId="1F16D3AF" w14:textId="77777777" w:rsidR="00FB4A6B" w:rsidRPr="00C100D0" w:rsidRDefault="00756951" w:rsidP="006F62E9">
      <w:pPr>
        <w:pStyle w:val="G1aFigureImage"/>
      </w:pPr>
      <w:r w:rsidRPr="00C100D0">
        <w:rPr>
          <w:noProof/>
          <w:lang w:val="en-US" w:eastAsia="en-US"/>
        </w:rPr>
        <w:drawing>
          <wp:inline distT="0" distB="0" distL="0" distR="0" wp14:anchorId="4ED38EC0" wp14:editId="25184793">
            <wp:extent cx="2992755" cy="1739900"/>
            <wp:effectExtent l="19050" t="0" r="0" b="0"/>
            <wp:docPr id="2" name="Picture 0"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 1.tif"/>
                    <pic:cNvPicPr>
                      <a:picLocks noChangeAspect="1" noChangeArrowheads="1"/>
                    </pic:cNvPicPr>
                  </pic:nvPicPr>
                  <pic:blipFill>
                    <a:blip r:embed="rId17"/>
                    <a:srcRect/>
                    <a:stretch>
                      <a:fillRect/>
                    </a:stretch>
                  </pic:blipFill>
                  <pic:spPr bwMode="auto">
                    <a:xfrm>
                      <a:off x="0" y="0"/>
                      <a:ext cx="2992755" cy="1739900"/>
                    </a:xfrm>
                    <a:prstGeom prst="rect">
                      <a:avLst/>
                    </a:prstGeom>
                    <a:noFill/>
                    <a:ln w="9525">
                      <a:noFill/>
                      <a:miter lim="800000"/>
                      <a:headEnd/>
                      <a:tailEnd/>
                    </a:ln>
                  </pic:spPr>
                </pic:pic>
              </a:graphicData>
            </a:graphic>
          </wp:inline>
        </w:drawing>
      </w:r>
    </w:p>
    <w:p w14:paraId="49C3952C" w14:textId="77777777" w:rsidR="00FB4A6B" w:rsidRPr="00C100D0" w:rsidRDefault="00FB4A6B" w:rsidP="006F62E9">
      <w:pPr>
        <w:pStyle w:val="G1bFigureCaption"/>
        <w:jc w:val="both"/>
      </w:pPr>
      <w:r w:rsidRPr="00C100D0">
        <w:rPr>
          <w:b/>
        </w:rPr>
        <w:t>Figure 1</w:t>
      </w:r>
      <w:r w:rsidRPr="00C100D0">
        <w:t xml:space="preserve">. Molecular conformations of the three structures (a) </w:t>
      </w:r>
      <w:r w:rsidRPr="00C100D0">
        <w:rPr>
          <w:b/>
        </w:rPr>
        <w:t>L</w:t>
      </w:r>
      <w:r w:rsidRPr="00C100D0">
        <w:rPr>
          <w:b/>
          <w:vertAlign w:val="superscript"/>
        </w:rPr>
        <w:t>3</w:t>
      </w:r>
      <w:r w:rsidRPr="00C100D0">
        <w:rPr>
          <w:b/>
        </w:rPr>
        <w:t>-DMSO</w:t>
      </w:r>
      <w:r w:rsidRPr="00C100D0">
        <w:t xml:space="preserve"> (as representative of the two isostructures </w:t>
      </w:r>
      <w:r w:rsidRPr="00C100D0">
        <w:rPr>
          <w:b/>
        </w:rPr>
        <w:t>L</w:t>
      </w:r>
      <w:r w:rsidRPr="00C100D0">
        <w:rPr>
          <w:b/>
          <w:vertAlign w:val="superscript"/>
        </w:rPr>
        <w:t>3</w:t>
      </w:r>
      <w:r w:rsidRPr="00C100D0">
        <w:rPr>
          <w:b/>
        </w:rPr>
        <w:t>-DMSO</w:t>
      </w:r>
      <w:r w:rsidRPr="00C100D0">
        <w:t xml:space="preserve"> and </w:t>
      </w:r>
      <w:r w:rsidRPr="00C100D0">
        <w:rPr>
          <w:b/>
        </w:rPr>
        <w:t>L</w:t>
      </w:r>
      <w:r w:rsidRPr="00C100D0">
        <w:rPr>
          <w:b/>
          <w:vertAlign w:val="superscript"/>
        </w:rPr>
        <w:t>4</w:t>
      </w:r>
      <w:r w:rsidRPr="00C100D0">
        <w:rPr>
          <w:b/>
        </w:rPr>
        <w:t>-MeOH</w:t>
      </w:r>
      <w:r w:rsidRPr="00C100D0">
        <w:t xml:space="preserve">) and (b) </w:t>
      </w:r>
      <w:r w:rsidRPr="00C100D0">
        <w:rPr>
          <w:b/>
        </w:rPr>
        <w:t>L</w:t>
      </w:r>
      <w:r w:rsidRPr="00C100D0">
        <w:rPr>
          <w:b/>
          <w:vertAlign w:val="superscript"/>
        </w:rPr>
        <w:t>4</w:t>
      </w:r>
      <w:r w:rsidRPr="00C100D0">
        <w:rPr>
          <w:b/>
        </w:rPr>
        <w:t>-A</w:t>
      </w:r>
      <w:r w:rsidRPr="00C100D0">
        <w:t>. The conformations are represented along two perpendicular directions (left and right). The orientation of the molecules is chosen to best show the open and closed conformations.</w:t>
      </w:r>
    </w:p>
    <w:p w14:paraId="6F3EA674" w14:textId="77777777" w:rsidR="00FB4A6B" w:rsidRPr="00C100D0" w:rsidRDefault="00FB4A6B" w:rsidP="00A32E32">
      <w:pPr>
        <w:pStyle w:val="08ArticleText"/>
      </w:pPr>
      <w:r w:rsidRPr="00C100D0">
        <w:rPr>
          <w:bCs/>
        </w:rPr>
        <w:t xml:space="preserve">Crystallization of </w:t>
      </w:r>
      <w:r w:rsidRPr="00C100D0">
        <w:t xml:space="preserve">receptors </w:t>
      </w:r>
      <w:r w:rsidRPr="00C100D0">
        <w:rPr>
          <w:b/>
        </w:rPr>
        <w:t>L</w:t>
      </w:r>
      <w:r w:rsidRPr="00C100D0">
        <w:rPr>
          <w:b/>
          <w:vertAlign w:val="superscript"/>
        </w:rPr>
        <w:t>3</w:t>
      </w:r>
      <w:r w:rsidRPr="00C100D0">
        <w:t xml:space="preserve"> and </w:t>
      </w:r>
      <w:r w:rsidRPr="00C100D0">
        <w:rPr>
          <w:b/>
        </w:rPr>
        <w:t>L</w:t>
      </w:r>
      <w:r w:rsidRPr="00C100D0">
        <w:rPr>
          <w:b/>
          <w:vertAlign w:val="superscript"/>
        </w:rPr>
        <w:t>4</w:t>
      </w:r>
      <w:r w:rsidRPr="00C100D0">
        <w:rPr>
          <w:b/>
        </w:rPr>
        <w:t xml:space="preserve"> </w:t>
      </w:r>
      <w:r w:rsidRPr="00C100D0">
        <w:t xml:space="preserve">by slow evaporation from saturated solutions of DMSO, resulted in the formation of a DMSO solvate for receptor </w:t>
      </w:r>
      <w:r w:rsidRPr="00C100D0">
        <w:rPr>
          <w:b/>
        </w:rPr>
        <w:t>L</w:t>
      </w:r>
      <w:r w:rsidRPr="00C100D0">
        <w:rPr>
          <w:b/>
          <w:vertAlign w:val="superscript"/>
        </w:rPr>
        <w:t>3</w:t>
      </w:r>
      <w:r w:rsidRPr="00C100D0">
        <w:t xml:space="preserve"> (</w:t>
      </w:r>
      <w:r w:rsidRPr="00C100D0">
        <w:rPr>
          <w:b/>
        </w:rPr>
        <w:t>L</w:t>
      </w:r>
      <w:r w:rsidRPr="00C100D0">
        <w:rPr>
          <w:b/>
          <w:vertAlign w:val="superscript"/>
        </w:rPr>
        <w:t>3</w:t>
      </w:r>
      <w:r w:rsidRPr="00C100D0">
        <w:rPr>
          <w:b/>
        </w:rPr>
        <w:t>-DMSO</w:t>
      </w:r>
      <w:r w:rsidRPr="00C100D0">
        <w:t>)</w:t>
      </w:r>
      <w:r w:rsidRPr="00C100D0">
        <w:rPr>
          <w:b/>
        </w:rPr>
        <w:t xml:space="preserve"> </w:t>
      </w:r>
      <w:r w:rsidRPr="00C100D0">
        <w:t>and</w:t>
      </w:r>
      <w:r w:rsidRPr="00C100D0">
        <w:rPr>
          <w:b/>
        </w:rPr>
        <w:t xml:space="preserve"> </w:t>
      </w:r>
      <w:r w:rsidRPr="00C100D0">
        <w:t xml:space="preserve">an anhydrous form for </w:t>
      </w:r>
      <w:r w:rsidRPr="00C100D0">
        <w:lastRenderedPageBreak/>
        <w:t xml:space="preserve">receptor </w:t>
      </w:r>
      <w:r w:rsidRPr="00C100D0">
        <w:rPr>
          <w:b/>
        </w:rPr>
        <w:t>L</w:t>
      </w:r>
      <w:r w:rsidRPr="00C100D0">
        <w:rPr>
          <w:b/>
          <w:vertAlign w:val="superscript"/>
        </w:rPr>
        <w:t>4</w:t>
      </w:r>
      <w:r w:rsidRPr="00C100D0">
        <w:rPr>
          <w:b/>
        </w:rPr>
        <w:t xml:space="preserve"> (L</w:t>
      </w:r>
      <w:r w:rsidRPr="00C100D0">
        <w:rPr>
          <w:b/>
          <w:vertAlign w:val="superscript"/>
        </w:rPr>
        <w:t>4</w:t>
      </w:r>
      <w:r w:rsidRPr="00C100D0">
        <w:rPr>
          <w:b/>
        </w:rPr>
        <w:t>-A</w:t>
      </w:r>
      <w:r w:rsidRPr="00C100D0">
        <w:t xml:space="preserve">). Interestingly, when receptor </w:t>
      </w:r>
      <w:r w:rsidRPr="00C100D0">
        <w:rPr>
          <w:b/>
        </w:rPr>
        <w:t>L</w:t>
      </w:r>
      <w:r w:rsidRPr="00C100D0">
        <w:rPr>
          <w:b/>
          <w:vertAlign w:val="superscript"/>
        </w:rPr>
        <w:t>4</w:t>
      </w:r>
      <w:r w:rsidRPr="00C100D0">
        <w:t xml:space="preserve"> was crystallised by slow evaporation from a saturated solution of MeOH a solvate (</w:t>
      </w:r>
      <w:r w:rsidRPr="00C100D0">
        <w:rPr>
          <w:b/>
        </w:rPr>
        <w:t>L</w:t>
      </w:r>
      <w:r w:rsidRPr="00C100D0">
        <w:rPr>
          <w:b/>
          <w:vertAlign w:val="superscript"/>
        </w:rPr>
        <w:t>4</w:t>
      </w:r>
      <w:r w:rsidRPr="00C100D0">
        <w:rPr>
          <w:b/>
        </w:rPr>
        <w:t>-MeOH</w:t>
      </w:r>
      <w:r w:rsidRPr="00C100D0">
        <w:t xml:space="preserve">) isostructural with </w:t>
      </w:r>
      <w:r w:rsidRPr="00C100D0">
        <w:rPr>
          <w:b/>
        </w:rPr>
        <w:t>L</w:t>
      </w:r>
      <w:r w:rsidRPr="00C100D0">
        <w:rPr>
          <w:b/>
          <w:vertAlign w:val="superscript"/>
        </w:rPr>
        <w:t>3</w:t>
      </w:r>
      <w:r w:rsidRPr="00C100D0">
        <w:rPr>
          <w:b/>
        </w:rPr>
        <w:t>-DMSO</w:t>
      </w:r>
      <w:r w:rsidRPr="00C100D0">
        <w:t xml:space="preserve"> was obtained. </w:t>
      </w:r>
    </w:p>
    <w:p w14:paraId="51849871" w14:textId="77777777" w:rsidR="00FB4A6B" w:rsidRPr="00C100D0" w:rsidRDefault="00FB4A6B" w:rsidP="00A32E32">
      <w:pPr>
        <w:pStyle w:val="08ArticleText"/>
      </w:pPr>
      <w:r w:rsidRPr="00C100D0">
        <w:rPr>
          <w:bCs/>
        </w:rPr>
        <w:tab/>
        <w:t xml:space="preserve">A summary of the basic crystallographic parameters and the crystal packing for all the structures are reported in Table 1 and Table S2 and </w:t>
      </w:r>
      <w:r w:rsidRPr="00C100D0">
        <w:t>Figure S1 in the ESI†</w:t>
      </w:r>
      <w:r w:rsidRPr="00C100D0">
        <w:rPr>
          <w:bCs/>
        </w:rPr>
        <w:t xml:space="preserve"> respectively. All the structures </w:t>
      </w:r>
      <w:r w:rsidRPr="00C100D0">
        <w:t xml:space="preserve">crystallise in monoclinic crystal system (space group  C2/c for the two solvates </w:t>
      </w:r>
      <w:r w:rsidRPr="00C100D0">
        <w:rPr>
          <w:b/>
        </w:rPr>
        <w:t>L</w:t>
      </w:r>
      <w:r w:rsidRPr="00C100D0">
        <w:rPr>
          <w:b/>
          <w:vertAlign w:val="superscript"/>
        </w:rPr>
        <w:t>3</w:t>
      </w:r>
      <w:r w:rsidRPr="00C100D0">
        <w:rPr>
          <w:b/>
        </w:rPr>
        <w:t>-DMSO</w:t>
      </w:r>
      <w:r w:rsidRPr="00C100D0">
        <w:t xml:space="preserve"> and</w:t>
      </w:r>
      <w:r w:rsidRPr="00C100D0">
        <w:rPr>
          <w:b/>
        </w:rPr>
        <w:t xml:space="preserve"> L</w:t>
      </w:r>
      <w:r w:rsidRPr="00C100D0">
        <w:rPr>
          <w:b/>
          <w:vertAlign w:val="superscript"/>
        </w:rPr>
        <w:t>4</w:t>
      </w:r>
      <w:r w:rsidRPr="00C100D0">
        <w:rPr>
          <w:b/>
        </w:rPr>
        <w:t>-MeOH</w:t>
      </w:r>
      <w:r w:rsidRPr="00C100D0">
        <w:t xml:space="preserve"> and space group P2/c for </w:t>
      </w:r>
      <w:r w:rsidRPr="00C100D0">
        <w:rPr>
          <w:b/>
        </w:rPr>
        <w:t>L</w:t>
      </w:r>
      <w:r w:rsidRPr="00C100D0">
        <w:rPr>
          <w:b/>
          <w:vertAlign w:val="superscript"/>
        </w:rPr>
        <w:t>4</w:t>
      </w:r>
      <w:r w:rsidRPr="00C100D0">
        <w:rPr>
          <w:b/>
        </w:rPr>
        <w:t>-A</w:t>
      </w:r>
      <w:r w:rsidRPr="00C100D0">
        <w:t xml:space="preserve">). A comparison of the two types of crystal packing shows major differences.  In the two isostructures </w:t>
      </w:r>
      <w:r w:rsidRPr="00C100D0">
        <w:rPr>
          <w:b/>
        </w:rPr>
        <w:t>L</w:t>
      </w:r>
      <w:r w:rsidRPr="00C100D0">
        <w:rPr>
          <w:b/>
          <w:vertAlign w:val="superscript"/>
        </w:rPr>
        <w:t>3</w:t>
      </w:r>
      <w:r w:rsidRPr="00C100D0">
        <w:rPr>
          <w:b/>
        </w:rPr>
        <w:t>-DMSO</w:t>
      </w:r>
      <w:r w:rsidRPr="00C100D0">
        <w:t xml:space="preserve"> and </w:t>
      </w:r>
      <w:r w:rsidRPr="00C100D0">
        <w:rPr>
          <w:b/>
        </w:rPr>
        <w:t>L</w:t>
      </w:r>
      <w:r w:rsidRPr="00C100D0">
        <w:rPr>
          <w:b/>
          <w:vertAlign w:val="superscript"/>
        </w:rPr>
        <w:t>4</w:t>
      </w:r>
      <w:r w:rsidRPr="00C100D0">
        <w:rPr>
          <w:b/>
        </w:rPr>
        <w:t>-MeOH</w:t>
      </w:r>
      <w:r w:rsidRPr="00C100D0">
        <w:t xml:space="preserve"> (Figure 1a for </w:t>
      </w:r>
      <w:r w:rsidRPr="00C100D0">
        <w:rPr>
          <w:b/>
        </w:rPr>
        <w:t>L</w:t>
      </w:r>
      <w:r w:rsidRPr="00C100D0">
        <w:rPr>
          <w:b/>
          <w:vertAlign w:val="superscript"/>
        </w:rPr>
        <w:t>3</w:t>
      </w:r>
      <w:r w:rsidRPr="00C100D0">
        <w:rPr>
          <w:b/>
        </w:rPr>
        <w:t xml:space="preserve">-DMSO </w:t>
      </w:r>
      <w:r w:rsidRPr="00C100D0">
        <w:t>as representative of the two isostructures</w:t>
      </w:r>
      <w:r w:rsidRPr="00C100D0">
        <w:rPr>
          <w:b/>
        </w:rPr>
        <w:t xml:space="preserve"> L</w:t>
      </w:r>
      <w:r w:rsidRPr="00C100D0">
        <w:rPr>
          <w:b/>
          <w:vertAlign w:val="superscript"/>
        </w:rPr>
        <w:t>3</w:t>
      </w:r>
      <w:r w:rsidRPr="00C100D0">
        <w:rPr>
          <w:b/>
        </w:rPr>
        <w:t>-DMSO</w:t>
      </w:r>
      <w:r w:rsidRPr="00C100D0">
        <w:t xml:space="preserve"> and </w:t>
      </w:r>
      <w:r w:rsidRPr="00C100D0">
        <w:rPr>
          <w:b/>
        </w:rPr>
        <w:t>L</w:t>
      </w:r>
      <w:r w:rsidRPr="00C100D0">
        <w:rPr>
          <w:b/>
          <w:vertAlign w:val="superscript"/>
        </w:rPr>
        <w:t>4</w:t>
      </w:r>
      <w:r w:rsidRPr="00C100D0">
        <w:rPr>
          <w:b/>
        </w:rPr>
        <w:t>-MeOH</w:t>
      </w:r>
      <w:r w:rsidRPr="00C100D0">
        <w:t xml:space="preserve">) the four urea N-H groups are approximately oriented perpendicular to the plane of the aromatic spacer resulting in an open conformation. However, in </w:t>
      </w:r>
      <w:r w:rsidRPr="00C100D0">
        <w:rPr>
          <w:b/>
        </w:rPr>
        <w:t>L</w:t>
      </w:r>
      <w:r w:rsidRPr="00C100D0">
        <w:rPr>
          <w:b/>
          <w:vertAlign w:val="superscript"/>
        </w:rPr>
        <w:t>4</w:t>
      </w:r>
      <w:r w:rsidRPr="00C100D0">
        <w:rPr>
          <w:b/>
        </w:rPr>
        <w:t>-A</w:t>
      </w:r>
      <w:r w:rsidRPr="00C100D0">
        <w:t xml:space="preserve"> (Figure 1b) the four urea N-H groups are oriented to form a pseudo-cavity adopting a closed folded conformation. In the three structures adjacent molecules are connected one to each other </w:t>
      </w:r>
      <w:r w:rsidRPr="00C100D0">
        <w:rPr>
          <w:i/>
        </w:rPr>
        <w:t>via</w:t>
      </w:r>
      <w:r w:rsidRPr="00C100D0">
        <w:t xml:space="preserve"> N-H···O hydrogen bonds between the urea NHs of one unit and the oxygens of the carbonyl group of another unit, and related by inversion symmetry to form an infinite 1-D molecular arrangements (Figures 2a and b) which propagates along the [001] direction (for a detailed descriptions of the main intermolecular interactions involved see Table S3 in ESI).</w:t>
      </w:r>
    </w:p>
    <w:p w14:paraId="66D8FAE5" w14:textId="77777777" w:rsidR="00FB4A6B" w:rsidRPr="00C100D0" w:rsidRDefault="00FB4A6B" w:rsidP="00A32E32">
      <w:pPr>
        <w:pStyle w:val="08ArticleText"/>
      </w:pPr>
      <w:r w:rsidRPr="00C100D0">
        <w:t xml:space="preserve">In the two isostructures </w:t>
      </w:r>
      <w:r w:rsidRPr="00C100D0">
        <w:rPr>
          <w:b/>
        </w:rPr>
        <w:t>L</w:t>
      </w:r>
      <w:r w:rsidRPr="00C100D0">
        <w:rPr>
          <w:b/>
          <w:vertAlign w:val="superscript"/>
        </w:rPr>
        <w:t>3</w:t>
      </w:r>
      <w:r w:rsidRPr="00C100D0">
        <w:rPr>
          <w:b/>
        </w:rPr>
        <w:t xml:space="preserve">-DMSO </w:t>
      </w:r>
      <w:r w:rsidRPr="00C100D0">
        <w:t xml:space="preserve">and </w:t>
      </w:r>
      <w:r w:rsidRPr="00C100D0">
        <w:rPr>
          <w:b/>
        </w:rPr>
        <w:t>L</w:t>
      </w:r>
      <w:r w:rsidRPr="00C100D0">
        <w:rPr>
          <w:b/>
          <w:vertAlign w:val="superscript"/>
        </w:rPr>
        <w:t>4</w:t>
      </w:r>
      <w:r w:rsidRPr="00C100D0">
        <w:rPr>
          <w:b/>
        </w:rPr>
        <w:t>-MeOH</w:t>
      </w:r>
      <w:r w:rsidRPr="00C100D0">
        <w:t>, N-H···O distances are respectively 2.05 Å and 2.13 Å for the former and 2.04 Å and 2.07 Å for the latter. In</w:t>
      </w:r>
      <w:r w:rsidRPr="00C100D0">
        <w:rPr>
          <w:b/>
        </w:rPr>
        <w:t xml:space="preserve"> L</w:t>
      </w:r>
      <w:r w:rsidRPr="00C100D0">
        <w:rPr>
          <w:b/>
          <w:vertAlign w:val="superscript"/>
        </w:rPr>
        <w:t>4</w:t>
      </w:r>
      <w:r w:rsidRPr="00C100D0">
        <w:rPr>
          <w:b/>
        </w:rPr>
        <w:t xml:space="preserve">-A </w:t>
      </w:r>
      <w:r w:rsidRPr="00C100D0">
        <w:t xml:space="preserve">N-H···O distances are 2.25 Å and 1.99 Å respectively. In all the structures these chains are then assembled along the remaining two dimensions to </w:t>
      </w:r>
      <w:r w:rsidRPr="00C100D0">
        <w:lastRenderedPageBreak/>
        <w:t>generate the 3-D packing (for a detailed representation of the crystal packing see Figure S1c). Interestingly the CF</w:t>
      </w:r>
      <w:r w:rsidRPr="00C100D0">
        <w:rPr>
          <w:vertAlign w:val="subscript"/>
        </w:rPr>
        <w:t>3</w:t>
      </w:r>
      <w:r w:rsidRPr="00C100D0">
        <w:t xml:space="preserve"> groups seem to have a specific role in this, participating with the F atoms in the formation of C-H···F interactions (see Table S3 in ESI†), which, in some cases, show distances which are slightly less than the sum of the van der Waals radii of hydrogen and fluorine, (considering the value of 2.67 Å proposed by Bondi</w:t>
      </w:r>
      <w:r w:rsidRPr="00C100D0">
        <w:rPr>
          <w:vertAlign w:val="superscript"/>
        </w:rPr>
        <w:t>8</w:t>
      </w:r>
      <w:r w:rsidRPr="00C100D0">
        <w:t xml:space="preserve">). </w:t>
      </w:r>
    </w:p>
    <w:p w14:paraId="2D1E06D9" w14:textId="77777777" w:rsidR="00FB4A6B" w:rsidRPr="00C100D0" w:rsidRDefault="00FB4A6B" w:rsidP="00CD117D">
      <w:pPr>
        <w:pStyle w:val="08ArticleText"/>
      </w:pPr>
    </w:p>
    <w:p w14:paraId="73F97CA2" w14:textId="77777777" w:rsidR="00FB4A6B" w:rsidRPr="00C100D0" w:rsidRDefault="00756951" w:rsidP="00CD117D">
      <w:pPr>
        <w:pStyle w:val="G1aFigureImage"/>
      </w:pPr>
      <w:r w:rsidRPr="00C100D0">
        <w:rPr>
          <w:noProof/>
          <w:lang w:val="en-US" w:eastAsia="en-US"/>
        </w:rPr>
        <w:drawing>
          <wp:inline distT="0" distB="0" distL="0" distR="0" wp14:anchorId="2F7E947E" wp14:editId="26136132">
            <wp:extent cx="2968625" cy="4120515"/>
            <wp:effectExtent l="19050" t="0" r="3175" b="0"/>
            <wp:docPr id="3" name="Picture 2"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tif"/>
                    <pic:cNvPicPr>
                      <a:picLocks noChangeAspect="1" noChangeArrowheads="1"/>
                    </pic:cNvPicPr>
                  </pic:nvPicPr>
                  <pic:blipFill>
                    <a:blip r:embed="rId18"/>
                    <a:srcRect/>
                    <a:stretch>
                      <a:fillRect/>
                    </a:stretch>
                  </pic:blipFill>
                  <pic:spPr bwMode="auto">
                    <a:xfrm>
                      <a:off x="0" y="0"/>
                      <a:ext cx="2968625" cy="4120515"/>
                    </a:xfrm>
                    <a:prstGeom prst="rect">
                      <a:avLst/>
                    </a:prstGeom>
                    <a:noFill/>
                    <a:ln w="9525">
                      <a:noFill/>
                      <a:miter lim="800000"/>
                      <a:headEnd/>
                      <a:tailEnd/>
                    </a:ln>
                  </pic:spPr>
                </pic:pic>
              </a:graphicData>
            </a:graphic>
          </wp:inline>
        </w:drawing>
      </w:r>
    </w:p>
    <w:p w14:paraId="452F4FD5" w14:textId="77777777" w:rsidR="00FB4A6B" w:rsidRPr="00C100D0" w:rsidRDefault="00FB4A6B" w:rsidP="00CD117D">
      <w:pPr>
        <w:pStyle w:val="G1bFigureCaption"/>
        <w:jc w:val="both"/>
      </w:pPr>
      <w:r w:rsidRPr="00C100D0">
        <w:rPr>
          <w:b/>
        </w:rPr>
        <w:t>Figure 2</w:t>
      </w:r>
      <w:r w:rsidRPr="00C100D0">
        <w:t xml:space="preserve">. Portion of the 1-D crystal packing of the X-ray crystal structure of (a) compound </w:t>
      </w:r>
      <w:r w:rsidRPr="00C100D0">
        <w:rPr>
          <w:b/>
        </w:rPr>
        <w:t>L</w:t>
      </w:r>
      <w:r w:rsidRPr="00C100D0">
        <w:rPr>
          <w:b/>
          <w:vertAlign w:val="superscript"/>
        </w:rPr>
        <w:t>3</w:t>
      </w:r>
      <w:r w:rsidRPr="00C100D0">
        <w:rPr>
          <w:b/>
        </w:rPr>
        <w:t>-DMSO</w:t>
      </w:r>
      <w:r w:rsidRPr="00C100D0">
        <w:t xml:space="preserve"> reported as representative of the isostructural set </w:t>
      </w:r>
      <w:r w:rsidRPr="00C100D0">
        <w:rPr>
          <w:b/>
        </w:rPr>
        <w:t>L</w:t>
      </w:r>
      <w:r w:rsidRPr="00C100D0">
        <w:rPr>
          <w:b/>
          <w:vertAlign w:val="superscript"/>
        </w:rPr>
        <w:t>3</w:t>
      </w:r>
      <w:r w:rsidRPr="00C100D0">
        <w:rPr>
          <w:b/>
        </w:rPr>
        <w:t>-DMSO</w:t>
      </w:r>
      <w:r w:rsidRPr="00C100D0">
        <w:t>/</w:t>
      </w:r>
      <w:r w:rsidRPr="00C100D0">
        <w:rPr>
          <w:b/>
        </w:rPr>
        <w:t>L</w:t>
      </w:r>
      <w:r w:rsidRPr="00C100D0">
        <w:rPr>
          <w:b/>
          <w:vertAlign w:val="superscript"/>
        </w:rPr>
        <w:t>4</w:t>
      </w:r>
      <w:r w:rsidRPr="00C100D0">
        <w:rPr>
          <w:b/>
        </w:rPr>
        <w:t>-MeOH</w:t>
      </w:r>
      <w:r w:rsidRPr="00C100D0">
        <w:t xml:space="preserve"> and (b) compound </w:t>
      </w:r>
      <w:r w:rsidRPr="00C100D0">
        <w:rPr>
          <w:b/>
        </w:rPr>
        <w:t>L</w:t>
      </w:r>
      <w:r w:rsidRPr="00C100D0">
        <w:rPr>
          <w:b/>
          <w:vertAlign w:val="superscript"/>
        </w:rPr>
        <w:t>4</w:t>
      </w:r>
      <w:r w:rsidRPr="00C100D0">
        <w:rPr>
          <w:b/>
        </w:rPr>
        <w:t>-A</w:t>
      </w:r>
      <w:r w:rsidRPr="00C100D0">
        <w:t>. The most relevant interactions are represented as blue dashed lines (intermolecular distances are expressed in angstroms), centre of inversions are also represented as black circles.</w:t>
      </w:r>
    </w:p>
    <w:p w14:paraId="43167752" w14:textId="77777777" w:rsidR="00FB4A6B" w:rsidRPr="00C100D0" w:rsidRDefault="00FB4A6B" w:rsidP="00A32E32">
      <w:pPr>
        <w:pStyle w:val="08ArticleText"/>
      </w:pPr>
      <w:r w:rsidRPr="00C100D0">
        <w:t xml:space="preserve">Although there are cases in which this interaction showed a high degree of directionality, even in presence of competing groups able to form stronger interactions, </w:t>
      </w:r>
      <w:r w:rsidRPr="00C100D0">
        <w:rPr>
          <w:vertAlign w:val="superscript"/>
        </w:rPr>
        <w:t>9</w:t>
      </w:r>
      <w:r w:rsidRPr="00C100D0">
        <w:t xml:space="preserve"> in this case their role in driving the assembly of specific molecular arrangement might be questionable but certainly contributes to the overall stability of the structures.</w:t>
      </w:r>
    </w:p>
    <w:p w14:paraId="4FEC4F91" w14:textId="77777777" w:rsidR="00FB4A6B" w:rsidRPr="00C100D0" w:rsidRDefault="00FB4A6B" w:rsidP="003679E6">
      <w:pPr>
        <w:pStyle w:val="05BHeading"/>
        <w:rPr>
          <w:rStyle w:val="08ArticleTextChar"/>
        </w:rPr>
      </w:pPr>
      <w:r w:rsidRPr="00C100D0">
        <w:rPr>
          <w:rStyle w:val="08ArticleTextChar"/>
        </w:rPr>
        <w:t>2.2. Solution anion binding studies and solid-state characterisation</w:t>
      </w:r>
    </w:p>
    <w:p w14:paraId="37B55228" w14:textId="77777777" w:rsidR="00FB4A6B" w:rsidRPr="00C100D0" w:rsidRDefault="00FB4A6B" w:rsidP="00A32E32">
      <w:pPr>
        <w:pStyle w:val="08ArticleText"/>
      </w:pPr>
      <w:r w:rsidRPr="00C100D0">
        <w:t xml:space="preserve">The ability of compounds </w:t>
      </w:r>
      <w:r w:rsidRPr="00C100D0">
        <w:rPr>
          <w:b/>
        </w:rPr>
        <w:t>L</w:t>
      </w:r>
      <w:r w:rsidRPr="00C100D0">
        <w:rPr>
          <w:b/>
          <w:vertAlign w:val="superscript"/>
        </w:rPr>
        <w:t>1</w:t>
      </w:r>
      <w:r w:rsidRPr="00C100D0">
        <w:rPr>
          <w:b/>
        </w:rPr>
        <w:t>-L</w:t>
      </w:r>
      <w:r w:rsidRPr="00C100D0">
        <w:rPr>
          <w:b/>
          <w:vertAlign w:val="superscript"/>
        </w:rPr>
        <w:t>6</w:t>
      </w:r>
      <w:r w:rsidRPr="00C100D0">
        <w:t xml:space="preserve"> to bind anions (specifically AcO</w:t>
      </w:r>
      <w:r w:rsidRPr="00C100D0">
        <w:rPr>
          <w:vertAlign w:val="superscript"/>
        </w:rPr>
        <w:t>-</w:t>
      </w:r>
      <w:r w:rsidRPr="00C100D0">
        <w:t>, BzO</w:t>
      </w:r>
      <w:r w:rsidRPr="00C100D0">
        <w:rPr>
          <w:vertAlign w:val="superscript"/>
        </w:rPr>
        <w:t>-</w:t>
      </w:r>
      <w:r w:rsidRPr="00C100D0">
        <w:t>, Cl</w:t>
      </w:r>
      <w:r w:rsidRPr="00C100D0">
        <w:rPr>
          <w:vertAlign w:val="superscript"/>
        </w:rPr>
        <w:t>-</w:t>
      </w:r>
      <w:r w:rsidRPr="00C100D0">
        <w:t>, F</w:t>
      </w:r>
      <w:r w:rsidRPr="00C100D0">
        <w:rPr>
          <w:vertAlign w:val="superscript"/>
        </w:rPr>
        <w:t>-</w:t>
      </w:r>
      <w:r w:rsidRPr="00C100D0">
        <w:t>, HCO</w:t>
      </w:r>
      <w:r w:rsidRPr="00C100D0">
        <w:rPr>
          <w:vertAlign w:val="subscript"/>
        </w:rPr>
        <w:t>3</w:t>
      </w:r>
      <w:r w:rsidRPr="00C100D0">
        <w:rPr>
          <w:vertAlign w:val="superscript"/>
        </w:rPr>
        <w:t>-</w:t>
      </w:r>
      <w:r w:rsidRPr="00C100D0">
        <w:t>, H</w:t>
      </w:r>
      <w:r w:rsidRPr="00C100D0">
        <w:rPr>
          <w:vertAlign w:val="subscript"/>
        </w:rPr>
        <w:t>2</w:t>
      </w:r>
      <w:r w:rsidRPr="00C100D0">
        <w:t>PO</w:t>
      </w:r>
      <w:r w:rsidRPr="00C100D0">
        <w:rPr>
          <w:vertAlign w:val="subscript"/>
        </w:rPr>
        <w:t>4</w:t>
      </w:r>
      <w:r w:rsidRPr="00C100D0">
        <w:rPr>
          <w:vertAlign w:val="superscript"/>
        </w:rPr>
        <w:t>-</w:t>
      </w:r>
      <w:r w:rsidRPr="00C100D0">
        <w:t>, and NO</w:t>
      </w:r>
      <w:r w:rsidRPr="00C100D0">
        <w:rPr>
          <w:vertAlign w:val="subscript"/>
        </w:rPr>
        <w:t>3</w:t>
      </w:r>
      <w:r w:rsidRPr="00C100D0">
        <w:rPr>
          <w:vertAlign w:val="superscript"/>
        </w:rPr>
        <w:t>-</w:t>
      </w:r>
      <w:r w:rsidRPr="00C100D0">
        <w:t xml:space="preserve">) in solution was investigated using </w:t>
      </w:r>
      <w:r w:rsidRPr="00C100D0">
        <w:rPr>
          <w:vertAlign w:val="superscript"/>
        </w:rPr>
        <w:t>1</w:t>
      </w:r>
      <w:r w:rsidRPr="00C100D0">
        <w:t>H NMR titration techniques in DMSO-</w:t>
      </w:r>
      <w:r w:rsidRPr="00C100D0">
        <w:rPr>
          <w:i/>
        </w:rPr>
        <w:t>d</w:t>
      </w:r>
      <w:r w:rsidRPr="00C100D0">
        <w:rPr>
          <w:i/>
          <w:vertAlign w:val="subscript"/>
        </w:rPr>
        <w:t>6</w:t>
      </w:r>
      <w:r w:rsidRPr="00C100D0">
        <w:t>/0.5% H</w:t>
      </w:r>
      <w:r w:rsidRPr="00C100D0">
        <w:rPr>
          <w:vertAlign w:val="subscript"/>
        </w:rPr>
        <w:t>2</w:t>
      </w:r>
      <w:r w:rsidRPr="00C100D0">
        <w:t xml:space="preserve">O (with the </w:t>
      </w:r>
      <w:r w:rsidRPr="00C100D0">
        <w:lastRenderedPageBreak/>
        <w:t>anions added as tetrabutylammonium (TBA) or tetraethylammonium (TEA) salts). Where possible the change in chemical shift of the most downfield NH signal was fitted to a 1:1 binding model using WinEQNMR software (see Figures S26-S57 in ESI† for fittings).</w:t>
      </w:r>
      <w:r w:rsidRPr="00C100D0">
        <w:rPr>
          <w:vertAlign w:val="superscript"/>
        </w:rPr>
        <w:t>10</w:t>
      </w:r>
      <w:r w:rsidRPr="00C100D0">
        <w:t xml:space="preserve"> The results are summarised in Table 2. We observed that only compounds </w:t>
      </w:r>
      <w:r w:rsidRPr="00C100D0">
        <w:rPr>
          <w:b/>
        </w:rPr>
        <w:t>L</w:t>
      </w:r>
      <w:r w:rsidRPr="00C100D0">
        <w:rPr>
          <w:b/>
          <w:vertAlign w:val="superscript"/>
        </w:rPr>
        <w:t>2</w:t>
      </w:r>
      <w:r w:rsidRPr="00C100D0">
        <w:rPr>
          <w:b/>
          <w:bCs/>
        </w:rPr>
        <w:t xml:space="preserve"> </w:t>
      </w:r>
      <w:r w:rsidRPr="00C100D0">
        <w:t xml:space="preserve">and </w:t>
      </w:r>
      <w:r w:rsidRPr="00C100D0">
        <w:rPr>
          <w:b/>
        </w:rPr>
        <w:t>L</w:t>
      </w:r>
      <w:r w:rsidRPr="00C100D0">
        <w:rPr>
          <w:b/>
          <w:vertAlign w:val="superscript"/>
        </w:rPr>
        <w:t>4</w:t>
      </w:r>
      <w:r w:rsidRPr="00C100D0">
        <w:rPr>
          <w:vertAlign w:val="superscript"/>
        </w:rPr>
        <w:t xml:space="preserve"> </w:t>
      </w:r>
      <w:r w:rsidRPr="00C100D0">
        <w:t>demonstrated strong 1:1 binding with tetrabutylammonium fluoride (</w:t>
      </w:r>
      <w:r w:rsidRPr="00C100D0">
        <w:rPr>
          <w:i/>
        </w:rPr>
        <w:t>K</w:t>
      </w:r>
      <w:r w:rsidRPr="00C100D0">
        <w:rPr>
          <w:vertAlign w:val="subscript"/>
        </w:rPr>
        <w:t xml:space="preserve">a </w:t>
      </w:r>
      <w:r w:rsidRPr="00C100D0">
        <w:t>&gt;10</w:t>
      </w:r>
      <w:r w:rsidRPr="00C100D0">
        <w:rPr>
          <w:vertAlign w:val="superscript"/>
        </w:rPr>
        <w:t>4</w:t>
      </w:r>
      <w:r w:rsidRPr="00C100D0">
        <w:t xml:space="preserve"> M</w:t>
      </w:r>
      <w:r w:rsidRPr="00C100D0">
        <w:rPr>
          <w:vertAlign w:val="superscript"/>
        </w:rPr>
        <w:t>-1</w:t>
      </w:r>
      <w:r w:rsidRPr="00C100D0">
        <w:t>) and moderate 1:1 binding with tetrabutylammonium dihydrogenphosphate.</w:t>
      </w:r>
    </w:p>
    <w:p w14:paraId="421D9243" w14:textId="77777777" w:rsidR="00FB4A6B" w:rsidRPr="00C100D0" w:rsidRDefault="00FB4A6B" w:rsidP="008D027C">
      <w:pPr>
        <w:pStyle w:val="G4aTableTitle"/>
        <w:jc w:val="both"/>
        <w:rPr>
          <w:sz w:val="18"/>
          <w:szCs w:val="18"/>
        </w:rPr>
      </w:pPr>
      <w:r w:rsidRPr="00C100D0">
        <w:rPr>
          <w:b/>
          <w:sz w:val="18"/>
          <w:szCs w:val="18"/>
        </w:rPr>
        <w:t>Table 2.</w:t>
      </w:r>
      <w:r w:rsidRPr="00C100D0">
        <w:rPr>
          <w:sz w:val="18"/>
          <w:szCs w:val="18"/>
        </w:rPr>
        <w:t xml:space="preserve"> Stability constants K</w:t>
      </w:r>
      <w:r w:rsidRPr="00C100D0">
        <w:rPr>
          <w:i/>
          <w:sz w:val="18"/>
          <w:szCs w:val="18"/>
          <w:vertAlign w:val="subscript"/>
        </w:rPr>
        <w:t>a</w:t>
      </w:r>
      <w:r w:rsidRPr="00C100D0">
        <w:rPr>
          <w:sz w:val="18"/>
          <w:szCs w:val="18"/>
          <w:vertAlign w:val="subscript"/>
        </w:rPr>
        <w:t xml:space="preserve"> </w:t>
      </w:r>
      <w:r w:rsidRPr="00C100D0">
        <w:rPr>
          <w:sz w:val="18"/>
          <w:szCs w:val="18"/>
        </w:rPr>
        <w:t>(M</w:t>
      </w:r>
      <w:r w:rsidRPr="00C100D0">
        <w:rPr>
          <w:sz w:val="18"/>
          <w:szCs w:val="18"/>
          <w:vertAlign w:val="superscript"/>
        </w:rPr>
        <w:t>-1</w:t>
      </w:r>
      <w:r w:rsidRPr="00C100D0">
        <w:rPr>
          <w:sz w:val="18"/>
          <w:szCs w:val="18"/>
        </w:rPr>
        <w:t xml:space="preserve">) for compounds </w:t>
      </w:r>
      <w:r w:rsidRPr="00C100D0">
        <w:rPr>
          <w:b/>
          <w:sz w:val="18"/>
          <w:szCs w:val="18"/>
        </w:rPr>
        <w:t>L</w:t>
      </w:r>
      <w:r w:rsidRPr="00C100D0">
        <w:rPr>
          <w:b/>
          <w:sz w:val="18"/>
          <w:szCs w:val="18"/>
          <w:vertAlign w:val="superscript"/>
        </w:rPr>
        <w:t>1</w:t>
      </w:r>
      <w:r w:rsidRPr="00C100D0">
        <w:rPr>
          <w:sz w:val="18"/>
          <w:szCs w:val="18"/>
        </w:rPr>
        <w:t>-</w:t>
      </w:r>
      <w:r w:rsidRPr="00C100D0">
        <w:rPr>
          <w:b/>
          <w:sz w:val="18"/>
          <w:szCs w:val="18"/>
        </w:rPr>
        <w:t>L</w:t>
      </w:r>
      <w:r w:rsidRPr="00C100D0">
        <w:rPr>
          <w:b/>
          <w:sz w:val="18"/>
          <w:szCs w:val="18"/>
          <w:vertAlign w:val="superscript"/>
        </w:rPr>
        <w:t>6</w:t>
      </w:r>
      <w:r w:rsidRPr="00C100D0">
        <w:rPr>
          <w:sz w:val="18"/>
          <w:szCs w:val="18"/>
        </w:rPr>
        <w:t xml:space="preserve"> with the tetrabutylammonium or tetraethylammonium salts of the anion considered in DMSO-</w:t>
      </w:r>
      <w:r w:rsidRPr="00C100D0">
        <w:rPr>
          <w:i/>
          <w:sz w:val="18"/>
          <w:szCs w:val="18"/>
        </w:rPr>
        <w:t>d</w:t>
      </w:r>
      <w:r w:rsidRPr="00C100D0">
        <w:rPr>
          <w:i/>
          <w:sz w:val="18"/>
          <w:szCs w:val="18"/>
          <w:vertAlign w:val="subscript"/>
        </w:rPr>
        <w:t>6</w:t>
      </w:r>
      <w:r w:rsidRPr="00C100D0">
        <w:rPr>
          <w:sz w:val="18"/>
          <w:szCs w:val="18"/>
        </w:rPr>
        <w:t>/0.5% water at 300 K. All errors estimated to be &lt;10% (See ESI</w:t>
      </w:r>
      <w:r w:rsidRPr="00C100D0">
        <w:t>†</w:t>
      </w:r>
      <w:r w:rsidRPr="00C100D0">
        <w:rPr>
          <w:sz w:val="18"/>
          <w:szCs w:val="18"/>
        </w:rPr>
        <w:t xml:space="preserve"> Figs. S26-S57 for the fittings for each titration).</w:t>
      </w:r>
    </w:p>
    <w:tbl>
      <w:tblPr>
        <w:tblW w:w="0" w:type="auto"/>
        <w:tblLayout w:type="fixed"/>
        <w:tblCellMar>
          <w:left w:w="0" w:type="dxa"/>
          <w:right w:w="0" w:type="dxa"/>
        </w:tblCellMar>
        <w:tblLook w:val="0000" w:firstRow="0" w:lastRow="0" w:firstColumn="0" w:lastColumn="0" w:noHBand="0" w:noVBand="0"/>
      </w:tblPr>
      <w:tblGrid>
        <w:gridCol w:w="4762"/>
      </w:tblGrid>
      <w:tr w:rsidR="00FB4A6B" w:rsidRPr="00C100D0" w14:paraId="746966D3" w14:textId="77777777" w:rsidTr="00CD117D">
        <w:tc>
          <w:tcPr>
            <w:tcW w:w="4762" w:type="dxa"/>
          </w:tcPr>
          <w:tbl>
            <w:tblPr>
              <w:tblW w:w="5636" w:type="dxa"/>
              <w:tblBorders>
                <w:top w:val="single" w:sz="8" w:space="0" w:color="000000"/>
                <w:bottom w:val="single" w:sz="8" w:space="0" w:color="000000"/>
              </w:tblBorders>
              <w:tblLayout w:type="fixed"/>
              <w:tblLook w:val="00A0" w:firstRow="1" w:lastRow="0" w:firstColumn="1" w:lastColumn="0" w:noHBand="0" w:noVBand="0"/>
            </w:tblPr>
            <w:tblGrid>
              <w:gridCol w:w="720"/>
              <w:gridCol w:w="720"/>
              <w:gridCol w:w="720"/>
              <w:gridCol w:w="709"/>
              <w:gridCol w:w="567"/>
              <w:gridCol w:w="142"/>
              <w:gridCol w:w="567"/>
              <w:gridCol w:w="34"/>
              <w:gridCol w:w="391"/>
              <w:gridCol w:w="352"/>
              <w:gridCol w:w="73"/>
              <w:gridCol w:w="425"/>
              <w:gridCol w:w="216"/>
            </w:tblGrid>
            <w:tr w:rsidR="00FB4A6B" w:rsidRPr="00C100D0" w14:paraId="53D58CE8" w14:textId="77777777" w:rsidTr="00EA047E">
              <w:trPr>
                <w:gridAfter w:val="1"/>
                <w:wAfter w:w="216" w:type="dxa"/>
              </w:trPr>
              <w:tc>
                <w:tcPr>
                  <w:tcW w:w="720" w:type="dxa"/>
                  <w:tcBorders>
                    <w:top w:val="single" w:sz="8" w:space="0" w:color="000000"/>
                    <w:bottom w:val="single" w:sz="8" w:space="0" w:color="000000"/>
                  </w:tcBorders>
                  <w:shd w:val="clear" w:color="auto" w:fill="FFFFFF"/>
                </w:tcPr>
                <w:p w14:paraId="0380E3FE" w14:textId="77777777" w:rsidR="00FB4A6B" w:rsidRPr="00C100D0" w:rsidRDefault="00FB4A6B" w:rsidP="00C62F0E">
                  <w:pPr>
                    <w:pStyle w:val="G4bTableBody"/>
                    <w:rPr>
                      <w:w w:val="108"/>
                      <w:sz w:val="18"/>
                      <w:szCs w:val="18"/>
                    </w:rPr>
                  </w:pPr>
                  <w:r w:rsidRPr="00C100D0">
                    <w:rPr>
                      <w:w w:val="108"/>
                      <w:sz w:val="18"/>
                      <w:szCs w:val="18"/>
                    </w:rPr>
                    <w:t>Anions</w:t>
                  </w:r>
                </w:p>
              </w:tc>
              <w:tc>
                <w:tcPr>
                  <w:tcW w:w="720" w:type="dxa"/>
                  <w:tcBorders>
                    <w:top w:val="single" w:sz="8" w:space="0" w:color="000000"/>
                    <w:bottom w:val="single" w:sz="8" w:space="0" w:color="000000"/>
                  </w:tcBorders>
                  <w:shd w:val="clear" w:color="auto" w:fill="FFFFFF"/>
                </w:tcPr>
                <w:p w14:paraId="02B73DFA" w14:textId="77777777" w:rsidR="00FB4A6B" w:rsidRPr="00C100D0" w:rsidRDefault="00FB4A6B" w:rsidP="00C62F0E">
                  <w:pPr>
                    <w:pStyle w:val="G4bTableBody"/>
                    <w:rPr>
                      <w:b/>
                      <w:w w:val="108"/>
                      <w:sz w:val="18"/>
                      <w:szCs w:val="18"/>
                    </w:rPr>
                  </w:pPr>
                  <w:r w:rsidRPr="00C100D0">
                    <w:rPr>
                      <w:b/>
                      <w:sz w:val="18"/>
                      <w:szCs w:val="18"/>
                    </w:rPr>
                    <w:t>L</w:t>
                  </w:r>
                  <w:r w:rsidRPr="00C100D0">
                    <w:rPr>
                      <w:b/>
                      <w:sz w:val="18"/>
                      <w:szCs w:val="18"/>
                      <w:vertAlign w:val="superscript"/>
                    </w:rPr>
                    <w:t>1</w:t>
                  </w:r>
                </w:p>
              </w:tc>
              <w:tc>
                <w:tcPr>
                  <w:tcW w:w="720" w:type="dxa"/>
                  <w:tcBorders>
                    <w:top w:val="single" w:sz="8" w:space="0" w:color="000000"/>
                    <w:bottom w:val="single" w:sz="8" w:space="0" w:color="000000"/>
                  </w:tcBorders>
                  <w:shd w:val="clear" w:color="auto" w:fill="FFFFFF"/>
                </w:tcPr>
                <w:p w14:paraId="4AD143DC" w14:textId="77777777" w:rsidR="00FB4A6B" w:rsidRPr="00C100D0" w:rsidRDefault="00FB4A6B" w:rsidP="00C62F0E">
                  <w:pPr>
                    <w:pStyle w:val="G4bTableBody"/>
                    <w:rPr>
                      <w:b/>
                      <w:w w:val="108"/>
                      <w:sz w:val="18"/>
                      <w:szCs w:val="18"/>
                    </w:rPr>
                  </w:pPr>
                  <w:r w:rsidRPr="00C100D0">
                    <w:rPr>
                      <w:b/>
                      <w:sz w:val="18"/>
                      <w:szCs w:val="18"/>
                    </w:rPr>
                    <w:t>L</w:t>
                  </w:r>
                  <w:r w:rsidRPr="00C100D0">
                    <w:rPr>
                      <w:b/>
                      <w:sz w:val="18"/>
                      <w:szCs w:val="18"/>
                      <w:vertAlign w:val="superscript"/>
                    </w:rPr>
                    <w:t>2</w:t>
                  </w:r>
                </w:p>
              </w:tc>
              <w:tc>
                <w:tcPr>
                  <w:tcW w:w="709" w:type="dxa"/>
                  <w:tcBorders>
                    <w:top w:val="single" w:sz="8" w:space="0" w:color="000000"/>
                    <w:bottom w:val="single" w:sz="8" w:space="0" w:color="000000"/>
                  </w:tcBorders>
                  <w:shd w:val="clear" w:color="auto" w:fill="FFFFFF"/>
                </w:tcPr>
                <w:p w14:paraId="592536EC" w14:textId="77777777" w:rsidR="00FB4A6B" w:rsidRPr="00C100D0" w:rsidRDefault="00FB4A6B" w:rsidP="00C62F0E">
                  <w:pPr>
                    <w:pStyle w:val="G4bTableBody"/>
                    <w:rPr>
                      <w:b/>
                      <w:w w:val="108"/>
                      <w:sz w:val="18"/>
                      <w:szCs w:val="18"/>
                    </w:rPr>
                  </w:pPr>
                  <w:r w:rsidRPr="00C100D0">
                    <w:rPr>
                      <w:b/>
                      <w:sz w:val="18"/>
                      <w:szCs w:val="18"/>
                    </w:rPr>
                    <w:t>L</w:t>
                  </w:r>
                  <w:r w:rsidRPr="00C100D0">
                    <w:rPr>
                      <w:b/>
                      <w:sz w:val="18"/>
                      <w:szCs w:val="18"/>
                      <w:vertAlign w:val="superscript"/>
                    </w:rPr>
                    <w:t>3</w:t>
                  </w:r>
                </w:p>
              </w:tc>
              <w:tc>
                <w:tcPr>
                  <w:tcW w:w="709" w:type="dxa"/>
                  <w:gridSpan w:val="2"/>
                  <w:tcBorders>
                    <w:top w:val="single" w:sz="8" w:space="0" w:color="000000"/>
                    <w:bottom w:val="single" w:sz="8" w:space="0" w:color="000000"/>
                  </w:tcBorders>
                  <w:shd w:val="clear" w:color="auto" w:fill="FFFFFF"/>
                </w:tcPr>
                <w:p w14:paraId="03B8F113" w14:textId="77777777" w:rsidR="00FB4A6B" w:rsidRPr="00C100D0" w:rsidRDefault="00FB4A6B" w:rsidP="00C62F0E">
                  <w:pPr>
                    <w:pStyle w:val="G4bTableBody"/>
                    <w:rPr>
                      <w:b/>
                      <w:w w:val="108"/>
                      <w:sz w:val="18"/>
                      <w:szCs w:val="18"/>
                    </w:rPr>
                  </w:pPr>
                  <w:r w:rsidRPr="00C100D0">
                    <w:rPr>
                      <w:b/>
                      <w:sz w:val="18"/>
                      <w:szCs w:val="18"/>
                    </w:rPr>
                    <w:t>L</w:t>
                  </w:r>
                  <w:r w:rsidRPr="00C100D0">
                    <w:rPr>
                      <w:b/>
                      <w:sz w:val="18"/>
                      <w:szCs w:val="18"/>
                      <w:vertAlign w:val="superscript"/>
                    </w:rPr>
                    <w:t>4</w:t>
                  </w:r>
                </w:p>
              </w:tc>
              <w:tc>
                <w:tcPr>
                  <w:tcW w:w="567" w:type="dxa"/>
                  <w:tcBorders>
                    <w:top w:val="single" w:sz="8" w:space="0" w:color="000000"/>
                    <w:bottom w:val="single" w:sz="8" w:space="0" w:color="000000"/>
                  </w:tcBorders>
                  <w:shd w:val="clear" w:color="auto" w:fill="FFFFFF"/>
                </w:tcPr>
                <w:p w14:paraId="69052A9C" w14:textId="77777777" w:rsidR="00FB4A6B" w:rsidRPr="00C100D0" w:rsidRDefault="00FB4A6B" w:rsidP="00C62F0E">
                  <w:pPr>
                    <w:pStyle w:val="G4bTableBody"/>
                    <w:rPr>
                      <w:b/>
                      <w:w w:val="108"/>
                      <w:sz w:val="18"/>
                      <w:szCs w:val="18"/>
                    </w:rPr>
                  </w:pPr>
                  <w:r w:rsidRPr="00C100D0">
                    <w:rPr>
                      <w:b/>
                      <w:sz w:val="18"/>
                      <w:szCs w:val="18"/>
                    </w:rPr>
                    <w:t>L</w:t>
                  </w:r>
                  <w:r w:rsidRPr="00C100D0">
                    <w:rPr>
                      <w:b/>
                      <w:sz w:val="18"/>
                      <w:szCs w:val="18"/>
                      <w:vertAlign w:val="superscript"/>
                    </w:rPr>
                    <w:t>5</w:t>
                  </w:r>
                </w:p>
              </w:tc>
              <w:tc>
                <w:tcPr>
                  <w:tcW w:w="425" w:type="dxa"/>
                  <w:gridSpan w:val="2"/>
                  <w:tcBorders>
                    <w:top w:val="single" w:sz="8" w:space="0" w:color="000000"/>
                    <w:bottom w:val="single" w:sz="8" w:space="0" w:color="000000"/>
                  </w:tcBorders>
                  <w:shd w:val="clear" w:color="auto" w:fill="FFFFFF"/>
                </w:tcPr>
                <w:p w14:paraId="0640922B" w14:textId="77777777" w:rsidR="00FB4A6B" w:rsidRPr="00C100D0" w:rsidRDefault="00FB4A6B" w:rsidP="00C62F0E">
                  <w:pPr>
                    <w:pStyle w:val="G4bTableBody"/>
                    <w:rPr>
                      <w:b/>
                      <w:w w:val="108"/>
                      <w:sz w:val="18"/>
                      <w:szCs w:val="18"/>
                    </w:rPr>
                  </w:pPr>
                  <w:r w:rsidRPr="00C100D0">
                    <w:rPr>
                      <w:b/>
                      <w:sz w:val="18"/>
                      <w:szCs w:val="18"/>
                    </w:rPr>
                    <w:t>L</w:t>
                  </w:r>
                  <w:r w:rsidRPr="00C100D0">
                    <w:rPr>
                      <w:b/>
                      <w:sz w:val="18"/>
                      <w:szCs w:val="18"/>
                      <w:vertAlign w:val="superscript"/>
                    </w:rPr>
                    <w:t>6</w:t>
                  </w:r>
                </w:p>
              </w:tc>
              <w:tc>
                <w:tcPr>
                  <w:tcW w:w="425" w:type="dxa"/>
                  <w:gridSpan w:val="2"/>
                  <w:tcBorders>
                    <w:top w:val="single" w:sz="8" w:space="0" w:color="000000"/>
                    <w:bottom w:val="single" w:sz="8" w:space="0" w:color="000000"/>
                  </w:tcBorders>
                  <w:shd w:val="clear" w:color="auto" w:fill="FFFFFF"/>
                </w:tcPr>
                <w:p w14:paraId="763439E2" w14:textId="77777777" w:rsidR="00FB4A6B" w:rsidRPr="00C100D0" w:rsidRDefault="00FB4A6B" w:rsidP="00C62F0E">
                  <w:pPr>
                    <w:pStyle w:val="G4bTableBody"/>
                    <w:rPr>
                      <w:b/>
                      <w:w w:val="108"/>
                      <w:sz w:val="18"/>
                      <w:szCs w:val="18"/>
                    </w:rPr>
                  </w:pPr>
                </w:p>
              </w:tc>
              <w:tc>
                <w:tcPr>
                  <w:tcW w:w="425" w:type="dxa"/>
                  <w:tcBorders>
                    <w:top w:val="single" w:sz="8" w:space="0" w:color="000000"/>
                    <w:bottom w:val="single" w:sz="8" w:space="0" w:color="000000"/>
                  </w:tcBorders>
                  <w:shd w:val="clear" w:color="auto" w:fill="FFFFFF"/>
                </w:tcPr>
                <w:p w14:paraId="4C9D9121" w14:textId="77777777" w:rsidR="00FB4A6B" w:rsidRPr="00C100D0" w:rsidRDefault="00FB4A6B" w:rsidP="00C62F0E">
                  <w:pPr>
                    <w:pStyle w:val="G4bTableBody"/>
                    <w:rPr>
                      <w:b/>
                      <w:w w:val="108"/>
                      <w:sz w:val="18"/>
                      <w:szCs w:val="18"/>
                    </w:rPr>
                  </w:pPr>
                  <w:r w:rsidRPr="00C100D0">
                    <w:rPr>
                      <w:b/>
                      <w:w w:val="108"/>
                      <w:sz w:val="18"/>
                      <w:szCs w:val="18"/>
                    </w:rPr>
                    <w:t>6</w:t>
                  </w:r>
                </w:p>
              </w:tc>
            </w:tr>
            <w:tr w:rsidR="00FB4A6B" w:rsidRPr="00C100D0" w14:paraId="5994AD7E" w14:textId="77777777" w:rsidTr="00EA047E">
              <w:tc>
                <w:tcPr>
                  <w:tcW w:w="720" w:type="dxa"/>
                  <w:shd w:val="clear" w:color="auto" w:fill="FFFFFF"/>
                </w:tcPr>
                <w:p w14:paraId="428B8C07" w14:textId="77777777" w:rsidR="00FB4A6B" w:rsidRPr="00C100D0" w:rsidRDefault="00FB4A6B" w:rsidP="00C62F0E">
                  <w:pPr>
                    <w:pStyle w:val="G4bTableBody"/>
                    <w:rPr>
                      <w:w w:val="108"/>
                      <w:sz w:val="18"/>
                      <w:szCs w:val="18"/>
                    </w:rPr>
                  </w:pPr>
                  <w:r w:rsidRPr="00C100D0">
                    <w:rPr>
                      <w:w w:val="108"/>
                      <w:sz w:val="18"/>
                      <w:szCs w:val="18"/>
                    </w:rPr>
                    <w:t>AcO</w:t>
                  </w:r>
                  <w:r w:rsidRPr="00C100D0">
                    <w:rPr>
                      <w:w w:val="108"/>
                      <w:sz w:val="18"/>
                      <w:szCs w:val="18"/>
                      <w:vertAlign w:val="superscript"/>
                    </w:rPr>
                    <w:t>-</w:t>
                  </w:r>
                </w:p>
              </w:tc>
              <w:tc>
                <w:tcPr>
                  <w:tcW w:w="720" w:type="dxa"/>
                  <w:tcBorders>
                    <w:left w:val="nil"/>
                    <w:right w:val="nil"/>
                  </w:tcBorders>
                  <w:shd w:val="clear" w:color="auto" w:fill="FFFFFF"/>
                </w:tcPr>
                <w:p w14:paraId="7E87CA05" w14:textId="77777777" w:rsidR="00FB4A6B" w:rsidRPr="00C100D0" w:rsidRDefault="00FB4A6B" w:rsidP="00C62F0E">
                  <w:pPr>
                    <w:pStyle w:val="G4bTableBody"/>
                    <w:rPr>
                      <w:w w:val="108"/>
                      <w:sz w:val="18"/>
                      <w:szCs w:val="18"/>
                    </w:rPr>
                  </w:pPr>
                  <w:r w:rsidRPr="00C100D0">
                    <w:rPr>
                      <w:w w:val="108"/>
                      <w:sz w:val="18"/>
                      <w:szCs w:val="18"/>
                    </w:rPr>
                    <w:t>152</w:t>
                  </w:r>
                </w:p>
              </w:tc>
              <w:tc>
                <w:tcPr>
                  <w:tcW w:w="720" w:type="dxa"/>
                  <w:shd w:val="clear" w:color="auto" w:fill="FFFFFF"/>
                </w:tcPr>
                <w:p w14:paraId="3A5E2E15" w14:textId="77777777" w:rsidR="00FB4A6B" w:rsidRPr="00C100D0" w:rsidRDefault="00FB4A6B" w:rsidP="00C62F0E">
                  <w:pPr>
                    <w:pStyle w:val="G4bTableBody"/>
                    <w:rPr>
                      <w:w w:val="108"/>
                      <w:sz w:val="18"/>
                      <w:szCs w:val="18"/>
                    </w:rPr>
                  </w:pPr>
                  <w:r w:rsidRPr="00C100D0">
                    <w:rPr>
                      <w:rFonts w:eastAsia="MS ??"/>
                      <w:kern w:val="24"/>
                      <w:sz w:val="18"/>
                      <w:szCs w:val="18"/>
                      <w:lang w:val="en-US"/>
                    </w:rPr>
                    <w:t>342</w:t>
                  </w:r>
                </w:p>
              </w:tc>
              <w:tc>
                <w:tcPr>
                  <w:tcW w:w="709" w:type="dxa"/>
                  <w:tcBorders>
                    <w:left w:val="nil"/>
                    <w:right w:val="nil"/>
                  </w:tcBorders>
                  <w:shd w:val="clear" w:color="auto" w:fill="FFFFFF"/>
                </w:tcPr>
                <w:p w14:paraId="4A1AB6AB" w14:textId="77777777" w:rsidR="00FB4A6B" w:rsidRPr="00C100D0" w:rsidRDefault="00FB4A6B" w:rsidP="00C62F0E">
                  <w:pPr>
                    <w:pStyle w:val="G4bTableBody"/>
                    <w:rPr>
                      <w:w w:val="108"/>
                      <w:sz w:val="18"/>
                      <w:szCs w:val="18"/>
                    </w:rPr>
                  </w:pPr>
                  <w:r w:rsidRPr="00C100D0">
                    <w:rPr>
                      <w:rFonts w:eastAsia="MS ??"/>
                      <w:kern w:val="24"/>
                      <w:sz w:val="18"/>
                      <w:szCs w:val="18"/>
                      <w:lang w:val="en-US"/>
                    </w:rPr>
                    <w:t>187</w:t>
                  </w:r>
                </w:p>
              </w:tc>
              <w:tc>
                <w:tcPr>
                  <w:tcW w:w="567" w:type="dxa"/>
                  <w:shd w:val="clear" w:color="auto" w:fill="FFFFFF"/>
                </w:tcPr>
                <w:p w14:paraId="7DDE8C31" w14:textId="77777777" w:rsidR="00FB4A6B" w:rsidRPr="00C100D0" w:rsidRDefault="00FB4A6B" w:rsidP="00C62F0E">
                  <w:pPr>
                    <w:pStyle w:val="G4bTableBody"/>
                    <w:rPr>
                      <w:w w:val="108"/>
                      <w:sz w:val="18"/>
                      <w:szCs w:val="18"/>
                    </w:rPr>
                  </w:pPr>
                  <w:r w:rsidRPr="00C100D0">
                    <w:rPr>
                      <w:rFonts w:eastAsia="MS ??"/>
                      <w:kern w:val="24"/>
                      <w:sz w:val="18"/>
                      <w:szCs w:val="18"/>
                      <w:lang w:val="en-US"/>
                    </w:rPr>
                    <w:t>357</w:t>
                  </w:r>
                </w:p>
              </w:tc>
              <w:tc>
                <w:tcPr>
                  <w:tcW w:w="743" w:type="dxa"/>
                  <w:gridSpan w:val="3"/>
                  <w:tcBorders>
                    <w:left w:val="nil"/>
                    <w:right w:val="nil"/>
                  </w:tcBorders>
                  <w:shd w:val="clear" w:color="auto" w:fill="FFFFFF"/>
                </w:tcPr>
                <w:p w14:paraId="5DB53E57" w14:textId="77777777" w:rsidR="00FB4A6B" w:rsidRPr="00C100D0" w:rsidRDefault="00FB4A6B" w:rsidP="00C62F0E">
                  <w:pPr>
                    <w:pStyle w:val="G4bTableBody"/>
                    <w:rPr>
                      <w:w w:val="108"/>
                      <w:sz w:val="18"/>
                      <w:szCs w:val="18"/>
                    </w:rPr>
                  </w:pPr>
                  <w:r w:rsidRPr="00C100D0">
                    <w:rPr>
                      <w:rFonts w:eastAsia="MS ??"/>
                      <w:kern w:val="24"/>
                      <w:sz w:val="18"/>
                      <w:szCs w:val="18"/>
                      <w:lang w:val="en-US"/>
                    </w:rPr>
                    <w:t>242</w:t>
                  </w:r>
                </w:p>
              </w:tc>
              <w:tc>
                <w:tcPr>
                  <w:tcW w:w="743" w:type="dxa"/>
                  <w:gridSpan w:val="2"/>
                  <w:tcBorders>
                    <w:left w:val="nil"/>
                    <w:right w:val="nil"/>
                  </w:tcBorders>
                  <w:shd w:val="clear" w:color="auto" w:fill="FFFFFF"/>
                </w:tcPr>
                <w:p w14:paraId="0D258A44" w14:textId="77777777" w:rsidR="00FB4A6B" w:rsidRPr="00C100D0" w:rsidRDefault="00FB4A6B" w:rsidP="00C62F0E">
                  <w:pPr>
                    <w:pStyle w:val="G4bTableBody"/>
                    <w:jc w:val="left"/>
                    <w:rPr>
                      <w:rFonts w:eastAsia="MS ??"/>
                      <w:kern w:val="24"/>
                      <w:sz w:val="18"/>
                      <w:szCs w:val="18"/>
                      <w:lang w:val="en-US"/>
                    </w:rPr>
                  </w:pPr>
                  <w:r w:rsidRPr="00C100D0">
                    <w:rPr>
                      <w:rFonts w:eastAsia="MS ??"/>
                      <w:kern w:val="24"/>
                      <w:sz w:val="18"/>
                      <w:szCs w:val="18"/>
                      <w:lang w:val="en-US"/>
                    </w:rPr>
                    <w:t>657</w:t>
                  </w:r>
                </w:p>
              </w:tc>
              <w:tc>
                <w:tcPr>
                  <w:tcW w:w="714" w:type="dxa"/>
                  <w:gridSpan w:val="3"/>
                  <w:tcBorders>
                    <w:left w:val="nil"/>
                    <w:right w:val="nil"/>
                  </w:tcBorders>
                  <w:shd w:val="clear" w:color="auto" w:fill="FFFFFF"/>
                </w:tcPr>
                <w:p w14:paraId="74361370" w14:textId="77777777" w:rsidR="00FB4A6B" w:rsidRPr="00C100D0" w:rsidRDefault="00FB4A6B" w:rsidP="00C62F0E">
                  <w:pPr>
                    <w:pStyle w:val="G4bTableBody"/>
                    <w:rPr>
                      <w:rFonts w:eastAsia="MS ??"/>
                      <w:kern w:val="24"/>
                      <w:sz w:val="18"/>
                      <w:szCs w:val="18"/>
                      <w:lang w:val="en-US"/>
                    </w:rPr>
                  </w:pPr>
                </w:p>
              </w:tc>
            </w:tr>
            <w:tr w:rsidR="00FB4A6B" w:rsidRPr="00C100D0" w14:paraId="0ED6ED98" w14:textId="77777777" w:rsidTr="00EA047E">
              <w:tc>
                <w:tcPr>
                  <w:tcW w:w="720" w:type="dxa"/>
                  <w:shd w:val="clear" w:color="auto" w:fill="FFFFFF"/>
                </w:tcPr>
                <w:p w14:paraId="37D093B7" w14:textId="77777777" w:rsidR="00FB4A6B" w:rsidRPr="00C100D0" w:rsidRDefault="00FB4A6B" w:rsidP="00C62F0E">
                  <w:pPr>
                    <w:pStyle w:val="G4bTableBody"/>
                    <w:rPr>
                      <w:w w:val="108"/>
                      <w:sz w:val="18"/>
                      <w:szCs w:val="18"/>
                    </w:rPr>
                  </w:pPr>
                  <w:r w:rsidRPr="00C100D0">
                    <w:rPr>
                      <w:w w:val="108"/>
                      <w:sz w:val="18"/>
                      <w:szCs w:val="18"/>
                    </w:rPr>
                    <w:t>BzO</w:t>
                  </w:r>
                  <w:r w:rsidRPr="00C100D0">
                    <w:rPr>
                      <w:w w:val="108"/>
                      <w:sz w:val="18"/>
                      <w:szCs w:val="18"/>
                      <w:vertAlign w:val="superscript"/>
                    </w:rPr>
                    <w:t>-</w:t>
                  </w:r>
                </w:p>
              </w:tc>
              <w:tc>
                <w:tcPr>
                  <w:tcW w:w="720" w:type="dxa"/>
                  <w:shd w:val="clear" w:color="auto" w:fill="FFFFFF"/>
                </w:tcPr>
                <w:p w14:paraId="57BF9E42" w14:textId="77777777" w:rsidR="00FB4A6B" w:rsidRPr="00C100D0" w:rsidRDefault="00FB4A6B" w:rsidP="00C62F0E">
                  <w:pPr>
                    <w:pStyle w:val="G4bTableBody"/>
                    <w:rPr>
                      <w:sz w:val="18"/>
                      <w:szCs w:val="18"/>
                    </w:rPr>
                  </w:pPr>
                  <w:r w:rsidRPr="00C100D0">
                    <w:rPr>
                      <w:sz w:val="18"/>
                      <w:szCs w:val="18"/>
                    </w:rPr>
                    <w:t>124</w:t>
                  </w:r>
                </w:p>
              </w:tc>
              <w:tc>
                <w:tcPr>
                  <w:tcW w:w="720" w:type="dxa"/>
                  <w:shd w:val="clear" w:color="auto" w:fill="FFFFFF"/>
                </w:tcPr>
                <w:p w14:paraId="6D272E74" w14:textId="77777777" w:rsidR="00FB4A6B" w:rsidRPr="00C100D0" w:rsidRDefault="00FB4A6B" w:rsidP="00C62F0E">
                  <w:pPr>
                    <w:pStyle w:val="G4bTableBody"/>
                    <w:rPr>
                      <w:sz w:val="18"/>
                      <w:szCs w:val="18"/>
                    </w:rPr>
                  </w:pPr>
                  <w:r w:rsidRPr="00C100D0">
                    <w:rPr>
                      <w:rFonts w:eastAsia="MS ??"/>
                      <w:kern w:val="24"/>
                      <w:sz w:val="18"/>
                      <w:szCs w:val="18"/>
                      <w:lang w:val="en-US"/>
                    </w:rPr>
                    <w:t>174</w:t>
                  </w:r>
                </w:p>
              </w:tc>
              <w:tc>
                <w:tcPr>
                  <w:tcW w:w="709" w:type="dxa"/>
                  <w:shd w:val="clear" w:color="auto" w:fill="FFFFFF"/>
                </w:tcPr>
                <w:p w14:paraId="132E083D" w14:textId="77777777" w:rsidR="00FB4A6B" w:rsidRPr="00C100D0" w:rsidRDefault="00FB4A6B" w:rsidP="00C62F0E">
                  <w:pPr>
                    <w:pStyle w:val="G4bTableBody"/>
                    <w:rPr>
                      <w:sz w:val="18"/>
                      <w:szCs w:val="18"/>
                    </w:rPr>
                  </w:pPr>
                  <w:r w:rsidRPr="00C100D0">
                    <w:rPr>
                      <w:rFonts w:eastAsia="MS ??"/>
                      <w:kern w:val="24"/>
                      <w:sz w:val="18"/>
                      <w:szCs w:val="18"/>
                      <w:lang w:val="en-US"/>
                    </w:rPr>
                    <w:t>180</w:t>
                  </w:r>
                </w:p>
              </w:tc>
              <w:tc>
                <w:tcPr>
                  <w:tcW w:w="567" w:type="dxa"/>
                  <w:shd w:val="clear" w:color="auto" w:fill="FFFFFF"/>
                </w:tcPr>
                <w:p w14:paraId="67FEB572" w14:textId="77777777" w:rsidR="00FB4A6B" w:rsidRPr="00C100D0" w:rsidRDefault="00FB4A6B" w:rsidP="00C62F0E">
                  <w:pPr>
                    <w:pStyle w:val="G4bTableBody"/>
                    <w:rPr>
                      <w:sz w:val="18"/>
                      <w:szCs w:val="18"/>
                    </w:rPr>
                  </w:pPr>
                  <w:r w:rsidRPr="00C100D0">
                    <w:rPr>
                      <w:rFonts w:eastAsia="MS ??"/>
                      <w:kern w:val="24"/>
                      <w:sz w:val="18"/>
                      <w:szCs w:val="18"/>
                      <w:lang w:val="en-US"/>
                    </w:rPr>
                    <w:t>183</w:t>
                  </w:r>
                </w:p>
              </w:tc>
              <w:tc>
                <w:tcPr>
                  <w:tcW w:w="743" w:type="dxa"/>
                  <w:gridSpan w:val="3"/>
                  <w:shd w:val="clear" w:color="auto" w:fill="FFFFFF"/>
                </w:tcPr>
                <w:p w14:paraId="3183B37A" w14:textId="77777777" w:rsidR="00FB4A6B" w:rsidRPr="00C100D0" w:rsidRDefault="00FB4A6B" w:rsidP="00C62F0E">
                  <w:pPr>
                    <w:pStyle w:val="G4bTableBody"/>
                    <w:rPr>
                      <w:sz w:val="18"/>
                      <w:szCs w:val="18"/>
                    </w:rPr>
                  </w:pPr>
                  <w:r w:rsidRPr="00C100D0">
                    <w:rPr>
                      <w:rFonts w:eastAsia="MS ??"/>
                      <w:kern w:val="24"/>
                      <w:sz w:val="18"/>
                      <w:szCs w:val="18"/>
                      <w:lang w:val="en-US"/>
                    </w:rPr>
                    <w:t>172</w:t>
                  </w:r>
                </w:p>
              </w:tc>
              <w:tc>
                <w:tcPr>
                  <w:tcW w:w="743" w:type="dxa"/>
                  <w:gridSpan w:val="2"/>
                  <w:shd w:val="clear" w:color="auto" w:fill="FFFFFF"/>
                </w:tcPr>
                <w:p w14:paraId="248919BA" w14:textId="77777777" w:rsidR="00FB4A6B" w:rsidRPr="00C100D0" w:rsidRDefault="00FB4A6B" w:rsidP="00C62F0E">
                  <w:pPr>
                    <w:pStyle w:val="G4bTableBody"/>
                    <w:jc w:val="left"/>
                    <w:rPr>
                      <w:rFonts w:eastAsia="MS ??"/>
                      <w:kern w:val="24"/>
                      <w:sz w:val="18"/>
                      <w:szCs w:val="18"/>
                      <w:lang w:val="en-US"/>
                    </w:rPr>
                  </w:pPr>
                  <w:r w:rsidRPr="00C100D0">
                    <w:rPr>
                      <w:rFonts w:eastAsia="MS ??"/>
                      <w:kern w:val="24"/>
                      <w:sz w:val="18"/>
                      <w:szCs w:val="18"/>
                      <w:lang w:val="en-US"/>
                    </w:rPr>
                    <w:t>277</w:t>
                  </w:r>
                </w:p>
              </w:tc>
              <w:tc>
                <w:tcPr>
                  <w:tcW w:w="714" w:type="dxa"/>
                  <w:gridSpan w:val="3"/>
                  <w:shd w:val="clear" w:color="auto" w:fill="FFFFFF"/>
                </w:tcPr>
                <w:p w14:paraId="3AACB635" w14:textId="77777777" w:rsidR="00FB4A6B" w:rsidRPr="00C100D0" w:rsidRDefault="00FB4A6B" w:rsidP="00C62F0E">
                  <w:pPr>
                    <w:pStyle w:val="G4bTableBody"/>
                    <w:rPr>
                      <w:rFonts w:eastAsia="MS ??"/>
                      <w:kern w:val="24"/>
                      <w:sz w:val="18"/>
                      <w:szCs w:val="18"/>
                      <w:lang w:val="en-US"/>
                    </w:rPr>
                  </w:pPr>
                </w:p>
              </w:tc>
            </w:tr>
            <w:tr w:rsidR="00FB4A6B" w:rsidRPr="00C100D0" w14:paraId="0B46BBD0" w14:textId="77777777" w:rsidTr="00EA047E">
              <w:tc>
                <w:tcPr>
                  <w:tcW w:w="720" w:type="dxa"/>
                  <w:shd w:val="clear" w:color="auto" w:fill="FFFFFF"/>
                </w:tcPr>
                <w:p w14:paraId="666587A1" w14:textId="77777777" w:rsidR="00FB4A6B" w:rsidRPr="00C100D0" w:rsidRDefault="00FB4A6B" w:rsidP="00C62F0E">
                  <w:pPr>
                    <w:pStyle w:val="G4bTableBody"/>
                    <w:rPr>
                      <w:w w:val="108"/>
                      <w:sz w:val="18"/>
                      <w:szCs w:val="18"/>
                    </w:rPr>
                  </w:pPr>
                  <w:r w:rsidRPr="00C100D0">
                    <w:rPr>
                      <w:w w:val="108"/>
                      <w:sz w:val="18"/>
                      <w:szCs w:val="18"/>
                    </w:rPr>
                    <w:t>H</w:t>
                  </w:r>
                  <w:r w:rsidRPr="00C100D0">
                    <w:rPr>
                      <w:w w:val="108"/>
                      <w:sz w:val="18"/>
                      <w:szCs w:val="18"/>
                      <w:vertAlign w:val="subscript"/>
                    </w:rPr>
                    <w:t>2</w:t>
                  </w:r>
                  <w:r w:rsidRPr="00C100D0">
                    <w:rPr>
                      <w:w w:val="108"/>
                      <w:sz w:val="18"/>
                      <w:szCs w:val="18"/>
                    </w:rPr>
                    <w:t>PO</w:t>
                  </w:r>
                  <w:r w:rsidRPr="00C100D0">
                    <w:rPr>
                      <w:w w:val="108"/>
                      <w:sz w:val="18"/>
                      <w:szCs w:val="18"/>
                      <w:vertAlign w:val="subscript"/>
                    </w:rPr>
                    <w:t>4</w:t>
                  </w:r>
                  <w:r w:rsidRPr="00C100D0">
                    <w:rPr>
                      <w:w w:val="108"/>
                      <w:sz w:val="18"/>
                      <w:szCs w:val="18"/>
                      <w:vertAlign w:val="superscript"/>
                    </w:rPr>
                    <w:t>-</w:t>
                  </w:r>
                </w:p>
              </w:tc>
              <w:tc>
                <w:tcPr>
                  <w:tcW w:w="720" w:type="dxa"/>
                  <w:tcBorders>
                    <w:left w:val="nil"/>
                    <w:right w:val="nil"/>
                  </w:tcBorders>
                  <w:shd w:val="clear" w:color="auto" w:fill="FFFFFF"/>
                </w:tcPr>
                <w:p w14:paraId="60111A28" w14:textId="77777777" w:rsidR="00FB4A6B" w:rsidRPr="00C100D0" w:rsidRDefault="00FB4A6B" w:rsidP="00C62F0E">
                  <w:pPr>
                    <w:pStyle w:val="G4bTableBody"/>
                    <w:rPr>
                      <w:sz w:val="18"/>
                      <w:szCs w:val="18"/>
                    </w:rPr>
                  </w:pPr>
                  <w:r w:rsidRPr="00C100D0">
                    <w:rPr>
                      <w:sz w:val="18"/>
                      <w:szCs w:val="18"/>
                    </w:rPr>
                    <w:t>582</w:t>
                  </w:r>
                </w:p>
              </w:tc>
              <w:tc>
                <w:tcPr>
                  <w:tcW w:w="720" w:type="dxa"/>
                  <w:shd w:val="clear" w:color="auto" w:fill="FFFFFF"/>
                </w:tcPr>
                <w:p w14:paraId="0B25553D" w14:textId="77777777" w:rsidR="00FB4A6B" w:rsidRPr="00C100D0" w:rsidRDefault="00FB4A6B" w:rsidP="00C62F0E">
                  <w:pPr>
                    <w:pStyle w:val="G4bTableBody"/>
                    <w:rPr>
                      <w:sz w:val="18"/>
                      <w:szCs w:val="18"/>
                    </w:rPr>
                  </w:pPr>
                  <w:r w:rsidRPr="00C100D0">
                    <w:rPr>
                      <w:rFonts w:eastAsia="MS ??"/>
                      <w:kern w:val="24"/>
                      <w:sz w:val="18"/>
                      <w:szCs w:val="18"/>
                      <w:lang w:val="en-US"/>
                    </w:rPr>
                    <w:t>1842</w:t>
                  </w:r>
                </w:p>
              </w:tc>
              <w:tc>
                <w:tcPr>
                  <w:tcW w:w="709" w:type="dxa"/>
                  <w:tcBorders>
                    <w:left w:val="nil"/>
                    <w:right w:val="nil"/>
                  </w:tcBorders>
                  <w:shd w:val="clear" w:color="auto" w:fill="FFFFFF"/>
                </w:tcPr>
                <w:p w14:paraId="3243BD6F" w14:textId="77777777" w:rsidR="00FB4A6B" w:rsidRPr="00C100D0" w:rsidRDefault="00FB4A6B" w:rsidP="00C62F0E">
                  <w:pPr>
                    <w:pStyle w:val="G4bTableBody"/>
                    <w:rPr>
                      <w:sz w:val="18"/>
                      <w:szCs w:val="18"/>
                    </w:rPr>
                  </w:pPr>
                  <w:r w:rsidRPr="00C100D0">
                    <w:rPr>
                      <w:rFonts w:eastAsia="MS ??"/>
                      <w:kern w:val="24"/>
                      <w:sz w:val="18"/>
                      <w:szCs w:val="18"/>
                      <w:lang w:val="en-US"/>
                    </w:rPr>
                    <w:t>592</w:t>
                  </w:r>
                </w:p>
              </w:tc>
              <w:tc>
                <w:tcPr>
                  <w:tcW w:w="567" w:type="dxa"/>
                  <w:shd w:val="clear" w:color="auto" w:fill="FFFFFF"/>
                </w:tcPr>
                <w:p w14:paraId="6BC70E9C" w14:textId="77777777" w:rsidR="00FB4A6B" w:rsidRPr="00C100D0" w:rsidRDefault="00FB4A6B" w:rsidP="00C62F0E">
                  <w:pPr>
                    <w:pStyle w:val="G4bTableBody"/>
                    <w:rPr>
                      <w:sz w:val="18"/>
                      <w:szCs w:val="18"/>
                    </w:rPr>
                  </w:pPr>
                  <w:r w:rsidRPr="00C100D0">
                    <w:rPr>
                      <w:rFonts w:eastAsia="MS ??"/>
                      <w:kern w:val="24"/>
                      <w:sz w:val="18"/>
                      <w:szCs w:val="18"/>
                      <w:lang w:val="en-US"/>
                    </w:rPr>
                    <w:t>1730</w:t>
                  </w:r>
                </w:p>
              </w:tc>
              <w:tc>
                <w:tcPr>
                  <w:tcW w:w="743" w:type="dxa"/>
                  <w:gridSpan w:val="3"/>
                  <w:tcBorders>
                    <w:left w:val="nil"/>
                    <w:right w:val="nil"/>
                  </w:tcBorders>
                  <w:shd w:val="clear" w:color="auto" w:fill="FFFFFF"/>
                </w:tcPr>
                <w:p w14:paraId="4E8854DB" w14:textId="77777777" w:rsidR="00FB4A6B" w:rsidRPr="00C100D0" w:rsidRDefault="00FB4A6B" w:rsidP="00C62F0E">
                  <w:pPr>
                    <w:pStyle w:val="G4bTableBody"/>
                    <w:rPr>
                      <w:sz w:val="18"/>
                      <w:szCs w:val="18"/>
                    </w:rPr>
                  </w:pPr>
                  <w:r w:rsidRPr="00C100D0">
                    <w:rPr>
                      <w:rFonts w:eastAsia="MS ??"/>
                      <w:kern w:val="24"/>
                      <w:sz w:val="18"/>
                      <w:szCs w:val="18"/>
                      <w:lang w:val="en-US"/>
                    </w:rPr>
                    <w:t>475</w:t>
                  </w:r>
                </w:p>
              </w:tc>
              <w:tc>
                <w:tcPr>
                  <w:tcW w:w="743" w:type="dxa"/>
                  <w:gridSpan w:val="2"/>
                  <w:tcBorders>
                    <w:left w:val="nil"/>
                    <w:right w:val="nil"/>
                  </w:tcBorders>
                  <w:shd w:val="clear" w:color="auto" w:fill="FFFFFF"/>
                </w:tcPr>
                <w:p w14:paraId="5F2C3BD6" w14:textId="77777777" w:rsidR="00FB4A6B" w:rsidRPr="00C100D0" w:rsidRDefault="00FB4A6B" w:rsidP="00C62F0E">
                  <w:pPr>
                    <w:pStyle w:val="G4bTableBody"/>
                    <w:jc w:val="left"/>
                    <w:rPr>
                      <w:rFonts w:eastAsia="MS ??"/>
                      <w:kern w:val="24"/>
                      <w:sz w:val="18"/>
                      <w:szCs w:val="18"/>
                      <w:lang w:val="en-US"/>
                    </w:rPr>
                  </w:pPr>
                  <w:r w:rsidRPr="00C100D0">
                    <w:rPr>
                      <w:rFonts w:eastAsia="MS ??"/>
                      <w:kern w:val="24"/>
                      <w:sz w:val="18"/>
                      <w:szCs w:val="18"/>
                      <w:lang w:val="en-US"/>
                    </w:rPr>
                    <w:t>2652</w:t>
                  </w:r>
                </w:p>
              </w:tc>
              <w:tc>
                <w:tcPr>
                  <w:tcW w:w="714" w:type="dxa"/>
                  <w:gridSpan w:val="3"/>
                  <w:tcBorders>
                    <w:left w:val="nil"/>
                    <w:right w:val="nil"/>
                  </w:tcBorders>
                  <w:shd w:val="clear" w:color="auto" w:fill="FFFFFF"/>
                </w:tcPr>
                <w:p w14:paraId="3F005842" w14:textId="77777777" w:rsidR="00FB4A6B" w:rsidRPr="00C100D0" w:rsidRDefault="00FB4A6B" w:rsidP="00C62F0E">
                  <w:pPr>
                    <w:pStyle w:val="G4bTableBody"/>
                    <w:rPr>
                      <w:rFonts w:eastAsia="MS ??"/>
                      <w:kern w:val="24"/>
                      <w:sz w:val="18"/>
                      <w:szCs w:val="18"/>
                      <w:lang w:val="en-US"/>
                    </w:rPr>
                  </w:pPr>
                </w:p>
              </w:tc>
            </w:tr>
            <w:tr w:rsidR="00FB4A6B" w:rsidRPr="00C100D0" w14:paraId="1ECCD84D" w14:textId="77777777" w:rsidTr="00EA047E">
              <w:tc>
                <w:tcPr>
                  <w:tcW w:w="720" w:type="dxa"/>
                  <w:shd w:val="clear" w:color="auto" w:fill="FFFFFF"/>
                </w:tcPr>
                <w:p w14:paraId="339FDA41" w14:textId="77777777" w:rsidR="00FB4A6B" w:rsidRPr="00C100D0" w:rsidRDefault="00FB4A6B" w:rsidP="00C62F0E">
                  <w:pPr>
                    <w:pStyle w:val="G4bTableBody"/>
                    <w:rPr>
                      <w:w w:val="108"/>
                      <w:sz w:val="18"/>
                      <w:szCs w:val="18"/>
                      <w:lang w:val="fr-FR"/>
                    </w:rPr>
                  </w:pPr>
                  <w:r w:rsidRPr="00C100D0">
                    <w:rPr>
                      <w:w w:val="108"/>
                      <w:sz w:val="18"/>
                      <w:szCs w:val="18"/>
                      <w:lang w:val="fr-FR"/>
                    </w:rPr>
                    <w:t>HCO</w:t>
                  </w:r>
                  <w:r w:rsidRPr="00C100D0">
                    <w:rPr>
                      <w:w w:val="108"/>
                      <w:sz w:val="18"/>
                      <w:szCs w:val="18"/>
                      <w:vertAlign w:val="subscript"/>
                      <w:lang w:val="fr-FR"/>
                    </w:rPr>
                    <w:t>3</w:t>
                  </w:r>
                  <w:r w:rsidRPr="00C100D0">
                    <w:rPr>
                      <w:w w:val="108"/>
                      <w:sz w:val="18"/>
                      <w:szCs w:val="18"/>
                      <w:vertAlign w:val="superscript"/>
                      <w:lang w:val="fr-FR"/>
                    </w:rPr>
                    <w:t>-</w:t>
                  </w:r>
                </w:p>
              </w:tc>
              <w:tc>
                <w:tcPr>
                  <w:tcW w:w="720" w:type="dxa"/>
                  <w:shd w:val="clear" w:color="auto" w:fill="FFFFFF"/>
                </w:tcPr>
                <w:p w14:paraId="1684B23A" w14:textId="77777777" w:rsidR="00FB4A6B" w:rsidRPr="00C100D0" w:rsidRDefault="00FB4A6B" w:rsidP="00C62F0E">
                  <w:pPr>
                    <w:pStyle w:val="G4bTableBody"/>
                    <w:rPr>
                      <w:sz w:val="18"/>
                      <w:szCs w:val="18"/>
                    </w:rPr>
                  </w:pPr>
                  <w:r w:rsidRPr="00C100D0">
                    <w:rPr>
                      <w:sz w:val="18"/>
                      <w:szCs w:val="18"/>
                    </w:rPr>
                    <w:t>124</w:t>
                  </w:r>
                </w:p>
              </w:tc>
              <w:tc>
                <w:tcPr>
                  <w:tcW w:w="720" w:type="dxa"/>
                  <w:shd w:val="clear" w:color="auto" w:fill="FFFFFF"/>
                </w:tcPr>
                <w:p w14:paraId="7BB620E6" w14:textId="77777777" w:rsidR="00FB4A6B" w:rsidRPr="00C100D0" w:rsidRDefault="00FB4A6B" w:rsidP="00C62F0E">
                  <w:pPr>
                    <w:pStyle w:val="G4bTableBody"/>
                    <w:rPr>
                      <w:sz w:val="18"/>
                      <w:szCs w:val="18"/>
                    </w:rPr>
                  </w:pPr>
                  <w:r w:rsidRPr="00C100D0">
                    <w:rPr>
                      <w:rFonts w:eastAsia="MS ??"/>
                      <w:kern w:val="24"/>
                      <w:sz w:val="18"/>
                      <w:szCs w:val="18"/>
                      <w:lang w:val="en-US"/>
                    </w:rPr>
                    <w:t>793</w:t>
                  </w:r>
                </w:p>
              </w:tc>
              <w:tc>
                <w:tcPr>
                  <w:tcW w:w="709" w:type="dxa"/>
                  <w:shd w:val="clear" w:color="auto" w:fill="FFFFFF"/>
                </w:tcPr>
                <w:p w14:paraId="151922D9" w14:textId="77777777" w:rsidR="00FB4A6B" w:rsidRPr="00C100D0" w:rsidRDefault="00FB4A6B" w:rsidP="00C62F0E">
                  <w:pPr>
                    <w:pStyle w:val="G4bTableBody"/>
                    <w:rPr>
                      <w:sz w:val="18"/>
                      <w:szCs w:val="18"/>
                    </w:rPr>
                  </w:pPr>
                  <w:r w:rsidRPr="00C100D0">
                    <w:rPr>
                      <w:rFonts w:eastAsia="MS ??"/>
                      <w:kern w:val="24"/>
                      <w:sz w:val="18"/>
                      <w:szCs w:val="18"/>
                      <w:lang w:val="en-US"/>
                    </w:rPr>
                    <w:t>506</w:t>
                  </w:r>
                </w:p>
              </w:tc>
              <w:tc>
                <w:tcPr>
                  <w:tcW w:w="567" w:type="dxa"/>
                  <w:shd w:val="clear" w:color="auto" w:fill="FFFFFF"/>
                </w:tcPr>
                <w:p w14:paraId="005AAC16" w14:textId="77777777" w:rsidR="00FB4A6B" w:rsidRPr="00C100D0" w:rsidRDefault="00FB4A6B" w:rsidP="00C62F0E">
                  <w:pPr>
                    <w:pStyle w:val="G4bTableBody"/>
                    <w:rPr>
                      <w:sz w:val="18"/>
                      <w:szCs w:val="18"/>
                    </w:rPr>
                  </w:pPr>
                  <w:r w:rsidRPr="00C100D0">
                    <w:rPr>
                      <w:rFonts w:eastAsia="MS ??"/>
                      <w:kern w:val="24"/>
                      <w:sz w:val="18"/>
                      <w:szCs w:val="18"/>
                      <w:lang w:val="en-US"/>
                    </w:rPr>
                    <w:t>594</w:t>
                  </w:r>
                </w:p>
              </w:tc>
              <w:tc>
                <w:tcPr>
                  <w:tcW w:w="743" w:type="dxa"/>
                  <w:gridSpan w:val="3"/>
                  <w:shd w:val="clear" w:color="auto" w:fill="FFFFFF"/>
                </w:tcPr>
                <w:p w14:paraId="318885E2" w14:textId="77777777" w:rsidR="00FB4A6B" w:rsidRPr="00C100D0" w:rsidRDefault="00FB4A6B" w:rsidP="00C62F0E">
                  <w:pPr>
                    <w:pStyle w:val="G4bTableBody"/>
                    <w:rPr>
                      <w:sz w:val="18"/>
                      <w:szCs w:val="18"/>
                    </w:rPr>
                  </w:pPr>
                  <w:r w:rsidRPr="00C100D0">
                    <w:rPr>
                      <w:rFonts w:eastAsia="MS ??"/>
                      <w:kern w:val="24"/>
                      <w:sz w:val="18"/>
                      <w:szCs w:val="18"/>
                      <w:lang w:val="en-US"/>
                    </w:rPr>
                    <w:t>part depr</w:t>
                  </w:r>
                </w:p>
              </w:tc>
              <w:tc>
                <w:tcPr>
                  <w:tcW w:w="743" w:type="dxa"/>
                  <w:gridSpan w:val="2"/>
                  <w:shd w:val="clear" w:color="auto" w:fill="FFFFFF"/>
                </w:tcPr>
                <w:p w14:paraId="5D850A4A" w14:textId="77777777" w:rsidR="00FB4A6B" w:rsidRPr="00C100D0" w:rsidRDefault="00FB4A6B" w:rsidP="00C62F0E">
                  <w:pPr>
                    <w:pStyle w:val="G4bTableBody"/>
                    <w:jc w:val="left"/>
                    <w:rPr>
                      <w:rFonts w:eastAsia="MS ??"/>
                      <w:kern w:val="24"/>
                      <w:sz w:val="18"/>
                      <w:szCs w:val="18"/>
                      <w:lang w:val="en-US"/>
                    </w:rPr>
                  </w:pPr>
                  <w:r w:rsidRPr="00C100D0">
                    <w:rPr>
                      <w:rFonts w:eastAsia="MS ??"/>
                      <w:kern w:val="24"/>
                      <w:sz w:val="18"/>
                      <w:szCs w:val="18"/>
                      <w:lang w:val="en-US"/>
                    </w:rPr>
                    <w:t>537</w:t>
                  </w:r>
                </w:p>
              </w:tc>
              <w:tc>
                <w:tcPr>
                  <w:tcW w:w="714" w:type="dxa"/>
                  <w:gridSpan w:val="3"/>
                  <w:shd w:val="clear" w:color="auto" w:fill="FFFFFF"/>
                </w:tcPr>
                <w:p w14:paraId="53E8A348" w14:textId="77777777" w:rsidR="00FB4A6B" w:rsidRPr="00C100D0" w:rsidRDefault="00FB4A6B" w:rsidP="00C62F0E">
                  <w:pPr>
                    <w:pStyle w:val="G4bTableBody"/>
                    <w:rPr>
                      <w:rFonts w:eastAsia="MS ??"/>
                      <w:kern w:val="24"/>
                      <w:sz w:val="18"/>
                      <w:szCs w:val="18"/>
                      <w:lang w:val="en-US"/>
                    </w:rPr>
                  </w:pPr>
                </w:p>
              </w:tc>
            </w:tr>
            <w:tr w:rsidR="00FB4A6B" w:rsidRPr="00C100D0" w14:paraId="04C02A31" w14:textId="77777777" w:rsidTr="00EA047E">
              <w:tc>
                <w:tcPr>
                  <w:tcW w:w="720" w:type="dxa"/>
                  <w:shd w:val="clear" w:color="auto" w:fill="FFFFFF"/>
                </w:tcPr>
                <w:p w14:paraId="3392BEF7" w14:textId="77777777" w:rsidR="00FB4A6B" w:rsidRPr="00C100D0" w:rsidRDefault="00FB4A6B" w:rsidP="00C62F0E">
                  <w:pPr>
                    <w:pStyle w:val="G4bTableBody"/>
                    <w:rPr>
                      <w:w w:val="108"/>
                      <w:sz w:val="18"/>
                      <w:szCs w:val="18"/>
                      <w:lang w:val="fr-FR"/>
                    </w:rPr>
                  </w:pPr>
                  <w:r w:rsidRPr="00C100D0">
                    <w:rPr>
                      <w:w w:val="108"/>
                      <w:sz w:val="18"/>
                      <w:szCs w:val="18"/>
                      <w:lang w:val="fr-FR"/>
                    </w:rPr>
                    <w:t>NO</w:t>
                  </w:r>
                  <w:r w:rsidRPr="00C100D0">
                    <w:rPr>
                      <w:w w:val="108"/>
                      <w:sz w:val="18"/>
                      <w:szCs w:val="18"/>
                      <w:vertAlign w:val="subscript"/>
                      <w:lang w:val="fr-FR"/>
                    </w:rPr>
                    <w:t>3</w:t>
                  </w:r>
                  <w:r w:rsidRPr="00C100D0">
                    <w:rPr>
                      <w:w w:val="108"/>
                      <w:sz w:val="18"/>
                      <w:szCs w:val="18"/>
                      <w:vertAlign w:val="superscript"/>
                      <w:lang w:val="fr-FR"/>
                    </w:rPr>
                    <w:t>-</w:t>
                  </w:r>
                </w:p>
              </w:tc>
              <w:tc>
                <w:tcPr>
                  <w:tcW w:w="720" w:type="dxa"/>
                  <w:tcBorders>
                    <w:left w:val="nil"/>
                    <w:right w:val="nil"/>
                  </w:tcBorders>
                  <w:shd w:val="clear" w:color="auto" w:fill="FFFFFF"/>
                </w:tcPr>
                <w:p w14:paraId="1FB4DE07" w14:textId="77777777" w:rsidR="00FB4A6B" w:rsidRPr="00C100D0" w:rsidRDefault="00FB4A6B" w:rsidP="00C62F0E">
                  <w:pPr>
                    <w:pStyle w:val="G4bTableBody"/>
                    <w:rPr>
                      <w:rFonts w:eastAsia="MS ??"/>
                      <w:kern w:val="24"/>
                      <w:sz w:val="18"/>
                      <w:szCs w:val="18"/>
                      <w:lang w:val="en-US"/>
                    </w:rPr>
                  </w:pPr>
                  <w:r w:rsidRPr="00C100D0">
                    <w:rPr>
                      <w:rFonts w:eastAsia="MS ??"/>
                      <w:kern w:val="24"/>
                      <w:sz w:val="18"/>
                      <w:szCs w:val="18"/>
                      <w:lang w:val="en-US"/>
                    </w:rPr>
                    <w:t>no</w:t>
                  </w:r>
                  <w:r w:rsidRPr="00C100D0">
                    <w:rPr>
                      <w:rFonts w:eastAsia="MS ??"/>
                      <w:i/>
                      <w:kern w:val="24"/>
                      <w:sz w:val="18"/>
                      <w:szCs w:val="18"/>
                      <w:vertAlign w:val="superscript"/>
                      <w:lang w:val="en-US"/>
                    </w:rPr>
                    <w:t>a</w:t>
                  </w:r>
                </w:p>
                <w:p w14:paraId="78B67347" w14:textId="77777777" w:rsidR="00FB4A6B" w:rsidRPr="00C100D0" w:rsidRDefault="00FB4A6B" w:rsidP="00C62F0E">
                  <w:pPr>
                    <w:pStyle w:val="G4bTableBody"/>
                    <w:rPr>
                      <w:sz w:val="18"/>
                      <w:szCs w:val="18"/>
                    </w:rPr>
                  </w:pPr>
                  <w:r w:rsidRPr="00C100D0">
                    <w:rPr>
                      <w:rFonts w:eastAsia="MS ??"/>
                      <w:kern w:val="24"/>
                      <w:sz w:val="18"/>
                      <w:szCs w:val="18"/>
                      <w:lang w:val="en-US"/>
                    </w:rPr>
                    <w:t xml:space="preserve"> inter</w:t>
                  </w:r>
                </w:p>
              </w:tc>
              <w:tc>
                <w:tcPr>
                  <w:tcW w:w="720" w:type="dxa"/>
                  <w:shd w:val="clear" w:color="auto" w:fill="FFFFFF"/>
                </w:tcPr>
                <w:p w14:paraId="0A71689A" w14:textId="77777777" w:rsidR="00FB4A6B" w:rsidRPr="00C100D0" w:rsidRDefault="00FB4A6B" w:rsidP="00C62F0E">
                  <w:pPr>
                    <w:pStyle w:val="G4bTableBody"/>
                    <w:rPr>
                      <w:rFonts w:eastAsia="MS ??"/>
                      <w:kern w:val="24"/>
                      <w:sz w:val="18"/>
                      <w:szCs w:val="18"/>
                      <w:lang w:val="en-US"/>
                    </w:rPr>
                  </w:pPr>
                  <w:r w:rsidRPr="00C100D0">
                    <w:rPr>
                      <w:rFonts w:eastAsia="MS ??"/>
                      <w:kern w:val="24"/>
                      <w:sz w:val="18"/>
                      <w:szCs w:val="18"/>
                      <w:lang w:val="en-US"/>
                    </w:rPr>
                    <w:t>no</w:t>
                  </w:r>
                  <w:r w:rsidRPr="00C100D0">
                    <w:rPr>
                      <w:rFonts w:eastAsia="MS ??"/>
                      <w:i/>
                      <w:kern w:val="24"/>
                      <w:sz w:val="18"/>
                      <w:szCs w:val="18"/>
                      <w:vertAlign w:val="superscript"/>
                      <w:lang w:val="en-US"/>
                    </w:rPr>
                    <w:t>a</w:t>
                  </w:r>
                </w:p>
                <w:p w14:paraId="3BC68E86" w14:textId="77777777" w:rsidR="00FB4A6B" w:rsidRPr="00C100D0" w:rsidRDefault="00FB4A6B" w:rsidP="00C62F0E">
                  <w:pPr>
                    <w:pStyle w:val="G4bTableBody"/>
                    <w:rPr>
                      <w:sz w:val="18"/>
                      <w:szCs w:val="18"/>
                    </w:rPr>
                  </w:pPr>
                  <w:r w:rsidRPr="00C100D0">
                    <w:rPr>
                      <w:rFonts w:eastAsia="MS ??"/>
                      <w:kern w:val="24"/>
                      <w:sz w:val="18"/>
                      <w:szCs w:val="18"/>
                      <w:lang w:val="en-US"/>
                    </w:rPr>
                    <w:t xml:space="preserve"> inter.</w:t>
                  </w:r>
                </w:p>
              </w:tc>
              <w:tc>
                <w:tcPr>
                  <w:tcW w:w="709" w:type="dxa"/>
                  <w:tcBorders>
                    <w:left w:val="nil"/>
                    <w:right w:val="nil"/>
                  </w:tcBorders>
                  <w:shd w:val="clear" w:color="auto" w:fill="FFFFFF"/>
                </w:tcPr>
                <w:p w14:paraId="4B567575" w14:textId="77777777" w:rsidR="00FB4A6B" w:rsidRPr="00C100D0" w:rsidRDefault="00FB4A6B" w:rsidP="00C62F0E">
                  <w:pPr>
                    <w:pStyle w:val="G4bTableBody"/>
                    <w:rPr>
                      <w:sz w:val="18"/>
                      <w:szCs w:val="18"/>
                    </w:rPr>
                  </w:pPr>
                  <w:r w:rsidRPr="00C100D0">
                    <w:rPr>
                      <w:rFonts w:eastAsia="MS ??"/>
                      <w:kern w:val="24"/>
                      <w:sz w:val="18"/>
                      <w:szCs w:val="18"/>
                      <w:lang w:val="en-US"/>
                    </w:rPr>
                    <w:t>no</w:t>
                  </w:r>
                  <w:r w:rsidRPr="00C100D0">
                    <w:rPr>
                      <w:rFonts w:eastAsia="MS ??"/>
                      <w:i/>
                      <w:kern w:val="24"/>
                      <w:sz w:val="18"/>
                      <w:szCs w:val="18"/>
                      <w:vertAlign w:val="superscript"/>
                      <w:lang w:val="en-US"/>
                    </w:rPr>
                    <w:t>a</w:t>
                  </w:r>
                  <w:r w:rsidRPr="00C100D0">
                    <w:rPr>
                      <w:rFonts w:eastAsia="MS ??"/>
                      <w:kern w:val="24"/>
                      <w:sz w:val="18"/>
                      <w:szCs w:val="18"/>
                      <w:lang w:val="en-US"/>
                    </w:rPr>
                    <w:t xml:space="preserve"> inter</w:t>
                  </w:r>
                </w:p>
              </w:tc>
              <w:tc>
                <w:tcPr>
                  <w:tcW w:w="567" w:type="dxa"/>
                  <w:shd w:val="clear" w:color="auto" w:fill="FFFFFF"/>
                </w:tcPr>
                <w:p w14:paraId="4EE4EDFB" w14:textId="77777777" w:rsidR="00FB4A6B" w:rsidRPr="00C100D0" w:rsidRDefault="00FB4A6B" w:rsidP="00C62F0E">
                  <w:pPr>
                    <w:pStyle w:val="G4bTableBody"/>
                    <w:rPr>
                      <w:sz w:val="18"/>
                      <w:szCs w:val="18"/>
                    </w:rPr>
                  </w:pPr>
                  <w:r w:rsidRPr="00C100D0">
                    <w:rPr>
                      <w:rFonts w:eastAsia="MS ??"/>
                      <w:kern w:val="24"/>
                      <w:sz w:val="18"/>
                      <w:szCs w:val="18"/>
                      <w:lang w:val="en-US"/>
                    </w:rPr>
                    <w:t>no</w:t>
                  </w:r>
                  <w:r w:rsidRPr="00C100D0">
                    <w:rPr>
                      <w:rFonts w:eastAsia="MS ??"/>
                      <w:i/>
                      <w:kern w:val="24"/>
                      <w:sz w:val="18"/>
                      <w:szCs w:val="18"/>
                      <w:vertAlign w:val="superscript"/>
                      <w:lang w:val="en-US"/>
                    </w:rPr>
                    <w:t>a</w:t>
                  </w:r>
                  <w:r w:rsidRPr="00C100D0">
                    <w:rPr>
                      <w:rFonts w:eastAsia="MS ??"/>
                      <w:kern w:val="24"/>
                      <w:sz w:val="18"/>
                      <w:szCs w:val="18"/>
                      <w:lang w:val="en-US"/>
                    </w:rPr>
                    <w:t xml:space="preserve"> inter</w:t>
                  </w:r>
                </w:p>
              </w:tc>
              <w:tc>
                <w:tcPr>
                  <w:tcW w:w="743" w:type="dxa"/>
                  <w:gridSpan w:val="3"/>
                  <w:tcBorders>
                    <w:left w:val="nil"/>
                    <w:right w:val="nil"/>
                  </w:tcBorders>
                  <w:shd w:val="clear" w:color="auto" w:fill="FFFFFF"/>
                </w:tcPr>
                <w:p w14:paraId="3F8AA647" w14:textId="77777777" w:rsidR="00FB4A6B" w:rsidRPr="00C100D0" w:rsidRDefault="00FB4A6B" w:rsidP="00C62F0E">
                  <w:pPr>
                    <w:pStyle w:val="G4bTableBody"/>
                    <w:rPr>
                      <w:rFonts w:eastAsia="MS ??"/>
                      <w:kern w:val="24"/>
                      <w:sz w:val="18"/>
                      <w:szCs w:val="18"/>
                      <w:lang w:val="en-US"/>
                    </w:rPr>
                  </w:pPr>
                  <w:r w:rsidRPr="00C100D0">
                    <w:rPr>
                      <w:rFonts w:eastAsia="MS ??"/>
                      <w:kern w:val="24"/>
                      <w:sz w:val="18"/>
                      <w:szCs w:val="18"/>
                      <w:lang w:val="en-US"/>
                    </w:rPr>
                    <w:t>no</w:t>
                  </w:r>
                  <w:r w:rsidRPr="00C100D0">
                    <w:rPr>
                      <w:rFonts w:eastAsia="MS ??"/>
                      <w:i/>
                      <w:kern w:val="24"/>
                      <w:sz w:val="18"/>
                      <w:szCs w:val="18"/>
                      <w:vertAlign w:val="superscript"/>
                      <w:lang w:val="en-US"/>
                    </w:rPr>
                    <w:t>a</w:t>
                  </w:r>
                </w:p>
                <w:p w14:paraId="4519C171" w14:textId="77777777" w:rsidR="00FB4A6B" w:rsidRPr="00C100D0" w:rsidRDefault="00FB4A6B" w:rsidP="00C62F0E">
                  <w:pPr>
                    <w:pStyle w:val="G4bTableBody"/>
                    <w:rPr>
                      <w:sz w:val="18"/>
                      <w:szCs w:val="18"/>
                    </w:rPr>
                  </w:pPr>
                  <w:r w:rsidRPr="00C100D0">
                    <w:rPr>
                      <w:rFonts w:eastAsia="MS ??"/>
                      <w:kern w:val="24"/>
                      <w:sz w:val="18"/>
                      <w:szCs w:val="18"/>
                      <w:lang w:val="en-US"/>
                    </w:rPr>
                    <w:t xml:space="preserve"> inter</w:t>
                  </w:r>
                </w:p>
              </w:tc>
              <w:tc>
                <w:tcPr>
                  <w:tcW w:w="743" w:type="dxa"/>
                  <w:gridSpan w:val="2"/>
                  <w:tcBorders>
                    <w:left w:val="nil"/>
                    <w:right w:val="nil"/>
                  </w:tcBorders>
                  <w:shd w:val="clear" w:color="auto" w:fill="FFFFFF"/>
                </w:tcPr>
                <w:p w14:paraId="081EE91E" w14:textId="77777777" w:rsidR="00FB4A6B" w:rsidRPr="00C100D0" w:rsidRDefault="00FB4A6B" w:rsidP="00C62F0E">
                  <w:pPr>
                    <w:pStyle w:val="G4bTableBody"/>
                    <w:jc w:val="left"/>
                    <w:rPr>
                      <w:rFonts w:eastAsia="MS ??"/>
                      <w:kern w:val="24"/>
                      <w:sz w:val="18"/>
                      <w:szCs w:val="18"/>
                      <w:lang w:val="en-US"/>
                    </w:rPr>
                  </w:pPr>
                  <w:r w:rsidRPr="00C100D0">
                    <w:rPr>
                      <w:rFonts w:eastAsia="MS ??"/>
                      <w:kern w:val="24"/>
                      <w:sz w:val="18"/>
                      <w:szCs w:val="18"/>
                      <w:lang w:val="en-US"/>
                    </w:rPr>
                    <w:t>no</w:t>
                  </w:r>
                  <w:r w:rsidRPr="00C100D0">
                    <w:rPr>
                      <w:rFonts w:eastAsia="MS ??"/>
                      <w:i/>
                      <w:kern w:val="24"/>
                      <w:sz w:val="18"/>
                      <w:szCs w:val="18"/>
                      <w:vertAlign w:val="superscript"/>
                      <w:lang w:val="en-US"/>
                    </w:rPr>
                    <w:t>a</w:t>
                  </w:r>
                  <w:r w:rsidRPr="00C100D0">
                    <w:rPr>
                      <w:rFonts w:eastAsia="MS ??"/>
                      <w:kern w:val="24"/>
                      <w:sz w:val="18"/>
                      <w:szCs w:val="18"/>
                      <w:lang w:val="en-US"/>
                    </w:rPr>
                    <w:t xml:space="preserve"> inter.</w:t>
                  </w:r>
                </w:p>
              </w:tc>
              <w:tc>
                <w:tcPr>
                  <w:tcW w:w="714" w:type="dxa"/>
                  <w:gridSpan w:val="3"/>
                  <w:tcBorders>
                    <w:left w:val="nil"/>
                    <w:right w:val="nil"/>
                  </w:tcBorders>
                  <w:shd w:val="clear" w:color="auto" w:fill="FFFFFF"/>
                </w:tcPr>
                <w:p w14:paraId="24E1C7F1" w14:textId="77777777" w:rsidR="00FB4A6B" w:rsidRPr="00C100D0" w:rsidRDefault="00FB4A6B" w:rsidP="00C62F0E">
                  <w:pPr>
                    <w:pStyle w:val="G4bTableBody"/>
                    <w:rPr>
                      <w:rFonts w:eastAsia="MS ??"/>
                      <w:kern w:val="24"/>
                      <w:sz w:val="18"/>
                      <w:szCs w:val="18"/>
                      <w:lang w:val="en-US"/>
                    </w:rPr>
                  </w:pPr>
                </w:p>
              </w:tc>
            </w:tr>
            <w:tr w:rsidR="00FB4A6B" w:rsidRPr="00C100D0" w14:paraId="526321F2" w14:textId="77777777" w:rsidTr="00EA047E">
              <w:tc>
                <w:tcPr>
                  <w:tcW w:w="720" w:type="dxa"/>
                  <w:shd w:val="clear" w:color="auto" w:fill="FFFFFF"/>
                </w:tcPr>
                <w:p w14:paraId="5B1F51C5" w14:textId="77777777" w:rsidR="00FB4A6B" w:rsidRPr="00C100D0" w:rsidRDefault="00FB4A6B" w:rsidP="00C62F0E">
                  <w:pPr>
                    <w:pStyle w:val="G4bTableBody"/>
                    <w:rPr>
                      <w:w w:val="108"/>
                      <w:sz w:val="18"/>
                      <w:szCs w:val="18"/>
                      <w:lang w:val="fr-FR"/>
                    </w:rPr>
                  </w:pPr>
                  <w:r w:rsidRPr="00C100D0">
                    <w:rPr>
                      <w:w w:val="108"/>
                      <w:sz w:val="18"/>
                      <w:szCs w:val="18"/>
                      <w:lang w:val="fr-FR"/>
                    </w:rPr>
                    <w:t>F</w:t>
                  </w:r>
                  <w:r w:rsidRPr="00C100D0">
                    <w:rPr>
                      <w:w w:val="108"/>
                      <w:sz w:val="18"/>
                      <w:szCs w:val="18"/>
                      <w:vertAlign w:val="superscript"/>
                      <w:lang w:val="fr-FR"/>
                    </w:rPr>
                    <w:t>-</w:t>
                  </w:r>
                </w:p>
              </w:tc>
              <w:tc>
                <w:tcPr>
                  <w:tcW w:w="720" w:type="dxa"/>
                  <w:shd w:val="clear" w:color="auto" w:fill="FFFFFF"/>
                </w:tcPr>
                <w:p w14:paraId="5B90E6B4" w14:textId="77777777" w:rsidR="00FB4A6B" w:rsidRPr="00C100D0" w:rsidRDefault="00FB4A6B" w:rsidP="00C62F0E">
                  <w:pPr>
                    <w:pStyle w:val="G4bTableBody"/>
                    <w:rPr>
                      <w:w w:val="108"/>
                      <w:sz w:val="18"/>
                      <w:szCs w:val="18"/>
                      <w:lang w:val="fr-FR"/>
                    </w:rPr>
                  </w:pPr>
                  <w:r w:rsidRPr="00C100D0">
                    <w:rPr>
                      <w:w w:val="108"/>
                      <w:sz w:val="18"/>
                      <w:szCs w:val="18"/>
                      <w:lang w:val="fr-FR"/>
                    </w:rPr>
                    <w:t>depr.</w:t>
                  </w:r>
                  <w:r w:rsidRPr="00C100D0">
                    <w:rPr>
                      <w:w w:val="108"/>
                      <w:sz w:val="18"/>
                      <w:szCs w:val="18"/>
                      <w:vertAlign w:val="superscript"/>
                      <w:lang w:val="fr-FR"/>
                    </w:rPr>
                    <w:t>b</w:t>
                  </w:r>
                </w:p>
              </w:tc>
              <w:tc>
                <w:tcPr>
                  <w:tcW w:w="720" w:type="dxa"/>
                  <w:shd w:val="clear" w:color="auto" w:fill="FFFFFF"/>
                </w:tcPr>
                <w:p w14:paraId="60EF760F" w14:textId="77777777" w:rsidR="00FB4A6B" w:rsidRPr="00C100D0" w:rsidRDefault="00FB4A6B" w:rsidP="00C62F0E">
                  <w:pPr>
                    <w:pStyle w:val="G4bTableBody"/>
                    <w:rPr>
                      <w:w w:val="108"/>
                      <w:sz w:val="18"/>
                      <w:szCs w:val="18"/>
                      <w:lang w:val="fr-FR"/>
                    </w:rPr>
                  </w:pPr>
                  <w:r w:rsidRPr="00C100D0">
                    <w:rPr>
                      <w:w w:val="108"/>
                      <w:sz w:val="18"/>
                      <w:szCs w:val="18"/>
                      <w:lang w:val="fr-FR"/>
                    </w:rPr>
                    <w:t>&gt;10</w:t>
                  </w:r>
                  <w:r w:rsidRPr="00C100D0">
                    <w:rPr>
                      <w:w w:val="108"/>
                      <w:sz w:val="18"/>
                      <w:szCs w:val="18"/>
                      <w:vertAlign w:val="superscript"/>
                      <w:lang w:val="fr-FR"/>
                    </w:rPr>
                    <w:t>4</w:t>
                  </w:r>
                </w:p>
              </w:tc>
              <w:tc>
                <w:tcPr>
                  <w:tcW w:w="709" w:type="dxa"/>
                  <w:shd w:val="clear" w:color="auto" w:fill="FFFFFF"/>
                </w:tcPr>
                <w:p w14:paraId="5D910227" w14:textId="77777777" w:rsidR="00FB4A6B" w:rsidRPr="00C100D0" w:rsidRDefault="00FB4A6B" w:rsidP="00C62F0E">
                  <w:pPr>
                    <w:pStyle w:val="G4bTableBody"/>
                    <w:rPr>
                      <w:w w:val="108"/>
                      <w:sz w:val="18"/>
                      <w:szCs w:val="18"/>
                      <w:lang w:val="fr-FR"/>
                    </w:rPr>
                  </w:pPr>
                  <w:r w:rsidRPr="00C100D0">
                    <w:rPr>
                      <w:w w:val="108"/>
                      <w:sz w:val="18"/>
                      <w:szCs w:val="18"/>
                      <w:lang w:val="fr-FR"/>
                    </w:rPr>
                    <w:t>depr.</w:t>
                  </w:r>
                  <w:r w:rsidRPr="00C100D0">
                    <w:rPr>
                      <w:w w:val="108"/>
                      <w:sz w:val="18"/>
                      <w:szCs w:val="18"/>
                      <w:vertAlign w:val="superscript"/>
                      <w:lang w:val="fr-FR"/>
                    </w:rPr>
                    <w:t>b</w:t>
                  </w:r>
                </w:p>
              </w:tc>
              <w:tc>
                <w:tcPr>
                  <w:tcW w:w="567" w:type="dxa"/>
                  <w:shd w:val="clear" w:color="auto" w:fill="FFFFFF"/>
                </w:tcPr>
                <w:p w14:paraId="1F0C70CE" w14:textId="77777777" w:rsidR="00FB4A6B" w:rsidRPr="00C100D0" w:rsidRDefault="00FB4A6B" w:rsidP="00C62F0E">
                  <w:pPr>
                    <w:pStyle w:val="G4bTableBody"/>
                    <w:rPr>
                      <w:w w:val="108"/>
                      <w:sz w:val="18"/>
                      <w:szCs w:val="18"/>
                      <w:lang w:val="fr-FR"/>
                    </w:rPr>
                  </w:pPr>
                  <w:r w:rsidRPr="00C100D0">
                    <w:rPr>
                      <w:w w:val="108"/>
                      <w:sz w:val="18"/>
                      <w:szCs w:val="18"/>
                      <w:lang w:val="fr-FR"/>
                    </w:rPr>
                    <w:t>&gt;10</w:t>
                  </w:r>
                  <w:r w:rsidRPr="00C100D0">
                    <w:rPr>
                      <w:w w:val="108"/>
                      <w:sz w:val="18"/>
                      <w:szCs w:val="18"/>
                      <w:vertAlign w:val="superscript"/>
                      <w:lang w:val="fr-FR"/>
                    </w:rPr>
                    <w:t>4</w:t>
                  </w:r>
                </w:p>
              </w:tc>
              <w:tc>
                <w:tcPr>
                  <w:tcW w:w="743" w:type="dxa"/>
                  <w:gridSpan w:val="3"/>
                  <w:shd w:val="clear" w:color="auto" w:fill="FFFFFF"/>
                </w:tcPr>
                <w:p w14:paraId="3B50521F" w14:textId="77777777" w:rsidR="00FB4A6B" w:rsidRPr="00C100D0" w:rsidRDefault="00FB4A6B" w:rsidP="00C62F0E">
                  <w:pPr>
                    <w:pStyle w:val="G4bTableBody"/>
                    <w:rPr>
                      <w:w w:val="108"/>
                      <w:sz w:val="18"/>
                      <w:szCs w:val="18"/>
                      <w:lang w:val="fr-FR"/>
                    </w:rPr>
                  </w:pPr>
                  <w:r w:rsidRPr="00C100D0">
                    <w:rPr>
                      <w:w w:val="108"/>
                      <w:sz w:val="18"/>
                      <w:szCs w:val="18"/>
                      <w:lang w:val="fr-FR"/>
                    </w:rPr>
                    <w:t>depr.</w:t>
                  </w:r>
                  <w:r w:rsidRPr="00C100D0">
                    <w:rPr>
                      <w:w w:val="108"/>
                      <w:sz w:val="18"/>
                      <w:szCs w:val="18"/>
                      <w:vertAlign w:val="superscript"/>
                      <w:lang w:val="fr-FR"/>
                    </w:rPr>
                    <w:t>b</w:t>
                  </w:r>
                </w:p>
              </w:tc>
              <w:tc>
                <w:tcPr>
                  <w:tcW w:w="743" w:type="dxa"/>
                  <w:gridSpan w:val="2"/>
                  <w:shd w:val="clear" w:color="auto" w:fill="FFFFFF"/>
                </w:tcPr>
                <w:p w14:paraId="136B4D73" w14:textId="77777777" w:rsidR="00FB4A6B" w:rsidRPr="00C100D0" w:rsidRDefault="00FB4A6B" w:rsidP="00C62F0E">
                  <w:pPr>
                    <w:pStyle w:val="G4bTableBody"/>
                    <w:jc w:val="left"/>
                    <w:rPr>
                      <w:w w:val="108"/>
                      <w:sz w:val="18"/>
                      <w:szCs w:val="18"/>
                      <w:lang w:val="fr-FR"/>
                    </w:rPr>
                  </w:pPr>
                  <w:r w:rsidRPr="00C100D0">
                    <w:rPr>
                      <w:w w:val="108"/>
                      <w:sz w:val="18"/>
                      <w:szCs w:val="18"/>
                      <w:lang w:val="fr-FR"/>
                    </w:rPr>
                    <w:t>depr.</w:t>
                  </w:r>
                  <w:r w:rsidRPr="00C100D0">
                    <w:rPr>
                      <w:w w:val="108"/>
                      <w:sz w:val="18"/>
                      <w:szCs w:val="18"/>
                      <w:vertAlign w:val="superscript"/>
                      <w:lang w:val="fr-FR"/>
                    </w:rPr>
                    <w:t>b</w:t>
                  </w:r>
                </w:p>
              </w:tc>
              <w:tc>
                <w:tcPr>
                  <w:tcW w:w="714" w:type="dxa"/>
                  <w:gridSpan w:val="3"/>
                  <w:shd w:val="clear" w:color="auto" w:fill="FFFFFF"/>
                </w:tcPr>
                <w:p w14:paraId="1686F49E" w14:textId="77777777" w:rsidR="00FB4A6B" w:rsidRPr="00C100D0" w:rsidRDefault="00FB4A6B" w:rsidP="00C62F0E">
                  <w:pPr>
                    <w:pStyle w:val="G4bTableBody"/>
                    <w:rPr>
                      <w:w w:val="108"/>
                      <w:sz w:val="18"/>
                      <w:szCs w:val="18"/>
                      <w:lang w:val="fr-FR"/>
                    </w:rPr>
                  </w:pPr>
                </w:p>
              </w:tc>
            </w:tr>
            <w:tr w:rsidR="00FB4A6B" w:rsidRPr="00C100D0" w14:paraId="4A1E9E83" w14:textId="77777777" w:rsidTr="00EA047E">
              <w:tc>
                <w:tcPr>
                  <w:tcW w:w="720" w:type="dxa"/>
                  <w:tcBorders>
                    <w:bottom w:val="single" w:sz="8" w:space="0" w:color="000000"/>
                  </w:tcBorders>
                  <w:shd w:val="clear" w:color="auto" w:fill="FFFFFF"/>
                </w:tcPr>
                <w:p w14:paraId="401A24DE" w14:textId="77777777" w:rsidR="00FB4A6B" w:rsidRPr="00C100D0" w:rsidRDefault="00FB4A6B" w:rsidP="00C62F0E">
                  <w:pPr>
                    <w:pStyle w:val="G4bTableBody"/>
                    <w:rPr>
                      <w:w w:val="108"/>
                      <w:sz w:val="18"/>
                      <w:szCs w:val="18"/>
                      <w:lang w:val="fr-FR"/>
                    </w:rPr>
                  </w:pPr>
                  <w:r w:rsidRPr="00C100D0">
                    <w:rPr>
                      <w:w w:val="108"/>
                      <w:sz w:val="18"/>
                      <w:szCs w:val="18"/>
                      <w:lang w:val="fr-FR"/>
                    </w:rPr>
                    <w:t>Cl</w:t>
                  </w:r>
                  <w:r w:rsidRPr="00C100D0">
                    <w:rPr>
                      <w:w w:val="108"/>
                      <w:sz w:val="18"/>
                      <w:szCs w:val="18"/>
                      <w:vertAlign w:val="superscript"/>
                      <w:lang w:val="fr-FR"/>
                    </w:rPr>
                    <w:t>-</w:t>
                  </w:r>
                </w:p>
              </w:tc>
              <w:tc>
                <w:tcPr>
                  <w:tcW w:w="720" w:type="dxa"/>
                  <w:tcBorders>
                    <w:left w:val="nil"/>
                    <w:bottom w:val="single" w:sz="8" w:space="0" w:color="000000"/>
                    <w:right w:val="nil"/>
                  </w:tcBorders>
                  <w:shd w:val="clear" w:color="auto" w:fill="FFFFFF"/>
                </w:tcPr>
                <w:p w14:paraId="46053E53" w14:textId="77777777" w:rsidR="00FB4A6B" w:rsidRPr="00C100D0" w:rsidRDefault="00FB4A6B" w:rsidP="00C62F0E">
                  <w:pPr>
                    <w:pStyle w:val="G4bTableBody"/>
                    <w:rPr>
                      <w:w w:val="108"/>
                      <w:sz w:val="18"/>
                      <w:szCs w:val="18"/>
                      <w:lang w:val="fr-FR"/>
                    </w:rPr>
                  </w:pPr>
                  <w:r w:rsidRPr="00C100D0">
                    <w:rPr>
                      <w:w w:val="108"/>
                      <w:sz w:val="18"/>
                      <w:szCs w:val="18"/>
                      <w:lang w:val="fr-FR"/>
                    </w:rPr>
                    <w:t>32</w:t>
                  </w:r>
                </w:p>
              </w:tc>
              <w:tc>
                <w:tcPr>
                  <w:tcW w:w="720" w:type="dxa"/>
                  <w:tcBorders>
                    <w:bottom w:val="single" w:sz="8" w:space="0" w:color="000000"/>
                  </w:tcBorders>
                  <w:shd w:val="clear" w:color="auto" w:fill="FFFFFF"/>
                </w:tcPr>
                <w:p w14:paraId="5234E2A6" w14:textId="77777777" w:rsidR="00FB4A6B" w:rsidRPr="00C100D0" w:rsidRDefault="00FB4A6B" w:rsidP="00C62F0E">
                  <w:pPr>
                    <w:pStyle w:val="G4bTableBody"/>
                    <w:rPr>
                      <w:w w:val="108"/>
                      <w:sz w:val="18"/>
                      <w:szCs w:val="18"/>
                      <w:lang w:val="fr-FR"/>
                    </w:rPr>
                  </w:pPr>
                  <w:r w:rsidRPr="00C100D0">
                    <w:rPr>
                      <w:w w:val="108"/>
                      <w:sz w:val="18"/>
                      <w:szCs w:val="18"/>
                      <w:lang w:val="fr-FR"/>
                    </w:rPr>
                    <w:t>141</w:t>
                  </w:r>
                </w:p>
              </w:tc>
              <w:tc>
                <w:tcPr>
                  <w:tcW w:w="709" w:type="dxa"/>
                  <w:tcBorders>
                    <w:left w:val="nil"/>
                    <w:bottom w:val="single" w:sz="8" w:space="0" w:color="000000"/>
                    <w:right w:val="nil"/>
                  </w:tcBorders>
                  <w:shd w:val="clear" w:color="auto" w:fill="FFFFFF"/>
                </w:tcPr>
                <w:p w14:paraId="51E7D4BE" w14:textId="77777777" w:rsidR="00FB4A6B" w:rsidRPr="00C100D0" w:rsidRDefault="00FB4A6B" w:rsidP="00C62F0E">
                  <w:pPr>
                    <w:pStyle w:val="G4bTableBody"/>
                    <w:rPr>
                      <w:w w:val="108"/>
                      <w:sz w:val="18"/>
                      <w:szCs w:val="18"/>
                      <w:lang w:val="fr-FR"/>
                    </w:rPr>
                  </w:pPr>
                  <w:r w:rsidRPr="00C100D0">
                    <w:rPr>
                      <w:w w:val="108"/>
                      <w:sz w:val="18"/>
                      <w:szCs w:val="18"/>
                      <w:lang w:val="fr-FR"/>
                    </w:rPr>
                    <w:t>35</w:t>
                  </w:r>
                </w:p>
              </w:tc>
              <w:tc>
                <w:tcPr>
                  <w:tcW w:w="567" w:type="dxa"/>
                  <w:tcBorders>
                    <w:bottom w:val="single" w:sz="8" w:space="0" w:color="000000"/>
                  </w:tcBorders>
                  <w:shd w:val="clear" w:color="auto" w:fill="FFFFFF"/>
                </w:tcPr>
                <w:p w14:paraId="45D96014" w14:textId="77777777" w:rsidR="00FB4A6B" w:rsidRPr="00C100D0" w:rsidRDefault="00FB4A6B" w:rsidP="00C62F0E">
                  <w:pPr>
                    <w:pStyle w:val="G4bTableBody"/>
                    <w:rPr>
                      <w:w w:val="108"/>
                      <w:sz w:val="18"/>
                      <w:szCs w:val="18"/>
                      <w:lang w:val="fr-FR"/>
                    </w:rPr>
                  </w:pPr>
                  <w:r w:rsidRPr="00C100D0">
                    <w:rPr>
                      <w:w w:val="108"/>
                      <w:sz w:val="18"/>
                      <w:szCs w:val="18"/>
                      <w:lang w:val="fr-FR"/>
                    </w:rPr>
                    <w:t>168</w:t>
                  </w:r>
                </w:p>
              </w:tc>
              <w:tc>
                <w:tcPr>
                  <w:tcW w:w="743" w:type="dxa"/>
                  <w:gridSpan w:val="3"/>
                  <w:tcBorders>
                    <w:left w:val="nil"/>
                    <w:bottom w:val="single" w:sz="8" w:space="0" w:color="000000"/>
                    <w:right w:val="nil"/>
                  </w:tcBorders>
                  <w:shd w:val="clear" w:color="auto" w:fill="FFFFFF"/>
                </w:tcPr>
                <w:p w14:paraId="3F47BE0D" w14:textId="77777777" w:rsidR="00FB4A6B" w:rsidRPr="00C100D0" w:rsidRDefault="00FB4A6B" w:rsidP="00C62F0E">
                  <w:pPr>
                    <w:pStyle w:val="G4bTableBody"/>
                    <w:rPr>
                      <w:w w:val="108"/>
                      <w:sz w:val="18"/>
                      <w:szCs w:val="18"/>
                      <w:lang w:val="fr-FR"/>
                    </w:rPr>
                  </w:pPr>
                  <w:r w:rsidRPr="00C100D0">
                    <w:rPr>
                      <w:w w:val="108"/>
                      <w:sz w:val="18"/>
                      <w:szCs w:val="18"/>
                      <w:lang w:val="fr-FR"/>
                    </w:rPr>
                    <w:t>44</w:t>
                  </w:r>
                </w:p>
              </w:tc>
              <w:tc>
                <w:tcPr>
                  <w:tcW w:w="743" w:type="dxa"/>
                  <w:gridSpan w:val="2"/>
                  <w:tcBorders>
                    <w:left w:val="nil"/>
                    <w:bottom w:val="single" w:sz="8" w:space="0" w:color="000000"/>
                    <w:right w:val="nil"/>
                  </w:tcBorders>
                  <w:shd w:val="clear" w:color="auto" w:fill="FFFFFF"/>
                </w:tcPr>
                <w:p w14:paraId="3E52C9F2" w14:textId="77777777" w:rsidR="00FB4A6B" w:rsidRPr="00C100D0" w:rsidRDefault="00FB4A6B" w:rsidP="00C62F0E">
                  <w:pPr>
                    <w:pStyle w:val="G4bTableBody"/>
                    <w:jc w:val="left"/>
                    <w:rPr>
                      <w:w w:val="108"/>
                      <w:sz w:val="18"/>
                      <w:szCs w:val="18"/>
                      <w:lang w:val="fr-FR"/>
                    </w:rPr>
                  </w:pPr>
                  <w:r w:rsidRPr="00C100D0">
                    <w:rPr>
                      <w:w w:val="108"/>
                      <w:sz w:val="18"/>
                      <w:szCs w:val="18"/>
                      <w:lang w:val="fr-FR"/>
                    </w:rPr>
                    <w:t>229</w:t>
                  </w:r>
                </w:p>
              </w:tc>
              <w:tc>
                <w:tcPr>
                  <w:tcW w:w="714" w:type="dxa"/>
                  <w:gridSpan w:val="3"/>
                  <w:tcBorders>
                    <w:left w:val="nil"/>
                    <w:bottom w:val="single" w:sz="8" w:space="0" w:color="000000"/>
                    <w:right w:val="nil"/>
                  </w:tcBorders>
                  <w:shd w:val="clear" w:color="auto" w:fill="FFFFFF"/>
                </w:tcPr>
                <w:p w14:paraId="091A1EDC" w14:textId="77777777" w:rsidR="00FB4A6B" w:rsidRPr="00C100D0" w:rsidRDefault="00FB4A6B" w:rsidP="00C62F0E">
                  <w:pPr>
                    <w:pStyle w:val="G4bTableBody"/>
                    <w:rPr>
                      <w:w w:val="108"/>
                      <w:sz w:val="18"/>
                      <w:szCs w:val="18"/>
                      <w:lang w:val="fr-FR"/>
                    </w:rPr>
                  </w:pPr>
                </w:p>
              </w:tc>
            </w:tr>
          </w:tbl>
          <w:p w14:paraId="13B3D119" w14:textId="77777777" w:rsidR="00FB4A6B" w:rsidRPr="00C100D0" w:rsidRDefault="00FB4A6B" w:rsidP="00CD117D">
            <w:pPr>
              <w:pStyle w:val="G4bTableBody"/>
              <w:rPr>
                <w:sz w:val="18"/>
                <w:szCs w:val="18"/>
              </w:rPr>
            </w:pPr>
          </w:p>
        </w:tc>
      </w:tr>
    </w:tbl>
    <w:p w14:paraId="0A9A9614" w14:textId="77777777" w:rsidR="00FB4A6B" w:rsidRPr="00C100D0" w:rsidRDefault="00FB4A6B" w:rsidP="00E7340B">
      <w:pPr>
        <w:pStyle w:val="G4cTableFootnote"/>
        <w:jc w:val="both"/>
        <w:rPr>
          <w:sz w:val="18"/>
          <w:szCs w:val="18"/>
        </w:rPr>
      </w:pPr>
      <w:r w:rsidRPr="00C100D0">
        <w:rPr>
          <w:i/>
          <w:sz w:val="18"/>
          <w:szCs w:val="18"/>
          <w:vertAlign w:val="superscript"/>
        </w:rPr>
        <w:t>a</w:t>
      </w:r>
      <w:r w:rsidRPr="00C100D0">
        <w:rPr>
          <w:sz w:val="18"/>
          <w:szCs w:val="18"/>
        </w:rPr>
        <w:t>None of the urea protons showed significant shifts upon addition of NO</w:t>
      </w:r>
      <w:r w:rsidRPr="00C100D0">
        <w:rPr>
          <w:sz w:val="18"/>
          <w:szCs w:val="18"/>
          <w:vertAlign w:val="subscript"/>
        </w:rPr>
        <w:t>3</w:t>
      </w:r>
      <w:r w:rsidRPr="00C100D0">
        <w:rPr>
          <w:sz w:val="18"/>
          <w:szCs w:val="18"/>
          <w:vertAlign w:val="superscript"/>
        </w:rPr>
        <w:t>-</w:t>
      </w:r>
      <w:r w:rsidRPr="00C100D0">
        <w:rPr>
          <w:sz w:val="18"/>
          <w:szCs w:val="18"/>
        </w:rPr>
        <w:t xml:space="preserve">; </w:t>
      </w:r>
      <w:r w:rsidRPr="00C100D0">
        <w:rPr>
          <w:i/>
          <w:sz w:val="18"/>
          <w:szCs w:val="18"/>
          <w:vertAlign w:val="superscript"/>
        </w:rPr>
        <w:t>b</w:t>
      </w:r>
      <w:r w:rsidRPr="00C100D0">
        <w:rPr>
          <w:sz w:val="18"/>
          <w:szCs w:val="18"/>
        </w:rPr>
        <w:t xml:space="preserve">We observed the broadening and subsequent disappearance of the urea NH resonances. </w:t>
      </w:r>
    </w:p>
    <w:p w14:paraId="677C469E" w14:textId="77777777" w:rsidR="00FB4A6B" w:rsidRPr="00C100D0" w:rsidRDefault="00FB4A6B" w:rsidP="00A32E32">
      <w:pPr>
        <w:pStyle w:val="08ArticleText"/>
      </w:pPr>
      <w:r w:rsidRPr="00C100D0">
        <w:t>The other compounds had moderate affinity (or in the case of nitrate no interaction) for the anions studied.</w:t>
      </w:r>
    </w:p>
    <w:p w14:paraId="25AE14EF" w14:textId="77777777" w:rsidR="00FB4A6B" w:rsidRPr="00C100D0" w:rsidRDefault="00FB4A6B" w:rsidP="00A32E32">
      <w:pPr>
        <w:pStyle w:val="08ArticleText"/>
      </w:pPr>
      <w:r w:rsidRPr="00C100D0">
        <w:tab/>
        <w:t xml:space="preserve">Receptors </w:t>
      </w:r>
      <w:r w:rsidRPr="00C100D0">
        <w:rPr>
          <w:b/>
        </w:rPr>
        <w:t>L</w:t>
      </w:r>
      <w:r w:rsidRPr="00C100D0">
        <w:rPr>
          <w:b/>
          <w:vertAlign w:val="superscript"/>
        </w:rPr>
        <w:t>1</w:t>
      </w:r>
      <w:r w:rsidRPr="00C100D0">
        <w:rPr>
          <w:b/>
        </w:rPr>
        <w:t>-L</w:t>
      </w:r>
      <w:r w:rsidRPr="00C100D0">
        <w:rPr>
          <w:b/>
          <w:vertAlign w:val="superscript"/>
        </w:rPr>
        <w:t>6</w:t>
      </w:r>
      <w:r w:rsidRPr="00C100D0">
        <w:t xml:space="preserve"> were crystallised by slow evaporation from various solvents in presence of anionic guests. Details of the crystallization experiments, both successful and unsuccessful, are provided in ESI† (Table S1). Crystals suitable </w:t>
      </w:r>
      <w:r w:rsidRPr="00C100D0">
        <w:rPr>
          <w:bCs/>
        </w:rPr>
        <w:t>for single crystal X-ray investigation were only obtained for host-guest complexes involving receptors</w:t>
      </w:r>
      <w:r w:rsidRPr="00C100D0">
        <w:rPr>
          <w:b/>
        </w:rPr>
        <w:t xml:space="preserve"> L</w:t>
      </w:r>
      <w:r w:rsidRPr="00C100D0">
        <w:rPr>
          <w:b/>
          <w:vertAlign w:val="superscript"/>
        </w:rPr>
        <w:t>1</w:t>
      </w:r>
      <w:r w:rsidRPr="00C100D0">
        <w:rPr>
          <w:b/>
        </w:rPr>
        <w:t>-L</w:t>
      </w:r>
      <w:r w:rsidRPr="00C100D0">
        <w:rPr>
          <w:b/>
          <w:vertAlign w:val="superscript"/>
        </w:rPr>
        <w:t>4</w:t>
      </w:r>
      <w:r w:rsidRPr="00C100D0">
        <w:t xml:space="preserve">.  </w:t>
      </w:r>
    </w:p>
    <w:p w14:paraId="2265E021" w14:textId="77777777" w:rsidR="00FB4A6B" w:rsidRPr="00C100D0" w:rsidRDefault="00FB4A6B" w:rsidP="00A32E32">
      <w:pPr>
        <w:pStyle w:val="08ArticleText"/>
      </w:pPr>
      <w:r w:rsidRPr="00C100D0">
        <w:tab/>
        <w:t>The majority of the structures (see</w:t>
      </w:r>
      <w:r w:rsidRPr="00C100D0">
        <w:rPr>
          <w:bCs/>
        </w:rPr>
        <w:t xml:space="preserve"> Table S2 and </w:t>
      </w:r>
      <w:r w:rsidRPr="00C100D0">
        <w:t>Figure S1 in ESI†</w:t>
      </w:r>
      <w:r w:rsidRPr="00C100D0">
        <w:rPr>
          <w:bCs/>
        </w:rPr>
        <w:t xml:space="preserve"> and </w:t>
      </w:r>
      <w:r w:rsidRPr="00C100D0">
        <w:t xml:space="preserve">Table 1) crystallise in the monoclinic crystal system  with the only exception being the structure </w:t>
      </w:r>
      <w:r w:rsidRPr="00C100D0">
        <w:rPr>
          <w:b/>
        </w:rPr>
        <w:t>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w:t>
      </w:r>
      <w:r w:rsidRPr="00C100D0">
        <w:t xml:space="preserve"> which adopts an orthorhombic crystal system. In the five structures, the receptor units show a wide variety of conformational choices (Figure 3).</w:t>
      </w:r>
    </w:p>
    <w:p w14:paraId="39541A85" w14:textId="77777777" w:rsidR="00FB4A6B" w:rsidRPr="00C100D0" w:rsidRDefault="00FB4A6B" w:rsidP="00C91F63">
      <w:pPr>
        <w:pStyle w:val="08ArticleText"/>
      </w:pPr>
      <w:r w:rsidRPr="00C100D0">
        <w:tab/>
        <w:t>This is consistent with the absence of any set of strong intra-molecular interactions, that are able to lock or stabilize a specific conformation.</w:t>
      </w:r>
      <w:r w:rsidRPr="00C100D0">
        <w:rPr>
          <w:vertAlign w:val="superscript"/>
        </w:rPr>
        <w:t>11</w:t>
      </w:r>
      <w:r w:rsidRPr="00C100D0">
        <w:t xml:space="preserve"> The only intramolecular interactions observed is the C-H···O interaction (C-H···O distances are in the range 2.2-2.5 Å, as described in Table S3 in ESI) involving the aromatic C-H and the urea C=O (Figure 1 a-b and Figure 3 a-e) which force the urea group and the aromatic substituted ring of the target receptors to lie in the same plane. However, similarly to that we </w:t>
      </w:r>
      <w:r w:rsidRPr="00C100D0">
        <w:lastRenderedPageBreak/>
        <w:t xml:space="preserve">observed for the crystal structures of the free </w:t>
      </w:r>
    </w:p>
    <w:p w14:paraId="6A8A338F" w14:textId="77777777" w:rsidR="00FB4A6B" w:rsidRPr="00C100D0" w:rsidRDefault="00756951" w:rsidP="00CD117D">
      <w:pPr>
        <w:pStyle w:val="G1aFigureImage"/>
      </w:pPr>
      <w:r w:rsidRPr="00C100D0">
        <w:rPr>
          <w:noProof/>
          <w:lang w:val="en-US" w:eastAsia="en-US"/>
        </w:rPr>
        <w:drawing>
          <wp:inline distT="0" distB="0" distL="0" distR="0" wp14:anchorId="50847036" wp14:editId="03D1B88A">
            <wp:extent cx="2897505" cy="5955665"/>
            <wp:effectExtent l="19050" t="0" r="0" b="0"/>
            <wp:docPr id="4" name="Picture 3" descr="conforma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ormations.tif"/>
                    <pic:cNvPicPr>
                      <a:picLocks noChangeAspect="1" noChangeArrowheads="1"/>
                    </pic:cNvPicPr>
                  </pic:nvPicPr>
                  <pic:blipFill>
                    <a:blip r:embed="rId19"/>
                    <a:srcRect/>
                    <a:stretch>
                      <a:fillRect/>
                    </a:stretch>
                  </pic:blipFill>
                  <pic:spPr bwMode="auto">
                    <a:xfrm>
                      <a:off x="0" y="0"/>
                      <a:ext cx="2897505" cy="5955665"/>
                    </a:xfrm>
                    <a:prstGeom prst="rect">
                      <a:avLst/>
                    </a:prstGeom>
                    <a:noFill/>
                    <a:ln w="9525">
                      <a:noFill/>
                      <a:miter lim="800000"/>
                      <a:headEnd/>
                      <a:tailEnd/>
                    </a:ln>
                  </pic:spPr>
                </pic:pic>
              </a:graphicData>
            </a:graphic>
          </wp:inline>
        </w:drawing>
      </w:r>
    </w:p>
    <w:p w14:paraId="52E8ED95" w14:textId="77777777" w:rsidR="00FB4A6B" w:rsidRPr="00C100D0" w:rsidRDefault="00FB4A6B" w:rsidP="00CD117D">
      <w:pPr>
        <w:pStyle w:val="G1bFigureCaption"/>
        <w:jc w:val="both"/>
      </w:pPr>
      <w:r w:rsidRPr="00C100D0">
        <w:rPr>
          <w:b/>
        </w:rPr>
        <w:t xml:space="preserve">Figure 3. </w:t>
      </w:r>
      <w:r w:rsidRPr="00C100D0">
        <w:t xml:space="preserve"> Molecular conformations of the three structures (a) </w:t>
      </w:r>
      <w:r w:rsidRPr="00C100D0">
        <w:rPr>
          <w:b/>
        </w:rPr>
        <w:t>L</w:t>
      </w:r>
      <w:r w:rsidRPr="00C100D0">
        <w:rPr>
          <w:b/>
          <w:vertAlign w:val="superscript"/>
        </w:rPr>
        <w:t>1</w:t>
      </w:r>
      <w:r w:rsidRPr="00C100D0">
        <w:rPr>
          <w:b/>
        </w:rPr>
        <w:t>-AcO</w:t>
      </w:r>
      <w:r w:rsidRPr="00C100D0">
        <w:rPr>
          <w:b/>
          <w:vertAlign w:val="superscript"/>
        </w:rPr>
        <w:t>-</w:t>
      </w:r>
      <w:r w:rsidRPr="00C100D0">
        <w:rPr>
          <w:b/>
        </w:rPr>
        <w:t>(1:2</w:t>
      </w:r>
      <w:r w:rsidRPr="00C100D0">
        <w:t xml:space="preserve">) (open); (b) symmetrically independent molecule 1 (open), 2 (closed) and 3 (closed) for the structure </w:t>
      </w:r>
      <w:r w:rsidRPr="00C100D0">
        <w:rPr>
          <w:b/>
        </w:rPr>
        <w:t>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(3:1)</w:t>
      </w:r>
      <w:r w:rsidRPr="00C100D0">
        <w:t xml:space="preserve">; (c) </w:t>
      </w:r>
      <w:r w:rsidRPr="00C100D0">
        <w:rPr>
          <w:b/>
        </w:rPr>
        <w:t>L</w:t>
      </w:r>
      <w:r w:rsidRPr="00C100D0">
        <w:rPr>
          <w:b/>
          <w:vertAlign w:val="superscript"/>
        </w:rPr>
        <w:t>3</w:t>
      </w:r>
      <w:r w:rsidRPr="00C100D0">
        <w:rPr>
          <w:b/>
        </w:rPr>
        <w:t>-AcO</w:t>
      </w:r>
      <w:r w:rsidRPr="00C100D0">
        <w:rPr>
          <w:b/>
          <w:vertAlign w:val="superscript"/>
        </w:rPr>
        <w:t>-</w:t>
      </w:r>
      <w:r w:rsidRPr="00C100D0">
        <w:rPr>
          <w:b/>
        </w:rPr>
        <w:t>(1:2)</w:t>
      </w:r>
      <w:r w:rsidRPr="00C100D0">
        <w:t xml:space="preserve"> (open); (d) symmetrically independent molecule 1 (open) and 2 (open) for the structure </w:t>
      </w:r>
      <w:r w:rsidRPr="00C100D0">
        <w:rPr>
          <w:b/>
        </w:rPr>
        <w:t>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(2:1)</w:t>
      </w:r>
      <w:r w:rsidRPr="00C100D0">
        <w:t xml:space="preserve">; (e) symmetrically independent molecule 1 (open) and 2 (open) for the structure </w:t>
      </w:r>
      <w:r w:rsidRPr="00C100D0">
        <w:rPr>
          <w:b/>
        </w:rPr>
        <w:t>L</w:t>
      </w:r>
      <w:r w:rsidRPr="00C100D0">
        <w:rPr>
          <w:b/>
          <w:vertAlign w:val="superscript"/>
        </w:rPr>
        <w:t>4</w:t>
      </w:r>
      <w:r w:rsidRPr="00C100D0">
        <w:rPr>
          <w:b/>
        </w:rPr>
        <w:t>-HPO</w:t>
      </w:r>
      <w:r w:rsidRPr="00C100D0">
        <w:rPr>
          <w:b/>
          <w:vertAlign w:val="subscript"/>
        </w:rPr>
        <w:t>4</w:t>
      </w:r>
      <w:r w:rsidRPr="00C100D0">
        <w:rPr>
          <w:b/>
          <w:vertAlign w:val="superscript"/>
        </w:rPr>
        <w:t>2-</w:t>
      </w:r>
      <w:r w:rsidRPr="00C100D0">
        <w:rPr>
          <w:b/>
        </w:rPr>
        <w:t>(2:1)</w:t>
      </w:r>
      <w:r w:rsidRPr="00C100D0">
        <w:t>. The conformations are represented along two perpendicular directions (left and right). The orientation of the molecules is chosen to best show the open and closed conformations.</w:t>
      </w:r>
    </w:p>
    <w:p w14:paraId="4CEF57E7" w14:textId="77777777" w:rsidR="00A035EA" w:rsidRPr="00C100D0" w:rsidRDefault="00FB4A6B" w:rsidP="003D4BF9">
      <w:pPr>
        <w:pStyle w:val="08ArticleText"/>
        <w:rPr>
          <w:vertAlign w:val="superscript"/>
        </w:rPr>
      </w:pPr>
      <w:r w:rsidRPr="00C100D0">
        <w:t>receptors (</w:t>
      </w:r>
      <w:r w:rsidRPr="00C100D0">
        <w:rPr>
          <w:b/>
        </w:rPr>
        <w:t>L</w:t>
      </w:r>
      <w:r w:rsidRPr="00C100D0">
        <w:rPr>
          <w:b/>
          <w:vertAlign w:val="superscript"/>
        </w:rPr>
        <w:t>3</w:t>
      </w:r>
      <w:r w:rsidRPr="00C100D0">
        <w:rPr>
          <w:b/>
        </w:rPr>
        <w:t>-DMSO</w:t>
      </w:r>
      <w:r w:rsidRPr="00C100D0">
        <w:t xml:space="preserve">, </w:t>
      </w:r>
      <w:r w:rsidRPr="00C100D0">
        <w:rPr>
          <w:b/>
        </w:rPr>
        <w:t>L</w:t>
      </w:r>
      <w:r w:rsidRPr="00C100D0">
        <w:rPr>
          <w:b/>
          <w:vertAlign w:val="superscript"/>
        </w:rPr>
        <w:t>4</w:t>
      </w:r>
      <w:r w:rsidRPr="00C100D0">
        <w:rPr>
          <w:b/>
        </w:rPr>
        <w:t>-A</w:t>
      </w:r>
      <w:r w:rsidRPr="00C100D0">
        <w:t xml:space="preserve"> and </w:t>
      </w:r>
      <w:r w:rsidRPr="00C100D0">
        <w:rPr>
          <w:b/>
        </w:rPr>
        <w:t>L</w:t>
      </w:r>
      <w:r w:rsidRPr="00C100D0">
        <w:rPr>
          <w:b/>
          <w:vertAlign w:val="superscript"/>
        </w:rPr>
        <w:t>4</w:t>
      </w:r>
      <w:r w:rsidRPr="00C100D0">
        <w:rPr>
          <w:b/>
        </w:rPr>
        <w:t>-MeOH</w:t>
      </w:r>
      <w:r w:rsidRPr="00C100D0">
        <w:t xml:space="preserve">), we can outline two basic behaviours, open and closed, simply by considering the reciprocal orientation of the ureidic NH groups. It is interesting to note that the majority of the structures adopt the open conformation (see Figures 3 a, b1, c, d, e), with the urea NHs externally exposed  and available for interactions with the anions, favouring host–guest </w:t>
      </w:r>
      <w:r w:rsidRPr="00C100D0">
        <w:lastRenderedPageBreak/>
        <w:t>stoichiometry higher than 1:1.</w:t>
      </w:r>
      <w:r w:rsidR="00600FCE" w:rsidRPr="00C100D0">
        <w:t xml:space="preserve"> </w:t>
      </w:r>
      <w:r w:rsidR="00A035EA" w:rsidRPr="00C100D0">
        <w:t xml:space="preserve">This is in contrast with the behaviours observed in solution where stoichiometries 1:1 were obtained. However </w:t>
      </w:r>
      <w:r w:rsidR="00A44274" w:rsidRPr="00C100D0">
        <w:t>this result is not surprising considering that the</w:t>
      </w:r>
      <w:r w:rsidR="00A035EA" w:rsidRPr="00C100D0">
        <w:t xml:space="preserve"> stability of the stoichiometry adopted by a binary complex might depends on several factors such as the concentration and the solvent used.</w:t>
      </w:r>
      <w:r w:rsidR="00A44274" w:rsidRPr="00C100D0">
        <w:rPr>
          <w:vertAlign w:val="superscript"/>
        </w:rPr>
        <w:t>12</w:t>
      </w:r>
    </w:p>
    <w:p w14:paraId="150C0C8A" w14:textId="77777777" w:rsidR="00FB4A6B" w:rsidRPr="00C100D0" w:rsidRDefault="00FB4A6B" w:rsidP="003D4BF9">
      <w:pPr>
        <w:pStyle w:val="08ArticleText"/>
      </w:pPr>
      <w:r w:rsidRPr="00C100D0">
        <w:t xml:space="preserve">In this regard, </w:t>
      </w:r>
      <w:r w:rsidR="00600FCE" w:rsidRPr="00C100D0">
        <w:t xml:space="preserve">also </w:t>
      </w:r>
      <w:r w:rsidRPr="00C100D0">
        <w:t xml:space="preserve">the molecular features of the anionic guest involved, might play a role. The combination of different parameters, such as the number of hydrogen bond acceptors and the resulting shape of the anionic species together with the directionality of the intermolecular interactions involved might favour one specific stoichiometry rather than another. For example, in the case of carboxylate anions, the urea NHs can efficiently interact with the two acceptor oxygens </w:t>
      </w:r>
      <w:r w:rsidRPr="00C100D0">
        <w:rPr>
          <w:i/>
        </w:rPr>
        <w:t>via</w:t>
      </w:r>
      <w:r w:rsidRPr="00C100D0">
        <w:t xml:space="preserve"> N-H···O hydrogen bond interactions with N-H···O angles at approximately 180 degrees. This would favour 1:1 urea-carboxylate ratios. In the case of the other anionic species reported here (</w:t>
      </w:r>
      <w:r w:rsidRPr="00C100D0">
        <w:rPr>
          <w:b/>
        </w:rPr>
        <w:t>SO</w:t>
      </w:r>
      <w:r w:rsidRPr="00C100D0">
        <w:rPr>
          <w:b/>
          <w:vertAlign w:val="subscript"/>
        </w:rPr>
        <w:t>4</w:t>
      </w:r>
      <w:r w:rsidRPr="00C100D0">
        <w:rPr>
          <w:b/>
          <w:vertAlign w:val="superscript"/>
        </w:rPr>
        <w:t>2-</w:t>
      </w:r>
      <w:r w:rsidRPr="00C100D0">
        <w:t>,</w:t>
      </w:r>
      <w:r w:rsidRPr="00C100D0">
        <w:rPr>
          <w:b/>
        </w:rPr>
        <w:t xml:space="preserve"> CO</w:t>
      </w:r>
      <w:r w:rsidRPr="00C100D0">
        <w:rPr>
          <w:b/>
          <w:vertAlign w:val="subscript"/>
        </w:rPr>
        <w:t>3</w:t>
      </w:r>
      <w:r w:rsidRPr="00C100D0">
        <w:rPr>
          <w:b/>
          <w:vertAlign w:val="superscript"/>
        </w:rPr>
        <w:t>2-</w:t>
      </w:r>
      <w:r w:rsidRPr="00C100D0">
        <w:t xml:space="preserve">, </w:t>
      </w:r>
      <w:r w:rsidRPr="00C100D0">
        <w:rPr>
          <w:b/>
        </w:rPr>
        <w:t>HPO</w:t>
      </w:r>
      <w:r w:rsidRPr="00C100D0">
        <w:rPr>
          <w:b/>
          <w:vertAlign w:val="subscript"/>
        </w:rPr>
        <w:t>4</w:t>
      </w:r>
      <w:r w:rsidRPr="00C100D0">
        <w:rPr>
          <w:b/>
          <w:vertAlign w:val="superscript"/>
        </w:rPr>
        <w:t>2-</w:t>
      </w:r>
      <w:r w:rsidRPr="00C100D0">
        <w:t>), the increased number of the hydrogen bond acceptor oxygens, together with the directionality of the interactions, can promote interactions with more than one receptor unit, enabling higher stoichiometries (2:1 and /or 3:1). Starting from these considerations we decided</w:t>
      </w:r>
      <w:r w:rsidRPr="00C100D0">
        <w:rPr>
          <w:rFonts w:ascii="Calibri" w:hAnsi="Calibri"/>
          <w:b/>
        </w:rPr>
        <w:t xml:space="preserve"> </w:t>
      </w:r>
      <w:r w:rsidRPr="00C100D0">
        <w:t>to discuss the structures separately, depending on the stoichiometry observed (1:2, 2:1 and 3:1).</w:t>
      </w:r>
    </w:p>
    <w:p w14:paraId="0A49D8E3" w14:textId="77777777" w:rsidR="00FB4A6B" w:rsidRPr="00C100D0" w:rsidRDefault="00FB4A6B" w:rsidP="00142028">
      <w:pPr>
        <w:pStyle w:val="05BHeading"/>
        <w:rPr>
          <w:sz w:val="18"/>
          <w:szCs w:val="18"/>
        </w:rPr>
      </w:pPr>
      <w:r w:rsidRPr="00C100D0">
        <w:rPr>
          <w:sz w:val="18"/>
          <w:szCs w:val="18"/>
        </w:rPr>
        <w:t>1:2 ratio</w:t>
      </w:r>
    </w:p>
    <w:p w14:paraId="4E122C45" w14:textId="77777777" w:rsidR="00FB4A6B" w:rsidRPr="00C100D0" w:rsidRDefault="00FB4A6B" w:rsidP="00A32E32">
      <w:pPr>
        <w:pStyle w:val="08ArticleText"/>
      </w:pPr>
      <w:r w:rsidRPr="00C100D0">
        <w:t xml:space="preserve">According to the considerations reported above, the two acetates </w:t>
      </w:r>
      <w:r w:rsidRPr="00C100D0">
        <w:rPr>
          <w:b/>
        </w:rPr>
        <w:t>L</w:t>
      </w:r>
      <w:r w:rsidRPr="00C100D0">
        <w:rPr>
          <w:b/>
          <w:vertAlign w:val="superscript"/>
        </w:rPr>
        <w:t>1</w:t>
      </w:r>
      <w:r w:rsidRPr="00C100D0">
        <w:rPr>
          <w:b/>
        </w:rPr>
        <w:t>-AcO</w:t>
      </w:r>
      <w:r w:rsidRPr="00C100D0">
        <w:rPr>
          <w:b/>
          <w:vertAlign w:val="superscript"/>
        </w:rPr>
        <w:t>-</w:t>
      </w:r>
      <w:r w:rsidRPr="00C100D0">
        <w:rPr>
          <w:b/>
        </w:rPr>
        <w:t xml:space="preserve">(1:2) </w:t>
      </w:r>
      <w:r w:rsidRPr="00C100D0">
        <w:t xml:space="preserve">and </w:t>
      </w:r>
      <w:r w:rsidRPr="00C100D0">
        <w:rPr>
          <w:b/>
        </w:rPr>
        <w:t>L</w:t>
      </w:r>
      <w:r w:rsidRPr="00C100D0">
        <w:rPr>
          <w:b/>
          <w:vertAlign w:val="superscript"/>
        </w:rPr>
        <w:t>3</w:t>
      </w:r>
      <w:r w:rsidRPr="00C100D0">
        <w:rPr>
          <w:b/>
        </w:rPr>
        <w:t>-AcO</w:t>
      </w:r>
      <w:r w:rsidRPr="00C100D0">
        <w:rPr>
          <w:b/>
          <w:vertAlign w:val="superscript"/>
        </w:rPr>
        <w:t>-</w:t>
      </w:r>
      <w:r w:rsidRPr="00C100D0">
        <w:rPr>
          <w:b/>
        </w:rPr>
        <w:t>(1:2)</w:t>
      </w:r>
      <w:r w:rsidRPr="00C100D0">
        <w:t xml:space="preserve"> adopt a urea/carboxylate 1:1 ratio, resulting in a overall 1:2 stoichiometry. </w:t>
      </w:r>
    </w:p>
    <w:p w14:paraId="2A392890" w14:textId="77777777" w:rsidR="00FB4A6B" w:rsidRPr="00C100D0" w:rsidRDefault="00FB4A6B" w:rsidP="00A32E32">
      <w:pPr>
        <w:pStyle w:val="08ArticleText"/>
      </w:pPr>
      <w:r w:rsidRPr="00C100D0">
        <w:tab/>
        <w:t xml:space="preserve">Single crystals of </w:t>
      </w:r>
      <w:r w:rsidRPr="00C100D0">
        <w:rPr>
          <w:b/>
        </w:rPr>
        <w:t>L</w:t>
      </w:r>
      <w:r w:rsidRPr="00C100D0">
        <w:rPr>
          <w:b/>
          <w:vertAlign w:val="superscript"/>
        </w:rPr>
        <w:t>1</w:t>
      </w:r>
      <w:r w:rsidRPr="00C100D0">
        <w:rPr>
          <w:b/>
        </w:rPr>
        <w:t>-AcO</w:t>
      </w:r>
      <w:r w:rsidRPr="00C100D0">
        <w:rPr>
          <w:b/>
          <w:vertAlign w:val="superscript"/>
        </w:rPr>
        <w:t>-</w:t>
      </w:r>
      <w:r w:rsidRPr="00C100D0">
        <w:rPr>
          <w:b/>
        </w:rPr>
        <w:t xml:space="preserve">(1:2) </w:t>
      </w:r>
      <w:r w:rsidRPr="00C100D0">
        <w:t xml:space="preserve">were obtained by slow evaporation from a solution of the receptor </w:t>
      </w:r>
      <w:r w:rsidRPr="00C100D0">
        <w:rPr>
          <w:b/>
        </w:rPr>
        <w:t>L</w:t>
      </w:r>
      <w:r w:rsidRPr="00C100D0">
        <w:rPr>
          <w:b/>
          <w:vertAlign w:val="superscript"/>
        </w:rPr>
        <w:t>1</w:t>
      </w:r>
      <w:r w:rsidRPr="00C100D0">
        <w:t xml:space="preserve"> in THF/DMF 9:1 and in presence of an excess of TBA</w:t>
      </w:r>
      <w:r w:rsidRPr="00C100D0">
        <w:rPr>
          <w:vertAlign w:val="superscript"/>
        </w:rPr>
        <w:t>+</w:t>
      </w:r>
      <w:r w:rsidRPr="00C100D0">
        <w:t>AcO</w:t>
      </w:r>
      <w:r w:rsidRPr="00C100D0">
        <w:rPr>
          <w:vertAlign w:val="superscript"/>
        </w:rPr>
        <w:t>-</w:t>
      </w:r>
      <w:r w:rsidRPr="00C100D0">
        <w:t>.</w:t>
      </w:r>
    </w:p>
    <w:p w14:paraId="6DD5D974" w14:textId="77777777" w:rsidR="00FB4A6B" w:rsidRPr="00C100D0" w:rsidRDefault="00A53616" w:rsidP="00CD117D">
      <w:pPr>
        <w:pStyle w:val="G1aFigureImage"/>
      </w:pPr>
      <w:r w:rsidRPr="00C100D0">
        <w:rPr>
          <w:noProof/>
          <w:lang w:val="en-US" w:eastAsia="en-US"/>
        </w:rPr>
        <w:drawing>
          <wp:inline distT="0" distB="0" distL="0" distR="0" wp14:anchorId="1FA12F58" wp14:editId="05A21911">
            <wp:extent cx="2987040" cy="2115312"/>
            <wp:effectExtent l="19050" t="0" r="3810" b="0"/>
            <wp:docPr id="20" name="Picture 19"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20"/>
                    <a:stretch>
                      <a:fillRect/>
                    </a:stretch>
                  </pic:blipFill>
                  <pic:spPr>
                    <a:xfrm>
                      <a:off x="0" y="0"/>
                      <a:ext cx="2987040" cy="2115312"/>
                    </a:xfrm>
                    <a:prstGeom prst="rect">
                      <a:avLst/>
                    </a:prstGeom>
                  </pic:spPr>
                </pic:pic>
              </a:graphicData>
            </a:graphic>
          </wp:inline>
        </w:drawing>
      </w:r>
    </w:p>
    <w:p w14:paraId="4004195F" w14:textId="77777777" w:rsidR="00FB4A6B" w:rsidRPr="00C100D0" w:rsidRDefault="00FB4A6B" w:rsidP="00A035EA">
      <w:pPr>
        <w:pStyle w:val="G1bFigureCaption"/>
        <w:jc w:val="both"/>
      </w:pPr>
      <w:r w:rsidRPr="00C100D0">
        <w:rPr>
          <w:b/>
        </w:rPr>
        <w:t>Figure 4.</w:t>
      </w:r>
      <w:r w:rsidRPr="00C100D0">
        <w:t xml:space="preserve"> Main receptor-anion interactions in structure </w:t>
      </w:r>
      <w:r w:rsidRPr="00C100D0">
        <w:rPr>
          <w:b/>
        </w:rPr>
        <w:t>L</w:t>
      </w:r>
      <w:r w:rsidRPr="00C100D0">
        <w:rPr>
          <w:b/>
          <w:vertAlign w:val="superscript"/>
        </w:rPr>
        <w:t>1</w:t>
      </w:r>
      <w:r w:rsidRPr="00C100D0">
        <w:rPr>
          <w:b/>
        </w:rPr>
        <w:t>-AcO</w:t>
      </w:r>
      <w:r w:rsidRPr="00C100D0">
        <w:rPr>
          <w:b/>
          <w:vertAlign w:val="superscript"/>
        </w:rPr>
        <w:t>-</w:t>
      </w:r>
      <w:r w:rsidRPr="00C100D0">
        <w:rPr>
          <w:b/>
        </w:rPr>
        <w:t>(1:2).</w:t>
      </w:r>
      <w:r w:rsidRPr="00C100D0">
        <w:t xml:space="preserve"> a) Monomeric arrangement; b) centrosymmetric dimeric arrangement. Intermolecular interactions are represented as black dashed lines. Intermolecular interactions between two monomeric units are indicated as red dashed lines, centre of inversions are also represented as black circles. </w:t>
      </w:r>
    </w:p>
    <w:p w14:paraId="784E3071" w14:textId="77777777" w:rsidR="00FB4A6B" w:rsidRPr="00C100D0" w:rsidRDefault="00FB4A6B" w:rsidP="00A32E32">
      <w:pPr>
        <w:pStyle w:val="08ArticleText"/>
      </w:pPr>
    </w:p>
    <w:p w14:paraId="6AA56492" w14:textId="77777777" w:rsidR="00FB4A6B" w:rsidRPr="00C100D0" w:rsidRDefault="00FB4A6B" w:rsidP="007F2758">
      <w:pPr>
        <w:pStyle w:val="08ArticleText"/>
        <w:sectPr w:rsidR="00FB4A6B" w:rsidRPr="00C100D0"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66102940" w14:textId="77777777" w:rsidR="00FB4A6B" w:rsidRPr="00C100D0" w:rsidRDefault="000B0D7B" w:rsidP="00C91F63">
      <w:pPr>
        <w:pStyle w:val="G1aFigureImage"/>
      </w:pPr>
      <w:r w:rsidRPr="00C100D0">
        <w:rPr>
          <w:noProof/>
          <w:lang w:val="en-US" w:eastAsia="en-US"/>
        </w:rPr>
        <w:lastRenderedPageBreak/>
        <w:drawing>
          <wp:inline distT="0" distB="0" distL="0" distR="0" wp14:anchorId="36A84957" wp14:editId="71124FDE">
            <wp:extent cx="3960000" cy="4512587"/>
            <wp:effectExtent l="19050" t="0" r="2400" b="0"/>
            <wp:docPr id="5" name="Picture 4" descr="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21"/>
                    <a:stretch>
                      <a:fillRect/>
                    </a:stretch>
                  </pic:blipFill>
                  <pic:spPr>
                    <a:xfrm>
                      <a:off x="0" y="0"/>
                      <a:ext cx="3960000" cy="4512587"/>
                    </a:xfrm>
                    <a:prstGeom prst="rect">
                      <a:avLst/>
                    </a:prstGeom>
                  </pic:spPr>
                </pic:pic>
              </a:graphicData>
            </a:graphic>
          </wp:inline>
        </w:drawing>
      </w:r>
    </w:p>
    <w:p w14:paraId="150B71E4" w14:textId="77777777" w:rsidR="00FB4A6B" w:rsidRPr="00C100D0" w:rsidRDefault="00FB4A6B" w:rsidP="00C91F63">
      <w:pPr>
        <w:pStyle w:val="G1bFigureCaption"/>
        <w:jc w:val="both"/>
      </w:pPr>
      <w:r w:rsidRPr="00C100D0">
        <w:rPr>
          <w:b/>
        </w:rPr>
        <w:t xml:space="preserve">Figure 5 </w:t>
      </w:r>
      <w:r w:rsidRPr="00C100D0">
        <w:t>Water-acetate infinite helices and their role in driving molecular arrangements viewed along the [</w:t>
      </w:r>
      <w:r w:rsidR="006156EF" w:rsidRPr="00C100D0">
        <w:t>010</w:t>
      </w:r>
      <w:r w:rsidRPr="00C100D0">
        <w:t>] direction (a) and along the [</w:t>
      </w:r>
      <w:r w:rsidR="006156EF" w:rsidRPr="00C100D0">
        <w:t>101</w:t>
      </w:r>
      <w:r w:rsidRPr="00C100D0">
        <w:t>] direction (b). Intermolecular interactions are colour coded depending on their role: black dashed lines are used for interactions involved in the formation of the helices, blue dashed lines for helices-receptors interactions, red dashed lines for receptor-receptor interactions.</w:t>
      </w:r>
    </w:p>
    <w:p w14:paraId="731CF20B" w14:textId="77777777" w:rsidR="00FB4A6B" w:rsidRPr="00C100D0" w:rsidRDefault="00FB4A6B" w:rsidP="007F2758">
      <w:pPr>
        <w:pStyle w:val="08ArticleText"/>
        <w:sectPr w:rsidR="00FB4A6B" w:rsidRPr="00C100D0" w:rsidSect="00C91F63">
          <w:endnotePr>
            <w:numFmt w:val="decimal"/>
          </w:endnotePr>
          <w:type w:val="continuous"/>
          <w:pgSz w:w="11907" w:h="15593" w:code="119"/>
          <w:pgMar w:top="1021" w:right="907" w:bottom="1021" w:left="1077" w:header="227" w:footer="624" w:gutter="0"/>
          <w:lnNumType w:countBy="5" w:distance="57"/>
          <w:cols w:space="397"/>
          <w:titlePg/>
          <w:docGrid w:linePitch="360"/>
        </w:sectPr>
      </w:pPr>
    </w:p>
    <w:p w14:paraId="387E955F" w14:textId="77777777" w:rsidR="00FB4A6B" w:rsidRPr="00C100D0" w:rsidRDefault="00A035EA" w:rsidP="005630D4">
      <w:pPr>
        <w:pStyle w:val="08ArticleText"/>
      </w:pPr>
      <w:r w:rsidRPr="00C100D0">
        <w:lastRenderedPageBreak/>
        <w:t xml:space="preserve">The complex crystallizes in the monoclinic crystal system (space group </w:t>
      </w:r>
      <w:r w:rsidR="000E4732" w:rsidRPr="00C100D0">
        <w:rPr>
          <w:i/>
          <w:lang w:val="en-US"/>
        </w:rPr>
        <w:t>I2/a</w:t>
      </w:r>
      <w:r w:rsidRPr="00C100D0">
        <w:t>;). The asymmetric unit of</w:t>
      </w:r>
      <w:r w:rsidRPr="00C100D0">
        <w:rPr>
          <w:b/>
        </w:rPr>
        <w:t xml:space="preserve"> L</w:t>
      </w:r>
      <w:r w:rsidRPr="00C100D0">
        <w:rPr>
          <w:b/>
          <w:vertAlign w:val="superscript"/>
        </w:rPr>
        <w:t>1</w:t>
      </w:r>
      <w:r w:rsidRPr="00C100D0">
        <w:rPr>
          <w:b/>
        </w:rPr>
        <w:t>-AcO</w:t>
      </w:r>
      <w:r w:rsidRPr="00C100D0">
        <w:rPr>
          <w:b/>
          <w:vertAlign w:val="superscript"/>
        </w:rPr>
        <w:t>-</w:t>
      </w:r>
      <w:r w:rsidRPr="00C100D0">
        <w:rPr>
          <w:b/>
        </w:rPr>
        <w:t>(1:2)</w:t>
      </w:r>
      <w:r w:rsidRPr="00C100D0">
        <w:t xml:space="preserve"> contains one receptor unit (</w:t>
      </w:r>
      <w:r w:rsidRPr="00C100D0">
        <w:rPr>
          <w:b/>
        </w:rPr>
        <w:t>L</w:t>
      </w:r>
      <w:r w:rsidRPr="00C100D0">
        <w:rPr>
          <w:b/>
          <w:vertAlign w:val="superscript"/>
        </w:rPr>
        <w:t>1</w:t>
      </w:r>
      <w:r w:rsidRPr="00C100D0">
        <w:t>), two TBA</w:t>
      </w:r>
      <w:r w:rsidRPr="00C100D0">
        <w:rPr>
          <w:vertAlign w:val="superscript"/>
        </w:rPr>
        <w:t>+</w:t>
      </w:r>
      <w:r w:rsidRPr="00C100D0">
        <w:t>AcO</w:t>
      </w:r>
      <w:r w:rsidRPr="00C100D0">
        <w:rPr>
          <w:vertAlign w:val="superscript"/>
        </w:rPr>
        <w:t>-</w:t>
      </w:r>
      <w:r w:rsidRPr="00C100D0">
        <w:t xml:space="preserve"> and three H</w:t>
      </w:r>
      <w:r w:rsidRPr="00C100D0">
        <w:rPr>
          <w:vertAlign w:val="subscript"/>
        </w:rPr>
        <w:t>2</w:t>
      </w:r>
      <w:r w:rsidRPr="00C100D0">
        <w:t xml:space="preserve">O molecules. The acetate anions are connected to the receptor unit </w:t>
      </w:r>
      <w:r w:rsidRPr="00C100D0">
        <w:rPr>
          <w:i/>
        </w:rPr>
        <w:t>via</w:t>
      </w:r>
      <w:r w:rsidRPr="00C100D0">
        <w:t xml:space="preserve"> N-H···O interactions involving the carboxylate oxygens and the urea NHs (see Table S3 in ESI). Interestingly only one of the two urea sites show the typical</w:t>
      </w:r>
      <w:r w:rsidR="000E4732" w:rsidRPr="00C100D0">
        <w:t xml:space="preserve"> </w:t>
      </w:r>
      <w:r w:rsidR="00FB4A6B" w:rsidRPr="00C100D0">
        <w:t>carboxylate-urea geometry, with the urea-carboxylate groups lying in the same plane (Figure 4 a) a</w:t>
      </w:r>
      <w:bookmarkStart w:id="0" w:name="_GoBack"/>
      <w:bookmarkEnd w:id="0"/>
      <w:r w:rsidR="00FB4A6B" w:rsidRPr="00C100D0">
        <w:t xml:space="preserve">nd connected </w:t>
      </w:r>
      <w:r w:rsidR="00FB4A6B" w:rsidRPr="00C100D0">
        <w:rPr>
          <w:i/>
        </w:rPr>
        <w:t>via</w:t>
      </w:r>
      <w:r w:rsidR="00FB4A6B" w:rsidRPr="00C100D0">
        <w:t xml:space="preserve"> two N-H···O hydrogen bonds (N-H···O distances </w:t>
      </w:r>
      <w:r w:rsidR="000E4732" w:rsidRPr="00C100D0">
        <w:t xml:space="preserve">are for both interactions </w:t>
      </w:r>
      <w:r w:rsidR="00FB4A6B" w:rsidRPr="00C100D0">
        <w:t xml:space="preserve">1.94 Å). In the other binding site the second acetate only interacts </w:t>
      </w:r>
      <w:r w:rsidR="00FB4A6B" w:rsidRPr="00C100D0">
        <w:rPr>
          <w:i/>
        </w:rPr>
        <w:t>via</w:t>
      </w:r>
      <w:r w:rsidR="00FB4A6B" w:rsidRPr="00C100D0">
        <w:t xml:space="preserve"> one N-H···O interaction (N-H···O distance is 1.9</w:t>
      </w:r>
      <w:r w:rsidR="000E4732" w:rsidRPr="00C100D0">
        <w:t>5</w:t>
      </w:r>
      <w:r w:rsidR="00FB4A6B" w:rsidRPr="00C100D0">
        <w:t xml:space="preserve"> Å) and the typical geometry is distorted by the presence of one water molecule (Figure 4a) which replaces one of the urea-carboxylate N-H···O interactions with a N-H···O-H···O bridge (N-H···O</w:t>
      </w:r>
      <w:r w:rsidR="00FB4A6B" w:rsidRPr="00C100D0">
        <w:rPr>
          <w:vertAlign w:val="subscript"/>
        </w:rPr>
        <w:t>w</w:t>
      </w:r>
      <w:r w:rsidR="00FB4A6B" w:rsidRPr="00C100D0">
        <w:t xml:space="preserve"> and O-H</w:t>
      </w:r>
      <w:r w:rsidR="00FB4A6B" w:rsidRPr="00C100D0">
        <w:rPr>
          <w:vertAlign w:val="subscript"/>
        </w:rPr>
        <w:t>w</w:t>
      </w:r>
      <w:r w:rsidR="00FB4A6B" w:rsidRPr="00C100D0">
        <w:t xml:space="preserve">···O distances are 2.13 Å and 1.91 Å respectively). This is not uncommon, </w:t>
      </w:r>
      <w:r w:rsidR="00FB4A6B" w:rsidRPr="00C100D0">
        <w:rPr>
          <w:vertAlign w:val="superscript"/>
        </w:rPr>
        <w:t>1</w:t>
      </w:r>
      <w:r w:rsidR="000E4732" w:rsidRPr="00C100D0">
        <w:rPr>
          <w:vertAlign w:val="superscript"/>
        </w:rPr>
        <w:t>3</w:t>
      </w:r>
      <w:r w:rsidR="00FB4A6B" w:rsidRPr="00C100D0">
        <w:rPr>
          <w:vertAlign w:val="superscript"/>
        </w:rPr>
        <w:t>, 1</w:t>
      </w:r>
      <w:r w:rsidR="000E4732" w:rsidRPr="00C100D0">
        <w:rPr>
          <w:vertAlign w:val="superscript"/>
        </w:rPr>
        <w:t>4</w:t>
      </w:r>
      <w:r w:rsidR="00FB4A6B" w:rsidRPr="00C100D0">
        <w:rPr>
          <w:vertAlign w:val="superscript"/>
        </w:rPr>
        <w:t xml:space="preserve"> </w:t>
      </w:r>
      <w:r w:rsidR="00FB4A6B" w:rsidRPr="00C100D0">
        <w:t xml:space="preserve">and often hydrates and, generally, solvates might influence the expected geometry for a </w:t>
      </w:r>
      <w:r w:rsidR="00FB4A6B" w:rsidRPr="00C100D0">
        <w:lastRenderedPageBreak/>
        <w:t xml:space="preserve">given pair of interacting functional groups. </w:t>
      </w:r>
    </w:p>
    <w:p w14:paraId="6B351D46" w14:textId="77777777" w:rsidR="00FB4A6B" w:rsidRPr="00C100D0" w:rsidRDefault="00FB4A6B" w:rsidP="005630D4">
      <w:pPr>
        <w:pStyle w:val="08ArticleText"/>
      </w:pPr>
      <w:r w:rsidRPr="00C100D0">
        <w:tab/>
        <w:t>The same water molecule is also involved in O-H···O hydrogen bond (O-H</w:t>
      </w:r>
      <w:r w:rsidRPr="00C100D0">
        <w:rPr>
          <w:vertAlign w:val="subscript"/>
        </w:rPr>
        <w:t>w</w:t>
      </w:r>
      <w:r w:rsidRPr="00C100D0">
        <w:t>···O distances is 2.1</w:t>
      </w:r>
      <w:r w:rsidR="000E4732" w:rsidRPr="00C100D0">
        <w:t>6</w:t>
      </w:r>
      <w:r w:rsidRPr="00C100D0">
        <w:t xml:space="preserve"> Å) with the urea C=O of an adjacent molecule forming a centrosymmetric dimer (red dashed line in Figure 4 b). The remaining two water molecules are involved in the formation of an AcO</w:t>
      </w:r>
      <w:r w:rsidRPr="00C100D0">
        <w:rPr>
          <w:vertAlign w:val="superscript"/>
        </w:rPr>
        <w:t>-</w:t>
      </w:r>
      <w:r w:rsidRPr="00C100D0">
        <w:t>···H</w:t>
      </w:r>
      <w:r w:rsidRPr="00C100D0">
        <w:rPr>
          <w:vertAlign w:val="subscript"/>
        </w:rPr>
        <w:t>2</w:t>
      </w:r>
      <w:r w:rsidRPr="00C100D0">
        <w:t>O···H</w:t>
      </w:r>
      <w:r w:rsidRPr="00C100D0">
        <w:rPr>
          <w:vertAlign w:val="subscript"/>
        </w:rPr>
        <w:t>2</w:t>
      </w:r>
      <w:r w:rsidRPr="00C100D0">
        <w:t>O···AcO</w:t>
      </w:r>
      <w:r w:rsidRPr="00C100D0">
        <w:rPr>
          <w:vertAlign w:val="superscript"/>
        </w:rPr>
        <w:t>-</w:t>
      </w:r>
      <w:r w:rsidRPr="00C100D0">
        <w:t xml:space="preserve"> infinite helices (O-H</w:t>
      </w:r>
      <w:r w:rsidRPr="00C100D0">
        <w:rPr>
          <w:vertAlign w:val="subscript"/>
        </w:rPr>
        <w:t>w</w:t>
      </w:r>
      <w:r w:rsidRPr="00C100D0">
        <w:t>···O</w:t>
      </w:r>
      <w:r w:rsidRPr="00C100D0">
        <w:rPr>
          <w:vertAlign w:val="subscript"/>
        </w:rPr>
        <w:t>AcO</w:t>
      </w:r>
      <w:r w:rsidRPr="00C100D0">
        <w:t xml:space="preserve"> distances are 1.92 Å and 1.9</w:t>
      </w:r>
      <w:r w:rsidR="000E4732" w:rsidRPr="00C100D0">
        <w:t>4</w:t>
      </w:r>
      <w:r w:rsidRPr="00C100D0">
        <w:t xml:space="preserve"> Årespectively, O-H</w:t>
      </w:r>
      <w:r w:rsidRPr="00C100D0">
        <w:rPr>
          <w:vertAlign w:val="subscript"/>
        </w:rPr>
        <w:t>w</w:t>
      </w:r>
      <w:r w:rsidRPr="00C100D0">
        <w:t>···O</w:t>
      </w:r>
      <w:r w:rsidRPr="00C100D0">
        <w:rPr>
          <w:vertAlign w:val="subscript"/>
        </w:rPr>
        <w:t xml:space="preserve">w </w:t>
      </w:r>
      <w:r w:rsidRPr="00C100D0">
        <w:t>distance is</w:t>
      </w:r>
      <w:r w:rsidRPr="00C100D0">
        <w:rPr>
          <w:vertAlign w:val="subscript"/>
        </w:rPr>
        <w:t xml:space="preserve"> </w:t>
      </w:r>
      <w:r w:rsidRPr="00C100D0">
        <w:t>1.99 Å) spiraling around the [010] direction under the effect of the 2</w:t>
      </w:r>
      <w:r w:rsidRPr="00C100D0">
        <w:rPr>
          <w:vertAlign w:val="subscript"/>
        </w:rPr>
        <w:t>1</w:t>
      </w:r>
      <w:r w:rsidRPr="00C100D0">
        <w:t xml:space="preserve"> screw axis (Figures 5 a and b left). </w:t>
      </w:r>
    </w:p>
    <w:p w14:paraId="6FB0F65F" w14:textId="77777777" w:rsidR="00FB4A6B" w:rsidRPr="00C100D0" w:rsidRDefault="00FB4A6B" w:rsidP="00A32E32">
      <w:pPr>
        <w:pStyle w:val="08ArticleText"/>
      </w:pPr>
      <w:r w:rsidRPr="00C100D0">
        <w:tab/>
        <w:t xml:space="preserve">This arrangement bridges adjacent dimers along the helices </w:t>
      </w:r>
      <w:r w:rsidRPr="00C100D0">
        <w:rPr>
          <w:i/>
        </w:rPr>
        <w:t>via</w:t>
      </w:r>
      <w:r w:rsidRPr="00C100D0">
        <w:t xml:space="preserve"> the coplanar urea/carboxylate interaction described above, resulting in a propagation of the centrosymmetric dimers along both, the [</w:t>
      </w:r>
      <w:r w:rsidR="000E4732" w:rsidRPr="00C100D0">
        <w:t>1</w:t>
      </w:r>
      <w:r w:rsidRPr="00C100D0">
        <w:t>0</w:t>
      </w:r>
      <w:r w:rsidR="000E4732" w:rsidRPr="00C100D0">
        <w:t>0</w:t>
      </w:r>
      <w:r w:rsidRPr="00C100D0">
        <w:t>] and the [010] direction (Figures 5 a and b right). The centrosymmetric dimers are then assembled along the remaining direction, [</w:t>
      </w:r>
      <w:r w:rsidR="000E4732" w:rsidRPr="00C100D0">
        <w:t>0</w:t>
      </w:r>
      <w:r w:rsidRPr="00C100D0">
        <w:t>0</w:t>
      </w:r>
      <w:r w:rsidR="000E4732" w:rsidRPr="00C100D0">
        <w:t>1</w:t>
      </w:r>
      <w:r w:rsidRPr="00C100D0">
        <w:t>], by weak C-H···F contacts (C-H···F distance is 2.7</w:t>
      </w:r>
      <w:r w:rsidR="000E4732" w:rsidRPr="00C100D0">
        <w:t>4</w:t>
      </w:r>
      <w:r w:rsidRPr="00C100D0">
        <w:t xml:space="preserve"> Å). The TBA</w:t>
      </w:r>
      <w:r w:rsidRPr="00C100D0">
        <w:rPr>
          <w:vertAlign w:val="superscript"/>
        </w:rPr>
        <w:t xml:space="preserve">+ </w:t>
      </w:r>
      <w:r w:rsidRPr="00C100D0">
        <w:t xml:space="preserve">cations, omitted from Figures 4 and 5 for clarity, do not show any particular role in driving specific molecular arrangements and are connected to receptor </w:t>
      </w:r>
      <w:r w:rsidRPr="00C100D0">
        <w:lastRenderedPageBreak/>
        <w:t xml:space="preserve">molecules </w:t>
      </w:r>
      <w:r w:rsidRPr="00C100D0">
        <w:rPr>
          <w:i/>
        </w:rPr>
        <w:t>via</w:t>
      </w:r>
      <w:r w:rsidRPr="00C100D0">
        <w:t xml:space="preserve"> a set of C-H···O and C-H···F contacts. Details of the 3-D packing are shown in Figure S1d in ESI†.</w:t>
      </w:r>
    </w:p>
    <w:p w14:paraId="72E882BC" w14:textId="77777777" w:rsidR="00FB4A6B" w:rsidRPr="00C100D0" w:rsidRDefault="00FB4A6B" w:rsidP="00A32E32">
      <w:pPr>
        <w:pStyle w:val="08ArticleText"/>
      </w:pPr>
      <w:r w:rsidRPr="00C100D0">
        <w:tab/>
        <w:t xml:space="preserve">Despite the similar molecular structure and the presence of the same anionic guest, the crystal structure of </w:t>
      </w:r>
      <w:r w:rsidRPr="00C100D0">
        <w:rPr>
          <w:b/>
        </w:rPr>
        <w:t>L</w:t>
      </w:r>
      <w:r w:rsidRPr="00C100D0">
        <w:rPr>
          <w:b/>
          <w:vertAlign w:val="superscript"/>
        </w:rPr>
        <w:t>3</w:t>
      </w:r>
      <w:r w:rsidRPr="00C100D0">
        <w:rPr>
          <w:b/>
        </w:rPr>
        <w:t>-AcO</w:t>
      </w:r>
      <w:r w:rsidRPr="00C100D0">
        <w:rPr>
          <w:b/>
          <w:vertAlign w:val="superscript"/>
        </w:rPr>
        <w:t>-</w:t>
      </w:r>
      <w:r w:rsidRPr="00C100D0">
        <w:rPr>
          <w:b/>
        </w:rPr>
        <w:t>(1:2)</w:t>
      </w:r>
      <w:r w:rsidRPr="00C100D0">
        <w:t xml:space="preserve"> shows major departures with respect to the structure discussed </w:t>
      </w:r>
    </w:p>
    <w:p w14:paraId="5CEC599C" w14:textId="77777777" w:rsidR="00FB4A6B" w:rsidRPr="00C100D0" w:rsidRDefault="00756951" w:rsidP="00142028">
      <w:pPr>
        <w:pStyle w:val="G1aFigureImage"/>
      </w:pPr>
      <w:r w:rsidRPr="00C100D0">
        <w:rPr>
          <w:noProof/>
          <w:lang w:val="en-US" w:eastAsia="en-US"/>
        </w:rPr>
        <w:drawing>
          <wp:inline distT="0" distB="0" distL="0" distR="0" wp14:anchorId="668ED981" wp14:editId="113B0C66">
            <wp:extent cx="2844165" cy="1680210"/>
            <wp:effectExtent l="19050" t="0" r="0" b="0"/>
            <wp:docPr id="7" name="Picture 12" descr="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5.tif"/>
                    <pic:cNvPicPr>
                      <a:picLocks noChangeAspect="1" noChangeArrowheads="1"/>
                    </pic:cNvPicPr>
                  </pic:nvPicPr>
                  <pic:blipFill>
                    <a:blip r:embed="rId22"/>
                    <a:srcRect/>
                    <a:stretch>
                      <a:fillRect/>
                    </a:stretch>
                  </pic:blipFill>
                  <pic:spPr bwMode="auto">
                    <a:xfrm>
                      <a:off x="0" y="0"/>
                      <a:ext cx="2844165" cy="1680210"/>
                    </a:xfrm>
                    <a:prstGeom prst="rect">
                      <a:avLst/>
                    </a:prstGeom>
                    <a:noFill/>
                    <a:ln w="9525">
                      <a:noFill/>
                      <a:miter lim="800000"/>
                      <a:headEnd/>
                      <a:tailEnd/>
                    </a:ln>
                  </pic:spPr>
                </pic:pic>
              </a:graphicData>
            </a:graphic>
          </wp:inline>
        </w:drawing>
      </w:r>
    </w:p>
    <w:p w14:paraId="7236A47D" w14:textId="77777777" w:rsidR="00FB4A6B" w:rsidRPr="00C100D0" w:rsidRDefault="00FB4A6B" w:rsidP="00142028">
      <w:pPr>
        <w:pStyle w:val="G1bFigureCaption"/>
        <w:jc w:val="both"/>
      </w:pPr>
      <w:r w:rsidRPr="00C100D0">
        <w:rPr>
          <w:b/>
        </w:rPr>
        <w:t xml:space="preserve">Figure 6. </w:t>
      </w:r>
      <w:r w:rsidRPr="00C100D0">
        <w:t xml:space="preserve"> Differences in the open conformation for the three structures </w:t>
      </w:r>
      <w:r w:rsidRPr="00C100D0">
        <w:rPr>
          <w:b/>
        </w:rPr>
        <w:t>L</w:t>
      </w:r>
      <w:r w:rsidRPr="00C100D0">
        <w:rPr>
          <w:b/>
          <w:vertAlign w:val="superscript"/>
        </w:rPr>
        <w:t>3</w:t>
      </w:r>
      <w:r w:rsidRPr="00C100D0">
        <w:rPr>
          <w:b/>
        </w:rPr>
        <w:t>-DMSO</w:t>
      </w:r>
      <w:r w:rsidRPr="00C100D0">
        <w:t xml:space="preserve"> (blue), </w:t>
      </w:r>
      <w:r w:rsidRPr="00C100D0">
        <w:rPr>
          <w:b/>
        </w:rPr>
        <w:t>L</w:t>
      </w:r>
      <w:r w:rsidRPr="00C100D0">
        <w:rPr>
          <w:b/>
          <w:vertAlign w:val="superscript"/>
        </w:rPr>
        <w:t>4</w:t>
      </w:r>
      <w:r w:rsidRPr="00C100D0">
        <w:rPr>
          <w:b/>
        </w:rPr>
        <w:t>-MeOH</w:t>
      </w:r>
      <w:r w:rsidRPr="00C100D0">
        <w:t xml:space="preserve"> (orange) and </w:t>
      </w:r>
      <w:r w:rsidRPr="00C100D0">
        <w:rPr>
          <w:b/>
        </w:rPr>
        <w:t>L</w:t>
      </w:r>
      <w:r w:rsidRPr="00C100D0">
        <w:rPr>
          <w:b/>
          <w:vertAlign w:val="superscript"/>
        </w:rPr>
        <w:t>3</w:t>
      </w:r>
      <w:r w:rsidRPr="00C100D0">
        <w:rPr>
          <w:b/>
        </w:rPr>
        <w:t xml:space="preserve">-AcO-(1:2) </w:t>
      </w:r>
      <w:r w:rsidRPr="00C100D0">
        <w:t>(grey).</w:t>
      </w:r>
    </w:p>
    <w:p w14:paraId="3551420D" w14:textId="77777777" w:rsidR="00FB4A6B" w:rsidRPr="00C100D0" w:rsidRDefault="00FB4A6B" w:rsidP="00A32E32">
      <w:pPr>
        <w:pStyle w:val="08ArticleText"/>
      </w:pPr>
      <w:r w:rsidRPr="00C100D0">
        <w:t xml:space="preserve">previously </w:t>
      </w:r>
      <w:r w:rsidRPr="00C100D0">
        <w:rPr>
          <w:b/>
        </w:rPr>
        <w:t>L</w:t>
      </w:r>
      <w:r w:rsidRPr="00C100D0">
        <w:rPr>
          <w:b/>
          <w:vertAlign w:val="superscript"/>
        </w:rPr>
        <w:t>1</w:t>
      </w:r>
      <w:r w:rsidRPr="00C100D0">
        <w:rPr>
          <w:b/>
        </w:rPr>
        <w:t>-AcO</w:t>
      </w:r>
      <w:r w:rsidRPr="00C100D0">
        <w:rPr>
          <w:b/>
          <w:vertAlign w:val="superscript"/>
        </w:rPr>
        <w:t>-</w:t>
      </w:r>
      <w:r w:rsidRPr="00C100D0">
        <w:rPr>
          <w:b/>
        </w:rPr>
        <w:t>(1:2)</w:t>
      </w:r>
      <w:r w:rsidRPr="00C100D0">
        <w:t xml:space="preserve">. </w:t>
      </w:r>
      <w:r w:rsidRPr="00C100D0">
        <w:rPr>
          <w:b/>
        </w:rPr>
        <w:t>L</w:t>
      </w:r>
      <w:r w:rsidRPr="00C100D0">
        <w:rPr>
          <w:b/>
          <w:vertAlign w:val="superscript"/>
        </w:rPr>
        <w:t>3</w:t>
      </w:r>
      <w:r w:rsidRPr="00C100D0">
        <w:rPr>
          <w:b/>
        </w:rPr>
        <w:t>-AcO</w:t>
      </w:r>
      <w:r w:rsidRPr="00C100D0">
        <w:rPr>
          <w:b/>
          <w:vertAlign w:val="superscript"/>
        </w:rPr>
        <w:t>-</w:t>
      </w:r>
      <w:r w:rsidRPr="00C100D0">
        <w:rPr>
          <w:b/>
        </w:rPr>
        <w:t>(1:2)</w:t>
      </w:r>
      <w:r w:rsidRPr="00C100D0">
        <w:t xml:space="preserve"> was crystallised by slow evaporation from a solution in EtOH/MeNO</w:t>
      </w:r>
      <w:r w:rsidRPr="00C100D0">
        <w:rPr>
          <w:vertAlign w:val="subscript"/>
        </w:rPr>
        <w:t>2</w:t>
      </w:r>
      <w:r w:rsidRPr="00C100D0">
        <w:t xml:space="preserve"> (1:1) of the receptor </w:t>
      </w:r>
      <w:r w:rsidRPr="00C100D0">
        <w:rPr>
          <w:b/>
        </w:rPr>
        <w:t>L</w:t>
      </w:r>
      <w:r w:rsidRPr="00C100D0">
        <w:rPr>
          <w:b/>
          <w:vertAlign w:val="superscript"/>
        </w:rPr>
        <w:t>3</w:t>
      </w:r>
      <w:r w:rsidRPr="00C100D0">
        <w:t xml:space="preserve"> in presence of an excess of TBA</w:t>
      </w:r>
      <w:r w:rsidRPr="00C100D0">
        <w:rPr>
          <w:vertAlign w:val="superscript"/>
        </w:rPr>
        <w:t>+</w:t>
      </w:r>
      <w:r w:rsidRPr="00C100D0">
        <w:t>AcO</w:t>
      </w:r>
      <w:r w:rsidRPr="00C100D0">
        <w:rPr>
          <w:vertAlign w:val="superscript"/>
        </w:rPr>
        <w:t>-</w:t>
      </w:r>
      <w:r w:rsidRPr="00C100D0">
        <w:t>. The sample crystallised in the monoclinic crystal system (space group I2/a). The crystal structure contains one receptor unit and two TBA</w:t>
      </w:r>
      <w:r w:rsidRPr="00C100D0">
        <w:rPr>
          <w:vertAlign w:val="superscript"/>
        </w:rPr>
        <w:t>+</w:t>
      </w:r>
      <w:r w:rsidRPr="00C100D0">
        <w:t>AcO</w:t>
      </w:r>
      <w:r w:rsidRPr="00C100D0">
        <w:rPr>
          <w:vertAlign w:val="superscript"/>
        </w:rPr>
        <w:t>-</w:t>
      </w:r>
      <w:r w:rsidRPr="00C100D0">
        <w:t xml:space="preserve"> units. It is interesting to note that similarly to the two isostructures </w:t>
      </w:r>
      <w:r w:rsidRPr="00C100D0">
        <w:rPr>
          <w:b/>
        </w:rPr>
        <w:t>L</w:t>
      </w:r>
      <w:r w:rsidRPr="00C100D0">
        <w:rPr>
          <w:b/>
          <w:vertAlign w:val="superscript"/>
        </w:rPr>
        <w:t>3</w:t>
      </w:r>
      <w:r w:rsidRPr="00C100D0">
        <w:rPr>
          <w:b/>
        </w:rPr>
        <w:t>-DMSO</w:t>
      </w:r>
      <w:r w:rsidRPr="00C100D0">
        <w:t xml:space="preserve"> and </w:t>
      </w:r>
      <w:r w:rsidRPr="00C100D0">
        <w:rPr>
          <w:b/>
        </w:rPr>
        <w:t>L</w:t>
      </w:r>
      <w:r w:rsidRPr="00C100D0">
        <w:rPr>
          <w:b/>
          <w:vertAlign w:val="superscript"/>
        </w:rPr>
        <w:t>4</w:t>
      </w:r>
      <w:r w:rsidRPr="00C100D0">
        <w:rPr>
          <w:b/>
        </w:rPr>
        <w:t>-MeOH</w:t>
      </w:r>
      <w:r w:rsidRPr="00C100D0">
        <w:t xml:space="preserve">, </w:t>
      </w:r>
      <w:r w:rsidRPr="00C100D0">
        <w:rPr>
          <w:b/>
        </w:rPr>
        <w:t>L</w:t>
      </w:r>
      <w:r w:rsidRPr="00C100D0">
        <w:rPr>
          <w:b/>
          <w:vertAlign w:val="superscript"/>
        </w:rPr>
        <w:t>3</w:t>
      </w:r>
      <w:r w:rsidRPr="00C100D0">
        <w:rPr>
          <w:b/>
        </w:rPr>
        <w:t>-AcO</w:t>
      </w:r>
      <w:r w:rsidRPr="00C100D0">
        <w:rPr>
          <w:b/>
          <w:vertAlign w:val="superscript"/>
        </w:rPr>
        <w:t>-</w:t>
      </w:r>
      <w:r w:rsidRPr="00C100D0">
        <w:rPr>
          <w:b/>
        </w:rPr>
        <w:t xml:space="preserve">(1:2) </w:t>
      </w:r>
      <w:r w:rsidRPr="00C100D0">
        <w:t xml:space="preserve">adopts an open conformation with the urea NHs oriented to opposite directions and perpendicular to the aromatic spacer. A conformational comparison of the three molecules is shown in Figure 6. </w:t>
      </w:r>
    </w:p>
    <w:p w14:paraId="095FC345" w14:textId="77777777" w:rsidR="00FB4A6B" w:rsidRPr="00C100D0" w:rsidRDefault="00756951" w:rsidP="00142028">
      <w:pPr>
        <w:pStyle w:val="G1aFigureImage"/>
      </w:pPr>
      <w:r w:rsidRPr="00C100D0">
        <w:rPr>
          <w:noProof/>
          <w:lang w:val="en-US" w:eastAsia="en-US"/>
        </w:rPr>
        <w:drawing>
          <wp:inline distT="0" distB="0" distL="0" distR="0" wp14:anchorId="21575310" wp14:editId="2E1A5485">
            <wp:extent cx="2992755" cy="2143760"/>
            <wp:effectExtent l="19050" t="0" r="0" b="0"/>
            <wp:docPr id="8" name="Picture 13" descr="Fig 6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6 new.tif"/>
                    <pic:cNvPicPr>
                      <a:picLocks noChangeAspect="1" noChangeArrowheads="1"/>
                    </pic:cNvPicPr>
                  </pic:nvPicPr>
                  <pic:blipFill>
                    <a:blip r:embed="rId23"/>
                    <a:srcRect/>
                    <a:stretch>
                      <a:fillRect/>
                    </a:stretch>
                  </pic:blipFill>
                  <pic:spPr bwMode="auto">
                    <a:xfrm>
                      <a:off x="0" y="0"/>
                      <a:ext cx="2992755" cy="2143760"/>
                    </a:xfrm>
                    <a:prstGeom prst="rect">
                      <a:avLst/>
                    </a:prstGeom>
                    <a:noFill/>
                    <a:ln w="9525">
                      <a:noFill/>
                      <a:miter lim="800000"/>
                      <a:headEnd/>
                      <a:tailEnd/>
                    </a:ln>
                  </pic:spPr>
                </pic:pic>
              </a:graphicData>
            </a:graphic>
          </wp:inline>
        </w:drawing>
      </w:r>
    </w:p>
    <w:p w14:paraId="39D2D9AD" w14:textId="77777777" w:rsidR="00FB4A6B" w:rsidRPr="00C100D0" w:rsidRDefault="00FB4A6B" w:rsidP="003B55F6">
      <w:pPr>
        <w:pStyle w:val="G1bFigureCaption"/>
        <w:jc w:val="both"/>
      </w:pPr>
      <w:r w:rsidRPr="00C100D0">
        <w:rPr>
          <w:b/>
        </w:rPr>
        <w:t xml:space="preserve">Figure 7. </w:t>
      </w:r>
      <w:r w:rsidRPr="00C100D0">
        <w:t xml:space="preserve"> Portion of the 1-D crystal packing of the X-ray crystal structure</w:t>
      </w:r>
      <w:r w:rsidRPr="00C100D0">
        <w:rPr>
          <w:b/>
        </w:rPr>
        <w:t xml:space="preserve"> L</w:t>
      </w:r>
      <w:r w:rsidRPr="00C100D0">
        <w:rPr>
          <w:b/>
          <w:vertAlign w:val="superscript"/>
        </w:rPr>
        <w:t>3</w:t>
      </w:r>
      <w:r w:rsidRPr="00C100D0">
        <w:rPr>
          <w:b/>
        </w:rPr>
        <w:t xml:space="preserve">-AcO-(1:2). </w:t>
      </w:r>
      <w:r w:rsidRPr="00C100D0">
        <w:t>N-H···O hydrogen bonds are represented as blue dashed lines, C-H···F and C-H···O interactions as black dashed lines</w:t>
      </w:r>
    </w:p>
    <w:p w14:paraId="68F590BF" w14:textId="77777777" w:rsidR="00FB4A6B" w:rsidRPr="00C100D0" w:rsidRDefault="00FB4A6B" w:rsidP="00A32E32">
      <w:pPr>
        <w:pStyle w:val="08ArticleText"/>
      </w:pPr>
      <w:r w:rsidRPr="00C100D0">
        <w:t>Each receptor unit is connected to two AcO</w:t>
      </w:r>
      <w:r w:rsidRPr="00C100D0">
        <w:rPr>
          <w:vertAlign w:val="superscript"/>
        </w:rPr>
        <w:t xml:space="preserve">- </w:t>
      </w:r>
      <w:r w:rsidRPr="00C100D0">
        <w:t>anions</w:t>
      </w:r>
      <w:r w:rsidRPr="00C100D0">
        <w:rPr>
          <w:vertAlign w:val="superscript"/>
        </w:rPr>
        <w:t xml:space="preserve"> </w:t>
      </w:r>
      <w:r w:rsidRPr="00C100D0">
        <w:rPr>
          <w:i/>
        </w:rPr>
        <w:t>via</w:t>
      </w:r>
      <w:r w:rsidRPr="00C100D0">
        <w:t xml:space="preserve"> N-H···O hydrogen bonds (N-H···O distances are 1.99 Å and 1.9</w:t>
      </w:r>
      <w:r w:rsidR="001577EA" w:rsidRPr="00C100D0">
        <w:t>0</w:t>
      </w:r>
      <w:r w:rsidRPr="00C100D0">
        <w:t xml:space="preserve"> Å respectively) and related to adjacent molecules by inversion symmetry (see Table </w:t>
      </w:r>
      <w:r w:rsidRPr="00C100D0">
        <w:lastRenderedPageBreak/>
        <w:t>S3 in ESI). These are bridged by TBA</w:t>
      </w:r>
      <w:r w:rsidRPr="00C100D0">
        <w:rPr>
          <w:vertAlign w:val="superscript"/>
        </w:rPr>
        <w:t>+</w:t>
      </w:r>
      <w:r w:rsidRPr="00C100D0">
        <w:t xml:space="preserve"> cations </w:t>
      </w:r>
      <w:r w:rsidRPr="00C100D0">
        <w:rPr>
          <w:i/>
        </w:rPr>
        <w:t>via</w:t>
      </w:r>
      <w:r w:rsidRPr="00C100D0">
        <w:t xml:space="preserve"> a set of weak C-H···O hydrogen bonds (the shortest C-H···O distances observed </w:t>
      </w:r>
      <w:r w:rsidR="001577EA" w:rsidRPr="00C100D0">
        <w:t xml:space="preserve">is </w:t>
      </w:r>
      <w:r w:rsidRPr="00C100D0">
        <w:t>2.</w:t>
      </w:r>
      <w:r w:rsidR="001577EA" w:rsidRPr="00C100D0">
        <w:t>42</w:t>
      </w:r>
      <w:r w:rsidRPr="00C100D0">
        <w:t xml:space="preserve"> Å) involving the urea C=O and the acetate oxygens and</w:t>
      </w:r>
      <w:r w:rsidR="001577EA" w:rsidRPr="00C100D0">
        <w:t xml:space="preserve"> a</w:t>
      </w:r>
      <w:r w:rsidRPr="00C100D0">
        <w:t xml:space="preserve"> C-H···F interaction (C-H···F distance </w:t>
      </w:r>
      <w:r w:rsidR="001577EA" w:rsidRPr="00C100D0">
        <w:t>is</w:t>
      </w:r>
      <w:r w:rsidRPr="00C100D0">
        <w:t xml:space="preserve"> 2.</w:t>
      </w:r>
      <w:r w:rsidR="001577EA" w:rsidRPr="00C100D0">
        <w:t>59</w:t>
      </w:r>
      <w:r w:rsidRPr="00C100D0">
        <w:t xml:space="preserve"> Å), resulting in a 1-D arrangement along the [100] direction (Figure 7).</w:t>
      </w:r>
    </w:p>
    <w:p w14:paraId="2FBED37E" w14:textId="77777777" w:rsidR="00FB4A6B" w:rsidRPr="00C100D0" w:rsidRDefault="00FB4A6B" w:rsidP="00A32E32">
      <w:pPr>
        <w:pStyle w:val="08ArticleText"/>
      </w:pPr>
      <w:r w:rsidRPr="00C100D0">
        <w:tab/>
        <w:t>Similar bridges are also observed in the remaining two dimensions, where TBA</w:t>
      </w:r>
      <w:r w:rsidRPr="00C100D0">
        <w:rPr>
          <w:vertAlign w:val="superscript"/>
        </w:rPr>
        <w:t>+</w:t>
      </w:r>
      <w:r w:rsidRPr="00C100D0">
        <w:t xml:space="preserve"> cations connect different receptor-anions units </w:t>
      </w:r>
      <w:r w:rsidRPr="00C100D0">
        <w:rPr>
          <w:i/>
        </w:rPr>
        <w:t>via</w:t>
      </w:r>
      <w:r w:rsidRPr="00C100D0">
        <w:t xml:space="preserve"> a set of weak C-H···O and C-H···F interactions (see Figure S1e in ESI). </w:t>
      </w:r>
    </w:p>
    <w:p w14:paraId="46C45606" w14:textId="77777777" w:rsidR="00FB4A6B" w:rsidRPr="00C100D0" w:rsidRDefault="00FB4A6B" w:rsidP="00A32E32">
      <w:pPr>
        <w:pStyle w:val="08ArticleText"/>
      </w:pPr>
      <w:r w:rsidRPr="00C100D0">
        <w:t>It is interesting to note that, differently to the previous acetate structure, where the presence of water molecules strongly contributed in driving the crystal packing, here the TBA</w:t>
      </w:r>
      <w:r w:rsidRPr="00C100D0">
        <w:rPr>
          <w:vertAlign w:val="superscript"/>
        </w:rPr>
        <w:t>+</w:t>
      </w:r>
      <w:r w:rsidRPr="00C100D0">
        <w:t xml:space="preserve"> cations have a specific role in connecting the receptor-anion units along the different directions of the packing. A detailed representation of the 3-D crystal packing is reported in Figure S1e in ESI.†</w:t>
      </w:r>
    </w:p>
    <w:p w14:paraId="7525086E" w14:textId="77777777" w:rsidR="00FB4A6B" w:rsidRPr="00C100D0" w:rsidRDefault="00FB4A6B" w:rsidP="003B55F6">
      <w:pPr>
        <w:pStyle w:val="08ArticleText"/>
      </w:pPr>
    </w:p>
    <w:p w14:paraId="28C16584" w14:textId="77777777" w:rsidR="00FB4A6B" w:rsidRPr="00C100D0" w:rsidRDefault="00FB4A6B" w:rsidP="00142028">
      <w:pPr>
        <w:pStyle w:val="05BHeading"/>
      </w:pPr>
      <w:r w:rsidRPr="00C100D0">
        <w:t>2:1 ratio</w:t>
      </w:r>
    </w:p>
    <w:p w14:paraId="1E602EAE" w14:textId="77777777" w:rsidR="00FB4A6B" w:rsidRPr="00C100D0" w:rsidRDefault="00FB4A6B" w:rsidP="00A32E32">
      <w:pPr>
        <w:pStyle w:val="08ArticleText"/>
      </w:pPr>
      <w:r w:rsidRPr="00C100D0">
        <w:t xml:space="preserve">This specific stoichiometry was observed for the two structures </w:t>
      </w:r>
      <w:r w:rsidRPr="00C100D0">
        <w:rPr>
          <w:b/>
        </w:rPr>
        <w:t>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w:t>
      </w:r>
      <w:r w:rsidRPr="00C100D0">
        <w:t xml:space="preserve"> and </w:t>
      </w:r>
      <w:r w:rsidRPr="00C100D0">
        <w:rPr>
          <w:b/>
        </w:rPr>
        <w:t>L</w:t>
      </w:r>
      <w:r w:rsidRPr="00C100D0">
        <w:rPr>
          <w:b/>
          <w:vertAlign w:val="superscript"/>
        </w:rPr>
        <w:t>4</w:t>
      </w:r>
      <w:r w:rsidRPr="00C100D0">
        <w:rPr>
          <w:b/>
        </w:rPr>
        <w:t>-HPO</w:t>
      </w:r>
      <w:r w:rsidRPr="00C100D0">
        <w:rPr>
          <w:b/>
          <w:vertAlign w:val="subscript"/>
        </w:rPr>
        <w:t>4</w:t>
      </w:r>
      <w:r w:rsidRPr="00C100D0">
        <w:rPr>
          <w:b/>
          <w:vertAlign w:val="superscript"/>
        </w:rPr>
        <w:t>2-</w:t>
      </w:r>
      <w:r w:rsidRPr="00C100D0">
        <w:rPr>
          <w:b/>
        </w:rPr>
        <w:t>(2:1)</w:t>
      </w:r>
      <w:r w:rsidRPr="00C100D0">
        <w:t>. Differently to the previous structures, the molecular features of the anionic guests and the increased stoichiometry of the two host-guest pairs result in a more complex crystal packing. In contrast to the approach taken so far to describe the crystal structures, in this case and for the 3:1 stoichiometry, it is more convenient to focus on the coordination of the anionic moieties and consider these as building units of particular molecular arrangements. This is consistent with the recently proposed analogies between transition-metal coordination chemistry</w:t>
      </w:r>
      <w:r w:rsidR="002D216E" w:rsidRPr="00C100D0">
        <w:rPr>
          <w:vertAlign w:val="superscript"/>
        </w:rPr>
        <w:t>15</w:t>
      </w:r>
      <w:r w:rsidRPr="00C100D0">
        <w:t xml:space="preserve"> and anion binding. In order to determine the number of hydrogen bonds involved in anion binding, we decided to apply in this case a starting limit of 2.75 Å to identify N-H···O hydrogen bonds and, where relevant, to take into account slightly longer interactions.</w:t>
      </w:r>
    </w:p>
    <w:p w14:paraId="6AEB85C0" w14:textId="77777777" w:rsidR="00FB4A6B" w:rsidRPr="00C100D0" w:rsidRDefault="00FB4A6B" w:rsidP="00142028">
      <w:pPr>
        <w:pStyle w:val="08ArticleText"/>
        <w:rPr>
          <w:sz w:val="18"/>
          <w:szCs w:val="18"/>
        </w:rPr>
      </w:pPr>
    </w:p>
    <w:p w14:paraId="68770DF5" w14:textId="77777777" w:rsidR="00FB4A6B" w:rsidRPr="00C100D0" w:rsidRDefault="00756951" w:rsidP="00142028">
      <w:pPr>
        <w:pStyle w:val="G1aFigureImage"/>
      </w:pPr>
      <w:r w:rsidRPr="00C100D0">
        <w:rPr>
          <w:noProof/>
          <w:lang w:val="en-US" w:eastAsia="en-US"/>
        </w:rPr>
        <w:drawing>
          <wp:inline distT="0" distB="0" distL="0" distR="0" wp14:anchorId="432945A3" wp14:editId="21615775">
            <wp:extent cx="2992755" cy="1751330"/>
            <wp:effectExtent l="19050" t="0" r="0" b="0"/>
            <wp:docPr id="9" name="Picture 14" descr="Graphic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3.tif"/>
                    <pic:cNvPicPr>
                      <a:picLocks noChangeAspect="1" noChangeArrowheads="1"/>
                    </pic:cNvPicPr>
                  </pic:nvPicPr>
                  <pic:blipFill>
                    <a:blip r:embed="rId24"/>
                    <a:srcRect/>
                    <a:stretch>
                      <a:fillRect/>
                    </a:stretch>
                  </pic:blipFill>
                  <pic:spPr bwMode="auto">
                    <a:xfrm>
                      <a:off x="0" y="0"/>
                      <a:ext cx="2992755" cy="1751330"/>
                    </a:xfrm>
                    <a:prstGeom prst="rect">
                      <a:avLst/>
                    </a:prstGeom>
                    <a:noFill/>
                    <a:ln w="9525">
                      <a:noFill/>
                      <a:miter lim="800000"/>
                      <a:headEnd/>
                      <a:tailEnd/>
                    </a:ln>
                  </pic:spPr>
                </pic:pic>
              </a:graphicData>
            </a:graphic>
          </wp:inline>
        </w:drawing>
      </w:r>
    </w:p>
    <w:p w14:paraId="3A5F6FE8" w14:textId="77777777" w:rsidR="00FB4A6B" w:rsidRPr="00C100D0" w:rsidRDefault="00FB4A6B" w:rsidP="00142028">
      <w:pPr>
        <w:pStyle w:val="G1bFigureCaption"/>
        <w:jc w:val="both"/>
      </w:pPr>
      <w:r w:rsidRPr="00C100D0">
        <w:rPr>
          <w:b/>
        </w:rPr>
        <w:t xml:space="preserve">Figure 8. </w:t>
      </w:r>
      <w:r w:rsidRPr="00C100D0">
        <w:t xml:space="preserve"> Receptor-anion coordination In structure</w:t>
      </w:r>
      <w:r w:rsidRPr="00C100D0">
        <w:rPr>
          <w:b/>
        </w:rPr>
        <w:t xml:space="preserve"> 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 </w:t>
      </w:r>
      <w:r w:rsidRPr="00C100D0">
        <w:t>The two independent receptor units, 1 and 2, are coloured in grey and blue respectively. Intermolecular interactions involved in the coordination of the CO</w:t>
      </w:r>
      <w:r w:rsidRPr="00C100D0">
        <w:rPr>
          <w:vertAlign w:val="subscript"/>
        </w:rPr>
        <w:t>3</w:t>
      </w:r>
      <w:r w:rsidRPr="00C100D0">
        <w:rPr>
          <w:vertAlign w:val="superscript"/>
        </w:rPr>
        <w:t>2-</w:t>
      </w:r>
      <w:r w:rsidRPr="00C100D0">
        <w:t xml:space="preserve"> anion are indicated as blue dashed lines.</w:t>
      </w:r>
    </w:p>
    <w:p w14:paraId="7A54F371" w14:textId="77777777" w:rsidR="00FB4A6B" w:rsidRPr="00C100D0" w:rsidRDefault="00FB4A6B" w:rsidP="0014757C">
      <w:pPr>
        <w:pStyle w:val="08ArticleText"/>
        <w:sectPr w:rsidR="00FB4A6B" w:rsidRPr="00C100D0"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280C1FED" w14:textId="77777777" w:rsidR="00FB4A6B" w:rsidRPr="00C100D0" w:rsidRDefault="00756951" w:rsidP="0014757C">
      <w:pPr>
        <w:pStyle w:val="G1aFigureImage"/>
      </w:pPr>
      <w:r w:rsidRPr="00C100D0">
        <w:rPr>
          <w:noProof/>
          <w:lang w:val="en-US" w:eastAsia="en-US"/>
        </w:rPr>
        <w:lastRenderedPageBreak/>
        <w:drawing>
          <wp:inline distT="0" distB="0" distL="0" distR="0" wp14:anchorId="2E64E3CB" wp14:editId="6F83B6BD">
            <wp:extent cx="6056630" cy="2018665"/>
            <wp:effectExtent l="19050" t="0" r="1270" b="0"/>
            <wp:docPr id="10" name="Picture 10" descr="fig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9.tif"/>
                    <pic:cNvPicPr>
                      <a:picLocks noChangeAspect="1" noChangeArrowheads="1"/>
                    </pic:cNvPicPr>
                  </pic:nvPicPr>
                  <pic:blipFill>
                    <a:blip r:embed="rId25"/>
                    <a:srcRect/>
                    <a:stretch>
                      <a:fillRect/>
                    </a:stretch>
                  </pic:blipFill>
                  <pic:spPr bwMode="auto">
                    <a:xfrm>
                      <a:off x="0" y="0"/>
                      <a:ext cx="6056630" cy="2018665"/>
                    </a:xfrm>
                    <a:prstGeom prst="rect">
                      <a:avLst/>
                    </a:prstGeom>
                    <a:noFill/>
                    <a:ln w="9525">
                      <a:noFill/>
                      <a:miter lim="800000"/>
                      <a:headEnd/>
                      <a:tailEnd/>
                    </a:ln>
                  </pic:spPr>
                </pic:pic>
              </a:graphicData>
            </a:graphic>
          </wp:inline>
        </w:drawing>
      </w:r>
    </w:p>
    <w:p w14:paraId="743193E5" w14:textId="77777777" w:rsidR="00FB4A6B" w:rsidRPr="00C100D0" w:rsidRDefault="00FB4A6B" w:rsidP="003679E6">
      <w:pPr>
        <w:pStyle w:val="G1bFigureCaption"/>
        <w:jc w:val="both"/>
        <w:sectPr w:rsidR="00FB4A6B" w:rsidRPr="00C100D0" w:rsidSect="0014757C">
          <w:endnotePr>
            <w:numFmt w:val="decimal"/>
          </w:endnotePr>
          <w:type w:val="continuous"/>
          <w:pgSz w:w="11907" w:h="15593" w:code="119"/>
          <w:pgMar w:top="1021" w:right="907" w:bottom="1021" w:left="1077" w:header="227" w:footer="624" w:gutter="0"/>
          <w:lnNumType w:countBy="5" w:distance="57"/>
          <w:cols w:space="397"/>
          <w:titlePg/>
          <w:docGrid w:linePitch="360"/>
        </w:sectPr>
      </w:pPr>
      <w:r w:rsidRPr="00C100D0">
        <w:rPr>
          <w:b/>
        </w:rPr>
        <w:t xml:space="preserve">Figure 9. </w:t>
      </w:r>
      <w:r w:rsidRPr="00C100D0">
        <w:t xml:space="preserve"> Portion of the 1-D crystal packing of the X-ray crystal structure </w:t>
      </w:r>
      <w:r w:rsidRPr="00C100D0">
        <w:rPr>
          <w:b/>
        </w:rPr>
        <w:t>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 </w:t>
      </w:r>
      <w:r w:rsidRPr="00C100D0">
        <w:t>viewed along the [010] direction (left) and along the [100] direction (right). Anion-receptor interactions are represented as blue dashed lines, C-H···F intermolecular interactions as red dashed lines. The two independent receptor units, 1 and 2, are coloured in grey and blue respectively. Solvent molecules (DMSO) are also shown.</w:t>
      </w:r>
    </w:p>
    <w:p w14:paraId="2D03BF5D" w14:textId="77777777" w:rsidR="00FB4A6B" w:rsidRPr="00C100D0" w:rsidRDefault="00FB4A6B" w:rsidP="00A32E32">
      <w:pPr>
        <w:pStyle w:val="08ArticleText"/>
      </w:pPr>
      <w:r w:rsidRPr="00C100D0">
        <w:lastRenderedPageBreak/>
        <w:t xml:space="preserve">    Slow evaporation of a DMSO solution of the receptor in the presence of an excess of tetrabutylammonium cyanide</w:t>
      </w:r>
      <w:r w:rsidRPr="00C100D0">
        <w:rPr>
          <w:b/>
        </w:rPr>
        <w:t xml:space="preserve"> </w:t>
      </w:r>
      <w:r w:rsidRPr="00C100D0">
        <w:t>afforded crystals of</w:t>
      </w:r>
      <w:r w:rsidRPr="00C100D0">
        <w:rPr>
          <w:b/>
        </w:rPr>
        <w:t xml:space="preserve"> 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w:t>
      </w:r>
      <w:r w:rsidRPr="00C100D0">
        <w:rPr>
          <w:b/>
          <w:vertAlign w:val="superscript"/>
        </w:rPr>
        <w:t xml:space="preserve"> </w:t>
      </w:r>
      <w:r w:rsidRPr="00C100D0">
        <w:t>as colourless needles. The presence of the CO</w:t>
      </w:r>
      <w:r w:rsidRPr="00C100D0">
        <w:rPr>
          <w:vertAlign w:val="subscript"/>
        </w:rPr>
        <w:t>3</w:t>
      </w:r>
      <w:r w:rsidRPr="00C100D0">
        <w:rPr>
          <w:vertAlign w:val="superscript"/>
        </w:rPr>
        <w:t>2-</w:t>
      </w:r>
      <w:r w:rsidRPr="00C100D0">
        <w:t xml:space="preserve"> might originate from CO</w:t>
      </w:r>
      <w:r w:rsidRPr="00C100D0">
        <w:rPr>
          <w:vertAlign w:val="subscript"/>
        </w:rPr>
        <w:t>2</w:t>
      </w:r>
      <w:r w:rsidRPr="00C100D0">
        <w:t xml:space="preserve"> in the atmosphere that has presumably been fixed by the receptor-cyanide solution. Analogous carbon dioxide fixation in the presence of basic tetrabutylammonium salts have been previously reported, </w:t>
      </w:r>
      <w:r w:rsidRPr="00C100D0">
        <w:rPr>
          <w:vertAlign w:val="superscript"/>
        </w:rPr>
        <w:t>1</w:t>
      </w:r>
      <w:r w:rsidR="002D216E" w:rsidRPr="00C100D0">
        <w:rPr>
          <w:vertAlign w:val="superscript"/>
        </w:rPr>
        <w:t>6</w:t>
      </w:r>
      <w:r w:rsidRPr="00C100D0">
        <w:rPr>
          <w:vertAlign w:val="superscript"/>
        </w:rPr>
        <w:t>-1</w:t>
      </w:r>
      <w:r w:rsidR="002D216E" w:rsidRPr="00C100D0">
        <w:rPr>
          <w:vertAlign w:val="superscript"/>
        </w:rPr>
        <w:t>9</w:t>
      </w:r>
      <w:r w:rsidRPr="00C100D0">
        <w:t xml:space="preserve">  however this appears to be the first case in the presence of TBA</w:t>
      </w:r>
      <w:r w:rsidRPr="00C100D0">
        <w:rPr>
          <w:vertAlign w:val="superscript"/>
        </w:rPr>
        <w:t>+</w:t>
      </w:r>
      <w:r w:rsidRPr="00C100D0">
        <w:t>CN</w:t>
      </w:r>
      <w:r w:rsidRPr="00C100D0">
        <w:rPr>
          <w:vertAlign w:val="superscript"/>
        </w:rPr>
        <w:t>-</w:t>
      </w:r>
      <w:r w:rsidRPr="00C100D0">
        <w:t>. The resulting crystal structure adopts the orthorhombic crystal system (space group Pbca),</w:t>
      </w:r>
      <w:r w:rsidRPr="00C100D0">
        <w:rPr>
          <w:i/>
        </w:rPr>
        <w:t xml:space="preserve"> </w:t>
      </w:r>
      <w:r w:rsidRPr="00C100D0">
        <w:t>with an asymmetric unit containing two independent receptor units, two molecules of DMSO and one CO</w:t>
      </w:r>
      <w:r w:rsidRPr="00C100D0">
        <w:rPr>
          <w:vertAlign w:val="subscript"/>
        </w:rPr>
        <w:t>3</w:t>
      </w:r>
      <w:r w:rsidRPr="00C100D0">
        <w:rPr>
          <w:vertAlign w:val="superscript"/>
        </w:rPr>
        <w:t>2-</w:t>
      </w:r>
      <w:r w:rsidRPr="00C100D0">
        <w:t xml:space="preserve"> with two TBA</w:t>
      </w:r>
      <w:r w:rsidRPr="00C100D0">
        <w:rPr>
          <w:vertAlign w:val="superscript"/>
        </w:rPr>
        <w:t>+</w:t>
      </w:r>
      <w:r w:rsidRPr="00C100D0">
        <w:t xml:space="preserve"> as counterions. Each CO</w:t>
      </w:r>
      <w:r w:rsidRPr="00C100D0">
        <w:rPr>
          <w:vertAlign w:val="subscript"/>
        </w:rPr>
        <w:t>3</w:t>
      </w:r>
      <w:r w:rsidRPr="00C100D0">
        <w:rPr>
          <w:vertAlign w:val="superscript"/>
        </w:rPr>
        <w:t>2-</w:t>
      </w:r>
      <w:r w:rsidRPr="00C100D0">
        <w:t xml:space="preserve"> anion is tetra-coordinated by four receptor units, (two per each independent units 1 and 2) </w:t>
      </w:r>
      <w:r w:rsidRPr="00C100D0">
        <w:rPr>
          <w:i/>
        </w:rPr>
        <w:t>via</w:t>
      </w:r>
      <w:r w:rsidRPr="00C100D0">
        <w:t xml:space="preserve"> eight N-H···O hydrogen bonds (N-H···O distances are in the range 1.88 - 2.06 Å), each interacting with one of the two urea groups available, resulting in a 2:1 stoichiometry (Figure 8). The remaining urea groups are connected to adjacent receptor units by CO</w:t>
      </w:r>
      <w:r w:rsidRPr="00C100D0">
        <w:rPr>
          <w:vertAlign w:val="subscript"/>
        </w:rPr>
        <w:t>3</w:t>
      </w:r>
      <w:r w:rsidRPr="00C100D0">
        <w:rPr>
          <w:vertAlign w:val="superscript"/>
        </w:rPr>
        <w:t>2</w:t>
      </w:r>
      <w:r w:rsidRPr="00C100D0">
        <w:rPr>
          <w:b/>
          <w:vertAlign w:val="superscript"/>
        </w:rPr>
        <w:t xml:space="preserve">- </w:t>
      </w:r>
      <w:r w:rsidRPr="00C100D0">
        <w:t>bridges, to form infinite chains propagating along the [100] direction (Figure 9). These are also assisted by weak C-H···F interactions involving the terminal CF</w:t>
      </w:r>
      <w:r w:rsidRPr="00C100D0">
        <w:rPr>
          <w:vertAlign w:val="subscript"/>
        </w:rPr>
        <w:t>3</w:t>
      </w:r>
      <w:r w:rsidRPr="00C100D0">
        <w:t xml:space="preserve"> groups and the aromatic CHs (C-H···F distances are 2.49 Å and 2.99 Å respectively).</w:t>
      </w:r>
    </w:p>
    <w:p w14:paraId="03D12057" w14:textId="77777777" w:rsidR="00FB4A6B" w:rsidRPr="00C100D0" w:rsidRDefault="00FB4A6B" w:rsidP="00A32E32">
      <w:pPr>
        <w:pStyle w:val="08ArticleText"/>
      </w:pPr>
      <w:r w:rsidRPr="00C100D0">
        <w:tab/>
        <w:t>Similarly to the previous structure, the TBA</w:t>
      </w:r>
      <w:r w:rsidRPr="00C100D0">
        <w:rPr>
          <w:vertAlign w:val="superscript"/>
        </w:rPr>
        <w:t>+</w:t>
      </w:r>
      <w:r w:rsidRPr="00C100D0">
        <w:t xml:space="preserve"> units are strongly involved in connecting the receptor-anion units along the different directions of the packing. In contrast to the hydrate structure </w:t>
      </w:r>
      <w:r w:rsidRPr="00C100D0">
        <w:rPr>
          <w:b/>
        </w:rPr>
        <w:t>L</w:t>
      </w:r>
      <w:r w:rsidRPr="00C100D0">
        <w:rPr>
          <w:b/>
          <w:vertAlign w:val="superscript"/>
        </w:rPr>
        <w:t>1</w:t>
      </w:r>
      <w:r w:rsidRPr="00C100D0">
        <w:rPr>
          <w:b/>
        </w:rPr>
        <w:t>-AcO</w:t>
      </w:r>
      <w:r w:rsidRPr="00C100D0">
        <w:rPr>
          <w:b/>
          <w:vertAlign w:val="superscript"/>
        </w:rPr>
        <w:t>-</w:t>
      </w:r>
      <w:r w:rsidRPr="00C100D0">
        <w:rPr>
          <w:b/>
        </w:rPr>
        <w:t>(1:2)</w:t>
      </w:r>
      <w:r w:rsidRPr="00C100D0">
        <w:t>, described earlier, the solvent (DMSO) does not seem to have any specific role in directing  particular molecular arrangements. However, it takes part with TBA</w:t>
      </w:r>
      <w:r w:rsidRPr="00C100D0">
        <w:rPr>
          <w:vertAlign w:val="superscript"/>
        </w:rPr>
        <w:t xml:space="preserve">+ </w:t>
      </w:r>
      <w:r w:rsidRPr="00C100D0">
        <w:t xml:space="preserve">units, in connecting adjacent 1-D chains along </w:t>
      </w:r>
      <w:r w:rsidRPr="00C100D0">
        <w:lastRenderedPageBreak/>
        <w:t xml:space="preserve">[010] and [001] directions </w:t>
      </w:r>
      <w:r w:rsidRPr="00C100D0">
        <w:rPr>
          <w:i/>
        </w:rPr>
        <w:t>via</w:t>
      </w:r>
      <w:r w:rsidRPr="00C100D0">
        <w:t xml:space="preserve"> different sets of C-H···O and C-H···F interactions (the shortest C-H···O and C-H···F distances observed are 2.22 Å and 2.08 Å respectively). A detailed representation of the 3-D crystal packing and all the intermolecular interactions involved are reported in Figure S1f and table S3 in ESI†.</w:t>
      </w:r>
    </w:p>
    <w:p w14:paraId="08D25D03" w14:textId="77777777" w:rsidR="00FB4A6B" w:rsidRPr="00C100D0" w:rsidRDefault="00FB4A6B" w:rsidP="004A6882">
      <w:pPr>
        <w:pStyle w:val="08ArticleText"/>
        <w:rPr>
          <w:sz w:val="18"/>
          <w:szCs w:val="18"/>
          <w:vertAlign w:val="superscript"/>
        </w:rPr>
      </w:pPr>
    </w:p>
    <w:p w14:paraId="0946E06F" w14:textId="77777777" w:rsidR="00FB4A6B" w:rsidRPr="00C100D0" w:rsidRDefault="00756951" w:rsidP="004A6882">
      <w:pPr>
        <w:pStyle w:val="G1aFigureImage"/>
      </w:pPr>
      <w:r w:rsidRPr="00C100D0">
        <w:rPr>
          <w:noProof/>
          <w:lang w:val="en-US" w:eastAsia="en-US"/>
        </w:rPr>
        <w:drawing>
          <wp:inline distT="0" distB="0" distL="0" distR="0" wp14:anchorId="2B066241" wp14:editId="2EF4192D">
            <wp:extent cx="2992755" cy="1704340"/>
            <wp:effectExtent l="19050" t="0" r="0" b="0"/>
            <wp:docPr id="11" name="Picture 20" descr="Fig 10 nuo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 10 nuova.tif"/>
                    <pic:cNvPicPr>
                      <a:picLocks noChangeAspect="1" noChangeArrowheads="1"/>
                    </pic:cNvPicPr>
                  </pic:nvPicPr>
                  <pic:blipFill>
                    <a:blip r:embed="rId26"/>
                    <a:srcRect/>
                    <a:stretch>
                      <a:fillRect/>
                    </a:stretch>
                  </pic:blipFill>
                  <pic:spPr bwMode="auto">
                    <a:xfrm>
                      <a:off x="0" y="0"/>
                      <a:ext cx="2992755" cy="1704340"/>
                    </a:xfrm>
                    <a:prstGeom prst="rect">
                      <a:avLst/>
                    </a:prstGeom>
                    <a:noFill/>
                    <a:ln w="9525">
                      <a:noFill/>
                      <a:miter lim="800000"/>
                      <a:headEnd/>
                      <a:tailEnd/>
                    </a:ln>
                  </pic:spPr>
                </pic:pic>
              </a:graphicData>
            </a:graphic>
          </wp:inline>
        </w:drawing>
      </w:r>
    </w:p>
    <w:p w14:paraId="7F1CB978" w14:textId="77777777" w:rsidR="00FB4A6B" w:rsidRPr="00C100D0" w:rsidRDefault="00FB4A6B" w:rsidP="00E157FA">
      <w:pPr>
        <w:pStyle w:val="G1bFigureCaption"/>
        <w:jc w:val="both"/>
      </w:pPr>
      <w:r w:rsidRPr="00C100D0">
        <w:rPr>
          <w:b/>
        </w:rPr>
        <w:t xml:space="preserve">Figure 10. </w:t>
      </w:r>
      <w:r w:rsidRPr="00C100D0">
        <w:t xml:space="preserve"> Receptor-anion coordination in structure</w:t>
      </w:r>
      <w:r w:rsidRPr="00C100D0">
        <w:rPr>
          <w:b/>
        </w:rPr>
        <w:t xml:space="preserve"> L</w:t>
      </w:r>
      <w:r w:rsidRPr="00C100D0">
        <w:rPr>
          <w:b/>
          <w:vertAlign w:val="superscript"/>
        </w:rPr>
        <w:t>4</w:t>
      </w:r>
      <w:r w:rsidRPr="00C100D0">
        <w:rPr>
          <w:b/>
        </w:rPr>
        <w:t>-HPO</w:t>
      </w:r>
      <w:r w:rsidRPr="00C100D0">
        <w:rPr>
          <w:b/>
          <w:vertAlign w:val="subscript"/>
        </w:rPr>
        <w:t>4</w:t>
      </w:r>
      <w:r w:rsidRPr="00C100D0">
        <w:rPr>
          <w:b/>
          <w:vertAlign w:val="superscript"/>
        </w:rPr>
        <w:t>2-</w:t>
      </w:r>
      <w:r w:rsidRPr="00C100D0">
        <w:rPr>
          <w:b/>
        </w:rPr>
        <w:t xml:space="preserve">(2:1). </w:t>
      </w:r>
      <w:r w:rsidRPr="00C100D0">
        <w:t>The two independent receptor units, 1 and 2, are coloured in grey and blue respectively. Intermolecular interactions involved in the coordination of the HPO</w:t>
      </w:r>
      <w:r w:rsidRPr="00C100D0">
        <w:rPr>
          <w:vertAlign w:val="subscript"/>
        </w:rPr>
        <w:t>4</w:t>
      </w:r>
      <w:r w:rsidRPr="00C100D0">
        <w:rPr>
          <w:vertAlign w:val="superscript"/>
        </w:rPr>
        <w:t>2-</w:t>
      </w:r>
      <w:r w:rsidRPr="00C100D0">
        <w:t xml:space="preserve"> anion are indicated as blue dashed lines. The arrangement is oriented to best show the receptor-anion coordination.</w:t>
      </w:r>
    </w:p>
    <w:p w14:paraId="0C0424D0" w14:textId="77777777" w:rsidR="001B7790" w:rsidRPr="00C100D0" w:rsidRDefault="00FB4A6B" w:rsidP="001B7790">
      <w:pPr>
        <w:pStyle w:val="08ArticleText"/>
      </w:pPr>
      <w:r w:rsidRPr="00C100D0">
        <w:rPr>
          <w:b/>
        </w:rPr>
        <w:t>L</w:t>
      </w:r>
      <w:r w:rsidRPr="00C100D0">
        <w:rPr>
          <w:b/>
          <w:vertAlign w:val="superscript"/>
        </w:rPr>
        <w:t>4</w:t>
      </w:r>
      <w:r w:rsidRPr="00C100D0">
        <w:rPr>
          <w:b/>
        </w:rPr>
        <w:t>-HPO</w:t>
      </w:r>
      <w:r w:rsidRPr="00C100D0">
        <w:rPr>
          <w:b/>
          <w:vertAlign w:val="subscript"/>
        </w:rPr>
        <w:t>4</w:t>
      </w:r>
      <w:r w:rsidRPr="00C100D0">
        <w:rPr>
          <w:b/>
          <w:vertAlign w:val="superscript"/>
        </w:rPr>
        <w:t>2-</w:t>
      </w:r>
      <w:r w:rsidRPr="00C100D0">
        <w:rPr>
          <w:b/>
        </w:rPr>
        <w:t>(2:1)</w:t>
      </w:r>
      <w:r w:rsidRPr="00C100D0">
        <w:t xml:space="preserve"> was crystallised by slow evaporation from a DMSO solution of the receptor </w:t>
      </w:r>
      <w:r w:rsidRPr="00C100D0">
        <w:rPr>
          <w:b/>
        </w:rPr>
        <w:t>L</w:t>
      </w:r>
      <w:r w:rsidRPr="00C100D0">
        <w:rPr>
          <w:b/>
          <w:vertAlign w:val="superscript"/>
        </w:rPr>
        <w:t>4</w:t>
      </w:r>
      <w:r w:rsidRPr="00C100D0">
        <w:t xml:space="preserve"> in the presence of an excess of TBA</w:t>
      </w:r>
      <w:r w:rsidRPr="00C100D0">
        <w:rPr>
          <w:vertAlign w:val="superscript"/>
        </w:rPr>
        <w:t>+</w:t>
      </w:r>
      <w:r w:rsidRPr="00C100D0">
        <w:t>H</w:t>
      </w:r>
      <w:r w:rsidRPr="00C100D0">
        <w:rPr>
          <w:vertAlign w:val="subscript"/>
        </w:rPr>
        <w:t>2</w:t>
      </w:r>
      <w:r w:rsidRPr="00C100D0">
        <w:t>PO</w:t>
      </w:r>
      <w:r w:rsidRPr="00C100D0">
        <w:rPr>
          <w:vertAlign w:val="subscript"/>
        </w:rPr>
        <w:t>4</w:t>
      </w:r>
      <w:r w:rsidRPr="00C100D0">
        <w:rPr>
          <w:vertAlign w:val="superscript"/>
        </w:rPr>
        <w:t>-</w:t>
      </w:r>
      <w:r w:rsidRPr="00C100D0">
        <w:t>. Interestingly the oxo-anion deprotonates in the solid-state structure.  This deprotonation process has been observed previously upon crystallisation of protonated oxo-anions with receptors containing multiple hydrogen bond donors.</w:t>
      </w:r>
      <w:r w:rsidR="002D216E" w:rsidRPr="00C100D0">
        <w:rPr>
          <w:vertAlign w:val="superscript"/>
        </w:rPr>
        <w:t>20</w:t>
      </w:r>
      <w:r w:rsidRPr="00C100D0">
        <w:rPr>
          <w:vertAlign w:val="superscript"/>
        </w:rPr>
        <w:t>, 2</w:t>
      </w:r>
      <w:r w:rsidR="002D216E" w:rsidRPr="00C100D0">
        <w:rPr>
          <w:vertAlign w:val="superscript"/>
        </w:rPr>
        <w:t>1</w:t>
      </w:r>
      <w:r w:rsidRPr="00C100D0">
        <w:rPr>
          <w:vertAlign w:val="superscript"/>
        </w:rPr>
        <w:t xml:space="preserve"> </w:t>
      </w:r>
      <w:r w:rsidRPr="00C100D0">
        <w:t xml:space="preserve">The structure adopts a monoclinic crystal system (space group </w:t>
      </w:r>
    </w:p>
    <w:p w14:paraId="1604E88D" w14:textId="77777777" w:rsidR="00FB4A6B" w:rsidRPr="00C100D0" w:rsidRDefault="00FB4A6B" w:rsidP="00A32E32">
      <w:pPr>
        <w:pStyle w:val="08ArticleText"/>
        <w:sectPr w:rsidR="00FB4A6B" w:rsidRPr="00C100D0"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555A2A69" w14:textId="77777777" w:rsidR="00FB4A6B" w:rsidRPr="00C100D0" w:rsidRDefault="00756951" w:rsidP="004A6882">
      <w:pPr>
        <w:pStyle w:val="G1aFigureImage"/>
      </w:pPr>
      <w:r w:rsidRPr="00C100D0">
        <w:rPr>
          <w:noProof/>
          <w:lang w:val="en-US" w:eastAsia="en-US"/>
        </w:rPr>
        <w:lastRenderedPageBreak/>
        <w:drawing>
          <wp:inline distT="0" distB="0" distL="0" distR="0" wp14:anchorId="6576AAB6" wp14:editId="14800061">
            <wp:extent cx="6103620" cy="1662430"/>
            <wp:effectExtent l="19050" t="0" r="0" b="0"/>
            <wp:docPr id="12" name="Picture 12" descr="fig 11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 11 bi"/>
                    <pic:cNvPicPr>
                      <a:picLocks noChangeAspect="1" noChangeArrowheads="1"/>
                    </pic:cNvPicPr>
                  </pic:nvPicPr>
                  <pic:blipFill>
                    <a:blip r:embed="rId27"/>
                    <a:srcRect/>
                    <a:stretch>
                      <a:fillRect/>
                    </a:stretch>
                  </pic:blipFill>
                  <pic:spPr bwMode="auto">
                    <a:xfrm>
                      <a:off x="0" y="0"/>
                      <a:ext cx="6103620" cy="1662430"/>
                    </a:xfrm>
                    <a:prstGeom prst="rect">
                      <a:avLst/>
                    </a:prstGeom>
                    <a:noFill/>
                    <a:ln w="9525">
                      <a:noFill/>
                      <a:miter lim="800000"/>
                      <a:headEnd/>
                      <a:tailEnd/>
                    </a:ln>
                  </pic:spPr>
                </pic:pic>
              </a:graphicData>
            </a:graphic>
          </wp:inline>
        </w:drawing>
      </w:r>
    </w:p>
    <w:p w14:paraId="7F19D907" w14:textId="77777777" w:rsidR="00FB4A6B" w:rsidRPr="00C100D0" w:rsidRDefault="00FB4A6B" w:rsidP="00F341C8">
      <w:pPr>
        <w:pStyle w:val="G1bFigureCaption"/>
        <w:jc w:val="both"/>
      </w:pPr>
      <w:r w:rsidRPr="00C100D0">
        <w:rPr>
          <w:b/>
        </w:rPr>
        <w:t>Figure</w:t>
      </w:r>
      <w:r w:rsidRPr="00C100D0">
        <w:t xml:space="preserve"> </w:t>
      </w:r>
      <w:r w:rsidRPr="00C100D0">
        <w:rPr>
          <w:b/>
        </w:rPr>
        <w:t>11</w:t>
      </w:r>
      <w:r w:rsidRPr="00C100D0">
        <w:t xml:space="preserve">. Portion of the 1-D crystal packing of the X-ray crystal structure </w:t>
      </w:r>
      <w:r w:rsidRPr="00C100D0">
        <w:rPr>
          <w:b/>
        </w:rPr>
        <w:t>L</w:t>
      </w:r>
      <w:r w:rsidRPr="00C100D0">
        <w:rPr>
          <w:b/>
          <w:vertAlign w:val="superscript"/>
        </w:rPr>
        <w:t>4</w:t>
      </w:r>
      <w:r w:rsidRPr="00C100D0">
        <w:rPr>
          <w:b/>
        </w:rPr>
        <w:t>-HPO</w:t>
      </w:r>
      <w:r w:rsidRPr="00C100D0">
        <w:rPr>
          <w:b/>
          <w:vertAlign w:val="subscript"/>
        </w:rPr>
        <w:t>4</w:t>
      </w:r>
      <w:r w:rsidRPr="00C100D0">
        <w:rPr>
          <w:b/>
          <w:vertAlign w:val="superscript"/>
        </w:rPr>
        <w:t>2-</w:t>
      </w:r>
      <w:r w:rsidRPr="00C100D0">
        <w:rPr>
          <w:b/>
        </w:rPr>
        <w:t xml:space="preserve">(2:1) </w:t>
      </w:r>
      <w:r w:rsidRPr="00C100D0">
        <w:t xml:space="preserve">propagating along the [101] direction, showed along two perpendicular directions. Anion-receptor interactions are represented as blue dashed lines, C-H···F intermolecular interactions as red dashed lines and </w:t>
      </w:r>
      <w:r w:rsidRPr="00C100D0">
        <w:rPr>
          <w:szCs w:val="16"/>
        </w:rPr>
        <w:sym w:font="Symbol" w:char="F070"/>
      </w:r>
      <w:r w:rsidRPr="00C100D0">
        <w:t>···</w:t>
      </w:r>
      <w:r w:rsidRPr="00C100D0">
        <w:rPr>
          <w:szCs w:val="16"/>
        </w:rPr>
        <w:sym w:font="Symbol" w:char="F070"/>
      </w:r>
      <w:r w:rsidRPr="00C100D0">
        <w:t xml:space="preserve"> stacking as black dashed lines. The two independent receptor units, 1 and 2, are coloured in grey and blue respectively. Solvent molecules (DMSO) are also shown.</w:t>
      </w:r>
    </w:p>
    <w:p w14:paraId="1DA7EE69" w14:textId="77777777" w:rsidR="00FB4A6B" w:rsidRPr="00C100D0" w:rsidRDefault="00FB4A6B" w:rsidP="00EF6197">
      <w:pPr>
        <w:pStyle w:val="08ArticleText"/>
        <w:sectPr w:rsidR="00FB4A6B" w:rsidRPr="00C100D0" w:rsidSect="004A6882">
          <w:endnotePr>
            <w:numFmt w:val="decimal"/>
          </w:endnotePr>
          <w:type w:val="continuous"/>
          <w:pgSz w:w="11907" w:h="15593" w:code="119"/>
          <w:pgMar w:top="1021" w:right="907" w:bottom="1021" w:left="1077" w:header="227" w:footer="624" w:gutter="0"/>
          <w:lnNumType w:countBy="5" w:distance="57"/>
          <w:cols w:space="397"/>
          <w:titlePg/>
          <w:docGrid w:linePitch="360"/>
        </w:sectPr>
      </w:pPr>
    </w:p>
    <w:p w14:paraId="4E71F834" w14:textId="77777777" w:rsidR="001B7790" w:rsidRPr="00C100D0" w:rsidRDefault="001B7790" w:rsidP="001B7790">
      <w:pPr>
        <w:pStyle w:val="08ArticleText"/>
        <w:rPr>
          <w:vertAlign w:val="superscript"/>
        </w:rPr>
      </w:pPr>
      <w:r w:rsidRPr="00C100D0">
        <w:lastRenderedPageBreak/>
        <w:t>P2</w:t>
      </w:r>
      <w:r w:rsidRPr="00C100D0">
        <w:rPr>
          <w:vertAlign w:val="subscript"/>
        </w:rPr>
        <w:t>1</w:t>
      </w:r>
      <w:r w:rsidRPr="00C100D0">
        <w:t>/n) with two independent receptor units, two TBA</w:t>
      </w:r>
      <w:r w:rsidRPr="00C100D0">
        <w:rPr>
          <w:vertAlign w:val="superscript"/>
        </w:rPr>
        <w:t>+</w:t>
      </w:r>
      <w:r w:rsidRPr="00C100D0">
        <w:t>, one HPO</w:t>
      </w:r>
      <w:r w:rsidRPr="00C100D0">
        <w:rPr>
          <w:vertAlign w:val="subscript"/>
        </w:rPr>
        <w:t>4</w:t>
      </w:r>
      <w:r w:rsidRPr="00C100D0">
        <w:rPr>
          <w:vertAlign w:val="superscript"/>
        </w:rPr>
        <w:t>-</w:t>
      </w:r>
      <w:r w:rsidRPr="00C100D0">
        <w:t xml:space="preserve"> and one molecule of DMSO in the asymmetric unit. Each HPO</w:t>
      </w:r>
      <w:r w:rsidRPr="00C100D0">
        <w:rPr>
          <w:vertAlign w:val="subscript"/>
        </w:rPr>
        <w:t>4</w:t>
      </w:r>
      <w:r w:rsidRPr="00C100D0">
        <w:rPr>
          <w:vertAlign w:val="superscript"/>
        </w:rPr>
        <w:t>-</w:t>
      </w:r>
      <w:r w:rsidRPr="00C100D0">
        <w:t xml:space="preserve"> unit is surrounded by four receptor units (two per each independent unit 1 and 2), interacting with only one of the two urea groups available (Figure 10), </w:t>
      </w:r>
      <w:r w:rsidRPr="00C100D0">
        <w:rPr>
          <w:i/>
        </w:rPr>
        <w:t>via</w:t>
      </w:r>
      <w:r w:rsidRPr="00C100D0">
        <w:t xml:space="preserve"> nine N-H···O hydrogen bonds (N-H···O distances lie in the range 1.87 - 2.62 Å, see Table S3 in ESI†). The remaining urea groups interact, as also observed in </w:t>
      </w:r>
      <w:r w:rsidRPr="00C100D0">
        <w:rPr>
          <w:b/>
        </w:rPr>
        <w:t>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w:t>
      </w:r>
      <w:r w:rsidRPr="00C100D0">
        <w:t>, with adjacent HPO</w:t>
      </w:r>
      <w:r w:rsidRPr="00C100D0">
        <w:rPr>
          <w:vertAlign w:val="subscript"/>
        </w:rPr>
        <w:t>4</w:t>
      </w:r>
      <w:r w:rsidRPr="00C100D0">
        <w:rPr>
          <w:vertAlign w:val="superscript"/>
        </w:rPr>
        <w:t>-</w:t>
      </w:r>
      <w:r w:rsidRPr="00C100D0">
        <w:t xml:space="preserve"> units to form an infinite 1-D chain propagating along the [101] direction (Figure 11). It is interesting to note in this structure the contribution of weak contacts, such as </w:t>
      </w:r>
      <w:r w:rsidRPr="00C100D0">
        <w:rPr>
          <w:rFonts w:ascii="Calibri" w:hAnsi="Calibri"/>
        </w:rPr>
        <w:sym w:font="Symbol" w:char="F070"/>
      </w:r>
      <w:r w:rsidRPr="00C100D0">
        <w:t>···</w:t>
      </w:r>
      <w:r w:rsidRPr="00C100D0">
        <w:rPr>
          <w:rFonts w:ascii="Calibri" w:hAnsi="Calibri"/>
        </w:rPr>
        <w:sym w:font="Symbol" w:char="F070"/>
      </w:r>
      <w:r w:rsidRPr="00C100D0">
        <w:t xml:space="preserve"> stacking (cen-cen distance for the two aromatic spacers is 3.64 Å) and C-H···F (C-H···F distances are 2.70 Å and 2.77 Å), in connecting the different units within the 1-D arrangement (Figure 11).</w:t>
      </w:r>
    </w:p>
    <w:p w14:paraId="054BB65D" w14:textId="77777777" w:rsidR="001B7790" w:rsidRPr="00C100D0" w:rsidRDefault="001B7790" w:rsidP="001B7790">
      <w:pPr>
        <w:pStyle w:val="08ArticleText"/>
      </w:pPr>
    </w:p>
    <w:p w14:paraId="449FCE99" w14:textId="77777777" w:rsidR="001B7790" w:rsidRPr="00C100D0" w:rsidRDefault="001B7790" w:rsidP="001B7790">
      <w:pPr>
        <w:pStyle w:val="08ArticleText"/>
      </w:pPr>
      <w:r w:rsidRPr="00C100D0">
        <w:tab/>
        <w:t xml:space="preserve">Similarly to </w:t>
      </w:r>
      <w:r w:rsidRPr="00C100D0">
        <w:rPr>
          <w:b/>
        </w:rPr>
        <w:t>L</w:t>
      </w:r>
      <w:r w:rsidRPr="00C100D0">
        <w:rPr>
          <w:b/>
          <w:vertAlign w:val="superscript"/>
        </w:rPr>
        <w:t>3</w:t>
      </w:r>
      <w:r w:rsidRPr="00C100D0">
        <w:rPr>
          <w:b/>
        </w:rPr>
        <w:t>-CO</w:t>
      </w:r>
      <w:r w:rsidRPr="00C100D0">
        <w:rPr>
          <w:b/>
          <w:vertAlign w:val="subscript"/>
        </w:rPr>
        <w:t>3</w:t>
      </w:r>
      <w:r w:rsidRPr="00C100D0">
        <w:rPr>
          <w:b/>
          <w:vertAlign w:val="superscript"/>
        </w:rPr>
        <w:t>2-</w:t>
      </w:r>
      <w:r w:rsidRPr="00C100D0">
        <w:rPr>
          <w:b/>
        </w:rPr>
        <w:t xml:space="preserve"> (2:1)</w:t>
      </w:r>
      <w:r w:rsidRPr="00C100D0">
        <w:t xml:space="preserve"> the solvent molecules (DMSO) does not actively partecipate in driving any relevant molecular arrangement but it simply bridges adjacent 1-D chains along the [010] direction </w:t>
      </w:r>
      <w:r w:rsidRPr="00C100D0">
        <w:rPr>
          <w:i/>
        </w:rPr>
        <w:t>via</w:t>
      </w:r>
      <w:r w:rsidRPr="00C100D0">
        <w:t xml:space="preserve"> C-H···F, O-H···O and C-H···O interactions (C-H···F and O-H···O distances are </w:t>
      </w:r>
      <w:r w:rsidR="00206368" w:rsidRPr="00C100D0">
        <w:t>2.65</w:t>
      </w:r>
      <w:r w:rsidRPr="00C100D0">
        <w:t xml:space="preserve"> Å and </w:t>
      </w:r>
      <w:r w:rsidR="00206368" w:rsidRPr="00C100D0">
        <w:t>1.89</w:t>
      </w:r>
      <w:r w:rsidRPr="00C100D0">
        <w:t xml:space="preserve"> Å respectively; C-H···O are 2.7</w:t>
      </w:r>
      <w:r w:rsidR="00206368" w:rsidRPr="00C100D0">
        <w:t>4</w:t>
      </w:r>
      <w:r w:rsidRPr="00C100D0">
        <w:t xml:space="preserve"> Å). A similar contribution is also given by the TBA</w:t>
      </w:r>
      <w:r w:rsidRPr="00C100D0">
        <w:rPr>
          <w:vertAlign w:val="superscript"/>
        </w:rPr>
        <w:t>+</w:t>
      </w:r>
      <w:r w:rsidRPr="00C100D0">
        <w:t xml:space="preserve"> units, which bridge, </w:t>
      </w:r>
      <w:r w:rsidRPr="00C100D0">
        <w:rPr>
          <w:i/>
        </w:rPr>
        <w:t>via</w:t>
      </w:r>
      <w:r w:rsidRPr="00C100D0">
        <w:t xml:space="preserve"> a set of weak C-H···F interactions, adjacent 1-D chains along the remaining two dimension of the packing (for a detailed representation of the crystal packing see Figure S1g in ESI†).</w:t>
      </w:r>
    </w:p>
    <w:p w14:paraId="41C5A1FE" w14:textId="77777777" w:rsidR="001B7790" w:rsidRPr="00C100D0" w:rsidRDefault="001B7790" w:rsidP="001B7790">
      <w:pPr>
        <w:pStyle w:val="08ArticleText"/>
      </w:pPr>
    </w:p>
    <w:p w14:paraId="55E46204" w14:textId="77777777" w:rsidR="001B7790" w:rsidRPr="00C100D0" w:rsidRDefault="001B7790" w:rsidP="001B7790">
      <w:pPr>
        <w:pStyle w:val="05BHeading"/>
      </w:pPr>
      <w:r w:rsidRPr="00C100D0">
        <w:t>3:1 ratio</w:t>
      </w:r>
    </w:p>
    <w:p w14:paraId="35911E01" w14:textId="77777777" w:rsidR="001B7790" w:rsidRPr="00C100D0" w:rsidRDefault="001B7790" w:rsidP="001B7790">
      <w:pPr>
        <w:pStyle w:val="08ArticleText"/>
      </w:pPr>
      <w:r w:rsidRPr="00C100D0">
        <w:rPr>
          <w:b/>
        </w:rPr>
        <w:t>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(3:1)</w:t>
      </w:r>
      <w:r w:rsidRPr="00C100D0">
        <w:t xml:space="preserve"> was crystallised by slow evaporation from a  DMSO solution of the receptor </w:t>
      </w:r>
      <w:r w:rsidRPr="00C100D0">
        <w:rPr>
          <w:b/>
        </w:rPr>
        <w:t>L</w:t>
      </w:r>
      <w:r w:rsidRPr="00C100D0">
        <w:rPr>
          <w:b/>
          <w:vertAlign w:val="superscript"/>
        </w:rPr>
        <w:t>2</w:t>
      </w:r>
      <w:r w:rsidRPr="00C100D0">
        <w:t xml:space="preserve"> in presence </w:t>
      </w:r>
      <w:r w:rsidRPr="00C100D0">
        <w:lastRenderedPageBreak/>
        <w:t>of an excess of TBA</w:t>
      </w:r>
      <w:r w:rsidRPr="00C100D0">
        <w:rPr>
          <w:vertAlign w:val="superscript"/>
        </w:rPr>
        <w:t>+</w:t>
      </w:r>
      <w:r w:rsidRPr="00C100D0">
        <w:t>HSO</w:t>
      </w:r>
      <w:r w:rsidRPr="00C100D0">
        <w:rPr>
          <w:vertAlign w:val="subscript"/>
        </w:rPr>
        <w:t>4</w:t>
      </w:r>
      <w:r w:rsidRPr="00C100D0">
        <w:rPr>
          <w:vertAlign w:val="superscript"/>
        </w:rPr>
        <w:t>-</w:t>
      </w:r>
      <w:r w:rsidRPr="00C100D0">
        <w:t>.</w:t>
      </w:r>
    </w:p>
    <w:p w14:paraId="1B38CB15" w14:textId="77777777" w:rsidR="00FB4A6B" w:rsidRPr="00C100D0" w:rsidRDefault="001B7790" w:rsidP="00A32E32">
      <w:pPr>
        <w:pStyle w:val="08ArticleText"/>
      </w:pPr>
      <w:r w:rsidRPr="00C100D0">
        <w:t>The structure adopts a monoclinic crystal system (space group P2</w:t>
      </w:r>
      <w:r w:rsidRPr="00C100D0">
        <w:rPr>
          <w:vertAlign w:val="subscript"/>
        </w:rPr>
        <w:t>1</w:t>
      </w:r>
      <w:r w:rsidRPr="00C100D0">
        <w:t>/c) with an asymmetric unit containing three receptor units, one SO</w:t>
      </w:r>
      <w:r w:rsidRPr="00C100D0">
        <w:rPr>
          <w:vertAlign w:val="subscript"/>
        </w:rPr>
        <w:t>4</w:t>
      </w:r>
      <w:r w:rsidRPr="00C100D0">
        <w:rPr>
          <w:vertAlign w:val="superscript"/>
        </w:rPr>
        <w:t>2-</w:t>
      </w:r>
      <w:r w:rsidRPr="00C100D0">
        <w:t>, two TBA</w:t>
      </w:r>
      <w:r w:rsidRPr="00C100D0">
        <w:rPr>
          <w:vertAlign w:val="superscript"/>
        </w:rPr>
        <w:t xml:space="preserve">+ </w:t>
      </w:r>
      <w:r w:rsidRPr="00C100D0">
        <w:t>units and two H</w:t>
      </w:r>
      <w:r w:rsidRPr="00C100D0">
        <w:rPr>
          <w:vertAlign w:val="subscript"/>
        </w:rPr>
        <w:t>2</w:t>
      </w:r>
      <w:r w:rsidRPr="00C100D0">
        <w:t xml:space="preserve">O molecules. </w:t>
      </w:r>
      <w:r w:rsidR="00FB4A6B" w:rsidRPr="00C100D0">
        <w:t xml:space="preserve"> </w:t>
      </w:r>
    </w:p>
    <w:p w14:paraId="6CD39960" w14:textId="77777777" w:rsidR="00FB4A6B" w:rsidRPr="00C100D0" w:rsidRDefault="00756951" w:rsidP="004A6882">
      <w:pPr>
        <w:pStyle w:val="G1aFigureImage"/>
      </w:pPr>
      <w:r w:rsidRPr="00C100D0">
        <w:rPr>
          <w:noProof/>
          <w:lang w:val="en-US" w:eastAsia="en-US"/>
        </w:rPr>
        <w:drawing>
          <wp:inline distT="0" distB="0" distL="0" distR="0" wp14:anchorId="0D9B512C" wp14:editId="1A85C6D9">
            <wp:extent cx="2844165" cy="3485515"/>
            <wp:effectExtent l="19050" t="0" r="0" b="0"/>
            <wp:docPr id="13" name="Picture 13" descr="Fig  12 nuo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  12 nuova.tif"/>
                    <pic:cNvPicPr>
                      <a:picLocks noChangeAspect="1" noChangeArrowheads="1"/>
                    </pic:cNvPicPr>
                  </pic:nvPicPr>
                  <pic:blipFill>
                    <a:blip r:embed="rId28"/>
                    <a:srcRect/>
                    <a:stretch>
                      <a:fillRect/>
                    </a:stretch>
                  </pic:blipFill>
                  <pic:spPr bwMode="auto">
                    <a:xfrm>
                      <a:off x="0" y="0"/>
                      <a:ext cx="2844165" cy="3485515"/>
                    </a:xfrm>
                    <a:prstGeom prst="rect">
                      <a:avLst/>
                    </a:prstGeom>
                    <a:noFill/>
                    <a:ln w="9525">
                      <a:noFill/>
                      <a:miter lim="800000"/>
                      <a:headEnd/>
                      <a:tailEnd/>
                    </a:ln>
                  </pic:spPr>
                </pic:pic>
              </a:graphicData>
            </a:graphic>
          </wp:inline>
        </w:drawing>
      </w:r>
    </w:p>
    <w:p w14:paraId="0CAFF349" w14:textId="77777777" w:rsidR="00FB4A6B" w:rsidRPr="00C100D0" w:rsidRDefault="00FB4A6B" w:rsidP="004A6882">
      <w:pPr>
        <w:pStyle w:val="G1bFigureCaption"/>
        <w:jc w:val="both"/>
      </w:pPr>
      <w:r w:rsidRPr="00C100D0">
        <w:rPr>
          <w:b/>
        </w:rPr>
        <w:t xml:space="preserve">Figure 12. </w:t>
      </w:r>
      <w:r w:rsidRPr="00C100D0">
        <w:t>Receptor-anion coordination in structure</w:t>
      </w:r>
      <w:r w:rsidRPr="00C100D0">
        <w:rPr>
          <w:b/>
        </w:rPr>
        <w:t xml:space="preserve"> 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 xml:space="preserve">(3:1) </w:t>
      </w:r>
      <w:r w:rsidRPr="00C100D0">
        <w:t>viewed along the [001] direction. a) coordination of one SO</w:t>
      </w:r>
      <w:r w:rsidRPr="00C100D0">
        <w:rPr>
          <w:vertAlign w:val="subscript"/>
        </w:rPr>
        <w:t>4</w:t>
      </w:r>
      <w:r w:rsidRPr="00C100D0">
        <w:rPr>
          <w:vertAlign w:val="superscript"/>
        </w:rPr>
        <w:t>2-</w:t>
      </w:r>
      <w:r w:rsidRPr="00C100D0">
        <w:t xml:space="preserve"> anion; b) dimeric arrangement with two SO</w:t>
      </w:r>
      <w:r w:rsidRPr="00C100D0">
        <w:rPr>
          <w:vertAlign w:val="subscript"/>
        </w:rPr>
        <w:t>4</w:t>
      </w:r>
      <w:r w:rsidRPr="00C100D0">
        <w:rPr>
          <w:vertAlign w:val="superscript"/>
        </w:rPr>
        <w:t>2-</w:t>
      </w:r>
      <w:r w:rsidRPr="00C100D0">
        <w:t xml:space="preserve"> anions coordinated by receptors 1, 2 and 3. The three independent receptor units, 1, 2 and 3 are coloured in red, grey and blue respectively. Intermolecular interactions involved in the coordination of the SO</w:t>
      </w:r>
      <w:r w:rsidRPr="00C100D0">
        <w:rPr>
          <w:vertAlign w:val="subscript"/>
        </w:rPr>
        <w:t>4</w:t>
      </w:r>
      <w:r w:rsidRPr="00C100D0">
        <w:rPr>
          <w:vertAlign w:val="superscript"/>
        </w:rPr>
        <w:t>2-</w:t>
      </w:r>
      <w:r w:rsidRPr="00C100D0">
        <w:t xml:space="preserve"> anion are indicated as blue dashed lines, O-H···O hydrogen bonds as red dashed lines. Water molecules are also shown.</w:t>
      </w:r>
    </w:p>
    <w:p w14:paraId="5514F14A" w14:textId="77777777" w:rsidR="00FB4A6B" w:rsidRPr="00C100D0" w:rsidRDefault="001B7790" w:rsidP="001B7790">
      <w:pPr>
        <w:pStyle w:val="08ArticleText"/>
      </w:pPr>
      <w:r w:rsidRPr="00C100D0">
        <w:lastRenderedPageBreak/>
        <w:t xml:space="preserve">In contrast to the previous receptor-anion complexes, which mainly adopt an open conformation, in </w:t>
      </w:r>
      <w:r w:rsidRPr="00C100D0">
        <w:rPr>
          <w:b/>
        </w:rPr>
        <w:t>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 xml:space="preserve">(3:1) </w:t>
      </w:r>
      <w:r w:rsidRPr="00C100D0">
        <w:t>two of the three independent receptor units (2 and 3) adopt a closed conformation, with the urea NHs oriented to form a pseudo-cavity.</w:t>
      </w:r>
    </w:p>
    <w:p w14:paraId="1F797F73" w14:textId="77777777" w:rsidR="00FB4A6B" w:rsidRPr="00C100D0" w:rsidRDefault="00756951" w:rsidP="00AD39DF">
      <w:pPr>
        <w:pStyle w:val="G1aFigureImage"/>
      </w:pPr>
      <w:r w:rsidRPr="00C100D0">
        <w:rPr>
          <w:noProof/>
          <w:lang w:val="en-US" w:eastAsia="en-US"/>
        </w:rPr>
        <w:drawing>
          <wp:inline distT="0" distB="0" distL="0" distR="0" wp14:anchorId="192A3FB6" wp14:editId="04DAEA89">
            <wp:extent cx="2523490" cy="2256155"/>
            <wp:effectExtent l="19050" t="0" r="0" b="0"/>
            <wp:docPr id="14" name="Picture 14" descr="fig 13 la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13 last.tif"/>
                    <pic:cNvPicPr>
                      <a:picLocks noChangeAspect="1" noChangeArrowheads="1"/>
                    </pic:cNvPicPr>
                  </pic:nvPicPr>
                  <pic:blipFill>
                    <a:blip r:embed="rId29"/>
                    <a:srcRect/>
                    <a:stretch>
                      <a:fillRect/>
                    </a:stretch>
                  </pic:blipFill>
                  <pic:spPr bwMode="auto">
                    <a:xfrm>
                      <a:off x="0" y="0"/>
                      <a:ext cx="2523490" cy="2256155"/>
                    </a:xfrm>
                    <a:prstGeom prst="rect">
                      <a:avLst/>
                    </a:prstGeom>
                    <a:noFill/>
                    <a:ln w="9525">
                      <a:noFill/>
                      <a:miter lim="800000"/>
                      <a:headEnd/>
                      <a:tailEnd/>
                    </a:ln>
                  </pic:spPr>
                </pic:pic>
              </a:graphicData>
            </a:graphic>
          </wp:inline>
        </w:drawing>
      </w:r>
    </w:p>
    <w:p w14:paraId="131B10E8" w14:textId="77777777" w:rsidR="00FB4A6B" w:rsidRPr="00C100D0" w:rsidRDefault="00FB4A6B" w:rsidP="00577D3B">
      <w:pPr>
        <w:pStyle w:val="G1bFigureCaption"/>
        <w:jc w:val="both"/>
      </w:pPr>
      <w:r w:rsidRPr="00C100D0">
        <w:rPr>
          <w:b/>
        </w:rPr>
        <w:t xml:space="preserve">Figure 13. </w:t>
      </w:r>
      <w:r w:rsidRPr="00C100D0">
        <w:t>Receptor-anion coordination in structure</w:t>
      </w:r>
      <w:r w:rsidRPr="00C100D0">
        <w:rPr>
          <w:b/>
        </w:rPr>
        <w:t xml:space="preserve"> 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 xml:space="preserve">(3:1) </w:t>
      </w:r>
      <w:r w:rsidRPr="00C100D0">
        <w:t>oriented to best show the twelve N-H···O hydrogen bonds (blue dashed lines). Hydrogen bonds above the 2.75 Å cut-off (red dashed lines) are also shown. Urea groups are highlighted for clarity. Water molecules are also shown.</w:t>
      </w:r>
    </w:p>
    <w:p w14:paraId="10645B9E" w14:textId="77777777" w:rsidR="00064CBA" w:rsidRPr="00C100D0" w:rsidRDefault="00FB4A6B" w:rsidP="00064CBA">
      <w:pPr>
        <w:pStyle w:val="08ArticleText"/>
      </w:pPr>
      <w:r w:rsidRPr="00C100D0">
        <w:tab/>
      </w:r>
      <w:r w:rsidR="00064CBA" w:rsidRPr="00C100D0">
        <w:t>These both coordinate the SO</w:t>
      </w:r>
      <w:r w:rsidR="00064CBA" w:rsidRPr="00C100D0">
        <w:rPr>
          <w:vertAlign w:val="subscript"/>
        </w:rPr>
        <w:t>4</w:t>
      </w:r>
      <w:r w:rsidR="00064CBA" w:rsidRPr="00C100D0">
        <w:rPr>
          <w:vertAlign w:val="superscript"/>
        </w:rPr>
        <w:t>2-</w:t>
      </w:r>
      <w:r w:rsidR="00064CBA" w:rsidRPr="00C100D0">
        <w:t xml:space="preserve"> </w:t>
      </w:r>
      <w:r w:rsidR="00064CBA" w:rsidRPr="00C100D0">
        <w:rPr>
          <w:i/>
        </w:rPr>
        <w:t>via</w:t>
      </w:r>
      <w:r w:rsidR="00064CBA" w:rsidRPr="00C100D0">
        <w:t xml:space="preserve"> eight N-H···O </w:t>
      </w:r>
      <w:r w:rsidR="00064CBA" w:rsidRPr="00C100D0">
        <w:lastRenderedPageBreak/>
        <w:t>hydrogen bonds (receptor blue and grey in Figure 12 a). The coordination is completed by two independent receptors 1 (red in Figure 12 a) that adopt an open conformation and contribute to the coordination with only one of the available urea groups.</w:t>
      </w:r>
    </w:p>
    <w:p w14:paraId="751B6CE0" w14:textId="77777777" w:rsidR="00FB4A6B" w:rsidRPr="00C100D0" w:rsidRDefault="00064CBA" w:rsidP="00064CBA">
      <w:pPr>
        <w:pStyle w:val="08ArticleText"/>
      </w:pPr>
      <w:r w:rsidRPr="00C100D0">
        <w:t>This results in a 3:1 stoichiometry with the SO</w:t>
      </w:r>
      <w:r w:rsidRPr="00C100D0">
        <w:rPr>
          <w:vertAlign w:val="subscript"/>
        </w:rPr>
        <w:t>4</w:t>
      </w:r>
      <w:r w:rsidRPr="00C100D0">
        <w:rPr>
          <w:vertAlign w:val="superscript"/>
        </w:rPr>
        <w:t>2-</w:t>
      </w:r>
      <w:r w:rsidRPr="00C100D0">
        <w:t xml:space="preserve"> anion surrounded by four receptor units: two of the type 1 and one of the type 2 and 3 (Figure 12 a) and connected </w:t>
      </w:r>
      <w:r w:rsidRPr="00C100D0">
        <w:rPr>
          <w:i/>
        </w:rPr>
        <w:t>via</w:t>
      </w:r>
      <w:r w:rsidRPr="00C100D0">
        <w:t xml:space="preserve"> a total of twelve</w:t>
      </w:r>
      <w:r w:rsidRPr="00C100D0">
        <w:rPr>
          <w:vertAlign w:val="superscript"/>
        </w:rPr>
        <w:t>21</w:t>
      </w:r>
      <w:r w:rsidRPr="00C100D0">
        <w:t xml:space="preserve"> N-H···O hydrogen bonds (N-H···O hydrogen bonds are in the range 1.99-2.49 Å, see Table S3 in ESI†). This, according to previous papers by Custelcean </w:t>
      </w:r>
      <w:r w:rsidRPr="00C100D0">
        <w:rPr>
          <w:i/>
        </w:rPr>
        <w:t>et al</w:t>
      </w:r>
      <w:r w:rsidRPr="00C100D0">
        <w:t xml:space="preserve"> </w:t>
      </w:r>
      <w:r w:rsidR="001E626D" w:rsidRPr="00C100D0">
        <w:rPr>
          <w:vertAlign w:val="superscript"/>
        </w:rPr>
        <w:t>23,24</w:t>
      </w:r>
      <w:r w:rsidRPr="00C100D0">
        <w:rPr>
          <w:vertAlign w:val="superscript"/>
        </w:rPr>
        <w:t xml:space="preserve"> </w:t>
      </w:r>
      <w:r w:rsidRPr="00C100D0">
        <w:t>represents the optimal coordination number for sulfate. An instance of the coordination of the SO</w:t>
      </w:r>
      <w:r w:rsidRPr="00C100D0">
        <w:rPr>
          <w:vertAlign w:val="subscript"/>
        </w:rPr>
        <w:t>4</w:t>
      </w:r>
      <w:r w:rsidRPr="00C100D0">
        <w:rPr>
          <w:vertAlign w:val="superscript"/>
        </w:rPr>
        <w:t>2-</w:t>
      </w:r>
      <w:r w:rsidRPr="00C100D0">
        <w:t xml:space="preserve"> anion is shown in Figure 13, where the urea groups are highlighted for</w:t>
      </w:r>
      <w:r w:rsidRPr="00C100D0">
        <w:rPr>
          <w:sz w:val="18"/>
          <w:szCs w:val="18"/>
        </w:rPr>
        <w:t xml:space="preserve"> </w:t>
      </w:r>
      <w:r w:rsidRPr="00C100D0">
        <w:t>clarity. This cluster is connected to a second SO</w:t>
      </w:r>
      <w:r w:rsidRPr="00C100D0">
        <w:rPr>
          <w:vertAlign w:val="subscript"/>
        </w:rPr>
        <w:t>4</w:t>
      </w:r>
      <w:r w:rsidRPr="00C100D0">
        <w:rPr>
          <w:vertAlign w:val="superscript"/>
        </w:rPr>
        <w:t xml:space="preserve">2- </w:t>
      </w:r>
      <w:r w:rsidRPr="00C100D0">
        <w:rPr>
          <w:i/>
        </w:rPr>
        <w:t>via</w:t>
      </w:r>
      <w:r w:rsidRPr="00C100D0">
        <w:t xml:space="preserve"> the available  urea groups of receptor 1 to form a sort of dimeric arrangement (Figure 12 b).</w:t>
      </w:r>
      <w:r w:rsidR="00FB4A6B" w:rsidRPr="00C100D0">
        <w:t xml:space="preserve">This is connected to adjacent dimers </w:t>
      </w:r>
      <w:r w:rsidR="00FB4A6B" w:rsidRPr="00C100D0">
        <w:rPr>
          <w:i/>
        </w:rPr>
        <w:t>via</w:t>
      </w:r>
      <w:r w:rsidR="00FB4A6B" w:rsidRPr="00C100D0">
        <w:t xml:space="preserve"> different sets of intermolecular interactions, including O-H···O, C-H···F and C-H···O. In particular C-H···F interactions (C-H···F distance is 2.77 Å) operate along the [100] direction, connecting different instances of the dimer to form a 1-D chain in which adjacent components are related by inversion symmetry (Figure 14).</w:t>
      </w:r>
    </w:p>
    <w:p w14:paraId="382CBB38" w14:textId="77777777" w:rsidR="00064CBA" w:rsidRPr="00C100D0" w:rsidRDefault="00064CBA" w:rsidP="00064CBA">
      <w:pPr>
        <w:pStyle w:val="08ArticleText"/>
        <w:sectPr w:rsidR="00064CBA" w:rsidRPr="00C100D0"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pPr>
    </w:p>
    <w:p w14:paraId="27173846" w14:textId="77777777" w:rsidR="00FB4A6B" w:rsidRPr="00C100D0" w:rsidRDefault="00756951" w:rsidP="006C4098">
      <w:pPr>
        <w:pStyle w:val="G1aFigureImage"/>
      </w:pPr>
      <w:r w:rsidRPr="00C100D0">
        <w:rPr>
          <w:noProof/>
          <w:lang w:val="en-US" w:eastAsia="en-US"/>
        </w:rPr>
        <w:lastRenderedPageBreak/>
        <w:drawing>
          <wp:inline distT="0" distB="0" distL="0" distR="0" wp14:anchorId="5D642CD6" wp14:editId="6718E7E1">
            <wp:extent cx="6122035" cy="2125980"/>
            <wp:effectExtent l="19050" t="0" r="0" b="0"/>
            <wp:docPr id="15" name="Picture 15" descr="fig 11 a viewed along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 11 a viewed along 001.tif"/>
                    <pic:cNvPicPr>
                      <a:picLocks noChangeAspect="1" noChangeArrowheads="1"/>
                    </pic:cNvPicPr>
                  </pic:nvPicPr>
                  <pic:blipFill>
                    <a:blip r:embed="rId30"/>
                    <a:srcRect/>
                    <a:stretch>
                      <a:fillRect/>
                    </a:stretch>
                  </pic:blipFill>
                  <pic:spPr bwMode="auto">
                    <a:xfrm>
                      <a:off x="0" y="0"/>
                      <a:ext cx="6122035" cy="2125980"/>
                    </a:xfrm>
                    <a:prstGeom prst="rect">
                      <a:avLst/>
                    </a:prstGeom>
                    <a:noFill/>
                    <a:ln w="9525">
                      <a:noFill/>
                      <a:miter lim="800000"/>
                      <a:headEnd/>
                      <a:tailEnd/>
                    </a:ln>
                  </pic:spPr>
                </pic:pic>
              </a:graphicData>
            </a:graphic>
          </wp:inline>
        </w:drawing>
      </w:r>
    </w:p>
    <w:p w14:paraId="40D6A29B" w14:textId="77777777" w:rsidR="00FB4A6B" w:rsidRPr="00C100D0" w:rsidRDefault="00FB4A6B" w:rsidP="00577D3B">
      <w:pPr>
        <w:pStyle w:val="G1bFigureCaption"/>
        <w:jc w:val="both"/>
        <w:sectPr w:rsidR="00FB4A6B" w:rsidRPr="00C100D0" w:rsidSect="006C4098">
          <w:endnotePr>
            <w:numFmt w:val="decimal"/>
          </w:endnotePr>
          <w:type w:val="continuous"/>
          <w:pgSz w:w="11907" w:h="15593" w:code="119"/>
          <w:pgMar w:top="1021" w:right="907" w:bottom="1021" w:left="1077" w:header="227" w:footer="624" w:gutter="0"/>
          <w:lnNumType w:countBy="5" w:distance="57"/>
          <w:cols w:space="397"/>
          <w:titlePg/>
          <w:docGrid w:linePitch="360"/>
        </w:sectPr>
      </w:pPr>
      <w:r w:rsidRPr="00C100D0">
        <w:rPr>
          <w:b/>
        </w:rPr>
        <w:t xml:space="preserve">Figure 14. </w:t>
      </w:r>
      <w:r w:rsidRPr="00C100D0">
        <w:t xml:space="preserve"> Portion of the 1-D crystal packing of the X-ray crystal structure </w:t>
      </w:r>
      <w:r w:rsidRPr="00C100D0">
        <w:rPr>
          <w:b/>
        </w:rPr>
        <w:t>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 xml:space="preserve">(3:1) </w:t>
      </w:r>
      <w:r w:rsidRPr="00C100D0">
        <w:t>viewed along the [001] direction showing propagation of the dimeric cluster along the [100] direction. Anion-receptor interactions are represented as blue dashed lines, C-H···F intermolecular interactions as black dashed lines, O-H···O hydrogen bonds as red dashed lines. The three independent receptor units, 1, 2 and 3 are coloured in red, grey and blue respectively. Water molecules are also reported. Centre of inversions are represented as black circles.</w:t>
      </w:r>
    </w:p>
    <w:p w14:paraId="0528F199" w14:textId="77777777" w:rsidR="00064CBA" w:rsidRPr="00C100D0" w:rsidRDefault="00064CBA" w:rsidP="00064CBA">
      <w:pPr>
        <w:pStyle w:val="08ArticleText"/>
      </w:pPr>
    </w:p>
    <w:p w14:paraId="0EC93388" w14:textId="77777777" w:rsidR="00064CBA" w:rsidRPr="00C100D0" w:rsidRDefault="00064CBA" w:rsidP="00064CBA">
      <w:pPr>
        <w:pStyle w:val="08ArticleText"/>
      </w:pPr>
    </w:p>
    <w:p w14:paraId="57CA9DAE" w14:textId="77777777" w:rsidR="00064CBA" w:rsidRPr="00C100D0" w:rsidRDefault="00064CBA" w:rsidP="00064CBA">
      <w:pPr>
        <w:pStyle w:val="08ArticleText"/>
      </w:pPr>
    </w:p>
    <w:p w14:paraId="130FFBAC" w14:textId="77777777" w:rsidR="00064CBA" w:rsidRPr="00C100D0" w:rsidRDefault="00064CBA" w:rsidP="00064CBA">
      <w:pPr>
        <w:pStyle w:val="08ArticleText"/>
      </w:pPr>
    </w:p>
    <w:p w14:paraId="6736B8B1" w14:textId="77777777" w:rsidR="00064CBA" w:rsidRPr="00C100D0" w:rsidRDefault="00064CBA" w:rsidP="00064CBA">
      <w:pPr>
        <w:pStyle w:val="08ArticleText"/>
      </w:pPr>
    </w:p>
    <w:p w14:paraId="39585BE2" w14:textId="77777777" w:rsidR="00064CBA" w:rsidRPr="00C100D0" w:rsidRDefault="00064CBA" w:rsidP="00064CBA">
      <w:pPr>
        <w:pStyle w:val="08ArticleText"/>
      </w:pPr>
    </w:p>
    <w:p w14:paraId="0DC9B111" w14:textId="77777777" w:rsidR="00064CBA" w:rsidRPr="00C100D0" w:rsidRDefault="00064CBA" w:rsidP="00064CBA">
      <w:pPr>
        <w:pStyle w:val="08ArticleText"/>
      </w:pPr>
    </w:p>
    <w:p w14:paraId="0D9A82FD" w14:textId="77777777" w:rsidR="00064CBA" w:rsidRPr="00C100D0" w:rsidRDefault="00064CBA" w:rsidP="00064CBA">
      <w:pPr>
        <w:pStyle w:val="08ArticleText"/>
      </w:pPr>
    </w:p>
    <w:p w14:paraId="7B9FE505" w14:textId="77777777" w:rsidR="00064CBA" w:rsidRPr="00C100D0" w:rsidRDefault="00064CBA" w:rsidP="00064CBA">
      <w:pPr>
        <w:pStyle w:val="08ArticleText"/>
      </w:pPr>
    </w:p>
    <w:p w14:paraId="4021EB1A" w14:textId="77777777" w:rsidR="00064CBA" w:rsidRPr="00C100D0" w:rsidRDefault="00064CBA" w:rsidP="00064CBA">
      <w:pPr>
        <w:pStyle w:val="08ArticleText"/>
      </w:pPr>
    </w:p>
    <w:p w14:paraId="704508B4" w14:textId="77777777" w:rsidR="00064CBA" w:rsidRPr="00C100D0" w:rsidRDefault="00064CBA" w:rsidP="00064CBA">
      <w:pPr>
        <w:pStyle w:val="08ArticleText"/>
      </w:pPr>
    </w:p>
    <w:p w14:paraId="236BCD70" w14:textId="77777777" w:rsidR="00064CBA" w:rsidRPr="00C100D0" w:rsidRDefault="00064CBA" w:rsidP="00064CBA">
      <w:pPr>
        <w:pStyle w:val="08ArticleText"/>
      </w:pPr>
    </w:p>
    <w:p w14:paraId="79B518D3" w14:textId="77777777" w:rsidR="00064CBA" w:rsidRPr="00C100D0" w:rsidRDefault="00064CBA" w:rsidP="00064CBA">
      <w:pPr>
        <w:pStyle w:val="08ArticleText"/>
      </w:pPr>
    </w:p>
    <w:p w14:paraId="3386605F" w14:textId="77777777" w:rsidR="00064CBA" w:rsidRPr="00C100D0" w:rsidRDefault="00064CBA" w:rsidP="00064CBA">
      <w:pPr>
        <w:pStyle w:val="08ArticleText"/>
      </w:pPr>
    </w:p>
    <w:p w14:paraId="452BF0F5" w14:textId="77777777" w:rsidR="00064CBA" w:rsidRPr="00C100D0" w:rsidRDefault="00064CBA" w:rsidP="00064CBA">
      <w:pPr>
        <w:pStyle w:val="08ArticleText"/>
      </w:pPr>
    </w:p>
    <w:p w14:paraId="41C7B5AE" w14:textId="77777777" w:rsidR="00064CBA" w:rsidRPr="00C100D0" w:rsidRDefault="00064CBA" w:rsidP="00064CBA">
      <w:pPr>
        <w:pStyle w:val="08ArticleText"/>
      </w:pPr>
    </w:p>
    <w:p w14:paraId="2591A369" w14:textId="77777777" w:rsidR="00064CBA" w:rsidRPr="00C100D0" w:rsidRDefault="00064CBA" w:rsidP="00064CBA">
      <w:pPr>
        <w:pStyle w:val="08ArticleText"/>
      </w:pPr>
    </w:p>
    <w:p w14:paraId="5F36CCC2" w14:textId="77777777" w:rsidR="00064CBA" w:rsidRPr="00C100D0" w:rsidRDefault="00064CBA" w:rsidP="00064CBA">
      <w:pPr>
        <w:pStyle w:val="08ArticleText"/>
      </w:pPr>
    </w:p>
    <w:p w14:paraId="545A119B" w14:textId="77777777" w:rsidR="00064CBA" w:rsidRPr="00C100D0" w:rsidRDefault="00064CBA" w:rsidP="00064CBA">
      <w:pPr>
        <w:pStyle w:val="08ArticleText"/>
      </w:pPr>
    </w:p>
    <w:p w14:paraId="1E624D10" w14:textId="77777777" w:rsidR="00064CBA" w:rsidRPr="00C100D0" w:rsidRDefault="00064CBA" w:rsidP="00064CBA">
      <w:pPr>
        <w:pStyle w:val="08ArticleText"/>
      </w:pPr>
    </w:p>
    <w:p w14:paraId="3C332BEA" w14:textId="77777777" w:rsidR="00064CBA" w:rsidRPr="00C100D0" w:rsidRDefault="00064CBA" w:rsidP="00064CBA">
      <w:pPr>
        <w:pStyle w:val="08ArticleText"/>
      </w:pPr>
    </w:p>
    <w:p w14:paraId="12288654" w14:textId="77777777" w:rsidR="00064CBA" w:rsidRPr="00C100D0" w:rsidRDefault="00064CBA" w:rsidP="00064CBA">
      <w:pPr>
        <w:pStyle w:val="08ArticleText"/>
      </w:pPr>
    </w:p>
    <w:p w14:paraId="37B60195" w14:textId="77777777" w:rsidR="00064CBA" w:rsidRPr="00C100D0" w:rsidRDefault="00064CBA" w:rsidP="00064CBA">
      <w:pPr>
        <w:pStyle w:val="08ArticleText"/>
      </w:pPr>
    </w:p>
    <w:p w14:paraId="5C678C64" w14:textId="77777777" w:rsidR="00064CBA" w:rsidRPr="00C100D0" w:rsidRDefault="00064CBA" w:rsidP="00064CBA">
      <w:pPr>
        <w:pStyle w:val="08ArticleText"/>
      </w:pPr>
    </w:p>
    <w:p w14:paraId="0B81BB50" w14:textId="77777777" w:rsidR="00064CBA" w:rsidRPr="00C100D0" w:rsidRDefault="00064CBA" w:rsidP="00064CBA">
      <w:pPr>
        <w:pStyle w:val="08ArticleText"/>
      </w:pPr>
      <w:r w:rsidRPr="00C100D0">
        <w:lastRenderedPageBreak/>
        <w:t xml:space="preserve">This inversion symmetry is also observed along the [010] direction where adjacent dimers are bridged by water molecules (Figure 15) </w:t>
      </w:r>
      <w:r w:rsidRPr="00C100D0">
        <w:rPr>
          <w:i/>
        </w:rPr>
        <w:t>via</w:t>
      </w:r>
      <w:r w:rsidRPr="00C100D0">
        <w:t xml:space="preserve"> strong O-H···O hydrogen bonds (O-H···O distances are 1.76 Å and 2.15 Å respectively). </w:t>
      </w:r>
    </w:p>
    <w:p w14:paraId="0AFB9D85" w14:textId="77777777" w:rsidR="00FB4A6B" w:rsidRPr="00C100D0" w:rsidRDefault="00064CBA" w:rsidP="00064CBA">
      <w:pPr>
        <w:pStyle w:val="08ArticleText"/>
      </w:pPr>
      <w:r w:rsidRPr="00C100D0">
        <w:t xml:space="preserve">It is interesting to note, again, the important role of water in driving specific molecular arrangements, as already seen for </w:t>
      </w:r>
      <w:r w:rsidRPr="00C100D0">
        <w:rPr>
          <w:b/>
        </w:rPr>
        <w:t>L</w:t>
      </w:r>
      <w:r w:rsidRPr="00C100D0">
        <w:rPr>
          <w:b/>
          <w:vertAlign w:val="superscript"/>
        </w:rPr>
        <w:t>1</w:t>
      </w:r>
      <w:r w:rsidRPr="00C100D0">
        <w:rPr>
          <w:b/>
        </w:rPr>
        <w:t>-AcO</w:t>
      </w:r>
      <w:r w:rsidRPr="00C100D0">
        <w:rPr>
          <w:b/>
          <w:vertAlign w:val="superscript"/>
        </w:rPr>
        <w:t>-</w:t>
      </w:r>
      <w:r w:rsidRPr="00C100D0">
        <w:rPr>
          <w:b/>
        </w:rPr>
        <w:t>(1:2)</w:t>
      </w:r>
      <w:r w:rsidRPr="00C100D0">
        <w:t xml:space="preserve">. This arises from its intrinsic features such as its small size and the simultaneous presence of hydrogen bond donors and acceptors which make water suitable for bridging different molecules. </w:t>
      </w:r>
      <w:r w:rsidR="001B7790" w:rsidRPr="00C100D0">
        <w:t>Similarly to the previous structures it is worth highlighting the role of C-H···F interactions (C-H···F distances are in the range 2.55-2.99 Å) which are responsible for the propagation of the dimeric cluster along the remaining direction of the crystal packing [001]. A more detailed representation of the crystal packing is reported in Figure S1h in ESI†.</w:t>
      </w:r>
    </w:p>
    <w:p w14:paraId="71D6A64B" w14:textId="77777777" w:rsidR="00FB4A6B" w:rsidRPr="00C100D0" w:rsidRDefault="00756951" w:rsidP="00E8759F">
      <w:pPr>
        <w:pStyle w:val="G1aFigureImage"/>
      </w:pPr>
      <w:r w:rsidRPr="00C100D0">
        <w:rPr>
          <w:noProof/>
          <w:lang w:val="en-US" w:eastAsia="en-US"/>
        </w:rPr>
        <w:drawing>
          <wp:inline distT="0" distB="0" distL="0" distR="0" wp14:anchorId="41849049" wp14:editId="15A0096D">
            <wp:extent cx="2879725" cy="3354705"/>
            <wp:effectExtent l="19050" t="0" r="0" b="0"/>
            <wp:docPr id="16" name="Picture 22" descr="Fig 13 nuova 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 13 nuova b.tif"/>
                    <pic:cNvPicPr>
                      <a:picLocks noChangeAspect="1" noChangeArrowheads="1"/>
                    </pic:cNvPicPr>
                  </pic:nvPicPr>
                  <pic:blipFill>
                    <a:blip r:embed="rId31"/>
                    <a:srcRect/>
                    <a:stretch>
                      <a:fillRect/>
                    </a:stretch>
                  </pic:blipFill>
                  <pic:spPr bwMode="auto">
                    <a:xfrm>
                      <a:off x="0" y="0"/>
                      <a:ext cx="2879725" cy="3354705"/>
                    </a:xfrm>
                    <a:prstGeom prst="rect">
                      <a:avLst/>
                    </a:prstGeom>
                    <a:noFill/>
                    <a:ln w="9525">
                      <a:noFill/>
                      <a:miter lim="800000"/>
                      <a:headEnd/>
                      <a:tailEnd/>
                    </a:ln>
                  </pic:spPr>
                </pic:pic>
              </a:graphicData>
            </a:graphic>
          </wp:inline>
        </w:drawing>
      </w:r>
    </w:p>
    <w:p w14:paraId="52B6872D" w14:textId="77777777" w:rsidR="00FB4A6B" w:rsidRPr="00C100D0" w:rsidRDefault="00FB4A6B" w:rsidP="00E8759F">
      <w:pPr>
        <w:pStyle w:val="G1bFigureCaption"/>
        <w:jc w:val="both"/>
      </w:pPr>
      <w:r w:rsidRPr="00C100D0">
        <w:rPr>
          <w:b/>
        </w:rPr>
        <w:t xml:space="preserve">Figure 15. </w:t>
      </w:r>
      <w:r w:rsidRPr="00C100D0">
        <w:t xml:space="preserve">Portion of the 1-D crystal packing of the X-ray crystal structure </w:t>
      </w:r>
      <w:r w:rsidRPr="00C100D0">
        <w:rPr>
          <w:b/>
        </w:rPr>
        <w:t>L</w:t>
      </w:r>
      <w:r w:rsidRPr="00C100D0">
        <w:rPr>
          <w:b/>
          <w:vertAlign w:val="superscript"/>
        </w:rPr>
        <w:t>2</w:t>
      </w:r>
      <w:r w:rsidRPr="00C100D0">
        <w:rPr>
          <w:b/>
        </w:rPr>
        <w:t>-SO</w:t>
      </w:r>
      <w:r w:rsidRPr="00C100D0">
        <w:rPr>
          <w:b/>
          <w:vertAlign w:val="subscript"/>
        </w:rPr>
        <w:t>4</w:t>
      </w:r>
      <w:r w:rsidRPr="00C100D0">
        <w:rPr>
          <w:b/>
          <w:vertAlign w:val="superscript"/>
        </w:rPr>
        <w:t>2-</w:t>
      </w:r>
      <w:r w:rsidRPr="00C100D0">
        <w:rPr>
          <w:b/>
        </w:rPr>
        <w:t xml:space="preserve">(3:1) </w:t>
      </w:r>
      <w:r w:rsidRPr="00C100D0">
        <w:t>viewed along the [001] direction showing  propagation of the dimeric cluster along the [010] direction. Anion-receptor interactions are represented as blue dashed lines, C-H···F intermolecular interactions as black dashed lines, O-H···O hydrogen bonds as red dashed lines. The three independent receptor units, 1, 2 and 3 are coloured in red, grey and blue respectively. Water molecules are also represented. Centre of inversions are represented as black circles.</w:t>
      </w:r>
    </w:p>
    <w:p w14:paraId="3F6CB3F9" w14:textId="77777777" w:rsidR="00FB4A6B" w:rsidRPr="00C100D0" w:rsidRDefault="00FB4A6B" w:rsidP="00F341C8">
      <w:pPr>
        <w:pStyle w:val="04AHeading"/>
      </w:pPr>
      <w:r w:rsidRPr="00C100D0">
        <w:t>Anion transport studies in lipid bilayers</w:t>
      </w:r>
    </w:p>
    <w:p w14:paraId="48411D24" w14:textId="77777777" w:rsidR="00FB4A6B" w:rsidRPr="00C100D0" w:rsidRDefault="00FB4A6B" w:rsidP="00F341C8">
      <w:pPr>
        <w:pStyle w:val="08ArticleText"/>
        <w:rPr>
          <w:sz w:val="18"/>
          <w:szCs w:val="18"/>
        </w:rPr>
      </w:pPr>
      <w:r w:rsidRPr="00C100D0">
        <w:t xml:space="preserve">The anion transport properties of receptors </w:t>
      </w:r>
      <w:r w:rsidRPr="00C100D0">
        <w:rPr>
          <w:b/>
        </w:rPr>
        <w:t>L</w:t>
      </w:r>
      <w:r w:rsidRPr="00C100D0">
        <w:rPr>
          <w:b/>
          <w:vertAlign w:val="superscript"/>
        </w:rPr>
        <w:t>1</w:t>
      </w:r>
      <w:r w:rsidRPr="00C100D0">
        <w:rPr>
          <w:b/>
        </w:rPr>
        <w:t>-L</w:t>
      </w:r>
      <w:r w:rsidRPr="00C100D0">
        <w:rPr>
          <w:b/>
          <w:vertAlign w:val="superscript"/>
        </w:rPr>
        <w:t>6</w:t>
      </w:r>
      <w:r w:rsidRPr="00C100D0">
        <w:rPr>
          <w:b/>
        </w:rPr>
        <w:t xml:space="preserve"> </w:t>
      </w:r>
      <w:r w:rsidRPr="00C100D0">
        <w:t xml:space="preserve">were studied using vesicle-based methods. </w:t>
      </w:r>
      <w:r w:rsidRPr="00C100D0">
        <w:rPr>
          <w:vertAlign w:val="superscript"/>
        </w:rPr>
        <w:t>2</w:t>
      </w:r>
      <w:r w:rsidR="001E626D" w:rsidRPr="00C100D0">
        <w:rPr>
          <w:vertAlign w:val="superscript"/>
        </w:rPr>
        <w:t>5</w:t>
      </w:r>
      <w:r w:rsidRPr="00C100D0">
        <w:rPr>
          <w:vertAlign w:val="superscript"/>
        </w:rPr>
        <w:t xml:space="preserve"> </w:t>
      </w:r>
      <w:r w:rsidRPr="00C100D0">
        <w:t xml:space="preserve">A sample of unilamellar POPC vesicles was prepared containing 489 mM NaCl buffered to pH 7.2 with 5 mM sodium phosphate salts. The vesicles were suspended at a lipid concentration of 1 mM in 489 </w:t>
      </w:r>
      <w:r w:rsidRPr="00C100D0">
        <w:lastRenderedPageBreak/>
        <w:t>mM NaNO</w:t>
      </w:r>
      <w:r w:rsidRPr="00C100D0">
        <w:rPr>
          <w:vertAlign w:val="subscript"/>
        </w:rPr>
        <w:t>3</w:t>
      </w:r>
      <w:r w:rsidRPr="00C100D0">
        <w:t xml:space="preserve"> buffered to pH 7.2 with 5 mM sodium phosphate salts. The experiment was initiated by the addition of a small amount of a DMSO solution of the receptor (0.02-2 mol% with respect to lipid), and the resulting chloride efflux was monitored using a chloride ion selective electrode (ISE). At the end of the experiment (300 s), the vesicles were lysed by addition of detergent, and the final electrode reading was used to calibrate 100% chloride release. We found that all the compounds except </w:t>
      </w:r>
      <w:r w:rsidRPr="00C100D0">
        <w:rPr>
          <w:b/>
        </w:rPr>
        <w:t>L</w:t>
      </w:r>
      <w:r w:rsidRPr="00C100D0">
        <w:rPr>
          <w:b/>
          <w:vertAlign w:val="superscript"/>
        </w:rPr>
        <w:t>1</w:t>
      </w:r>
      <w:r w:rsidRPr="00C100D0">
        <w:t xml:space="preserve"> (i.e. L</w:t>
      </w:r>
      <w:r w:rsidRPr="00C100D0">
        <w:rPr>
          <w:vertAlign w:val="superscript"/>
        </w:rPr>
        <w:t>2</w:t>
      </w:r>
      <w:r w:rsidRPr="00C100D0">
        <w:t>-L</w:t>
      </w:r>
      <w:r w:rsidRPr="00C100D0">
        <w:rPr>
          <w:vertAlign w:val="superscript"/>
        </w:rPr>
        <w:t>6</w:t>
      </w:r>
      <w:r w:rsidRPr="00C100D0">
        <w:t xml:space="preserve">) were capable of mediating chloride transport under these conditions (Figure 16 and Figures S3-S11 in ESI†). For this reason all the following studies were performed on </w:t>
      </w:r>
      <w:r w:rsidRPr="00C100D0">
        <w:rPr>
          <w:b/>
        </w:rPr>
        <w:t>L</w:t>
      </w:r>
      <w:r w:rsidRPr="00C100D0">
        <w:rPr>
          <w:b/>
          <w:vertAlign w:val="superscript"/>
        </w:rPr>
        <w:t>2</w:t>
      </w:r>
      <w:r w:rsidRPr="00C100D0">
        <w:rPr>
          <w:b/>
        </w:rPr>
        <w:t>-L</w:t>
      </w:r>
      <w:r w:rsidRPr="00C100D0">
        <w:rPr>
          <w:b/>
          <w:vertAlign w:val="superscript"/>
        </w:rPr>
        <w:t>6</w:t>
      </w:r>
      <w:r w:rsidRPr="00C100D0">
        <w:t xml:space="preserve">. In order to determine the mechanism of chloride release by receptors </w:t>
      </w:r>
      <w:r w:rsidRPr="00C100D0">
        <w:rPr>
          <w:b/>
        </w:rPr>
        <w:t>L</w:t>
      </w:r>
      <w:r w:rsidRPr="00C100D0">
        <w:rPr>
          <w:b/>
          <w:vertAlign w:val="superscript"/>
        </w:rPr>
        <w:t>2</w:t>
      </w:r>
      <w:r w:rsidRPr="00C100D0">
        <w:rPr>
          <w:b/>
        </w:rPr>
        <w:t>-L</w:t>
      </w:r>
      <w:r w:rsidRPr="00C100D0">
        <w:rPr>
          <w:b/>
          <w:vertAlign w:val="superscript"/>
        </w:rPr>
        <w:t>6</w:t>
      </w:r>
      <w:r w:rsidRPr="00C100D0">
        <w:t xml:space="preserve"> we performed a second experiment using POPC vesicles containing 450 mM NaCl buffered to pH 7.2 with 20 mM sodium</w:t>
      </w:r>
      <w:r w:rsidRPr="00C100D0">
        <w:rPr>
          <w:sz w:val="18"/>
          <w:szCs w:val="18"/>
        </w:rPr>
        <w:t xml:space="preserve"> </w:t>
      </w:r>
      <w:r w:rsidRPr="00C100D0">
        <w:t>phosphate salts.</w:t>
      </w:r>
    </w:p>
    <w:p w14:paraId="0507C513" w14:textId="77777777" w:rsidR="00FB4A6B" w:rsidRPr="00C100D0" w:rsidRDefault="00756951" w:rsidP="00F341C8">
      <w:pPr>
        <w:pStyle w:val="G1aFigureImage"/>
      </w:pPr>
      <w:r w:rsidRPr="00C100D0">
        <w:rPr>
          <w:noProof/>
          <w:lang w:val="en-US" w:eastAsia="en-US"/>
        </w:rPr>
        <w:drawing>
          <wp:inline distT="0" distB="0" distL="0" distR="0" wp14:anchorId="37966A52" wp14:editId="2079AFD2">
            <wp:extent cx="2381250" cy="1638935"/>
            <wp:effectExtent l="0" t="0" r="0" b="0"/>
            <wp:docPr id="17" name="Immagine 9" descr="Macintosh HD:Users:marti:Deskto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Macintosh HD:Users:marti:Desktop:1.pdf"/>
                    <pic:cNvPicPr>
                      <a:picLocks noChangeAspect="1" noChangeArrowheads="1"/>
                    </pic:cNvPicPr>
                  </pic:nvPicPr>
                  <pic:blipFill>
                    <a:blip r:embed="rId32"/>
                    <a:srcRect r="7050"/>
                    <a:stretch>
                      <a:fillRect/>
                    </a:stretch>
                  </pic:blipFill>
                  <pic:spPr bwMode="auto">
                    <a:xfrm>
                      <a:off x="0" y="0"/>
                      <a:ext cx="2381250" cy="1638935"/>
                    </a:xfrm>
                    <a:prstGeom prst="rect">
                      <a:avLst/>
                    </a:prstGeom>
                    <a:noFill/>
                    <a:ln w="9525">
                      <a:noFill/>
                      <a:miter lim="800000"/>
                      <a:headEnd/>
                      <a:tailEnd/>
                    </a:ln>
                  </pic:spPr>
                </pic:pic>
              </a:graphicData>
            </a:graphic>
          </wp:inline>
        </w:drawing>
      </w:r>
    </w:p>
    <w:p w14:paraId="162018F6" w14:textId="77777777" w:rsidR="00FB4A6B" w:rsidRPr="00C100D0" w:rsidRDefault="00FB4A6B" w:rsidP="004C5496">
      <w:pPr>
        <w:pStyle w:val="G1bFigureCaption"/>
        <w:jc w:val="both"/>
        <w:rPr>
          <w:lang w:eastAsia="it-IT"/>
        </w:rPr>
      </w:pPr>
      <w:r w:rsidRPr="00C100D0">
        <w:rPr>
          <w:b/>
        </w:rPr>
        <w:t xml:space="preserve">Figure 16. </w:t>
      </w:r>
      <w:r w:rsidRPr="00C100D0">
        <w:rPr>
          <w:lang w:eastAsia="it-IT"/>
        </w:rPr>
        <w:t xml:space="preserve">Chloride efflux promoted by a DMSO solution of </w:t>
      </w:r>
      <w:r w:rsidRPr="00C100D0">
        <w:rPr>
          <w:b/>
          <w:lang w:eastAsia="it-IT"/>
        </w:rPr>
        <w:t>L</w:t>
      </w:r>
      <w:r w:rsidRPr="00C100D0">
        <w:rPr>
          <w:b/>
          <w:vertAlign w:val="superscript"/>
          <w:lang w:eastAsia="it-IT"/>
        </w:rPr>
        <w:t>1</w:t>
      </w:r>
      <w:r w:rsidRPr="00C100D0">
        <w:rPr>
          <w:lang w:eastAsia="it-IT"/>
        </w:rPr>
        <w:t>-</w:t>
      </w:r>
      <w:r w:rsidRPr="00C100D0">
        <w:rPr>
          <w:b/>
          <w:bCs/>
          <w:lang w:eastAsia="it-IT"/>
        </w:rPr>
        <w:t>L</w:t>
      </w:r>
      <w:r w:rsidRPr="00C100D0">
        <w:rPr>
          <w:b/>
          <w:bCs/>
          <w:vertAlign w:val="superscript"/>
          <w:lang w:eastAsia="it-IT"/>
        </w:rPr>
        <w:t>6</w:t>
      </w:r>
      <w:r w:rsidRPr="00C100D0">
        <w:rPr>
          <w:lang w:eastAsia="it-IT"/>
        </w:rPr>
        <w:t xml:space="preserve"> (2 mol% carrier to lipid) from unilamellar POPC vesicles loaded with 489 mM NaCl buffered to pH 7.2 with 5 mM sodium phosphate salts. The vesicles were dispersed in 489 mM  NaNO</w:t>
      </w:r>
      <w:r w:rsidRPr="00C100D0">
        <w:rPr>
          <w:vertAlign w:val="subscript"/>
          <w:lang w:eastAsia="it-IT"/>
        </w:rPr>
        <w:t xml:space="preserve">3 </w:t>
      </w:r>
      <w:r w:rsidRPr="00C100D0">
        <w:rPr>
          <w:lang w:eastAsia="it-IT"/>
        </w:rPr>
        <w:t>buffered to pH 7.2 with 5 mM sodium phosphate salts. At the end of the experiment detergent was added to lyse the vesicles and calibrate the ISE to 100% chloride efflux. Each point represents an average of three trials. DMSO was used as a control.</w:t>
      </w:r>
    </w:p>
    <w:p w14:paraId="686A4B8A" w14:textId="77777777" w:rsidR="00FB4A6B" w:rsidRPr="00C100D0" w:rsidRDefault="00FB4A6B" w:rsidP="004C5496">
      <w:pPr>
        <w:pStyle w:val="08ArticleText"/>
      </w:pPr>
      <w:r w:rsidRPr="00C100D0">
        <w:t>The vesicles were suspended in 162 mM Na</w:t>
      </w:r>
      <w:r w:rsidRPr="00C100D0">
        <w:rPr>
          <w:vertAlign w:val="subscript"/>
        </w:rPr>
        <w:t>2</w:t>
      </w:r>
      <w:r w:rsidRPr="00C100D0">
        <w:t>SO</w:t>
      </w:r>
      <w:r w:rsidRPr="00C100D0">
        <w:rPr>
          <w:vertAlign w:val="subscript"/>
        </w:rPr>
        <w:t>4</w:t>
      </w:r>
      <w:r w:rsidRPr="00C100D0">
        <w:t xml:space="preserve"> buffered to pH 7.2 with 20 mM sodium phosphate salts. Upon addition of a transporter </w:t>
      </w:r>
      <w:r w:rsidRPr="00C100D0">
        <w:rPr>
          <w:b/>
        </w:rPr>
        <w:t>L</w:t>
      </w:r>
      <w:r w:rsidRPr="00C100D0">
        <w:rPr>
          <w:b/>
          <w:vertAlign w:val="superscript"/>
        </w:rPr>
        <w:t>2</w:t>
      </w:r>
      <w:r w:rsidRPr="00C100D0">
        <w:rPr>
          <w:b/>
        </w:rPr>
        <w:t>-L</w:t>
      </w:r>
      <w:r w:rsidRPr="00C100D0">
        <w:rPr>
          <w:b/>
          <w:vertAlign w:val="superscript"/>
        </w:rPr>
        <w:t xml:space="preserve">6 </w:t>
      </w:r>
      <w:r w:rsidRPr="00C100D0">
        <w:t>in a solution of DMSO at 2 mol% with respect to lipid, there was negligible chloride release. This indicates that these receptors function predominantly by an anion exchange mechanism. In the first assay, the receptors were shown to facilitate Cl</w:t>
      </w:r>
      <w:r w:rsidRPr="00C100D0">
        <w:rPr>
          <w:vertAlign w:val="superscript"/>
        </w:rPr>
        <w:t>-</w:t>
      </w:r>
      <w:r w:rsidRPr="00C100D0">
        <w:t>/NO</w:t>
      </w:r>
      <w:r w:rsidRPr="00C100D0">
        <w:rPr>
          <w:vertAlign w:val="subscript"/>
        </w:rPr>
        <w:t>3</w:t>
      </w:r>
      <w:r w:rsidRPr="00C100D0">
        <w:rPr>
          <w:vertAlign w:val="superscript"/>
        </w:rPr>
        <w:t>-</w:t>
      </w:r>
      <w:r w:rsidRPr="00C100D0">
        <w:t xml:space="preserve"> exchange, however in the second assay, little transport was observed due to the high hydrophilicity of the SO</w:t>
      </w:r>
      <w:r w:rsidRPr="00C100D0">
        <w:rPr>
          <w:vertAlign w:val="subscript"/>
        </w:rPr>
        <w:t>4</w:t>
      </w:r>
      <w:r w:rsidRPr="00C100D0">
        <w:rPr>
          <w:vertAlign w:val="superscript"/>
        </w:rPr>
        <w:t>2-</w:t>
      </w:r>
      <w:r w:rsidRPr="00C100D0">
        <w:t xml:space="preserve"> anion,</w:t>
      </w:r>
      <w:r w:rsidRPr="00C100D0">
        <w:rPr>
          <w:vertAlign w:val="superscript"/>
        </w:rPr>
        <w:t>2</w:t>
      </w:r>
      <w:r w:rsidR="001E626D" w:rsidRPr="00C100D0">
        <w:rPr>
          <w:vertAlign w:val="superscript"/>
        </w:rPr>
        <w:t>6</w:t>
      </w:r>
      <w:r w:rsidRPr="00C100D0">
        <w:t xml:space="preserve"> which usually prevents its transport by synthetic transporters.</w:t>
      </w:r>
      <w:r w:rsidRPr="00C100D0">
        <w:rPr>
          <w:vertAlign w:val="superscript"/>
        </w:rPr>
        <w:t>2</w:t>
      </w:r>
      <w:r w:rsidR="001E626D" w:rsidRPr="00C100D0">
        <w:rPr>
          <w:vertAlign w:val="superscript"/>
        </w:rPr>
        <w:t>7</w:t>
      </w:r>
      <w:r w:rsidRPr="00C100D0">
        <w:t xml:space="preserve"> After 120 s, a pulse of NaHCO</w:t>
      </w:r>
      <w:r w:rsidRPr="00C100D0">
        <w:rPr>
          <w:vertAlign w:val="subscript"/>
        </w:rPr>
        <w:t>3</w:t>
      </w:r>
      <w:r w:rsidRPr="00C100D0">
        <w:t xml:space="preserve"> solution was added, and we observed that the receptors (except </w:t>
      </w:r>
      <w:r w:rsidRPr="00C100D0">
        <w:rPr>
          <w:b/>
        </w:rPr>
        <w:t>L</w:t>
      </w:r>
      <w:r w:rsidRPr="00C100D0">
        <w:rPr>
          <w:b/>
          <w:vertAlign w:val="superscript"/>
        </w:rPr>
        <w:t>2</w:t>
      </w:r>
      <w:r w:rsidRPr="00C100D0">
        <w:t>) were able to begin mediating chloride efflux (Figure 17 and Figures S13-S19 in ESI†), evidence in support of Cl</w:t>
      </w:r>
      <w:r w:rsidRPr="00C100D0">
        <w:rPr>
          <w:vertAlign w:val="superscript"/>
        </w:rPr>
        <w:t>-</w:t>
      </w:r>
      <w:r w:rsidRPr="00C100D0">
        <w:t>/HCO</w:t>
      </w:r>
      <w:r w:rsidRPr="00C100D0">
        <w:rPr>
          <w:vertAlign w:val="subscript"/>
        </w:rPr>
        <w:t>3</w:t>
      </w:r>
      <w:r w:rsidRPr="00C100D0">
        <w:rPr>
          <w:vertAlign w:val="superscript"/>
        </w:rPr>
        <w:t>-</w:t>
      </w:r>
      <w:r w:rsidRPr="00C100D0">
        <w:t xml:space="preserve"> antiport mechanism although the compounds proved to be less active for chloride/bicarbonate exchange than for chloride/nitrate antiport. The lack of transport in the absence of a readily transportable  external anion was not perturbed by changing the encapsulated cation, thus implying that a M</w:t>
      </w:r>
      <w:r w:rsidRPr="00C100D0">
        <w:rPr>
          <w:vertAlign w:val="superscript"/>
        </w:rPr>
        <w:t>+</w:t>
      </w:r>
      <w:r w:rsidRPr="00C100D0">
        <w:t>/Cl</w:t>
      </w:r>
      <w:r w:rsidRPr="00C100D0">
        <w:rPr>
          <w:vertAlign w:val="superscript"/>
        </w:rPr>
        <w:t>-</w:t>
      </w:r>
      <w:r w:rsidRPr="00C100D0">
        <w:t xml:space="preserve"> co-</w:t>
      </w:r>
      <w:r w:rsidRPr="00C100D0">
        <w:lastRenderedPageBreak/>
        <w:t xml:space="preserve">transport mechanism is not possible (see Figure S21 in ESI†). </w:t>
      </w:r>
    </w:p>
    <w:p w14:paraId="50E0D37C" w14:textId="77777777" w:rsidR="00FB4A6B" w:rsidRPr="00C100D0" w:rsidRDefault="00756951" w:rsidP="00F77342">
      <w:pPr>
        <w:pStyle w:val="G1aFigureImage"/>
        <w:rPr>
          <w:noProof/>
        </w:rPr>
      </w:pPr>
      <w:r w:rsidRPr="00C100D0">
        <w:rPr>
          <w:noProof/>
          <w:lang w:val="en-US" w:eastAsia="en-US"/>
        </w:rPr>
        <w:drawing>
          <wp:inline distT="0" distB="0" distL="0" distR="0" wp14:anchorId="775AD192" wp14:editId="7226B669">
            <wp:extent cx="2381250" cy="1722120"/>
            <wp:effectExtent l="19050" t="0" r="0" b="0"/>
            <wp:docPr id="18"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33"/>
                    <a:srcRect l="2371" r="6924" b="3311"/>
                    <a:stretch>
                      <a:fillRect/>
                    </a:stretch>
                  </pic:blipFill>
                  <pic:spPr bwMode="auto">
                    <a:xfrm>
                      <a:off x="0" y="0"/>
                      <a:ext cx="2381250" cy="1722120"/>
                    </a:xfrm>
                    <a:prstGeom prst="rect">
                      <a:avLst/>
                    </a:prstGeom>
                    <a:noFill/>
                    <a:ln w="9525">
                      <a:noFill/>
                      <a:miter lim="800000"/>
                      <a:headEnd/>
                      <a:tailEnd/>
                    </a:ln>
                  </pic:spPr>
                </pic:pic>
              </a:graphicData>
            </a:graphic>
          </wp:inline>
        </w:drawing>
      </w:r>
    </w:p>
    <w:p w14:paraId="5C1E1A88" w14:textId="77777777" w:rsidR="00FB4A6B" w:rsidRPr="00C100D0" w:rsidRDefault="00FB4A6B" w:rsidP="00F77342">
      <w:pPr>
        <w:pStyle w:val="08ArticleText"/>
        <w:spacing w:line="240" w:lineRule="auto"/>
      </w:pPr>
      <w:r w:rsidRPr="00C100D0">
        <w:rPr>
          <w:b/>
          <w:sz w:val="16"/>
          <w:szCs w:val="16"/>
        </w:rPr>
        <w:t>Figure 17</w:t>
      </w:r>
      <w:r w:rsidRPr="00C100D0">
        <w:rPr>
          <w:sz w:val="16"/>
          <w:szCs w:val="16"/>
        </w:rPr>
        <w:t xml:space="preserve"> Chloride efflux promoted by a DMSO solution of compounds </w:t>
      </w:r>
      <w:r w:rsidRPr="00C100D0">
        <w:rPr>
          <w:b/>
          <w:sz w:val="16"/>
          <w:szCs w:val="16"/>
        </w:rPr>
        <w:t>L</w:t>
      </w:r>
      <w:r w:rsidRPr="00C100D0">
        <w:rPr>
          <w:b/>
          <w:bCs/>
          <w:sz w:val="16"/>
          <w:szCs w:val="16"/>
          <w:vertAlign w:val="superscript"/>
        </w:rPr>
        <w:t>2</w:t>
      </w:r>
      <w:r w:rsidRPr="00C100D0">
        <w:rPr>
          <w:sz w:val="16"/>
          <w:szCs w:val="16"/>
        </w:rPr>
        <w:t>–</w:t>
      </w:r>
      <w:r w:rsidRPr="00C100D0">
        <w:rPr>
          <w:b/>
          <w:sz w:val="16"/>
          <w:szCs w:val="16"/>
        </w:rPr>
        <w:t>L</w:t>
      </w:r>
      <w:r w:rsidRPr="00C100D0">
        <w:rPr>
          <w:b/>
          <w:bCs/>
          <w:sz w:val="16"/>
          <w:szCs w:val="16"/>
          <w:vertAlign w:val="superscript"/>
        </w:rPr>
        <w:t>6</w:t>
      </w:r>
      <w:r w:rsidRPr="00C100D0">
        <w:rPr>
          <w:b/>
          <w:bCs/>
          <w:sz w:val="16"/>
          <w:szCs w:val="16"/>
        </w:rPr>
        <w:t xml:space="preserve"> </w:t>
      </w:r>
      <w:r w:rsidRPr="00C100D0">
        <w:rPr>
          <w:sz w:val="16"/>
          <w:szCs w:val="16"/>
        </w:rPr>
        <w:t>(2 mol% carrier to lipid) from unilamellar POPC vesicles loaded with 451 mM NaCl buffered to pH 7.2 with 20 mM sodium phosphate salts. The vesicles were dispersed in 150 mM Na</w:t>
      </w:r>
      <w:r w:rsidRPr="00C100D0">
        <w:rPr>
          <w:sz w:val="16"/>
          <w:szCs w:val="16"/>
          <w:vertAlign w:val="subscript"/>
        </w:rPr>
        <w:t>2</w:t>
      </w:r>
      <w:r w:rsidRPr="00C100D0">
        <w:rPr>
          <w:sz w:val="16"/>
          <w:szCs w:val="16"/>
        </w:rPr>
        <w:t>SO</w:t>
      </w:r>
      <w:r w:rsidRPr="00C100D0">
        <w:rPr>
          <w:sz w:val="16"/>
          <w:szCs w:val="16"/>
          <w:vertAlign w:val="subscript"/>
        </w:rPr>
        <w:t>4</w:t>
      </w:r>
      <w:r w:rsidRPr="00C100D0">
        <w:rPr>
          <w:sz w:val="16"/>
          <w:szCs w:val="16"/>
        </w:rPr>
        <w:t xml:space="preserve"> buffered to pH 7.2 with 20 mM sodium phosphate salts. At 120 s a solution of sodium bicarbonate was</w:t>
      </w:r>
      <w:r w:rsidRPr="00C100D0">
        <w:t xml:space="preserve"> </w:t>
      </w:r>
      <w:r w:rsidRPr="00C100D0">
        <w:rPr>
          <w:sz w:val="16"/>
          <w:szCs w:val="16"/>
        </w:rPr>
        <w:t>added such that the external concentration of bicarbonate was 40 mM. At the end of the experiment, detergent was added to lyse the vesicles and calibrate the ISE to 100% chloride efflux. Each point represents an average of three trials. DMSO was used as a control.</w:t>
      </w:r>
    </w:p>
    <w:p w14:paraId="09ECAF1F" w14:textId="77777777" w:rsidR="00FB4A6B" w:rsidRPr="00C100D0" w:rsidRDefault="00FB4A6B" w:rsidP="00F77342">
      <w:pPr>
        <w:pStyle w:val="08ArticleText"/>
      </w:pPr>
    </w:p>
    <w:p w14:paraId="5806F853" w14:textId="77777777" w:rsidR="00FB4A6B" w:rsidRPr="00C100D0" w:rsidRDefault="00FB4A6B" w:rsidP="00F341C8">
      <w:pPr>
        <w:pStyle w:val="08ArticleText"/>
      </w:pPr>
      <w:r w:rsidRPr="00C100D0">
        <w:tab/>
        <w:t>In order to gather further evidence for a mobile carrier mechanism, we tested the Cl</w:t>
      </w:r>
      <w:r w:rsidRPr="00C100D0">
        <w:rPr>
          <w:vertAlign w:val="superscript"/>
        </w:rPr>
        <w:t>-</w:t>
      </w:r>
      <w:r w:rsidRPr="00C100D0">
        <w:t>/NO</w:t>
      </w:r>
      <w:r w:rsidRPr="00C100D0">
        <w:rPr>
          <w:vertAlign w:val="subscript"/>
        </w:rPr>
        <w:t>3</w:t>
      </w:r>
      <w:r w:rsidRPr="00C100D0">
        <w:rPr>
          <w:vertAlign w:val="superscript"/>
        </w:rPr>
        <w:t>-</w:t>
      </w:r>
      <w:r w:rsidRPr="00C100D0">
        <w:t xml:space="preserve"> antiport activity of </w:t>
      </w:r>
      <w:r w:rsidRPr="00C100D0">
        <w:rPr>
          <w:b/>
        </w:rPr>
        <w:t>L</w:t>
      </w:r>
      <w:r w:rsidRPr="00C100D0">
        <w:rPr>
          <w:b/>
          <w:vertAlign w:val="superscript"/>
        </w:rPr>
        <w:t>2</w:t>
      </w:r>
      <w:r w:rsidRPr="00C100D0">
        <w:rPr>
          <w:b/>
        </w:rPr>
        <w:t>-L</w:t>
      </w:r>
      <w:r w:rsidRPr="00C100D0">
        <w:rPr>
          <w:b/>
          <w:vertAlign w:val="superscript"/>
        </w:rPr>
        <w:t>6</w:t>
      </w:r>
      <w:r w:rsidRPr="00C100D0">
        <w:t xml:space="preserve"> in vesicles composed of POPC/cholesterol (7:3). The presence of cholesterol results in ordering of the bilayer, increasing its viscosity resulting in a slowing of the diffusion of a mobile carrier. Compounds </w:t>
      </w:r>
      <w:r w:rsidRPr="00C100D0">
        <w:rPr>
          <w:b/>
        </w:rPr>
        <w:t>L</w:t>
      </w:r>
      <w:r w:rsidRPr="00C100D0">
        <w:rPr>
          <w:b/>
          <w:vertAlign w:val="superscript"/>
        </w:rPr>
        <w:t>2</w:t>
      </w:r>
      <w:r w:rsidRPr="00C100D0">
        <w:rPr>
          <w:b/>
        </w:rPr>
        <w:t>-L</w:t>
      </w:r>
      <w:r w:rsidRPr="00C100D0">
        <w:rPr>
          <w:b/>
          <w:vertAlign w:val="superscript"/>
        </w:rPr>
        <w:t>6</w:t>
      </w:r>
      <w:r w:rsidRPr="00C100D0">
        <w:rPr>
          <w:b/>
        </w:rPr>
        <w:t xml:space="preserve"> </w:t>
      </w:r>
      <w:r w:rsidRPr="00C100D0">
        <w:t xml:space="preserve">showed a reduced rate of transport in the POPC/cholesterol system (see Figures S22-S25 in ESI† for </w:t>
      </w:r>
      <w:r w:rsidRPr="00C100D0">
        <w:rPr>
          <w:b/>
        </w:rPr>
        <w:t>L</w:t>
      </w:r>
      <w:r w:rsidRPr="00C100D0">
        <w:rPr>
          <w:b/>
          <w:vertAlign w:val="superscript"/>
        </w:rPr>
        <w:t>2</w:t>
      </w:r>
      <w:r w:rsidRPr="00C100D0">
        <w:t>-</w:t>
      </w:r>
      <w:r w:rsidRPr="00C100D0">
        <w:rPr>
          <w:b/>
        </w:rPr>
        <w:t>L</w:t>
      </w:r>
      <w:r w:rsidRPr="00C100D0">
        <w:rPr>
          <w:b/>
          <w:vertAlign w:val="superscript"/>
        </w:rPr>
        <w:t>5</w:t>
      </w:r>
      <w:r w:rsidRPr="00C100D0">
        <w:t>), evidence consistent with a mobile carrier mechanism.</w:t>
      </w:r>
      <w:r w:rsidRPr="00C100D0">
        <w:rPr>
          <w:vertAlign w:val="superscript"/>
        </w:rPr>
        <w:t>2</w:t>
      </w:r>
      <w:r w:rsidR="001E626D" w:rsidRPr="00C100D0">
        <w:rPr>
          <w:vertAlign w:val="superscript"/>
        </w:rPr>
        <w:t>8</w:t>
      </w:r>
      <w:r w:rsidRPr="00C100D0">
        <w:t xml:space="preserve"> In Figure 18, the chloride efflux mediated by </w:t>
      </w:r>
      <w:r w:rsidRPr="00C100D0">
        <w:rPr>
          <w:b/>
        </w:rPr>
        <w:t>L</w:t>
      </w:r>
      <w:r w:rsidRPr="00C100D0">
        <w:rPr>
          <w:b/>
          <w:vertAlign w:val="superscript"/>
        </w:rPr>
        <w:t>6</w:t>
      </w:r>
      <w:r w:rsidRPr="00C100D0">
        <w:t xml:space="preserve"> in POPC or POPC/cholesterol (7:3 molar ratio) is shown as an example. </w:t>
      </w:r>
    </w:p>
    <w:p w14:paraId="1E716D9C" w14:textId="77777777" w:rsidR="00FB4A6B" w:rsidRPr="00C100D0" w:rsidRDefault="00756951" w:rsidP="00F77342">
      <w:pPr>
        <w:pStyle w:val="G1aFigureImage"/>
        <w:rPr>
          <w:rFonts w:ascii="Verdana" w:hAnsi="Verdana"/>
          <w:noProof/>
          <w:vertAlign w:val="superscript"/>
          <w:lang w:val="en-US" w:eastAsia="en-US"/>
        </w:rPr>
      </w:pPr>
      <w:r w:rsidRPr="00C100D0">
        <w:rPr>
          <w:rFonts w:ascii="Verdana" w:hAnsi="Verdana"/>
          <w:noProof/>
          <w:vertAlign w:val="superscript"/>
          <w:lang w:val="en-US" w:eastAsia="en-US"/>
        </w:rPr>
        <w:drawing>
          <wp:inline distT="0" distB="0" distL="0" distR="0" wp14:anchorId="5230DB65" wp14:editId="375D9845">
            <wp:extent cx="2214880" cy="1579245"/>
            <wp:effectExtent l="19050" t="0" r="0" b="0"/>
            <wp:docPr id="19" name="Immagine 2" descr="Macintosh HD:Users:marti:Desktop:L6 colesterol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Macintosh HD:Users:marti:Desktop:L6 colesterolo.pdf"/>
                    <pic:cNvPicPr>
                      <a:picLocks noChangeAspect="1" noChangeArrowheads="1"/>
                    </pic:cNvPicPr>
                  </pic:nvPicPr>
                  <pic:blipFill>
                    <a:blip r:embed="rId34"/>
                    <a:srcRect r="5717"/>
                    <a:stretch>
                      <a:fillRect/>
                    </a:stretch>
                  </pic:blipFill>
                  <pic:spPr bwMode="auto">
                    <a:xfrm>
                      <a:off x="0" y="0"/>
                      <a:ext cx="2214880" cy="1579245"/>
                    </a:xfrm>
                    <a:prstGeom prst="rect">
                      <a:avLst/>
                    </a:prstGeom>
                    <a:noFill/>
                    <a:ln w="9525">
                      <a:noFill/>
                      <a:miter lim="800000"/>
                      <a:headEnd/>
                      <a:tailEnd/>
                    </a:ln>
                  </pic:spPr>
                </pic:pic>
              </a:graphicData>
            </a:graphic>
          </wp:inline>
        </w:drawing>
      </w:r>
    </w:p>
    <w:p w14:paraId="0086AAE7" w14:textId="77777777" w:rsidR="00FB4A6B" w:rsidRPr="00C100D0" w:rsidRDefault="00FB4A6B" w:rsidP="00A77678">
      <w:pPr>
        <w:jc w:val="both"/>
        <w:rPr>
          <w:sz w:val="16"/>
          <w:szCs w:val="16"/>
        </w:rPr>
      </w:pPr>
      <w:r w:rsidRPr="00C100D0">
        <w:rPr>
          <w:b/>
          <w:sz w:val="16"/>
          <w:szCs w:val="16"/>
          <w:lang w:val="en-US"/>
        </w:rPr>
        <w:t>Figure 18</w:t>
      </w:r>
      <w:r w:rsidRPr="00C100D0">
        <w:rPr>
          <w:sz w:val="16"/>
          <w:szCs w:val="16"/>
        </w:rPr>
        <w:t xml:space="preserve">. Chloride efflux promoted by a DMSO solution of compound </w:t>
      </w:r>
      <w:r w:rsidRPr="00C100D0">
        <w:rPr>
          <w:b/>
          <w:sz w:val="16"/>
          <w:szCs w:val="16"/>
          <w:lang w:val="en-US"/>
        </w:rPr>
        <w:t>L</w:t>
      </w:r>
      <w:r w:rsidRPr="00C100D0">
        <w:rPr>
          <w:b/>
          <w:bCs/>
          <w:sz w:val="16"/>
          <w:szCs w:val="16"/>
          <w:vertAlign w:val="superscript"/>
          <w:lang w:val="en-US"/>
        </w:rPr>
        <w:t>6</w:t>
      </w:r>
      <w:r w:rsidRPr="00C100D0">
        <w:rPr>
          <w:sz w:val="16"/>
          <w:szCs w:val="16"/>
        </w:rPr>
        <w:t xml:space="preserve"> (0.2mol% carrier to lipid) from unilamellar vesicles comprising of either POPC or POPC/cholesterol (7:3 molar ratio), loaded with 489mM NaCl buffered to pH 7.2 with 5mM sodium phosphate salts. The vesicles were dispersed in 489mM NaNO</w:t>
      </w:r>
      <w:r w:rsidRPr="00C100D0">
        <w:rPr>
          <w:sz w:val="16"/>
          <w:szCs w:val="16"/>
          <w:vertAlign w:val="subscript"/>
        </w:rPr>
        <w:t>3</w:t>
      </w:r>
      <w:r w:rsidRPr="00C100D0">
        <w:rPr>
          <w:sz w:val="16"/>
          <w:szCs w:val="16"/>
        </w:rPr>
        <w:t xml:space="preserve"> buffered to pH 7.2 with 5mM sodium phosphate salts. At the end of the experiment detergent was added to lyse the vesicles and calibrate the ISE to 100% chloride efflux. Each point represents an average of three trials. DMSO was used as a control.</w:t>
      </w:r>
    </w:p>
    <w:p w14:paraId="4957205B" w14:textId="77777777" w:rsidR="00FB4A6B" w:rsidRPr="00C100D0" w:rsidRDefault="00FB4A6B" w:rsidP="00A77678">
      <w:pPr>
        <w:jc w:val="both"/>
        <w:rPr>
          <w:sz w:val="16"/>
          <w:szCs w:val="16"/>
        </w:rPr>
      </w:pPr>
    </w:p>
    <w:p w14:paraId="2E8124FE" w14:textId="77777777" w:rsidR="00FB4A6B" w:rsidRPr="00C100D0" w:rsidRDefault="00FB4A6B" w:rsidP="00A77678">
      <w:pPr>
        <w:pStyle w:val="08ArticleText"/>
      </w:pPr>
      <w:r w:rsidRPr="00C100D0">
        <w:t xml:space="preserve">To quantify the transport activity of compounds </w:t>
      </w:r>
      <w:r w:rsidRPr="00C100D0">
        <w:rPr>
          <w:b/>
        </w:rPr>
        <w:t>L</w:t>
      </w:r>
      <w:r w:rsidRPr="00C100D0">
        <w:rPr>
          <w:b/>
          <w:vertAlign w:val="superscript"/>
        </w:rPr>
        <w:t>2</w:t>
      </w:r>
      <w:r w:rsidRPr="00C100D0">
        <w:t>–</w:t>
      </w:r>
      <w:r w:rsidRPr="00C100D0">
        <w:rPr>
          <w:b/>
        </w:rPr>
        <w:t>L</w:t>
      </w:r>
      <w:r w:rsidRPr="00C100D0">
        <w:rPr>
          <w:b/>
          <w:vertAlign w:val="superscript"/>
        </w:rPr>
        <w:t>6</w:t>
      </w:r>
      <w:r w:rsidRPr="00C100D0">
        <w:t xml:space="preserve"> Hill analyses</w:t>
      </w:r>
      <w:r w:rsidRPr="00C100D0">
        <w:rPr>
          <w:vertAlign w:val="superscript"/>
        </w:rPr>
        <w:t>2</w:t>
      </w:r>
      <w:r w:rsidR="001E626D" w:rsidRPr="00C100D0">
        <w:rPr>
          <w:vertAlign w:val="superscript"/>
        </w:rPr>
        <w:t>9</w:t>
      </w:r>
      <w:r w:rsidRPr="00C100D0">
        <w:t xml:space="preserve"> for the chloride/nitrate and chloride/bicarbonate antiport assays were performed (see Figures S4-S20 in ESI†). </w:t>
      </w:r>
    </w:p>
    <w:p w14:paraId="2B74F2BA" w14:textId="77777777" w:rsidR="00FB4A6B" w:rsidRPr="00C100D0" w:rsidRDefault="00FB4A6B" w:rsidP="00F77342">
      <w:pPr>
        <w:pStyle w:val="G4aTableTitle"/>
        <w:jc w:val="both"/>
        <w:rPr>
          <w:szCs w:val="16"/>
        </w:rPr>
      </w:pPr>
      <w:r w:rsidRPr="00C100D0">
        <w:rPr>
          <w:b/>
        </w:rPr>
        <w:lastRenderedPageBreak/>
        <w:t>Table 3.</w:t>
      </w:r>
      <w:r w:rsidRPr="00C100D0">
        <w:t xml:space="preserve"> The EC</w:t>
      </w:r>
      <w:r w:rsidRPr="00C100D0">
        <w:rPr>
          <w:vertAlign w:val="subscript"/>
        </w:rPr>
        <w:t>50</w:t>
      </w:r>
      <w:r w:rsidRPr="00C100D0">
        <w:t xml:space="preserve"> is the concentration (mol% carrier to lipid) needed to obtain 50% efflux after 270s and n is the Hill coefficient that represents an estimate of the number of transporter molecules required to transport a single anion.</w:t>
      </w:r>
    </w:p>
    <w:tbl>
      <w:tblPr>
        <w:tblW w:w="0" w:type="auto"/>
        <w:tblBorders>
          <w:top w:val="single" w:sz="8" w:space="0" w:color="000000"/>
          <w:bottom w:val="single" w:sz="8" w:space="0" w:color="000000"/>
        </w:tblBorders>
        <w:tblLook w:val="00A0" w:firstRow="1" w:lastRow="0" w:firstColumn="1" w:lastColumn="0" w:noHBand="0" w:noVBand="0"/>
      </w:tblPr>
      <w:tblGrid>
        <w:gridCol w:w="1077"/>
        <w:gridCol w:w="1341"/>
        <w:gridCol w:w="441"/>
        <w:gridCol w:w="1146"/>
        <w:gridCol w:w="974"/>
      </w:tblGrid>
      <w:tr w:rsidR="00FB4A6B" w:rsidRPr="00C100D0" w14:paraId="5177C9A4" w14:textId="77777777" w:rsidTr="0067704D">
        <w:tc>
          <w:tcPr>
            <w:tcW w:w="1077" w:type="dxa"/>
            <w:tcBorders>
              <w:top w:val="single" w:sz="8" w:space="0" w:color="000000"/>
              <w:left w:val="nil"/>
              <w:bottom w:val="single" w:sz="8" w:space="0" w:color="000000"/>
              <w:right w:val="nil"/>
            </w:tcBorders>
          </w:tcPr>
          <w:p w14:paraId="409083DD" w14:textId="77777777" w:rsidR="00FB4A6B" w:rsidRPr="00C100D0" w:rsidRDefault="00FB4A6B" w:rsidP="0067704D">
            <w:pPr>
              <w:spacing w:line="276" w:lineRule="auto"/>
              <w:jc w:val="center"/>
              <w:rPr>
                <w:b/>
                <w:bCs/>
                <w:color w:val="000000"/>
                <w:sz w:val="18"/>
                <w:szCs w:val="18"/>
              </w:rPr>
            </w:pPr>
            <w:r w:rsidRPr="00C100D0">
              <w:rPr>
                <w:b/>
                <w:bCs/>
                <w:sz w:val="18"/>
                <w:szCs w:val="18"/>
              </w:rPr>
              <w:t>Compound</w:t>
            </w:r>
          </w:p>
        </w:tc>
        <w:tc>
          <w:tcPr>
            <w:tcW w:w="1341" w:type="dxa"/>
            <w:tcBorders>
              <w:top w:val="single" w:sz="8" w:space="0" w:color="000000"/>
              <w:left w:val="nil"/>
              <w:bottom w:val="single" w:sz="8" w:space="0" w:color="000000"/>
              <w:right w:val="nil"/>
            </w:tcBorders>
          </w:tcPr>
          <w:p w14:paraId="031F9B44" w14:textId="77777777" w:rsidR="00FB4A6B" w:rsidRPr="00C100D0" w:rsidRDefault="00FB4A6B" w:rsidP="0067704D">
            <w:pPr>
              <w:spacing w:line="276" w:lineRule="auto"/>
              <w:jc w:val="center"/>
              <w:rPr>
                <w:b/>
                <w:bCs/>
                <w:sz w:val="18"/>
                <w:szCs w:val="18"/>
                <w:vertAlign w:val="subscript"/>
              </w:rPr>
            </w:pPr>
            <w:r w:rsidRPr="00C100D0">
              <w:rPr>
                <w:b/>
                <w:bCs/>
                <w:sz w:val="18"/>
                <w:szCs w:val="18"/>
              </w:rPr>
              <w:t>EC</w:t>
            </w:r>
            <w:r w:rsidRPr="00C100D0">
              <w:rPr>
                <w:b/>
                <w:bCs/>
                <w:sz w:val="18"/>
                <w:szCs w:val="18"/>
                <w:vertAlign w:val="subscript"/>
              </w:rPr>
              <w:t>50,270s</w:t>
            </w:r>
          </w:p>
          <w:p w14:paraId="6E943B58" w14:textId="77777777" w:rsidR="00FB4A6B" w:rsidRPr="00C100D0" w:rsidRDefault="00FB4A6B" w:rsidP="0067704D">
            <w:pPr>
              <w:spacing w:line="276" w:lineRule="auto"/>
              <w:jc w:val="center"/>
              <w:rPr>
                <w:b/>
                <w:bCs/>
                <w:color w:val="000000"/>
                <w:sz w:val="18"/>
                <w:szCs w:val="18"/>
              </w:rPr>
            </w:pPr>
            <w:r w:rsidRPr="00C100D0">
              <w:rPr>
                <w:b/>
                <w:bCs/>
                <w:sz w:val="18"/>
                <w:szCs w:val="18"/>
              </w:rPr>
              <w:t>(Cl</w:t>
            </w:r>
            <w:r w:rsidRPr="00C100D0">
              <w:rPr>
                <w:b/>
                <w:bCs/>
                <w:sz w:val="18"/>
                <w:szCs w:val="18"/>
                <w:vertAlign w:val="superscript"/>
              </w:rPr>
              <w:t>-</w:t>
            </w:r>
            <w:r w:rsidRPr="00C100D0">
              <w:rPr>
                <w:b/>
                <w:bCs/>
                <w:sz w:val="18"/>
                <w:szCs w:val="18"/>
              </w:rPr>
              <w:t>/NO</w:t>
            </w:r>
            <w:r w:rsidRPr="00C100D0">
              <w:rPr>
                <w:b/>
                <w:bCs/>
                <w:sz w:val="18"/>
                <w:szCs w:val="18"/>
                <w:vertAlign w:val="subscript"/>
              </w:rPr>
              <w:t>3</w:t>
            </w:r>
            <w:r w:rsidRPr="00C100D0">
              <w:rPr>
                <w:b/>
                <w:bCs/>
                <w:sz w:val="18"/>
                <w:szCs w:val="18"/>
                <w:vertAlign w:val="superscript"/>
              </w:rPr>
              <w:t>-</w:t>
            </w:r>
            <w:r w:rsidRPr="00C100D0">
              <w:rPr>
                <w:b/>
                <w:bCs/>
                <w:sz w:val="18"/>
                <w:szCs w:val="18"/>
              </w:rPr>
              <w:t>)</w:t>
            </w:r>
          </w:p>
        </w:tc>
        <w:tc>
          <w:tcPr>
            <w:tcW w:w="441" w:type="dxa"/>
            <w:tcBorders>
              <w:top w:val="single" w:sz="8" w:space="0" w:color="000000"/>
              <w:left w:val="nil"/>
              <w:bottom w:val="single" w:sz="8" w:space="0" w:color="000000"/>
              <w:right w:val="nil"/>
            </w:tcBorders>
          </w:tcPr>
          <w:p w14:paraId="47B58F4A" w14:textId="77777777" w:rsidR="00FB4A6B" w:rsidRPr="00C100D0" w:rsidRDefault="00FB4A6B" w:rsidP="0067704D">
            <w:pPr>
              <w:spacing w:line="276" w:lineRule="auto"/>
              <w:jc w:val="center"/>
              <w:rPr>
                <w:b/>
                <w:bCs/>
                <w:color w:val="000000"/>
                <w:sz w:val="18"/>
                <w:szCs w:val="18"/>
              </w:rPr>
            </w:pPr>
            <w:r w:rsidRPr="00C100D0">
              <w:rPr>
                <w:b/>
                <w:bCs/>
                <w:sz w:val="18"/>
                <w:szCs w:val="18"/>
              </w:rPr>
              <w:t>n</w:t>
            </w:r>
          </w:p>
        </w:tc>
        <w:tc>
          <w:tcPr>
            <w:tcW w:w="1146" w:type="dxa"/>
            <w:tcBorders>
              <w:top w:val="single" w:sz="8" w:space="0" w:color="000000"/>
              <w:left w:val="nil"/>
              <w:bottom w:val="single" w:sz="8" w:space="0" w:color="000000"/>
              <w:right w:val="nil"/>
            </w:tcBorders>
          </w:tcPr>
          <w:p w14:paraId="1B46DF14" w14:textId="77777777" w:rsidR="00FB4A6B" w:rsidRPr="00C100D0" w:rsidRDefault="00FB4A6B" w:rsidP="0067704D">
            <w:pPr>
              <w:spacing w:line="276" w:lineRule="auto"/>
              <w:jc w:val="center"/>
              <w:rPr>
                <w:b/>
                <w:bCs/>
                <w:sz w:val="18"/>
                <w:szCs w:val="18"/>
                <w:vertAlign w:val="subscript"/>
              </w:rPr>
            </w:pPr>
            <w:r w:rsidRPr="00C100D0">
              <w:rPr>
                <w:b/>
                <w:bCs/>
                <w:sz w:val="18"/>
                <w:szCs w:val="18"/>
              </w:rPr>
              <w:t>EC</w:t>
            </w:r>
            <w:r w:rsidRPr="00C100D0">
              <w:rPr>
                <w:b/>
                <w:bCs/>
                <w:sz w:val="18"/>
                <w:szCs w:val="18"/>
                <w:vertAlign w:val="subscript"/>
              </w:rPr>
              <w:t>50,270s</w:t>
            </w:r>
          </w:p>
          <w:p w14:paraId="08E8C9E7" w14:textId="77777777" w:rsidR="00FB4A6B" w:rsidRPr="00C100D0" w:rsidRDefault="00FB4A6B" w:rsidP="0067704D">
            <w:pPr>
              <w:spacing w:line="276" w:lineRule="auto"/>
              <w:jc w:val="center"/>
              <w:rPr>
                <w:b/>
                <w:bCs/>
                <w:color w:val="000000"/>
                <w:sz w:val="18"/>
                <w:szCs w:val="18"/>
              </w:rPr>
            </w:pPr>
            <w:r w:rsidRPr="00C100D0">
              <w:rPr>
                <w:b/>
                <w:bCs/>
                <w:sz w:val="18"/>
                <w:szCs w:val="18"/>
              </w:rPr>
              <w:t>(Cl</w:t>
            </w:r>
            <w:r w:rsidRPr="00C100D0">
              <w:rPr>
                <w:b/>
                <w:bCs/>
                <w:sz w:val="18"/>
                <w:szCs w:val="18"/>
                <w:vertAlign w:val="superscript"/>
              </w:rPr>
              <w:t>-</w:t>
            </w:r>
            <w:r w:rsidRPr="00C100D0">
              <w:rPr>
                <w:b/>
                <w:bCs/>
                <w:sz w:val="18"/>
                <w:szCs w:val="18"/>
              </w:rPr>
              <w:t>/HCO</w:t>
            </w:r>
            <w:r w:rsidRPr="00C100D0">
              <w:rPr>
                <w:b/>
                <w:bCs/>
                <w:sz w:val="18"/>
                <w:szCs w:val="18"/>
                <w:vertAlign w:val="subscript"/>
              </w:rPr>
              <w:t>3</w:t>
            </w:r>
            <w:r w:rsidRPr="00C100D0">
              <w:rPr>
                <w:b/>
                <w:bCs/>
                <w:sz w:val="18"/>
                <w:szCs w:val="18"/>
                <w:vertAlign w:val="superscript"/>
              </w:rPr>
              <w:t>-</w:t>
            </w:r>
            <w:r w:rsidRPr="00C100D0">
              <w:rPr>
                <w:b/>
                <w:bCs/>
                <w:sz w:val="18"/>
                <w:szCs w:val="18"/>
              </w:rPr>
              <w:t>)</w:t>
            </w:r>
          </w:p>
        </w:tc>
        <w:tc>
          <w:tcPr>
            <w:tcW w:w="974" w:type="dxa"/>
            <w:tcBorders>
              <w:top w:val="single" w:sz="8" w:space="0" w:color="000000"/>
              <w:left w:val="nil"/>
              <w:bottom w:val="single" w:sz="8" w:space="0" w:color="000000"/>
              <w:right w:val="nil"/>
            </w:tcBorders>
          </w:tcPr>
          <w:p w14:paraId="659648E8" w14:textId="77777777" w:rsidR="00FB4A6B" w:rsidRPr="00C100D0" w:rsidRDefault="00FB4A6B" w:rsidP="0067704D">
            <w:pPr>
              <w:spacing w:line="276" w:lineRule="auto"/>
              <w:jc w:val="center"/>
              <w:rPr>
                <w:b/>
                <w:bCs/>
                <w:color w:val="000000"/>
                <w:sz w:val="18"/>
                <w:szCs w:val="18"/>
              </w:rPr>
            </w:pPr>
            <w:r w:rsidRPr="00C100D0">
              <w:rPr>
                <w:b/>
                <w:bCs/>
                <w:sz w:val="18"/>
                <w:szCs w:val="18"/>
              </w:rPr>
              <w:t>n</w:t>
            </w:r>
          </w:p>
        </w:tc>
      </w:tr>
      <w:tr w:rsidR="00FB4A6B" w:rsidRPr="00C100D0" w14:paraId="2C68D889" w14:textId="77777777" w:rsidTr="0067704D">
        <w:tc>
          <w:tcPr>
            <w:tcW w:w="1077" w:type="dxa"/>
            <w:tcBorders>
              <w:top w:val="single" w:sz="8" w:space="0" w:color="000000"/>
              <w:left w:val="nil"/>
              <w:bottom w:val="nil"/>
              <w:right w:val="nil"/>
            </w:tcBorders>
          </w:tcPr>
          <w:p w14:paraId="7B7F7EDA" w14:textId="77777777" w:rsidR="00FB4A6B" w:rsidRPr="00C100D0" w:rsidRDefault="00FB4A6B" w:rsidP="0067704D">
            <w:pPr>
              <w:spacing w:line="276" w:lineRule="auto"/>
              <w:jc w:val="center"/>
              <w:rPr>
                <w:b/>
                <w:bCs/>
                <w:color w:val="000000"/>
                <w:sz w:val="18"/>
                <w:szCs w:val="18"/>
              </w:rPr>
            </w:pPr>
            <w:r w:rsidRPr="00C100D0">
              <w:rPr>
                <w:b/>
                <w:bCs/>
                <w:sz w:val="18"/>
                <w:szCs w:val="18"/>
              </w:rPr>
              <w:t>L</w:t>
            </w:r>
            <w:r w:rsidRPr="00C100D0">
              <w:rPr>
                <w:b/>
                <w:bCs/>
                <w:sz w:val="18"/>
                <w:szCs w:val="18"/>
                <w:vertAlign w:val="superscript"/>
              </w:rPr>
              <w:t>2</w:t>
            </w:r>
          </w:p>
        </w:tc>
        <w:tc>
          <w:tcPr>
            <w:tcW w:w="1341" w:type="dxa"/>
            <w:tcBorders>
              <w:top w:val="single" w:sz="8" w:space="0" w:color="000000"/>
              <w:left w:val="nil"/>
              <w:bottom w:val="nil"/>
              <w:right w:val="nil"/>
            </w:tcBorders>
          </w:tcPr>
          <w:p w14:paraId="65326F13" w14:textId="77777777" w:rsidR="00FB4A6B" w:rsidRPr="00C100D0" w:rsidRDefault="00FB4A6B" w:rsidP="0067704D">
            <w:pPr>
              <w:spacing w:line="276" w:lineRule="auto"/>
              <w:jc w:val="center"/>
              <w:rPr>
                <w:color w:val="000000"/>
                <w:sz w:val="18"/>
                <w:szCs w:val="18"/>
              </w:rPr>
            </w:pPr>
            <w:r w:rsidRPr="00C100D0">
              <w:rPr>
                <w:sz w:val="18"/>
                <w:szCs w:val="18"/>
              </w:rPr>
              <w:t>3.6</w:t>
            </w:r>
          </w:p>
        </w:tc>
        <w:tc>
          <w:tcPr>
            <w:tcW w:w="441" w:type="dxa"/>
            <w:tcBorders>
              <w:top w:val="single" w:sz="8" w:space="0" w:color="000000"/>
              <w:left w:val="nil"/>
              <w:bottom w:val="nil"/>
              <w:right w:val="nil"/>
            </w:tcBorders>
          </w:tcPr>
          <w:p w14:paraId="5ADC0BBC" w14:textId="77777777" w:rsidR="00FB4A6B" w:rsidRPr="00C100D0" w:rsidRDefault="00FB4A6B" w:rsidP="0067704D">
            <w:pPr>
              <w:spacing w:line="276" w:lineRule="auto"/>
              <w:jc w:val="center"/>
              <w:rPr>
                <w:color w:val="000000"/>
                <w:sz w:val="18"/>
                <w:szCs w:val="18"/>
              </w:rPr>
            </w:pPr>
            <w:r w:rsidRPr="00C100D0">
              <w:rPr>
                <w:sz w:val="18"/>
                <w:szCs w:val="18"/>
              </w:rPr>
              <w:t>1.2</w:t>
            </w:r>
          </w:p>
        </w:tc>
        <w:tc>
          <w:tcPr>
            <w:tcW w:w="1146" w:type="dxa"/>
            <w:tcBorders>
              <w:top w:val="single" w:sz="8" w:space="0" w:color="000000"/>
              <w:left w:val="nil"/>
              <w:bottom w:val="nil"/>
              <w:right w:val="nil"/>
            </w:tcBorders>
          </w:tcPr>
          <w:p w14:paraId="46BB1159" w14:textId="77777777" w:rsidR="00FB4A6B" w:rsidRPr="00C100D0" w:rsidRDefault="00FB4A6B" w:rsidP="0067704D">
            <w:pPr>
              <w:spacing w:line="276" w:lineRule="auto"/>
              <w:jc w:val="center"/>
              <w:rPr>
                <w:color w:val="000000"/>
                <w:sz w:val="18"/>
                <w:szCs w:val="18"/>
              </w:rPr>
            </w:pPr>
            <w:r w:rsidRPr="00C100D0">
              <w:rPr>
                <w:sz w:val="18"/>
                <w:szCs w:val="18"/>
              </w:rPr>
              <w:t>--</w:t>
            </w:r>
          </w:p>
        </w:tc>
        <w:tc>
          <w:tcPr>
            <w:tcW w:w="974" w:type="dxa"/>
            <w:tcBorders>
              <w:top w:val="single" w:sz="8" w:space="0" w:color="000000"/>
              <w:left w:val="nil"/>
              <w:bottom w:val="nil"/>
              <w:right w:val="nil"/>
            </w:tcBorders>
          </w:tcPr>
          <w:p w14:paraId="11956C4F" w14:textId="77777777" w:rsidR="00FB4A6B" w:rsidRPr="00C100D0" w:rsidRDefault="00FB4A6B" w:rsidP="0067704D">
            <w:pPr>
              <w:spacing w:line="276" w:lineRule="auto"/>
              <w:jc w:val="center"/>
              <w:rPr>
                <w:color w:val="000000"/>
                <w:sz w:val="18"/>
                <w:szCs w:val="18"/>
              </w:rPr>
            </w:pPr>
            <w:r w:rsidRPr="00C100D0">
              <w:rPr>
                <w:sz w:val="18"/>
                <w:szCs w:val="18"/>
              </w:rPr>
              <w:t>--</w:t>
            </w:r>
          </w:p>
        </w:tc>
      </w:tr>
      <w:tr w:rsidR="00FB4A6B" w:rsidRPr="00C100D0" w14:paraId="3F4FD88F" w14:textId="77777777" w:rsidTr="0067704D">
        <w:tc>
          <w:tcPr>
            <w:tcW w:w="1077" w:type="dxa"/>
            <w:tcBorders>
              <w:top w:val="nil"/>
              <w:bottom w:val="nil"/>
            </w:tcBorders>
          </w:tcPr>
          <w:p w14:paraId="4D47BE56" w14:textId="77777777" w:rsidR="00FB4A6B" w:rsidRPr="00C100D0" w:rsidRDefault="00FB4A6B" w:rsidP="0067704D">
            <w:pPr>
              <w:spacing w:line="276" w:lineRule="auto"/>
              <w:jc w:val="center"/>
              <w:rPr>
                <w:b/>
                <w:bCs/>
                <w:color w:val="000000"/>
                <w:sz w:val="18"/>
                <w:szCs w:val="18"/>
              </w:rPr>
            </w:pPr>
            <w:r w:rsidRPr="00C100D0">
              <w:rPr>
                <w:b/>
                <w:bCs/>
                <w:sz w:val="18"/>
                <w:szCs w:val="18"/>
              </w:rPr>
              <w:t>L</w:t>
            </w:r>
            <w:r w:rsidRPr="00C100D0">
              <w:rPr>
                <w:b/>
                <w:bCs/>
                <w:sz w:val="18"/>
                <w:szCs w:val="18"/>
                <w:vertAlign w:val="superscript"/>
              </w:rPr>
              <w:t>3</w:t>
            </w:r>
          </w:p>
        </w:tc>
        <w:tc>
          <w:tcPr>
            <w:tcW w:w="1341" w:type="dxa"/>
            <w:tcBorders>
              <w:top w:val="nil"/>
              <w:bottom w:val="nil"/>
            </w:tcBorders>
          </w:tcPr>
          <w:p w14:paraId="545DB66B" w14:textId="77777777" w:rsidR="00FB4A6B" w:rsidRPr="00C100D0" w:rsidRDefault="00FB4A6B" w:rsidP="0067704D">
            <w:pPr>
              <w:spacing w:line="276" w:lineRule="auto"/>
              <w:jc w:val="center"/>
              <w:rPr>
                <w:color w:val="000000"/>
                <w:sz w:val="18"/>
                <w:szCs w:val="18"/>
              </w:rPr>
            </w:pPr>
            <w:r w:rsidRPr="00C100D0">
              <w:rPr>
                <w:sz w:val="18"/>
                <w:szCs w:val="18"/>
              </w:rPr>
              <w:t>2.8</w:t>
            </w:r>
          </w:p>
        </w:tc>
        <w:tc>
          <w:tcPr>
            <w:tcW w:w="441" w:type="dxa"/>
            <w:tcBorders>
              <w:top w:val="nil"/>
              <w:bottom w:val="nil"/>
            </w:tcBorders>
          </w:tcPr>
          <w:p w14:paraId="2A2C0429" w14:textId="77777777" w:rsidR="00FB4A6B" w:rsidRPr="00C100D0" w:rsidRDefault="00FB4A6B" w:rsidP="0067704D">
            <w:pPr>
              <w:spacing w:line="276" w:lineRule="auto"/>
              <w:jc w:val="center"/>
              <w:rPr>
                <w:color w:val="000000"/>
                <w:sz w:val="18"/>
                <w:szCs w:val="18"/>
              </w:rPr>
            </w:pPr>
            <w:r w:rsidRPr="00C100D0">
              <w:rPr>
                <w:sz w:val="18"/>
                <w:szCs w:val="18"/>
              </w:rPr>
              <w:t>1.6</w:t>
            </w:r>
          </w:p>
        </w:tc>
        <w:tc>
          <w:tcPr>
            <w:tcW w:w="1146" w:type="dxa"/>
            <w:tcBorders>
              <w:top w:val="nil"/>
              <w:bottom w:val="nil"/>
            </w:tcBorders>
          </w:tcPr>
          <w:p w14:paraId="75A851D6" w14:textId="77777777" w:rsidR="00FB4A6B" w:rsidRPr="00C100D0" w:rsidRDefault="00FB4A6B" w:rsidP="0067704D">
            <w:pPr>
              <w:spacing w:line="276" w:lineRule="auto"/>
              <w:jc w:val="center"/>
              <w:rPr>
                <w:color w:val="000000"/>
                <w:sz w:val="18"/>
                <w:szCs w:val="18"/>
              </w:rPr>
            </w:pPr>
            <w:r w:rsidRPr="00C100D0">
              <w:rPr>
                <w:sz w:val="18"/>
                <w:szCs w:val="18"/>
              </w:rPr>
              <w:t>7.9</w:t>
            </w:r>
          </w:p>
        </w:tc>
        <w:tc>
          <w:tcPr>
            <w:tcW w:w="974" w:type="dxa"/>
            <w:tcBorders>
              <w:top w:val="nil"/>
              <w:bottom w:val="nil"/>
            </w:tcBorders>
          </w:tcPr>
          <w:p w14:paraId="555880BE" w14:textId="77777777" w:rsidR="00FB4A6B" w:rsidRPr="00C100D0" w:rsidRDefault="00FB4A6B" w:rsidP="0067704D">
            <w:pPr>
              <w:spacing w:line="276" w:lineRule="auto"/>
              <w:jc w:val="center"/>
              <w:rPr>
                <w:color w:val="000000"/>
                <w:sz w:val="18"/>
                <w:szCs w:val="18"/>
              </w:rPr>
            </w:pPr>
            <w:r w:rsidRPr="00C100D0">
              <w:rPr>
                <w:sz w:val="18"/>
                <w:szCs w:val="18"/>
              </w:rPr>
              <w:t>0.9</w:t>
            </w:r>
          </w:p>
        </w:tc>
      </w:tr>
      <w:tr w:rsidR="00FB4A6B" w:rsidRPr="00C100D0" w14:paraId="6C388BC4" w14:textId="77777777" w:rsidTr="0067704D">
        <w:tc>
          <w:tcPr>
            <w:tcW w:w="1077" w:type="dxa"/>
            <w:tcBorders>
              <w:top w:val="nil"/>
              <w:left w:val="nil"/>
              <w:bottom w:val="nil"/>
              <w:right w:val="nil"/>
            </w:tcBorders>
          </w:tcPr>
          <w:p w14:paraId="7533B020" w14:textId="77777777" w:rsidR="00FB4A6B" w:rsidRPr="00C100D0" w:rsidRDefault="00FB4A6B" w:rsidP="0067704D">
            <w:pPr>
              <w:spacing w:line="276" w:lineRule="auto"/>
              <w:jc w:val="center"/>
              <w:rPr>
                <w:b/>
                <w:bCs/>
                <w:color w:val="000000"/>
                <w:sz w:val="18"/>
                <w:szCs w:val="18"/>
                <w:vertAlign w:val="superscript"/>
              </w:rPr>
            </w:pPr>
            <w:r w:rsidRPr="00C100D0">
              <w:rPr>
                <w:b/>
                <w:bCs/>
                <w:sz w:val="18"/>
                <w:szCs w:val="18"/>
              </w:rPr>
              <w:t>L</w:t>
            </w:r>
            <w:r w:rsidRPr="00C100D0">
              <w:rPr>
                <w:b/>
                <w:bCs/>
                <w:sz w:val="18"/>
                <w:szCs w:val="18"/>
                <w:vertAlign w:val="superscript"/>
              </w:rPr>
              <w:t>4</w:t>
            </w:r>
          </w:p>
        </w:tc>
        <w:tc>
          <w:tcPr>
            <w:tcW w:w="1341" w:type="dxa"/>
            <w:tcBorders>
              <w:top w:val="nil"/>
              <w:left w:val="nil"/>
              <w:bottom w:val="nil"/>
              <w:right w:val="nil"/>
            </w:tcBorders>
          </w:tcPr>
          <w:p w14:paraId="5AF8B515" w14:textId="77777777" w:rsidR="00FB4A6B" w:rsidRPr="00C100D0" w:rsidRDefault="00FB4A6B" w:rsidP="0067704D">
            <w:pPr>
              <w:spacing w:line="276" w:lineRule="auto"/>
              <w:jc w:val="center"/>
              <w:rPr>
                <w:color w:val="000000"/>
                <w:sz w:val="18"/>
                <w:szCs w:val="18"/>
              </w:rPr>
            </w:pPr>
            <w:r w:rsidRPr="00C100D0">
              <w:rPr>
                <w:sz w:val="18"/>
                <w:szCs w:val="18"/>
              </w:rPr>
              <w:t>1.3</w:t>
            </w:r>
          </w:p>
        </w:tc>
        <w:tc>
          <w:tcPr>
            <w:tcW w:w="441" w:type="dxa"/>
            <w:tcBorders>
              <w:top w:val="nil"/>
              <w:left w:val="nil"/>
              <w:bottom w:val="nil"/>
              <w:right w:val="nil"/>
            </w:tcBorders>
          </w:tcPr>
          <w:p w14:paraId="1247D168" w14:textId="77777777" w:rsidR="00FB4A6B" w:rsidRPr="00C100D0" w:rsidRDefault="00FB4A6B" w:rsidP="0067704D">
            <w:pPr>
              <w:spacing w:line="276" w:lineRule="auto"/>
              <w:jc w:val="center"/>
              <w:rPr>
                <w:color w:val="000000"/>
                <w:sz w:val="18"/>
                <w:szCs w:val="18"/>
              </w:rPr>
            </w:pPr>
            <w:r w:rsidRPr="00C100D0">
              <w:rPr>
                <w:sz w:val="18"/>
                <w:szCs w:val="18"/>
              </w:rPr>
              <w:t>1.1</w:t>
            </w:r>
          </w:p>
        </w:tc>
        <w:tc>
          <w:tcPr>
            <w:tcW w:w="1146" w:type="dxa"/>
            <w:tcBorders>
              <w:top w:val="nil"/>
              <w:left w:val="nil"/>
              <w:bottom w:val="nil"/>
              <w:right w:val="nil"/>
            </w:tcBorders>
          </w:tcPr>
          <w:p w14:paraId="68393009" w14:textId="77777777" w:rsidR="00FB4A6B" w:rsidRPr="00C100D0" w:rsidRDefault="00FB4A6B" w:rsidP="0067704D">
            <w:pPr>
              <w:spacing w:line="276" w:lineRule="auto"/>
              <w:jc w:val="center"/>
              <w:rPr>
                <w:color w:val="000000"/>
                <w:sz w:val="18"/>
                <w:szCs w:val="18"/>
              </w:rPr>
            </w:pPr>
            <w:r w:rsidRPr="00C100D0">
              <w:rPr>
                <w:sz w:val="18"/>
                <w:szCs w:val="18"/>
              </w:rPr>
              <w:t>10.7</w:t>
            </w:r>
          </w:p>
        </w:tc>
        <w:tc>
          <w:tcPr>
            <w:tcW w:w="974" w:type="dxa"/>
            <w:tcBorders>
              <w:top w:val="nil"/>
              <w:left w:val="nil"/>
              <w:bottom w:val="nil"/>
              <w:right w:val="nil"/>
            </w:tcBorders>
          </w:tcPr>
          <w:p w14:paraId="74F4BE61" w14:textId="77777777" w:rsidR="00FB4A6B" w:rsidRPr="00C100D0" w:rsidRDefault="00FB4A6B" w:rsidP="0067704D">
            <w:pPr>
              <w:spacing w:line="276" w:lineRule="auto"/>
              <w:jc w:val="center"/>
              <w:rPr>
                <w:color w:val="000000"/>
                <w:sz w:val="18"/>
                <w:szCs w:val="18"/>
              </w:rPr>
            </w:pPr>
            <w:r w:rsidRPr="00C100D0">
              <w:rPr>
                <w:sz w:val="18"/>
                <w:szCs w:val="18"/>
              </w:rPr>
              <w:t>1</w:t>
            </w:r>
          </w:p>
        </w:tc>
      </w:tr>
      <w:tr w:rsidR="00FB4A6B" w:rsidRPr="00C100D0" w14:paraId="4C0E6FE5" w14:textId="77777777" w:rsidTr="0067704D">
        <w:tc>
          <w:tcPr>
            <w:tcW w:w="1077" w:type="dxa"/>
            <w:tcBorders>
              <w:top w:val="nil"/>
              <w:bottom w:val="nil"/>
            </w:tcBorders>
          </w:tcPr>
          <w:p w14:paraId="5056DA35" w14:textId="77777777" w:rsidR="00FB4A6B" w:rsidRPr="00C100D0" w:rsidRDefault="00FB4A6B" w:rsidP="0067704D">
            <w:pPr>
              <w:spacing w:line="276" w:lineRule="auto"/>
              <w:jc w:val="center"/>
              <w:rPr>
                <w:b/>
                <w:bCs/>
                <w:color w:val="000000"/>
                <w:sz w:val="18"/>
                <w:szCs w:val="18"/>
                <w:vertAlign w:val="superscript"/>
              </w:rPr>
            </w:pPr>
            <w:r w:rsidRPr="00C100D0">
              <w:rPr>
                <w:b/>
                <w:bCs/>
                <w:sz w:val="18"/>
                <w:szCs w:val="18"/>
              </w:rPr>
              <w:t>L</w:t>
            </w:r>
            <w:r w:rsidRPr="00C100D0">
              <w:rPr>
                <w:b/>
                <w:bCs/>
                <w:sz w:val="18"/>
                <w:szCs w:val="18"/>
                <w:vertAlign w:val="superscript"/>
              </w:rPr>
              <w:t>5</w:t>
            </w:r>
          </w:p>
        </w:tc>
        <w:tc>
          <w:tcPr>
            <w:tcW w:w="1341" w:type="dxa"/>
            <w:tcBorders>
              <w:top w:val="nil"/>
              <w:bottom w:val="nil"/>
            </w:tcBorders>
          </w:tcPr>
          <w:p w14:paraId="2EFE14C6" w14:textId="77777777" w:rsidR="00FB4A6B" w:rsidRPr="00C100D0" w:rsidRDefault="00FB4A6B" w:rsidP="0067704D">
            <w:pPr>
              <w:spacing w:line="276" w:lineRule="auto"/>
              <w:jc w:val="center"/>
              <w:rPr>
                <w:color w:val="000000"/>
                <w:sz w:val="18"/>
                <w:szCs w:val="18"/>
              </w:rPr>
            </w:pPr>
            <w:r w:rsidRPr="00C100D0">
              <w:rPr>
                <w:sz w:val="18"/>
                <w:szCs w:val="18"/>
              </w:rPr>
              <w:t>1.0</w:t>
            </w:r>
          </w:p>
        </w:tc>
        <w:tc>
          <w:tcPr>
            <w:tcW w:w="441" w:type="dxa"/>
            <w:tcBorders>
              <w:top w:val="nil"/>
              <w:bottom w:val="nil"/>
            </w:tcBorders>
          </w:tcPr>
          <w:p w14:paraId="646FAA86" w14:textId="77777777" w:rsidR="00FB4A6B" w:rsidRPr="00C100D0" w:rsidRDefault="00FB4A6B" w:rsidP="0067704D">
            <w:pPr>
              <w:spacing w:line="276" w:lineRule="auto"/>
              <w:jc w:val="center"/>
              <w:rPr>
                <w:color w:val="000000"/>
                <w:sz w:val="18"/>
                <w:szCs w:val="18"/>
              </w:rPr>
            </w:pPr>
            <w:r w:rsidRPr="00C100D0">
              <w:rPr>
                <w:sz w:val="18"/>
                <w:szCs w:val="18"/>
              </w:rPr>
              <w:t>0.9</w:t>
            </w:r>
          </w:p>
        </w:tc>
        <w:tc>
          <w:tcPr>
            <w:tcW w:w="1146" w:type="dxa"/>
            <w:tcBorders>
              <w:top w:val="nil"/>
              <w:bottom w:val="nil"/>
            </w:tcBorders>
          </w:tcPr>
          <w:p w14:paraId="2AEDB22B" w14:textId="77777777" w:rsidR="00FB4A6B" w:rsidRPr="00C100D0" w:rsidRDefault="00FB4A6B" w:rsidP="0067704D">
            <w:pPr>
              <w:spacing w:line="276" w:lineRule="auto"/>
              <w:jc w:val="center"/>
              <w:rPr>
                <w:color w:val="000000"/>
                <w:sz w:val="18"/>
                <w:szCs w:val="18"/>
              </w:rPr>
            </w:pPr>
            <w:r w:rsidRPr="00C100D0">
              <w:rPr>
                <w:sz w:val="18"/>
                <w:szCs w:val="18"/>
              </w:rPr>
              <w:t>6.8</w:t>
            </w:r>
          </w:p>
        </w:tc>
        <w:tc>
          <w:tcPr>
            <w:tcW w:w="974" w:type="dxa"/>
            <w:tcBorders>
              <w:top w:val="nil"/>
              <w:bottom w:val="nil"/>
            </w:tcBorders>
          </w:tcPr>
          <w:p w14:paraId="7BD8ED24" w14:textId="77777777" w:rsidR="00FB4A6B" w:rsidRPr="00C100D0" w:rsidRDefault="00FB4A6B" w:rsidP="0067704D">
            <w:pPr>
              <w:spacing w:line="276" w:lineRule="auto"/>
              <w:jc w:val="center"/>
              <w:rPr>
                <w:color w:val="000000"/>
                <w:sz w:val="18"/>
                <w:szCs w:val="18"/>
              </w:rPr>
            </w:pPr>
            <w:r w:rsidRPr="00C100D0">
              <w:rPr>
                <w:sz w:val="18"/>
                <w:szCs w:val="18"/>
              </w:rPr>
              <w:t>0.8</w:t>
            </w:r>
          </w:p>
        </w:tc>
      </w:tr>
      <w:tr w:rsidR="00FB4A6B" w:rsidRPr="00C100D0" w14:paraId="54160287" w14:textId="77777777" w:rsidTr="0067704D">
        <w:tc>
          <w:tcPr>
            <w:tcW w:w="1077" w:type="dxa"/>
            <w:tcBorders>
              <w:top w:val="nil"/>
              <w:left w:val="nil"/>
              <w:bottom w:val="single" w:sz="8" w:space="0" w:color="000000"/>
              <w:right w:val="nil"/>
            </w:tcBorders>
          </w:tcPr>
          <w:p w14:paraId="60E77ABB" w14:textId="77777777" w:rsidR="00FB4A6B" w:rsidRPr="00C100D0" w:rsidRDefault="00FB4A6B" w:rsidP="0067704D">
            <w:pPr>
              <w:spacing w:line="276" w:lineRule="auto"/>
              <w:jc w:val="center"/>
              <w:rPr>
                <w:b/>
                <w:bCs/>
                <w:color w:val="000000"/>
                <w:sz w:val="18"/>
                <w:szCs w:val="18"/>
              </w:rPr>
            </w:pPr>
            <w:r w:rsidRPr="00C100D0">
              <w:rPr>
                <w:b/>
                <w:bCs/>
                <w:sz w:val="18"/>
                <w:szCs w:val="18"/>
              </w:rPr>
              <w:t>L</w:t>
            </w:r>
            <w:r w:rsidRPr="00C100D0">
              <w:rPr>
                <w:b/>
                <w:bCs/>
                <w:sz w:val="18"/>
                <w:szCs w:val="18"/>
                <w:vertAlign w:val="superscript"/>
              </w:rPr>
              <w:t>6</w:t>
            </w:r>
          </w:p>
        </w:tc>
        <w:tc>
          <w:tcPr>
            <w:tcW w:w="1341" w:type="dxa"/>
            <w:tcBorders>
              <w:top w:val="nil"/>
              <w:left w:val="nil"/>
              <w:bottom w:val="single" w:sz="8" w:space="0" w:color="000000"/>
              <w:right w:val="nil"/>
            </w:tcBorders>
          </w:tcPr>
          <w:p w14:paraId="2B5C5045" w14:textId="77777777" w:rsidR="00FB4A6B" w:rsidRPr="00C100D0" w:rsidRDefault="00FB4A6B" w:rsidP="0067704D">
            <w:pPr>
              <w:spacing w:line="276" w:lineRule="auto"/>
              <w:jc w:val="center"/>
              <w:rPr>
                <w:color w:val="000000"/>
                <w:sz w:val="18"/>
                <w:szCs w:val="18"/>
              </w:rPr>
            </w:pPr>
            <w:r w:rsidRPr="00C100D0">
              <w:rPr>
                <w:sz w:val="18"/>
                <w:szCs w:val="18"/>
              </w:rPr>
              <w:t>0.2</w:t>
            </w:r>
          </w:p>
        </w:tc>
        <w:tc>
          <w:tcPr>
            <w:tcW w:w="441" w:type="dxa"/>
            <w:tcBorders>
              <w:top w:val="nil"/>
              <w:left w:val="nil"/>
              <w:bottom w:val="single" w:sz="8" w:space="0" w:color="000000"/>
              <w:right w:val="nil"/>
            </w:tcBorders>
          </w:tcPr>
          <w:p w14:paraId="0F8035F8" w14:textId="77777777" w:rsidR="00FB4A6B" w:rsidRPr="00C100D0" w:rsidRDefault="00FB4A6B" w:rsidP="0067704D">
            <w:pPr>
              <w:spacing w:line="276" w:lineRule="auto"/>
              <w:jc w:val="center"/>
              <w:rPr>
                <w:color w:val="000000"/>
                <w:sz w:val="18"/>
                <w:szCs w:val="18"/>
              </w:rPr>
            </w:pPr>
            <w:r w:rsidRPr="00C100D0">
              <w:rPr>
                <w:sz w:val="18"/>
                <w:szCs w:val="18"/>
              </w:rPr>
              <w:t>1.1</w:t>
            </w:r>
          </w:p>
        </w:tc>
        <w:tc>
          <w:tcPr>
            <w:tcW w:w="1146" w:type="dxa"/>
            <w:tcBorders>
              <w:top w:val="nil"/>
              <w:left w:val="nil"/>
              <w:bottom w:val="single" w:sz="8" w:space="0" w:color="000000"/>
              <w:right w:val="nil"/>
            </w:tcBorders>
          </w:tcPr>
          <w:p w14:paraId="44A328D6" w14:textId="77777777" w:rsidR="00FB4A6B" w:rsidRPr="00C100D0" w:rsidRDefault="00FB4A6B" w:rsidP="0067704D">
            <w:pPr>
              <w:spacing w:line="276" w:lineRule="auto"/>
              <w:jc w:val="center"/>
              <w:rPr>
                <w:color w:val="000000"/>
                <w:sz w:val="18"/>
                <w:szCs w:val="18"/>
              </w:rPr>
            </w:pPr>
            <w:r w:rsidRPr="00C100D0">
              <w:rPr>
                <w:sz w:val="18"/>
                <w:szCs w:val="18"/>
              </w:rPr>
              <w:t>2.3</w:t>
            </w:r>
          </w:p>
        </w:tc>
        <w:tc>
          <w:tcPr>
            <w:tcW w:w="974" w:type="dxa"/>
            <w:tcBorders>
              <w:top w:val="nil"/>
              <w:left w:val="nil"/>
              <w:bottom w:val="single" w:sz="8" w:space="0" w:color="000000"/>
              <w:right w:val="nil"/>
            </w:tcBorders>
          </w:tcPr>
          <w:p w14:paraId="426266FE" w14:textId="77777777" w:rsidR="00FB4A6B" w:rsidRPr="00C100D0" w:rsidRDefault="00FB4A6B" w:rsidP="0067704D">
            <w:pPr>
              <w:spacing w:line="276" w:lineRule="auto"/>
              <w:jc w:val="center"/>
              <w:rPr>
                <w:color w:val="000000"/>
                <w:sz w:val="18"/>
                <w:szCs w:val="18"/>
              </w:rPr>
            </w:pPr>
            <w:r w:rsidRPr="00C100D0">
              <w:rPr>
                <w:sz w:val="18"/>
                <w:szCs w:val="18"/>
              </w:rPr>
              <w:t>0.8</w:t>
            </w:r>
          </w:p>
        </w:tc>
      </w:tr>
    </w:tbl>
    <w:p w14:paraId="6B6BD03A" w14:textId="77777777" w:rsidR="00FB4A6B" w:rsidRPr="00C100D0" w:rsidRDefault="00FB4A6B" w:rsidP="00F77342">
      <w:pPr>
        <w:pStyle w:val="G4bTableBody"/>
      </w:pPr>
    </w:p>
    <w:p w14:paraId="22204373" w14:textId="77777777" w:rsidR="00FB4A6B" w:rsidRPr="00C100D0" w:rsidRDefault="00064CBA" w:rsidP="00A32E32">
      <w:pPr>
        <w:pStyle w:val="08ArticleText"/>
      </w:pPr>
      <w:r w:rsidRPr="00C100D0">
        <w:t>Hill analysis enables the EC</w:t>
      </w:r>
      <w:r w:rsidRPr="00C100D0">
        <w:rPr>
          <w:vertAlign w:val="subscript"/>
        </w:rPr>
        <w:t>50</w:t>
      </w:r>
      <w:r w:rsidRPr="00C100D0">
        <w:t>,</w:t>
      </w:r>
      <w:r w:rsidRPr="00C100D0">
        <w:rPr>
          <w:vertAlign w:val="subscript"/>
        </w:rPr>
        <w:t>270s</w:t>
      </w:r>
      <w:r w:rsidRPr="00C100D0">
        <w:t xml:space="preserve"> value to be obtained, which is a measure of transporter efficiency, defined as the required</w:t>
      </w:r>
      <w:r w:rsidRPr="00C100D0">
        <w:rPr>
          <w:sz w:val="18"/>
          <w:szCs w:val="18"/>
        </w:rPr>
        <w:t xml:space="preserve"> </w:t>
      </w:r>
      <w:r w:rsidRPr="00C100D0">
        <w:t>receptor concentration to mediate 50% of the total chloride efflux 270s after the addition of the carrier (or after the bicarbonate ‘pulse’).</w:t>
      </w:r>
    </w:p>
    <w:p w14:paraId="4AC8485A" w14:textId="77777777" w:rsidR="00FB4A6B" w:rsidRPr="00C100D0" w:rsidRDefault="00756951" w:rsidP="00B55ADA">
      <w:pPr>
        <w:pStyle w:val="G1aFigureImage"/>
      </w:pPr>
      <w:r w:rsidRPr="00C100D0">
        <w:rPr>
          <w:noProof/>
          <w:lang w:val="en-US" w:eastAsia="en-US"/>
        </w:rPr>
        <w:drawing>
          <wp:inline distT="0" distB="0" distL="0" distR="0" wp14:anchorId="1CA75C18" wp14:editId="5B84D411">
            <wp:extent cx="2909570" cy="4013835"/>
            <wp:effectExtent l="0" t="0" r="0" b="0"/>
            <wp:docPr id="16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83509" cy="5792595"/>
                      <a:chOff x="470320" y="855930"/>
                      <a:chExt cx="4383509" cy="5792595"/>
                    </a:xfrm>
                  </a:grpSpPr>
                  <a:grpSp>
                    <a:nvGrpSpPr>
                      <a:cNvPr id="8" name="Gruppo 7"/>
                      <a:cNvGrpSpPr/>
                    </a:nvGrpSpPr>
                    <a:grpSpPr>
                      <a:xfrm>
                        <a:off x="470320" y="855930"/>
                        <a:ext cx="4383509" cy="5792595"/>
                        <a:chOff x="470320" y="855930"/>
                        <a:chExt cx="4383509" cy="5792595"/>
                      </a:xfrm>
                    </a:grpSpPr>
                    <a:pic>
                      <a:nvPicPr>
                        <a:cNvPr id="4" name="Immagine 3" descr="Macintosh HD:Users:marti:Desktop:L6 HCO3.pdf"/>
                        <a:cNvPicPr>
                          <a:picLocks noChangeAspect="1"/>
                        </a:cNvPicPr>
                      </a:nvPicPr>
                      <a:blipFill>
                        <a:blip r:embed="rId35" cstate="print">
                          <a:extLst/>
                        </a:blip>
                        <a:srcRect/>
                        <a:stretch>
                          <a:fillRect/>
                        </a:stretch>
                      </a:blipFill>
                      <a:spPr bwMode="auto">
                        <a:xfrm>
                          <a:off x="513613" y="3765385"/>
                          <a:ext cx="4340216" cy="2484000"/>
                        </a:xfrm>
                        <a:prstGeom prst="rect">
                          <a:avLst/>
                        </a:prstGeom>
                        <a:noFill/>
                        <a:ln>
                          <a:noFill/>
                        </a:ln>
                      </a:spPr>
                    </a:pic>
                    <a:pic>
                      <a:nvPicPr>
                        <a:cNvPr id="5" name="Immagine 4" descr="Macintosh HD:Users:marti:Desktop:L6 NO3.pdf"/>
                        <a:cNvPicPr/>
                      </a:nvPicPr>
                      <a:blipFill>
                        <a:blip r:embed="rId36" cstate="print">
                          <a:extLst/>
                        </a:blip>
                        <a:srcRect/>
                        <a:stretch>
                          <a:fillRect/>
                        </a:stretch>
                      </a:blipFill>
                      <a:spPr bwMode="auto">
                        <a:xfrm>
                          <a:off x="470320" y="855930"/>
                          <a:ext cx="3890010" cy="2375535"/>
                        </a:xfrm>
                        <a:prstGeom prst="rect">
                          <a:avLst/>
                        </a:prstGeom>
                        <a:noFill/>
                        <a:ln>
                          <a:noFill/>
                        </a:ln>
                      </a:spPr>
                    </a:pic>
                    <a:sp>
                      <a:nvSpPr>
                        <a:cNvPr id="6" name="CasellaDiTesto 5"/>
                        <a:cNvSpPr txBox="1"/>
                      </a:nvSpPr>
                      <a:spPr>
                        <a:xfrm>
                          <a:off x="2389679" y="3266184"/>
                          <a:ext cx="46678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a:latin typeface="Arial"/>
                                <a:cs typeface="Arial"/>
                              </a:rPr>
                              <a:t>(a)</a:t>
                            </a:r>
                          </a:p>
                        </a:txBody>
                        <a:useSpRect/>
                      </a:txSp>
                    </a:sp>
                    <a:sp>
                      <a:nvSpPr>
                        <a:cNvPr id="7" name="CasellaDiTesto 6"/>
                        <a:cNvSpPr txBox="1"/>
                      </a:nvSpPr>
                      <a:spPr>
                        <a:xfrm>
                          <a:off x="2389679" y="6279193"/>
                          <a:ext cx="46678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a:latin typeface="Arial"/>
                                <a:cs typeface="Arial"/>
                              </a:rPr>
                              <a:t>(b)</a:t>
                            </a:r>
                          </a:p>
                        </a:txBody>
                        <a:useSpRect/>
                      </a:txSp>
                    </a:sp>
                  </a:grpSp>
                </lc:lockedCanvas>
              </a:graphicData>
            </a:graphic>
          </wp:inline>
        </w:drawing>
      </w:r>
    </w:p>
    <w:p w14:paraId="008C79AB" w14:textId="77777777" w:rsidR="00FB4A6B" w:rsidRPr="00C100D0" w:rsidRDefault="00FB4A6B" w:rsidP="005630D4">
      <w:pPr>
        <w:pStyle w:val="G1bFigureCaption"/>
        <w:jc w:val="both"/>
      </w:pPr>
      <w:r w:rsidRPr="00C100D0">
        <w:rPr>
          <w:b/>
          <w:lang w:eastAsia="it-IT"/>
        </w:rPr>
        <w:t>Figure 19.</w:t>
      </w:r>
      <w:r w:rsidRPr="00C100D0">
        <w:rPr>
          <w:lang w:eastAsia="it-IT"/>
        </w:rPr>
        <w:t xml:space="preserve"> (a) Chloride efflux promoted by various concentrations of </w:t>
      </w:r>
      <w:r w:rsidRPr="00C100D0">
        <w:rPr>
          <w:b/>
          <w:bCs/>
          <w:lang w:eastAsia="it-IT"/>
        </w:rPr>
        <w:t>L</w:t>
      </w:r>
      <w:r w:rsidRPr="00C100D0">
        <w:rPr>
          <w:b/>
          <w:bCs/>
          <w:vertAlign w:val="superscript"/>
          <w:lang w:eastAsia="it-IT"/>
        </w:rPr>
        <w:t>6</w:t>
      </w:r>
      <w:r w:rsidRPr="00C100D0">
        <w:rPr>
          <w:lang w:eastAsia="it-IT"/>
        </w:rPr>
        <w:t xml:space="preserve"> from unilamellar POPC vesicles loaded with 489 mM NaCl buffered to pH 7.2 with 5 mM sodium phosphate salts. The vesicles were dispersed in 489 mM NaNO</w:t>
      </w:r>
      <w:r w:rsidRPr="00C100D0">
        <w:rPr>
          <w:vertAlign w:val="subscript"/>
          <w:lang w:eastAsia="it-IT"/>
        </w:rPr>
        <w:t xml:space="preserve">3 </w:t>
      </w:r>
      <w:r w:rsidRPr="00C100D0">
        <w:rPr>
          <w:lang w:eastAsia="it-IT"/>
        </w:rPr>
        <w:t xml:space="preserve">buffered to pH 7.2 with 5 mM sodium phosphate salts.; (b) </w:t>
      </w:r>
      <w:r w:rsidRPr="00C100D0">
        <w:t xml:space="preserve">Chloride efflux promoted by various concentrations of </w:t>
      </w:r>
      <w:r w:rsidRPr="00C100D0">
        <w:rPr>
          <w:b/>
          <w:bCs/>
        </w:rPr>
        <w:t>L</w:t>
      </w:r>
      <w:r w:rsidRPr="00C100D0">
        <w:rPr>
          <w:b/>
          <w:bCs/>
          <w:vertAlign w:val="superscript"/>
        </w:rPr>
        <w:t>6</w:t>
      </w:r>
      <w:r w:rsidRPr="00C100D0">
        <w:rPr>
          <w:b/>
          <w:bCs/>
        </w:rPr>
        <w:t xml:space="preserve"> </w:t>
      </w:r>
      <w:r w:rsidRPr="00C100D0">
        <w:t>from unilamellar POPC vesicles loaded with 451 mM NaCl buffered to pH 7.2 with 20 mM sodium phosphate salts. The vesicles were dispersed in 150 mM Na</w:t>
      </w:r>
      <w:r w:rsidRPr="00C100D0">
        <w:rPr>
          <w:vertAlign w:val="subscript"/>
        </w:rPr>
        <w:t>2</w:t>
      </w:r>
      <w:r w:rsidRPr="00C100D0">
        <w:t>SO</w:t>
      </w:r>
      <w:r w:rsidRPr="00C100D0">
        <w:rPr>
          <w:vertAlign w:val="subscript"/>
        </w:rPr>
        <w:t>4</w:t>
      </w:r>
      <w:r w:rsidRPr="00C100D0">
        <w:t xml:space="preserve"> buffered to pH 7.2 with 20 mM sodium phosphate salts. At 120 s a solution of sodium bicarbonate was added such that the external concentration of bicarbonate was 40 mM. At the end of both experiments, detergent was added to lyse the vesicles and calibrate the ISE to 100% chloride efflux. In both graphs each point represents an average of three trials. DMSO was used as a control.</w:t>
      </w:r>
    </w:p>
    <w:p w14:paraId="282447D9" w14:textId="77777777" w:rsidR="00064CBA" w:rsidRPr="00C100D0" w:rsidRDefault="00064CBA" w:rsidP="00A32E32">
      <w:pPr>
        <w:pStyle w:val="08ArticleText"/>
      </w:pPr>
      <w:r w:rsidRPr="00C100D0">
        <w:lastRenderedPageBreak/>
        <w:t>This allows us to compare the transport activity of the compounds. These values are summarised in Table 3, together with the Hill coefficients, which are commonly interpreted as an estimate of the number of transporter molecules required to transport a single anion and can provide supporting evidence for a mobile carrier mechanism.</w:t>
      </w:r>
    </w:p>
    <w:p w14:paraId="12E5288D" w14:textId="77777777" w:rsidR="00FB4A6B" w:rsidRPr="00C100D0" w:rsidRDefault="00FB4A6B" w:rsidP="00375EDB">
      <w:pPr>
        <w:pStyle w:val="08ArticleText"/>
      </w:pPr>
      <w:r w:rsidRPr="00C100D0">
        <w:t>It is interesting to note that the transporter activity can be related to the electron withdrawing properties of the substituents in the pendant arms of the receptors, and to the presence of the pyridine moiety as a spacer. Indeed, the most active transporter among the series, as shown by the EC</w:t>
      </w:r>
      <w:r w:rsidRPr="00C100D0">
        <w:rPr>
          <w:vertAlign w:val="subscript"/>
        </w:rPr>
        <w:t>50,270s</w:t>
      </w:r>
      <w:r w:rsidRPr="00C100D0">
        <w:t xml:space="preserve"> values of both the experiments, is the </w:t>
      </w:r>
      <w:r w:rsidRPr="00C100D0">
        <w:rPr>
          <w:i/>
        </w:rPr>
        <w:t>p</w:t>
      </w:r>
      <w:r w:rsidRPr="00C100D0">
        <w:t xml:space="preserve">-nitro functionalised compound </w:t>
      </w:r>
      <w:r w:rsidRPr="00C100D0">
        <w:rPr>
          <w:b/>
        </w:rPr>
        <w:t>L</w:t>
      </w:r>
      <w:r w:rsidRPr="00C100D0">
        <w:rPr>
          <w:b/>
          <w:vertAlign w:val="superscript"/>
        </w:rPr>
        <w:t>6</w:t>
      </w:r>
      <w:r w:rsidRPr="00C100D0">
        <w:t xml:space="preserve"> which contains a pyridine spacer (Figure 19). </w:t>
      </w:r>
    </w:p>
    <w:p w14:paraId="7C516A98" w14:textId="77777777" w:rsidR="00FB4A6B" w:rsidRPr="00C100D0" w:rsidRDefault="00FB4A6B" w:rsidP="00375EDB">
      <w:pPr>
        <w:pStyle w:val="04AHeading"/>
      </w:pPr>
      <w:r w:rsidRPr="00C100D0">
        <w:t>Conclusions</w:t>
      </w:r>
    </w:p>
    <w:p w14:paraId="5A7348B5" w14:textId="77777777" w:rsidR="00FB4A6B" w:rsidRPr="00C100D0" w:rsidRDefault="00FB4A6B" w:rsidP="00064CBA">
      <w:pPr>
        <w:pStyle w:val="08ArticleText"/>
      </w:pPr>
      <w:r w:rsidRPr="00C100D0">
        <w:t>In conclusion we have reported the synthesis of a new family of bis-methylureas (</w:t>
      </w:r>
      <w:r w:rsidRPr="00C100D0">
        <w:rPr>
          <w:b/>
        </w:rPr>
        <w:t>L</w:t>
      </w:r>
      <w:r w:rsidRPr="00C100D0">
        <w:rPr>
          <w:b/>
          <w:vertAlign w:val="superscript"/>
        </w:rPr>
        <w:t>1</w:t>
      </w:r>
      <w:r w:rsidRPr="00C100D0">
        <w:t>-</w:t>
      </w:r>
      <w:r w:rsidRPr="00C100D0">
        <w:rPr>
          <w:b/>
        </w:rPr>
        <w:t>L</w:t>
      </w:r>
      <w:r w:rsidRPr="00C100D0">
        <w:rPr>
          <w:b/>
          <w:vertAlign w:val="superscript"/>
        </w:rPr>
        <w:t>6</w:t>
      </w:r>
      <w:r w:rsidRPr="00C100D0">
        <w:t>), their anion binding properties (both in solution and in the solid state) and their application as anion transporters. The solid state study highlighted the high degree of flexibility of this family of receptors. The presence of four hydrogen bond donor groups on the receptors and the possibility to assume different conformations allowed the isolation in the solid state of anion-receptor adducts of different stoichiometry and the possibility to stabilise the anions with a high number of hydrogen bonds. Moreover, the new receptors are also able to work as mobile carriers for Cl</w:t>
      </w:r>
      <w:r w:rsidRPr="00C100D0">
        <w:rPr>
          <w:vertAlign w:val="superscript"/>
        </w:rPr>
        <w:t>-</w:t>
      </w:r>
      <w:r w:rsidRPr="00C100D0">
        <w:t xml:space="preserve"> transport through membranes with compound </w:t>
      </w:r>
      <w:r w:rsidRPr="00C100D0">
        <w:rPr>
          <w:b/>
        </w:rPr>
        <w:t>L</w:t>
      </w:r>
      <w:r w:rsidRPr="00C100D0">
        <w:rPr>
          <w:b/>
          <w:vertAlign w:val="superscript"/>
        </w:rPr>
        <w:t>6</w:t>
      </w:r>
      <w:r w:rsidRPr="00C100D0">
        <w:t xml:space="preserve"> being the most active of the series. </w:t>
      </w:r>
    </w:p>
    <w:p w14:paraId="13B9372D" w14:textId="77777777" w:rsidR="00064CBA" w:rsidRPr="00C100D0" w:rsidRDefault="00064CBA" w:rsidP="00064CBA">
      <w:pPr>
        <w:pStyle w:val="08ArticleText"/>
      </w:pPr>
    </w:p>
    <w:p w14:paraId="438670A5" w14:textId="77777777" w:rsidR="00FB4A6B" w:rsidRPr="00C100D0" w:rsidRDefault="00FB4A6B" w:rsidP="00F341C8">
      <w:pPr>
        <w:pStyle w:val="08ArticleText"/>
        <w:spacing w:line="240" w:lineRule="auto"/>
        <w:rPr>
          <w:b/>
        </w:rPr>
      </w:pPr>
      <w:r w:rsidRPr="00C100D0">
        <w:rPr>
          <w:b/>
        </w:rPr>
        <w:t>Acknowledgements</w:t>
      </w:r>
    </w:p>
    <w:p w14:paraId="179C45BB" w14:textId="77777777" w:rsidR="00F26A2E" w:rsidRPr="00C100D0" w:rsidRDefault="00FB4A6B" w:rsidP="00F26A2E">
      <w:pPr>
        <w:pStyle w:val="08ArticleText"/>
        <w:rPr>
          <w:sz w:val="18"/>
          <w:szCs w:val="18"/>
        </w:rPr>
      </w:pPr>
      <w:r w:rsidRPr="00C100D0">
        <w:rPr>
          <w:sz w:val="18"/>
          <w:szCs w:val="18"/>
        </w:rPr>
        <w:t>CC would like to thank Regione Autonoma della Sardegna (CRP-59699) for funding and for Master and Back scholarship (RM). PAG thanks the EPSRC for a DTG studentship (LEK) and the Royal Society and the Wolfson Foundation for a Royal Society Wolfson Research Merit Award.</w:t>
      </w:r>
      <w:r w:rsidRPr="00C100D0">
        <w:rPr>
          <w:sz w:val="24"/>
          <w:szCs w:val="20"/>
        </w:rPr>
        <w:t xml:space="preserve"> </w:t>
      </w:r>
      <w:r w:rsidRPr="00C100D0">
        <w:rPr>
          <w:sz w:val="18"/>
          <w:szCs w:val="18"/>
        </w:rPr>
        <w:t>The authors thank EPSRC for funding the UK National Crystallography Service</w:t>
      </w:r>
      <w:r w:rsidR="00F26A2E" w:rsidRPr="00C100D0">
        <w:rPr>
          <w:rFonts w:asciiTheme="minorHAnsi" w:hAnsiTheme="minorHAnsi"/>
          <w:sz w:val="20"/>
        </w:rPr>
        <w:t xml:space="preserve"> </w:t>
      </w:r>
      <w:r w:rsidR="00AF658F" w:rsidRPr="00C100D0">
        <w:rPr>
          <w:sz w:val="18"/>
          <w:szCs w:val="18"/>
        </w:rPr>
        <w:t>and</w:t>
      </w:r>
      <w:r w:rsidR="00F26A2E" w:rsidRPr="00C100D0">
        <w:rPr>
          <w:sz w:val="18"/>
          <w:szCs w:val="18"/>
        </w:rPr>
        <w:t xml:space="preserve"> Diamond Light Source for the use of beamline I19 under proposal MT8521.</w:t>
      </w:r>
    </w:p>
    <w:p w14:paraId="612BDDF7" w14:textId="77777777" w:rsidR="00FB4A6B" w:rsidRPr="00C100D0" w:rsidRDefault="00FB4A6B" w:rsidP="0028098A">
      <w:pPr>
        <w:pStyle w:val="08ArticleText"/>
        <w:rPr>
          <w:sz w:val="18"/>
          <w:szCs w:val="18"/>
        </w:rPr>
      </w:pPr>
    </w:p>
    <w:p w14:paraId="6AEF2E0F" w14:textId="77777777" w:rsidR="00FB4A6B" w:rsidRPr="00C100D0" w:rsidRDefault="00FB4A6B" w:rsidP="00F341C8">
      <w:pPr>
        <w:pStyle w:val="04AHeading"/>
        <w:spacing w:before="0" w:after="0"/>
        <w:rPr>
          <w:b w:val="0"/>
          <w:sz w:val="18"/>
          <w:szCs w:val="18"/>
        </w:rPr>
      </w:pPr>
    </w:p>
    <w:p w14:paraId="74C6F3C7" w14:textId="77777777" w:rsidR="00FB4A6B" w:rsidRPr="00C100D0" w:rsidRDefault="00FB4A6B" w:rsidP="00F341C8">
      <w:pPr>
        <w:pStyle w:val="04AHeading"/>
        <w:spacing w:before="0" w:after="0"/>
        <w:rPr>
          <w:b w:val="0"/>
          <w:smallCaps/>
          <w:w w:val="108"/>
          <w:sz w:val="18"/>
          <w:szCs w:val="18"/>
          <w:lang w:val="it-IT"/>
        </w:rPr>
      </w:pPr>
      <w:r w:rsidRPr="00C100D0">
        <w:rPr>
          <w:lang w:val="it-IT"/>
        </w:rPr>
        <w:t>Notes and references</w:t>
      </w:r>
    </w:p>
    <w:p w14:paraId="0F82FCBA" w14:textId="77777777" w:rsidR="00FB4A6B" w:rsidRPr="00C100D0" w:rsidRDefault="00FB4A6B" w:rsidP="00751ED2">
      <w:pPr>
        <w:pStyle w:val="N1AuthorAddress"/>
      </w:pPr>
      <w:r w:rsidRPr="00C100D0">
        <w:rPr>
          <w:i/>
          <w:vertAlign w:val="superscript"/>
          <w:lang w:val="it-IT"/>
        </w:rPr>
        <w:t>a</w:t>
      </w:r>
      <w:r w:rsidRPr="00C100D0">
        <w:rPr>
          <w:lang w:val="it-IT"/>
        </w:rPr>
        <w:t xml:space="preserve"> Dipartimento di Scienze Chimiche e Geologiche, Università degli Studi di Cagliari, S.S. 554 Bivio per Sestu, 09042, Monserrato CA, Italy. </w:t>
      </w:r>
      <w:r w:rsidRPr="00C100D0">
        <w:t xml:space="preserve">E-mail: </w:t>
      </w:r>
      <w:hyperlink r:id="rId37" w:history="1">
        <w:r w:rsidRPr="00C100D0">
          <w:rPr>
            <w:rStyle w:val="Hyperlink"/>
          </w:rPr>
          <w:t>ccaltagirone@unica.it</w:t>
        </w:r>
      </w:hyperlink>
      <w:r w:rsidRPr="00C100D0">
        <w:t xml:space="preserve">; Tel. +39(0)70 675 4452. </w:t>
      </w:r>
    </w:p>
    <w:p w14:paraId="2F26208C" w14:textId="77777777" w:rsidR="00FB4A6B" w:rsidRPr="00C100D0" w:rsidRDefault="00FB4A6B" w:rsidP="00751ED2">
      <w:pPr>
        <w:pStyle w:val="N1AuthorAddress"/>
      </w:pPr>
      <w:r w:rsidRPr="00C100D0">
        <w:rPr>
          <w:i/>
          <w:vertAlign w:val="superscript"/>
        </w:rPr>
        <w:t>b</w:t>
      </w:r>
      <w:r w:rsidRPr="00C100D0">
        <w:t xml:space="preserve"> Chemistry, University of Southampton, Southampton, SO17 1BJ, UK. E-mail: </w:t>
      </w:r>
      <w:hyperlink r:id="rId38" w:history="1">
        <w:r w:rsidRPr="00C100D0">
          <w:rPr>
            <w:rStyle w:val="Hyperlink"/>
          </w:rPr>
          <w:t>philip.gale@soton.ac.uk</w:t>
        </w:r>
      </w:hyperlink>
      <w:r w:rsidRPr="00C100D0">
        <w:t>; Tel: +44 (0)23 8059 3332.</w:t>
      </w:r>
    </w:p>
    <w:p w14:paraId="64BB5E71" w14:textId="77777777" w:rsidR="00FB4A6B" w:rsidRPr="00C100D0" w:rsidRDefault="00FB4A6B" w:rsidP="00F341C8">
      <w:pPr>
        <w:pStyle w:val="N1AuthorAddress"/>
        <w:spacing w:line="240" w:lineRule="atLeast"/>
      </w:pPr>
    </w:p>
    <w:p w14:paraId="03230F1D" w14:textId="77777777" w:rsidR="00FB4A6B" w:rsidRPr="00C100D0" w:rsidRDefault="00FB4A6B" w:rsidP="00F341C8">
      <w:pPr>
        <w:pStyle w:val="N2Footnotes"/>
        <w:rPr>
          <w:sz w:val="18"/>
          <w:szCs w:val="18"/>
        </w:rPr>
      </w:pPr>
      <w:r w:rsidRPr="00C100D0">
        <w:rPr>
          <w:sz w:val="18"/>
          <w:szCs w:val="18"/>
        </w:rPr>
        <w:t>†</w:t>
      </w:r>
      <w:r w:rsidRPr="00C100D0">
        <w:rPr>
          <w:sz w:val="18"/>
          <w:szCs w:val="18"/>
        </w:rPr>
        <w:tab/>
        <w:t xml:space="preserve">Electronic Supplementary Information (ESI) available: [Experimental methods and materials, synthesis of </w:t>
      </w:r>
      <w:r w:rsidRPr="00C100D0">
        <w:rPr>
          <w:b/>
          <w:sz w:val="18"/>
          <w:szCs w:val="18"/>
        </w:rPr>
        <w:t>L</w:t>
      </w:r>
      <w:r w:rsidRPr="00C100D0">
        <w:rPr>
          <w:b/>
          <w:sz w:val="18"/>
          <w:szCs w:val="18"/>
          <w:vertAlign w:val="superscript"/>
        </w:rPr>
        <w:t>1</w:t>
      </w:r>
      <w:r w:rsidRPr="00C100D0">
        <w:rPr>
          <w:sz w:val="18"/>
          <w:szCs w:val="18"/>
        </w:rPr>
        <w:t>-</w:t>
      </w:r>
      <w:r w:rsidRPr="00C100D0">
        <w:rPr>
          <w:b/>
          <w:sz w:val="18"/>
          <w:szCs w:val="18"/>
        </w:rPr>
        <w:t>L</w:t>
      </w:r>
      <w:r w:rsidRPr="00C100D0">
        <w:rPr>
          <w:b/>
          <w:sz w:val="18"/>
          <w:szCs w:val="18"/>
          <w:vertAlign w:val="superscript"/>
        </w:rPr>
        <w:t>6</w:t>
      </w:r>
      <w:r w:rsidRPr="00C100D0">
        <w:rPr>
          <w:sz w:val="18"/>
          <w:szCs w:val="18"/>
        </w:rPr>
        <w:t xml:space="preserve">, single crystal X-ray diffraction details (general procedures for data collection are also reported in ref </w:t>
      </w:r>
      <w:r w:rsidR="001E626D" w:rsidRPr="00C100D0">
        <w:rPr>
          <w:sz w:val="18"/>
          <w:szCs w:val="18"/>
        </w:rPr>
        <w:t>30</w:t>
      </w:r>
      <w:r w:rsidRPr="00C100D0">
        <w:rPr>
          <w:sz w:val="18"/>
          <w:szCs w:val="18"/>
        </w:rPr>
        <w:t xml:space="preserve">), additional details of the anion transport studies, fittings of </w:t>
      </w:r>
      <w:r w:rsidRPr="00C100D0">
        <w:rPr>
          <w:sz w:val="18"/>
          <w:szCs w:val="18"/>
          <w:vertAlign w:val="superscript"/>
        </w:rPr>
        <w:t>1</w:t>
      </w:r>
      <w:r w:rsidRPr="00C100D0">
        <w:rPr>
          <w:sz w:val="18"/>
          <w:szCs w:val="18"/>
        </w:rPr>
        <w:t>H-NMR titrations.]. See DOI: 10.1039/b000000x/</w:t>
      </w:r>
    </w:p>
    <w:p w14:paraId="73077AE3" w14:textId="77777777" w:rsidR="00FB4A6B" w:rsidRPr="00C100D0" w:rsidRDefault="00FB4A6B" w:rsidP="00F341C8">
      <w:pPr>
        <w:pStyle w:val="N2Footnotes"/>
        <w:spacing w:line="240" w:lineRule="atLeast"/>
        <w:rPr>
          <w:sz w:val="18"/>
          <w:szCs w:val="18"/>
        </w:rPr>
      </w:pPr>
    </w:p>
    <w:p w14:paraId="01024EE2"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lastRenderedPageBreak/>
        <w:t xml:space="preserve">S. Nishizawa, P. Bühlmsnn, M. Iwaho and Y. Umezawa, </w:t>
      </w:r>
      <w:r w:rsidRPr="00C100D0">
        <w:rPr>
          <w:i/>
          <w:sz w:val="18"/>
          <w:szCs w:val="18"/>
        </w:rPr>
        <w:t>Tetrahedron. Lett.</w:t>
      </w:r>
      <w:r w:rsidRPr="00C100D0">
        <w:rPr>
          <w:sz w:val="18"/>
          <w:szCs w:val="18"/>
        </w:rPr>
        <w:t xml:space="preserve">, 1995, </w:t>
      </w:r>
      <w:r w:rsidRPr="00C100D0">
        <w:rPr>
          <w:b/>
          <w:sz w:val="18"/>
          <w:szCs w:val="18"/>
        </w:rPr>
        <w:t>36</w:t>
      </w:r>
      <w:r w:rsidRPr="00C100D0">
        <w:rPr>
          <w:sz w:val="18"/>
          <w:szCs w:val="18"/>
        </w:rPr>
        <w:t xml:space="preserve">, 6483. </w:t>
      </w:r>
    </w:p>
    <w:p w14:paraId="5098D43F"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S. Nishizawa, P. Bühlmsnn, M., K.P. Xiao and Y. Umezawa, </w:t>
      </w:r>
      <w:r w:rsidRPr="00C100D0">
        <w:rPr>
          <w:i/>
          <w:sz w:val="18"/>
          <w:szCs w:val="18"/>
        </w:rPr>
        <w:t>Anal. Chim. Acta</w:t>
      </w:r>
      <w:r w:rsidRPr="00C100D0">
        <w:rPr>
          <w:sz w:val="18"/>
          <w:szCs w:val="18"/>
        </w:rPr>
        <w:t xml:space="preserve">, 1998, </w:t>
      </w:r>
      <w:r w:rsidRPr="00C100D0">
        <w:rPr>
          <w:b/>
          <w:sz w:val="18"/>
          <w:szCs w:val="18"/>
        </w:rPr>
        <w:t>358</w:t>
      </w:r>
      <w:r w:rsidRPr="00C100D0">
        <w:rPr>
          <w:sz w:val="18"/>
          <w:szCs w:val="18"/>
        </w:rPr>
        <w:t>, 35.</w:t>
      </w:r>
    </w:p>
    <w:p w14:paraId="12134BCF"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M. Emgenbroich, C. Borrelli, S. Shinde, I. Lazraq, F. Vilela, A.J. Hall, J. Oxelbark, E. De Lorenzi, J. Courtois, A. Simenova, J. Verhage, K. Irgum, K. Karim and B. Sellergren, </w:t>
      </w:r>
      <w:r w:rsidRPr="00C100D0">
        <w:rPr>
          <w:i/>
          <w:sz w:val="18"/>
          <w:szCs w:val="18"/>
        </w:rPr>
        <w:t>Chem.-Eur. J</w:t>
      </w:r>
      <w:r w:rsidRPr="00C100D0">
        <w:rPr>
          <w:sz w:val="18"/>
          <w:szCs w:val="18"/>
        </w:rPr>
        <w:t xml:space="preserve">., 2008, </w:t>
      </w:r>
      <w:r w:rsidRPr="00C100D0">
        <w:rPr>
          <w:b/>
          <w:sz w:val="18"/>
          <w:szCs w:val="18"/>
        </w:rPr>
        <w:t>14</w:t>
      </w:r>
      <w:r w:rsidRPr="00C100D0">
        <w:rPr>
          <w:sz w:val="18"/>
          <w:szCs w:val="18"/>
        </w:rPr>
        <w:t xml:space="preserve">, 9516. </w:t>
      </w:r>
    </w:p>
    <w:p w14:paraId="094FF7C1"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C. Caltagirone, C. Bazzicalupi, F. Isaia, M.E. Light, V. Lippolis, R. Montis, S. Murgia, M. Olivari, and G. Picci, </w:t>
      </w:r>
      <w:r w:rsidRPr="00C100D0">
        <w:rPr>
          <w:i/>
          <w:sz w:val="18"/>
          <w:szCs w:val="18"/>
        </w:rPr>
        <w:t>Org. Biomol. Chem.</w:t>
      </w:r>
      <w:r w:rsidRPr="00C100D0">
        <w:rPr>
          <w:sz w:val="18"/>
          <w:szCs w:val="18"/>
        </w:rPr>
        <w:t xml:space="preserve">, 2013, </w:t>
      </w:r>
      <w:r w:rsidRPr="00C100D0">
        <w:rPr>
          <w:b/>
          <w:sz w:val="18"/>
          <w:szCs w:val="18"/>
        </w:rPr>
        <w:t>11</w:t>
      </w:r>
      <w:r w:rsidRPr="00C100D0">
        <w:rPr>
          <w:sz w:val="18"/>
          <w:szCs w:val="18"/>
        </w:rPr>
        <w:t>, 2445.</w:t>
      </w:r>
    </w:p>
    <w:p w14:paraId="5BE05964"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S. J.  Moore, C. J. E. Haynes, J. González, J. L. Sutton, S. J. Brooks, M. E. Light, J. Herniman, G. J. Langley, V. Soto-Cerrato, R. Pérez-Tomás, I. Marques, P. J. Costa, Vítor Félix, and Philip A. Gale, </w:t>
      </w:r>
      <w:r w:rsidRPr="00C100D0">
        <w:rPr>
          <w:i/>
          <w:sz w:val="18"/>
          <w:szCs w:val="18"/>
        </w:rPr>
        <w:t>Chem. Sci.</w:t>
      </w:r>
      <w:r w:rsidRPr="00C100D0">
        <w:rPr>
          <w:sz w:val="18"/>
          <w:szCs w:val="18"/>
        </w:rPr>
        <w:t xml:space="preserve">, 2013, </w:t>
      </w:r>
      <w:r w:rsidRPr="00C100D0">
        <w:rPr>
          <w:b/>
          <w:sz w:val="18"/>
          <w:szCs w:val="18"/>
        </w:rPr>
        <w:t>4</w:t>
      </w:r>
      <w:r w:rsidRPr="00C100D0">
        <w:rPr>
          <w:sz w:val="18"/>
          <w:szCs w:val="18"/>
        </w:rPr>
        <w:t>, 103.</w:t>
      </w:r>
    </w:p>
    <w:p w14:paraId="48D22699"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N. Busschaert, M. Wenzel, M. E. Light, P. Iglesias-Hernández, R. Pérez-Tomás, and P. A. Gale, </w:t>
      </w:r>
      <w:r w:rsidRPr="00C100D0">
        <w:rPr>
          <w:i/>
          <w:sz w:val="18"/>
          <w:szCs w:val="18"/>
        </w:rPr>
        <w:t>J. Am. Chem. Soc.</w:t>
      </w:r>
      <w:r w:rsidRPr="00C100D0">
        <w:rPr>
          <w:sz w:val="18"/>
          <w:szCs w:val="18"/>
        </w:rPr>
        <w:t xml:space="preserve">, 2011, </w:t>
      </w:r>
      <w:r w:rsidRPr="00C100D0">
        <w:rPr>
          <w:b/>
          <w:sz w:val="18"/>
          <w:szCs w:val="18"/>
        </w:rPr>
        <w:t>133</w:t>
      </w:r>
      <w:r w:rsidRPr="00C100D0">
        <w:rPr>
          <w:sz w:val="18"/>
          <w:szCs w:val="18"/>
        </w:rPr>
        <w:t>, 14136.</w:t>
      </w:r>
    </w:p>
    <w:p w14:paraId="411F8A2F"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C. Nolan and T. Gunnlaugsson, </w:t>
      </w:r>
      <w:r w:rsidRPr="00C100D0">
        <w:rPr>
          <w:i/>
          <w:sz w:val="18"/>
          <w:szCs w:val="18"/>
        </w:rPr>
        <w:t>Tetrahedron Lett.</w:t>
      </w:r>
      <w:r w:rsidRPr="00C100D0">
        <w:rPr>
          <w:sz w:val="18"/>
          <w:szCs w:val="18"/>
        </w:rPr>
        <w:t xml:space="preserve">, 2008 </w:t>
      </w:r>
      <w:r w:rsidRPr="00C100D0">
        <w:rPr>
          <w:b/>
          <w:sz w:val="18"/>
          <w:szCs w:val="18"/>
        </w:rPr>
        <w:t>49</w:t>
      </w:r>
      <w:r w:rsidRPr="00C100D0">
        <w:rPr>
          <w:sz w:val="18"/>
          <w:szCs w:val="18"/>
        </w:rPr>
        <w:t xml:space="preserve">, 1993. </w:t>
      </w:r>
    </w:p>
    <w:p w14:paraId="7204F54D"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A. Bondi, </w:t>
      </w:r>
      <w:r w:rsidRPr="00C100D0">
        <w:rPr>
          <w:i/>
          <w:iCs/>
          <w:sz w:val="18"/>
          <w:szCs w:val="18"/>
        </w:rPr>
        <w:t xml:space="preserve">J. Phys. Chem. </w:t>
      </w:r>
      <w:r w:rsidRPr="00C100D0">
        <w:rPr>
          <w:sz w:val="18"/>
          <w:szCs w:val="18"/>
        </w:rPr>
        <w:t xml:space="preserve">1964, </w:t>
      </w:r>
      <w:r w:rsidRPr="00C100D0">
        <w:rPr>
          <w:i/>
          <w:iCs/>
          <w:sz w:val="18"/>
          <w:szCs w:val="18"/>
        </w:rPr>
        <w:t>68</w:t>
      </w:r>
      <w:r w:rsidRPr="00C100D0">
        <w:rPr>
          <w:sz w:val="18"/>
          <w:szCs w:val="18"/>
        </w:rPr>
        <w:t>, 441−451.</w:t>
      </w:r>
    </w:p>
    <w:p w14:paraId="43438F12"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 xml:space="preserve">P. Panini and D. Chopra, </w:t>
      </w:r>
      <w:r w:rsidRPr="00C100D0">
        <w:rPr>
          <w:i/>
          <w:sz w:val="18"/>
          <w:szCs w:val="18"/>
        </w:rPr>
        <w:t>Cryst. Growth Des</w:t>
      </w:r>
      <w:r w:rsidRPr="00C100D0">
        <w:rPr>
          <w:sz w:val="18"/>
          <w:szCs w:val="18"/>
        </w:rPr>
        <w:t>., 2014, 14, 3155.</w:t>
      </w:r>
    </w:p>
    <w:p w14:paraId="11D4885F"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M.J. Hynes</w:t>
      </w:r>
      <w:r w:rsidRPr="00C100D0">
        <w:rPr>
          <w:i/>
          <w:sz w:val="18"/>
          <w:szCs w:val="18"/>
        </w:rPr>
        <w:t>, J. Chem. Soc., Dalton Trans.</w:t>
      </w:r>
      <w:r w:rsidRPr="00C100D0">
        <w:rPr>
          <w:sz w:val="18"/>
          <w:szCs w:val="18"/>
        </w:rPr>
        <w:t>, 1993, 311.</w:t>
      </w:r>
    </w:p>
    <w:p w14:paraId="21806E65" w14:textId="77777777" w:rsidR="00FB4A6B" w:rsidRPr="00C100D0" w:rsidRDefault="00FB4A6B" w:rsidP="00F341C8">
      <w:pPr>
        <w:pStyle w:val="N3References"/>
        <w:numPr>
          <w:ilvl w:val="0"/>
          <w:numId w:val="13"/>
        </w:numPr>
        <w:spacing w:line="240" w:lineRule="atLeast"/>
        <w:rPr>
          <w:sz w:val="18"/>
          <w:szCs w:val="18"/>
        </w:rPr>
      </w:pPr>
      <w:r w:rsidRPr="00C100D0">
        <w:rPr>
          <w:sz w:val="18"/>
          <w:szCs w:val="18"/>
        </w:rPr>
        <w:t>M. Olivari, C. Caltagirone, A. Garau, F. Isaia, M. E. Light, V. Lippolis, R. Montis and M. A. Scorciapino,  </w:t>
      </w:r>
      <w:hyperlink r:id="rId39" w:history="1">
        <w:r w:rsidRPr="00C100D0">
          <w:rPr>
            <w:bCs/>
            <w:i/>
            <w:iCs/>
            <w:sz w:val="18"/>
            <w:szCs w:val="18"/>
          </w:rPr>
          <w:t>New J. Chem.</w:t>
        </w:r>
      </w:hyperlink>
      <w:r w:rsidRPr="00C100D0">
        <w:rPr>
          <w:sz w:val="18"/>
          <w:szCs w:val="18"/>
        </w:rPr>
        <w:t>, 2013,</w:t>
      </w:r>
      <w:r w:rsidRPr="00C100D0">
        <w:rPr>
          <w:b/>
          <w:bCs/>
          <w:sz w:val="18"/>
          <w:szCs w:val="18"/>
        </w:rPr>
        <w:t>37</w:t>
      </w:r>
      <w:r w:rsidRPr="00C100D0">
        <w:rPr>
          <w:sz w:val="18"/>
          <w:szCs w:val="18"/>
        </w:rPr>
        <w:t>, 663</w:t>
      </w:r>
      <w:r w:rsidR="00756951" w:rsidRPr="00C100D0">
        <w:rPr>
          <w:sz w:val="18"/>
          <w:szCs w:val="18"/>
        </w:rPr>
        <w:t>.</w:t>
      </w:r>
    </w:p>
    <w:p w14:paraId="5717CFEA" w14:textId="77777777" w:rsidR="00756951" w:rsidRPr="00C100D0" w:rsidRDefault="00756951" w:rsidP="00F341C8">
      <w:pPr>
        <w:pStyle w:val="N3References"/>
        <w:numPr>
          <w:ilvl w:val="0"/>
          <w:numId w:val="13"/>
        </w:numPr>
        <w:spacing w:line="240" w:lineRule="atLeast"/>
        <w:rPr>
          <w:sz w:val="18"/>
          <w:szCs w:val="18"/>
        </w:rPr>
      </w:pPr>
      <w:r w:rsidRPr="00C100D0">
        <w:rPr>
          <w:sz w:val="18"/>
          <w:szCs w:val="18"/>
        </w:rPr>
        <w:t>T. Leyssens, G. Springuel, R. Montis, N. Candoni, and S. Veesler,</w:t>
      </w:r>
      <w:r w:rsidRPr="00C100D0">
        <w:rPr>
          <w:i/>
          <w:sz w:val="18"/>
          <w:szCs w:val="18"/>
        </w:rPr>
        <w:t xml:space="preserve"> Cryst. Growth Des</w:t>
      </w:r>
      <w:r w:rsidRPr="00C100D0">
        <w:rPr>
          <w:sz w:val="18"/>
          <w:szCs w:val="18"/>
        </w:rPr>
        <w:t xml:space="preserve">., 2012, </w:t>
      </w:r>
      <w:r w:rsidRPr="00C100D0">
        <w:rPr>
          <w:b/>
          <w:sz w:val="18"/>
          <w:szCs w:val="18"/>
        </w:rPr>
        <w:t>12</w:t>
      </w:r>
      <w:r w:rsidRPr="00C100D0">
        <w:rPr>
          <w:sz w:val="18"/>
          <w:szCs w:val="18"/>
        </w:rPr>
        <w:t>, 1520.</w:t>
      </w:r>
    </w:p>
    <w:p w14:paraId="479018D4" w14:textId="77777777" w:rsidR="00FB4A6B" w:rsidRPr="00C100D0" w:rsidRDefault="00FB4A6B" w:rsidP="00F341C8">
      <w:pPr>
        <w:pStyle w:val="N3References"/>
        <w:numPr>
          <w:ilvl w:val="0"/>
          <w:numId w:val="13"/>
        </w:numPr>
        <w:rPr>
          <w:sz w:val="18"/>
          <w:szCs w:val="18"/>
        </w:rPr>
      </w:pPr>
      <w:r w:rsidRPr="00C100D0">
        <w:rPr>
          <w:sz w:val="18"/>
          <w:szCs w:val="18"/>
        </w:rPr>
        <w:t>R.  Montis and M. B. Hursthouse,</w:t>
      </w:r>
      <w:r w:rsidR="007E0873" w:rsidRPr="00C100D0">
        <w:rPr>
          <w:sz w:val="18"/>
          <w:szCs w:val="18"/>
        </w:rPr>
        <w:t xml:space="preserve"> </w:t>
      </w:r>
      <w:hyperlink r:id="rId40" w:history="1">
        <w:r w:rsidRPr="00C100D0">
          <w:rPr>
            <w:bCs/>
            <w:i/>
            <w:iCs/>
            <w:sz w:val="18"/>
            <w:szCs w:val="18"/>
          </w:rPr>
          <w:t>CrystEngComm</w:t>
        </w:r>
      </w:hyperlink>
      <w:r w:rsidRPr="00C100D0">
        <w:rPr>
          <w:sz w:val="18"/>
          <w:szCs w:val="18"/>
        </w:rPr>
        <w:t>, 2012,</w:t>
      </w:r>
      <w:r w:rsidR="007E0873" w:rsidRPr="00C100D0">
        <w:rPr>
          <w:sz w:val="18"/>
          <w:szCs w:val="18"/>
        </w:rPr>
        <w:t xml:space="preserve"> </w:t>
      </w:r>
      <w:r w:rsidRPr="00C100D0">
        <w:rPr>
          <w:b/>
          <w:bCs/>
          <w:sz w:val="18"/>
          <w:szCs w:val="18"/>
        </w:rPr>
        <w:t>14</w:t>
      </w:r>
      <w:r w:rsidRPr="00C100D0">
        <w:rPr>
          <w:sz w:val="18"/>
          <w:szCs w:val="18"/>
        </w:rPr>
        <w:t>, 5242</w:t>
      </w:r>
      <w:r w:rsidR="007E0873" w:rsidRPr="00C100D0">
        <w:rPr>
          <w:sz w:val="18"/>
          <w:szCs w:val="18"/>
        </w:rPr>
        <w:t>.</w:t>
      </w:r>
    </w:p>
    <w:p w14:paraId="7E15482A" w14:textId="77777777" w:rsidR="00FB4A6B" w:rsidRPr="00C100D0" w:rsidRDefault="00FB4A6B" w:rsidP="00F341C8">
      <w:pPr>
        <w:pStyle w:val="N3References"/>
        <w:numPr>
          <w:ilvl w:val="0"/>
          <w:numId w:val="13"/>
        </w:numPr>
        <w:rPr>
          <w:sz w:val="18"/>
          <w:szCs w:val="18"/>
        </w:rPr>
      </w:pPr>
      <w:r w:rsidRPr="00C100D0">
        <w:rPr>
          <w:sz w:val="18"/>
          <w:szCs w:val="18"/>
        </w:rPr>
        <w:t>R.  Montis and M. B. Hursthouse,</w:t>
      </w:r>
      <w:r w:rsidR="007E0873" w:rsidRPr="00C100D0">
        <w:rPr>
          <w:sz w:val="18"/>
          <w:szCs w:val="18"/>
        </w:rPr>
        <w:t xml:space="preserve"> </w:t>
      </w:r>
      <w:hyperlink r:id="rId41" w:history="1">
        <w:r w:rsidRPr="00C100D0">
          <w:rPr>
            <w:bCs/>
            <w:i/>
            <w:iCs/>
            <w:sz w:val="18"/>
            <w:szCs w:val="18"/>
          </w:rPr>
          <w:t>CrystEngComm</w:t>
        </w:r>
      </w:hyperlink>
      <w:r w:rsidRPr="00C100D0">
        <w:rPr>
          <w:sz w:val="18"/>
          <w:szCs w:val="18"/>
        </w:rPr>
        <w:t>, 2012,</w:t>
      </w:r>
      <w:r w:rsidR="007E0873" w:rsidRPr="00C100D0">
        <w:rPr>
          <w:sz w:val="18"/>
          <w:szCs w:val="18"/>
        </w:rPr>
        <w:t xml:space="preserve"> </w:t>
      </w:r>
      <w:r w:rsidRPr="00C100D0">
        <w:rPr>
          <w:b/>
          <w:bCs/>
          <w:sz w:val="18"/>
          <w:szCs w:val="18"/>
        </w:rPr>
        <w:t>14</w:t>
      </w:r>
      <w:r w:rsidRPr="00C100D0">
        <w:rPr>
          <w:sz w:val="18"/>
          <w:szCs w:val="18"/>
        </w:rPr>
        <w:t>, 7466.</w:t>
      </w:r>
    </w:p>
    <w:p w14:paraId="117E7A95" w14:textId="77777777" w:rsidR="00FB4A6B" w:rsidRPr="00C100D0" w:rsidRDefault="00FB4A6B" w:rsidP="00F341C8">
      <w:pPr>
        <w:pStyle w:val="N3References"/>
        <w:numPr>
          <w:ilvl w:val="0"/>
          <w:numId w:val="13"/>
        </w:numPr>
        <w:rPr>
          <w:sz w:val="18"/>
          <w:szCs w:val="18"/>
        </w:rPr>
      </w:pPr>
      <w:r w:rsidRPr="00C100D0">
        <w:rPr>
          <w:sz w:val="18"/>
          <w:szCs w:val="18"/>
          <w:lang w:val="fr-FR"/>
        </w:rPr>
        <w:t xml:space="preserve">K. Bowman-James, </w:t>
      </w:r>
      <w:r w:rsidRPr="00C100D0">
        <w:rPr>
          <w:i/>
          <w:sz w:val="18"/>
          <w:szCs w:val="18"/>
          <w:lang w:val="fr-FR"/>
        </w:rPr>
        <w:t xml:space="preserve">Acc. Chem. </w:t>
      </w:r>
      <w:r w:rsidRPr="00C100D0">
        <w:rPr>
          <w:i/>
          <w:sz w:val="18"/>
          <w:szCs w:val="18"/>
        </w:rPr>
        <w:t>Res</w:t>
      </w:r>
      <w:r w:rsidRPr="00C100D0">
        <w:rPr>
          <w:sz w:val="18"/>
          <w:szCs w:val="18"/>
        </w:rPr>
        <w:t xml:space="preserve">, 2005, </w:t>
      </w:r>
      <w:r w:rsidRPr="00C100D0">
        <w:rPr>
          <w:b/>
          <w:sz w:val="18"/>
          <w:szCs w:val="18"/>
        </w:rPr>
        <w:t>38</w:t>
      </w:r>
      <w:r w:rsidRPr="00C100D0">
        <w:rPr>
          <w:sz w:val="18"/>
          <w:szCs w:val="18"/>
        </w:rPr>
        <w:t>, 671-678.</w:t>
      </w:r>
    </w:p>
    <w:p w14:paraId="3C315B67" w14:textId="77777777" w:rsidR="00FB4A6B" w:rsidRPr="00C100D0" w:rsidRDefault="00FB4A6B" w:rsidP="00BC3254">
      <w:pPr>
        <w:pStyle w:val="N3References"/>
        <w:numPr>
          <w:ilvl w:val="0"/>
          <w:numId w:val="13"/>
        </w:numPr>
        <w:rPr>
          <w:sz w:val="18"/>
          <w:szCs w:val="18"/>
          <w:lang w:val="de-DE"/>
        </w:rPr>
      </w:pPr>
      <w:r w:rsidRPr="00C100D0">
        <w:rPr>
          <w:sz w:val="18"/>
          <w:szCs w:val="18"/>
          <w:lang w:val="de-DE"/>
        </w:rPr>
        <w:t xml:space="preserve">T. Gunnlaugsson, P. E. Kruger, P. Jensen, F. M. Pfeffer and G. M. Husse, </w:t>
      </w:r>
      <w:r w:rsidRPr="00C100D0">
        <w:rPr>
          <w:i/>
          <w:sz w:val="18"/>
          <w:szCs w:val="18"/>
          <w:lang w:val="de-DE"/>
        </w:rPr>
        <w:t>Tetrahedron Lett.</w:t>
      </w:r>
      <w:r w:rsidRPr="00C100D0">
        <w:rPr>
          <w:sz w:val="18"/>
          <w:szCs w:val="18"/>
          <w:lang w:val="de-DE"/>
        </w:rPr>
        <w:t xml:space="preserve"> 2003, </w:t>
      </w:r>
      <w:r w:rsidRPr="00C100D0">
        <w:rPr>
          <w:b/>
          <w:sz w:val="18"/>
          <w:szCs w:val="18"/>
          <w:lang w:val="de-DE"/>
        </w:rPr>
        <w:t>44</w:t>
      </w:r>
      <w:r w:rsidRPr="00C100D0">
        <w:rPr>
          <w:sz w:val="18"/>
          <w:szCs w:val="18"/>
          <w:lang w:val="de-DE"/>
        </w:rPr>
        <w:t>, 8909.</w:t>
      </w:r>
    </w:p>
    <w:p w14:paraId="4C8C5DE0" w14:textId="77777777" w:rsidR="00FB4A6B" w:rsidRPr="00C100D0" w:rsidRDefault="00FB4A6B" w:rsidP="004D7C9C">
      <w:pPr>
        <w:pStyle w:val="N3References"/>
        <w:numPr>
          <w:ilvl w:val="0"/>
          <w:numId w:val="13"/>
        </w:numPr>
        <w:rPr>
          <w:sz w:val="18"/>
          <w:szCs w:val="18"/>
        </w:rPr>
      </w:pPr>
      <w:r w:rsidRPr="00C100D0">
        <w:rPr>
          <w:sz w:val="18"/>
          <w:szCs w:val="18"/>
        </w:rPr>
        <w:t xml:space="preserve">S. J. Brooks, P. A. Gale  and M. E. Light, </w:t>
      </w:r>
      <w:r w:rsidRPr="00C100D0">
        <w:rPr>
          <w:i/>
          <w:sz w:val="18"/>
          <w:szCs w:val="18"/>
        </w:rPr>
        <w:t>Chem. Commun</w:t>
      </w:r>
      <w:r w:rsidRPr="00C100D0">
        <w:rPr>
          <w:sz w:val="18"/>
          <w:szCs w:val="18"/>
        </w:rPr>
        <w:t>., 2006, 4344</w:t>
      </w:r>
      <w:r w:rsidR="00756951" w:rsidRPr="00C100D0">
        <w:rPr>
          <w:sz w:val="18"/>
          <w:szCs w:val="18"/>
        </w:rPr>
        <w:t>.</w:t>
      </w:r>
    </w:p>
    <w:p w14:paraId="3FFA43F3" w14:textId="77777777" w:rsidR="00FB4A6B" w:rsidRPr="00C100D0" w:rsidRDefault="00FB4A6B" w:rsidP="00BC3254">
      <w:pPr>
        <w:pStyle w:val="N3References"/>
        <w:numPr>
          <w:ilvl w:val="0"/>
          <w:numId w:val="13"/>
        </w:numPr>
        <w:rPr>
          <w:sz w:val="18"/>
          <w:szCs w:val="18"/>
        </w:rPr>
      </w:pPr>
      <w:r w:rsidRPr="00C100D0">
        <w:rPr>
          <w:sz w:val="18"/>
          <w:szCs w:val="18"/>
        </w:rPr>
        <w:t xml:space="preserve">S. K. Dey, R. Chutia, and G. Das, </w:t>
      </w:r>
      <w:r w:rsidRPr="00C100D0">
        <w:rPr>
          <w:i/>
          <w:sz w:val="18"/>
          <w:szCs w:val="18"/>
        </w:rPr>
        <w:t>Inorg. Chem.</w:t>
      </w:r>
      <w:r w:rsidRPr="00C100D0">
        <w:rPr>
          <w:sz w:val="18"/>
          <w:szCs w:val="18"/>
        </w:rPr>
        <w:t xml:space="preserve"> 2012, </w:t>
      </w:r>
      <w:r w:rsidRPr="00C100D0">
        <w:rPr>
          <w:b/>
          <w:sz w:val="18"/>
          <w:szCs w:val="18"/>
        </w:rPr>
        <w:t>51</w:t>
      </w:r>
      <w:r w:rsidRPr="00C100D0">
        <w:rPr>
          <w:sz w:val="18"/>
          <w:szCs w:val="18"/>
        </w:rPr>
        <w:t>, 1727</w:t>
      </w:r>
      <w:r w:rsidR="00756951" w:rsidRPr="00C100D0">
        <w:rPr>
          <w:sz w:val="18"/>
          <w:szCs w:val="18"/>
        </w:rPr>
        <w:t>.</w:t>
      </w:r>
    </w:p>
    <w:p w14:paraId="7F0D987E" w14:textId="77777777" w:rsidR="00FB4A6B" w:rsidRPr="00C100D0" w:rsidRDefault="00FB4A6B" w:rsidP="00BC3254">
      <w:pPr>
        <w:pStyle w:val="N3References"/>
        <w:numPr>
          <w:ilvl w:val="0"/>
          <w:numId w:val="13"/>
        </w:numPr>
        <w:rPr>
          <w:sz w:val="18"/>
          <w:szCs w:val="18"/>
        </w:rPr>
      </w:pPr>
      <w:r w:rsidRPr="00C100D0">
        <w:rPr>
          <w:sz w:val="18"/>
          <w:szCs w:val="18"/>
        </w:rPr>
        <w:t xml:space="preserve">I. Ravikumar and P. Ghosh, </w:t>
      </w:r>
      <w:r w:rsidRPr="00C100D0">
        <w:rPr>
          <w:i/>
          <w:sz w:val="18"/>
          <w:szCs w:val="18"/>
        </w:rPr>
        <w:t>Chem. Commun.</w:t>
      </w:r>
      <w:r w:rsidRPr="00C100D0">
        <w:rPr>
          <w:sz w:val="18"/>
          <w:szCs w:val="18"/>
        </w:rPr>
        <w:t xml:space="preserve"> 2010, </w:t>
      </w:r>
      <w:r w:rsidRPr="00C100D0">
        <w:rPr>
          <w:b/>
          <w:sz w:val="18"/>
          <w:szCs w:val="18"/>
        </w:rPr>
        <w:t>46</w:t>
      </w:r>
      <w:r w:rsidRPr="00C100D0">
        <w:rPr>
          <w:sz w:val="18"/>
          <w:szCs w:val="18"/>
        </w:rPr>
        <w:t>, 1082</w:t>
      </w:r>
      <w:r w:rsidR="00756951" w:rsidRPr="00C100D0">
        <w:rPr>
          <w:sz w:val="18"/>
          <w:szCs w:val="18"/>
        </w:rPr>
        <w:t>.</w:t>
      </w:r>
    </w:p>
    <w:p w14:paraId="47A00419" w14:textId="77777777" w:rsidR="00FB4A6B" w:rsidRPr="00C100D0" w:rsidRDefault="00FB4A6B" w:rsidP="004D7C9C">
      <w:pPr>
        <w:pStyle w:val="N3References"/>
        <w:numPr>
          <w:ilvl w:val="0"/>
          <w:numId w:val="13"/>
        </w:numPr>
        <w:spacing w:line="240" w:lineRule="atLeast"/>
        <w:rPr>
          <w:sz w:val="18"/>
          <w:szCs w:val="18"/>
        </w:rPr>
      </w:pPr>
      <w:r w:rsidRPr="00C100D0">
        <w:rPr>
          <w:sz w:val="18"/>
          <w:szCs w:val="18"/>
        </w:rPr>
        <w:t xml:space="preserve">P.A. Gale, J.R. Hiscock, S.J. Moore, C. Caltagirone, M.B. Hursthouse and M.E. Light, </w:t>
      </w:r>
      <w:r w:rsidRPr="00C100D0">
        <w:rPr>
          <w:i/>
          <w:sz w:val="18"/>
          <w:szCs w:val="18"/>
        </w:rPr>
        <w:t>Chem. Asian J.,</w:t>
      </w:r>
      <w:r w:rsidRPr="00C100D0">
        <w:rPr>
          <w:sz w:val="18"/>
          <w:szCs w:val="18"/>
        </w:rPr>
        <w:t xml:space="preserve"> 2010, </w:t>
      </w:r>
      <w:r w:rsidRPr="00C100D0">
        <w:rPr>
          <w:b/>
          <w:sz w:val="18"/>
          <w:szCs w:val="18"/>
        </w:rPr>
        <w:t>5</w:t>
      </w:r>
      <w:r w:rsidRPr="00C100D0">
        <w:rPr>
          <w:sz w:val="18"/>
          <w:szCs w:val="18"/>
        </w:rPr>
        <w:t>, 555</w:t>
      </w:r>
      <w:r w:rsidR="00756951" w:rsidRPr="00C100D0">
        <w:rPr>
          <w:sz w:val="18"/>
          <w:szCs w:val="18"/>
        </w:rPr>
        <w:t>.</w:t>
      </w:r>
    </w:p>
    <w:p w14:paraId="60CA0354" w14:textId="77777777" w:rsidR="00FB4A6B" w:rsidRPr="00C100D0" w:rsidRDefault="00FB4A6B" w:rsidP="004D7C9C">
      <w:pPr>
        <w:pStyle w:val="N3References"/>
        <w:numPr>
          <w:ilvl w:val="0"/>
          <w:numId w:val="13"/>
        </w:numPr>
        <w:spacing w:line="240" w:lineRule="atLeast"/>
        <w:rPr>
          <w:sz w:val="18"/>
          <w:szCs w:val="18"/>
          <w:lang w:val="de-DE"/>
        </w:rPr>
      </w:pPr>
      <w:r w:rsidRPr="00C100D0">
        <w:rPr>
          <w:sz w:val="18"/>
          <w:szCs w:val="18"/>
        </w:rPr>
        <w:t xml:space="preserve">N. Busschaert, P.A. Gale, C.J.E. Haynes, M.E. Light, S.J. Moore, C.C. Tong, J.T. Davis and W.A. Harrell Jr., </w:t>
      </w:r>
      <w:r w:rsidRPr="00C100D0">
        <w:rPr>
          <w:i/>
          <w:sz w:val="18"/>
          <w:szCs w:val="18"/>
        </w:rPr>
        <w:t xml:space="preserve">Chem. Commun. </w:t>
      </w:r>
      <w:r w:rsidRPr="00C100D0">
        <w:rPr>
          <w:sz w:val="18"/>
          <w:szCs w:val="18"/>
        </w:rPr>
        <w:t xml:space="preserve">2010, </w:t>
      </w:r>
      <w:r w:rsidRPr="00C100D0">
        <w:rPr>
          <w:b/>
          <w:sz w:val="18"/>
          <w:szCs w:val="18"/>
        </w:rPr>
        <w:t>46</w:t>
      </w:r>
      <w:r w:rsidRPr="00C100D0">
        <w:rPr>
          <w:sz w:val="18"/>
          <w:szCs w:val="18"/>
        </w:rPr>
        <w:t>, 6252.</w:t>
      </w:r>
    </w:p>
    <w:p w14:paraId="40EE9BF6" w14:textId="77777777" w:rsidR="00FB4A6B" w:rsidRPr="00C100D0" w:rsidRDefault="00FB4A6B" w:rsidP="004D7C9C">
      <w:pPr>
        <w:pStyle w:val="N3References"/>
        <w:numPr>
          <w:ilvl w:val="0"/>
          <w:numId w:val="13"/>
        </w:numPr>
        <w:spacing w:line="240" w:lineRule="atLeast"/>
        <w:rPr>
          <w:sz w:val="18"/>
          <w:szCs w:val="18"/>
        </w:rPr>
      </w:pPr>
      <w:r w:rsidRPr="00C100D0">
        <w:rPr>
          <w:sz w:val="18"/>
          <w:szCs w:val="18"/>
        </w:rPr>
        <w:t>This number refers to N-H···O distances below the 2.75 Å cut-off. However, if we consider a less restricted definition the coordination number of SO</w:t>
      </w:r>
      <w:r w:rsidRPr="00C100D0">
        <w:rPr>
          <w:sz w:val="18"/>
          <w:szCs w:val="18"/>
          <w:vertAlign w:val="subscript"/>
        </w:rPr>
        <w:t>4</w:t>
      </w:r>
      <w:r w:rsidRPr="00C100D0">
        <w:rPr>
          <w:sz w:val="18"/>
          <w:szCs w:val="18"/>
          <w:vertAlign w:val="superscript"/>
        </w:rPr>
        <w:t>2-</w:t>
      </w:r>
      <w:r w:rsidRPr="00C100D0">
        <w:rPr>
          <w:sz w:val="18"/>
          <w:szCs w:val="18"/>
        </w:rPr>
        <w:t>increases to 14 (there are at least other two weak hydrogen bonds, respectively  at 2.81 and 2.93 Å  and not included in Fig 13 but reported in Table S3 in ESI†.).</w:t>
      </w:r>
    </w:p>
    <w:p w14:paraId="1CE1FC2B" w14:textId="77777777" w:rsidR="00FB4A6B" w:rsidRPr="00C100D0" w:rsidRDefault="00FB4A6B" w:rsidP="004D7C9C">
      <w:pPr>
        <w:pStyle w:val="N3References"/>
        <w:numPr>
          <w:ilvl w:val="0"/>
          <w:numId w:val="13"/>
        </w:numPr>
        <w:spacing w:line="240" w:lineRule="atLeast"/>
        <w:rPr>
          <w:sz w:val="18"/>
          <w:szCs w:val="18"/>
          <w:lang w:val="de-DE"/>
        </w:rPr>
      </w:pPr>
      <w:r w:rsidRPr="00C100D0">
        <w:rPr>
          <w:sz w:val="18"/>
          <w:szCs w:val="18"/>
        </w:rPr>
        <w:t xml:space="preserve">R. Custelcean,  B. A. Moyer, B. P. Hay, </w:t>
      </w:r>
      <w:r w:rsidRPr="00C100D0">
        <w:rPr>
          <w:i/>
          <w:sz w:val="18"/>
          <w:szCs w:val="18"/>
        </w:rPr>
        <w:t>Chem. Commun.</w:t>
      </w:r>
      <w:r w:rsidR="00756951" w:rsidRPr="00C100D0">
        <w:rPr>
          <w:sz w:val="18"/>
          <w:szCs w:val="18"/>
        </w:rPr>
        <w:t xml:space="preserve"> 2005, 5971.</w:t>
      </w:r>
    </w:p>
    <w:p w14:paraId="2493C242" w14:textId="77777777" w:rsidR="00FB4A6B" w:rsidRPr="00C100D0" w:rsidRDefault="00FB4A6B" w:rsidP="004D7C9C">
      <w:pPr>
        <w:pStyle w:val="N3References"/>
        <w:numPr>
          <w:ilvl w:val="0"/>
          <w:numId w:val="13"/>
        </w:numPr>
        <w:spacing w:line="240" w:lineRule="atLeast"/>
        <w:rPr>
          <w:sz w:val="18"/>
          <w:szCs w:val="18"/>
          <w:lang w:val="de-DE"/>
        </w:rPr>
      </w:pPr>
      <w:r w:rsidRPr="00C100D0">
        <w:rPr>
          <w:sz w:val="18"/>
          <w:szCs w:val="18"/>
        </w:rPr>
        <w:lastRenderedPageBreak/>
        <w:t xml:space="preserve">A. Rajbanshi, B. A. Moyer, R. Custelcean, </w:t>
      </w:r>
      <w:r w:rsidRPr="00C100D0">
        <w:rPr>
          <w:i/>
          <w:sz w:val="18"/>
          <w:szCs w:val="18"/>
        </w:rPr>
        <w:t xml:space="preserve">Cryst. Growth Des, </w:t>
      </w:r>
      <w:r w:rsidRPr="00C100D0">
        <w:rPr>
          <w:sz w:val="18"/>
          <w:szCs w:val="18"/>
        </w:rPr>
        <w:t xml:space="preserve">2011, </w:t>
      </w:r>
      <w:r w:rsidRPr="00C100D0">
        <w:rPr>
          <w:b/>
          <w:sz w:val="18"/>
          <w:szCs w:val="18"/>
        </w:rPr>
        <w:t>11</w:t>
      </w:r>
      <w:r w:rsidRPr="00C100D0">
        <w:rPr>
          <w:sz w:val="18"/>
          <w:szCs w:val="18"/>
        </w:rPr>
        <w:t>, 2702.</w:t>
      </w:r>
    </w:p>
    <w:p w14:paraId="53902023" w14:textId="77777777" w:rsidR="00FB4A6B" w:rsidRPr="00C100D0" w:rsidRDefault="00FB4A6B" w:rsidP="004D7C9C">
      <w:pPr>
        <w:pStyle w:val="N3References"/>
        <w:numPr>
          <w:ilvl w:val="0"/>
          <w:numId w:val="13"/>
        </w:numPr>
        <w:spacing w:line="240" w:lineRule="atLeast"/>
        <w:rPr>
          <w:sz w:val="18"/>
          <w:szCs w:val="18"/>
        </w:rPr>
      </w:pPr>
      <w:r w:rsidRPr="00C100D0">
        <w:rPr>
          <w:sz w:val="18"/>
          <w:szCs w:val="18"/>
        </w:rPr>
        <w:t xml:space="preserve">B. D. Smith and T. N. Lambert, </w:t>
      </w:r>
      <w:r w:rsidRPr="00C100D0">
        <w:rPr>
          <w:i/>
          <w:sz w:val="18"/>
          <w:szCs w:val="18"/>
        </w:rPr>
        <w:t>Chem. Commun.</w:t>
      </w:r>
      <w:r w:rsidRPr="00C100D0">
        <w:rPr>
          <w:sz w:val="18"/>
          <w:szCs w:val="18"/>
        </w:rPr>
        <w:t>, 2003, 2261.</w:t>
      </w:r>
    </w:p>
    <w:p w14:paraId="5B2DC777" w14:textId="77777777" w:rsidR="00FB4A6B" w:rsidRPr="00C100D0" w:rsidRDefault="00FB4A6B" w:rsidP="004D7C9C">
      <w:pPr>
        <w:pStyle w:val="N3References"/>
        <w:numPr>
          <w:ilvl w:val="0"/>
          <w:numId w:val="13"/>
        </w:numPr>
        <w:spacing w:line="240" w:lineRule="atLeast"/>
        <w:rPr>
          <w:sz w:val="18"/>
          <w:szCs w:val="18"/>
        </w:rPr>
      </w:pPr>
      <w:r w:rsidRPr="00C100D0">
        <w:rPr>
          <w:sz w:val="18"/>
          <w:szCs w:val="18"/>
        </w:rPr>
        <w:t xml:space="preserve">Y. Marcus, </w:t>
      </w:r>
      <w:r w:rsidRPr="00C100D0">
        <w:rPr>
          <w:i/>
          <w:sz w:val="18"/>
          <w:szCs w:val="18"/>
        </w:rPr>
        <w:t>J. Chem. Soc., Faraday Trans.</w:t>
      </w:r>
      <w:r w:rsidRPr="00C100D0">
        <w:rPr>
          <w:sz w:val="18"/>
          <w:szCs w:val="18"/>
        </w:rPr>
        <w:t xml:space="preserve">, 1991, </w:t>
      </w:r>
      <w:r w:rsidRPr="00C100D0">
        <w:rPr>
          <w:b/>
          <w:sz w:val="18"/>
          <w:szCs w:val="18"/>
        </w:rPr>
        <w:t>87</w:t>
      </w:r>
      <w:r w:rsidRPr="00C100D0">
        <w:rPr>
          <w:sz w:val="18"/>
          <w:szCs w:val="18"/>
        </w:rPr>
        <w:t>, 2995.</w:t>
      </w:r>
    </w:p>
    <w:p w14:paraId="0649F787" w14:textId="77777777" w:rsidR="00FB4A6B" w:rsidRPr="00C100D0" w:rsidRDefault="00FB4A6B" w:rsidP="00592FA1">
      <w:pPr>
        <w:pStyle w:val="N3References"/>
        <w:numPr>
          <w:ilvl w:val="0"/>
          <w:numId w:val="13"/>
        </w:numPr>
        <w:spacing w:line="240" w:lineRule="atLeast"/>
        <w:rPr>
          <w:sz w:val="18"/>
          <w:szCs w:val="18"/>
        </w:rPr>
      </w:pPr>
      <w:r w:rsidRPr="00C100D0">
        <w:rPr>
          <w:sz w:val="18"/>
          <w:szCs w:val="18"/>
        </w:rPr>
        <w:t xml:space="preserve">N. Busschaert, L.E. Karagiannids, M. Wenzel, C.J.E. Haynes, N.J. Wells,  Philip G. Young, D. Makuc, J. Plavec, K.A. Jolliffe and P.A. Gale, </w:t>
      </w:r>
      <w:r w:rsidRPr="00C100D0">
        <w:rPr>
          <w:i/>
          <w:sz w:val="18"/>
          <w:szCs w:val="18"/>
        </w:rPr>
        <w:t>Chem. Sci.</w:t>
      </w:r>
      <w:r w:rsidRPr="00C100D0">
        <w:rPr>
          <w:sz w:val="18"/>
          <w:szCs w:val="18"/>
        </w:rPr>
        <w:t xml:space="preserve"> 2014, </w:t>
      </w:r>
      <w:r w:rsidRPr="00C100D0">
        <w:rPr>
          <w:b/>
          <w:sz w:val="18"/>
          <w:szCs w:val="18"/>
        </w:rPr>
        <w:t>5</w:t>
      </w:r>
      <w:r w:rsidRPr="00C100D0">
        <w:rPr>
          <w:sz w:val="18"/>
          <w:szCs w:val="18"/>
        </w:rPr>
        <w:t>, 1118.</w:t>
      </w:r>
    </w:p>
    <w:p w14:paraId="5EA99A9B" w14:textId="77777777" w:rsidR="00FB4A6B" w:rsidRPr="00C100D0" w:rsidRDefault="00FB4A6B" w:rsidP="00592FA1">
      <w:pPr>
        <w:pStyle w:val="N3References"/>
        <w:numPr>
          <w:ilvl w:val="0"/>
          <w:numId w:val="13"/>
        </w:numPr>
        <w:spacing w:line="240" w:lineRule="atLeast"/>
        <w:rPr>
          <w:sz w:val="18"/>
          <w:szCs w:val="18"/>
        </w:rPr>
      </w:pPr>
      <w:r w:rsidRPr="00C100D0">
        <w:rPr>
          <w:sz w:val="18"/>
          <w:szCs w:val="18"/>
        </w:rPr>
        <w:t xml:space="preserve">W. F. Drew Bennett, Justin L. MacCallum and D. Peter Tieleman, J. Am. Chem. Soc., 2009, </w:t>
      </w:r>
      <w:r w:rsidRPr="00C100D0">
        <w:rPr>
          <w:b/>
          <w:sz w:val="18"/>
          <w:szCs w:val="18"/>
        </w:rPr>
        <w:t>131</w:t>
      </w:r>
      <w:r w:rsidRPr="00C100D0">
        <w:rPr>
          <w:sz w:val="18"/>
          <w:szCs w:val="18"/>
        </w:rPr>
        <w:t>, 1972.</w:t>
      </w:r>
    </w:p>
    <w:p w14:paraId="2B9D1EBA" w14:textId="77777777" w:rsidR="00FB4A6B" w:rsidRPr="00C100D0" w:rsidRDefault="00FB4A6B" w:rsidP="00592FA1">
      <w:pPr>
        <w:pStyle w:val="N3References"/>
        <w:numPr>
          <w:ilvl w:val="0"/>
          <w:numId w:val="13"/>
        </w:numPr>
        <w:spacing w:line="240" w:lineRule="atLeast"/>
        <w:rPr>
          <w:sz w:val="18"/>
          <w:szCs w:val="18"/>
        </w:rPr>
      </w:pPr>
      <w:r w:rsidRPr="00C100D0">
        <w:rPr>
          <w:sz w:val="18"/>
          <w:szCs w:val="18"/>
        </w:rPr>
        <w:t xml:space="preserve">a) A.V. Hill, </w:t>
      </w:r>
      <w:r w:rsidRPr="00C100D0">
        <w:rPr>
          <w:i/>
          <w:sz w:val="18"/>
          <w:szCs w:val="18"/>
        </w:rPr>
        <w:t>Biochem. J.</w:t>
      </w:r>
      <w:r w:rsidRPr="00C100D0">
        <w:rPr>
          <w:sz w:val="18"/>
          <w:szCs w:val="18"/>
        </w:rPr>
        <w:t xml:space="preserve">, 1913, </w:t>
      </w:r>
      <w:r w:rsidRPr="00C100D0">
        <w:rPr>
          <w:b/>
          <w:sz w:val="18"/>
          <w:szCs w:val="18"/>
        </w:rPr>
        <w:t>7</w:t>
      </w:r>
      <w:r w:rsidRPr="00C100D0">
        <w:rPr>
          <w:sz w:val="18"/>
          <w:szCs w:val="18"/>
        </w:rPr>
        <w:t xml:space="preserve">, 471; b) S. Bhosale and S. Matile, </w:t>
      </w:r>
      <w:r w:rsidRPr="00C100D0">
        <w:rPr>
          <w:i/>
          <w:sz w:val="18"/>
          <w:szCs w:val="18"/>
        </w:rPr>
        <w:t>Chirality</w:t>
      </w:r>
      <w:r w:rsidRPr="00C100D0">
        <w:rPr>
          <w:sz w:val="18"/>
          <w:szCs w:val="18"/>
        </w:rPr>
        <w:t xml:space="preserve">, 2006, </w:t>
      </w:r>
      <w:r w:rsidRPr="00C100D0">
        <w:rPr>
          <w:b/>
          <w:sz w:val="18"/>
          <w:szCs w:val="18"/>
        </w:rPr>
        <w:t>18</w:t>
      </w:r>
      <w:r w:rsidRPr="00C100D0">
        <w:rPr>
          <w:sz w:val="18"/>
          <w:szCs w:val="18"/>
        </w:rPr>
        <w:t>, 849.</w:t>
      </w:r>
    </w:p>
    <w:p w14:paraId="45B0870F" w14:textId="77777777" w:rsidR="00FB4A6B" w:rsidRPr="00C100D0" w:rsidRDefault="00FB4A6B" w:rsidP="00592FA1">
      <w:pPr>
        <w:pStyle w:val="N3References"/>
        <w:numPr>
          <w:ilvl w:val="0"/>
          <w:numId w:val="13"/>
        </w:numPr>
        <w:spacing w:line="240" w:lineRule="atLeast"/>
        <w:rPr>
          <w:sz w:val="18"/>
          <w:szCs w:val="18"/>
        </w:rPr>
      </w:pPr>
      <w:r w:rsidRPr="00C100D0">
        <w:rPr>
          <w:sz w:val="18"/>
          <w:szCs w:val="18"/>
        </w:rPr>
        <w:t xml:space="preserve">S. J. Coles and P. A. Gale, </w:t>
      </w:r>
      <w:r w:rsidRPr="00C100D0">
        <w:rPr>
          <w:i/>
          <w:sz w:val="18"/>
          <w:szCs w:val="18"/>
        </w:rPr>
        <w:t>Chem Sci.</w:t>
      </w:r>
      <w:r w:rsidRPr="00C100D0">
        <w:rPr>
          <w:sz w:val="18"/>
          <w:szCs w:val="18"/>
        </w:rPr>
        <w:t xml:space="preserve">, 2012, </w:t>
      </w:r>
      <w:r w:rsidRPr="00C100D0">
        <w:rPr>
          <w:b/>
          <w:sz w:val="18"/>
          <w:szCs w:val="18"/>
        </w:rPr>
        <w:t>3</w:t>
      </w:r>
      <w:r w:rsidRPr="00C100D0">
        <w:rPr>
          <w:sz w:val="18"/>
          <w:szCs w:val="18"/>
        </w:rPr>
        <w:t>, 683</w:t>
      </w:r>
      <w:r w:rsidR="00756951" w:rsidRPr="00C100D0">
        <w:rPr>
          <w:sz w:val="18"/>
          <w:szCs w:val="18"/>
        </w:rPr>
        <w:t>.</w:t>
      </w:r>
    </w:p>
    <w:sectPr w:rsidR="00FB4A6B" w:rsidRPr="00C100D0" w:rsidSect="00152DB1">
      <w:endnotePr>
        <w:numFmt w:val="decimal"/>
      </w:endnotePr>
      <w:type w:val="continuous"/>
      <w:pgSz w:w="11907" w:h="15593" w:code="119"/>
      <w:pgMar w:top="1021" w:right="907" w:bottom="1021" w:left="1077" w:header="227" w:footer="624" w:gutter="0"/>
      <w:lnNumType w:countBy="5" w:distance="57"/>
      <w:cols w:num="2" w:space="397"/>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1FEE6" w14:textId="77777777" w:rsidR="00F7768F" w:rsidRPr="004C27D7" w:rsidRDefault="00F7768F" w:rsidP="004C27D7">
      <w:pPr>
        <w:pStyle w:val="Footer"/>
        <w:rPr>
          <w:sz w:val="2"/>
          <w:szCs w:val="2"/>
        </w:rPr>
      </w:pPr>
    </w:p>
    <w:p w14:paraId="764CB8A9" w14:textId="77777777" w:rsidR="00F7768F" w:rsidRDefault="00F7768F"/>
  </w:endnote>
  <w:endnote w:type="continuationSeparator" w:id="0">
    <w:p w14:paraId="733A8392" w14:textId="77777777" w:rsidR="00F7768F" w:rsidRPr="004C27D7" w:rsidRDefault="00F7768F" w:rsidP="004C27D7">
      <w:pPr>
        <w:pStyle w:val="Footer"/>
        <w:rPr>
          <w:sz w:val="2"/>
          <w:szCs w:val="2"/>
        </w:rPr>
      </w:pPr>
    </w:p>
    <w:p w14:paraId="26D67C70" w14:textId="77777777" w:rsidR="00F7768F" w:rsidRDefault="00F7768F"/>
  </w:endnote>
  <w:endnote w:type="continuationNotice" w:id="1">
    <w:p w14:paraId="36AAC54D" w14:textId="77777777" w:rsidR="00F7768F" w:rsidRPr="004C27D7" w:rsidRDefault="00F7768F">
      <w:pPr>
        <w:rPr>
          <w:sz w:val="2"/>
          <w:szCs w:val="2"/>
        </w:rPr>
      </w:pPr>
    </w:p>
    <w:p w14:paraId="505FFA0E" w14:textId="77777777" w:rsidR="00F7768F" w:rsidRDefault="00F776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yriad Pro">
    <w:panose1 w:val="020B0503030403020204"/>
    <w:charset w:val="00"/>
    <w:family w:val="auto"/>
    <w:pitch w:val="variable"/>
    <w:sig w:usb0="20000287" w:usb1="00000001"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Consolas">
    <w:panose1 w:val="020B0609020204030204"/>
    <w:charset w:val="00"/>
    <w:family w:val="auto"/>
    <w:pitch w:val="variable"/>
    <w:sig w:usb0="E10002FF" w:usb1="4000FCFF" w:usb2="00000009" w:usb3="00000000" w:csb0="0000019F" w:csb1="00000000"/>
  </w:font>
  <w:font w:name="ＭＳ 明朝">
    <w:charset w:val="4E"/>
    <w:family w:val="auto"/>
    <w:pitch w:val="variable"/>
    <w:sig w:usb0="E00002FF" w:usb1="6AC7FDFB" w:usb2="00000012" w:usb3="00000000" w:csb0="0002009F" w:csb1="00000000"/>
  </w:font>
  <w:font w:name="Pompei">
    <w:altName w:val="Times New Roman"/>
    <w:panose1 w:val="00000000000000000000"/>
    <w:charset w:val="00"/>
    <w:family w:val="roman"/>
    <w:notTrueType/>
    <w:pitch w:val="variable"/>
    <w:sig w:usb0="00000003" w:usb1="00000000" w:usb2="00000000" w:usb3="00000000" w:csb0="00000001" w:csb1="00000000"/>
  </w:font>
  <w:font w:name="Myriad Pro Light">
    <w:altName w:val="Myriad Pro Semibold It"/>
    <w:panose1 w:val="00000000000000000000"/>
    <w:charset w:val="00"/>
    <w:family w:val="swiss"/>
    <w:notTrueType/>
    <w:pitch w:val="variable"/>
    <w:sig w:usb0="00000001" w:usb1="5000204B" w:usb2="00000000" w:usb3="00000000" w:csb0="0000019F" w:csb1="00000000"/>
  </w:font>
  <w:font w:name="Myriad Condensed Web">
    <w:altName w:val="Arial"/>
    <w:panose1 w:val="00000000000000000000"/>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A98DF" w14:textId="77777777" w:rsidR="00A53616" w:rsidRPr="004E5F6D" w:rsidRDefault="000C0473" w:rsidP="00512C15">
    <w:pPr>
      <w:pStyle w:val="F1RunningFooter"/>
    </w:pPr>
    <w:r w:rsidRPr="000C02B6">
      <w:rPr>
        <w:b/>
      </w:rPr>
      <w:fldChar w:fldCharType="begin"/>
    </w:r>
    <w:r w:rsidR="00A53616" w:rsidRPr="000C02B6">
      <w:rPr>
        <w:b/>
      </w:rPr>
      <w:instrText xml:space="preserve"> PAGE </w:instrText>
    </w:r>
    <w:r w:rsidRPr="000C02B6">
      <w:rPr>
        <w:b/>
      </w:rPr>
      <w:fldChar w:fldCharType="separate"/>
    </w:r>
    <w:r w:rsidR="00C100D0">
      <w:rPr>
        <w:b/>
        <w:noProof/>
      </w:rPr>
      <w:t>4</w:t>
    </w:r>
    <w:r w:rsidRPr="000C02B6">
      <w:rPr>
        <w:b/>
      </w:rPr>
      <w:fldChar w:fldCharType="end"/>
    </w:r>
    <w:r w:rsidR="00A53616">
      <w:t xml:space="preserve">  </w:t>
    </w:r>
    <w:r w:rsidR="00A53616" w:rsidRPr="004E5F6D">
      <w:t>|</w:t>
    </w:r>
    <w:r w:rsidR="00A53616">
      <w:t xml:space="preserve">  </w:t>
    </w:r>
    <w:r w:rsidR="00A53616">
      <w:rPr>
        <w:i/>
      </w:rPr>
      <w:t>Journal Name</w:t>
    </w:r>
    <w:r w:rsidR="00A53616" w:rsidRPr="004E5F6D">
      <w:t xml:space="preserve">, </w:t>
    </w:r>
    <w:r w:rsidR="00A53616">
      <w:t>[year]</w:t>
    </w:r>
    <w:r w:rsidR="00A53616" w:rsidRPr="004E5F6D">
      <w:t xml:space="preserve">, </w:t>
    </w:r>
    <w:r w:rsidR="00A53616">
      <w:rPr>
        <w:b/>
      </w:rPr>
      <w:t>[vol]</w:t>
    </w:r>
    <w:r w:rsidR="00A53616" w:rsidRPr="004E5F6D">
      <w:t xml:space="preserve">, </w:t>
    </w:r>
    <w:r w:rsidR="00A53616">
      <w:t>00–00</w:t>
    </w:r>
    <w:r w:rsidR="00A53616">
      <w:rPr>
        <w:b/>
      </w:rPr>
      <w:tab/>
    </w:r>
    <w:r w:rsidR="00A53616" w:rsidRPr="00E26194">
      <w:rPr>
        <w:rStyle w:val="C1Gray"/>
        <w:lang w:val="en-GB"/>
      </w:rPr>
      <w:t>This journal is © The Royal Society of Chemistry [year]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1D7BA" w14:textId="77777777" w:rsidR="00A53616" w:rsidRPr="004E5F6D" w:rsidRDefault="00A53616" w:rsidP="00512C15">
    <w:pPr>
      <w:pStyle w:val="F1RunningFooter"/>
    </w:pPr>
    <w:r w:rsidRPr="00E26194">
      <w:rPr>
        <w:rStyle w:val="C1Gray"/>
        <w:lang w:val="en-GB"/>
      </w:rPr>
      <w:t>This journal is © The Royal Society of Chemistry [year]</w:t>
    </w:r>
    <w:r>
      <w:rPr>
        <w:b/>
      </w:rPr>
      <w:tab/>
    </w:r>
    <w:r>
      <w:rPr>
        <w:i/>
      </w:rPr>
      <w:t>Journal Name</w:t>
    </w:r>
    <w:r w:rsidRPr="004E5F6D">
      <w:t xml:space="preserve">, </w:t>
    </w:r>
    <w:r>
      <w:t>[year]</w:t>
    </w:r>
    <w:r w:rsidRPr="004E5F6D">
      <w:t xml:space="preserve">, </w:t>
    </w:r>
    <w:r>
      <w:rPr>
        <w:b/>
      </w:rPr>
      <w:t>[vol]</w:t>
    </w:r>
    <w:r w:rsidRPr="004E5F6D">
      <w:t xml:space="preserve">, </w:t>
    </w:r>
    <w:r>
      <w:t xml:space="preserve">00–00  </w:t>
    </w:r>
    <w:r w:rsidRPr="004E5F6D">
      <w:t>|</w:t>
    </w:r>
    <w:r>
      <w:t xml:space="preserve">  </w:t>
    </w:r>
    <w:r w:rsidR="000C0473" w:rsidRPr="000C02B6">
      <w:rPr>
        <w:b/>
      </w:rPr>
      <w:fldChar w:fldCharType="begin"/>
    </w:r>
    <w:r w:rsidRPr="000C02B6">
      <w:rPr>
        <w:b/>
      </w:rPr>
      <w:instrText xml:space="preserve"> PAGE </w:instrText>
    </w:r>
    <w:r w:rsidR="000C0473" w:rsidRPr="000C02B6">
      <w:rPr>
        <w:b/>
      </w:rPr>
      <w:fldChar w:fldCharType="separate"/>
    </w:r>
    <w:r w:rsidR="00C100D0">
      <w:rPr>
        <w:b/>
        <w:noProof/>
      </w:rPr>
      <w:t>3</w:t>
    </w:r>
    <w:r w:rsidR="000C0473" w:rsidRPr="000C02B6">
      <w:rPr>
        <w:b/>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099B7" w14:textId="77777777" w:rsidR="00A53616" w:rsidRPr="004E5F6D" w:rsidRDefault="00A53616" w:rsidP="008E64AC">
    <w:pPr>
      <w:pBdr>
        <w:top w:val="single" w:sz="6" w:space="1" w:color="auto"/>
      </w:pBdr>
      <w:tabs>
        <w:tab w:val="right" w:pos="9923"/>
      </w:tabs>
      <w:rPr>
        <w:rFonts w:ascii="Arial" w:hAnsi="Arial" w:cs="Arial"/>
        <w:sz w:val="17"/>
        <w:szCs w:val="17"/>
      </w:rPr>
    </w:pPr>
    <w:r w:rsidRPr="00D40D6C">
      <w:rPr>
        <w:rFonts w:ascii="Arial" w:hAnsi="Arial" w:cs="Arial"/>
        <w:color w:val="666666"/>
        <w:sz w:val="17"/>
        <w:szCs w:val="17"/>
      </w:rPr>
      <w:t xml:space="preserve">This journal </w:t>
    </w:r>
    <w:r>
      <w:rPr>
        <w:rFonts w:ascii="Arial" w:hAnsi="Arial" w:cs="Arial"/>
        <w:color w:val="666666"/>
        <w:sz w:val="17"/>
        <w:szCs w:val="17"/>
      </w:rPr>
      <w:t xml:space="preserve">is </w:t>
    </w:r>
    <w:r w:rsidRPr="00D40D6C">
      <w:rPr>
        <w:rFonts w:ascii="Arial" w:hAnsi="Arial" w:cs="Arial"/>
        <w:color w:val="666666"/>
        <w:sz w:val="17"/>
        <w:szCs w:val="17"/>
      </w:rPr>
      <w:t xml:space="preserve">© </w:t>
    </w:r>
    <w:r>
      <w:rPr>
        <w:rFonts w:ascii="Arial" w:hAnsi="Arial" w:cs="Arial"/>
        <w:color w:val="666666"/>
        <w:sz w:val="17"/>
        <w:szCs w:val="17"/>
      </w:rPr>
      <w:t xml:space="preserve">The </w:t>
    </w:r>
    <w:r w:rsidRPr="00D40D6C">
      <w:rPr>
        <w:rFonts w:ascii="Arial" w:hAnsi="Arial" w:cs="Arial"/>
        <w:color w:val="666666"/>
        <w:sz w:val="17"/>
        <w:szCs w:val="17"/>
      </w:rPr>
      <w:t>Royal Society of Chemistry</w:t>
    </w:r>
    <w:r>
      <w:rPr>
        <w:rFonts w:ascii="Arial" w:hAnsi="Arial" w:cs="Arial"/>
        <w:color w:val="666666"/>
        <w:sz w:val="17"/>
        <w:szCs w:val="17"/>
      </w:rPr>
      <w:t xml:space="preserve"> [year]</w:t>
    </w:r>
    <w:r>
      <w:rPr>
        <w:rFonts w:ascii="Arial" w:hAnsi="Arial" w:cs="Arial"/>
        <w:b/>
        <w:sz w:val="17"/>
        <w:szCs w:val="17"/>
      </w:rPr>
      <w:tab/>
    </w:r>
    <w:r w:rsidRPr="00F5304A">
      <w:rPr>
        <w:rFonts w:ascii="Arial" w:hAnsi="Arial" w:cs="Arial"/>
        <w:i/>
        <w:sz w:val="17"/>
        <w:szCs w:val="17"/>
      </w:rPr>
      <w:t>[journal]</w:t>
    </w:r>
    <w:r w:rsidRPr="004E5F6D">
      <w:rPr>
        <w:rFonts w:ascii="Arial" w:hAnsi="Arial" w:cs="Arial"/>
        <w:sz w:val="17"/>
        <w:szCs w:val="17"/>
      </w:rPr>
      <w:t xml:space="preserve">, </w:t>
    </w:r>
    <w:r>
      <w:rPr>
        <w:rFonts w:ascii="Arial" w:hAnsi="Arial" w:cs="Arial"/>
        <w:sz w:val="17"/>
        <w:szCs w:val="17"/>
      </w:rPr>
      <w:t>[year]</w:t>
    </w:r>
    <w:r w:rsidRPr="004E5F6D">
      <w:rPr>
        <w:rFonts w:ascii="Arial" w:hAnsi="Arial" w:cs="Arial"/>
        <w:sz w:val="17"/>
        <w:szCs w:val="17"/>
      </w:rPr>
      <w:t xml:space="preserve">, </w:t>
    </w:r>
    <w:r>
      <w:rPr>
        <w:rFonts w:ascii="Arial" w:hAnsi="Arial" w:cs="Arial"/>
        <w:b/>
        <w:sz w:val="17"/>
        <w:szCs w:val="17"/>
      </w:rPr>
      <w:t>[vol]</w:t>
    </w:r>
    <w:r w:rsidRPr="004E5F6D">
      <w:rPr>
        <w:rFonts w:ascii="Arial" w:hAnsi="Arial" w:cs="Arial"/>
        <w:sz w:val="17"/>
        <w:szCs w:val="17"/>
      </w:rPr>
      <w:t xml:space="preserve">, </w:t>
    </w:r>
    <w:r>
      <w:rPr>
        <w:rFonts w:ascii="Arial" w:hAnsi="Arial" w:cs="Arial"/>
        <w:sz w:val="17"/>
        <w:szCs w:val="17"/>
      </w:rPr>
      <w:t xml:space="preserve">00–00  </w:t>
    </w:r>
    <w:r w:rsidRPr="004E5F6D">
      <w:rPr>
        <w:rFonts w:ascii="Arial" w:hAnsi="Arial" w:cs="Arial"/>
        <w:sz w:val="17"/>
        <w:szCs w:val="17"/>
      </w:rPr>
      <w:t>|</w:t>
    </w:r>
    <w:r>
      <w:rPr>
        <w:rFonts w:ascii="Arial" w:hAnsi="Arial" w:cs="Arial"/>
        <w:sz w:val="17"/>
        <w:szCs w:val="17"/>
      </w:rPr>
      <w:t xml:space="preserve">  </w:t>
    </w:r>
    <w:r w:rsidR="000C0473" w:rsidRPr="000C02B6">
      <w:rPr>
        <w:rFonts w:ascii="Arial" w:hAnsi="Arial" w:cs="Arial"/>
        <w:b/>
        <w:sz w:val="17"/>
        <w:szCs w:val="17"/>
      </w:rPr>
      <w:fldChar w:fldCharType="begin"/>
    </w:r>
    <w:r w:rsidRPr="000C02B6">
      <w:rPr>
        <w:rFonts w:ascii="Arial" w:hAnsi="Arial" w:cs="Arial"/>
        <w:b/>
        <w:sz w:val="17"/>
        <w:szCs w:val="17"/>
      </w:rPr>
      <w:instrText xml:space="preserve"> PAGE </w:instrText>
    </w:r>
    <w:r w:rsidR="000C0473" w:rsidRPr="000C02B6">
      <w:rPr>
        <w:rFonts w:ascii="Arial" w:hAnsi="Arial" w:cs="Arial"/>
        <w:b/>
        <w:sz w:val="17"/>
        <w:szCs w:val="17"/>
      </w:rPr>
      <w:fldChar w:fldCharType="separate"/>
    </w:r>
    <w:r w:rsidR="00C100D0">
      <w:rPr>
        <w:rFonts w:ascii="Arial" w:hAnsi="Arial" w:cs="Arial"/>
        <w:b/>
        <w:noProof/>
        <w:sz w:val="17"/>
        <w:szCs w:val="17"/>
      </w:rPr>
      <w:t>1</w:t>
    </w:r>
    <w:r w:rsidR="000C0473" w:rsidRPr="000C02B6">
      <w:rPr>
        <w:rFonts w:ascii="Arial" w:hAnsi="Arial" w:cs="Arial"/>
        <w:b/>
        <w:sz w:val="17"/>
        <w:szCs w:val="17"/>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877BB" w14:textId="77777777" w:rsidR="00F7768F" w:rsidRDefault="00F7768F">
      <w:r>
        <w:separator/>
      </w:r>
    </w:p>
    <w:p w14:paraId="52A5F575" w14:textId="77777777" w:rsidR="00F7768F" w:rsidRDefault="00F7768F"/>
  </w:footnote>
  <w:footnote w:type="continuationSeparator" w:id="0">
    <w:p w14:paraId="2EC3C2C9" w14:textId="77777777" w:rsidR="00F7768F" w:rsidRDefault="00F7768F">
      <w:r>
        <w:continuationSeparator/>
      </w:r>
    </w:p>
    <w:p w14:paraId="27146C7E" w14:textId="77777777" w:rsidR="00F7768F" w:rsidRDefault="00F7768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A4889" w14:textId="77777777" w:rsidR="00A53616" w:rsidRDefault="00A53616" w:rsidP="00D216FB">
    <w:pPr>
      <w:spacing w:after="80"/>
      <w:jc w:val="center"/>
      <w:rPr>
        <w:rFonts w:ascii="Arial" w:hAnsi="Arial"/>
        <w:b/>
        <w:color w:val="000000"/>
        <w:sz w:val="12"/>
      </w:rPr>
    </w:pPr>
    <w:r>
      <w:rPr>
        <w:rFonts w:ascii="Arial" w:hAnsi="Arial"/>
        <w:b/>
        <w:color w:val="000000"/>
        <w:sz w:val="12"/>
      </w:rPr>
      <w:t>CREATED USING THE RSC ARTICLE TEMPLATE (VER. 3.0) - SEE WWW.RSC.ORG/ELECTRONICFILES FOR DETAILS</w:t>
    </w:r>
  </w:p>
  <w:p w14:paraId="4D9D71DB" w14:textId="77777777" w:rsidR="00A53616" w:rsidRPr="00641DA1" w:rsidRDefault="00A53616" w:rsidP="008C11DC">
    <w:pPr>
      <w:pStyle w:val="H1RunningHeader"/>
      <w:rPr>
        <w:color w:val="000000"/>
        <w:lang w:val="fr-FR"/>
      </w:rPr>
    </w:pPr>
    <w:r w:rsidRPr="00641DA1">
      <w:rPr>
        <w:rStyle w:val="C1Gray"/>
      </w:rPr>
      <w:t xml:space="preserve">ARTICLE </w:t>
    </w:r>
    <w:r>
      <w:rPr>
        <w:rStyle w:val="C1Gray"/>
      </w:rPr>
      <w:t>TYPE</w:t>
    </w:r>
    <w:r w:rsidRPr="00641DA1">
      <w:rPr>
        <w:color w:val="000000"/>
        <w:lang w:val="fr-FR"/>
      </w:rPr>
      <w:tab/>
    </w:r>
    <w:r w:rsidRPr="00641DA1">
      <w:rPr>
        <w:rStyle w:val="C1Gray"/>
      </w:rPr>
      <w:t>www.rsc.org/xxxxxx</w:t>
    </w:r>
    <w:r w:rsidRPr="00641DA1">
      <w:rPr>
        <w:color w:val="000000"/>
        <w:lang w:val="fr-FR"/>
      </w:rPr>
      <w:t xml:space="preserve">  |  XXXXXXXX</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tblBorders>
      <w:tblCellMar>
        <w:left w:w="0" w:type="dxa"/>
        <w:right w:w="0" w:type="dxa"/>
      </w:tblCellMar>
      <w:tblLook w:val="00A0" w:firstRow="1" w:lastRow="0" w:firstColumn="1" w:lastColumn="0" w:noHBand="0" w:noVBand="0"/>
    </w:tblPr>
    <w:tblGrid>
      <w:gridCol w:w="4968"/>
      <w:gridCol w:w="4955"/>
    </w:tblGrid>
    <w:tr w:rsidR="00A53616" w:rsidRPr="007B17C5" w14:paraId="2CEA7A95" w14:textId="77777777" w:rsidTr="00E02057">
      <w:trPr>
        <w:jc w:val="center"/>
      </w:trPr>
      <w:tc>
        <w:tcPr>
          <w:tcW w:w="5069" w:type="dxa"/>
          <w:tcBorders>
            <w:bottom w:val="single" w:sz="4" w:space="0" w:color="auto"/>
          </w:tcBorders>
        </w:tcPr>
        <w:p w14:paraId="3F50A505" w14:textId="77777777" w:rsidR="00A53616" w:rsidRPr="00E02057" w:rsidRDefault="00A53616" w:rsidP="00E02057">
          <w:pPr>
            <w:pStyle w:val="H1RunningHeader"/>
            <w:pBdr>
              <w:bottom w:val="none" w:sz="0" w:space="0" w:color="auto"/>
            </w:pBdr>
            <w:spacing w:line="440" w:lineRule="exact"/>
            <w:rPr>
              <w:rStyle w:val="C1Gray"/>
              <w:rFonts w:ascii="Pompei" w:hAnsi="Pompei"/>
              <w:color w:val="auto"/>
              <w:position w:val="4"/>
              <w:sz w:val="40"/>
              <w:szCs w:val="40"/>
              <w:lang w:val="en-GB"/>
            </w:rPr>
          </w:pPr>
          <w:r w:rsidRPr="00E02057">
            <w:rPr>
              <w:rStyle w:val="C1Gray"/>
              <w:rFonts w:ascii="Pompei" w:hAnsi="Pompei"/>
              <w:color w:val="auto"/>
              <w:position w:val="4"/>
              <w:sz w:val="40"/>
              <w:szCs w:val="40"/>
              <w:lang w:val="en-GB"/>
            </w:rPr>
            <w:t>Journal Name</w:t>
          </w:r>
        </w:p>
        <w:p w14:paraId="13D77B60" w14:textId="77777777" w:rsidR="00A53616" w:rsidRPr="00E02057" w:rsidRDefault="00A53616" w:rsidP="00E02057">
          <w:pPr>
            <w:pStyle w:val="H1RunningHeader"/>
            <w:pBdr>
              <w:bottom w:val="none" w:sz="0" w:space="0" w:color="auto"/>
            </w:pBdr>
            <w:spacing w:before="720" w:line="240" w:lineRule="exact"/>
            <w:rPr>
              <w:rStyle w:val="C1Gray"/>
              <w:rFonts w:ascii="Myriad Pro Light" w:hAnsi="Myriad Pro Light"/>
              <w:sz w:val="24"/>
              <w:szCs w:val="24"/>
              <w:lang w:val="en-GB"/>
            </w:rPr>
          </w:pPr>
          <w:r w:rsidRPr="00E02057">
            <w:rPr>
              <w:rStyle w:val="C1Gray"/>
              <w:rFonts w:ascii="Myriad Pro Light" w:hAnsi="Myriad Pro Light"/>
              <w:sz w:val="24"/>
              <w:szCs w:val="24"/>
              <w:lang w:val="en-GB"/>
            </w:rPr>
            <w:t>Cite this: DOI: 10.1039/c0xx00000x</w:t>
          </w:r>
        </w:p>
        <w:p w14:paraId="4CA4BB16" w14:textId="77777777" w:rsidR="00A53616" w:rsidRPr="00E02057" w:rsidRDefault="00A53616" w:rsidP="00E02057">
          <w:pPr>
            <w:pStyle w:val="H1RunningHeader"/>
            <w:pBdr>
              <w:bottom w:val="none" w:sz="0" w:space="0" w:color="auto"/>
            </w:pBdr>
            <w:spacing w:before="220" w:after="60" w:line="240" w:lineRule="exact"/>
            <w:rPr>
              <w:rStyle w:val="C1Gray"/>
              <w:rFonts w:ascii="Myriad Pro Light" w:hAnsi="Myriad Pro Light"/>
              <w:sz w:val="24"/>
              <w:szCs w:val="24"/>
              <w:lang w:val="en-GB"/>
            </w:rPr>
          </w:pPr>
          <w:r w:rsidRPr="00E02057">
            <w:rPr>
              <w:rStyle w:val="C1Gray"/>
              <w:rFonts w:ascii="Myriad Pro Light" w:hAnsi="Myriad Pro Light"/>
              <w:sz w:val="24"/>
              <w:szCs w:val="24"/>
              <w:lang w:val="en-GB"/>
            </w:rPr>
            <w:t>www.rsc.org/xxxxxx</w:t>
          </w:r>
        </w:p>
      </w:tc>
      <w:tc>
        <w:tcPr>
          <w:tcW w:w="5070" w:type="dxa"/>
          <w:tcBorders>
            <w:bottom w:val="single" w:sz="4" w:space="0" w:color="auto"/>
          </w:tcBorders>
        </w:tcPr>
        <w:p w14:paraId="66AA1115" w14:textId="77777777" w:rsidR="00A53616" w:rsidRPr="00C91335" w:rsidRDefault="00A53616" w:rsidP="00E02057">
          <w:pPr>
            <w:pStyle w:val="H1RunningHeader"/>
            <w:pBdr>
              <w:bottom w:val="none" w:sz="0" w:space="0" w:color="auto"/>
            </w:pBdr>
            <w:spacing w:before="20" w:line="240" w:lineRule="exact"/>
            <w:jc w:val="right"/>
            <w:rPr>
              <w:rFonts w:ascii="Times New Roman" w:hAnsi="Times New Roman" w:cs="Times New Roman"/>
              <w:color w:val="0000ED"/>
              <w:lang w:val="fr-FR"/>
            </w:rPr>
          </w:pPr>
          <w:r w:rsidRPr="00C91335">
            <w:rPr>
              <w:rStyle w:val="C1Gray"/>
              <w:rFonts w:ascii="Myriad Pro Light" w:hAnsi="Myriad Pro Light"/>
              <w:color w:val="0000ED"/>
              <w:sz w:val="24"/>
              <w:szCs w:val="24"/>
            </w:rPr>
            <w:t>Dynamic Article Links</w:t>
          </w:r>
          <w:r w:rsidRPr="00C91335">
            <w:rPr>
              <w:lang w:val="fr-FR"/>
            </w:rPr>
            <w:t xml:space="preserve"> </w:t>
          </w:r>
          <w:r w:rsidRPr="00C91335">
            <w:rPr>
              <w:rFonts w:ascii="Times New Roman" w:hAnsi="Times New Roman" w:cs="Times New Roman"/>
              <w:color w:val="0000ED"/>
              <w:lang w:val="fr-FR"/>
            </w:rPr>
            <w:t>►</w:t>
          </w:r>
        </w:p>
        <w:p w14:paraId="255E4785" w14:textId="77777777" w:rsidR="00A53616" w:rsidRPr="00C91335" w:rsidRDefault="00A53616" w:rsidP="00E02057">
          <w:pPr>
            <w:pStyle w:val="H1RunningHeader"/>
            <w:pBdr>
              <w:bottom w:val="none" w:sz="0" w:space="0" w:color="auto"/>
            </w:pBdr>
            <w:spacing w:before="1240" w:line="400" w:lineRule="exact"/>
            <w:jc w:val="right"/>
            <w:rPr>
              <w:rStyle w:val="C1Gray"/>
              <w:rFonts w:ascii="Pompei" w:hAnsi="Pompei"/>
              <w:color w:val="auto"/>
              <w:sz w:val="40"/>
              <w:szCs w:val="40"/>
            </w:rPr>
          </w:pPr>
          <w:r w:rsidRPr="00C91335">
            <w:rPr>
              <w:rStyle w:val="C1Gray"/>
              <w:rFonts w:ascii="Myriad Condensed Web" w:hAnsi="Myriad Condensed Web"/>
              <w:b/>
              <w:color w:val="auto"/>
              <w:sz w:val="40"/>
              <w:szCs w:val="40"/>
            </w:rPr>
            <w:t>ARTICLE TYPE</w:t>
          </w:r>
        </w:p>
      </w:tc>
    </w:tr>
  </w:tbl>
  <w:p w14:paraId="3A6D619F" w14:textId="77777777" w:rsidR="00A53616" w:rsidRPr="00C91335" w:rsidRDefault="00A53616" w:rsidP="000D0DE1">
    <w:pPr>
      <w:pStyle w:val="Header"/>
      <w:spacing w:line="200" w:lineRule="exact"/>
      <w:rPr>
        <w:sz w:val="20"/>
        <w:lang w:val="fr-FR"/>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auto"/>
      </w:tblBorders>
      <w:tblCellMar>
        <w:left w:w="0" w:type="dxa"/>
        <w:right w:w="0" w:type="dxa"/>
      </w:tblCellMar>
      <w:tblLook w:val="00A0" w:firstRow="1" w:lastRow="0" w:firstColumn="1" w:lastColumn="0" w:noHBand="0" w:noVBand="0"/>
    </w:tblPr>
    <w:tblGrid>
      <w:gridCol w:w="4967"/>
      <w:gridCol w:w="4956"/>
    </w:tblGrid>
    <w:tr w:rsidR="00A53616" w:rsidRPr="007B17C5" w14:paraId="19B754B4" w14:textId="77777777" w:rsidTr="00E02057">
      <w:trPr>
        <w:jc w:val="center"/>
      </w:trPr>
      <w:tc>
        <w:tcPr>
          <w:tcW w:w="5069" w:type="dxa"/>
          <w:tcBorders>
            <w:bottom w:val="single" w:sz="4" w:space="0" w:color="auto"/>
          </w:tcBorders>
        </w:tcPr>
        <w:p w14:paraId="3C8208E9" w14:textId="77777777" w:rsidR="00A53616" w:rsidRPr="00E02057" w:rsidRDefault="00A53616" w:rsidP="00E02057">
          <w:pPr>
            <w:pStyle w:val="H1RunningHeader"/>
            <w:pBdr>
              <w:bottom w:val="none" w:sz="0" w:space="0" w:color="auto"/>
            </w:pBdr>
            <w:spacing w:line="440" w:lineRule="exact"/>
            <w:rPr>
              <w:rStyle w:val="C1Gray"/>
              <w:rFonts w:ascii="Pompei" w:hAnsi="Pompei"/>
              <w:color w:val="auto"/>
              <w:w w:val="100"/>
              <w:position w:val="4"/>
              <w:sz w:val="40"/>
              <w:szCs w:val="40"/>
              <w:lang w:val="en-GB"/>
            </w:rPr>
          </w:pPr>
          <w:r w:rsidRPr="00E02057">
            <w:rPr>
              <w:rStyle w:val="C1Gray"/>
              <w:rFonts w:ascii="Pompei" w:hAnsi="Pompei"/>
              <w:color w:val="auto"/>
              <w:w w:val="100"/>
              <w:position w:val="4"/>
              <w:sz w:val="40"/>
              <w:szCs w:val="40"/>
              <w:lang w:val="en-GB"/>
            </w:rPr>
            <w:t>Journal Name</w:t>
          </w:r>
        </w:p>
        <w:p w14:paraId="639CA2E4" w14:textId="77777777" w:rsidR="00A53616" w:rsidRPr="00E02057" w:rsidRDefault="00A53616" w:rsidP="00E02057">
          <w:pPr>
            <w:pStyle w:val="H1RunningHeader"/>
            <w:pBdr>
              <w:bottom w:val="none" w:sz="0" w:space="0" w:color="auto"/>
            </w:pBdr>
            <w:spacing w:before="720" w:line="240" w:lineRule="exact"/>
            <w:rPr>
              <w:rStyle w:val="C1Gray"/>
              <w:rFonts w:ascii="Myriad Pro Light" w:hAnsi="Myriad Pro Light"/>
              <w:w w:val="100"/>
              <w:sz w:val="24"/>
              <w:szCs w:val="24"/>
              <w:lang w:val="en-GB"/>
            </w:rPr>
          </w:pPr>
          <w:r w:rsidRPr="00E02057">
            <w:rPr>
              <w:rStyle w:val="C1Gray"/>
              <w:rFonts w:ascii="Myriad Pro Light" w:hAnsi="Myriad Pro Light"/>
              <w:w w:val="100"/>
              <w:sz w:val="24"/>
              <w:szCs w:val="24"/>
              <w:lang w:val="en-GB"/>
            </w:rPr>
            <w:t>Cite this: DOI: 10.1039/c0xx00000x</w:t>
          </w:r>
        </w:p>
        <w:p w14:paraId="0B21F347" w14:textId="77777777" w:rsidR="00A53616" w:rsidRPr="00E02057" w:rsidRDefault="00A53616" w:rsidP="00E02057">
          <w:pPr>
            <w:pStyle w:val="H1RunningHeader"/>
            <w:pBdr>
              <w:bottom w:val="none" w:sz="0" w:space="0" w:color="auto"/>
            </w:pBdr>
            <w:spacing w:before="220" w:after="60" w:line="240" w:lineRule="exact"/>
            <w:rPr>
              <w:rStyle w:val="C1Gray"/>
              <w:rFonts w:ascii="Myriad Pro Light" w:hAnsi="Myriad Pro Light"/>
              <w:w w:val="100"/>
              <w:sz w:val="24"/>
              <w:szCs w:val="24"/>
              <w:lang w:val="en-GB"/>
            </w:rPr>
          </w:pPr>
          <w:r w:rsidRPr="00E02057">
            <w:rPr>
              <w:rStyle w:val="C1Gray"/>
              <w:rFonts w:ascii="Myriad Pro Light" w:hAnsi="Myriad Pro Light"/>
              <w:w w:val="100"/>
              <w:sz w:val="24"/>
              <w:szCs w:val="24"/>
              <w:lang w:val="en-GB"/>
            </w:rPr>
            <w:t>www.rsc.org/xxxxxx</w:t>
          </w:r>
        </w:p>
      </w:tc>
      <w:tc>
        <w:tcPr>
          <w:tcW w:w="5070" w:type="dxa"/>
          <w:tcBorders>
            <w:bottom w:val="single" w:sz="4" w:space="0" w:color="auto"/>
          </w:tcBorders>
        </w:tcPr>
        <w:p w14:paraId="307E943B" w14:textId="77777777" w:rsidR="00A53616" w:rsidRPr="00C91335" w:rsidRDefault="00A53616" w:rsidP="00E02057">
          <w:pPr>
            <w:pStyle w:val="H1RunningHeader"/>
            <w:pBdr>
              <w:bottom w:val="none" w:sz="0" w:space="0" w:color="auto"/>
            </w:pBdr>
            <w:spacing w:before="20" w:line="240" w:lineRule="exact"/>
            <w:jc w:val="right"/>
            <w:rPr>
              <w:rFonts w:ascii="Times New Roman" w:hAnsi="Times New Roman" w:cs="Times New Roman"/>
              <w:color w:val="0000ED"/>
              <w:w w:val="100"/>
              <w:lang w:val="fr-FR"/>
            </w:rPr>
          </w:pPr>
          <w:r w:rsidRPr="00C91335">
            <w:rPr>
              <w:rStyle w:val="C1Gray"/>
              <w:rFonts w:ascii="Myriad Pro Light" w:hAnsi="Myriad Pro Light"/>
              <w:color w:val="0000ED"/>
              <w:w w:val="100"/>
              <w:sz w:val="24"/>
              <w:szCs w:val="24"/>
            </w:rPr>
            <w:t>Dynamic Article Links</w:t>
          </w:r>
          <w:r w:rsidRPr="00C91335">
            <w:rPr>
              <w:w w:val="100"/>
              <w:lang w:val="fr-FR"/>
            </w:rPr>
            <w:t xml:space="preserve"> </w:t>
          </w:r>
          <w:r w:rsidRPr="00C91335">
            <w:rPr>
              <w:rFonts w:ascii="Times New Roman" w:hAnsi="Times New Roman" w:cs="Times New Roman"/>
              <w:color w:val="0000ED"/>
              <w:w w:val="100"/>
              <w:sz w:val="24"/>
              <w:szCs w:val="24"/>
              <w:lang w:val="fr-FR"/>
            </w:rPr>
            <w:t>►</w:t>
          </w:r>
        </w:p>
        <w:p w14:paraId="03096012" w14:textId="77777777" w:rsidR="00A53616" w:rsidRPr="00C91335" w:rsidRDefault="00A53616" w:rsidP="00E02057">
          <w:pPr>
            <w:pStyle w:val="H1RunningHeader"/>
            <w:pBdr>
              <w:bottom w:val="none" w:sz="0" w:space="0" w:color="auto"/>
            </w:pBdr>
            <w:spacing w:before="1240" w:line="400" w:lineRule="exact"/>
            <w:jc w:val="right"/>
            <w:rPr>
              <w:rStyle w:val="C1Gray"/>
              <w:rFonts w:ascii="Pompei" w:hAnsi="Pompei"/>
              <w:color w:val="auto"/>
              <w:w w:val="100"/>
              <w:sz w:val="40"/>
              <w:szCs w:val="40"/>
            </w:rPr>
          </w:pPr>
          <w:r w:rsidRPr="00C91335">
            <w:rPr>
              <w:rStyle w:val="C1Gray"/>
              <w:rFonts w:ascii="Myriad Condensed Web" w:hAnsi="Myriad Condensed Web"/>
              <w:b/>
              <w:color w:val="auto"/>
              <w:w w:val="100"/>
              <w:sz w:val="40"/>
              <w:szCs w:val="40"/>
            </w:rPr>
            <w:t>ARTICLE TYPE</w:t>
          </w:r>
        </w:p>
      </w:tc>
    </w:tr>
  </w:tbl>
  <w:p w14:paraId="29393FC8" w14:textId="77777777" w:rsidR="00A53616" w:rsidRPr="00C91335" w:rsidRDefault="00A53616" w:rsidP="000D0DE1">
    <w:pPr>
      <w:pStyle w:val="Header"/>
      <w:spacing w:line="200" w:lineRule="exact"/>
      <w:rPr>
        <w:sz w:val="20"/>
        <w:lang w:val="fr-FR"/>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A1EC5" w14:textId="77777777" w:rsidR="00A53616" w:rsidRPr="00740342" w:rsidRDefault="00A53616" w:rsidP="00822F1E">
    <w:pPr>
      <w:pStyle w:val="H1RunningHeader"/>
      <w:rPr>
        <w:sz w:val="48"/>
        <w:szCs w:val="48"/>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39CB8" w14:textId="77777777" w:rsidR="00A53616" w:rsidRPr="00740342" w:rsidRDefault="00A53616" w:rsidP="00822F1E">
    <w:pPr>
      <w:pStyle w:val="H1RunningHeader"/>
      <w:rPr>
        <w:sz w:val="48"/>
        <w:szCs w:val="4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rPr>
        <w:rFonts w:cs="Times New Roman"/>
      </w:rPr>
    </w:lvl>
  </w:abstractNum>
  <w:abstractNum w:abstractNumId="1">
    <w:nsid w:val="FFFFFF7E"/>
    <w:multiLevelType w:val="singleLevel"/>
    <w:tmpl w:val="CF56D2CC"/>
    <w:lvl w:ilvl="0">
      <w:start w:val="1"/>
      <w:numFmt w:val="decimal"/>
      <w:lvlText w:val="%1."/>
      <w:lvlJc w:val="left"/>
      <w:pPr>
        <w:tabs>
          <w:tab w:val="num" w:pos="926"/>
        </w:tabs>
        <w:ind w:left="926" w:hanging="360"/>
      </w:pPr>
      <w:rPr>
        <w:rFonts w:cs="Times New Roman"/>
      </w:rPr>
    </w:lvl>
  </w:abstractNum>
  <w:abstractNum w:abstractNumId="2">
    <w:nsid w:val="FFFFFF7F"/>
    <w:multiLevelType w:val="singleLevel"/>
    <w:tmpl w:val="938013B0"/>
    <w:lvl w:ilvl="0">
      <w:start w:val="1"/>
      <w:numFmt w:val="decimal"/>
      <w:lvlText w:val="%1."/>
      <w:lvlJc w:val="left"/>
      <w:pPr>
        <w:tabs>
          <w:tab w:val="num" w:pos="643"/>
        </w:tabs>
        <w:ind w:left="643" w:hanging="360"/>
      </w:pPr>
      <w:rPr>
        <w:rFonts w:cs="Times New Roman"/>
      </w:r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rPr>
        <w:rFonts w:cs="Times New Roman"/>
      </w:r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D88403A"/>
    <w:multiLevelType w:val="multilevel"/>
    <w:tmpl w:val="08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nsid w:val="1395635E"/>
    <w:multiLevelType w:val="hybridMultilevel"/>
    <w:tmpl w:val="70864952"/>
    <w:lvl w:ilvl="0" w:tplc="3BC679F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2BC0309F"/>
    <w:multiLevelType w:val="hybridMultilevel"/>
    <w:tmpl w:val="98C42580"/>
    <w:lvl w:ilvl="0" w:tplc="3BC679FE">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2DCD3B45"/>
    <w:multiLevelType w:val="multilevel"/>
    <w:tmpl w:val="08090023"/>
    <w:lvl w:ilvl="0">
      <w:start w:val="1"/>
      <w:numFmt w:val="upperRoman"/>
      <w:lvlText w:val="Article %1."/>
      <w:lvlJc w:val="left"/>
      <w:rPr>
        <w:rFonts w:cs="Times New Roman"/>
      </w:rPr>
    </w:lvl>
    <w:lvl w:ilvl="1">
      <w:start w:val="1"/>
      <w:numFmt w:val="decimalZero"/>
      <w:isLgl/>
      <w:lvlText w:val="Section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3">
    <w:nsid w:val="54E77C6C"/>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3"/>
  </w:num>
  <w:num w:numId="11">
    <w:abstractNumId w:val="9"/>
  </w:num>
  <w:num w:numId="12">
    <w:abstractNumId w:val="12"/>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evenAndOddHeaders/>
  <w:drawingGridHorizontalSpacing w:val="120"/>
  <w:displayHorizontalDrawingGridEvery w:val="2"/>
  <w:displayVerticalDrawingGridEvery w:val="2"/>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
  <w:docVars>
    <w:docVar w:name="EN.InstantFormat" w:val="&lt;ENInstantFormat&gt;&lt;Enabled&gt;0&lt;/Enabled&gt;&lt;ScanUnformatted&gt;1&lt;/ScanUnformatted&gt;&lt;ScanChanges&gt;1&lt;/ScanChanges&gt;&lt;/ENInstantFormat&gt;"/>
    <w:docVar w:name="EN.Layout" w:val="&lt;ENLayout&gt;&lt;Style&gt;Angewandte Chemi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heranostic.enl&lt;/item&gt;&lt;/Libraries&gt;&lt;/ENLibraries&gt;"/>
  </w:docVars>
  <w:rsids>
    <w:rsidRoot w:val="00116D1B"/>
    <w:rsid w:val="00001BBF"/>
    <w:rsid w:val="0000226C"/>
    <w:rsid w:val="000073CD"/>
    <w:rsid w:val="00010092"/>
    <w:rsid w:val="00012DE5"/>
    <w:rsid w:val="000132B0"/>
    <w:rsid w:val="00013CED"/>
    <w:rsid w:val="00013F6A"/>
    <w:rsid w:val="0001466E"/>
    <w:rsid w:val="00015DBB"/>
    <w:rsid w:val="00015EC8"/>
    <w:rsid w:val="000166DC"/>
    <w:rsid w:val="00017239"/>
    <w:rsid w:val="000173F5"/>
    <w:rsid w:val="00020950"/>
    <w:rsid w:val="000246F9"/>
    <w:rsid w:val="00024D43"/>
    <w:rsid w:val="00025CC2"/>
    <w:rsid w:val="000307B7"/>
    <w:rsid w:val="00034001"/>
    <w:rsid w:val="000416D0"/>
    <w:rsid w:val="00043298"/>
    <w:rsid w:val="00045271"/>
    <w:rsid w:val="00045511"/>
    <w:rsid w:val="00047951"/>
    <w:rsid w:val="00052587"/>
    <w:rsid w:val="0006263F"/>
    <w:rsid w:val="00064CBA"/>
    <w:rsid w:val="00065238"/>
    <w:rsid w:val="00065BFF"/>
    <w:rsid w:val="00070B1E"/>
    <w:rsid w:val="00072C21"/>
    <w:rsid w:val="000734A0"/>
    <w:rsid w:val="00081108"/>
    <w:rsid w:val="00083E88"/>
    <w:rsid w:val="000958E8"/>
    <w:rsid w:val="000A1ABF"/>
    <w:rsid w:val="000A3E61"/>
    <w:rsid w:val="000A5F2E"/>
    <w:rsid w:val="000A5F74"/>
    <w:rsid w:val="000A668B"/>
    <w:rsid w:val="000A7DBA"/>
    <w:rsid w:val="000B0D7B"/>
    <w:rsid w:val="000B24AB"/>
    <w:rsid w:val="000B3D03"/>
    <w:rsid w:val="000B6432"/>
    <w:rsid w:val="000B7545"/>
    <w:rsid w:val="000C02B6"/>
    <w:rsid w:val="000C0473"/>
    <w:rsid w:val="000C0DC2"/>
    <w:rsid w:val="000C29C4"/>
    <w:rsid w:val="000C2BB7"/>
    <w:rsid w:val="000C4412"/>
    <w:rsid w:val="000C605C"/>
    <w:rsid w:val="000D0DE1"/>
    <w:rsid w:val="000D665A"/>
    <w:rsid w:val="000E2372"/>
    <w:rsid w:val="000E2F8D"/>
    <w:rsid w:val="000E4732"/>
    <w:rsid w:val="000E520B"/>
    <w:rsid w:val="000E6997"/>
    <w:rsid w:val="000E7F37"/>
    <w:rsid w:val="000F359A"/>
    <w:rsid w:val="000F4B44"/>
    <w:rsid w:val="000F5A24"/>
    <w:rsid w:val="000F5DAF"/>
    <w:rsid w:val="00101E6A"/>
    <w:rsid w:val="00107D07"/>
    <w:rsid w:val="001107BA"/>
    <w:rsid w:val="001108D6"/>
    <w:rsid w:val="00110E73"/>
    <w:rsid w:val="00110E9A"/>
    <w:rsid w:val="001146F4"/>
    <w:rsid w:val="00114D93"/>
    <w:rsid w:val="00116D1B"/>
    <w:rsid w:val="0012428D"/>
    <w:rsid w:val="0012451F"/>
    <w:rsid w:val="001266E9"/>
    <w:rsid w:val="00127C07"/>
    <w:rsid w:val="00134534"/>
    <w:rsid w:val="001405EC"/>
    <w:rsid w:val="00142028"/>
    <w:rsid w:val="00146BD5"/>
    <w:rsid w:val="0014757C"/>
    <w:rsid w:val="00151CBD"/>
    <w:rsid w:val="00152DB1"/>
    <w:rsid w:val="001531BA"/>
    <w:rsid w:val="0015564D"/>
    <w:rsid w:val="001577EA"/>
    <w:rsid w:val="00162682"/>
    <w:rsid w:val="00165FFB"/>
    <w:rsid w:val="00170A98"/>
    <w:rsid w:val="00171725"/>
    <w:rsid w:val="00174743"/>
    <w:rsid w:val="00174FEF"/>
    <w:rsid w:val="0018169F"/>
    <w:rsid w:val="0018727B"/>
    <w:rsid w:val="00187675"/>
    <w:rsid w:val="00190CA1"/>
    <w:rsid w:val="001928DD"/>
    <w:rsid w:val="00192A8A"/>
    <w:rsid w:val="00192F49"/>
    <w:rsid w:val="001936E9"/>
    <w:rsid w:val="001945CA"/>
    <w:rsid w:val="001A0995"/>
    <w:rsid w:val="001A3D4A"/>
    <w:rsid w:val="001A4C82"/>
    <w:rsid w:val="001A4E4C"/>
    <w:rsid w:val="001A6533"/>
    <w:rsid w:val="001B05C7"/>
    <w:rsid w:val="001B0B84"/>
    <w:rsid w:val="001B2209"/>
    <w:rsid w:val="001B3D75"/>
    <w:rsid w:val="001B4CDD"/>
    <w:rsid w:val="001B7790"/>
    <w:rsid w:val="001C2CC2"/>
    <w:rsid w:val="001C3FEB"/>
    <w:rsid w:val="001C7E0C"/>
    <w:rsid w:val="001E0E42"/>
    <w:rsid w:val="001E268C"/>
    <w:rsid w:val="001E44DE"/>
    <w:rsid w:val="001E626D"/>
    <w:rsid w:val="001E6397"/>
    <w:rsid w:val="001E745A"/>
    <w:rsid w:val="001E77DA"/>
    <w:rsid w:val="001F4E66"/>
    <w:rsid w:val="00206368"/>
    <w:rsid w:val="002067F0"/>
    <w:rsid w:val="002115B7"/>
    <w:rsid w:val="00225822"/>
    <w:rsid w:val="00227ED6"/>
    <w:rsid w:val="00233BD7"/>
    <w:rsid w:val="00236D7F"/>
    <w:rsid w:val="00237FA5"/>
    <w:rsid w:val="00240887"/>
    <w:rsid w:val="00244DA2"/>
    <w:rsid w:val="00253363"/>
    <w:rsid w:val="002544AE"/>
    <w:rsid w:val="00262178"/>
    <w:rsid w:val="00265711"/>
    <w:rsid w:val="00267B0E"/>
    <w:rsid w:val="00271D7E"/>
    <w:rsid w:val="00273574"/>
    <w:rsid w:val="00277DD7"/>
    <w:rsid w:val="0028098A"/>
    <w:rsid w:val="00281257"/>
    <w:rsid w:val="002849F9"/>
    <w:rsid w:val="00284C39"/>
    <w:rsid w:val="002A11B8"/>
    <w:rsid w:val="002A1822"/>
    <w:rsid w:val="002A22B3"/>
    <w:rsid w:val="002A6B5C"/>
    <w:rsid w:val="002B211E"/>
    <w:rsid w:val="002B54EE"/>
    <w:rsid w:val="002B6E3E"/>
    <w:rsid w:val="002B7EEE"/>
    <w:rsid w:val="002C01A9"/>
    <w:rsid w:val="002C10EF"/>
    <w:rsid w:val="002C652C"/>
    <w:rsid w:val="002D0294"/>
    <w:rsid w:val="002D04D6"/>
    <w:rsid w:val="002D216E"/>
    <w:rsid w:val="002D23F5"/>
    <w:rsid w:val="002D281B"/>
    <w:rsid w:val="002E7FCC"/>
    <w:rsid w:val="002F00BB"/>
    <w:rsid w:val="002F20EF"/>
    <w:rsid w:val="002F3718"/>
    <w:rsid w:val="002F6D19"/>
    <w:rsid w:val="002F7EFC"/>
    <w:rsid w:val="002F7FB8"/>
    <w:rsid w:val="0030060D"/>
    <w:rsid w:val="003017A5"/>
    <w:rsid w:val="00301F70"/>
    <w:rsid w:val="0030474A"/>
    <w:rsid w:val="00304CD0"/>
    <w:rsid w:val="003064C4"/>
    <w:rsid w:val="003114A2"/>
    <w:rsid w:val="003115B8"/>
    <w:rsid w:val="003119A9"/>
    <w:rsid w:val="00314B02"/>
    <w:rsid w:val="00315BA1"/>
    <w:rsid w:val="0031610B"/>
    <w:rsid w:val="00316A0F"/>
    <w:rsid w:val="00321C36"/>
    <w:rsid w:val="00322182"/>
    <w:rsid w:val="00322A88"/>
    <w:rsid w:val="0032556E"/>
    <w:rsid w:val="0032629A"/>
    <w:rsid w:val="00334D45"/>
    <w:rsid w:val="00335E97"/>
    <w:rsid w:val="00336344"/>
    <w:rsid w:val="00342B3A"/>
    <w:rsid w:val="00343E33"/>
    <w:rsid w:val="00345354"/>
    <w:rsid w:val="00350810"/>
    <w:rsid w:val="00353B02"/>
    <w:rsid w:val="00357D83"/>
    <w:rsid w:val="00361F84"/>
    <w:rsid w:val="003628FE"/>
    <w:rsid w:val="00364AED"/>
    <w:rsid w:val="0036517C"/>
    <w:rsid w:val="00365780"/>
    <w:rsid w:val="003679E6"/>
    <w:rsid w:val="00372D66"/>
    <w:rsid w:val="0037307E"/>
    <w:rsid w:val="00373B58"/>
    <w:rsid w:val="00375EDB"/>
    <w:rsid w:val="00376048"/>
    <w:rsid w:val="00384457"/>
    <w:rsid w:val="00386335"/>
    <w:rsid w:val="003871C9"/>
    <w:rsid w:val="00390FE7"/>
    <w:rsid w:val="00392659"/>
    <w:rsid w:val="00395DE4"/>
    <w:rsid w:val="003A01CE"/>
    <w:rsid w:val="003B061B"/>
    <w:rsid w:val="003B0740"/>
    <w:rsid w:val="003B0EE4"/>
    <w:rsid w:val="003B266C"/>
    <w:rsid w:val="003B4829"/>
    <w:rsid w:val="003B55F6"/>
    <w:rsid w:val="003B64AC"/>
    <w:rsid w:val="003B68C0"/>
    <w:rsid w:val="003B78DD"/>
    <w:rsid w:val="003C17B7"/>
    <w:rsid w:val="003C53F3"/>
    <w:rsid w:val="003C6397"/>
    <w:rsid w:val="003C7D33"/>
    <w:rsid w:val="003D0803"/>
    <w:rsid w:val="003D2B9A"/>
    <w:rsid w:val="003D3DF1"/>
    <w:rsid w:val="003D3E2F"/>
    <w:rsid w:val="003D4BF9"/>
    <w:rsid w:val="003D50D9"/>
    <w:rsid w:val="003E2E49"/>
    <w:rsid w:val="003E755A"/>
    <w:rsid w:val="003F2128"/>
    <w:rsid w:val="003F2678"/>
    <w:rsid w:val="003F29BD"/>
    <w:rsid w:val="003F2BBC"/>
    <w:rsid w:val="003F4A2D"/>
    <w:rsid w:val="003F516B"/>
    <w:rsid w:val="0040351C"/>
    <w:rsid w:val="004147E6"/>
    <w:rsid w:val="004162B0"/>
    <w:rsid w:val="004167D9"/>
    <w:rsid w:val="004210FF"/>
    <w:rsid w:val="00423052"/>
    <w:rsid w:val="0042585B"/>
    <w:rsid w:val="0043150C"/>
    <w:rsid w:val="00431AE8"/>
    <w:rsid w:val="0043352F"/>
    <w:rsid w:val="00433EC7"/>
    <w:rsid w:val="00435886"/>
    <w:rsid w:val="00436CB6"/>
    <w:rsid w:val="004372BB"/>
    <w:rsid w:val="00437D08"/>
    <w:rsid w:val="004407E4"/>
    <w:rsid w:val="00440A3C"/>
    <w:rsid w:val="00442B2F"/>
    <w:rsid w:val="00445505"/>
    <w:rsid w:val="00451324"/>
    <w:rsid w:val="004541B5"/>
    <w:rsid w:val="00456365"/>
    <w:rsid w:val="00457EAC"/>
    <w:rsid w:val="00460F96"/>
    <w:rsid w:val="00461329"/>
    <w:rsid w:val="004623B6"/>
    <w:rsid w:val="00462DD2"/>
    <w:rsid w:val="00465501"/>
    <w:rsid w:val="004662B2"/>
    <w:rsid w:val="00467A6D"/>
    <w:rsid w:val="00471A37"/>
    <w:rsid w:val="004747FF"/>
    <w:rsid w:val="00474E27"/>
    <w:rsid w:val="004755C5"/>
    <w:rsid w:val="004760AA"/>
    <w:rsid w:val="004768D5"/>
    <w:rsid w:val="0048194C"/>
    <w:rsid w:val="004870C6"/>
    <w:rsid w:val="004871B8"/>
    <w:rsid w:val="00490497"/>
    <w:rsid w:val="00491891"/>
    <w:rsid w:val="00492CA9"/>
    <w:rsid w:val="004970BE"/>
    <w:rsid w:val="004975DF"/>
    <w:rsid w:val="004A0B6C"/>
    <w:rsid w:val="004A331F"/>
    <w:rsid w:val="004A5F73"/>
    <w:rsid w:val="004A62CC"/>
    <w:rsid w:val="004A6882"/>
    <w:rsid w:val="004B570F"/>
    <w:rsid w:val="004C27D7"/>
    <w:rsid w:val="004C4987"/>
    <w:rsid w:val="004C4EC6"/>
    <w:rsid w:val="004C5496"/>
    <w:rsid w:val="004C5565"/>
    <w:rsid w:val="004D23AE"/>
    <w:rsid w:val="004D37E5"/>
    <w:rsid w:val="004D5CA6"/>
    <w:rsid w:val="004D76D4"/>
    <w:rsid w:val="004D77CC"/>
    <w:rsid w:val="004D7C9C"/>
    <w:rsid w:val="004E1FDE"/>
    <w:rsid w:val="004E5F6D"/>
    <w:rsid w:val="004E7316"/>
    <w:rsid w:val="004F2373"/>
    <w:rsid w:val="004F4D27"/>
    <w:rsid w:val="0050107D"/>
    <w:rsid w:val="005054BE"/>
    <w:rsid w:val="00506C50"/>
    <w:rsid w:val="00511557"/>
    <w:rsid w:val="005121CB"/>
    <w:rsid w:val="00512302"/>
    <w:rsid w:val="00512C15"/>
    <w:rsid w:val="00514EFD"/>
    <w:rsid w:val="005165D4"/>
    <w:rsid w:val="00516730"/>
    <w:rsid w:val="005201A4"/>
    <w:rsid w:val="00520633"/>
    <w:rsid w:val="00520FC1"/>
    <w:rsid w:val="0052579D"/>
    <w:rsid w:val="00532226"/>
    <w:rsid w:val="00537744"/>
    <w:rsid w:val="00537BAE"/>
    <w:rsid w:val="005404D9"/>
    <w:rsid w:val="00540CC9"/>
    <w:rsid w:val="00542A8A"/>
    <w:rsid w:val="00544FE2"/>
    <w:rsid w:val="005454D3"/>
    <w:rsid w:val="00551619"/>
    <w:rsid w:val="00556CB1"/>
    <w:rsid w:val="005616FB"/>
    <w:rsid w:val="00561AF1"/>
    <w:rsid w:val="005630D4"/>
    <w:rsid w:val="00563C56"/>
    <w:rsid w:val="00565461"/>
    <w:rsid w:val="005654E1"/>
    <w:rsid w:val="00566AF8"/>
    <w:rsid w:val="00571CD0"/>
    <w:rsid w:val="005737A6"/>
    <w:rsid w:val="005737B2"/>
    <w:rsid w:val="005745FE"/>
    <w:rsid w:val="00577D3B"/>
    <w:rsid w:val="005860BB"/>
    <w:rsid w:val="0059071F"/>
    <w:rsid w:val="00591139"/>
    <w:rsid w:val="00591E97"/>
    <w:rsid w:val="00592FA1"/>
    <w:rsid w:val="00593726"/>
    <w:rsid w:val="00593ED9"/>
    <w:rsid w:val="00597FB8"/>
    <w:rsid w:val="005A2ED8"/>
    <w:rsid w:val="005A6B2D"/>
    <w:rsid w:val="005A79BB"/>
    <w:rsid w:val="005B31A7"/>
    <w:rsid w:val="005B4E65"/>
    <w:rsid w:val="005B7C43"/>
    <w:rsid w:val="005B7CAC"/>
    <w:rsid w:val="005C4025"/>
    <w:rsid w:val="005C4499"/>
    <w:rsid w:val="005C4565"/>
    <w:rsid w:val="005C7D19"/>
    <w:rsid w:val="005D3E9D"/>
    <w:rsid w:val="005D49A5"/>
    <w:rsid w:val="005D5CDB"/>
    <w:rsid w:val="005D5ED9"/>
    <w:rsid w:val="005D7B90"/>
    <w:rsid w:val="005E4040"/>
    <w:rsid w:val="005F158B"/>
    <w:rsid w:val="005F1F1A"/>
    <w:rsid w:val="005F7467"/>
    <w:rsid w:val="00600FCE"/>
    <w:rsid w:val="00602841"/>
    <w:rsid w:val="00605506"/>
    <w:rsid w:val="00605D33"/>
    <w:rsid w:val="00606ACE"/>
    <w:rsid w:val="00607902"/>
    <w:rsid w:val="00613ECB"/>
    <w:rsid w:val="006156EF"/>
    <w:rsid w:val="00624CE1"/>
    <w:rsid w:val="0062676F"/>
    <w:rsid w:val="0062683A"/>
    <w:rsid w:val="00626858"/>
    <w:rsid w:val="00631326"/>
    <w:rsid w:val="00633738"/>
    <w:rsid w:val="00641DA1"/>
    <w:rsid w:val="00644BA4"/>
    <w:rsid w:val="00644FE1"/>
    <w:rsid w:val="00645243"/>
    <w:rsid w:val="006518B5"/>
    <w:rsid w:val="006523E0"/>
    <w:rsid w:val="006527E9"/>
    <w:rsid w:val="0066759D"/>
    <w:rsid w:val="00667EDF"/>
    <w:rsid w:val="006763B3"/>
    <w:rsid w:val="00677018"/>
    <w:rsid w:val="0067704D"/>
    <w:rsid w:val="006809F2"/>
    <w:rsid w:val="00684366"/>
    <w:rsid w:val="0069022B"/>
    <w:rsid w:val="006907FD"/>
    <w:rsid w:val="0069118F"/>
    <w:rsid w:val="00693CCE"/>
    <w:rsid w:val="00694F76"/>
    <w:rsid w:val="006956CB"/>
    <w:rsid w:val="00697537"/>
    <w:rsid w:val="006B2CBF"/>
    <w:rsid w:val="006B5C87"/>
    <w:rsid w:val="006B670A"/>
    <w:rsid w:val="006B6BA7"/>
    <w:rsid w:val="006C4098"/>
    <w:rsid w:val="006C4EA7"/>
    <w:rsid w:val="006C519C"/>
    <w:rsid w:val="006C7E5E"/>
    <w:rsid w:val="006D15CB"/>
    <w:rsid w:val="006D1ED7"/>
    <w:rsid w:val="006D463A"/>
    <w:rsid w:val="006D5A33"/>
    <w:rsid w:val="006D6575"/>
    <w:rsid w:val="006D67E4"/>
    <w:rsid w:val="006D6856"/>
    <w:rsid w:val="006F448E"/>
    <w:rsid w:val="006F62E9"/>
    <w:rsid w:val="006F62EE"/>
    <w:rsid w:val="00700366"/>
    <w:rsid w:val="007020C5"/>
    <w:rsid w:val="00702742"/>
    <w:rsid w:val="00702A5F"/>
    <w:rsid w:val="007049F8"/>
    <w:rsid w:val="0070517D"/>
    <w:rsid w:val="00711865"/>
    <w:rsid w:val="00715521"/>
    <w:rsid w:val="0071784E"/>
    <w:rsid w:val="007222A3"/>
    <w:rsid w:val="00722445"/>
    <w:rsid w:val="00723B00"/>
    <w:rsid w:val="0072442A"/>
    <w:rsid w:val="00727130"/>
    <w:rsid w:val="00727C41"/>
    <w:rsid w:val="00727F4C"/>
    <w:rsid w:val="00740342"/>
    <w:rsid w:val="007411B0"/>
    <w:rsid w:val="0074183C"/>
    <w:rsid w:val="00742C74"/>
    <w:rsid w:val="00743B20"/>
    <w:rsid w:val="00743F5F"/>
    <w:rsid w:val="0074412A"/>
    <w:rsid w:val="00751ED2"/>
    <w:rsid w:val="00756951"/>
    <w:rsid w:val="00761B53"/>
    <w:rsid w:val="00762E96"/>
    <w:rsid w:val="00763827"/>
    <w:rsid w:val="0076425B"/>
    <w:rsid w:val="007657D1"/>
    <w:rsid w:val="00767AC9"/>
    <w:rsid w:val="00775019"/>
    <w:rsid w:val="007757EC"/>
    <w:rsid w:val="00775AF2"/>
    <w:rsid w:val="007761A4"/>
    <w:rsid w:val="00783484"/>
    <w:rsid w:val="007848F5"/>
    <w:rsid w:val="0078702C"/>
    <w:rsid w:val="007903BC"/>
    <w:rsid w:val="00791F92"/>
    <w:rsid w:val="00793A17"/>
    <w:rsid w:val="00794A98"/>
    <w:rsid w:val="007964A9"/>
    <w:rsid w:val="00796BA7"/>
    <w:rsid w:val="00797924"/>
    <w:rsid w:val="007A157A"/>
    <w:rsid w:val="007A30C0"/>
    <w:rsid w:val="007A3DF6"/>
    <w:rsid w:val="007A3FBF"/>
    <w:rsid w:val="007A4DBB"/>
    <w:rsid w:val="007B0029"/>
    <w:rsid w:val="007B13EE"/>
    <w:rsid w:val="007B17C5"/>
    <w:rsid w:val="007B5FF8"/>
    <w:rsid w:val="007B6B74"/>
    <w:rsid w:val="007C11F2"/>
    <w:rsid w:val="007C5038"/>
    <w:rsid w:val="007C614E"/>
    <w:rsid w:val="007D00B1"/>
    <w:rsid w:val="007D02CC"/>
    <w:rsid w:val="007D1C55"/>
    <w:rsid w:val="007D220B"/>
    <w:rsid w:val="007D249E"/>
    <w:rsid w:val="007D294A"/>
    <w:rsid w:val="007D2ECE"/>
    <w:rsid w:val="007D3BB4"/>
    <w:rsid w:val="007D7259"/>
    <w:rsid w:val="007E0873"/>
    <w:rsid w:val="007F2047"/>
    <w:rsid w:val="007F2758"/>
    <w:rsid w:val="007F2863"/>
    <w:rsid w:val="007F29DE"/>
    <w:rsid w:val="007F4496"/>
    <w:rsid w:val="007F7F5B"/>
    <w:rsid w:val="00801301"/>
    <w:rsid w:val="0080485A"/>
    <w:rsid w:val="00804D37"/>
    <w:rsid w:val="0080711F"/>
    <w:rsid w:val="00807776"/>
    <w:rsid w:val="0080790F"/>
    <w:rsid w:val="008128EC"/>
    <w:rsid w:val="00813AC9"/>
    <w:rsid w:val="00822F1E"/>
    <w:rsid w:val="008240A1"/>
    <w:rsid w:val="00830EFC"/>
    <w:rsid w:val="0083476B"/>
    <w:rsid w:val="00834D66"/>
    <w:rsid w:val="00836B92"/>
    <w:rsid w:val="008434AC"/>
    <w:rsid w:val="00846128"/>
    <w:rsid w:val="00852E43"/>
    <w:rsid w:val="0085460F"/>
    <w:rsid w:val="00856460"/>
    <w:rsid w:val="008573FD"/>
    <w:rsid w:val="00865479"/>
    <w:rsid w:val="00872E76"/>
    <w:rsid w:val="00873A20"/>
    <w:rsid w:val="00880904"/>
    <w:rsid w:val="00882401"/>
    <w:rsid w:val="00885CA8"/>
    <w:rsid w:val="00886806"/>
    <w:rsid w:val="00890AD5"/>
    <w:rsid w:val="00893C37"/>
    <w:rsid w:val="00897E56"/>
    <w:rsid w:val="008A6B8F"/>
    <w:rsid w:val="008B165D"/>
    <w:rsid w:val="008B293B"/>
    <w:rsid w:val="008B2C86"/>
    <w:rsid w:val="008B464C"/>
    <w:rsid w:val="008B46B3"/>
    <w:rsid w:val="008C11DC"/>
    <w:rsid w:val="008C1E0A"/>
    <w:rsid w:val="008C7328"/>
    <w:rsid w:val="008D027C"/>
    <w:rsid w:val="008D46F8"/>
    <w:rsid w:val="008D6C30"/>
    <w:rsid w:val="008E0418"/>
    <w:rsid w:val="008E12AC"/>
    <w:rsid w:val="008E1520"/>
    <w:rsid w:val="008E38CC"/>
    <w:rsid w:val="008E481B"/>
    <w:rsid w:val="008E64AC"/>
    <w:rsid w:val="008F03D4"/>
    <w:rsid w:val="008F1824"/>
    <w:rsid w:val="008F22F7"/>
    <w:rsid w:val="008F4620"/>
    <w:rsid w:val="008F4D30"/>
    <w:rsid w:val="00905B5F"/>
    <w:rsid w:val="009101D8"/>
    <w:rsid w:val="00912A1A"/>
    <w:rsid w:val="009137EB"/>
    <w:rsid w:val="00913CDF"/>
    <w:rsid w:val="00914D36"/>
    <w:rsid w:val="009155DD"/>
    <w:rsid w:val="009169E1"/>
    <w:rsid w:val="00921D8E"/>
    <w:rsid w:val="00923A5E"/>
    <w:rsid w:val="009241C3"/>
    <w:rsid w:val="0092547C"/>
    <w:rsid w:val="0092712D"/>
    <w:rsid w:val="0093103E"/>
    <w:rsid w:val="00941CED"/>
    <w:rsid w:val="00942BAB"/>
    <w:rsid w:val="00943781"/>
    <w:rsid w:val="00944BE2"/>
    <w:rsid w:val="00946E12"/>
    <w:rsid w:val="00953E1E"/>
    <w:rsid w:val="009547D1"/>
    <w:rsid w:val="00955234"/>
    <w:rsid w:val="009600CC"/>
    <w:rsid w:val="00960F81"/>
    <w:rsid w:val="00966BF7"/>
    <w:rsid w:val="009717DD"/>
    <w:rsid w:val="00972233"/>
    <w:rsid w:val="0097415F"/>
    <w:rsid w:val="00975604"/>
    <w:rsid w:val="00982400"/>
    <w:rsid w:val="00987620"/>
    <w:rsid w:val="009923C9"/>
    <w:rsid w:val="009A4893"/>
    <w:rsid w:val="009A48DA"/>
    <w:rsid w:val="009A78E9"/>
    <w:rsid w:val="009B2FFF"/>
    <w:rsid w:val="009B36CB"/>
    <w:rsid w:val="009B5C42"/>
    <w:rsid w:val="009B6032"/>
    <w:rsid w:val="009B6276"/>
    <w:rsid w:val="009B7050"/>
    <w:rsid w:val="009C1C75"/>
    <w:rsid w:val="009C28CE"/>
    <w:rsid w:val="009C36E9"/>
    <w:rsid w:val="009D17A3"/>
    <w:rsid w:val="009E226E"/>
    <w:rsid w:val="009E6AA0"/>
    <w:rsid w:val="009F60F5"/>
    <w:rsid w:val="009F6DF0"/>
    <w:rsid w:val="009F71B5"/>
    <w:rsid w:val="00A007D2"/>
    <w:rsid w:val="00A00923"/>
    <w:rsid w:val="00A035EA"/>
    <w:rsid w:val="00A05F83"/>
    <w:rsid w:val="00A11327"/>
    <w:rsid w:val="00A15521"/>
    <w:rsid w:val="00A1591B"/>
    <w:rsid w:val="00A17E21"/>
    <w:rsid w:val="00A22430"/>
    <w:rsid w:val="00A248B7"/>
    <w:rsid w:val="00A25700"/>
    <w:rsid w:val="00A27F01"/>
    <w:rsid w:val="00A32E32"/>
    <w:rsid w:val="00A33740"/>
    <w:rsid w:val="00A35651"/>
    <w:rsid w:val="00A36F2C"/>
    <w:rsid w:val="00A401DE"/>
    <w:rsid w:val="00A44274"/>
    <w:rsid w:val="00A44F04"/>
    <w:rsid w:val="00A456AE"/>
    <w:rsid w:val="00A46CB4"/>
    <w:rsid w:val="00A5119B"/>
    <w:rsid w:val="00A51333"/>
    <w:rsid w:val="00A526BC"/>
    <w:rsid w:val="00A53616"/>
    <w:rsid w:val="00A555AE"/>
    <w:rsid w:val="00A55B05"/>
    <w:rsid w:val="00A6508A"/>
    <w:rsid w:val="00A70FB6"/>
    <w:rsid w:val="00A71836"/>
    <w:rsid w:val="00A76FAF"/>
    <w:rsid w:val="00A77678"/>
    <w:rsid w:val="00A80217"/>
    <w:rsid w:val="00A82005"/>
    <w:rsid w:val="00A861D0"/>
    <w:rsid w:val="00A86F93"/>
    <w:rsid w:val="00A87030"/>
    <w:rsid w:val="00A904DD"/>
    <w:rsid w:val="00A92AA2"/>
    <w:rsid w:val="00A94B6A"/>
    <w:rsid w:val="00A96428"/>
    <w:rsid w:val="00A96F94"/>
    <w:rsid w:val="00A978F1"/>
    <w:rsid w:val="00AA00E2"/>
    <w:rsid w:val="00AA0BD2"/>
    <w:rsid w:val="00AA2936"/>
    <w:rsid w:val="00AA293B"/>
    <w:rsid w:val="00AA2AE0"/>
    <w:rsid w:val="00AA4F5C"/>
    <w:rsid w:val="00AA58B5"/>
    <w:rsid w:val="00AA5D08"/>
    <w:rsid w:val="00AB3191"/>
    <w:rsid w:val="00AC0695"/>
    <w:rsid w:val="00AD0E09"/>
    <w:rsid w:val="00AD39DF"/>
    <w:rsid w:val="00AD58E0"/>
    <w:rsid w:val="00AD61CA"/>
    <w:rsid w:val="00AE016C"/>
    <w:rsid w:val="00AE0E23"/>
    <w:rsid w:val="00AE1259"/>
    <w:rsid w:val="00AE51C1"/>
    <w:rsid w:val="00AF46C0"/>
    <w:rsid w:val="00AF658F"/>
    <w:rsid w:val="00B07539"/>
    <w:rsid w:val="00B12896"/>
    <w:rsid w:val="00B14E9F"/>
    <w:rsid w:val="00B150FB"/>
    <w:rsid w:val="00B153BD"/>
    <w:rsid w:val="00B22CFF"/>
    <w:rsid w:val="00B25044"/>
    <w:rsid w:val="00B3028C"/>
    <w:rsid w:val="00B34EC8"/>
    <w:rsid w:val="00B408B2"/>
    <w:rsid w:val="00B4616E"/>
    <w:rsid w:val="00B52C54"/>
    <w:rsid w:val="00B54296"/>
    <w:rsid w:val="00B54F1A"/>
    <w:rsid w:val="00B55ADA"/>
    <w:rsid w:val="00B665F1"/>
    <w:rsid w:val="00B678DF"/>
    <w:rsid w:val="00B70202"/>
    <w:rsid w:val="00B702BE"/>
    <w:rsid w:val="00B728C9"/>
    <w:rsid w:val="00B7345F"/>
    <w:rsid w:val="00B762BC"/>
    <w:rsid w:val="00B7783F"/>
    <w:rsid w:val="00B80726"/>
    <w:rsid w:val="00B80C57"/>
    <w:rsid w:val="00B854E6"/>
    <w:rsid w:val="00B917D3"/>
    <w:rsid w:val="00B961CD"/>
    <w:rsid w:val="00B9768F"/>
    <w:rsid w:val="00BA1C90"/>
    <w:rsid w:val="00BA1DA0"/>
    <w:rsid w:val="00BA66C7"/>
    <w:rsid w:val="00BB20F1"/>
    <w:rsid w:val="00BB21D5"/>
    <w:rsid w:val="00BB2213"/>
    <w:rsid w:val="00BB37DA"/>
    <w:rsid w:val="00BB5ED4"/>
    <w:rsid w:val="00BC3254"/>
    <w:rsid w:val="00BC4696"/>
    <w:rsid w:val="00BC4794"/>
    <w:rsid w:val="00BD1AED"/>
    <w:rsid w:val="00BD527E"/>
    <w:rsid w:val="00BD5DDA"/>
    <w:rsid w:val="00BE0932"/>
    <w:rsid w:val="00BE10E6"/>
    <w:rsid w:val="00BE3C42"/>
    <w:rsid w:val="00BE5CBA"/>
    <w:rsid w:val="00BF07DF"/>
    <w:rsid w:val="00C0285B"/>
    <w:rsid w:val="00C0497A"/>
    <w:rsid w:val="00C05187"/>
    <w:rsid w:val="00C100D0"/>
    <w:rsid w:val="00C2233B"/>
    <w:rsid w:val="00C25F15"/>
    <w:rsid w:val="00C26B66"/>
    <w:rsid w:val="00C27EFE"/>
    <w:rsid w:val="00C300F5"/>
    <w:rsid w:val="00C30EDE"/>
    <w:rsid w:val="00C310EF"/>
    <w:rsid w:val="00C317AD"/>
    <w:rsid w:val="00C31DC1"/>
    <w:rsid w:val="00C31DE7"/>
    <w:rsid w:val="00C327CD"/>
    <w:rsid w:val="00C32BE5"/>
    <w:rsid w:val="00C34C15"/>
    <w:rsid w:val="00C3777D"/>
    <w:rsid w:val="00C4163B"/>
    <w:rsid w:val="00C43D15"/>
    <w:rsid w:val="00C51158"/>
    <w:rsid w:val="00C5194A"/>
    <w:rsid w:val="00C54321"/>
    <w:rsid w:val="00C57E93"/>
    <w:rsid w:val="00C620E5"/>
    <w:rsid w:val="00C62F0E"/>
    <w:rsid w:val="00C656AE"/>
    <w:rsid w:val="00C71518"/>
    <w:rsid w:val="00C80803"/>
    <w:rsid w:val="00C84725"/>
    <w:rsid w:val="00C91335"/>
    <w:rsid w:val="00C91F63"/>
    <w:rsid w:val="00C92725"/>
    <w:rsid w:val="00CA0E99"/>
    <w:rsid w:val="00CA1229"/>
    <w:rsid w:val="00CA16C4"/>
    <w:rsid w:val="00CA37B5"/>
    <w:rsid w:val="00CA4A53"/>
    <w:rsid w:val="00CA4EDE"/>
    <w:rsid w:val="00CA5DFA"/>
    <w:rsid w:val="00CA60D6"/>
    <w:rsid w:val="00CA6279"/>
    <w:rsid w:val="00CA66A7"/>
    <w:rsid w:val="00CA7F98"/>
    <w:rsid w:val="00CB0A61"/>
    <w:rsid w:val="00CB1F08"/>
    <w:rsid w:val="00CB2900"/>
    <w:rsid w:val="00CB3CBF"/>
    <w:rsid w:val="00CB5F61"/>
    <w:rsid w:val="00CB7C7B"/>
    <w:rsid w:val="00CC11C9"/>
    <w:rsid w:val="00CC1CD2"/>
    <w:rsid w:val="00CC2E00"/>
    <w:rsid w:val="00CC364C"/>
    <w:rsid w:val="00CD117D"/>
    <w:rsid w:val="00CD279C"/>
    <w:rsid w:val="00CD3D2E"/>
    <w:rsid w:val="00CD5663"/>
    <w:rsid w:val="00CD743E"/>
    <w:rsid w:val="00CE13E7"/>
    <w:rsid w:val="00CE3C1A"/>
    <w:rsid w:val="00CE4BAA"/>
    <w:rsid w:val="00CE4FD2"/>
    <w:rsid w:val="00CE5BAB"/>
    <w:rsid w:val="00CE6575"/>
    <w:rsid w:val="00CF184D"/>
    <w:rsid w:val="00CF3CF7"/>
    <w:rsid w:val="00CF67F4"/>
    <w:rsid w:val="00CF6E31"/>
    <w:rsid w:val="00D032C0"/>
    <w:rsid w:val="00D05967"/>
    <w:rsid w:val="00D10C52"/>
    <w:rsid w:val="00D11FE0"/>
    <w:rsid w:val="00D167DD"/>
    <w:rsid w:val="00D2054A"/>
    <w:rsid w:val="00D216FB"/>
    <w:rsid w:val="00D2608E"/>
    <w:rsid w:val="00D30941"/>
    <w:rsid w:val="00D30ECA"/>
    <w:rsid w:val="00D34138"/>
    <w:rsid w:val="00D353B9"/>
    <w:rsid w:val="00D36A8F"/>
    <w:rsid w:val="00D4070D"/>
    <w:rsid w:val="00D40D6C"/>
    <w:rsid w:val="00D4158B"/>
    <w:rsid w:val="00D415AC"/>
    <w:rsid w:val="00D45390"/>
    <w:rsid w:val="00D46D5C"/>
    <w:rsid w:val="00D52691"/>
    <w:rsid w:val="00D53FC3"/>
    <w:rsid w:val="00D5548A"/>
    <w:rsid w:val="00D56E9B"/>
    <w:rsid w:val="00D601B1"/>
    <w:rsid w:val="00D63E93"/>
    <w:rsid w:val="00D75FA0"/>
    <w:rsid w:val="00D829B8"/>
    <w:rsid w:val="00D9301C"/>
    <w:rsid w:val="00D93609"/>
    <w:rsid w:val="00D93A18"/>
    <w:rsid w:val="00D93EDC"/>
    <w:rsid w:val="00D94862"/>
    <w:rsid w:val="00DA6CFF"/>
    <w:rsid w:val="00DA7971"/>
    <w:rsid w:val="00DA7E0C"/>
    <w:rsid w:val="00DB12C8"/>
    <w:rsid w:val="00DB60B2"/>
    <w:rsid w:val="00DC024E"/>
    <w:rsid w:val="00DC1947"/>
    <w:rsid w:val="00DC2383"/>
    <w:rsid w:val="00DD3786"/>
    <w:rsid w:val="00DD6806"/>
    <w:rsid w:val="00DE1609"/>
    <w:rsid w:val="00DE21DA"/>
    <w:rsid w:val="00DE2734"/>
    <w:rsid w:val="00DE2C5A"/>
    <w:rsid w:val="00DE430E"/>
    <w:rsid w:val="00DE48DE"/>
    <w:rsid w:val="00DE542E"/>
    <w:rsid w:val="00DE5CCB"/>
    <w:rsid w:val="00DE6CCB"/>
    <w:rsid w:val="00DF2DAD"/>
    <w:rsid w:val="00DF50C7"/>
    <w:rsid w:val="00E02057"/>
    <w:rsid w:val="00E025A6"/>
    <w:rsid w:val="00E02CF7"/>
    <w:rsid w:val="00E06251"/>
    <w:rsid w:val="00E07BD4"/>
    <w:rsid w:val="00E1076E"/>
    <w:rsid w:val="00E11218"/>
    <w:rsid w:val="00E12356"/>
    <w:rsid w:val="00E1279B"/>
    <w:rsid w:val="00E140F2"/>
    <w:rsid w:val="00E157FA"/>
    <w:rsid w:val="00E15B29"/>
    <w:rsid w:val="00E22346"/>
    <w:rsid w:val="00E26194"/>
    <w:rsid w:val="00E31E14"/>
    <w:rsid w:val="00E32884"/>
    <w:rsid w:val="00E34870"/>
    <w:rsid w:val="00E35113"/>
    <w:rsid w:val="00E37106"/>
    <w:rsid w:val="00E41C50"/>
    <w:rsid w:val="00E42568"/>
    <w:rsid w:val="00E42EE1"/>
    <w:rsid w:val="00E46D73"/>
    <w:rsid w:val="00E51C61"/>
    <w:rsid w:val="00E53FA0"/>
    <w:rsid w:val="00E540F9"/>
    <w:rsid w:val="00E54C03"/>
    <w:rsid w:val="00E54FF9"/>
    <w:rsid w:val="00E569F9"/>
    <w:rsid w:val="00E56C10"/>
    <w:rsid w:val="00E603CC"/>
    <w:rsid w:val="00E609E6"/>
    <w:rsid w:val="00E60DEE"/>
    <w:rsid w:val="00E63E3D"/>
    <w:rsid w:val="00E6425D"/>
    <w:rsid w:val="00E6575D"/>
    <w:rsid w:val="00E65A60"/>
    <w:rsid w:val="00E66051"/>
    <w:rsid w:val="00E66D17"/>
    <w:rsid w:val="00E66E4B"/>
    <w:rsid w:val="00E70200"/>
    <w:rsid w:val="00E7340B"/>
    <w:rsid w:val="00E7359F"/>
    <w:rsid w:val="00E75226"/>
    <w:rsid w:val="00E778C3"/>
    <w:rsid w:val="00E806BA"/>
    <w:rsid w:val="00E8759F"/>
    <w:rsid w:val="00E87FEB"/>
    <w:rsid w:val="00E91BD1"/>
    <w:rsid w:val="00EA020E"/>
    <w:rsid w:val="00EA047E"/>
    <w:rsid w:val="00EA10C5"/>
    <w:rsid w:val="00EA2906"/>
    <w:rsid w:val="00EA2EF5"/>
    <w:rsid w:val="00EA5E4E"/>
    <w:rsid w:val="00EB14DE"/>
    <w:rsid w:val="00EB3A0A"/>
    <w:rsid w:val="00EB3CBA"/>
    <w:rsid w:val="00EB402C"/>
    <w:rsid w:val="00EB4974"/>
    <w:rsid w:val="00EC7309"/>
    <w:rsid w:val="00ED1868"/>
    <w:rsid w:val="00ED32A9"/>
    <w:rsid w:val="00ED3742"/>
    <w:rsid w:val="00ED3A59"/>
    <w:rsid w:val="00ED4DBB"/>
    <w:rsid w:val="00ED5A6B"/>
    <w:rsid w:val="00ED6449"/>
    <w:rsid w:val="00EE0B52"/>
    <w:rsid w:val="00EF0E5C"/>
    <w:rsid w:val="00EF34EC"/>
    <w:rsid w:val="00EF4201"/>
    <w:rsid w:val="00EF6197"/>
    <w:rsid w:val="00EF620B"/>
    <w:rsid w:val="00EF7B13"/>
    <w:rsid w:val="00F006CA"/>
    <w:rsid w:val="00F0212E"/>
    <w:rsid w:val="00F03582"/>
    <w:rsid w:val="00F05ADD"/>
    <w:rsid w:val="00F07F3A"/>
    <w:rsid w:val="00F07FF5"/>
    <w:rsid w:val="00F13826"/>
    <w:rsid w:val="00F17465"/>
    <w:rsid w:val="00F1775D"/>
    <w:rsid w:val="00F25923"/>
    <w:rsid w:val="00F2680E"/>
    <w:rsid w:val="00F26A2E"/>
    <w:rsid w:val="00F32E74"/>
    <w:rsid w:val="00F341C8"/>
    <w:rsid w:val="00F36BF7"/>
    <w:rsid w:val="00F40379"/>
    <w:rsid w:val="00F41228"/>
    <w:rsid w:val="00F426CC"/>
    <w:rsid w:val="00F42C02"/>
    <w:rsid w:val="00F45D20"/>
    <w:rsid w:val="00F4626B"/>
    <w:rsid w:val="00F463A2"/>
    <w:rsid w:val="00F516D6"/>
    <w:rsid w:val="00F519D3"/>
    <w:rsid w:val="00F5304A"/>
    <w:rsid w:val="00F53956"/>
    <w:rsid w:val="00F53B6B"/>
    <w:rsid w:val="00F54FA0"/>
    <w:rsid w:val="00F55578"/>
    <w:rsid w:val="00F57A65"/>
    <w:rsid w:val="00F57F77"/>
    <w:rsid w:val="00F61AB4"/>
    <w:rsid w:val="00F6726A"/>
    <w:rsid w:val="00F7067A"/>
    <w:rsid w:val="00F71AE3"/>
    <w:rsid w:val="00F7433F"/>
    <w:rsid w:val="00F74545"/>
    <w:rsid w:val="00F77342"/>
    <w:rsid w:val="00F7768F"/>
    <w:rsid w:val="00F817EC"/>
    <w:rsid w:val="00F841B1"/>
    <w:rsid w:val="00F90EA9"/>
    <w:rsid w:val="00F94B58"/>
    <w:rsid w:val="00F973C9"/>
    <w:rsid w:val="00FA0C30"/>
    <w:rsid w:val="00FA186E"/>
    <w:rsid w:val="00FA3D63"/>
    <w:rsid w:val="00FA5BC7"/>
    <w:rsid w:val="00FA71B5"/>
    <w:rsid w:val="00FB029D"/>
    <w:rsid w:val="00FB124C"/>
    <w:rsid w:val="00FB1F55"/>
    <w:rsid w:val="00FB41C7"/>
    <w:rsid w:val="00FB4A6B"/>
    <w:rsid w:val="00FC3A76"/>
    <w:rsid w:val="00FC3A9F"/>
    <w:rsid w:val="00FC3D32"/>
    <w:rsid w:val="00FD5E85"/>
    <w:rsid w:val="00FD61C2"/>
    <w:rsid w:val="00FE1ABE"/>
    <w:rsid w:val="00FE46A6"/>
    <w:rsid w:val="00FE56E7"/>
    <w:rsid w:val="00FF027E"/>
    <w:rsid w:val="00FF06BB"/>
    <w:rsid w:val="00FF10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3F4F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ED8"/>
    <w:rPr>
      <w:sz w:val="24"/>
    </w:rPr>
  </w:style>
  <w:style w:type="paragraph" w:styleId="Heading1">
    <w:name w:val="heading 1"/>
    <w:basedOn w:val="Normal"/>
    <w:next w:val="Normal"/>
    <w:link w:val="Heading1Char"/>
    <w:uiPriority w:val="99"/>
    <w:qFormat/>
    <w:rsid w:val="005A2ED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A2ED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5A2ED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5CA6"/>
    <w:rPr>
      <w:rFonts w:ascii="Cambria" w:hAnsi="Cambria" w:cs="Times New Roman"/>
      <w:b/>
      <w:bCs/>
      <w:kern w:val="32"/>
      <w:sz w:val="32"/>
      <w:szCs w:val="32"/>
      <w:lang w:val="en-GB" w:eastAsia="en-GB"/>
    </w:rPr>
  </w:style>
  <w:style w:type="character" w:customStyle="1" w:styleId="Heading2Char">
    <w:name w:val="Heading 2 Char"/>
    <w:basedOn w:val="DefaultParagraphFont"/>
    <w:link w:val="Heading2"/>
    <w:uiPriority w:val="99"/>
    <w:semiHidden/>
    <w:locked/>
    <w:rsid w:val="004D5CA6"/>
    <w:rPr>
      <w:rFonts w:ascii="Cambria" w:hAnsi="Cambria" w:cs="Times New Roman"/>
      <w:b/>
      <w:bCs/>
      <w:i/>
      <w:iCs/>
      <w:sz w:val="28"/>
      <w:szCs w:val="28"/>
      <w:lang w:val="en-GB" w:eastAsia="en-GB"/>
    </w:rPr>
  </w:style>
  <w:style w:type="character" w:customStyle="1" w:styleId="Heading3Char">
    <w:name w:val="Heading 3 Char"/>
    <w:basedOn w:val="DefaultParagraphFont"/>
    <w:link w:val="Heading3"/>
    <w:uiPriority w:val="99"/>
    <w:semiHidden/>
    <w:locked/>
    <w:rsid w:val="004D5CA6"/>
    <w:rPr>
      <w:rFonts w:ascii="Cambria" w:hAnsi="Cambria" w:cs="Times New Roman"/>
      <w:b/>
      <w:bCs/>
      <w:sz w:val="26"/>
      <w:szCs w:val="26"/>
      <w:lang w:val="en-GB" w:eastAsia="en-GB"/>
    </w:rPr>
  </w:style>
  <w:style w:type="paragraph" w:customStyle="1" w:styleId="01PaperTitle">
    <w:name w:val="01 Paper Title"/>
    <w:uiPriority w:val="99"/>
    <w:rsid w:val="00F25923"/>
    <w:pPr>
      <w:spacing w:after="180" w:line="360" w:lineRule="exact"/>
    </w:pPr>
    <w:rPr>
      <w:b/>
      <w:position w:val="7"/>
      <w:sz w:val="32"/>
      <w:szCs w:val="32"/>
    </w:rPr>
  </w:style>
  <w:style w:type="paragraph" w:customStyle="1" w:styleId="02PaperAuthors">
    <w:name w:val="02 Paper Authors"/>
    <w:link w:val="02PaperAuthorsChar"/>
    <w:uiPriority w:val="99"/>
    <w:rsid w:val="009101D8"/>
    <w:pPr>
      <w:spacing w:line="240" w:lineRule="exact"/>
    </w:pPr>
    <w:rPr>
      <w:b/>
      <w:noProof/>
      <w:sz w:val="22"/>
      <w:szCs w:val="22"/>
    </w:rPr>
  </w:style>
  <w:style w:type="paragraph" w:customStyle="1" w:styleId="G1aFigureImage">
    <w:name w:val="G1a Figure Image"/>
    <w:next w:val="G1bFigureCaption"/>
    <w:uiPriority w:val="99"/>
    <w:rsid w:val="00236D7F"/>
    <w:pPr>
      <w:shd w:val="solid" w:color="FFFFFF" w:fill="FFFFFF"/>
      <w:spacing w:before="160" w:after="40"/>
      <w:jc w:val="center"/>
    </w:pPr>
    <w:rPr>
      <w:sz w:val="18"/>
    </w:rPr>
  </w:style>
  <w:style w:type="paragraph" w:customStyle="1" w:styleId="03Abstract">
    <w:name w:val="03 Abstract"/>
    <w:uiPriority w:val="99"/>
    <w:rsid w:val="00F25923"/>
    <w:pPr>
      <w:spacing w:after="240" w:line="240" w:lineRule="exact"/>
      <w:ind w:right="2268"/>
    </w:pPr>
    <w:rPr>
      <w:sz w:val="18"/>
      <w:szCs w:val="18"/>
    </w:rPr>
  </w:style>
  <w:style w:type="paragraph" w:customStyle="1" w:styleId="04AHeading">
    <w:name w:val="04 A Heading"/>
    <w:next w:val="08ArticleText"/>
    <w:link w:val="04AHeadingChar"/>
    <w:uiPriority w:val="99"/>
    <w:rsid w:val="00F25923"/>
    <w:pPr>
      <w:spacing w:before="240" w:after="120" w:line="240" w:lineRule="exact"/>
    </w:pPr>
    <w:rPr>
      <w:b/>
      <w:sz w:val="22"/>
      <w:szCs w:val="22"/>
    </w:rPr>
  </w:style>
  <w:style w:type="paragraph" w:customStyle="1" w:styleId="08ArticleText">
    <w:name w:val="08 Article Text"/>
    <w:link w:val="08ArticleTextChar"/>
    <w:uiPriority w:val="99"/>
    <w:rsid w:val="00F25923"/>
    <w:pPr>
      <w:widowControl w:val="0"/>
      <w:tabs>
        <w:tab w:val="left" w:pos="198"/>
      </w:tabs>
      <w:spacing w:line="230" w:lineRule="exact"/>
      <w:jc w:val="both"/>
    </w:pPr>
    <w:rPr>
      <w:sz w:val="22"/>
      <w:szCs w:val="22"/>
    </w:rPr>
  </w:style>
  <w:style w:type="paragraph" w:customStyle="1" w:styleId="N2Footnotes">
    <w:name w:val="N2 Footnotes"/>
    <w:link w:val="N2FootnotesChar"/>
    <w:uiPriority w:val="99"/>
    <w:rsid w:val="00D5548A"/>
    <w:pPr>
      <w:tabs>
        <w:tab w:val="left" w:pos="142"/>
      </w:tabs>
      <w:spacing w:line="190" w:lineRule="exact"/>
      <w:jc w:val="both"/>
    </w:pPr>
    <w:rPr>
      <w:noProof/>
      <w:sz w:val="22"/>
      <w:szCs w:val="22"/>
    </w:rPr>
  </w:style>
  <w:style w:type="paragraph" w:customStyle="1" w:styleId="N3References">
    <w:name w:val="N3 References"/>
    <w:link w:val="N3ReferencesChar"/>
    <w:uiPriority w:val="99"/>
    <w:rsid w:val="00D5548A"/>
    <w:pPr>
      <w:tabs>
        <w:tab w:val="left" w:pos="284"/>
      </w:tabs>
      <w:spacing w:line="190" w:lineRule="exact"/>
      <w:ind w:left="284" w:hanging="284"/>
      <w:jc w:val="both"/>
    </w:pPr>
    <w:rPr>
      <w:noProof/>
      <w:sz w:val="22"/>
      <w:szCs w:val="22"/>
    </w:rPr>
  </w:style>
  <w:style w:type="paragraph" w:customStyle="1" w:styleId="L1Receivedaccepteddates">
    <w:name w:val="L1 Received/accepted dates"/>
    <w:next w:val="Normal"/>
    <w:uiPriority w:val="99"/>
    <w:rsid w:val="009101D8"/>
    <w:pPr>
      <w:spacing w:before="180" w:line="240" w:lineRule="exact"/>
    </w:pPr>
    <w:rPr>
      <w:b/>
      <w:i/>
      <w:noProof/>
      <w:sz w:val="18"/>
    </w:rPr>
  </w:style>
  <w:style w:type="paragraph" w:customStyle="1" w:styleId="L2DOI">
    <w:name w:val="L2 DOI"/>
    <w:next w:val="03Abstract"/>
    <w:uiPriority w:val="99"/>
    <w:rsid w:val="000D0DE1"/>
    <w:pPr>
      <w:spacing w:after="240" w:line="240" w:lineRule="exact"/>
    </w:pPr>
    <w:rPr>
      <w:b/>
      <w:noProof/>
      <w:sz w:val="18"/>
      <w:szCs w:val="18"/>
    </w:rPr>
  </w:style>
  <w:style w:type="paragraph" w:customStyle="1" w:styleId="N1AuthorAddresses">
    <w:name w:val="N1 Author Addresses"/>
    <w:uiPriority w:val="99"/>
    <w:rsid w:val="00D5548A"/>
    <w:pPr>
      <w:spacing w:line="190" w:lineRule="exact"/>
    </w:pPr>
    <w:rPr>
      <w:i/>
      <w:sz w:val="16"/>
    </w:rPr>
  </w:style>
  <w:style w:type="paragraph" w:customStyle="1" w:styleId="05BHeading">
    <w:name w:val="05 B Heading"/>
    <w:next w:val="08ArticleText"/>
    <w:link w:val="05BHeadingChar"/>
    <w:uiPriority w:val="99"/>
    <w:rsid w:val="00F25923"/>
    <w:pPr>
      <w:spacing w:before="120" w:after="120" w:line="200" w:lineRule="exact"/>
      <w:jc w:val="both"/>
    </w:pPr>
    <w:rPr>
      <w:b/>
      <w:sz w:val="22"/>
      <w:szCs w:val="22"/>
    </w:rPr>
  </w:style>
  <w:style w:type="paragraph" w:customStyle="1" w:styleId="06CHeading">
    <w:name w:val="06 C Heading"/>
    <w:next w:val="08ArticleText"/>
    <w:uiPriority w:val="99"/>
    <w:rsid w:val="00F25923"/>
    <w:pPr>
      <w:spacing w:line="200" w:lineRule="exact"/>
      <w:jc w:val="both"/>
    </w:pPr>
    <w:rPr>
      <w:b/>
      <w:sz w:val="18"/>
    </w:rPr>
  </w:style>
  <w:style w:type="paragraph" w:customStyle="1" w:styleId="07DHeading">
    <w:name w:val="07 D Heading"/>
    <w:next w:val="08ArticleText"/>
    <w:uiPriority w:val="99"/>
    <w:rsid w:val="00F25923"/>
    <w:pPr>
      <w:spacing w:line="200" w:lineRule="exact"/>
      <w:jc w:val="both"/>
    </w:pPr>
    <w:rPr>
      <w:i/>
      <w:sz w:val="18"/>
    </w:rPr>
  </w:style>
  <w:style w:type="paragraph" w:styleId="Header">
    <w:name w:val="header"/>
    <w:basedOn w:val="Normal"/>
    <w:link w:val="HeaderChar"/>
    <w:uiPriority w:val="99"/>
    <w:rsid w:val="00D40D6C"/>
    <w:pPr>
      <w:tabs>
        <w:tab w:val="center" w:pos="4153"/>
        <w:tab w:val="right" w:pos="8306"/>
      </w:tabs>
    </w:pPr>
  </w:style>
  <w:style w:type="character" w:customStyle="1" w:styleId="HeaderChar">
    <w:name w:val="Header Char"/>
    <w:basedOn w:val="DefaultParagraphFont"/>
    <w:link w:val="Header"/>
    <w:uiPriority w:val="99"/>
    <w:semiHidden/>
    <w:locked/>
    <w:rsid w:val="004D5CA6"/>
    <w:rPr>
      <w:rFonts w:cs="Times New Roman"/>
      <w:sz w:val="20"/>
      <w:szCs w:val="20"/>
      <w:lang w:val="en-GB" w:eastAsia="en-GB"/>
    </w:rPr>
  </w:style>
  <w:style w:type="paragraph" w:styleId="Footer">
    <w:name w:val="footer"/>
    <w:basedOn w:val="Normal"/>
    <w:link w:val="FooterChar"/>
    <w:uiPriority w:val="99"/>
    <w:rsid w:val="00D40D6C"/>
    <w:pPr>
      <w:tabs>
        <w:tab w:val="center" w:pos="4153"/>
        <w:tab w:val="right" w:pos="8306"/>
      </w:tabs>
    </w:pPr>
  </w:style>
  <w:style w:type="character" w:customStyle="1" w:styleId="FooterChar">
    <w:name w:val="Footer Char"/>
    <w:basedOn w:val="DefaultParagraphFont"/>
    <w:link w:val="Footer"/>
    <w:uiPriority w:val="99"/>
    <w:semiHidden/>
    <w:locked/>
    <w:rsid w:val="004D5CA6"/>
    <w:rPr>
      <w:rFonts w:cs="Times New Roman"/>
      <w:sz w:val="20"/>
      <w:szCs w:val="20"/>
      <w:lang w:val="en-GB" w:eastAsia="en-GB"/>
    </w:rPr>
  </w:style>
  <w:style w:type="character" w:styleId="LineNumber">
    <w:name w:val="line number"/>
    <w:basedOn w:val="DefaultParagraphFont"/>
    <w:uiPriority w:val="99"/>
    <w:rsid w:val="004E1FDE"/>
    <w:rPr>
      <w:rFonts w:ascii="Times New Roman" w:hAnsi="Times New Roman" w:cs="Times New Roman"/>
      <w:sz w:val="10"/>
    </w:rPr>
  </w:style>
  <w:style w:type="paragraph" w:customStyle="1" w:styleId="G1bFigureCaption">
    <w:name w:val="G1b Figure Caption"/>
    <w:basedOn w:val="Normal"/>
    <w:next w:val="08ArticleText"/>
    <w:uiPriority w:val="99"/>
    <w:rsid w:val="00ED5A6B"/>
    <w:pPr>
      <w:shd w:val="solid" w:color="FFFFFF" w:fill="FFFFFF"/>
      <w:spacing w:before="40" w:after="160" w:line="190" w:lineRule="exact"/>
      <w:jc w:val="center"/>
    </w:pPr>
    <w:rPr>
      <w:sz w:val="16"/>
    </w:rPr>
  </w:style>
  <w:style w:type="paragraph" w:customStyle="1" w:styleId="G2UncaptionedImage">
    <w:name w:val="G2 Uncaptioned Image"/>
    <w:next w:val="08ArticleText"/>
    <w:uiPriority w:val="99"/>
    <w:rsid w:val="00236D7F"/>
    <w:pPr>
      <w:shd w:val="solid" w:color="FFFFFF" w:fill="FFFFFF"/>
      <w:spacing w:before="160" w:after="160"/>
      <w:jc w:val="center"/>
    </w:pPr>
    <w:rPr>
      <w:sz w:val="18"/>
    </w:rPr>
  </w:style>
  <w:style w:type="paragraph" w:customStyle="1" w:styleId="G3SingleColumnEquation">
    <w:name w:val="G3 Single Column Equation"/>
    <w:next w:val="08ArticleText"/>
    <w:uiPriority w:val="99"/>
    <w:rsid w:val="0069118F"/>
    <w:pPr>
      <w:tabs>
        <w:tab w:val="center" w:pos="2155"/>
        <w:tab w:val="right" w:pos="4706"/>
      </w:tabs>
      <w:spacing w:before="160" w:after="160"/>
    </w:pPr>
    <w:rPr>
      <w:sz w:val="18"/>
    </w:rPr>
  </w:style>
  <w:style w:type="paragraph" w:customStyle="1" w:styleId="G4aTableTitle">
    <w:name w:val="G4a Table Title"/>
    <w:uiPriority w:val="99"/>
    <w:rsid w:val="00236D7F"/>
    <w:pPr>
      <w:keepNext/>
      <w:keepLines/>
      <w:pBdr>
        <w:bottom w:val="single" w:sz="6" w:space="1" w:color="auto"/>
      </w:pBdr>
      <w:spacing w:before="120" w:after="120" w:line="190" w:lineRule="exact"/>
    </w:pPr>
    <w:rPr>
      <w:sz w:val="16"/>
    </w:rPr>
  </w:style>
  <w:style w:type="paragraph" w:customStyle="1" w:styleId="G4cTableFootnote">
    <w:name w:val="G4c Table Footnote"/>
    <w:uiPriority w:val="99"/>
    <w:rsid w:val="003F4A2D"/>
    <w:pPr>
      <w:keepLines/>
      <w:pBdr>
        <w:bottom w:val="single" w:sz="6" w:space="1" w:color="auto"/>
      </w:pBdr>
      <w:spacing w:before="120" w:after="60"/>
    </w:pPr>
    <w:rPr>
      <w:sz w:val="16"/>
    </w:rPr>
  </w:style>
  <w:style w:type="table" w:styleId="TableGrid">
    <w:name w:val="Table Grid"/>
    <w:basedOn w:val="TableNormal"/>
    <w:uiPriority w:val="99"/>
    <w:rsid w:val="00CD5663"/>
    <w:tblPr>
      <w:jc w:val="center"/>
      <w:tblInd w:w="0" w:type="dxa"/>
      <w:tblCellMar>
        <w:top w:w="0" w:type="dxa"/>
        <w:left w:w="0" w:type="dxa"/>
        <w:bottom w:w="0" w:type="dxa"/>
        <w:right w:w="0" w:type="dxa"/>
      </w:tblCellMar>
    </w:tblPr>
    <w:trPr>
      <w:jc w:val="center"/>
    </w:trPr>
  </w:style>
  <w:style w:type="paragraph" w:customStyle="1" w:styleId="G4bTableBody">
    <w:name w:val="G4b Table Body"/>
    <w:link w:val="G4bTableBodyChar"/>
    <w:uiPriority w:val="99"/>
    <w:rsid w:val="003F4A2D"/>
    <w:pPr>
      <w:keepNext/>
      <w:keepLines/>
      <w:jc w:val="center"/>
    </w:pPr>
    <w:rPr>
      <w:sz w:val="22"/>
      <w:szCs w:val="22"/>
    </w:rPr>
  </w:style>
  <w:style w:type="paragraph" w:styleId="EndnoteText">
    <w:name w:val="endnote text"/>
    <w:basedOn w:val="Normal"/>
    <w:link w:val="EndnoteTextChar"/>
    <w:uiPriority w:val="99"/>
    <w:semiHidden/>
    <w:rsid w:val="004C27D7"/>
    <w:pPr>
      <w:spacing w:line="190" w:lineRule="exact"/>
      <w:ind w:left="284" w:hanging="284"/>
    </w:pPr>
    <w:rPr>
      <w:sz w:val="16"/>
    </w:rPr>
  </w:style>
  <w:style w:type="character" w:customStyle="1" w:styleId="EndnoteTextChar">
    <w:name w:val="Endnote Text Char"/>
    <w:basedOn w:val="DefaultParagraphFont"/>
    <w:link w:val="EndnoteText"/>
    <w:uiPriority w:val="99"/>
    <w:semiHidden/>
    <w:locked/>
    <w:rsid w:val="004D5CA6"/>
    <w:rPr>
      <w:rFonts w:cs="Times New Roman"/>
      <w:sz w:val="20"/>
      <w:szCs w:val="20"/>
      <w:lang w:val="en-GB" w:eastAsia="en-GB"/>
    </w:rPr>
  </w:style>
  <w:style w:type="character" w:styleId="EndnoteReference">
    <w:name w:val="endnote reference"/>
    <w:basedOn w:val="DefaultParagraphFont"/>
    <w:uiPriority w:val="99"/>
    <w:semiHidden/>
    <w:rsid w:val="004C27D7"/>
    <w:rPr>
      <w:rFonts w:cs="Times New Roman"/>
      <w:vertAlign w:val="superscript"/>
    </w:rPr>
  </w:style>
  <w:style w:type="paragraph" w:customStyle="1" w:styleId="RefOrdinal">
    <w:name w:val="RefOrdinal"/>
    <w:uiPriority w:val="99"/>
    <w:rsid w:val="008128EC"/>
    <w:rPr>
      <w:sz w:val="16"/>
      <w:szCs w:val="16"/>
    </w:rPr>
  </w:style>
  <w:style w:type="paragraph" w:customStyle="1" w:styleId="H1RunningHeader">
    <w:name w:val="H1 Running Header"/>
    <w:uiPriority w:val="99"/>
    <w:rsid w:val="00D216FB"/>
    <w:pPr>
      <w:pBdr>
        <w:bottom w:val="single" w:sz="4" w:space="2" w:color="auto"/>
      </w:pBdr>
      <w:tabs>
        <w:tab w:val="right" w:pos="9923"/>
      </w:tabs>
    </w:pPr>
    <w:rPr>
      <w:rFonts w:ascii="Myriad Pro" w:hAnsi="Myriad Pro" w:cs="Arial"/>
      <w:w w:val="108"/>
    </w:rPr>
  </w:style>
  <w:style w:type="character" w:customStyle="1" w:styleId="C1Gray">
    <w:name w:val="C1 Gray"/>
    <w:uiPriority w:val="99"/>
    <w:rsid w:val="00512C15"/>
    <w:rPr>
      <w:color w:val="666666"/>
      <w:lang w:val="fr-FR"/>
    </w:rPr>
  </w:style>
  <w:style w:type="paragraph" w:customStyle="1" w:styleId="F1RunningFooter">
    <w:name w:val="F1 Running Footer"/>
    <w:uiPriority w:val="99"/>
    <w:rsid w:val="00512C15"/>
    <w:pPr>
      <w:pBdr>
        <w:top w:val="single" w:sz="6" w:space="1" w:color="auto"/>
      </w:pBdr>
      <w:tabs>
        <w:tab w:val="right" w:pos="9923"/>
      </w:tabs>
    </w:pPr>
    <w:rPr>
      <w:rFonts w:ascii="Myriad Pro" w:hAnsi="Myriad Pro" w:cs="Arial"/>
      <w:w w:val="108"/>
      <w:sz w:val="17"/>
      <w:szCs w:val="17"/>
    </w:rPr>
  </w:style>
  <w:style w:type="character" w:styleId="PageNumber">
    <w:name w:val="page number"/>
    <w:basedOn w:val="DefaultParagraphFont"/>
    <w:uiPriority w:val="99"/>
    <w:rsid w:val="008C11DC"/>
    <w:rPr>
      <w:rFonts w:cs="Times New Roman"/>
    </w:rPr>
  </w:style>
  <w:style w:type="paragraph" w:customStyle="1" w:styleId="09ListText">
    <w:name w:val="09 List Text"/>
    <w:basedOn w:val="08ArticleText"/>
    <w:uiPriority w:val="99"/>
    <w:rsid w:val="0072442A"/>
    <w:pPr>
      <w:tabs>
        <w:tab w:val="clear" w:pos="198"/>
        <w:tab w:val="left" w:pos="284"/>
      </w:tabs>
      <w:ind w:left="284" w:hanging="284"/>
    </w:pPr>
  </w:style>
  <w:style w:type="character" w:customStyle="1" w:styleId="02PaperAuthorsChar">
    <w:name w:val="02 Paper Authors Char"/>
    <w:link w:val="02PaperAuthors"/>
    <w:uiPriority w:val="99"/>
    <w:locked/>
    <w:rsid w:val="006F62E9"/>
    <w:rPr>
      <w:b/>
      <w:noProof/>
      <w:sz w:val="22"/>
      <w:szCs w:val="22"/>
      <w:lang w:bidi="ar-SA"/>
    </w:rPr>
  </w:style>
  <w:style w:type="paragraph" w:styleId="BalloonText">
    <w:name w:val="Balloon Text"/>
    <w:basedOn w:val="Normal"/>
    <w:link w:val="BalloonTextChar"/>
    <w:uiPriority w:val="99"/>
    <w:rsid w:val="006F62E9"/>
    <w:rPr>
      <w:rFonts w:ascii="Tahoma" w:hAnsi="Tahoma"/>
      <w:sz w:val="16"/>
      <w:szCs w:val="16"/>
      <w:lang w:val="en-US" w:eastAsia="ja-JP"/>
    </w:rPr>
  </w:style>
  <w:style w:type="character" w:customStyle="1" w:styleId="BalloonTextChar">
    <w:name w:val="Balloon Text Char"/>
    <w:basedOn w:val="DefaultParagraphFont"/>
    <w:link w:val="BalloonText"/>
    <w:uiPriority w:val="99"/>
    <w:locked/>
    <w:rsid w:val="006F62E9"/>
    <w:rPr>
      <w:rFonts w:ascii="Tahoma" w:hAnsi="Tahoma" w:cs="Times New Roman"/>
      <w:sz w:val="16"/>
      <w:szCs w:val="16"/>
      <w:lang w:val="en-US" w:eastAsia="ja-JP"/>
    </w:rPr>
  </w:style>
  <w:style w:type="character" w:customStyle="1" w:styleId="08ArticleTextChar">
    <w:name w:val="08 Article Text Char"/>
    <w:link w:val="08ArticleText"/>
    <w:uiPriority w:val="99"/>
    <w:locked/>
    <w:rsid w:val="006F62E9"/>
    <w:rPr>
      <w:sz w:val="22"/>
      <w:szCs w:val="22"/>
      <w:lang w:bidi="ar-SA"/>
    </w:rPr>
  </w:style>
  <w:style w:type="character" w:customStyle="1" w:styleId="04AHeadingChar">
    <w:name w:val="04 A Heading Char"/>
    <w:link w:val="04AHeading"/>
    <w:uiPriority w:val="99"/>
    <w:locked/>
    <w:rsid w:val="006F62E9"/>
    <w:rPr>
      <w:b/>
      <w:sz w:val="22"/>
      <w:szCs w:val="22"/>
      <w:lang w:bidi="ar-SA"/>
    </w:rPr>
  </w:style>
  <w:style w:type="character" w:styleId="CommentReference">
    <w:name w:val="annotation reference"/>
    <w:basedOn w:val="DefaultParagraphFont"/>
    <w:uiPriority w:val="99"/>
    <w:rsid w:val="006F62E9"/>
    <w:rPr>
      <w:rFonts w:cs="Times New Roman"/>
      <w:sz w:val="16"/>
    </w:rPr>
  </w:style>
  <w:style w:type="paragraph" w:styleId="CommentText">
    <w:name w:val="annotation text"/>
    <w:basedOn w:val="Normal"/>
    <w:link w:val="CommentTextChar"/>
    <w:uiPriority w:val="99"/>
    <w:rsid w:val="006F62E9"/>
    <w:pPr>
      <w:spacing w:after="200"/>
    </w:pPr>
    <w:rPr>
      <w:rFonts w:ascii="Calibri" w:hAnsi="Calibri"/>
      <w:sz w:val="20"/>
      <w:lang w:val="en-US" w:eastAsia="ja-JP"/>
    </w:rPr>
  </w:style>
  <w:style w:type="character" w:customStyle="1" w:styleId="CommentTextChar">
    <w:name w:val="Comment Text Char"/>
    <w:basedOn w:val="DefaultParagraphFont"/>
    <w:link w:val="CommentText"/>
    <w:uiPriority w:val="99"/>
    <w:locked/>
    <w:rsid w:val="006F62E9"/>
    <w:rPr>
      <w:rFonts w:ascii="Calibri" w:hAnsi="Calibri" w:cs="Times New Roman"/>
      <w:lang w:val="en-US" w:eastAsia="ja-JP"/>
    </w:rPr>
  </w:style>
  <w:style w:type="character" w:customStyle="1" w:styleId="G4bTableBodyChar">
    <w:name w:val="G4b Table Body Char"/>
    <w:link w:val="G4bTableBody"/>
    <w:uiPriority w:val="99"/>
    <w:locked/>
    <w:rsid w:val="00CD117D"/>
    <w:rPr>
      <w:sz w:val="22"/>
      <w:szCs w:val="22"/>
      <w:lang w:bidi="ar-SA"/>
    </w:rPr>
  </w:style>
  <w:style w:type="character" w:customStyle="1" w:styleId="05BHeadingChar">
    <w:name w:val="05 B Heading Char"/>
    <w:link w:val="05BHeading"/>
    <w:uiPriority w:val="99"/>
    <w:locked/>
    <w:rsid w:val="00CD117D"/>
    <w:rPr>
      <w:b/>
      <w:sz w:val="22"/>
      <w:szCs w:val="22"/>
      <w:lang w:bidi="ar-SA"/>
    </w:rPr>
  </w:style>
  <w:style w:type="paragraph" w:customStyle="1" w:styleId="N1AuthorAddress">
    <w:name w:val="N1 Author Address"/>
    <w:basedOn w:val="Normal"/>
    <w:link w:val="N1AuthorAddressChar"/>
    <w:uiPriority w:val="99"/>
    <w:rsid w:val="00E8759F"/>
    <w:pPr>
      <w:spacing w:line="180" w:lineRule="exact"/>
      <w:jc w:val="both"/>
    </w:pPr>
    <w:rPr>
      <w:w w:val="105"/>
      <w:sz w:val="16"/>
    </w:rPr>
  </w:style>
  <w:style w:type="character" w:customStyle="1" w:styleId="N1AuthorAddressChar">
    <w:name w:val="N1 Author Address Char"/>
    <w:link w:val="N1AuthorAddress"/>
    <w:uiPriority w:val="99"/>
    <w:locked/>
    <w:rsid w:val="00E8759F"/>
    <w:rPr>
      <w:rFonts w:eastAsia="Times New Roman"/>
      <w:w w:val="105"/>
      <w:sz w:val="16"/>
    </w:rPr>
  </w:style>
  <w:style w:type="character" w:customStyle="1" w:styleId="N2FootnotesChar">
    <w:name w:val="N2 Footnotes Char"/>
    <w:link w:val="N2Footnotes"/>
    <w:uiPriority w:val="99"/>
    <w:locked/>
    <w:rsid w:val="00E8759F"/>
    <w:rPr>
      <w:noProof/>
      <w:sz w:val="22"/>
      <w:szCs w:val="22"/>
      <w:lang w:bidi="ar-SA"/>
    </w:rPr>
  </w:style>
  <w:style w:type="character" w:customStyle="1" w:styleId="N3ReferencesChar">
    <w:name w:val="N3 References Char"/>
    <w:link w:val="N3References"/>
    <w:uiPriority w:val="99"/>
    <w:locked/>
    <w:rsid w:val="00E8759F"/>
    <w:rPr>
      <w:noProof/>
      <w:sz w:val="22"/>
      <w:szCs w:val="22"/>
      <w:lang w:bidi="ar-SA"/>
    </w:rPr>
  </w:style>
  <w:style w:type="character" w:styleId="Hyperlink">
    <w:name w:val="Hyperlink"/>
    <w:basedOn w:val="DefaultParagraphFont"/>
    <w:uiPriority w:val="99"/>
    <w:rsid w:val="00E8759F"/>
    <w:rPr>
      <w:rFonts w:cs="Times New Roman"/>
      <w:color w:val="0000FF"/>
      <w:u w:val="single"/>
    </w:rPr>
  </w:style>
  <w:style w:type="paragraph" w:styleId="CommentSubject">
    <w:name w:val="annotation subject"/>
    <w:basedOn w:val="CommentText"/>
    <w:next w:val="CommentText"/>
    <w:link w:val="CommentSubjectChar"/>
    <w:uiPriority w:val="99"/>
    <w:rsid w:val="00277DD7"/>
    <w:pPr>
      <w:spacing w:after="0"/>
    </w:pPr>
    <w:rPr>
      <w:rFonts w:ascii="Times New Roman" w:hAnsi="Times New Roman"/>
      <w:b/>
      <w:bCs/>
      <w:lang w:val="en-GB" w:eastAsia="en-GB"/>
    </w:rPr>
  </w:style>
  <w:style w:type="character" w:customStyle="1" w:styleId="CommentSubjectChar">
    <w:name w:val="Comment Subject Char"/>
    <w:basedOn w:val="CommentTextChar"/>
    <w:link w:val="CommentSubject"/>
    <w:uiPriority w:val="99"/>
    <w:locked/>
    <w:rsid w:val="00277DD7"/>
    <w:rPr>
      <w:rFonts w:ascii="Calibri" w:hAnsi="Calibri" w:cs="Times New Roman"/>
      <w:b/>
      <w:bCs/>
      <w:lang w:val="en-US" w:eastAsia="ja-JP"/>
    </w:rPr>
  </w:style>
  <w:style w:type="character" w:customStyle="1" w:styleId="redtxts4">
    <w:name w:val="red_txt_s4"/>
    <w:basedOn w:val="DefaultParagraphFont"/>
    <w:uiPriority w:val="99"/>
    <w:rsid w:val="00442B2F"/>
    <w:rPr>
      <w:rFonts w:cs="Times New Roman"/>
    </w:rPr>
  </w:style>
  <w:style w:type="character" w:styleId="Strong">
    <w:name w:val="Strong"/>
    <w:basedOn w:val="DefaultParagraphFont"/>
    <w:uiPriority w:val="99"/>
    <w:qFormat/>
    <w:rsid w:val="00442B2F"/>
    <w:rPr>
      <w:rFonts w:cs="Times New Roman"/>
      <w:b/>
      <w:bCs/>
    </w:rPr>
  </w:style>
  <w:style w:type="paragraph" w:styleId="ListParagraph">
    <w:name w:val="List Paragraph"/>
    <w:basedOn w:val="Normal"/>
    <w:uiPriority w:val="99"/>
    <w:qFormat/>
    <w:rsid w:val="00442B2F"/>
    <w:pPr>
      <w:ind w:left="720"/>
      <w:contextualSpacing/>
    </w:pPr>
  </w:style>
  <w:style w:type="character" w:styleId="FollowedHyperlink">
    <w:name w:val="FollowedHyperlink"/>
    <w:basedOn w:val="DefaultParagraphFont"/>
    <w:uiPriority w:val="99"/>
    <w:semiHidden/>
    <w:rsid w:val="00751ED2"/>
    <w:rPr>
      <w:rFonts w:cs="Times New Roman"/>
      <w:color w:val="800080"/>
      <w:u w:val="single"/>
    </w:rPr>
  </w:style>
  <w:style w:type="paragraph" w:styleId="PlainText">
    <w:name w:val="Plain Text"/>
    <w:basedOn w:val="Normal"/>
    <w:link w:val="PlainTextChar"/>
    <w:uiPriority w:val="99"/>
    <w:semiHidden/>
    <w:unhideWhenUsed/>
    <w:rsid w:val="00F26A2E"/>
    <w:rPr>
      <w:rFonts w:ascii="Consolas" w:hAnsi="Consolas" w:cs="Consolas"/>
      <w:sz w:val="21"/>
      <w:szCs w:val="21"/>
    </w:rPr>
  </w:style>
  <w:style w:type="character" w:customStyle="1" w:styleId="PlainTextChar">
    <w:name w:val="Plain Text Char"/>
    <w:basedOn w:val="DefaultParagraphFont"/>
    <w:link w:val="PlainText"/>
    <w:uiPriority w:val="99"/>
    <w:semiHidden/>
    <w:rsid w:val="00F26A2E"/>
    <w:rPr>
      <w:rFonts w:ascii="Consolas" w:hAnsi="Consolas" w:cs="Consola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910147">
      <w:marLeft w:val="0"/>
      <w:marRight w:val="0"/>
      <w:marTop w:val="0"/>
      <w:marBottom w:val="0"/>
      <w:divBdr>
        <w:top w:val="none" w:sz="0" w:space="0" w:color="auto"/>
        <w:left w:val="none" w:sz="0" w:space="0" w:color="auto"/>
        <w:bottom w:val="none" w:sz="0" w:space="0" w:color="auto"/>
        <w:right w:val="none" w:sz="0" w:space="0" w:color="auto"/>
      </w:divBdr>
      <w:divsChild>
        <w:div w:id="813910146">
          <w:marLeft w:val="0"/>
          <w:marRight w:val="0"/>
          <w:marTop w:val="0"/>
          <w:marBottom w:val="0"/>
          <w:divBdr>
            <w:top w:val="none" w:sz="0" w:space="0" w:color="auto"/>
            <w:left w:val="none" w:sz="0" w:space="0" w:color="auto"/>
            <w:bottom w:val="none" w:sz="0" w:space="0" w:color="auto"/>
            <w:right w:val="none" w:sz="0" w:space="0" w:color="auto"/>
          </w:divBdr>
        </w:div>
        <w:div w:id="813910153">
          <w:marLeft w:val="0"/>
          <w:marRight w:val="0"/>
          <w:marTop w:val="0"/>
          <w:marBottom w:val="0"/>
          <w:divBdr>
            <w:top w:val="none" w:sz="0" w:space="0" w:color="auto"/>
            <w:left w:val="none" w:sz="0" w:space="0" w:color="auto"/>
            <w:bottom w:val="none" w:sz="0" w:space="0" w:color="auto"/>
            <w:right w:val="none" w:sz="0" w:space="0" w:color="auto"/>
          </w:divBdr>
          <w:divsChild>
            <w:div w:id="813910152">
              <w:marLeft w:val="0"/>
              <w:marRight w:val="0"/>
              <w:marTop w:val="0"/>
              <w:marBottom w:val="0"/>
              <w:divBdr>
                <w:top w:val="none" w:sz="0" w:space="0" w:color="auto"/>
                <w:left w:val="none" w:sz="0" w:space="0" w:color="auto"/>
                <w:bottom w:val="none" w:sz="0" w:space="0" w:color="auto"/>
                <w:right w:val="none" w:sz="0" w:space="0" w:color="auto"/>
              </w:divBdr>
            </w:div>
          </w:divsChild>
        </w:div>
        <w:div w:id="813910161">
          <w:marLeft w:val="0"/>
          <w:marRight w:val="0"/>
          <w:marTop w:val="0"/>
          <w:marBottom w:val="0"/>
          <w:divBdr>
            <w:top w:val="none" w:sz="0" w:space="0" w:color="auto"/>
            <w:left w:val="none" w:sz="0" w:space="0" w:color="auto"/>
            <w:bottom w:val="none" w:sz="0" w:space="0" w:color="auto"/>
            <w:right w:val="none" w:sz="0" w:space="0" w:color="auto"/>
          </w:divBdr>
          <w:divsChild>
            <w:div w:id="813910154">
              <w:marLeft w:val="0"/>
              <w:marRight w:val="0"/>
              <w:marTop w:val="0"/>
              <w:marBottom w:val="0"/>
              <w:divBdr>
                <w:top w:val="none" w:sz="0" w:space="0" w:color="auto"/>
                <w:left w:val="none" w:sz="0" w:space="0" w:color="auto"/>
                <w:bottom w:val="none" w:sz="0" w:space="0" w:color="auto"/>
                <w:right w:val="none" w:sz="0" w:space="0" w:color="auto"/>
              </w:divBdr>
              <w:divsChild>
                <w:div w:id="813910160">
                  <w:marLeft w:val="0"/>
                  <w:marRight w:val="0"/>
                  <w:marTop w:val="0"/>
                  <w:marBottom w:val="0"/>
                  <w:divBdr>
                    <w:top w:val="none" w:sz="0" w:space="0" w:color="auto"/>
                    <w:left w:val="none" w:sz="0" w:space="0" w:color="auto"/>
                    <w:bottom w:val="none" w:sz="0" w:space="0" w:color="auto"/>
                    <w:right w:val="none" w:sz="0" w:space="0" w:color="auto"/>
                  </w:divBdr>
                  <w:divsChild>
                    <w:div w:id="8139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10149">
      <w:marLeft w:val="0"/>
      <w:marRight w:val="0"/>
      <w:marTop w:val="0"/>
      <w:marBottom w:val="0"/>
      <w:divBdr>
        <w:top w:val="none" w:sz="0" w:space="0" w:color="auto"/>
        <w:left w:val="none" w:sz="0" w:space="0" w:color="auto"/>
        <w:bottom w:val="none" w:sz="0" w:space="0" w:color="auto"/>
        <w:right w:val="none" w:sz="0" w:space="0" w:color="auto"/>
      </w:divBdr>
      <w:divsChild>
        <w:div w:id="813910150">
          <w:marLeft w:val="0"/>
          <w:marRight w:val="0"/>
          <w:marTop w:val="0"/>
          <w:marBottom w:val="0"/>
          <w:divBdr>
            <w:top w:val="none" w:sz="0" w:space="0" w:color="auto"/>
            <w:left w:val="none" w:sz="0" w:space="0" w:color="auto"/>
            <w:bottom w:val="none" w:sz="0" w:space="0" w:color="auto"/>
            <w:right w:val="none" w:sz="0" w:space="0" w:color="auto"/>
          </w:divBdr>
          <w:divsChild>
            <w:div w:id="813910156">
              <w:marLeft w:val="0"/>
              <w:marRight w:val="0"/>
              <w:marTop w:val="0"/>
              <w:marBottom w:val="0"/>
              <w:divBdr>
                <w:top w:val="none" w:sz="0" w:space="0" w:color="auto"/>
                <w:left w:val="none" w:sz="0" w:space="0" w:color="auto"/>
                <w:bottom w:val="none" w:sz="0" w:space="0" w:color="auto"/>
                <w:right w:val="none" w:sz="0" w:space="0" w:color="auto"/>
              </w:divBdr>
              <w:divsChild>
                <w:div w:id="813910148">
                  <w:marLeft w:val="0"/>
                  <w:marRight w:val="0"/>
                  <w:marTop w:val="0"/>
                  <w:marBottom w:val="0"/>
                  <w:divBdr>
                    <w:top w:val="none" w:sz="0" w:space="0" w:color="auto"/>
                    <w:left w:val="none" w:sz="0" w:space="0" w:color="auto"/>
                    <w:bottom w:val="none" w:sz="0" w:space="0" w:color="auto"/>
                    <w:right w:val="none" w:sz="0" w:space="0" w:color="auto"/>
                  </w:divBdr>
                  <w:divsChild>
                    <w:div w:id="81391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0151">
          <w:marLeft w:val="0"/>
          <w:marRight w:val="0"/>
          <w:marTop w:val="0"/>
          <w:marBottom w:val="0"/>
          <w:divBdr>
            <w:top w:val="none" w:sz="0" w:space="0" w:color="auto"/>
            <w:left w:val="none" w:sz="0" w:space="0" w:color="auto"/>
            <w:bottom w:val="none" w:sz="0" w:space="0" w:color="auto"/>
            <w:right w:val="none" w:sz="0" w:space="0" w:color="auto"/>
          </w:divBdr>
          <w:divsChild>
            <w:div w:id="813910158">
              <w:marLeft w:val="0"/>
              <w:marRight w:val="0"/>
              <w:marTop w:val="0"/>
              <w:marBottom w:val="0"/>
              <w:divBdr>
                <w:top w:val="none" w:sz="0" w:space="0" w:color="auto"/>
                <w:left w:val="none" w:sz="0" w:space="0" w:color="auto"/>
                <w:bottom w:val="none" w:sz="0" w:space="0" w:color="auto"/>
                <w:right w:val="none" w:sz="0" w:space="0" w:color="auto"/>
              </w:divBdr>
            </w:div>
          </w:divsChild>
        </w:div>
        <w:div w:id="813910157">
          <w:marLeft w:val="0"/>
          <w:marRight w:val="0"/>
          <w:marTop w:val="0"/>
          <w:marBottom w:val="0"/>
          <w:divBdr>
            <w:top w:val="none" w:sz="0" w:space="0" w:color="auto"/>
            <w:left w:val="none" w:sz="0" w:space="0" w:color="auto"/>
            <w:bottom w:val="none" w:sz="0" w:space="0" w:color="auto"/>
            <w:right w:val="none" w:sz="0" w:space="0" w:color="auto"/>
          </w:divBdr>
        </w:div>
      </w:divsChild>
    </w:div>
    <w:div w:id="813910165">
      <w:marLeft w:val="0"/>
      <w:marRight w:val="0"/>
      <w:marTop w:val="0"/>
      <w:marBottom w:val="0"/>
      <w:divBdr>
        <w:top w:val="none" w:sz="0" w:space="0" w:color="auto"/>
        <w:left w:val="none" w:sz="0" w:space="0" w:color="auto"/>
        <w:bottom w:val="none" w:sz="0" w:space="0" w:color="auto"/>
        <w:right w:val="none" w:sz="0" w:space="0" w:color="auto"/>
      </w:divBdr>
      <w:divsChild>
        <w:div w:id="813910162">
          <w:marLeft w:val="0"/>
          <w:marRight w:val="0"/>
          <w:marTop w:val="0"/>
          <w:marBottom w:val="0"/>
          <w:divBdr>
            <w:top w:val="none" w:sz="0" w:space="0" w:color="auto"/>
            <w:left w:val="none" w:sz="0" w:space="0" w:color="auto"/>
            <w:bottom w:val="none" w:sz="0" w:space="0" w:color="auto"/>
            <w:right w:val="none" w:sz="0" w:space="0" w:color="auto"/>
          </w:divBdr>
        </w:div>
        <w:div w:id="813910163">
          <w:marLeft w:val="0"/>
          <w:marRight w:val="0"/>
          <w:marTop w:val="0"/>
          <w:marBottom w:val="0"/>
          <w:divBdr>
            <w:top w:val="none" w:sz="0" w:space="0" w:color="auto"/>
            <w:left w:val="none" w:sz="0" w:space="0" w:color="auto"/>
            <w:bottom w:val="none" w:sz="0" w:space="0" w:color="auto"/>
            <w:right w:val="none" w:sz="0" w:space="0" w:color="auto"/>
          </w:divBdr>
        </w:div>
        <w:div w:id="813910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5.tiff"/><Relationship Id="rId21" Type="http://schemas.openxmlformats.org/officeDocument/2006/relationships/image" Target="media/image6.tiff"/><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emf"/><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e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emf"/><Relationship Id="rId15" Type="http://schemas.openxmlformats.org/officeDocument/2006/relationships/header" Target="header4.xml"/><Relationship Id="rId16" Type="http://schemas.openxmlformats.org/officeDocument/2006/relationships/header" Target="header5.xm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37" Type="http://schemas.openxmlformats.org/officeDocument/2006/relationships/hyperlink" Target="mailto:ccaltagirone@unica.it" TargetMode="External"/><Relationship Id="rId38" Type="http://schemas.openxmlformats.org/officeDocument/2006/relationships/hyperlink" Target="mailto:philip.gale@soton.ac.uk" TargetMode="External"/><Relationship Id="rId39" Type="http://schemas.openxmlformats.org/officeDocument/2006/relationships/hyperlink" Target="http://pubs.rsc.org/en/journals/journal/nj" TargetMode="External"/><Relationship Id="rId40" Type="http://schemas.openxmlformats.org/officeDocument/2006/relationships/hyperlink" Target="http://pubs.rsc.org/en/journals/journal/ce" TargetMode="External"/><Relationship Id="rId41" Type="http://schemas.openxmlformats.org/officeDocument/2006/relationships/hyperlink" Target="http://pubs.rsc.org/en/journals/journal/ce" TargetMode="External"/><Relationship Id="rId42" Type="http://schemas.openxmlformats.org/officeDocument/2006/relationships/fontTable" Target="fontTable.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cardo\AppData\Roaming\Microsoft\Templates\RSC_W2007_ART_3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\Users\Riccardo\AppData\Roaming\Microsoft\Templates\RSC_W2007_ART_32.dotm</Template>
  <TotalTime>0</TotalTime>
  <Pages>13</Pages>
  <Words>6388</Words>
  <Characters>36412</Characters>
  <Application>Microsoft Macintosh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RSC Article Template (Version 3.2)</vt:lpstr>
    </vt:vector>
  </TitlesOfParts>
  <Company>Royal Society of Chemistry</Company>
  <LinksUpToDate>false</LinksUpToDate>
  <CharactersWithSpaces>42715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RSC Article Template (Version 3.2)</dc:title>
  <dc:creator>Riccardo</dc:creator>
  <dc:description>Design update</dc:description>
  <cp:lastModifiedBy>Philip Gale</cp:lastModifiedBy>
  <cp:revision>3</cp:revision>
  <cp:lastPrinted>2014-09-16T13:07:00Z</cp:lastPrinted>
  <dcterms:created xsi:type="dcterms:W3CDTF">2014-11-11T12:10:00Z</dcterms:created>
  <dcterms:modified xsi:type="dcterms:W3CDTF">2015-01-28T13:14:00Z</dcterms:modified>
</cp:coreProperties>
</file>