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D69CED" w14:textId="77777777" w:rsidR="00F62C8B" w:rsidRPr="007D1EFA" w:rsidRDefault="00F62C8B" w:rsidP="0053177A">
      <w:pPr>
        <w:spacing w:before="720" w:after="0" w:line="180" w:lineRule="exact"/>
        <w:rPr>
          <w:rFonts w:ascii="Myriad Pro" w:hAnsi="Myriad Pro"/>
          <w:b/>
          <w:sz w:val="14"/>
          <w:szCs w:val="14"/>
        </w:rPr>
      </w:pPr>
      <w:r w:rsidRPr="007D1EFA">
        <w:rPr>
          <w:rFonts w:ascii="Myriad Pro" w:hAnsi="Myriad Pro"/>
          <w:b/>
          <w:sz w:val="14"/>
          <w:szCs w:val="14"/>
        </w:rPr>
        <w:t>Cite this: DOI: 10.1039/x0xx00000x</w:t>
      </w:r>
    </w:p>
    <w:p w14:paraId="584EF601" w14:textId="77777777" w:rsidR="00F62C8B" w:rsidRPr="00CC12E6" w:rsidRDefault="00F62C8B" w:rsidP="0053177A">
      <w:pPr>
        <w:spacing w:before="800" w:after="0" w:line="180" w:lineRule="exact"/>
        <w:rPr>
          <w:rFonts w:ascii="Myriad Pro" w:hAnsi="Myriad Pro"/>
          <w:sz w:val="14"/>
          <w:szCs w:val="14"/>
        </w:rPr>
      </w:pPr>
      <w:r w:rsidRPr="00CC12E6">
        <w:rPr>
          <w:rFonts w:ascii="Myriad Pro" w:hAnsi="Myriad Pro"/>
          <w:sz w:val="14"/>
          <w:szCs w:val="14"/>
        </w:rPr>
        <w:t>Received 00</w:t>
      </w:r>
      <w:r w:rsidRPr="0092763E">
        <w:rPr>
          <w:rFonts w:ascii="Myriad Pro" w:hAnsi="Myriad Pro"/>
          <w:sz w:val="14"/>
          <w:szCs w:val="14"/>
        </w:rPr>
        <w:t>th</w:t>
      </w:r>
      <w:r w:rsidRPr="00CC12E6">
        <w:rPr>
          <w:rFonts w:ascii="Myriad Pro" w:hAnsi="Myriad Pro"/>
          <w:sz w:val="14"/>
          <w:szCs w:val="14"/>
        </w:rPr>
        <w:t xml:space="preserve"> January 2012,</w:t>
      </w:r>
    </w:p>
    <w:p w14:paraId="68407042" w14:textId="77777777" w:rsidR="00F62C8B" w:rsidRPr="00CC12E6" w:rsidRDefault="00F62C8B" w:rsidP="0053177A">
      <w:pPr>
        <w:spacing w:after="0" w:line="180" w:lineRule="exact"/>
        <w:rPr>
          <w:rFonts w:ascii="Myriad Pro" w:hAnsi="Myriad Pro"/>
          <w:sz w:val="14"/>
          <w:szCs w:val="14"/>
        </w:rPr>
      </w:pPr>
      <w:r w:rsidRPr="00CC12E6">
        <w:rPr>
          <w:rFonts w:ascii="Myriad Pro" w:hAnsi="Myriad Pro"/>
          <w:sz w:val="14"/>
          <w:szCs w:val="14"/>
        </w:rPr>
        <w:t>Accepted 00</w:t>
      </w:r>
      <w:r w:rsidRPr="0092763E">
        <w:rPr>
          <w:rFonts w:ascii="Myriad Pro" w:hAnsi="Myriad Pro"/>
          <w:sz w:val="14"/>
          <w:szCs w:val="14"/>
        </w:rPr>
        <w:t>th</w:t>
      </w:r>
      <w:r w:rsidRPr="00CC12E6">
        <w:rPr>
          <w:rFonts w:ascii="Myriad Pro" w:hAnsi="Myriad Pro"/>
          <w:sz w:val="14"/>
          <w:szCs w:val="14"/>
        </w:rPr>
        <w:t xml:space="preserve"> January 2012</w:t>
      </w:r>
    </w:p>
    <w:p w14:paraId="0B1F8366" w14:textId="77777777" w:rsidR="00F62C8B" w:rsidRPr="00CC12E6" w:rsidRDefault="00F62C8B" w:rsidP="0053177A">
      <w:pPr>
        <w:spacing w:before="180" w:after="0" w:line="180" w:lineRule="exact"/>
        <w:rPr>
          <w:rFonts w:ascii="Myriad Pro" w:hAnsi="Myriad Pro"/>
          <w:sz w:val="14"/>
          <w:szCs w:val="14"/>
        </w:rPr>
      </w:pPr>
      <w:r w:rsidRPr="00CC12E6">
        <w:rPr>
          <w:rFonts w:ascii="Myriad Pro" w:hAnsi="Myriad Pro"/>
          <w:sz w:val="14"/>
          <w:szCs w:val="14"/>
        </w:rPr>
        <w:t>DOI: 10.1039/x0xx00000x</w:t>
      </w:r>
    </w:p>
    <w:p w14:paraId="5300975A" w14:textId="77777777" w:rsidR="0053177A" w:rsidRDefault="00C27A41" w:rsidP="00E2136E">
      <w:pPr>
        <w:spacing w:before="200" w:after="480" w:line="180" w:lineRule="exact"/>
        <w:rPr>
          <w:rFonts w:ascii="Myriad Pro" w:hAnsi="Myriad Pro"/>
          <w:b/>
          <w:sz w:val="14"/>
          <w:szCs w:val="14"/>
        </w:rPr>
      </w:pPr>
      <w:proofErr w:type="gramStart"/>
      <w:r>
        <w:rPr>
          <w:rFonts w:ascii="Myriad Pro" w:hAnsi="Myriad Pro"/>
          <w:b/>
          <w:sz w:val="14"/>
          <w:szCs w:val="14"/>
        </w:rPr>
        <w:t>www.rsc.org</w:t>
      </w:r>
      <w:proofErr w:type="gramEnd"/>
      <w:r>
        <w:rPr>
          <w:rFonts w:ascii="Myriad Pro" w:hAnsi="Myriad Pro"/>
          <w:b/>
          <w:sz w:val="14"/>
          <w:szCs w:val="14"/>
        </w:rPr>
        <w:t>/</w:t>
      </w:r>
    </w:p>
    <w:p w14:paraId="58BB337B" w14:textId="418FA161" w:rsidR="00F62C8B" w:rsidRPr="00976E72" w:rsidRDefault="00F62C8B" w:rsidP="00AB16D0">
      <w:pPr>
        <w:pStyle w:val="01PaperTitle"/>
        <w:rPr>
          <w:rFonts w:ascii="Times New Roman" w:hAnsi="Times New Roman"/>
        </w:rPr>
      </w:pPr>
      <w:r>
        <w:br w:type="column"/>
      </w:r>
      <w:r w:rsidR="00B23A02">
        <w:rPr>
          <w:rFonts w:ascii="Times New Roman" w:hAnsi="Times New Roman"/>
        </w:rPr>
        <w:lastRenderedPageBreak/>
        <w:t xml:space="preserve">Aromatic </w:t>
      </w:r>
      <w:proofErr w:type="spellStart"/>
      <w:r w:rsidR="00B23A02">
        <w:rPr>
          <w:rFonts w:ascii="Times New Roman" w:hAnsi="Times New Roman"/>
        </w:rPr>
        <w:t>isophthalamides</w:t>
      </w:r>
      <w:proofErr w:type="spellEnd"/>
      <w:r w:rsidR="00B23A02">
        <w:rPr>
          <w:rFonts w:ascii="Times New Roman" w:hAnsi="Times New Roman"/>
        </w:rPr>
        <w:t xml:space="preserve"> aggregate in lipid b</w:t>
      </w:r>
      <w:r w:rsidR="002C71ED">
        <w:rPr>
          <w:rFonts w:ascii="Times New Roman" w:hAnsi="Times New Roman"/>
        </w:rPr>
        <w:t>ilayers:</w:t>
      </w:r>
      <w:r w:rsidR="00B23A02">
        <w:rPr>
          <w:rFonts w:ascii="Times New Roman" w:hAnsi="Times New Roman"/>
        </w:rPr>
        <w:t xml:space="preserve"> e</w:t>
      </w:r>
      <w:r w:rsidR="00406EC7">
        <w:rPr>
          <w:rFonts w:ascii="Times New Roman" w:hAnsi="Times New Roman"/>
        </w:rPr>
        <w:t xml:space="preserve">vidence for </w:t>
      </w:r>
      <w:r w:rsidR="00131265">
        <w:rPr>
          <w:rFonts w:ascii="Times New Roman" w:hAnsi="Times New Roman"/>
        </w:rPr>
        <w:t xml:space="preserve">a </w:t>
      </w:r>
      <w:r w:rsidR="00B23A02">
        <w:rPr>
          <w:rFonts w:ascii="Times New Roman" w:hAnsi="Times New Roman"/>
        </w:rPr>
        <w:t>cooperative transport m</w:t>
      </w:r>
      <w:r w:rsidR="00406EC7">
        <w:rPr>
          <w:rFonts w:ascii="Times New Roman" w:hAnsi="Times New Roman"/>
        </w:rPr>
        <w:t>echanism</w:t>
      </w:r>
    </w:p>
    <w:p w14:paraId="20B2E315" w14:textId="0E6F6C3E" w:rsidR="00017239" w:rsidRPr="00017239" w:rsidRDefault="004629CE" w:rsidP="00017239">
      <w:pPr>
        <w:pStyle w:val="02PaperAuthors"/>
        <w:spacing w:before="100" w:beforeAutospacing="1" w:after="100" w:afterAutospacing="1"/>
        <w:rPr>
          <w:rFonts w:ascii="Times New Roman" w:hAnsi="Times New Roman"/>
        </w:rPr>
      </w:pPr>
      <w:r>
        <w:rPr>
          <w:rFonts w:ascii="Times New Roman" w:hAnsi="Times New Roman"/>
        </w:rPr>
        <w:t>Stuart</w:t>
      </w:r>
      <w:r w:rsidR="0001065F">
        <w:rPr>
          <w:rFonts w:ascii="Times New Roman" w:hAnsi="Times New Roman"/>
        </w:rPr>
        <w:t xml:space="preserve"> N. </w:t>
      </w:r>
      <w:proofErr w:type="spellStart"/>
      <w:r w:rsidR="0001065F">
        <w:rPr>
          <w:rFonts w:ascii="Times New Roman" w:hAnsi="Times New Roman"/>
        </w:rPr>
        <w:t>Berry</w:t>
      </w:r>
      <w:proofErr w:type="gramStart"/>
      <w:r w:rsidR="00D4070D" w:rsidRPr="00976E72">
        <w:rPr>
          <w:rFonts w:ascii="Times New Roman" w:hAnsi="Times New Roman"/>
        </w:rPr>
        <w:t>,</w:t>
      </w:r>
      <w:r w:rsidR="00D4070D" w:rsidRPr="00976E72">
        <w:rPr>
          <w:rFonts w:ascii="Times New Roman" w:hAnsi="Times New Roman"/>
          <w:i/>
          <w:vertAlign w:val="superscript"/>
        </w:rPr>
        <w:t>a</w:t>
      </w:r>
      <w:proofErr w:type="spellEnd"/>
      <w:proofErr w:type="gramEnd"/>
      <w:r>
        <w:rPr>
          <w:rFonts w:ascii="Times New Roman" w:hAnsi="Times New Roman"/>
        </w:rPr>
        <w:t xml:space="preserve"> Nathalie</w:t>
      </w:r>
      <w:r w:rsidR="0001065F">
        <w:rPr>
          <w:rFonts w:ascii="Times New Roman" w:hAnsi="Times New Roman"/>
        </w:rPr>
        <w:t xml:space="preserve"> </w:t>
      </w:r>
      <w:proofErr w:type="spellStart"/>
      <w:r w:rsidR="0001065F">
        <w:rPr>
          <w:rFonts w:ascii="Times New Roman" w:hAnsi="Times New Roman"/>
        </w:rPr>
        <w:t>Busschaert,</w:t>
      </w:r>
      <w:r>
        <w:rPr>
          <w:rFonts w:ascii="Times New Roman" w:hAnsi="Times New Roman"/>
          <w:i/>
          <w:vertAlign w:val="superscript"/>
        </w:rPr>
        <w:t>a</w:t>
      </w:r>
      <w:proofErr w:type="spellEnd"/>
      <w:r>
        <w:rPr>
          <w:rFonts w:ascii="Times New Roman" w:hAnsi="Times New Roman"/>
        </w:rPr>
        <w:t xml:space="preserve"> Charlotte</w:t>
      </w:r>
      <w:r w:rsidR="0001065F">
        <w:rPr>
          <w:rFonts w:ascii="Times New Roman" w:hAnsi="Times New Roman"/>
        </w:rPr>
        <w:t xml:space="preserve"> L. </w:t>
      </w:r>
      <w:proofErr w:type="spellStart"/>
      <w:r w:rsidR="0001065F">
        <w:rPr>
          <w:rFonts w:ascii="Times New Roman" w:hAnsi="Times New Roman"/>
        </w:rPr>
        <w:t>Frankling,</w:t>
      </w:r>
      <w:r w:rsidRPr="004629CE">
        <w:rPr>
          <w:rFonts w:ascii="Times New Roman" w:hAnsi="Times New Roman"/>
          <w:i/>
          <w:vertAlign w:val="superscript"/>
        </w:rPr>
        <w:t>a</w:t>
      </w:r>
      <w:proofErr w:type="spellEnd"/>
      <w:r w:rsidR="0001065F">
        <w:rPr>
          <w:rFonts w:ascii="Times New Roman" w:hAnsi="Times New Roman"/>
        </w:rPr>
        <w:t xml:space="preserve"> D</w:t>
      </w:r>
      <w:r>
        <w:rPr>
          <w:rFonts w:ascii="Times New Roman" w:hAnsi="Times New Roman"/>
        </w:rPr>
        <w:t xml:space="preserve">ale </w:t>
      </w:r>
      <w:proofErr w:type="spellStart"/>
      <w:r>
        <w:rPr>
          <w:rFonts w:ascii="Times New Roman" w:hAnsi="Times New Roman"/>
        </w:rPr>
        <w:t>Salter,</w:t>
      </w:r>
      <w:r w:rsidRPr="004629CE">
        <w:rPr>
          <w:rFonts w:ascii="Times New Roman" w:hAnsi="Times New Roman"/>
          <w:i/>
          <w:vertAlign w:val="superscript"/>
        </w:rPr>
        <w:t>a</w:t>
      </w:r>
      <w:proofErr w:type="spellEnd"/>
      <w:r>
        <w:rPr>
          <w:rFonts w:ascii="Times New Roman" w:hAnsi="Times New Roman"/>
        </w:rPr>
        <w:t xml:space="preserve"> and Philip</w:t>
      </w:r>
      <w:r w:rsidR="0001065F">
        <w:rPr>
          <w:rFonts w:ascii="Times New Roman" w:hAnsi="Times New Roman"/>
        </w:rPr>
        <w:t xml:space="preserve"> A. Gale</w:t>
      </w:r>
      <w:r w:rsidRPr="004629CE">
        <w:rPr>
          <w:rFonts w:ascii="Times New Roman" w:hAnsi="Times New Roman"/>
          <w:i/>
          <w:vertAlign w:val="superscript"/>
        </w:rPr>
        <w:t xml:space="preserve"> a</w:t>
      </w:r>
      <w:r w:rsidR="00017239">
        <w:rPr>
          <w:rFonts w:ascii="Times New Roman" w:hAnsi="Times New Roman"/>
          <w:i/>
          <w:vertAlign w:val="superscript"/>
        </w:rPr>
        <w:t xml:space="preserve"> </w:t>
      </w:r>
      <w:r w:rsidR="00017239">
        <w:rPr>
          <w:rFonts w:ascii="Times New Roman" w:hAnsi="Times New Roman"/>
        </w:rPr>
        <w:t xml:space="preserve"> </w:t>
      </w:r>
    </w:p>
    <w:p w14:paraId="09BE579A" w14:textId="1426B6CB" w:rsidR="00017239" w:rsidRDefault="00B76DDB" w:rsidP="00017239">
      <w:pPr>
        <w:pStyle w:val="03Abstract"/>
        <w:spacing w:before="0" w:after="0"/>
        <w:rPr>
          <w:rStyle w:val="06CHeading"/>
          <w:b w:val="0"/>
          <w:smallCaps w:val="0"/>
        </w:rPr>
      </w:pPr>
      <w:r>
        <w:rPr>
          <w:rFonts w:ascii="Times New Roman" w:hAnsi="Times New Roman"/>
          <w:sz w:val="18"/>
          <w:szCs w:val="18"/>
        </w:rPr>
        <w:t xml:space="preserve">The synthesis and anion transport </w:t>
      </w:r>
      <w:r w:rsidR="00406EC7">
        <w:rPr>
          <w:rFonts w:ascii="Times New Roman" w:hAnsi="Times New Roman"/>
          <w:sz w:val="18"/>
          <w:szCs w:val="18"/>
        </w:rPr>
        <w:t>properties</w:t>
      </w:r>
      <w:r>
        <w:rPr>
          <w:rFonts w:ascii="Times New Roman" w:hAnsi="Times New Roman"/>
          <w:sz w:val="18"/>
          <w:szCs w:val="18"/>
        </w:rPr>
        <w:t xml:space="preserve"> of a series of increasingly aromatic </w:t>
      </w:r>
      <w:proofErr w:type="spellStart"/>
      <w:r>
        <w:rPr>
          <w:rFonts w:ascii="Times New Roman" w:hAnsi="Times New Roman"/>
          <w:sz w:val="18"/>
          <w:szCs w:val="18"/>
        </w:rPr>
        <w:t>transmembrane</w:t>
      </w:r>
      <w:proofErr w:type="spellEnd"/>
      <w:r>
        <w:rPr>
          <w:rFonts w:ascii="Times New Roman" w:hAnsi="Times New Roman"/>
          <w:sz w:val="18"/>
          <w:szCs w:val="18"/>
        </w:rPr>
        <w:t xml:space="preserve"> anion transporters</w:t>
      </w:r>
      <w:r w:rsidR="00406EC7">
        <w:rPr>
          <w:rFonts w:ascii="Times New Roman" w:hAnsi="Times New Roman"/>
          <w:sz w:val="18"/>
          <w:szCs w:val="18"/>
        </w:rPr>
        <w:t xml:space="preserve"> based on an </w:t>
      </w:r>
      <w:proofErr w:type="spellStart"/>
      <w:r w:rsidR="00406EC7">
        <w:rPr>
          <w:rFonts w:ascii="Times New Roman" w:hAnsi="Times New Roman"/>
          <w:sz w:val="18"/>
          <w:szCs w:val="18"/>
        </w:rPr>
        <w:t>isophthalamide</w:t>
      </w:r>
      <w:proofErr w:type="spellEnd"/>
      <w:r w:rsidR="00406EC7">
        <w:rPr>
          <w:rFonts w:ascii="Times New Roman" w:hAnsi="Times New Roman"/>
          <w:sz w:val="18"/>
          <w:szCs w:val="18"/>
        </w:rPr>
        <w:t xml:space="preserve"> scaffold</w:t>
      </w:r>
      <w:r>
        <w:rPr>
          <w:rFonts w:ascii="Times New Roman" w:hAnsi="Times New Roman"/>
          <w:sz w:val="18"/>
          <w:szCs w:val="18"/>
        </w:rPr>
        <w:t xml:space="preserve"> are reported. Through anion transport studies </w:t>
      </w:r>
      <w:r w:rsidR="00406EC7">
        <w:rPr>
          <w:rFonts w:ascii="Times New Roman" w:hAnsi="Times New Roman"/>
          <w:sz w:val="18"/>
          <w:szCs w:val="18"/>
        </w:rPr>
        <w:t>using</w:t>
      </w:r>
      <w:r>
        <w:rPr>
          <w:rFonts w:ascii="Times New Roman" w:hAnsi="Times New Roman"/>
          <w:sz w:val="18"/>
          <w:szCs w:val="18"/>
        </w:rPr>
        <w:t xml:space="preserve"> artificial vesicles, we note that these compound</w:t>
      </w:r>
      <w:r w:rsidR="00406EC7">
        <w:rPr>
          <w:rFonts w:ascii="Times New Roman" w:hAnsi="Times New Roman"/>
          <w:sz w:val="18"/>
          <w:szCs w:val="18"/>
        </w:rPr>
        <w:t>s have Hill coefficients &gt; 1</w:t>
      </w:r>
      <w:r>
        <w:rPr>
          <w:rFonts w:ascii="Times New Roman" w:hAnsi="Times New Roman"/>
          <w:sz w:val="18"/>
          <w:szCs w:val="18"/>
        </w:rPr>
        <w:t xml:space="preserve">. This is indicative of </w:t>
      </w:r>
      <w:r w:rsidR="00B92ABE">
        <w:rPr>
          <w:rFonts w:ascii="Times New Roman" w:hAnsi="Times New Roman"/>
          <w:sz w:val="18"/>
          <w:szCs w:val="18"/>
        </w:rPr>
        <w:t>higher order complex</w:t>
      </w:r>
      <w:r>
        <w:rPr>
          <w:rFonts w:ascii="Times New Roman" w:hAnsi="Times New Roman"/>
          <w:sz w:val="18"/>
          <w:szCs w:val="18"/>
        </w:rPr>
        <w:t xml:space="preserve"> form</w:t>
      </w:r>
      <w:r w:rsidR="00A40FD3">
        <w:rPr>
          <w:rFonts w:ascii="Times New Roman" w:hAnsi="Times New Roman"/>
          <w:sz w:val="18"/>
          <w:szCs w:val="18"/>
        </w:rPr>
        <w:t>ation, which suggests that the</w:t>
      </w:r>
      <w:r>
        <w:rPr>
          <w:rFonts w:ascii="Times New Roman" w:hAnsi="Times New Roman"/>
          <w:sz w:val="18"/>
          <w:szCs w:val="18"/>
        </w:rPr>
        <w:t xml:space="preserve"> compounds are not functioning</w:t>
      </w:r>
      <w:r w:rsidR="00406EC7">
        <w:rPr>
          <w:rFonts w:ascii="Times New Roman" w:hAnsi="Times New Roman"/>
          <w:sz w:val="18"/>
          <w:szCs w:val="18"/>
        </w:rPr>
        <w:t xml:space="preserve"> solely</w:t>
      </w:r>
      <w:r>
        <w:rPr>
          <w:rFonts w:ascii="Times New Roman" w:hAnsi="Times New Roman"/>
          <w:sz w:val="18"/>
          <w:szCs w:val="18"/>
        </w:rPr>
        <w:t xml:space="preserve"> as mobile carriers</w:t>
      </w:r>
      <w:r w:rsidR="00694649">
        <w:rPr>
          <w:rFonts w:ascii="Times New Roman" w:hAnsi="Times New Roman"/>
          <w:sz w:val="18"/>
          <w:szCs w:val="18"/>
        </w:rPr>
        <w:t xml:space="preserve"> and that a cooperative transport mechanism is being observed</w:t>
      </w:r>
      <w:r>
        <w:rPr>
          <w:rFonts w:ascii="Times New Roman" w:hAnsi="Times New Roman"/>
          <w:sz w:val="18"/>
          <w:szCs w:val="18"/>
        </w:rPr>
        <w:t>. Fluorescence spectroscopy is used to show</w:t>
      </w:r>
      <w:r w:rsidR="00DD2E1F">
        <w:rPr>
          <w:rFonts w:ascii="Times New Roman" w:hAnsi="Times New Roman"/>
          <w:sz w:val="18"/>
          <w:szCs w:val="18"/>
        </w:rPr>
        <w:t xml:space="preserve"> that the</w:t>
      </w:r>
      <w:r w:rsidR="00406EC7">
        <w:rPr>
          <w:rFonts w:ascii="Times New Roman" w:hAnsi="Times New Roman"/>
          <w:sz w:val="18"/>
          <w:szCs w:val="18"/>
        </w:rPr>
        <w:t xml:space="preserve"> compounds aggregate</w:t>
      </w:r>
      <w:r>
        <w:rPr>
          <w:rFonts w:ascii="Times New Roman" w:hAnsi="Times New Roman"/>
          <w:sz w:val="18"/>
          <w:szCs w:val="18"/>
        </w:rPr>
        <w:t xml:space="preserve"> in the </w:t>
      </w:r>
      <w:r w:rsidR="00694649">
        <w:rPr>
          <w:rFonts w:ascii="Times New Roman" w:hAnsi="Times New Roman"/>
          <w:sz w:val="18"/>
          <w:szCs w:val="18"/>
        </w:rPr>
        <w:t>phospholipid</w:t>
      </w:r>
      <w:r>
        <w:rPr>
          <w:rFonts w:ascii="Times New Roman" w:hAnsi="Times New Roman"/>
          <w:sz w:val="18"/>
          <w:szCs w:val="18"/>
        </w:rPr>
        <w:t xml:space="preserve"> bilayer, which </w:t>
      </w:r>
      <w:r w:rsidR="00694649">
        <w:rPr>
          <w:rFonts w:ascii="Times New Roman" w:hAnsi="Times New Roman"/>
          <w:sz w:val="18"/>
          <w:szCs w:val="18"/>
        </w:rPr>
        <w:t>provides evidence that</w:t>
      </w:r>
      <w:r>
        <w:rPr>
          <w:rFonts w:ascii="Times New Roman" w:hAnsi="Times New Roman"/>
          <w:sz w:val="18"/>
          <w:szCs w:val="18"/>
        </w:rPr>
        <w:t xml:space="preserve"> these compounds function as a self-assembled anion-</w:t>
      </w:r>
      <w:r w:rsidR="00406EC7">
        <w:rPr>
          <w:rFonts w:ascii="Times New Roman" w:hAnsi="Times New Roman"/>
          <w:sz w:val="18"/>
          <w:szCs w:val="18"/>
        </w:rPr>
        <w:t>conducting aggregate</w:t>
      </w:r>
      <w:r>
        <w:rPr>
          <w:rFonts w:ascii="Times New Roman" w:hAnsi="Times New Roman"/>
          <w:sz w:val="18"/>
          <w:szCs w:val="18"/>
        </w:rPr>
        <w:t>.</w:t>
      </w:r>
    </w:p>
    <w:p w14:paraId="6633608C" w14:textId="77777777" w:rsidR="00017239" w:rsidRDefault="00017239" w:rsidP="00017239">
      <w:pPr>
        <w:pStyle w:val="03Abstract"/>
        <w:spacing w:before="0" w:after="0"/>
      </w:pPr>
    </w:p>
    <w:p w14:paraId="5C0BBE23" w14:textId="77777777" w:rsidR="00017239" w:rsidRDefault="00017239" w:rsidP="00017239">
      <w:pPr>
        <w:pStyle w:val="03Abstract"/>
        <w:spacing w:before="0" w:after="0"/>
      </w:pPr>
    </w:p>
    <w:p w14:paraId="6FA42BF0" w14:textId="77777777" w:rsidR="00B76DDB" w:rsidRPr="00677179" w:rsidRDefault="00B76DDB" w:rsidP="00677179">
      <w:pPr>
        <w:pStyle w:val="03Abstract"/>
        <w:sectPr w:rsidR="00B76DDB" w:rsidRPr="00677179" w:rsidSect="00F62C8B">
          <w:headerReference w:type="even" r:id="rId9"/>
          <w:headerReference w:type="default" r:id="rId10"/>
          <w:footerReference w:type="even" r:id="rId11"/>
          <w:footerReference w:type="default" r:id="rId12"/>
          <w:headerReference w:type="first" r:id="rId13"/>
          <w:footerReference w:type="first" r:id="rId14"/>
          <w:pgSz w:w="11907" w:h="15593" w:code="9"/>
          <w:pgMar w:top="1009" w:right="851" w:bottom="1134" w:left="851" w:header="510" w:footer="510" w:gutter="0"/>
          <w:cols w:num="2" w:space="227" w:equalWidth="0">
            <w:col w:w="2381" w:space="227"/>
            <w:col w:w="7597"/>
          </w:cols>
          <w:titlePg/>
          <w:docGrid w:linePitch="360"/>
        </w:sectPr>
      </w:pPr>
    </w:p>
    <w:p w14:paraId="2ED28B87" w14:textId="76F3F763" w:rsidR="00101E6A" w:rsidRDefault="0001065F" w:rsidP="008B0A66">
      <w:pPr>
        <w:pStyle w:val="04AHeading"/>
        <w:spacing w:before="0" w:after="200"/>
        <w:rPr>
          <w:rFonts w:ascii="Times New Roman" w:hAnsi="Times New Roman"/>
        </w:rPr>
      </w:pPr>
      <w:r>
        <w:rPr>
          <w:rFonts w:ascii="Times New Roman" w:hAnsi="Times New Roman"/>
        </w:rPr>
        <w:lastRenderedPageBreak/>
        <w:t>Introduction</w:t>
      </w:r>
    </w:p>
    <w:p w14:paraId="5E3F7C0E" w14:textId="06C83857" w:rsidR="008B0A66" w:rsidRDefault="008B0A66" w:rsidP="008B0A66">
      <w:pPr>
        <w:pStyle w:val="08ArticleText"/>
      </w:pPr>
      <w:r>
        <w:t xml:space="preserve">The transport of anions across phospholipid bilayers is a </w:t>
      </w:r>
      <w:r w:rsidR="00684011">
        <w:t>fundamental</w:t>
      </w:r>
      <w:r>
        <w:t xml:space="preserve"> process in cell</w:t>
      </w:r>
      <w:r w:rsidR="00684011">
        <w:t>ular</w:t>
      </w:r>
      <w:r>
        <w:t xml:space="preserve"> signalling</w:t>
      </w:r>
      <w:r w:rsidR="00684011">
        <w:t>, regulating</w:t>
      </w:r>
      <w:r w:rsidR="00406EC7">
        <w:t xml:space="preserve"> biological</w:t>
      </w:r>
      <w:r w:rsidR="00684011">
        <w:t xml:space="preserve"> pH values and maintaining osmot</w:t>
      </w:r>
      <w:r w:rsidR="00406EC7">
        <w:t>ic balance. In N</w:t>
      </w:r>
      <w:r w:rsidR="00684011">
        <w:t xml:space="preserve">ature, </w:t>
      </w:r>
      <w:proofErr w:type="spellStart"/>
      <w:proofErr w:type="gramStart"/>
      <w:r w:rsidR="00AD6DD5">
        <w:t>transmembrane</w:t>
      </w:r>
      <w:proofErr w:type="spellEnd"/>
      <w:r w:rsidR="00AD6DD5">
        <w:t xml:space="preserve"> </w:t>
      </w:r>
      <w:r w:rsidR="00684011">
        <w:t>anion transport is</w:t>
      </w:r>
      <w:r w:rsidR="00092B63">
        <w:t xml:space="preserve"> mediated by protein</w:t>
      </w:r>
      <w:r w:rsidR="00131265">
        <w:t xml:space="preserve"> channel</w:t>
      </w:r>
      <w:r w:rsidR="00092B63">
        <w:t>s</w:t>
      </w:r>
      <w:r w:rsidR="00684011">
        <w:t xml:space="preserve"> that span the</w:t>
      </w:r>
      <w:r w:rsidR="00AD6DD5">
        <w:t xml:space="preserve"> lipid bilayer</w:t>
      </w:r>
      <w:r w:rsidR="00131265">
        <w:t xml:space="preserve"> membrane</w:t>
      </w:r>
      <w:proofErr w:type="gramEnd"/>
      <w:r>
        <w:t>.</w:t>
      </w:r>
      <w:r w:rsidR="00684011">
        <w:t xml:space="preserve"> Defects i</w:t>
      </w:r>
      <w:r w:rsidR="002A4BFD">
        <w:t>n</w:t>
      </w:r>
      <w:r w:rsidR="00684011">
        <w:t xml:space="preserve"> these proteins can result in diseases known as “channelopathies,”</w:t>
      </w:r>
      <w:r w:rsidR="00684011">
        <w:fldChar w:fldCharType="begin" w:fldLock="1"/>
      </w:r>
      <w:r w:rsidR="00684011">
        <w:instrText>ADDIN CSL_CITATION { "citationItems" : [ { "id" : "ITEM-1", "itemData" : { "author" : [ { "dropping-particle" : "", "family" : "Ashcroft", "given" : "F. M.", "non-dropping-particle" : "", "parse-names" : false, "suffix" : "" } ], "id" : "ITEM-1", "issued" : { "date-parts" : [ [ "2000" ] ] }, "publisher" : "Academic Press, San Diego", "title" : "Ion Channels and Disease", "type" : "book" }, "uris" : [ "http://www.mendeley.com/documents/?uuid=ab826269-1489-4def-814b-0bdde37ad4fc" ] } ], "mendeley" : { "formattedCitation" : "&lt;sup&gt;1&lt;/sup&gt;", "plainTextFormattedCitation" : "1", "previouslyFormattedCitation" : "&lt;sup&gt;1&lt;/sup&gt;" }, "properties" : { "noteIndex" : 0 }, "schema" : "https://github.com/citation-style-language/schema/raw/master/csl-citation.json" }</w:instrText>
      </w:r>
      <w:r w:rsidR="00684011">
        <w:fldChar w:fldCharType="separate"/>
      </w:r>
      <w:r w:rsidR="00684011" w:rsidRPr="00684011">
        <w:rPr>
          <w:noProof/>
          <w:vertAlign w:val="superscript"/>
        </w:rPr>
        <w:t>1</w:t>
      </w:r>
      <w:r w:rsidR="00684011">
        <w:fldChar w:fldCharType="end"/>
      </w:r>
      <w:r>
        <w:t xml:space="preserve"> </w:t>
      </w:r>
      <w:r w:rsidR="00684011">
        <w:t xml:space="preserve">examples of </w:t>
      </w:r>
      <w:r w:rsidR="00694649">
        <w:t>which</w:t>
      </w:r>
      <w:r w:rsidR="00684011">
        <w:t xml:space="preserve"> </w:t>
      </w:r>
      <w:r w:rsidR="004A3288">
        <w:t>include Cystic Fibrosis (CF), the renal disease Ba</w:t>
      </w:r>
      <w:r w:rsidR="001624E7">
        <w:t>r</w:t>
      </w:r>
      <w:r w:rsidR="004A3288">
        <w:t xml:space="preserve">tter’s syndrome, and some forms of </w:t>
      </w:r>
      <w:proofErr w:type="spellStart"/>
      <w:r w:rsidR="004A3288">
        <w:t>myotonia</w:t>
      </w:r>
      <w:proofErr w:type="spellEnd"/>
      <w:r w:rsidR="004A3288">
        <w:t>.</w:t>
      </w:r>
      <w:r w:rsidR="00684011">
        <w:t xml:space="preserve"> As a direct</w:t>
      </w:r>
      <w:r w:rsidR="00092B63">
        <w:t xml:space="preserve"> consequence of this,</w:t>
      </w:r>
      <w:r>
        <w:t xml:space="preserve"> </w:t>
      </w:r>
      <w:r w:rsidR="00131265">
        <w:t xml:space="preserve">a </w:t>
      </w:r>
      <w:r>
        <w:t xml:space="preserve">considerable amount of research has been conducted </w:t>
      </w:r>
      <w:r w:rsidR="00AD6DD5">
        <w:t xml:space="preserve">in recent </w:t>
      </w:r>
      <w:r w:rsidR="00131265">
        <w:t>years</w:t>
      </w:r>
      <w:r w:rsidR="00AD6DD5">
        <w:t xml:space="preserve"> to</w:t>
      </w:r>
      <w:r>
        <w:t xml:space="preserve"> create artificial channels and carriers capable of anion transport.</w:t>
      </w:r>
      <w:r w:rsidR="00684011">
        <w:fldChar w:fldCharType="begin" w:fldLock="1"/>
      </w:r>
      <w:r w:rsidR="00AD6DD5">
        <w:instrText>ADDIN CSL_CITATION { "citationItems" : [ { "id" : "ITEM-1", "itemData" : { "DOI" : "10.1002/anie.201207535", "ISSN" : "1521-3773", "PMID" : "23283851", "abstract" : "The development of small-molecule lipid-bilayer anion transporters for potential future use in channel replacement therapy for the treatment of diseases caused by dysregulation of anion transport (such as cystic fibrosis), and in treating cancer by perturbing chemical gradients within cells, thus triggering apoptosis, is an area of intense current interest. This Minireview looks at recent developments in the design of small-molecule transmembrane anion transporters and focuses on the progress so far in employing these compounds in biological systems.", "author" : [ { "dropping-particle" : "", "family" : "Busschaert", "given" : "Nathalie", "non-dropping-particle" : "", "parse-names" : false, "suffix" : "" }, { "dropping-particle" : "", "family" : "Gale", "given" : "Philip a", "non-dropping-particle" : "", "parse-names" : false, "suffix" : "" } ], "container-title" : "Angewandte Chemie (International ed. in English)", "id" : "ITEM-1", "issue" : "5", "issued" : { "date-parts" : [ [ "2013", "1", "28" ] ] }, "page" : "1374-82", "title" : "Small-molecule lipid-bilayer anion transporters for biological applications.", "type" : "article-journal", "volume" : "52" }, "uris" : [ "http://www.mendeley.com/documents/?uuid=7550ed64-110e-49d3-b090-13e53846e021" ] }, { "id" : "ITEM-2", "itemData" : { "DOI" : "10.1021/ar400019p", "ISSN" : "1520-4898", "PMID" : "23551251", "abstract" : "In this Account, we discuss the development of new lipid bilayer anion transporters based on the structure of anionophoric natural products (the prodigiosins) and purely synthetic supramolecular systems. We have studied the interaction of these compounds with human cancer cell lines, and, in general, the most active anion transporter compounds possess the greatest anti-cancer properties. Initially, we describe the anion transport properties of synthetic molecules that are based on the structure of the family of natural products known as the prodiginines. Obatoclax, for example, is a prodiginine derivative with an indole ring that is currently in clinical trials for use as an anti-cancer drug. The anion transport properties of the compounds were correlated with their toxicity toward small cell human lung cancer GLC4 cells. We studied related compounds with enamine moieties, tambjamines, that serve as active transporters. These molecules and others in this series could depolarize acidic compartments within GLC4 cells and trigger apoptosis. In a study of the variation of lipophilicity of a series of these compounds, we observed that, as log P increases, the anion transport efficiency reaches a peak and then decreases. In addition, we discuss the anion transport properties of series of synthetic supramolecular anion receptor species. We synthesized trisureas and thioureas based on the tren backbone, and found that the thiourea compounds effectively transport anions. Fluorination of the pendant phenyl groups in this series of compounds greatly enhances the transport properties. Similar to our earlier results, the most active anion transporters reduced the viability of human cancer cell lines by depolarizing acidic compartments in GLC4 cells and triggering apoptosis. In an attempt to produce simpler transporters that obey Lipinski's Rule of Five, we synthesized simpler systems containing a single urea or thiourea group. Once again the thiourea systems, and in particular a thiourea with a pendant indole group, transported anions efficiently. A series of related compounds containing a pendant trifluoromethyl group showed enhanced transport and significant anticancer properties. Researchers still need to determine of the exact mechanism of how these compounds depolarize acidic organelles within cancer cells. However, this work shows that these transporters based upon both natural products and purely synthetic supramolecular systems transport anions, depolarize a\u2026", "author" : [ { "dropping-particle" : "", "family" : "Gale", "given" : "Philip a", "non-dropping-particle" : "", "parse-names" : false, "suffix" : "" }, { "dropping-particle" : "", "family" : "P\u00e9rez-Tom\u00e1s", "given" : "Ricardo", "non-dropping-particle" : "", "parse-names" : false, "suffix" : "" }, { "dropping-particle" : "", "family" : "Quesada", "given" : "Roberto", "non-dropping-particle" : "", "parse-names" : false, "suffix" : "" } ], "container-title" : "Accounts of chemical research", "id" : "ITEM-2", "issue" : "12", "issued" : { "date-parts" : [ [ "2013", "12", "17" ] ] }, "page" : "2801-13", "title" : "Anion transporters and biological systems.", "type" : "article-journal", "volume" : "46" }, "uris" : [ "http://www.mendeley.com/documents/?uuid=3af7a6a2-2b56-4f45-8373-f21415f31169" ] }, { "id" : "ITEM-3", "itemData" : { "DOI" : "10.1039/c0cs00209g", "ISSN" : "1460-4744", "PMID" : "21390363", "abstract" : "This critical review covers progress with synthetic transport systems, particularly ion channels and pores, between January 2006 and December 2009 in a comprehensive manner. This is the third part of a series launched in the year 2000, covering a rich collection of structural and functional motifs that should appeal to a broad audience of non-specialists, including to organic, biological, supramolecular and polymer chemists. Impressive breakthroughs have been achieved over the past four years in part because of a fruitful expansion toward new types of interactions, including metal-organic, \u03c0-\u03c0, aromatic electron donor-acceptor, anion-\u03c0 or anion-macrodipole interactions as well as dynamic covalent bonds (169 references).", "author" : [ { "dropping-particle" : "", "family" : "Matile", "given" : "Stefan", "non-dropping-particle" : "", "parse-names" : false, "suffix" : "" }, { "dropping-particle" : "", "family" : "Vargas Jentzsch", "given" : "Andreas", "non-dropping-particle" : "", "parse-names" : false, "suffix" : "" }, { "dropping-particle" : "", "family" : "Montenegro", "given" : "Javier", "non-dropping-particle" : "", "parse-names" : false, "suffix" : "" }, { "dropping-particle" : "", "family" : "Fin", "given" : "Andrea", "non-dropping-particle" : "", "parse-names" : false, "suffix" : "" } ], "container-title" : "Chemical Society reviews", "id" : "ITEM-3", "issue" : "5", "issued" : { "date-parts" : [ [ "2011", "5" ] ] }, "page" : "2453-74", "title" : "Recent synthetic transport systems.", "type" : "article-journal", "volume" : "40" }, "uris" : [ "http://www.mendeley.com/documents/?uuid=f741807c-f0ab-4fe3-9593-e683baf33d33" ] } ], "mendeley" : { "formattedCitation" : "&lt;sup&gt;2\u20134&lt;/sup&gt;", "plainTextFormattedCitation" : "2\u20134", "previouslyFormattedCitation" : "&lt;sup&gt;2\u20134&lt;/sup&gt;" }, "properties" : { "noteIndex" : 0 }, "schema" : "https://github.com/citation-style-language/schema/raw/master/csl-citation.json" }</w:instrText>
      </w:r>
      <w:r w:rsidR="00684011">
        <w:fldChar w:fldCharType="separate"/>
      </w:r>
      <w:r w:rsidR="00684011" w:rsidRPr="00684011">
        <w:rPr>
          <w:noProof/>
          <w:vertAlign w:val="superscript"/>
        </w:rPr>
        <w:t>2–4</w:t>
      </w:r>
      <w:r w:rsidR="00684011">
        <w:fldChar w:fldCharType="end"/>
      </w:r>
    </w:p>
    <w:p w14:paraId="4486FFE6" w14:textId="0921E463" w:rsidR="008B0A66" w:rsidRDefault="008B0A66" w:rsidP="008B0A66">
      <w:pPr>
        <w:pStyle w:val="08ArticleText"/>
      </w:pPr>
      <w:r>
        <w:tab/>
      </w:r>
      <w:r w:rsidR="00AD6DD5">
        <w:t xml:space="preserve">One of the key anion binding </w:t>
      </w:r>
      <w:r w:rsidR="00131265">
        <w:t>motifs</w:t>
      </w:r>
      <w:r w:rsidR="00AD6DD5">
        <w:t xml:space="preserve"> in the </w:t>
      </w:r>
      <w:proofErr w:type="spellStart"/>
      <w:r w:rsidR="00AD6DD5">
        <w:t>supramolecular</w:t>
      </w:r>
      <w:proofErr w:type="spellEnd"/>
      <w:r w:rsidR="00AD6DD5">
        <w:t xml:space="preserve"> chemist</w:t>
      </w:r>
      <w:r w:rsidR="00131265">
        <w:t>’</w:t>
      </w:r>
      <w:r w:rsidR="00AD6DD5">
        <w:t xml:space="preserve">s arsenal is the </w:t>
      </w:r>
      <w:proofErr w:type="spellStart"/>
      <w:r w:rsidR="00AD6DD5">
        <w:t>isophthalamide</w:t>
      </w:r>
      <w:proofErr w:type="spellEnd"/>
      <w:r w:rsidR="00131265">
        <w:t xml:space="preserve"> group</w:t>
      </w:r>
      <w:r w:rsidR="00AD6DD5">
        <w:t xml:space="preserve">. Since </w:t>
      </w:r>
      <w:r w:rsidR="00C24A65">
        <w:t>this motif</w:t>
      </w:r>
      <w:r w:rsidR="006B2986">
        <w:t xml:space="preserve"> w</w:t>
      </w:r>
      <w:r w:rsidR="00C24A65">
        <w:t>as</w:t>
      </w:r>
      <w:r w:rsidR="00694649">
        <w:t xml:space="preserve"> first shown to bind halides </w:t>
      </w:r>
      <w:r w:rsidR="00AD6DD5">
        <w:t>by Crabtree</w:t>
      </w:r>
      <w:r w:rsidR="00406EC7">
        <w:t xml:space="preserve"> and co-workers,</w:t>
      </w:r>
      <w:r w:rsidR="00AD6DD5">
        <w:fldChar w:fldCharType="begin" w:fldLock="1"/>
      </w:r>
      <w:r w:rsidR="00A95E54">
        <w:instrText>ADDIN CSL_CITATION { "citationItems" : [ { "id" : "ITEM-1", "itemData" : { "author" : [ { "dropping-particle" : "", "family" : "Kavallieratos", "given" : "Konstantinos", "non-dropping-particle" : "", "parse-names" : false, "suffix" : "" }, { "dropping-particle" : "", "family" : "Gala", "given" : "Susan R", "non-dropping-particle" : "de", "parse-names" : false, "suffix" : "" }, { "dropping-particle" : "", "family" : "Austin", "given" : "David J", "non-dropping-particle" : "", "parse-names" : false, "suffix" : "" }, { "dropping-particle" : "", "family" : "Crabtree", "given" : "Robert H", "non-dropping-particle" : "", "parse-names" : false, "suffix" : "" } ], "container-title" : "J. Am. Chem. Soc.", "id" : "ITEM-1", "issue" : "2", "issued" : { "date-parts" : [ [ "1997" ] ] }, "page" : "2325-2326", "title" : "A Readily Available Non-preorganized Neutral Acyclic Halide Receptor with an Unusual Nonplanar Binding Conformation", "type" : "article-journal", "volume" : "119" }, "uris" : [ "http://www.mendeley.com/documents/?uuid=07b316b8-d09c-4ab4-8a51-a0de2d850b41" ] } ], "mendeley" : { "formattedCitation" : "&lt;sup&gt;5&lt;/sup&gt;", "plainTextFormattedCitation" : "5", "previouslyFormattedCitation" : "&lt;sup&gt;5&lt;/sup&gt;" }, "properties" : { "noteIndex" : 0 }, "schema" : "https://github.com/citation-style-language/schema/raw/master/csl-citation.json" }</w:instrText>
      </w:r>
      <w:r w:rsidR="00AD6DD5">
        <w:fldChar w:fldCharType="separate"/>
      </w:r>
      <w:r w:rsidR="00AD6DD5" w:rsidRPr="00AD6DD5">
        <w:rPr>
          <w:noProof/>
          <w:vertAlign w:val="superscript"/>
        </w:rPr>
        <w:t>5</w:t>
      </w:r>
      <w:r w:rsidR="00AD6DD5">
        <w:fldChar w:fldCharType="end"/>
      </w:r>
      <w:r w:rsidR="00AD6DD5">
        <w:t xml:space="preserve"> </w:t>
      </w:r>
      <w:r w:rsidR="00A95E54">
        <w:t xml:space="preserve">the hydrogen bond donating </w:t>
      </w:r>
      <w:r w:rsidR="00131265">
        <w:t xml:space="preserve">properties </w:t>
      </w:r>
      <w:r w:rsidR="006B2986">
        <w:t>of these systems</w:t>
      </w:r>
      <w:r w:rsidR="00406EC7">
        <w:t xml:space="preserve"> have been </w:t>
      </w:r>
      <w:r w:rsidR="00131265">
        <w:t>employed</w:t>
      </w:r>
      <w:r w:rsidR="00406EC7">
        <w:t xml:space="preserve"> </w:t>
      </w:r>
      <w:r w:rsidR="00131265">
        <w:t xml:space="preserve">in a variety of applications including </w:t>
      </w:r>
      <w:r w:rsidR="00A95E54">
        <w:t>anion sensing</w:t>
      </w:r>
      <w:r w:rsidR="00131265">
        <w:t xml:space="preserve"> and</w:t>
      </w:r>
      <w:r w:rsidR="00A95E54">
        <w:t xml:space="preserve"> transport.</w:t>
      </w:r>
      <w:r w:rsidR="00A95E54">
        <w:fldChar w:fldCharType="begin" w:fldLock="1"/>
      </w:r>
      <w:r w:rsidR="00E5081C">
        <w:instrText>ADDIN CSL_CITATION { "citationItems" : [ { "id" : "ITEM-1", "itemData" : { "DOI" : "10.1016/S0010-8545(02)00304-1", "ISSN" : "00108545", "abstract" : "This review article illustrates the contribution of amide based receptors to the development of anion complexing agents. Amides are incorporated into a wide variety of systems that can be divided into two broad categories; organic and inorganic. The first section is separated into cyclic and acyclic systems built on a solely organic framework. The second section is comprised of metal containing systems such as metallocenes, [Ru(bipy)3]2+ based complexes, porphyrins and other metallo-based receptors. Where appropriate, the results of solution binding studies and sensing outputs are summarized.", "author" : [ { "dropping-particle" : "", "family" : "Bondy", "given" : "Chantelle R.", "non-dropping-particle" : "", "parse-names" : false, "suffix" : "" }, { "dropping-particle" : "", "family" : "Loeb", "given" : "Stephen J.", "non-dropping-particle" : "", "parse-names" : false, "suffix" : "" } ], "container-title" : "Coordination Chemistry Reviews", "id" : "ITEM-1", "issue" : "1-2", "issued" : { "date-parts" : [ [ "2003", "5" ] ] }, "page" : "77-99", "title" : "Amide based receptors for anions", "type" : "article-journal", "volume" : "240" }, "uris" : [ "http://www.mendeley.com/documents/?uuid=d7f2d21f-4f95-45de-a80e-33dfb515b899" ] }, { "id" : "ITEM-2", "itemData" : { "DOI" : "10.1002/anie.200602006", "ISSN" : "1433-7851", "PMID" : "17072919", "abstract" : "Anion recognition is an active area of research in supramolecular chemistry. The rapidly increasing amount of structural data now allows anion coordination chemistry to be formalized in terms of coordination numbers and geometries based on hydrogen-bonding interactions between the host (ligand) and the guest (anion). This Minireview targets just one class of anion receptors, namely, amide-based ligands. The structural data for a series of five anion shapes are compiled according to coordination number, and distinct commonalities are observed within a given anion topology. The results also indicate a number of similarities between the coordination of anions and transition-metal ions.", "author" : [ { "dropping-particle" : "", "family" : "Kang", "given" : "Sung Ok", "non-dropping-particle" : "", "parse-names" : false, "suffix" : "" }, { "dropping-particle" : "", "family" : "Begum", "given" : "Rowshan Ara", "non-dropping-particle" : "", "parse-names" : false, "suffix" : "" }, { "dropping-particle" : "", "family" : "Bowman-James", "given" : "Kristin", "non-dropping-particle" : "", "parse-names" : false, "suffix" : "" } ], "container-title" : "Angewandte Chemie (International ed. in English)", "id" : "ITEM-2", "issue" : "47", "issued" : { "date-parts" : [ [ "2006", "12", "4" ] ] }, "page" : "7882-94", "title" : "Amide-based ligands for anion coordination.", "type" : "article-journal", "volume" : "45" }, "uris" : [ "http://www.mendeley.com/documents/?uuid=fcc29378-8bae-4f5a-aed0-1571a82cfac0" ] }, { "id" : "ITEM-3", "itemData" : { "DOI" : "10.1021/ja068067v", "ISSN" : "0002-7863", "PMID" : "17253691", "author" : [ { "dropping-particle" : "V", "family" : "Santacroce", "given" : "Paul", "non-dropping-particle" : "", "parse-names" : false, "suffix" : "" }, { "dropping-particle" : "", "family" : "Davis", "given" : "Jeffery T", "non-dropping-particle" : "", "parse-names" : false, "suffix" : "" }, { "dropping-particle" : "", "family" : "Light", "given" : "Mark E", "non-dropping-particle" : "", "parse-names" : false, "suffix" : "" }, { "dropping-particle" : "", "family" : "Gale", "given" : "Philip a", "non-dropping-particle" : "", "parse-names" : false, "suffix" : "" }, { "dropping-particle" : "", "family" : "Iglesias-Sanchez", "given" : "Jos\u00e9 Carlos", "non-dropping-particle" : "", "parse-names" : false, "suffix" : "" }, { "dropping-particle" : "", "family" : "Prados", "given" : "Pilar", "non-dropping-particle" : "", "parse-names" : false, "suffix" : "" }, { "dropping-particle" : "", "family" : "Quesada", "given" : "Roberto", "non-dropping-particle" : "", "parse-names" : false, "suffix" : "" } ], "container-title" : "Journal of the American Chemical Society", "id" : "ITEM-3", "issue" : "7", "issued" : { "date-parts" : [ [ "2007", "2", "21" ] ] }, "page" : "1886-7", "title" : "Conformational control of transmembrane Cl(-) transport.", "type" : "article-journal", "volume" : "129" }, "uris" : [ "http://www.mendeley.com/documents/?uuid=207c03c6-ee49-4c14-9325-e8b7f2c87cbf" ] } ], "mendeley" : { "formattedCitation" : "&lt;sup&gt;6\u20138&lt;/sup&gt;", "plainTextFormattedCitation" : "6\u20138", "previouslyFormattedCitation" : "&lt;sup&gt;6\u20138&lt;/sup&gt;" }, "properties" : { "noteIndex" : 0 }, "schema" : "https://github.com/citation-style-language/schema/raw/master/csl-citation.json" }</w:instrText>
      </w:r>
      <w:r w:rsidR="00A95E54">
        <w:fldChar w:fldCharType="separate"/>
      </w:r>
      <w:r w:rsidR="00A95E54" w:rsidRPr="00A95E54">
        <w:rPr>
          <w:noProof/>
          <w:vertAlign w:val="superscript"/>
        </w:rPr>
        <w:t>6–8</w:t>
      </w:r>
      <w:r w:rsidR="00A95E54">
        <w:fldChar w:fldCharType="end"/>
      </w:r>
      <w:r w:rsidR="00AD6DD5">
        <w:t xml:space="preserve"> </w:t>
      </w:r>
    </w:p>
    <w:p w14:paraId="3B6E0E89" w14:textId="1C74151D" w:rsidR="008B0A66" w:rsidRDefault="008B0A66" w:rsidP="008B0A66">
      <w:pPr>
        <w:pStyle w:val="08ArticleText"/>
      </w:pPr>
      <w:r>
        <w:tab/>
      </w:r>
      <w:r w:rsidR="00275689">
        <w:t xml:space="preserve">The anion transport properties of </w:t>
      </w:r>
      <w:proofErr w:type="spellStart"/>
      <w:r w:rsidR="00275689">
        <w:t>isophthalamide</w:t>
      </w:r>
      <w:proofErr w:type="spellEnd"/>
      <w:r w:rsidR="00275689">
        <w:t xml:space="preserve"> derivatives have been well established.</w:t>
      </w:r>
      <w:r w:rsidR="0069132F">
        <w:fldChar w:fldCharType="begin" w:fldLock="1"/>
      </w:r>
      <w:r w:rsidR="004A3288">
        <w:instrText>ADDIN CSL_CITATION { "citationItems" : [ { "id" : "ITEM-1", "itemData" : { "DOI" : "10.1021/ar100134p", "ISSN" : "1520-4898", "PMID" : "21207951", "abstract" : "Cystic fibrosis is the most well-known of a variety of diseases termed channelopathies, in which the regulation of ion transport across cell membranes is so disrupted that the threshold of a pathology is passed. The human toll exacted by these diseases has led a number of research groups, including our own, to create compounds that mediate ion transport across lipid bilayers. In this Account, we discuss three classes of synthetic compounds that were refined to bind and transport anions across lipid bilayer membranes. All of the compounds were originally designed as anion receptors, that is, species that would simply create stable complexes with anions, but were then further developed as transporters. By studying structurally simple systems and varying their properties to change the degree of preorganization, the affinity for anions, or the lipophilicity, we have begun to rationalize why particular anion transport mechanisms (cotransport or antiport processes) occur in particular cases. For example, we have studied the chloride transport properties of receptors based on the closely related structures of isophthalamide and pyridine-2,6-dicarboxamide: the central ring in each case was augmented with pendant methylimidazole groups designed to cotransport H(+) and Cl(-). We observed that the more preorganized pyridine-based receptor was the more efficient transporter, a finding replicated with a series of isophthalamides in which one contained hydroxyl groups designed to preorganize the receptor. This latter class of compound, together with the natural product prodigiosin, can transport bicarbonate (as part of a chloride/bicarbonate antiport process) across lipid bilayer membranes. We have also studied the membrane transport properties of calix[4]pyrroles. Although the parent meso-octamethylcalix[4]pyrrole functions solely as a Cs(+)/Cl(-) cotransporter, other compounds with increased anion affinities can function through an antiport process. One example is octafluoro-meso-octamethylcalix[4]pyrrole; with its electron-withdrawing substituents, it can operate through a chloride/bicarbonate antiport process. Moreover, calix[4]pyrroles with additional hydrogen bond donors can operate through a chloride/nitrate antiport process. Thus, increasing the affinity of the receptor in these cases allows the compound to transport an anion in the absence of a cation. Finally, we have studied the transport properties of simple thioureas and shown that these compounds are hi\u2026", "author" : [ { "dropping-particle" : "", "family" : "Gale", "given" : "Philip A", "non-dropping-particle" : "", "parse-names" : false, "suffix" : "" } ], "container-title" : "Accounts of chemical research", "id" : "ITEM-1", "issue" : "3", "issued" : { "date-parts" : [ [ "2011", "3", "15" ] ] }, "page" : "216-26", "publisher" : "American Chemical Society", "title" : "From anion receptors to transporters.", "type" : "article-journal", "volume" : "44" }, "uris" : [ "http://www.mendeley.com/documents/?uuid=4e1a3111-460a-4a79-9522-a7fa86bdb72b" ] }, { "id" : "ITEM-2", "itemData" : { "DOI" : "10.1021/ja304816e", "ISSN" : "1520-5126", "PMID" : "22862681", "abstract" : "Tris-arenes based on either isophthalic acid or 2,6-dipicolinic acid have been known for more than a decade to bind anions. Recent studies have also demonstrated their ability to transport various ions through membranes. In this report, we demonstrate two important properties of these simple diamides. First, they transport plasmid DNA into Escherichia coli about 2-fold over controls, where the ampicillin resistance gene is expressed in the bacteria. These studies were done with plasmid DNA (~2.6 kilobase (kb)) in JM109 E. coli cells. Second, known methods do not typically transport large plasmids (&gt;15 kb). We demonstrate here that transformation of large pVIB plasmids (i.e., &gt;20 kb) were enhanced over water controls by ~10-fold. These results are in striking contrast to the normal decrease in transformation with increasing plasmid size.", "author" : [ { "dropping-particle" : "", "family" : "Atkins", "given" : "Jason L", "non-dropping-particle" : "", "parse-names" : false, "suffix" : "" }, { "dropping-particle" : "", "family" : "Patel", "given" : "Mohit B", "non-dropping-particle" : "", "parse-names" : false, "suffix" : "" }, { "dropping-particle" : "", "family" : "Daschbach", "given" : "Megan M", "non-dropping-particle" : "", "parse-names" : false, "suffix" : "" }, { "dropping-particle" : "", "family" : "Meisel", "given" : "Joseph W", "non-dropping-particle" : "", "parse-names" : false, "suffix" : "" }, { "dropping-particle" : "", "family" : "Gokel", "given" : "George W", "non-dropping-particle" : "", "parse-names" : false, "suffix" : "" } ], "container-title" : "Journal of the American Chemical Society", "id" : "ITEM-2", "issue" : "33", "issued" : { "date-parts" : [ [ "2012", "8", "22" ] ] }, "page" : "13546-9", "title" : "Anion complexation and transport by isophthalamide and dipicolinamide derivatives: DNA plasmid transformation in E. coli.", "type" : "article-journal", "volume" : "134" }, "uris" : [ "http://www.mendeley.com/documents/?uuid=59ef3c3d-4bf8-410f-b3d6-609ff2cea8f6" ] } ], "mendeley" : { "formattedCitation" : "&lt;sup&gt;9,10&lt;/sup&gt;", "manualFormatting" : "8-10", "plainTextFormattedCitation" : "9,10", "previouslyFormattedCitation" : "&lt;sup&gt;9,10&lt;/sup&gt;" }, "properties" : { "noteIndex" : 0 }, "schema" : "https://github.com/citation-style-language/schema/raw/master/csl-citation.json" }</w:instrText>
      </w:r>
      <w:r w:rsidR="0069132F">
        <w:fldChar w:fldCharType="separate"/>
      </w:r>
      <w:r w:rsidR="005C1A32">
        <w:rPr>
          <w:noProof/>
          <w:vertAlign w:val="superscript"/>
        </w:rPr>
        <w:t>8-</w:t>
      </w:r>
      <w:r w:rsidR="0069132F" w:rsidRPr="0069132F">
        <w:rPr>
          <w:noProof/>
          <w:vertAlign w:val="superscript"/>
        </w:rPr>
        <w:t>10</w:t>
      </w:r>
      <w:r w:rsidR="0069132F">
        <w:fldChar w:fldCharType="end"/>
      </w:r>
      <w:r w:rsidR="00275689">
        <w:t xml:space="preserve"> </w:t>
      </w:r>
      <w:r>
        <w:t xml:space="preserve">Recently, </w:t>
      </w:r>
      <w:r w:rsidR="00275689">
        <w:t xml:space="preserve">Yang </w:t>
      </w:r>
      <w:r w:rsidR="00275689">
        <w:rPr>
          <w:i/>
        </w:rPr>
        <w:t>et al</w:t>
      </w:r>
      <w:r w:rsidR="00E5081C">
        <w:t xml:space="preserve">. reported an </w:t>
      </w:r>
      <w:proofErr w:type="spellStart"/>
      <w:r w:rsidR="00E5081C">
        <w:t>isophthalamide</w:t>
      </w:r>
      <w:proofErr w:type="spellEnd"/>
      <w:r w:rsidR="00E5081C">
        <w:t xml:space="preserve"> based on two </w:t>
      </w:r>
      <w:proofErr w:type="spellStart"/>
      <w:proofErr w:type="gramStart"/>
      <w:r w:rsidR="00E5081C" w:rsidRPr="00E5081C">
        <w:t>bis</w:t>
      </w:r>
      <w:proofErr w:type="spellEnd"/>
      <w:r w:rsidR="00E5081C" w:rsidRPr="00E5081C">
        <w:t>(</w:t>
      </w:r>
      <w:proofErr w:type="gramEnd"/>
      <w:r w:rsidR="00E5081C" w:rsidRPr="00E5081C">
        <w:rPr>
          <w:color w:val="000000"/>
        </w:rPr>
        <w:t>α-</w:t>
      </w:r>
      <w:proofErr w:type="spellStart"/>
      <w:r w:rsidR="00E5081C" w:rsidRPr="00E5081C">
        <w:rPr>
          <w:color w:val="000000"/>
        </w:rPr>
        <w:t>aminoxyamide</w:t>
      </w:r>
      <w:r w:rsidR="00E5081C">
        <w:rPr>
          <w:color w:val="000000"/>
        </w:rPr>
        <w:t>s</w:t>
      </w:r>
      <w:proofErr w:type="spellEnd"/>
      <w:r w:rsidR="00E5081C" w:rsidRPr="00E5081C">
        <w:rPr>
          <w:color w:val="000000"/>
        </w:rPr>
        <w:t>)</w:t>
      </w:r>
      <w:r w:rsidR="00741AB7">
        <w:rPr>
          <w:color w:val="000000"/>
        </w:rPr>
        <w:t xml:space="preserve"> as a </w:t>
      </w:r>
      <w:r w:rsidR="00E5081C">
        <w:rPr>
          <w:color w:val="000000"/>
        </w:rPr>
        <w:t xml:space="preserve">chloride transporter in both artificial vesicles and cell </w:t>
      </w:r>
      <w:r w:rsidR="00E5081C" w:rsidRPr="00E5081C">
        <w:rPr>
          <w:color w:val="000000"/>
        </w:rPr>
        <w:t>membranes.</w:t>
      </w:r>
      <w:r w:rsidR="00E5081C" w:rsidRPr="00E5081C">
        <w:rPr>
          <w:color w:val="000000"/>
        </w:rPr>
        <w:fldChar w:fldCharType="begin" w:fldLock="1"/>
      </w:r>
      <w:r w:rsidR="000D077F">
        <w:rPr>
          <w:color w:val="000000"/>
        </w:rPr>
        <w:instrText>ADDIN CSL_CITATION { "citationItems" : [ { "id" : "ITEM-1", "itemData" : { "DOI" : "10.1021/ja071961h", "ISSN" : "0002-7863", "PMID" : "17503826", "author" : [ { "dropping-particle" : "", "family" : "Li", "given" : "Xiang", "non-dropping-particle" : "", "parse-names" : false, "suffix" : "" }, { "dropping-particle" : "", "family" : "Shen", "given" : "Bing", "non-dropping-particle" : "", "parse-names" : false, "suffix" : "" }, { "dropping-particle" : "", "family" : "Yao", "given" : "Xiao-Qiang", "non-dropping-particle" : "", "parse-names" : false, "suffix" : "" }, { "dropping-particle" : "", "family" : "Yang", "given" : "Dan", "non-dropping-particle" : "", "parse-names" : false, "suffix" : "" } ], "container-title" : "Journal of the American Chemical Society", "id" : "ITEM-1", "issue" : "23", "issued" : { "date-parts" : [ [ "2007", "6", "13" ] ] }, "page" : "7264-5", "title" : "A Small synthetic molecule forms chloride channels to mediate chloride transport across cell membranes.", "type" : "article-journal", "volume" : "129" }, "uris" : [ "http://www.mendeley.com/documents/?uuid=3bfce754-a712-4cca-b9f3-99ec36d1091b" ] } ], "mendeley" : { "formattedCitation" : "&lt;sup&gt;11&lt;/sup&gt;", "plainTextFormattedCitation" : "11", "previouslyFormattedCitation" : "&lt;sup&gt;11&lt;/sup&gt;" }, "properties" : { "noteIndex" : 0 }, "schema" : "https://github.com/citation-style-language/schema/raw/master/csl-citation.json" }</w:instrText>
      </w:r>
      <w:r w:rsidR="00E5081C" w:rsidRPr="00E5081C">
        <w:rPr>
          <w:color w:val="000000"/>
        </w:rPr>
        <w:fldChar w:fldCharType="separate"/>
      </w:r>
      <w:r w:rsidR="0069132F" w:rsidRPr="0069132F">
        <w:rPr>
          <w:noProof/>
          <w:color w:val="000000"/>
          <w:vertAlign w:val="superscript"/>
        </w:rPr>
        <w:t>11</w:t>
      </w:r>
      <w:r w:rsidR="00E5081C" w:rsidRPr="00E5081C">
        <w:rPr>
          <w:color w:val="000000"/>
        </w:rPr>
        <w:fldChar w:fldCharType="end"/>
      </w:r>
      <w:r w:rsidR="00E5081C">
        <w:rPr>
          <w:color w:val="000000"/>
        </w:rPr>
        <w:t xml:space="preserve"> </w:t>
      </w:r>
      <w:r w:rsidR="00E5081C" w:rsidRPr="00E5081C">
        <w:rPr>
          <w:color w:val="000000"/>
        </w:rPr>
        <w:t xml:space="preserve">Furthermore, they </w:t>
      </w:r>
      <w:r w:rsidR="00110E1C">
        <w:rPr>
          <w:color w:val="000000"/>
        </w:rPr>
        <w:t>propose</w:t>
      </w:r>
      <w:r w:rsidR="00E5081C" w:rsidRPr="00E5081C">
        <w:rPr>
          <w:color w:val="000000"/>
        </w:rPr>
        <w:t xml:space="preserve"> that th</w:t>
      </w:r>
      <w:r w:rsidR="00E5081C">
        <w:rPr>
          <w:color w:val="000000"/>
        </w:rPr>
        <w:t>is compoun</w:t>
      </w:r>
      <w:r w:rsidR="00741AB7">
        <w:rPr>
          <w:color w:val="000000"/>
        </w:rPr>
        <w:t>d functions by forming membrane</w:t>
      </w:r>
      <w:r w:rsidR="006140A6">
        <w:rPr>
          <w:color w:val="000000"/>
        </w:rPr>
        <w:t>-</w:t>
      </w:r>
      <w:r w:rsidR="00E5081C">
        <w:rPr>
          <w:color w:val="000000"/>
        </w:rPr>
        <w:t>spanning channels.</w:t>
      </w:r>
      <w:r w:rsidR="00741AB7">
        <w:rPr>
          <w:color w:val="000000"/>
        </w:rPr>
        <w:t xml:space="preserve"> Remarkably, this compound was later shown to exhibit biological activity by restoring chloride conductance in human Cystic Fibrosis epithelial cells.</w:t>
      </w:r>
      <w:r w:rsidR="00741AB7">
        <w:rPr>
          <w:color w:val="000000"/>
        </w:rPr>
        <w:fldChar w:fldCharType="begin" w:fldLock="1"/>
      </w:r>
      <w:r w:rsidR="000D077F">
        <w:rPr>
          <w:color w:val="000000"/>
        </w:rPr>
        <w:instrText>ADDIN CSL_CITATION { "citationItems" : [ { "id" : "ITEM-1", "itemData" : { "DOI" : "10.1371/journal.pone.0034694", "ISSN" : "1932-6203", "PMID" : "22514656", "abstract" : "Mutations in the gene-encoding cystic fibrosis transmembrane conductance regulator (CFTR) cause defective transepithelial transport of chloride (Cl(-)) ions and fluid, thereby becoming responsible for the onset of cystic fibrosis (CF). One strategy to reduce the pathophysiology associated with CF is to increase Cl(-) transport through alternative pathways. In this paper, we demonstrate that a small synthetic molecule which forms Cl(-) channels to mediate Cl(-) transport across lipid bilayer membranes is capable of restoring Cl(-) permeability in human CF epithelial cells; as a result, it has the potential to become a lead compound for the treatment of human diseases associated with Cl(-) channel dysfunction.", "author" : [ { "dropping-particle" : "", "family" : "Shen", "given" : "Bing", "non-dropping-particle" : "", "parse-names" : false, "suffix" : "" }, { "dropping-particle" : "", "family" : "Li", "given" : "Xiang", "non-dropping-particle" : "", "parse-names" : false, "suffix" : "" }, { "dropping-particle" : "", "family" : "Wang", "given" : "Fei", "non-dropping-particle" : "", "parse-names" : false, "suffix" : "" }, { "dropping-particle" : "", "family" : "Yao", "given" : "Xiaoqiang", "non-dropping-particle" : "", "parse-names" : false, "suffix" : "" }, { "dropping-particle" : "", "family" : "Yang", "given" : "Dan", "non-dropping-particle" : "", "parse-names" : false, "suffix" : "" } ], "container-title" : "PloS one", "id" : "ITEM-1", "issue" : "4", "issued" : { "date-parts" : [ [ "2012", "1" ] ] }, "page" : "e34694", "title" : "A synthetic chloride channel restores chloride conductance in human cystic fibrosis epithelial cells.", "type" : "article-journal", "volume" : "7" }, "uris" : [ "http://www.mendeley.com/documents/?uuid=fdb66add-95dc-48ac-9319-40a08bd2af4d" ] } ], "mendeley" : { "formattedCitation" : "&lt;sup&gt;12&lt;/sup&gt;", "plainTextFormattedCitation" : "12", "previouslyFormattedCitation" : "&lt;sup&gt;12&lt;/sup&gt;" }, "properties" : { "noteIndex" : 0 }, "schema" : "https://github.com/citation-style-language/schema/raw/master/csl-citation.json" }</w:instrText>
      </w:r>
      <w:r w:rsidR="00741AB7">
        <w:rPr>
          <w:color w:val="000000"/>
        </w:rPr>
        <w:fldChar w:fldCharType="separate"/>
      </w:r>
      <w:r w:rsidR="0069132F" w:rsidRPr="0069132F">
        <w:rPr>
          <w:noProof/>
          <w:color w:val="000000"/>
          <w:vertAlign w:val="superscript"/>
        </w:rPr>
        <w:t>12</w:t>
      </w:r>
      <w:r w:rsidR="00741AB7">
        <w:rPr>
          <w:color w:val="000000"/>
        </w:rPr>
        <w:fldChar w:fldCharType="end"/>
      </w:r>
      <w:r w:rsidR="00741AB7">
        <w:rPr>
          <w:color w:val="000000"/>
        </w:rPr>
        <w:t xml:space="preserve"> </w:t>
      </w:r>
      <w:r w:rsidR="00694649">
        <w:rPr>
          <w:color w:val="000000"/>
        </w:rPr>
        <w:t xml:space="preserve">Further to this, </w:t>
      </w:r>
      <w:proofErr w:type="spellStart"/>
      <w:r w:rsidR="00694649">
        <w:rPr>
          <w:color w:val="000000"/>
        </w:rPr>
        <w:t>Gokel</w:t>
      </w:r>
      <w:proofErr w:type="spellEnd"/>
      <w:r w:rsidR="00694649">
        <w:rPr>
          <w:color w:val="000000"/>
        </w:rPr>
        <w:t xml:space="preserve"> and co-workers recently reported a series of structurally simple anion transporters based on </w:t>
      </w:r>
      <w:proofErr w:type="spellStart"/>
      <w:r w:rsidR="00694649">
        <w:rPr>
          <w:color w:val="000000"/>
        </w:rPr>
        <w:t>isophthalamides</w:t>
      </w:r>
      <w:proofErr w:type="spellEnd"/>
      <w:r w:rsidR="00694649">
        <w:rPr>
          <w:color w:val="000000"/>
        </w:rPr>
        <w:t xml:space="preserve"> and their pyridine </w:t>
      </w:r>
      <w:r w:rsidR="005C1A32">
        <w:rPr>
          <w:color w:val="000000"/>
        </w:rPr>
        <w:t>analogues</w:t>
      </w:r>
      <w:r w:rsidR="00694649">
        <w:rPr>
          <w:color w:val="000000"/>
        </w:rPr>
        <w:t xml:space="preserve"> and also </w:t>
      </w:r>
      <w:r w:rsidR="00110E1C">
        <w:rPr>
          <w:color w:val="000000"/>
        </w:rPr>
        <w:t>proposed</w:t>
      </w:r>
      <w:r w:rsidR="00694649">
        <w:rPr>
          <w:color w:val="000000"/>
        </w:rPr>
        <w:t xml:space="preserve"> </w:t>
      </w:r>
      <w:r w:rsidR="00741AB7">
        <w:rPr>
          <w:color w:val="000000"/>
        </w:rPr>
        <w:t xml:space="preserve">that these compounds were </w:t>
      </w:r>
      <w:r w:rsidR="007957DF">
        <w:rPr>
          <w:color w:val="000000"/>
        </w:rPr>
        <w:lastRenderedPageBreak/>
        <w:t>aggregating</w:t>
      </w:r>
      <w:r w:rsidR="00741AB7">
        <w:rPr>
          <w:color w:val="000000"/>
        </w:rPr>
        <w:t xml:space="preserve"> into membrane spanning pores.</w:t>
      </w:r>
      <w:r w:rsidR="00741AB7">
        <w:rPr>
          <w:color w:val="000000"/>
        </w:rPr>
        <w:fldChar w:fldCharType="begin" w:fldLock="1"/>
      </w:r>
      <w:r w:rsidR="000D077F">
        <w:rPr>
          <w:color w:val="000000"/>
        </w:rPr>
        <w:instrText>ADDIN CSL_CITATION { "citationItems" : [ { "id" : "ITEM-1", "itemData" : { "DOI" : "10.1039/b924812a", "ISSN" : "1364-548X", "PMID" : "20369200", "abstract" : "We report that N(2),N(6)-bis(4-nitrophenyl)pyridine-2,6-dicarboxamide, which is related to known isophthalic acid dianilides, transports Cl(-) ions through phospholipid bilayer membranes and shows clear evidence of channel activity.", "author" : [ { "dropping-particle" : "", "family" : "Yamnitz", "given" : "Carl R", "non-dropping-particle" : "", "parse-names" : false, "suffix" : "" }, { "dropping-particle" : "", "family" : "Negin", "given" : "Saeedeh", "non-dropping-particle" : "", "parse-names" : false, "suffix" : "" }, { "dropping-particle" : "", "family" : "Carasel", "given" : "I Alexandru", "non-dropping-particle" : "", "parse-names" : false, "suffix" : "" }, { "dropping-particle" : "", "family" : "Winter", "given" : "Rudolph K", "non-dropping-particle" : "", "parse-names" : false, "suffix" : "" }, { "dropping-particle" : "", "family" : "Gokel", "given" : "George W", "non-dropping-particle" : "", "parse-names" : false, "suffix" : "" } ], "container-title" : "Chemical communications (Cambridge, England)", "id" : "ITEM-1", "issue" : "16", "issued" : { "date-parts" : [ [ "2010", "4", "28" ] ] }, "page" : "2838-40", "title" : "Dianilides of dipicolinic acid function as synthetic chloride channels.", "type" : "article-journal", "volume" : "46" }, "uris" : [ "http://www.mendeley.com/documents/?uuid=0c692bb9-5002-44f3-a5d6-776c1e4368e1" ] } ], "mendeley" : { "formattedCitation" : "&lt;sup&gt;13&lt;/sup&gt;", "plainTextFormattedCitation" : "13", "previouslyFormattedCitation" : "&lt;sup&gt;13&lt;/sup&gt;" }, "properties" : { "noteIndex" : 0 }, "schema" : "https://github.com/citation-style-language/schema/raw/master/csl-citation.json" }</w:instrText>
      </w:r>
      <w:r w:rsidR="00741AB7">
        <w:rPr>
          <w:color w:val="000000"/>
        </w:rPr>
        <w:fldChar w:fldCharType="separate"/>
      </w:r>
      <w:r w:rsidR="0069132F" w:rsidRPr="0069132F">
        <w:rPr>
          <w:noProof/>
          <w:color w:val="000000"/>
          <w:vertAlign w:val="superscript"/>
        </w:rPr>
        <w:t>13</w:t>
      </w:r>
      <w:r w:rsidR="00741AB7">
        <w:rPr>
          <w:color w:val="000000"/>
        </w:rPr>
        <w:fldChar w:fldCharType="end"/>
      </w:r>
      <w:r w:rsidR="00741AB7">
        <w:rPr>
          <w:color w:val="000000"/>
        </w:rPr>
        <w:t xml:space="preserve"> Presumably, for </w:t>
      </w:r>
      <w:proofErr w:type="spellStart"/>
      <w:r w:rsidR="00741AB7">
        <w:rPr>
          <w:color w:val="000000"/>
        </w:rPr>
        <w:t>isophthalamides</w:t>
      </w:r>
      <w:proofErr w:type="spellEnd"/>
      <w:r w:rsidR="00741AB7">
        <w:rPr>
          <w:color w:val="000000"/>
        </w:rPr>
        <w:t xml:space="preserve"> and related structures to function as </w:t>
      </w:r>
      <w:r w:rsidR="0034384F">
        <w:rPr>
          <w:color w:val="000000"/>
        </w:rPr>
        <w:t>anion conducting</w:t>
      </w:r>
      <w:r w:rsidR="00741AB7">
        <w:rPr>
          <w:color w:val="000000"/>
        </w:rPr>
        <w:t xml:space="preserve"> pores instead of</w:t>
      </w:r>
      <w:r w:rsidR="007957DF">
        <w:rPr>
          <w:color w:val="000000"/>
        </w:rPr>
        <w:t xml:space="preserve"> as</w:t>
      </w:r>
      <w:r w:rsidR="00741AB7">
        <w:rPr>
          <w:color w:val="000000"/>
        </w:rPr>
        <w:t xml:space="preserve"> mobile anion carriers</w:t>
      </w:r>
      <w:r w:rsidR="000D077F">
        <w:rPr>
          <w:color w:val="000000"/>
        </w:rPr>
        <w:fldChar w:fldCharType="begin" w:fldLock="1"/>
      </w:r>
      <w:r w:rsidR="009B64D6">
        <w:rPr>
          <w:color w:val="000000"/>
        </w:rPr>
        <w:instrText>ADDIN CSL_CITATION { "citationItems" : [ { "id" : "ITEM-1", "itemData" : { "DOI" : "10.1039/b512651g", "ISSN" : "0306-0012", "PMID" : "17264935", "abstract" : "The development of low molecular weight anion transporters is an emerging topic in supramolecular chemistry. The major focus of this tutorial review is on synthetic chloride transport systems that operate in vesicle and cell membranes. The transporters alter transmembrane concentration gradients, and thus they have applications as reagents for cell biology research and as potential chemotherapeutic agents. The molecular designs include monomolecular channels, self-assembled channels and mobile carriers. Also discussed are the experimental assays that measure transport rates across model bilayer membranes.", "author" : [ { "dropping-particle" : "", "family" : "Davis", "given" : "Anthony P", "non-dropping-particle" : "", "parse-names" : false, "suffix" : "" }, { "dropping-particle" : "", "family" : "Sheppard", "given" : "David N", "non-dropping-particle" : "", "parse-names" : false, "suffix" : "" }, { "dropping-particle" : "", "family" : "Smith", "given" : "Bradley D", "non-dropping-particle" : "", "parse-names" : false, "suffix" : "" } ], "container-title" : "Chemical Society reviews", "id" : "ITEM-1", "issue" : "2", "issued" : { "date-parts" : [ [ "2007", "2", "30" ] ] }, "page" : "348-57", "publisher" : "The Royal Society of Chemistry", "title" : "Development of synthetic membrane transporters for anions.", "type" : "article-journal", "volume" : "36" }, "uris" : [ "http://www.mendeley.com/documents/?uuid=f4dcc52c-07cd-4203-a8c8-a53ef1db6bf2" ] } ], "mendeley" : { "formattedCitation" : "&lt;sup&gt;14&lt;/sup&gt;", "plainTextFormattedCitation" : "14", "previouslyFormattedCitation" : "&lt;sup&gt;14&lt;/sup&gt;" }, "properties" : { "noteIndex" : 0 }, "schema" : "https://github.com/citation-style-language/schema/raw/master/csl-citation.json" }</w:instrText>
      </w:r>
      <w:r w:rsidR="000D077F">
        <w:rPr>
          <w:color w:val="000000"/>
        </w:rPr>
        <w:fldChar w:fldCharType="separate"/>
      </w:r>
      <w:r w:rsidR="000D077F" w:rsidRPr="000D077F">
        <w:rPr>
          <w:noProof/>
          <w:color w:val="000000"/>
          <w:vertAlign w:val="superscript"/>
        </w:rPr>
        <w:t>14</w:t>
      </w:r>
      <w:r w:rsidR="000D077F">
        <w:rPr>
          <w:color w:val="000000"/>
        </w:rPr>
        <w:fldChar w:fldCharType="end"/>
      </w:r>
      <w:r w:rsidR="00741AB7">
        <w:rPr>
          <w:color w:val="000000"/>
        </w:rPr>
        <w:t xml:space="preserve"> they would need to aggregate</w:t>
      </w:r>
      <w:r w:rsidR="0034384F">
        <w:rPr>
          <w:color w:val="000000"/>
        </w:rPr>
        <w:t>/self-assemble</w:t>
      </w:r>
      <w:r w:rsidR="00741AB7">
        <w:rPr>
          <w:color w:val="000000"/>
        </w:rPr>
        <w:t xml:space="preserve"> in the </w:t>
      </w:r>
      <w:r w:rsidR="006140A6">
        <w:rPr>
          <w:color w:val="000000"/>
        </w:rPr>
        <w:t>lipid bilayer into an organised channel</w:t>
      </w:r>
      <w:r w:rsidR="0034384F">
        <w:rPr>
          <w:color w:val="000000"/>
        </w:rPr>
        <w:t>, this has been suggested previously.</w:t>
      </w:r>
      <w:r w:rsidR="0034384F">
        <w:rPr>
          <w:color w:val="000000"/>
        </w:rPr>
        <w:fldChar w:fldCharType="begin" w:fldLock="1"/>
      </w:r>
      <w:r w:rsidR="004A3288">
        <w:rPr>
          <w:color w:val="000000"/>
        </w:rPr>
        <w:instrText>ADDIN CSL_CITATION { "citationItems" : [ { "id" : "ITEM-1", "itemData" : { "DOI" : "10.1039/b924812a", "ISSN" : "1364-548X", "PMID" : "20369200", "abstract" : "We report that N(2),N(6)-bis(4-nitrophenyl)pyridine-2,6-dicarboxamide, which is related to known isophthalic acid dianilides, transports Cl(-) ions through phospholipid bilayer membranes and shows clear evidence of channel activity.", "author" : [ { "dropping-particle" : "", "family" : "Yamnitz", "given" : "Carl R", "non-dropping-particle" : "", "parse-names" : false, "suffix" : "" }, { "dropping-particle" : "", "family" : "Negin", "given" : "Saeedeh", "non-dropping-particle" : "", "parse-names" : false, "suffix" : "" }, { "dropping-particle" : "", "family" : "Carasel", "given" : "I Alexandru", "non-dropping-particle" : "", "parse-names" : false, "suffix" : "" }, { "dropping-particle" : "", "family" : "Winter", "given" : "Rudolph K", "non-dropping-particle" : "", "parse-names" : false, "suffix" : "" }, { "dropping-particle" : "", "family" : "Gokel", "given" : "George W", "non-dropping-particle" : "", "parse-names" : false, "suffix" : "" } ], "container-title" : "Chemical communications (Cambridge, England)", "id" : "ITEM-1", "issue" : "16", "issued" : { "date-parts" : [ [ "2010", "4", "28" ] ] }, "page" : "2838-40", "title" : "Dianilides of dipicolinic acid function as synthetic chloride channels.", "type" : "article-journal", "volume" : "46" }, "uris" : [ "http://www.mendeley.com/documents/?uuid=0c692bb9-5002-44f3-a5d6-776c1e4368e1" ] } ], "mendeley" : { "formattedCitation" : "&lt;sup&gt;13&lt;/sup&gt;", "plainTextFormattedCitation" : "13", "previouslyFormattedCitation" : "&lt;sup&gt;13&lt;/sup&gt;" }, "properties" : { "noteIndex" : 0 }, "schema" : "https://github.com/citation-style-language/schema/raw/master/csl-citation.json" }</w:instrText>
      </w:r>
      <w:r w:rsidR="0034384F">
        <w:rPr>
          <w:color w:val="000000"/>
        </w:rPr>
        <w:fldChar w:fldCharType="separate"/>
      </w:r>
      <w:r w:rsidR="004A3288" w:rsidRPr="004A3288">
        <w:rPr>
          <w:noProof/>
          <w:color w:val="000000"/>
          <w:vertAlign w:val="superscript"/>
        </w:rPr>
        <w:t>13</w:t>
      </w:r>
      <w:r w:rsidR="0034384F">
        <w:rPr>
          <w:color w:val="000000"/>
        </w:rPr>
        <w:fldChar w:fldCharType="end"/>
      </w:r>
      <w:r w:rsidR="008435A4">
        <w:rPr>
          <w:color w:val="000000"/>
        </w:rPr>
        <w:t xml:space="preserve"> Current explanations as </w:t>
      </w:r>
      <w:r w:rsidR="006140A6">
        <w:rPr>
          <w:color w:val="000000"/>
        </w:rPr>
        <w:t>to what drives pore formation by</w:t>
      </w:r>
      <w:r w:rsidR="008435A4">
        <w:rPr>
          <w:color w:val="000000"/>
        </w:rPr>
        <w:t xml:space="preserve"> these compounds are limited</w:t>
      </w:r>
      <w:r w:rsidR="00DC2E7D">
        <w:rPr>
          <w:color w:val="000000"/>
        </w:rPr>
        <w:t xml:space="preserve"> however</w:t>
      </w:r>
      <w:r w:rsidR="00F11195">
        <w:rPr>
          <w:color w:val="000000"/>
        </w:rPr>
        <w:t>,</w:t>
      </w:r>
      <w:r w:rsidR="008435A4">
        <w:rPr>
          <w:color w:val="000000"/>
        </w:rPr>
        <w:t xml:space="preserve"> and </w:t>
      </w:r>
      <w:r w:rsidR="001C76EE">
        <w:t xml:space="preserve">the apparent mechanism by which these compounds </w:t>
      </w:r>
      <w:r w:rsidR="00092B63">
        <w:t>form pores</w:t>
      </w:r>
      <w:r w:rsidR="001C76EE">
        <w:t xml:space="preserve"> is somewhat </w:t>
      </w:r>
      <w:r w:rsidR="001C76EE" w:rsidRPr="006140A6">
        <w:t>un</w:t>
      </w:r>
      <w:r w:rsidR="007957DF">
        <w:t>explored</w:t>
      </w:r>
      <w:r w:rsidR="001C76EE">
        <w:t>.</w:t>
      </w:r>
      <w:r w:rsidR="0089245C">
        <w:t xml:space="preserve"> </w:t>
      </w:r>
      <w:r w:rsidR="00182B24">
        <w:rPr>
          <w:color w:val="000000"/>
        </w:rPr>
        <w:t>π-S</w:t>
      </w:r>
      <w:r w:rsidR="0089245C" w:rsidRPr="006C67A7">
        <w:rPr>
          <w:color w:val="000000"/>
        </w:rPr>
        <w:t>tacked architecture has been shown to be an important tool in the development and design of novel lipid bilayer spanning channels</w:t>
      </w:r>
      <w:r w:rsidR="0089245C">
        <w:rPr>
          <w:color w:val="000000"/>
        </w:rPr>
        <w:t>.</w:t>
      </w:r>
      <w:r w:rsidR="0089245C">
        <w:rPr>
          <w:color w:val="000000"/>
        </w:rPr>
        <w:fldChar w:fldCharType="begin" w:fldLock="1"/>
      </w:r>
      <w:r w:rsidR="0089245C">
        <w:rPr>
          <w:color w:val="000000"/>
        </w:rPr>
        <w:instrText>ADDIN CSL_CITATION { "citationItems" : [ { "id" : "ITEM-1", "itemData" : { "DOI" : "10.1039/b606487f", "ISSN" : "1477-0520", "PMID" : "16886067", "abstract" : "Neglected until recently, pi-stack architecture is rapidly emerging as a powerful strategy to create function in lipid bilayer membranes. Recent reports describe supramolecular rosettes acting as hosts of intercalating guests, to assemble in bilayer membranes and, in the case of stacked guanosine and folate quartets, to form ion channels. The introduction of rigid-rod pi-stack architecture allowed us to address one of the great challenges in the field, i.e. ligand gating. Inspiring pi-stack chemistry from related fields, covering rainbow coloration, conductivity, as well as the critical dependence of charge mobilities on the precision of supramolecular organization is summarized to zoom in on arguably the most promising application of functional pi-stack architecture in lipid bilayers, that is the creation of multifunctional photosystems.", "author" : [ { "dropping-particle" : "", "family" : "Bhosale", "given" : "Sheshanath", "non-dropping-particle" : "", "parse-names" : false, "suffix" : "" }, { "dropping-particle" : "", "family" : "Sisson", "given" : "Adam L", "non-dropping-particle" : "", "parse-names" : false, "suffix" : "" }, { "dropping-particle" : "", "family" : "Sakai", "given" : "Naomi", "non-dropping-particle" : "", "parse-names" : false, "suffix" : "" }, { "dropping-particle" : "", "family" : "Matile", "given" : "Stefan", "non-dropping-particle" : "", "parse-names" : false, "suffix" : "" } ], "container-title" : "Organic &amp; biomolecular chemistry", "id" : "ITEM-1", "issue" : "16", "issued" : { "date-parts" : [ [ "2006", "8", "21" ] ] }, "page" : "3031-9", "publisher" : "The Royal Society of Chemistry", "title" : "Synthetic functional pi-stack architecture in lipid bilayers.", "type" : "article-journal", "volume" : "4" }, "uris" : [ "http://www.mendeley.com/documents/?uuid=2304ed73-1f72-43eb-a300-c489146da054" ] } ], "mendeley" : { "formattedCitation" : "&lt;sup&gt;15&lt;/sup&gt;", "plainTextFormattedCitation" : "15" }, "properties" : { "noteIndex" : 0 }, "schema" : "https://github.com/citation-style-language/schema/raw/master/csl-citation.json" }</w:instrText>
      </w:r>
      <w:r w:rsidR="0089245C">
        <w:rPr>
          <w:color w:val="000000"/>
        </w:rPr>
        <w:fldChar w:fldCharType="separate"/>
      </w:r>
      <w:r w:rsidR="0089245C" w:rsidRPr="00EA0E65">
        <w:rPr>
          <w:noProof/>
          <w:color w:val="000000"/>
          <w:vertAlign w:val="superscript"/>
        </w:rPr>
        <w:t>15</w:t>
      </w:r>
      <w:r w:rsidR="0089245C">
        <w:rPr>
          <w:color w:val="000000"/>
        </w:rPr>
        <w:fldChar w:fldCharType="end"/>
      </w:r>
      <w:r w:rsidR="0089245C">
        <w:t xml:space="preserve"> </w:t>
      </w:r>
      <w:r w:rsidR="00FE4493">
        <w:t>It may be that</w:t>
      </w:r>
      <w:r w:rsidR="008435A4">
        <w:t xml:space="preserve"> these related </w:t>
      </w:r>
      <w:proofErr w:type="spellStart"/>
      <w:r w:rsidR="008435A4">
        <w:t>isophthalamides</w:t>
      </w:r>
      <w:proofErr w:type="spellEnd"/>
      <w:r w:rsidR="008435A4">
        <w:t xml:space="preserve"> </w:t>
      </w:r>
      <w:r w:rsidR="00FE4493">
        <w:t>are</w:t>
      </w:r>
      <w:r w:rsidR="008435A4">
        <w:t xml:space="preserve"> aggregating in the lipid membrane by</w:t>
      </w:r>
      <w:r w:rsidR="006140A6">
        <w:t xml:space="preserve"> </w:t>
      </w:r>
      <w:r w:rsidR="006140A6" w:rsidRPr="006140A6">
        <w:rPr>
          <w:color w:val="000000"/>
        </w:rPr>
        <w:t>π</w:t>
      </w:r>
      <w:r w:rsidR="008435A4">
        <w:t>-</w:t>
      </w:r>
      <w:r w:rsidR="006140A6" w:rsidRPr="006140A6">
        <w:rPr>
          <w:color w:val="000000"/>
        </w:rPr>
        <w:t>π</w:t>
      </w:r>
      <w:r w:rsidR="008435A4">
        <w:t xml:space="preserve"> stacking </w:t>
      </w:r>
      <w:r w:rsidR="00FE4493">
        <w:t>interactions</w:t>
      </w:r>
      <w:r w:rsidR="008435A4">
        <w:t xml:space="preserve"> and, consequently, we decided to investigate</w:t>
      </w:r>
      <w:r w:rsidR="0091097C">
        <w:t xml:space="preserve"> the effects increasing the size of the central aromatic ring ha</w:t>
      </w:r>
      <w:r w:rsidR="00FE4493">
        <w:t>s</w:t>
      </w:r>
      <w:r w:rsidR="0091097C">
        <w:t xml:space="preserve"> on the transport mechanism for a series of structurally related </w:t>
      </w:r>
      <w:proofErr w:type="spellStart"/>
      <w:r w:rsidR="0091097C">
        <w:t>isophthalamides</w:t>
      </w:r>
      <w:proofErr w:type="spellEnd"/>
      <w:r w:rsidR="0091097C">
        <w:t>.</w:t>
      </w:r>
      <w:r w:rsidR="00EA0E65">
        <w:t xml:space="preserve"> </w:t>
      </w:r>
      <w:r w:rsidR="007957DF">
        <w:t xml:space="preserve">Increasing the aromatic ring size will increase the total area of the </w:t>
      </w:r>
      <w:r w:rsidR="007957DF" w:rsidRPr="006140A6">
        <w:rPr>
          <w:color w:val="000000"/>
        </w:rPr>
        <w:t>π</w:t>
      </w:r>
      <w:r w:rsidR="007957DF">
        <w:rPr>
          <w:color w:val="000000"/>
        </w:rPr>
        <w:t xml:space="preserve">-system </w:t>
      </w:r>
      <w:r w:rsidR="00087A4C">
        <w:rPr>
          <w:color w:val="000000"/>
        </w:rPr>
        <w:t>of</w:t>
      </w:r>
      <w:r w:rsidR="008F3A65">
        <w:rPr>
          <w:color w:val="000000"/>
        </w:rPr>
        <w:t xml:space="preserve"> the compound, thereby presumably making them more likely</w:t>
      </w:r>
      <w:r w:rsidR="007957DF">
        <w:rPr>
          <w:color w:val="000000"/>
        </w:rPr>
        <w:t xml:space="preserve"> to stack in the membrane.</w:t>
      </w:r>
      <w:r w:rsidR="007957DF">
        <w:t xml:space="preserve"> </w:t>
      </w:r>
      <w:r w:rsidR="001C76EE">
        <w:t xml:space="preserve"> Herein, we report the synthesis and anion tra</w:t>
      </w:r>
      <w:r w:rsidR="00DC2E7D">
        <w:t>nsport properties of</w:t>
      </w:r>
      <w:r w:rsidR="001C76EE">
        <w:t xml:space="preserve"> a series of </w:t>
      </w:r>
      <w:proofErr w:type="spellStart"/>
      <w:r w:rsidR="001C76EE">
        <w:t>isophthalamide</w:t>
      </w:r>
      <w:proofErr w:type="spellEnd"/>
      <w:r w:rsidR="001C76EE">
        <w:t xml:space="preserve"> analogues </w:t>
      </w:r>
      <w:r w:rsidR="001C76EE">
        <w:rPr>
          <w:b/>
        </w:rPr>
        <w:t>1-6</w:t>
      </w:r>
      <w:r w:rsidR="005B76DD">
        <w:t xml:space="preserve">. The compounds increase across the series in the size of the central aromatic ring </w:t>
      </w:r>
      <w:r w:rsidR="00092B63">
        <w:t>ranging</w:t>
      </w:r>
      <w:r w:rsidR="005B76DD">
        <w:t xml:space="preserve"> from benzene to naphthalene to </w:t>
      </w:r>
      <w:proofErr w:type="spellStart"/>
      <w:r w:rsidR="005B76DD">
        <w:t>anthracene</w:t>
      </w:r>
      <w:proofErr w:type="spellEnd"/>
      <w:r w:rsidR="005B76DD">
        <w:t>. The pendent side cha</w:t>
      </w:r>
      <w:r w:rsidR="00E55178">
        <w:t xml:space="preserve">ins are either phenyl groups or </w:t>
      </w:r>
      <w:r w:rsidR="005B76DD">
        <w:t>butyl groups</w:t>
      </w:r>
      <w:r w:rsidR="00092B63">
        <w:t xml:space="preserve"> </w:t>
      </w:r>
      <w:r w:rsidR="0034384F">
        <w:t>which</w:t>
      </w:r>
      <w:r w:rsidR="00092B63">
        <w:t xml:space="preserve"> vary</w:t>
      </w:r>
      <w:r w:rsidR="008F3A65">
        <w:t xml:space="preserve"> both</w:t>
      </w:r>
      <w:r w:rsidR="00092B63">
        <w:t xml:space="preserve"> the </w:t>
      </w:r>
      <w:proofErr w:type="spellStart"/>
      <w:r w:rsidR="00092B63">
        <w:t>lipophilicity</w:t>
      </w:r>
      <w:proofErr w:type="spellEnd"/>
      <w:r w:rsidR="0034384F">
        <w:t>,</w:t>
      </w:r>
      <w:r w:rsidR="0091097C">
        <w:t xml:space="preserve"> acidity of the hydrogen bonding NHs on </w:t>
      </w:r>
      <w:r w:rsidR="00092B63">
        <w:t>the compounds</w:t>
      </w:r>
      <w:r w:rsidR="0034384F">
        <w:t xml:space="preserve"> and the total number of aromatic rings in the compounds</w:t>
      </w:r>
      <w:r w:rsidR="005B76DD">
        <w:t xml:space="preserve"> </w:t>
      </w:r>
      <w:r w:rsidR="0034384F" w:rsidRPr="006140A6">
        <w:rPr>
          <w:color w:val="000000"/>
        </w:rPr>
        <w:t>π</w:t>
      </w:r>
      <w:r w:rsidR="0034384F">
        <w:rPr>
          <w:color w:val="000000"/>
        </w:rPr>
        <w:t>-system.</w:t>
      </w:r>
    </w:p>
    <w:p w14:paraId="2C22B66D" w14:textId="5C454749" w:rsidR="00751A36" w:rsidRPr="00751A36" w:rsidRDefault="00530C9A" w:rsidP="00751A36">
      <w:pPr>
        <w:pStyle w:val="08ArticleText"/>
        <w:rPr>
          <w:rFonts w:ascii="Times" w:hAnsi="Times"/>
          <w:sz w:val="20"/>
          <w:szCs w:val="20"/>
        </w:rPr>
      </w:pPr>
      <w:r>
        <w:tab/>
      </w:r>
      <w:r w:rsidR="00253C1B">
        <w:t>Using a</w:t>
      </w:r>
      <w:r w:rsidR="00751A36">
        <w:t xml:space="preserve">nion transport studies on artificial </w:t>
      </w:r>
      <w:r w:rsidR="00751A36" w:rsidRPr="00751A36">
        <w:rPr>
          <w:shd w:val="clear" w:color="auto" w:fill="FFFFFF"/>
        </w:rPr>
        <w:t>1-palmitoyl-2-oleoyl-</w:t>
      </w:r>
      <w:r w:rsidR="00751A36" w:rsidRPr="00087A4C">
        <w:rPr>
          <w:i/>
          <w:shd w:val="clear" w:color="auto" w:fill="FFFFFF"/>
        </w:rPr>
        <w:t>sn</w:t>
      </w:r>
      <w:r w:rsidR="00751A36" w:rsidRPr="00751A36">
        <w:rPr>
          <w:shd w:val="clear" w:color="auto" w:fill="FFFFFF"/>
        </w:rPr>
        <w:t>-glycero-3-phosphocholine</w:t>
      </w:r>
      <w:r w:rsidR="00751A36">
        <w:rPr>
          <w:shd w:val="clear" w:color="auto" w:fill="FFFFFF"/>
        </w:rPr>
        <w:t xml:space="preserve"> (POPC) vesicles, we demonstrate that all transporting </w:t>
      </w:r>
      <w:proofErr w:type="spellStart"/>
      <w:r w:rsidR="00751A36">
        <w:rPr>
          <w:shd w:val="clear" w:color="auto" w:fill="FFFFFF"/>
        </w:rPr>
        <w:t>isophthalamides</w:t>
      </w:r>
      <w:proofErr w:type="spellEnd"/>
      <w:r w:rsidR="00751A36">
        <w:rPr>
          <w:shd w:val="clear" w:color="auto" w:fill="FFFFFF"/>
        </w:rPr>
        <w:t xml:space="preserve"> in this study have Hill coefficients &gt; 1. This is an indication that multiple monomers are involved in the transport process.</w:t>
      </w:r>
      <w:r w:rsidR="004A3288">
        <w:rPr>
          <w:shd w:val="clear" w:color="auto" w:fill="FFFFFF"/>
        </w:rPr>
        <w:fldChar w:fldCharType="begin" w:fldLock="1"/>
      </w:r>
      <w:r w:rsidR="00EA0E65">
        <w:rPr>
          <w:shd w:val="clear" w:color="auto" w:fill="FFFFFF"/>
        </w:rPr>
        <w:instrText>ADDIN CSL_CITATION { "citationItems" : [ { "id" : "ITEM-1", "itemData" : { "DOI" : "10.1002/chir", "author" : [ { "dropping-particle" : "", "family" : "Bhosale", "given" : "Sheshanath", "non-dropping-particle" : "", "parse-names" : false, "suffix" : "" }, { "dropping-particle" : "", "family" : "Matile", "given" : "Stefan", "non-dropping-particle" : "", "parse-names" : false, "suffix" : "" } ], "container-title" : "Chirality", "id" : "ITEM-1", "issue" : "May", "issued" : { "date-parts" : [ [ "2006" ] ] }, "page" : "849-856", "title" : "A Simple Method to Identify Supramolecules in Action : Hill Coefficients for Exergonic Self-Assembly", "type" : "article-journal", "volume" : "18" }, "uris" : [ "http://www.mendeley.com/documents/?uuid=d2be8dc9-e1d0-4434-a85d-c3a19a8c4762" ] } ], "mendeley" : { "formattedCitation" : "&lt;sup&gt;16&lt;/sup&gt;", "plainTextFormattedCitation" : "16", "previouslyFormattedCitation" : "&lt;sup&gt;15&lt;/sup&gt;" }, "properties" : { "noteIndex" : 0 }, "schema" : "https://github.com/citation-style-language/schema/raw/master/csl-citation.json" }</w:instrText>
      </w:r>
      <w:r w:rsidR="004A3288">
        <w:rPr>
          <w:shd w:val="clear" w:color="auto" w:fill="FFFFFF"/>
        </w:rPr>
        <w:fldChar w:fldCharType="separate"/>
      </w:r>
      <w:r w:rsidR="00EA0E65" w:rsidRPr="00EA0E65">
        <w:rPr>
          <w:noProof/>
          <w:shd w:val="clear" w:color="auto" w:fill="FFFFFF"/>
          <w:vertAlign w:val="superscript"/>
        </w:rPr>
        <w:t>16</w:t>
      </w:r>
      <w:r w:rsidR="004A3288">
        <w:rPr>
          <w:shd w:val="clear" w:color="auto" w:fill="FFFFFF"/>
        </w:rPr>
        <w:fldChar w:fldCharType="end"/>
      </w:r>
      <w:r w:rsidR="00751A36">
        <w:rPr>
          <w:shd w:val="clear" w:color="auto" w:fill="FFFFFF"/>
        </w:rPr>
        <w:t xml:space="preserve"> Further to </w:t>
      </w:r>
      <w:r w:rsidR="00751A36">
        <w:rPr>
          <w:shd w:val="clear" w:color="auto" w:fill="FFFFFF"/>
        </w:rPr>
        <w:lastRenderedPageBreak/>
        <w:t xml:space="preserve">this, we </w:t>
      </w:r>
      <w:r w:rsidR="00253C1B">
        <w:rPr>
          <w:shd w:val="clear" w:color="auto" w:fill="FFFFFF"/>
        </w:rPr>
        <w:t>have used</w:t>
      </w:r>
      <w:r w:rsidR="00751A36">
        <w:rPr>
          <w:shd w:val="clear" w:color="auto" w:fill="FFFFFF"/>
        </w:rPr>
        <w:t xml:space="preserve"> fluorescence spectroscopy to demonstrate that these compounds are able to aggregate in lipid bilayers. Finally, we observe that transport activity </w:t>
      </w:r>
      <w:r w:rsidR="00253C1B">
        <w:rPr>
          <w:shd w:val="clear" w:color="auto" w:fill="FFFFFF"/>
        </w:rPr>
        <w:t xml:space="preserve">of the compounds </w:t>
      </w:r>
      <w:r w:rsidR="00751A36">
        <w:rPr>
          <w:shd w:val="clear" w:color="auto" w:fill="FFFFFF"/>
        </w:rPr>
        <w:t xml:space="preserve">is diminished in vesicles composed of </w:t>
      </w:r>
      <w:proofErr w:type="spellStart"/>
      <w:r w:rsidR="00751A36">
        <w:rPr>
          <w:shd w:val="clear" w:color="auto" w:fill="FFFFFF"/>
        </w:rPr>
        <w:t>POPC</w:t>
      </w:r>
      <w:proofErr w:type="gramStart"/>
      <w:r w:rsidR="00751A36">
        <w:rPr>
          <w:shd w:val="clear" w:color="auto" w:fill="FFFFFF"/>
        </w:rPr>
        <w:t>:cholesterol</w:t>
      </w:r>
      <w:proofErr w:type="spellEnd"/>
      <w:proofErr w:type="gramEnd"/>
      <w:r w:rsidR="00751A36">
        <w:rPr>
          <w:shd w:val="clear" w:color="auto" w:fill="FFFFFF"/>
        </w:rPr>
        <w:t xml:space="preserve"> (7:3 molar ratio). As cholesterol decreases the fluidity of lipid bilayer membranes, this serves as evidence that these compounds function by diffusion into the membrane, then aggregating into an active transporting complex</w:t>
      </w:r>
      <w:r w:rsidR="00621F5F">
        <w:rPr>
          <w:shd w:val="clear" w:color="auto" w:fill="FFFFFF"/>
        </w:rPr>
        <w:t xml:space="preserve">. </w:t>
      </w:r>
      <w:r w:rsidR="008F3A65">
        <w:rPr>
          <w:shd w:val="clear" w:color="auto" w:fill="FFFFFF"/>
        </w:rPr>
        <w:t>Through the use of fluorescence spectroscopy</w:t>
      </w:r>
      <w:r w:rsidR="00621F5F">
        <w:rPr>
          <w:shd w:val="clear" w:color="auto" w:fill="FFFFFF"/>
        </w:rPr>
        <w:t>, w</w:t>
      </w:r>
      <w:r w:rsidR="008F3A65">
        <w:rPr>
          <w:shd w:val="clear" w:color="auto" w:fill="FFFFFF"/>
        </w:rPr>
        <w:t xml:space="preserve">e observe </w:t>
      </w:r>
      <w:r w:rsidR="00253C1B">
        <w:rPr>
          <w:shd w:val="clear" w:color="auto" w:fill="FFFFFF"/>
        </w:rPr>
        <w:t>a lower degree of</w:t>
      </w:r>
      <w:r w:rsidR="008F3A65">
        <w:rPr>
          <w:shd w:val="clear" w:color="auto" w:fill="FFFFFF"/>
        </w:rPr>
        <w:t xml:space="preserve"> aggregation</w:t>
      </w:r>
      <w:r w:rsidR="00621F5F">
        <w:rPr>
          <w:shd w:val="clear" w:color="auto" w:fill="FFFFFF"/>
        </w:rPr>
        <w:t xml:space="preserve"> in </w:t>
      </w:r>
      <w:proofErr w:type="spellStart"/>
      <w:r w:rsidR="00621F5F">
        <w:rPr>
          <w:shd w:val="clear" w:color="auto" w:fill="FFFFFF"/>
        </w:rPr>
        <w:t>POPC</w:t>
      </w:r>
      <w:proofErr w:type="gramStart"/>
      <w:r w:rsidR="00621F5F">
        <w:rPr>
          <w:shd w:val="clear" w:color="auto" w:fill="FFFFFF"/>
        </w:rPr>
        <w:t>:</w:t>
      </w:r>
      <w:r w:rsidR="00253C1B">
        <w:rPr>
          <w:shd w:val="clear" w:color="auto" w:fill="FFFFFF"/>
        </w:rPr>
        <w:t>c</w:t>
      </w:r>
      <w:r w:rsidR="00621F5F">
        <w:rPr>
          <w:shd w:val="clear" w:color="auto" w:fill="FFFFFF"/>
        </w:rPr>
        <w:t>holesterol</w:t>
      </w:r>
      <w:proofErr w:type="spellEnd"/>
      <w:proofErr w:type="gramEnd"/>
      <w:r w:rsidR="00621F5F">
        <w:rPr>
          <w:shd w:val="clear" w:color="auto" w:fill="FFFFFF"/>
        </w:rPr>
        <w:t xml:space="preserve"> vesicles than POPC vesicles alone and observe that Hill coefficients tend towards 1 in </w:t>
      </w:r>
      <w:proofErr w:type="spellStart"/>
      <w:r w:rsidR="00621F5F">
        <w:rPr>
          <w:shd w:val="clear" w:color="auto" w:fill="FFFFFF"/>
        </w:rPr>
        <w:t>POPC:</w:t>
      </w:r>
      <w:r w:rsidR="00253C1B">
        <w:rPr>
          <w:shd w:val="clear" w:color="auto" w:fill="FFFFFF"/>
        </w:rPr>
        <w:t>c</w:t>
      </w:r>
      <w:r w:rsidR="00621F5F">
        <w:rPr>
          <w:shd w:val="clear" w:color="auto" w:fill="FFFFFF"/>
        </w:rPr>
        <w:t>holesterol</w:t>
      </w:r>
      <w:proofErr w:type="spellEnd"/>
      <w:r w:rsidR="00621F5F">
        <w:rPr>
          <w:shd w:val="clear" w:color="auto" w:fill="FFFFFF"/>
        </w:rPr>
        <w:t xml:space="preserve"> vesicles. This is evidence </w:t>
      </w:r>
      <w:r w:rsidR="00253C1B">
        <w:rPr>
          <w:shd w:val="clear" w:color="auto" w:fill="FFFFFF"/>
        </w:rPr>
        <w:t>that leads us to propose</w:t>
      </w:r>
      <w:r w:rsidR="00621F5F">
        <w:rPr>
          <w:shd w:val="clear" w:color="auto" w:fill="FFFFFF"/>
        </w:rPr>
        <w:t xml:space="preserve"> that these compounds are </w:t>
      </w:r>
      <w:r w:rsidR="00B446B0">
        <w:rPr>
          <w:shd w:val="clear" w:color="auto" w:fill="FFFFFF"/>
        </w:rPr>
        <w:t>less likely to aggregate</w:t>
      </w:r>
      <w:r w:rsidR="00621F5F">
        <w:rPr>
          <w:shd w:val="clear" w:color="auto" w:fill="FFFFFF"/>
        </w:rPr>
        <w:t xml:space="preserve"> under these conditions</w:t>
      </w:r>
      <w:r w:rsidR="00F11195">
        <w:rPr>
          <w:shd w:val="clear" w:color="auto" w:fill="FFFFFF"/>
        </w:rPr>
        <w:t xml:space="preserve"> and that aggregation is beneficial to the transport mechanism.</w:t>
      </w:r>
    </w:p>
    <w:p w14:paraId="5FFFAF4F" w14:textId="64816E90" w:rsidR="00751A36" w:rsidRDefault="00EB17E3" w:rsidP="00EB17E3">
      <w:pPr>
        <w:pStyle w:val="G1aFigureImage"/>
      </w:pPr>
      <w:r>
        <w:rPr>
          <w:noProof/>
          <w:lang w:val="en-US"/>
        </w:rPr>
        <w:drawing>
          <wp:inline distT="0" distB="0" distL="0" distR="0" wp14:anchorId="6070C9B2" wp14:editId="03B2655B">
            <wp:extent cx="2678430" cy="3722370"/>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78430" cy="3722370"/>
                    </a:xfrm>
                    <a:prstGeom prst="rect">
                      <a:avLst/>
                    </a:prstGeom>
                    <a:noFill/>
                    <a:ln>
                      <a:noFill/>
                    </a:ln>
                  </pic:spPr>
                </pic:pic>
              </a:graphicData>
            </a:graphic>
          </wp:inline>
        </w:drawing>
      </w:r>
    </w:p>
    <w:p w14:paraId="2AD40B07" w14:textId="507B2293" w:rsidR="00154FEE" w:rsidRDefault="00154FEE" w:rsidP="008B0A66">
      <w:pPr>
        <w:pStyle w:val="08ArticleText"/>
      </w:pPr>
    </w:p>
    <w:p w14:paraId="30B3D823" w14:textId="77777777" w:rsidR="00790B00" w:rsidRDefault="00790B00" w:rsidP="00790B00">
      <w:pPr>
        <w:pStyle w:val="04AHeading"/>
        <w:rPr>
          <w:rFonts w:ascii="Times New Roman" w:hAnsi="Times New Roman"/>
        </w:rPr>
      </w:pPr>
      <w:r w:rsidRPr="00790B00">
        <w:rPr>
          <w:rFonts w:ascii="Times New Roman" w:hAnsi="Times New Roman"/>
        </w:rPr>
        <w:t>Results and Discussion</w:t>
      </w:r>
    </w:p>
    <w:p w14:paraId="7E77749A" w14:textId="77777777" w:rsidR="00790B00" w:rsidRDefault="00790B00" w:rsidP="00790B00">
      <w:pPr>
        <w:pStyle w:val="05BHeading"/>
      </w:pPr>
      <w:r>
        <w:t>Synthesis</w:t>
      </w:r>
    </w:p>
    <w:p w14:paraId="5AC79939" w14:textId="59022647" w:rsidR="001F43EB" w:rsidRDefault="00790B00" w:rsidP="00790B00">
      <w:pPr>
        <w:pStyle w:val="08ArticleText"/>
      </w:pPr>
      <w:r>
        <w:t xml:space="preserve">We have previously reported the synthesis of compounds </w:t>
      </w:r>
      <w:r w:rsidR="00B76EB3">
        <w:rPr>
          <w:b/>
        </w:rPr>
        <w:t>3</w:t>
      </w:r>
      <w:r>
        <w:t xml:space="preserve">, </w:t>
      </w:r>
      <w:r w:rsidR="00B76EB3">
        <w:rPr>
          <w:b/>
        </w:rPr>
        <w:t>4</w:t>
      </w:r>
      <w:r>
        <w:t xml:space="preserve"> and </w:t>
      </w:r>
      <w:r>
        <w:rPr>
          <w:b/>
        </w:rPr>
        <w:t>6.</w:t>
      </w:r>
      <w:r>
        <w:rPr>
          <w:b/>
        </w:rPr>
        <w:fldChar w:fldCharType="begin" w:fldLock="1"/>
      </w:r>
      <w:r w:rsidR="00EA0E65">
        <w:rPr>
          <w:b/>
        </w:rPr>
        <w:instrText>ADDIN CSL_CITATION { "citationItems" : [ { "id" : "ITEM-1", "itemData" : { "DOI" : "10.1021/ja068067v", "ISSN" : "0002-7863", "PMID" : "17253691", "author" : [ { "dropping-particle" : "V", "family" : "Santacroce", "given" : "Paul", "non-dropping-particle" : "", "parse-names" : false, "suffix" : "" }, { "dropping-particle" : "", "family" : "Davis", "given" : "Jeffery T", "non-dropping-particle" : "", "parse-names" : false, "suffix" : "" }, { "dropping-particle" : "", "family" : "Light", "given" : "Mark E", "non-dropping-particle" : "", "parse-names" : false, "suffix" : "" }, { "dropping-particle" : "", "family" : "Gale", "given" : "Philip a", "non-dropping-particle" : "", "parse-names" : false, "suffix" : "" }, { "dropping-particle" : "", "family" : "Iglesias-Sanchez", "given" : "Jos\u00e9 Carlos", "non-dropping-particle" : "", "parse-names" : false, "suffix" : "" }, { "dropping-particle" : "", "family" : "Prados", "given" : "Pilar", "non-dropping-particle" : "", "parse-names" : false, "suffix" : "" }, { "dropping-particle" : "", "family" : "Quesada", "given" : "Roberto", "non-dropping-particle" : "", "parse-names" : false, "suffix" : "" } ], "container-title" : "Journal of the American Chemical Society", "id" : "ITEM-1", "issue" : "7", "issued" : { "date-parts" : [ [ "2007", "2", "21" ] ] }, "page" : "1886-7", "title" : "Conformational control of transmembrane Cl(-) transport.", "type" : "article-journal", "volume" : "129" }, "uris" : [ "http://www.mendeley.com/documents/?uuid=207c03c6-ee49-4c14-9325-e8b7f2c87cbf" ] }, { "id" : "ITEM-2", "itemData" : { "DOI" : "10.1080/10610270701258121", "ISSN" : "1061-0278", "author" : [ { "dropping-particle" : "", "family" : "Brooks", "given" : "Simon", "non-dropping-particle" : "", "parse-names" : false, "suffix" : "" }, { "dropping-particle" : "", "family" : "Caltagirone", "given" : "Claudia", "non-dropping-particle" : "", "parse-names" : false, "suffix" : "" }, { "dropping-particle" : "", "family" : "Cossins", "given" : "Aimee", "non-dropping-particle" : "", "parse-names" : false, "suffix" : "" }, { "dropping-particle" : "", "family" : "Gale", "given" : "Philip", "non-dropping-particle" : "", "parse-names" : false, "suffix" : "" }, { "dropping-particle" : "", "family" : "Light", "given" : "Mark", "non-dropping-particle" : "", "parse-names" : false, "suffix" : "" } ], "container-title" : "Supramolecular Chemistry", "id" : "ITEM-2", "issue" : "4", "issued" : { "date-parts" : [ [ "2008", "4" ] ] }, "page" : "349-355", "title" : "Fluorescent Anthracene-based Anion Receptors", "type" : "article-journal", "volume" : "20" }, "uris" : [ "http://www.mendeley.com/documents/?uuid=0345a5a5-9bc4-4f99-a473-1120eb6e4c3b" ] } ], "mendeley" : { "formattedCitation" : "&lt;sup&gt;8,17&lt;/sup&gt;", "plainTextFormattedCitation" : "8,17", "previouslyFormattedCitation" : "&lt;sup&gt;8,16&lt;/sup&gt;" }, "properties" : { "noteIndex" : 0 }, "schema" : "https://github.com/citation-style-language/schema/raw/master/csl-citation.json" }</w:instrText>
      </w:r>
      <w:r>
        <w:rPr>
          <w:b/>
        </w:rPr>
        <w:fldChar w:fldCharType="separate"/>
      </w:r>
      <w:r w:rsidR="00EA0E65" w:rsidRPr="00EA0E65">
        <w:rPr>
          <w:noProof/>
          <w:vertAlign w:val="superscript"/>
        </w:rPr>
        <w:t>8,17</w:t>
      </w:r>
      <w:r>
        <w:rPr>
          <w:b/>
        </w:rPr>
        <w:fldChar w:fldCharType="end"/>
      </w:r>
      <w:r w:rsidR="00B76EB3">
        <w:rPr>
          <w:b/>
        </w:rPr>
        <w:t xml:space="preserve"> </w:t>
      </w:r>
      <w:r w:rsidR="00B76EB3">
        <w:t xml:space="preserve">Compound </w:t>
      </w:r>
      <w:r w:rsidR="00B76EB3">
        <w:rPr>
          <w:b/>
        </w:rPr>
        <w:t>1</w:t>
      </w:r>
      <w:r w:rsidR="00B76EB3">
        <w:t xml:space="preserve"> was synthesis</w:t>
      </w:r>
      <w:r w:rsidR="009713D0">
        <w:t>ed according to literature proc</w:t>
      </w:r>
      <w:r w:rsidR="00B76EB3">
        <w:t>edures.</w:t>
      </w:r>
      <w:r w:rsidR="00B76EB3">
        <w:fldChar w:fldCharType="begin" w:fldLock="1"/>
      </w:r>
      <w:r w:rsidR="00EA0E65">
        <w:instrText>ADDIN CSL_CITATION { "citationItems" : [ { "id" : "ITEM-1", "itemData" : { "DOI" : "10.1002/jps.2600560732", "ISSN" : "0022-3549", "author" : [ { "dropping-particle" : "", "family" : "Larocca", "given" : "Joseph P.", "non-dropping-particle" : "", "parse-names" : false, "suffix" : "" }, { "dropping-particle" : "", "family" : "Sharkawi", "given" : "Mohamed A. Y.", "non-dropping-particle" : "", "parse-names" : false, "suffix" : "" } ], "container-title" : "Journal of Pharmaceutical Sciences", "id" : "ITEM-1", "issue" : "7", "issued" : { "date-parts" : [ [ "1967", "7" ] ] }, "page" : "916-918", "title" : "Synthesis of some substituted amides of terephthalic and isophthalic acids", "type" : "article-journal", "volume" : "56" }, "uris" : [ "http://www.mendeley.com/documents/?uuid=5868b603-d095-4a4e-b838-888e04d94fe0" ] }, { "id" : "ITEM-2", "itemData" : { "ISSN" : "1520-6904", "PMID" : "11671780", "abstract" : "A structural design strategy is described that greatly improves the acetate binding ability of neutral urea and amide-based receptors. The enhanced binding is due to a cooperative polarization effect which is induced by intramolecular coordination of the urea or amide carbonyl to a Lewis acidic boronate group. A series of boronate-ureas, 3, and a related bis(boronate-amide), 23, were prepared in two steps from 2-(aminophenyl)boronic acid and their structures elucidated using X-ray crystallography and other spectrometric methods. The abilities of the receptors to associate with tetrabutylammonium acetate in dimethyl sulfoxide solution were determined by (1)H NMR titration experiments. Association constants were calculated using nonlinear curve-fitting methods. The boronate-ureas 3 strongly bind to acetate in dimethyl sulfoxide solution with association constants as high as 6 x 10(4) M(-)(1). This is more than 150 times greater than the association constants for control urea receptors that lacked an appropriate boron substituent. Thermodynamic studies indicate that the enhanced association is due to a favorable enthalpic change. Additional NMR studies eliminated the possibility of proton transfer to the acetate during complex formation. Molecular modeling indicates that the boronate-ureas exhibit improved acetate binding because the intramolecular coordination (i) induces a larger host dipole moment which strengthens the guest/host ion-dipole interaction, and (ii) increases the positive surface potential at the urea NH residues which strengthens short range Coulombic interactions with the anionic acetate. The observed association constants correlate better with calculated host dipole moments, suggesting that for the boronate-ureas described here this is the more influential factor controlling association.", "author" : [ { "dropping-particle" : "", "family" : "Hughes", "given" : "Martin Patrick", "non-dropping-particle" : "", "parse-names" : false, "suffix" : "" }, { "dropping-particle" : "", "family" : "Smith", "given" : "Bradley D.", "non-dropping-particle" : "", "parse-names" : false, "suffix" : "" } ], "container-title" : "The Journal of organic chemistry", "id" : "ITEM-2", "issue" : "13", "issued" : { "date-parts" : [ [ "1997", "6", "27" ] ] }, "page" : "4492-4499", "title" : "Enhanced Carboxylate Binding Using Urea and Amide-Based Receptors with Internal Lewis Acid Coordination: A Cooperative Polarization Effect.", "type" : "article-journal", "volume" : "62" }, "uris" : [ "http://www.mendeley.com/documents/?uuid=d41fde96-3abe-4a36-85cc-a2ef34d9d083" ] } ], "mendeley" : { "formattedCitation" : "&lt;sup&gt;18,19&lt;/sup&gt;", "plainTextFormattedCitation" : "18,19", "previouslyFormattedCitation" : "&lt;sup&gt;17,18&lt;/sup&gt;" }, "properties" : { "noteIndex" : 0 }, "schema" : "https://github.com/citation-style-language/schema/raw/master/csl-citation.json" }</w:instrText>
      </w:r>
      <w:r w:rsidR="00B76EB3">
        <w:fldChar w:fldCharType="separate"/>
      </w:r>
      <w:r w:rsidR="00EA0E65" w:rsidRPr="00EA0E65">
        <w:rPr>
          <w:noProof/>
          <w:vertAlign w:val="superscript"/>
        </w:rPr>
        <w:t>18,19</w:t>
      </w:r>
      <w:r w:rsidR="00B76EB3">
        <w:fldChar w:fldCharType="end"/>
      </w:r>
      <w:r w:rsidR="00B76EB3">
        <w:t xml:space="preserve"> </w:t>
      </w:r>
      <w:proofErr w:type="spellStart"/>
      <w:r w:rsidR="00B76EB3">
        <w:t>Isophthaloyl</w:t>
      </w:r>
      <w:proofErr w:type="spellEnd"/>
      <w:r w:rsidR="00B76EB3">
        <w:t xml:space="preserve"> dichloride was dissolved in acetonitrile and refluxed in the presence of </w:t>
      </w:r>
      <w:proofErr w:type="spellStart"/>
      <w:r w:rsidR="00B76EB3">
        <w:t>triethylamine</w:t>
      </w:r>
      <w:proofErr w:type="spellEnd"/>
      <w:r w:rsidR="00B76EB3">
        <w:t xml:space="preserve"> and aniline for 3 hours </w:t>
      </w:r>
      <w:r w:rsidR="00066F07">
        <w:t>and the resultant</w:t>
      </w:r>
      <w:r w:rsidR="00B76EB3">
        <w:t xml:space="preserve"> precipitate collected by filtration affording compound </w:t>
      </w:r>
      <w:r w:rsidR="00B76EB3">
        <w:rPr>
          <w:b/>
        </w:rPr>
        <w:t>1</w:t>
      </w:r>
      <w:r w:rsidR="00B76EB3">
        <w:t xml:space="preserve"> in 85% yield. Compounds </w:t>
      </w:r>
      <w:r w:rsidR="00B76EB3">
        <w:rPr>
          <w:b/>
        </w:rPr>
        <w:t>2</w:t>
      </w:r>
      <w:r w:rsidR="00B76EB3">
        <w:t xml:space="preserve"> and </w:t>
      </w:r>
      <w:r w:rsidR="00B76EB3">
        <w:rPr>
          <w:b/>
        </w:rPr>
        <w:t>5</w:t>
      </w:r>
      <w:r w:rsidR="00B76EB3">
        <w:t xml:space="preserve"> were synthesised by reacting diethyl naphthalene-1</w:t>
      </w:r>
      <w:proofErr w:type="gramStart"/>
      <w:r w:rsidR="00B76EB3">
        <w:t>,3</w:t>
      </w:r>
      <w:proofErr w:type="gramEnd"/>
      <w:r w:rsidR="00B76EB3">
        <w:t>-dicarboxylate (synthesised according to literature procedures</w:t>
      </w:r>
      <w:r w:rsidR="00B76EB3">
        <w:fldChar w:fldCharType="begin" w:fldLock="1"/>
      </w:r>
      <w:r w:rsidR="00EA0E65">
        <w:instrText>ADDIN CSL_CITATION { "citationItems" : [ { "id" : "ITEM-1", "itemData" : { "DOI" : "10.1021/jo00041a034", "ISSN" : "0022-3263", "author" : [ { "dropping-particle" : "", "family" : "Santi", "given" : "Roberto", "non-dropping-particle" : "", "parse-names" : false, "suffix" : "" }, { "dropping-particle" : "", "family" : "Bergamini", "given" : "Fabrizio", "non-dropping-particle" : "", "parse-names" : false, "suffix" : "" }, { "dropping-particle" : "", "family" : "Citterio", "given" : "Attilio", "non-dropping-particle" : "", "parse-names" : false, "suffix" : "" }, { "dropping-particle" : "", "family" : "Sebastiano", "given" : "Roberto", "non-dropping-particle" : "", "parse-names" : false, "suffix" : "" }, { "dropping-particle" : "", "family" : "Nicolini", "given" : "Marco", "non-dropping-particle" : "", "parse-names" : false, "suffix" : "" } ], "container-title" : "The Journal of Organic Chemistry", "id" : "ITEM-1", "issue" : "15", "issued" : { "date-parts" : [ [ "1992", "7" ] ] }, "note" : "Mn(III)acetate reaction\n      ", "page" : "4250-4255", "publisher" : "American Chemical Society", "title" : "Reactivity of malonyl radicals. Synthesis of substituted dihydronaphthalenes by manganese(III) oxidation of diethyl .alpha.-benzylmalonate in the presence of alkynes", "type" : "article-journal", "volume" : "57" }, "uris" : [ "http://www.mendeley.com/documents/?uuid=20bf638d-075f-478b-b394-59343c6b7797" ] }, { "id" : "ITEM-2", "itemData" : { "DOI" : "10.1016/S0040-4039(02)00884-5", "ISSN" : "00404039", "author" : [ { "dropping-particle" : "", "family" : "Im", "given" : "Yang Jin", "non-dropping-particle" : "", "parse-names" : false, "suffix" : "" }, { "dropping-particle" : "", "family" : "Lee", "given" : "Ka Young", "non-dropping-particle" : "", "parse-names" : false, "suffix" : "" }, { "dropping-particle" : "", "family" : "Kim", "given" : "Taek Hyeon", "non-dropping-particle" : "", "parse-names" : false, "suffix" : "" }, { "dropping-particle" : "", "family" : "Kim", "given" : "Jae Nyoung", "non-dropping-particle" : "", "parse-names" : false, "suffix" : "" } ], "container-title" : "Tetrahedron Letters", "id" : "ITEM-2", "issue" : "26", "issued" : { "date-parts" : [ [ "2002", "5" ] ] }, "page" : "4675-4678", "title" : "Synthesis of 1,3-disubstituted naphthalenes from the Baylis\u2013Hillman acetates with the aid of manganese(III) acetate", "type" : "article-journal", "volume" : "43" }, "uris" : [ "http://www.mendeley.com/documents/?uuid=1775ee8d-122b-46f3-b348-8b1cbc82bbdb" ] } ], "mendeley" : { "formattedCitation" : "&lt;sup&gt;20,21&lt;/sup&gt;", "plainTextFormattedCitation" : "20,21", "previouslyFormattedCitation" : "&lt;sup&gt;19,20&lt;/sup&gt;" }, "properties" : { "noteIndex" : 0 }, "schema" : "https://github.com/citation-style-language/schema/raw/master/csl-citation.json" }</w:instrText>
      </w:r>
      <w:r w:rsidR="00B76EB3">
        <w:fldChar w:fldCharType="separate"/>
      </w:r>
      <w:r w:rsidR="00EA0E65" w:rsidRPr="00EA0E65">
        <w:rPr>
          <w:noProof/>
          <w:vertAlign w:val="superscript"/>
        </w:rPr>
        <w:t>20,21</w:t>
      </w:r>
      <w:r w:rsidR="00B76EB3">
        <w:fldChar w:fldCharType="end"/>
      </w:r>
      <w:r w:rsidR="00B76EB3">
        <w:t xml:space="preserve">) with the relevant amine in the </w:t>
      </w:r>
      <w:r w:rsidR="001F43EB">
        <w:t>presence</w:t>
      </w:r>
      <w:r w:rsidR="00B76EB3">
        <w:t xml:space="preserve"> of </w:t>
      </w:r>
      <w:r w:rsidR="001F43EB">
        <w:t xml:space="preserve">the coupling agent </w:t>
      </w:r>
      <w:proofErr w:type="spellStart"/>
      <w:r w:rsidR="001F43EB">
        <w:t>trimethylaluminium</w:t>
      </w:r>
      <w:proofErr w:type="spellEnd"/>
      <w:r w:rsidR="001F43EB">
        <w:t xml:space="preserve"> yielding </w:t>
      </w:r>
      <w:r w:rsidR="001F43EB">
        <w:rPr>
          <w:b/>
        </w:rPr>
        <w:t>2</w:t>
      </w:r>
      <w:r w:rsidR="001F43EB">
        <w:t xml:space="preserve"> and </w:t>
      </w:r>
      <w:r w:rsidR="001F43EB">
        <w:rPr>
          <w:b/>
        </w:rPr>
        <w:t>5</w:t>
      </w:r>
      <w:r w:rsidR="001F43EB">
        <w:t xml:space="preserve"> in 35% </w:t>
      </w:r>
      <w:r w:rsidR="001F43EB">
        <w:lastRenderedPageBreak/>
        <w:t>and 50% yields respectively. Further details of synthetic procedures carried out in this study can be found in the ESI.</w:t>
      </w:r>
    </w:p>
    <w:p w14:paraId="364E029D" w14:textId="4F374B51" w:rsidR="001F43EB" w:rsidRDefault="001F43EB" w:rsidP="001F43EB">
      <w:pPr>
        <w:pStyle w:val="05BHeading"/>
      </w:pPr>
      <w:r>
        <w:t xml:space="preserve">Anion Binding </w:t>
      </w:r>
      <w:r w:rsidR="00A45F5F">
        <w:t>in Solution</w:t>
      </w:r>
    </w:p>
    <w:p w14:paraId="69C711E1" w14:textId="323147EF" w:rsidR="00205BDA" w:rsidRDefault="001F43EB" w:rsidP="00205BDA">
      <w:pPr>
        <w:pStyle w:val="08ArticleText"/>
      </w:pPr>
      <w:r>
        <w:t xml:space="preserve">We assessed the ability of compounds </w:t>
      </w:r>
      <w:r>
        <w:rPr>
          <w:b/>
        </w:rPr>
        <w:t>1-6</w:t>
      </w:r>
      <w:r>
        <w:t xml:space="preserve"> to bind anions in the solution state by using </w:t>
      </w:r>
      <w:r>
        <w:rPr>
          <w:vertAlign w:val="superscript"/>
        </w:rPr>
        <w:t>1</w:t>
      </w:r>
      <w:r>
        <w:t xml:space="preserve">H NMR titration techniques </w:t>
      </w:r>
      <w:r w:rsidR="00680C35">
        <w:t>in</w:t>
      </w:r>
      <w:r>
        <w:t xml:space="preserve"> the competitive solvent</w:t>
      </w:r>
      <w:r w:rsidR="00092B63">
        <w:t xml:space="preserve"> mixture</w:t>
      </w:r>
      <w:r>
        <w:t xml:space="preserve"> DMSO-d</w:t>
      </w:r>
      <w:r>
        <w:rPr>
          <w:vertAlign w:val="subscript"/>
        </w:rPr>
        <w:t>6</w:t>
      </w:r>
      <w:r w:rsidR="00CD671C">
        <w:t>/</w:t>
      </w:r>
      <w:r>
        <w:t>0.5% H</w:t>
      </w:r>
      <w:r>
        <w:rPr>
          <w:vertAlign w:val="subscript"/>
        </w:rPr>
        <w:t>2</w:t>
      </w:r>
      <w:r>
        <w:t xml:space="preserve">O with the anions added as either the </w:t>
      </w:r>
      <w:proofErr w:type="spellStart"/>
      <w:r>
        <w:t>tetrabutylammonium</w:t>
      </w:r>
      <w:proofErr w:type="spellEnd"/>
      <w:r>
        <w:t xml:space="preserve"> (TBA) or </w:t>
      </w:r>
      <w:proofErr w:type="spellStart"/>
      <w:r>
        <w:t>tetraethylammonium</w:t>
      </w:r>
      <w:proofErr w:type="spellEnd"/>
      <w:r>
        <w:t xml:space="preserve"> (TEA) salts (for solubility reasons). The binding studies were per</w:t>
      </w:r>
      <w:r w:rsidR="00CD671C">
        <w:t>formed on anions relevant to our</w:t>
      </w:r>
      <w:r>
        <w:t xml:space="preserve"> a</w:t>
      </w:r>
      <w:r w:rsidR="00CD671C">
        <w:t>nion transport studies and to biolo</w:t>
      </w:r>
      <w:r w:rsidR="00BB255B">
        <w:t>gical systems. Wherever possible</w:t>
      </w:r>
      <w:r w:rsidR="00CD671C">
        <w:t xml:space="preserve">, the chemical shift of the most downfield </w:t>
      </w:r>
      <w:proofErr w:type="spellStart"/>
      <w:r w:rsidR="00CD671C">
        <w:t>isophthalamide</w:t>
      </w:r>
      <w:proofErr w:type="spellEnd"/>
      <w:r w:rsidR="00CD671C">
        <w:t xml:space="preserve"> NH signal was fitted to a 1:1</w:t>
      </w:r>
      <w:r w:rsidR="008A63E4">
        <w:t xml:space="preserve"> </w:t>
      </w:r>
      <w:proofErr w:type="spellStart"/>
      <w:r w:rsidR="008A63E4">
        <w:t>receptor</w:t>
      </w:r>
      <w:proofErr w:type="gramStart"/>
      <w:r w:rsidR="008A63E4">
        <w:t>:anion</w:t>
      </w:r>
      <w:proofErr w:type="spellEnd"/>
      <w:proofErr w:type="gramEnd"/>
      <w:r w:rsidR="00CD671C">
        <w:t xml:space="preserve"> binding </w:t>
      </w:r>
      <w:r w:rsidR="008A63E4">
        <w:t>isotherm</w:t>
      </w:r>
      <w:r w:rsidR="00CD671C">
        <w:t xml:space="preserve"> using the WinEQNMR</w:t>
      </w:r>
      <w:r w:rsidR="00CD671C">
        <w:fldChar w:fldCharType="begin" w:fldLock="1"/>
      </w:r>
      <w:r w:rsidR="00EA0E65">
        <w:instrText>ADDIN CSL_CITATION { "citationItems" : [ { "id" : "ITEM-1", "itemData" : { "DOI" : "10.1039/dt9930000311", "ISSN" : "0300-9246", "author" : [ { "dropping-particle" : "", "family" : "Hynes", "given" : "Michael J.", "non-dropping-particle" : "", "parse-names" : false, "suffix" : "" } ], "container-title" : "Journal of the Chemical Society, Dalton Transactions", "id" : "ITEM-1", "issue" : "2", "issued" : { "date-parts" : [ [ "1993", "1", "1" ] ] }, "page" : "311", "publisher" : "Royal Society of Chemistry", "title" : "EQNMR: a computer program for the calculation of stability constants from nuclear magnetic resonance chemical shift data", "type" : "article-journal" }, "uris" : [ "http://www.mendeley.com/documents/?uuid=d1896bb6-bcd1-4f04-86dc-57d123aff3c4" ] } ], "mendeley" : { "formattedCitation" : "&lt;sup&gt;22&lt;/sup&gt;", "plainTextFormattedCitation" : "22", "previouslyFormattedCitation" : "&lt;sup&gt;21&lt;/sup&gt;" }, "properties" : { "noteIndex" : 0 }, "schema" : "https://github.com/citation-style-language/schema/raw/master/csl-citation.json" }</w:instrText>
      </w:r>
      <w:r w:rsidR="00CD671C">
        <w:fldChar w:fldCharType="separate"/>
      </w:r>
      <w:r w:rsidR="00EA0E65" w:rsidRPr="00EA0E65">
        <w:rPr>
          <w:noProof/>
          <w:vertAlign w:val="superscript"/>
        </w:rPr>
        <w:t>22</w:t>
      </w:r>
      <w:r w:rsidR="00CD671C">
        <w:fldChar w:fldCharType="end"/>
      </w:r>
      <w:r w:rsidR="00CD671C">
        <w:t xml:space="preserve"> software.</w:t>
      </w:r>
      <w:r w:rsidR="00BB255B">
        <w:t xml:space="preserve"> Table 1 contains a summary of the anion binding stu</w:t>
      </w:r>
      <w:r w:rsidR="00680C35">
        <w:t xml:space="preserve">dies and anion transport assays.  </w:t>
      </w:r>
      <w:r w:rsidR="00BB255B">
        <w:t>Fitted curves are available in the ESI.</w:t>
      </w:r>
    </w:p>
    <w:p w14:paraId="7985D501" w14:textId="7BEF1956" w:rsidR="00E37727" w:rsidRDefault="00205BDA" w:rsidP="00205BDA">
      <w:pPr>
        <w:pStyle w:val="08ArticleText"/>
      </w:pPr>
      <w:r>
        <w:tab/>
      </w:r>
      <w:r w:rsidR="00092B63">
        <w:t xml:space="preserve">In general, compounds </w:t>
      </w:r>
      <w:r w:rsidR="00092B63">
        <w:rPr>
          <w:b/>
        </w:rPr>
        <w:t>1-6</w:t>
      </w:r>
      <w:r w:rsidR="00092B63">
        <w:t xml:space="preserve"> exhibit weak 1:1 binding to </w:t>
      </w:r>
      <w:proofErr w:type="spellStart"/>
      <w:r w:rsidR="004840D6">
        <w:t>tetrabutylammonium</w:t>
      </w:r>
      <w:proofErr w:type="spellEnd"/>
      <w:r w:rsidR="00092B63">
        <w:t xml:space="preserve"> chloride and slightly stronger 1:1 binding to </w:t>
      </w:r>
      <w:proofErr w:type="spellStart"/>
      <w:r w:rsidR="004840D6">
        <w:t>tetraethylammonium</w:t>
      </w:r>
      <w:proofErr w:type="spellEnd"/>
      <w:r w:rsidR="00092B63">
        <w:t xml:space="preserve"> bicarbonate. We also observed no significant interactions with </w:t>
      </w:r>
      <w:proofErr w:type="spellStart"/>
      <w:r w:rsidR="004840D6">
        <w:t>tetrabutylammonium</w:t>
      </w:r>
      <w:proofErr w:type="spellEnd"/>
      <w:r w:rsidR="00092B63">
        <w:t xml:space="preserve"> </w:t>
      </w:r>
      <w:r w:rsidR="005F0C49">
        <w:t xml:space="preserve">nitrate under the conditions of this experiment. The binding curve for compound </w:t>
      </w:r>
      <w:r w:rsidR="005F0C49">
        <w:rPr>
          <w:b/>
        </w:rPr>
        <w:t>4</w:t>
      </w:r>
      <w:r w:rsidR="005F0C49">
        <w:t xml:space="preserve"> with </w:t>
      </w:r>
      <w:proofErr w:type="spellStart"/>
      <w:r w:rsidR="004840D6">
        <w:t>tetrabutylammonium</w:t>
      </w:r>
      <w:proofErr w:type="spellEnd"/>
      <w:r w:rsidR="005F0C49">
        <w:t xml:space="preserve"> chloride was linear and could not be fitted to a 1:1 binding model. This could be due to inhere</w:t>
      </w:r>
      <w:r w:rsidR="007957DF">
        <w:t>ntly weak binding to this anion. W</w:t>
      </w:r>
      <w:r w:rsidR="005F0C49">
        <w:t>e have previously reported 1:1 bindin</w:t>
      </w:r>
      <w:r w:rsidR="005B51A6">
        <w:t>g constants for this compound in</w:t>
      </w:r>
      <w:r w:rsidR="005F0C49">
        <w:t xml:space="preserve"> less competitive solvent systems</w:t>
      </w:r>
      <w:r w:rsidR="00E37727">
        <w:fldChar w:fldCharType="begin" w:fldLock="1"/>
      </w:r>
      <w:r w:rsidR="00E5081C">
        <w:instrText>ADDIN CSL_CITATION { "citationItems" : [ { "id" : "ITEM-1", "itemData" : { "DOI" : "10.1021/ja068067v", "ISSN" : "0002-7863", "PMID" : "17253691", "author" : [ { "dropping-particle" : "V", "family" : "Santacroce", "given" : "Paul", "non-dropping-particle" : "", "parse-names" : false, "suffix" : "" }, { "dropping-particle" : "", "family" : "Davis", "given" : "Jeffery T", "non-dropping-particle" : "", "parse-names" : false, "suffix" : "" }, { "dropping-particle" : "", "family" : "Light", "given" : "Mark E", "non-dropping-particle" : "", "parse-names" : false, "suffix" : "" }, { "dropping-particle" : "", "family" : "Gale", "given" : "Philip a", "non-dropping-particle" : "", "parse-names" : false, "suffix" : "" }, { "dropping-particle" : "", "family" : "Iglesias-Sanchez", "given" : "Jos\u00e9 Carlos", "non-dropping-particle" : "", "parse-names" : false, "suffix" : "" }, { "dropping-particle" : "", "family" : "Prados", "given" : "Pilar", "non-dropping-particle" : "", "parse-names" : false, "suffix" : "" }, { "dropping-particle" : "", "family" : "Quesada", "given" : "Roberto", "non-dropping-particle" : "", "parse-names" : false, "suffix" : "" } ], "container-title" : "Journal of the American Chemical Society", "id" : "ITEM-1", "issue" : "7", "issued" : { "date-parts" : [ [ "2007", "2", "21" ] ] }, "page" : "1886-7", "title" : "Conformational control of transmembrane Cl(-) transport.", "type" : "article-journal", "volume" : "129" }, "uris" : [ "http://www.mendeley.com/documents/?uuid=207c03c6-ee49-4c14-9325-e8b7f2c87cbf" ] } ], "mendeley" : { "formattedCitation" : "&lt;sup&gt;8&lt;/sup&gt;", "plainTextFormattedCitation" : "8", "previouslyFormattedCitation" : "&lt;sup&gt;8&lt;/sup&gt;" }, "properties" : { "noteIndex" : 0 }, "schema" : "https://github.com/citation-style-language/schema/raw/master/csl-citation.json" }</w:instrText>
      </w:r>
      <w:r w:rsidR="00E37727">
        <w:fldChar w:fldCharType="separate"/>
      </w:r>
      <w:r w:rsidR="00A95E54" w:rsidRPr="00A95E54">
        <w:rPr>
          <w:noProof/>
          <w:vertAlign w:val="superscript"/>
        </w:rPr>
        <w:t>8</w:t>
      </w:r>
      <w:r w:rsidR="00E37727">
        <w:fldChar w:fldCharType="end"/>
      </w:r>
      <w:r w:rsidR="00E37727">
        <w:t xml:space="preserve"> </w:t>
      </w:r>
      <w:r w:rsidR="0090683D">
        <w:t>and based on its structural similarities to the other compounds in the series, it can be assumed that binding here is</w:t>
      </w:r>
      <w:r w:rsidR="007C3FB1">
        <w:t xml:space="preserve"> also</w:t>
      </w:r>
      <w:r w:rsidR="0090683D">
        <w:t xml:space="preserve"> 1:1. </w:t>
      </w:r>
      <w:r w:rsidR="004158AA">
        <w:t xml:space="preserve">Significant amide NH peak broadening was observed for compounds </w:t>
      </w:r>
      <w:r w:rsidR="004158AA">
        <w:rPr>
          <w:b/>
        </w:rPr>
        <w:t>2</w:t>
      </w:r>
      <w:r w:rsidR="004158AA">
        <w:t xml:space="preserve"> and </w:t>
      </w:r>
      <w:r w:rsidR="004158AA">
        <w:rPr>
          <w:b/>
        </w:rPr>
        <w:t xml:space="preserve">3 </w:t>
      </w:r>
      <w:r w:rsidR="004158AA">
        <w:t xml:space="preserve">upon the addition of </w:t>
      </w:r>
      <w:proofErr w:type="spellStart"/>
      <w:r w:rsidR="003E7D77">
        <w:t>tetraethylammonium</w:t>
      </w:r>
      <w:proofErr w:type="spellEnd"/>
      <w:r w:rsidR="004158AA">
        <w:t xml:space="preserve"> bicarbonate and an immediate, intense colour change from yellow to red was noted upon addition of </w:t>
      </w:r>
      <w:proofErr w:type="spellStart"/>
      <w:r w:rsidR="0027129B">
        <w:t>tetraethylammonium</w:t>
      </w:r>
      <w:proofErr w:type="spellEnd"/>
      <w:r w:rsidR="004158AA">
        <w:t xml:space="preserve"> bicarbonate to </w:t>
      </w:r>
      <w:r w:rsidR="004158AA">
        <w:rPr>
          <w:b/>
        </w:rPr>
        <w:t>3</w:t>
      </w:r>
      <w:r w:rsidR="00024B89">
        <w:t xml:space="preserve">. </w:t>
      </w:r>
      <w:r w:rsidR="0090683D">
        <w:t>This</w:t>
      </w:r>
      <w:r w:rsidR="0027129B">
        <w:t xml:space="preserve"> suggests </w:t>
      </w:r>
      <w:proofErr w:type="spellStart"/>
      <w:r w:rsidR="0027129B">
        <w:t>deprotonation</w:t>
      </w:r>
      <w:proofErr w:type="spellEnd"/>
      <w:r w:rsidR="0027129B">
        <w:t xml:space="preserve"> of the acidic NH groups</w:t>
      </w:r>
      <w:r w:rsidR="0090683D">
        <w:t xml:space="preserve"> may be occurring and </w:t>
      </w:r>
      <w:r w:rsidR="007C3FB1">
        <w:t xml:space="preserve">this may </w:t>
      </w:r>
      <w:r w:rsidR="0027129B">
        <w:t>be the</w:t>
      </w:r>
      <w:r w:rsidR="007C3FB1">
        <w:t xml:space="preserve"> reason why these</w:t>
      </w:r>
      <w:r w:rsidR="0090683D">
        <w:t xml:space="preserve"> compounds act as poor bicarbonate transporters</w:t>
      </w:r>
      <w:r w:rsidR="0034384F">
        <w:t xml:space="preserve"> (see </w:t>
      </w:r>
      <w:r w:rsidR="0027129B">
        <w:t>below</w:t>
      </w:r>
      <w:r w:rsidR="0034384F">
        <w:t>)</w:t>
      </w:r>
      <w:r w:rsidR="0090683D">
        <w:t xml:space="preserve">. </w:t>
      </w:r>
      <w:r w:rsidR="00024B89">
        <w:t xml:space="preserve">The association constant for </w:t>
      </w:r>
      <w:r w:rsidR="004158AA">
        <w:rPr>
          <w:b/>
        </w:rPr>
        <w:t>6</w:t>
      </w:r>
      <w:r w:rsidR="004158AA">
        <w:t xml:space="preserve"> with </w:t>
      </w:r>
      <w:proofErr w:type="spellStart"/>
      <w:r w:rsidR="00EF0EF7">
        <w:t>tetrabutylammonium</w:t>
      </w:r>
      <w:proofErr w:type="spellEnd"/>
      <w:r w:rsidR="00EF0EF7">
        <w:t xml:space="preserve"> </w:t>
      </w:r>
      <w:r w:rsidR="004158AA">
        <w:t xml:space="preserve">chloride was </w:t>
      </w:r>
      <w:r w:rsidR="00EF0EF7">
        <w:t>determined by</w:t>
      </w:r>
      <w:r w:rsidR="004158AA">
        <w:t xml:space="preserve"> following the change in chemical shift of the </w:t>
      </w:r>
      <w:proofErr w:type="spellStart"/>
      <w:r w:rsidR="004158AA">
        <w:t>isophthalamide</w:t>
      </w:r>
      <w:proofErr w:type="spellEnd"/>
      <w:r w:rsidR="004158AA">
        <w:t xml:space="preserve"> central CH</w:t>
      </w:r>
      <w:r w:rsidR="00EF0EF7">
        <w:t xml:space="preserve"> instead of the amide NH resonance</w:t>
      </w:r>
      <w:r w:rsidR="00024B89">
        <w:t xml:space="preserve">s due to the overlapping of peaks in the aromatic region </w:t>
      </w:r>
      <w:r w:rsidR="007957DF">
        <w:t>of</w:t>
      </w:r>
      <w:r w:rsidR="00024B89">
        <w:t xml:space="preserve"> the compounds </w:t>
      </w:r>
      <w:r w:rsidR="00024B89">
        <w:rPr>
          <w:vertAlign w:val="superscript"/>
        </w:rPr>
        <w:t>1</w:t>
      </w:r>
      <w:r w:rsidR="00024B89">
        <w:t xml:space="preserve">H NMR. In all cases, this central aromatic CH was seen to exhibit some change in chemical shift upon the addition of </w:t>
      </w:r>
      <w:proofErr w:type="spellStart"/>
      <w:r w:rsidR="00EF0EF7">
        <w:t>tetrabutylammonium</w:t>
      </w:r>
      <w:proofErr w:type="spellEnd"/>
      <w:r w:rsidR="00024B89">
        <w:t xml:space="preserve"> chloride and </w:t>
      </w:r>
      <w:proofErr w:type="spellStart"/>
      <w:r w:rsidR="00EF0EF7">
        <w:t>tetraethylammonium</w:t>
      </w:r>
      <w:proofErr w:type="spellEnd"/>
      <w:r w:rsidR="00024B89">
        <w:t xml:space="preserve"> bicarbonate indicating that </w:t>
      </w:r>
      <w:proofErr w:type="gramStart"/>
      <w:r w:rsidR="00024B89">
        <w:t xml:space="preserve">this </w:t>
      </w:r>
      <w:r w:rsidR="00EF0EF7">
        <w:t>proton, as well as the amide NH group</w:t>
      </w:r>
      <w:r w:rsidR="00024B89">
        <w:t>s are</w:t>
      </w:r>
      <w:proofErr w:type="gramEnd"/>
      <w:r w:rsidR="00024B89">
        <w:t xml:space="preserve"> involved in </w:t>
      </w:r>
      <w:r w:rsidR="00EF0EF7">
        <w:t>the 1:1 binding of the anions</w:t>
      </w:r>
      <w:r w:rsidR="00024B89">
        <w:t xml:space="preserve"> tested in the solution state.</w:t>
      </w:r>
      <w:r w:rsidR="005B51A6">
        <w:t xml:space="preserve"> This is consistent with other reported binding </w:t>
      </w:r>
      <w:r w:rsidR="00DC2E7D">
        <w:t>data</w:t>
      </w:r>
      <w:r w:rsidR="005B51A6">
        <w:t xml:space="preserve"> for similar compounds.</w:t>
      </w:r>
      <w:r w:rsidR="009B64D6" w:rsidRPr="009B64D6">
        <w:fldChar w:fldCharType="begin" w:fldLock="1"/>
      </w:r>
      <w:r w:rsidR="00EA0E65">
        <w:instrText>ADDIN CSL_CITATION { "citationItems" : [ { "id" : "ITEM-1", "itemData" : { "author" : [ { "dropping-particle" : "", "family" : "Kavallieratos", "given" : "Konstantinos", "non-dropping-particle" : "", "parse-names" : false, "suffix" : "" }, { "dropping-particle" : "", "family" : "Gala", "given" : "Susan R", "non-dropping-particle" : "de", "parse-names" : false, "suffix" : "" }, { "dropping-particle" : "", "family" : "Austin", "given" : "David J", "non-dropping-particle" : "", "parse-names" : false, "suffix" : "" }, { "dropping-particle" : "", "family" : "Crabtree", "given" : "Robert H", "non-dropping-particle" : "", "parse-names" : false, "suffix" : "" } ], "container-title" : "J. Am. Chem. Soc.", "id" : "ITEM-1", "issue" : "2", "issued" : { "date-parts" : [ [ "1997" ] ] }, "page" : "2325-2326", "title" : "A Readily Available Non-preorganized Neutral Acyclic Halide Receptor with an Unusual Nonplanar Binding Conformation", "type" : "article-journal", "volume" : "119" }, "uris" : [ "http://www.mendeley.com/documents/?uuid=07b316b8-d09c-4ab4-8a51-a0de2d850b41" ] }, { "id" : "ITEM-2", "itemData" : { "ISSN" : "1520-6904", "PMID" : "11674235", "abstract" : "The diamides and disulfonamides m-C(6)H(4)(CONHAr)(2) (Ar = Ph, 1; p-n-BuC(6)H(4), 2, 2,4,6-Me(3)C(6)H(2), 3), m-C(6)H(4)(SO(2)NHPh)(2), 4, and 2,6-C(6)H(3)N(CONHPh)(2), 5, readily synthesized on a multigram scale, bind strongly to halides and acetate in organic solvents with K(a)'s as high as 6.1 x 10(4) (NMR spectroscopy). The binding stoichiometry is 1:1 in solution for all cases except for the 4.F(-) and 4.OAc(-) complexes, where both 1:1 and 1:2 binding stoichiometries were found. The association constants in CD(2)Cl(2) ((1)H NMR) follow the trend Cl(-) &gt; Br(-) &gt; I(-) for all the receptors. F(-) and OAc(-) binding may be stronger or weaker than Cl(-) depending on the nature of the receptor. The presence of the pyridine nitrogen in 5 and of the more rigid amide in 1-3 and 5 vs the less rigid sulfonamide structure in 4 increases selectivity for smaller anions. The enthalpy and entropy of formation for 2.Cl(-) were DeltaH = -31 kJ/mol; DeltaS = -23 J/(mol.K) (VT-NMR). The X-ray structure of [PPh(4)](2)[1.Br][Br].CH(2)Cl(2), shows 1:1 complexation of Br(-) via two N-H.Br(-) hydrogen bonds and a syn-syn nonplanar binding conformation for 1. Solution hydrogen bonding was confirmed by FT-IR and NMR spectroscopy. The receptor conformation changes on complexation. Trends in structure/binding relationships show receptor flexibility is an important factor in anion recognition.", "author" : [ { "dropping-particle" : "", "family" : "Kavallieratos", "given" : "Konstantinos", "non-dropping-particle" : "", "parse-names" : false, "suffix" : "" }, { "dropping-particle" : "", "family" : "Bertao", "given" : "Christina M.", "non-dropping-particle" : "", "parse-names" : false, "suffix" : "" }, { "dropping-particle" : "", "family" : "Crabtree", "given" : "Robert H.", "non-dropping-particle" : "", "parse-names" : false, "suffix" : "" } ], "container-title" : "The Journal of organic chemistry", "id" : "ITEM-2", "issue" : "5", "issued" : { "date-parts" : [ [ "1999", "3", "5" ] ] }, "page" : "1675-1683", "title" : "Hydrogen Bonding in Anion Recognition: A Family of Versatile, Nonpreorganized Neutral and Acyclic Receptors.", "type" : "article-journal", "volume" : "64" }, "uris" : [ "http://www.mendeley.com/documents/?uuid=704462a1-b5fb-4720-a1fc-262a4c70a680" ] } ], "mendeley" : { "formattedCitation" : "&lt;sup&gt;5,23&lt;/sup&gt;", "plainTextFormattedCitation" : "5,23", "previouslyFormattedCitation" : "&lt;sup&gt;5,22&lt;/sup&gt;" }, "properties" : { "noteIndex" : 0 }, "schema" : "https://github.com/citation-style-language/schema/raw/master/csl-citation.json" }</w:instrText>
      </w:r>
      <w:r w:rsidR="009B64D6" w:rsidRPr="009B64D6">
        <w:fldChar w:fldCharType="separate"/>
      </w:r>
      <w:r w:rsidR="00EA0E65" w:rsidRPr="00EA0E65">
        <w:rPr>
          <w:noProof/>
          <w:vertAlign w:val="superscript"/>
        </w:rPr>
        <w:t>5,23</w:t>
      </w:r>
      <w:r w:rsidR="009B64D6" w:rsidRPr="009B64D6">
        <w:fldChar w:fldCharType="end"/>
      </w:r>
    </w:p>
    <w:p w14:paraId="0023D0B4" w14:textId="58E2E70F" w:rsidR="00024B89" w:rsidRDefault="00024B89" w:rsidP="00205BDA">
      <w:pPr>
        <w:pStyle w:val="08ArticleText"/>
      </w:pPr>
      <w:r>
        <w:tab/>
        <w:t xml:space="preserve">Compounds </w:t>
      </w:r>
      <w:r>
        <w:rPr>
          <w:b/>
        </w:rPr>
        <w:t>1-3</w:t>
      </w:r>
      <w:r>
        <w:t xml:space="preserve"> exhibit larger association constants for both binding anions than compounds </w:t>
      </w:r>
      <w:r>
        <w:rPr>
          <w:b/>
        </w:rPr>
        <w:t>4-6</w:t>
      </w:r>
      <w:r>
        <w:t>. This can be attributed to the in</w:t>
      </w:r>
      <w:r w:rsidR="007A7EB7">
        <w:t>creased acidity of the amide NH group</w:t>
      </w:r>
      <w:r w:rsidR="008A63E4">
        <w:t>s forming stronger asso</w:t>
      </w:r>
      <w:r w:rsidR="00D94A1B">
        <w:t>ciation constants in the phenyl-</w:t>
      </w:r>
      <w:r w:rsidR="008A63E4">
        <w:t>substituted co</w:t>
      </w:r>
      <w:r w:rsidR="001F5369">
        <w:t>mplexes as opposed to the butyl-</w:t>
      </w:r>
      <w:r w:rsidR="008A63E4">
        <w:t>substituted complexes.</w:t>
      </w:r>
    </w:p>
    <w:p w14:paraId="785CA6E1" w14:textId="1F4CD09D" w:rsidR="00512181" w:rsidRDefault="00512181" w:rsidP="00512181">
      <w:pPr>
        <w:pStyle w:val="05BHeading"/>
      </w:pPr>
      <w:r>
        <w:t>Anion Transport Studies and Hill Analysis</w:t>
      </w:r>
    </w:p>
    <w:p w14:paraId="67887015" w14:textId="248C8D28" w:rsidR="00DE1D5F" w:rsidRDefault="00512181" w:rsidP="00205BDA">
      <w:pPr>
        <w:pStyle w:val="08ArticleText"/>
      </w:pPr>
      <w:r>
        <w:t xml:space="preserve">We assessed the ability of compounds </w:t>
      </w:r>
      <w:r>
        <w:rPr>
          <w:b/>
        </w:rPr>
        <w:t>1-6</w:t>
      </w:r>
      <w:r>
        <w:t xml:space="preserve"> to transport anions across phospholipid bilayers using an ion selective electrode. In a typical assay, </w:t>
      </w:r>
      <w:proofErr w:type="spellStart"/>
      <w:r>
        <w:t>unilamellar</w:t>
      </w:r>
      <w:proofErr w:type="spellEnd"/>
      <w:r>
        <w:t xml:space="preserve"> </w:t>
      </w:r>
      <w:r w:rsidRPr="00512181">
        <w:t>1-palmitoyl-2-oleoyl-</w:t>
      </w:r>
      <w:r w:rsidRPr="007A7EB7">
        <w:rPr>
          <w:i/>
        </w:rPr>
        <w:t>sn</w:t>
      </w:r>
      <w:r w:rsidRPr="00512181">
        <w:t>-glycero-3-</w:t>
      </w:r>
      <w:r w:rsidRPr="00512181">
        <w:lastRenderedPageBreak/>
        <w:t>phosphocholine</w:t>
      </w:r>
      <w:r>
        <w:t xml:space="preserve"> (POPC) vesicles (200 nm diameter) were prepared </w:t>
      </w:r>
      <w:r w:rsidR="007A7EB7">
        <w:t>containing</w:t>
      </w:r>
      <w:r>
        <w:t xml:space="preserve"> an internal aqueous solution of sodium chloride (</w:t>
      </w:r>
      <w:r w:rsidRPr="00512181">
        <w:t xml:space="preserve">489 </w:t>
      </w:r>
      <w:proofErr w:type="spellStart"/>
      <w:r w:rsidRPr="00512181">
        <w:t>mM</w:t>
      </w:r>
      <w:proofErr w:type="spellEnd"/>
      <w:r w:rsidRPr="00512181">
        <w:t xml:space="preserve"> </w:t>
      </w:r>
      <w:proofErr w:type="spellStart"/>
      <w:r w:rsidRPr="00512181">
        <w:t>NaCl</w:t>
      </w:r>
      <w:proofErr w:type="spellEnd"/>
      <w:r w:rsidRPr="00512181">
        <w:t xml:space="preserve"> buffered to pH 7.2 with 5 </w:t>
      </w:r>
      <w:proofErr w:type="spellStart"/>
      <w:r w:rsidRPr="00512181">
        <w:t>mM</w:t>
      </w:r>
      <w:proofErr w:type="spellEnd"/>
      <w:r w:rsidRPr="00512181">
        <w:t xml:space="preserve"> sodium phosphate salts</w:t>
      </w:r>
      <w:r>
        <w:t>)</w:t>
      </w:r>
      <w:r w:rsidRPr="00512181">
        <w:t>. The vesicles were dispersed in an aqueous external solution</w:t>
      </w:r>
      <w:r>
        <w:t xml:space="preserve"> of sodium nitrate (</w:t>
      </w:r>
      <w:r w:rsidRPr="00512181">
        <w:t xml:space="preserve">489 </w:t>
      </w:r>
      <w:proofErr w:type="spellStart"/>
      <w:r w:rsidRPr="00512181">
        <w:t>mM</w:t>
      </w:r>
      <w:proofErr w:type="spellEnd"/>
      <w:r w:rsidRPr="00512181">
        <w:t xml:space="preserve"> NaNO</w:t>
      </w:r>
      <w:r w:rsidRPr="00512181">
        <w:rPr>
          <w:vertAlign w:val="subscript"/>
        </w:rPr>
        <w:t>3</w:t>
      </w:r>
      <w:r w:rsidRPr="00512181">
        <w:t xml:space="preserve"> buffered to pH 7.2 with 5 </w:t>
      </w:r>
      <w:proofErr w:type="spellStart"/>
      <w:r w:rsidRPr="00512181">
        <w:t>mM</w:t>
      </w:r>
      <w:proofErr w:type="spellEnd"/>
      <w:r w:rsidRPr="00512181">
        <w:t xml:space="preserve"> sodium phosphate salts</w:t>
      </w:r>
      <w:r>
        <w:t>)</w:t>
      </w:r>
      <w:r w:rsidRPr="00512181">
        <w:t>.</w:t>
      </w:r>
      <w:r>
        <w:t xml:space="preserve"> The internal and external salt solutions were kept isotonic to prevent the vesicles from bursting.</w:t>
      </w:r>
      <w:r w:rsidRPr="00512181">
        <w:t xml:space="preserve"> </w:t>
      </w:r>
      <w:r>
        <w:t xml:space="preserve">Receptors </w:t>
      </w:r>
      <w:r>
        <w:rPr>
          <w:b/>
        </w:rPr>
        <w:t xml:space="preserve">1-6 </w:t>
      </w:r>
      <w:r>
        <w:t>were</w:t>
      </w:r>
      <w:r w:rsidRPr="00512181">
        <w:t xml:space="preserve"> loaded at an appropriate molar percentage relative to the moles of </w:t>
      </w:r>
      <w:r>
        <w:t>lipid as a DMSO solution at 0 s and the resulting chloride efflux from the vesicles</w:t>
      </w:r>
      <w:r w:rsidR="00DE1D5F">
        <w:t xml:space="preserve"> detected by a chloride selective electrode (</w:t>
      </w:r>
      <w:proofErr w:type="spellStart"/>
      <w:r w:rsidR="00DE1D5F">
        <w:t>Accumet</w:t>
      </w:r>
      <w:proofErr w:type="spellEnd"/>
      <w:r w:rsidR="00DE1D5F">
        <w:t xml:space="preserve">). </w:t>
      </w:r>
      <w:r w:rsidR="00DE1D5F">
        <w:lastRenderedPageBreak/>
        <w:t>At the end of the assay (typically after 300 s) the vesicles were lysed with a detergent (</w:t>
      </w:r>
      <w:proofErr w:type="spellStart"/>
      <w:r w:rsidR="00DE1D5F" w:rsidRPr="00DE1D5F">
        <w:t>octaethylene</w:t>
      </w:r>
      <w:proofErr w:type="spellEnd"/>
      <w:r w:rsidR="00DE1D5F" w:rsidRPr="00DE1D5F">
        <w:t xml:space="preserve"> glycol </w:t>
      </w:r>
      <w:proofErr w:type="spellStart"/>
      <w:r w:rsidR="00DE1D5F" w:rsidRPr="00DE1D5F">
        <w:t>monododecyl</w:t>
      </w:r>
      <w:proofErr w:type="spellEnd"/>
      <w:r w:rsidR="00DE1D5F" w:rsidRPr="00DE1D5F">
        <w:t xml:space="preserve"> ether</w:t>
      </w:r>
      <w:r w:rsidR="00DE1D5F">
        <w:t>). This was done to calibrate the electrode to 100% chloride release.</w:t>
      </w:r>
      <w:r w:rsidR="002E3872">
        <w:t xml:space="preserve"> </w:t>
      </w:r>
      <w:r w:rsidR="00DE1D5F">
        <w:t xml:space="preserve">Figure </w:t>
      </w:r>
      <w:r w:rsidR="00DE1D5F" w:rsidRPr="00F32356">
        <w:t>1</w:t>
      </w:r>
      <w:r w:rsidR="0090683D">
        <w:t xml:space="preserve"> shows </w:t>
      </w:r>
      <w:r w:rsidR="00DE1D5F">
        <w:t xml:space="preserve">the results of </w:t>
      </w:r>
      <w:proofErr w:type="spellStart"/>
      <w:r w:rsidR="00DE1D5F">
        <w:t>Cl</w:t>
      </w:r>
      <w:proofErr w:type="spellEnd"/>
      <w:r w:rsidR="00DE1D5F">
        <w:rPr>
          <w:vertAlign w:val="superscript"/>
        </w:rPr>
        <w:t>-</w:t>
      </w:r>
      <w:r w:rsidR="00DE1D5F">
        <w:t>/NO</w:t>
      </w:r>
      <w:r w:rsidR="00DE1D5F">
        <w:rPr>
          <w:vertAlign w:val="subscript"/>
        </w:rPr>
        <w:t>3</w:t>
      </w:r>
      <w:r w:rsidR="00DE1D5F">
        <w:rPr>
          <w:vertAlign w:val="superscript"/>
        </w:rPr>
        <w:t>-</w:t>
      </w:r>
      <w:r w:rsidR="00DE1D5F">
        <w:t xml:space="preserve"> </w:t>
      </w:r>
      <w:proofErr w:type="spellStart"/>
      <w:r w:rsidR="00DE1D5F">
        <w:t>antiport</w:t>
      </w:r>
      <w:proofErr w:type="spellEnd"/>
      <w:r w:rsidR="00DE1D5F">
        <w:t xml:space="preserve"> experiments for receptors </w:t>
      </w:r>
      <w:r w:rsidR="00DE1D5F">
        <w:rPr>
          <w:b/>
        </w:rPr>
        <w:t>1-6</w:t>
      </w:r>
      <w:r w:rsidR="00DE1D5F">
        <w:t xml:space="preserve"> at </w:t>
      </w:r>
      <w:proofErr w:type="gramStart"/>
      <w:r w:rsidR="00DE1D5F">
        <w:t xml:space="preserve">4 </w:t>
      </w:r>
      <w:proofErr w:type="spellStart"/>
      <w:r w:rsidR="00DE1D5F">
        <w:t>mol</w:t>
      </w:r>
      <w:proofErr w:type="spellEnd"/>
      <w:proofErr w:type="gramEnd"/>
      <w:r w:rsidR="00DE1D5F">
        <w:t>% receptor loading with respect to POPC concentration.</w:t>
      </w:r>
    </w:p>
    <w:p w14:paraId="673BE1DF" w14:textId="77777777" w:rsidR="00DE1D5F" w:rsidRDefault="00DE1D5F" w:rsidP="00205BDA">
      <w:pPr>
        <w:pStyle w:val="08ArticleText"/>
      </w:pPr>
    </w:p>
    <w:p w14:paraId="414F8347" w14:textId="77777777" w:rsidR="00F32356" w:rsidRDefault="00F32356" w:rsidP="00205BDA">
      <w:pPr>
        <w:pStyle w:val="08ArticleText"/>
      </w:pPr>
    </w:p>
    <w:p w14:paraId="26D382DD" w14:textId="77777777" w:rsidR="00F32356" w:rsidRDefault="00F32356" w:rsidP="00205BDA">
      <w:pPr>
        <w:pStyle w:val="08ArticleText"/>
      </w:pPr>
    </w:p>
    <w:p w14:paraId="083698A4" w14:textId="5BC14353" w:rsidR="00B76DDB" w:rsidRPr="005F0C49" w:rsidRDefault="00EA5A21" w:rsidP="00205BDA">
      <w:pPr>
        <w:pStyle w:val="08ArticleText"/>
        <w:sectPr w:rsidR="00B76DDB" w:rsidRPr="005F0C49" w:rsidSect="00BB255B">
          <w:type w:val="continuous"/>
          <w:pgSz w:w="11907" w:h="15593" w:code="9"/>
          <w:pgMar w:top="1009" w:right="851" w:bottom="1134" w:left="851" w:header="510" w:footer="510" w:gutter="0"/>
          <w:cols w:num="2" w:space="227"/>
          <w:titlePg/>
          <w:docGrid w:linePitch="360"/>
        </w:sectPr>
      </w:pPr>
      <w:r>
        <w:t xml:space="preserve"> </w:t>
      </w:r>
    </w:p>
    <w:p w14:paraId="1E1E63DF" w14:textId="77777777" w:rsidR="00205BDA" w:rsidRDefault="00205BDA" w:rsidP="00205BDA">
      <w:pPr>
        <w:pStyle w:val="G2UncaptionedImage"/>
      </w:pPr>
      <w:r>
        <w:rPr>
          <w:b/>
        </w:rPr>
        <w:lastRenderedPageBreak/>
        <w:t>Table 1</w:t>
      </w:r>
      <w:r>
        <w:t xml:space="preserve"> Overview of anion binding experiments, transport assays and </w:t>
      </w:r>
      <w:proofErr w:type="spellStart"/>
      <w:r>
        <w:t>clogP</w:t>
      </w:r>
      <w:proofErr w:type="spellEnd"/>
      <w:r>
        <w:t xml:space="preserve"> calculations for compounds </w:t>
      </w:r>
      <w:r>
        <w:rPr>
          <w:b/>
        </w:rPr>
        <w:t>1-5</w:t>
      </w:r>
    </w:p>
    <w:tbl>
      <w:tblPr>
        <w:tblStyle w:val="TableGrid"/>
        <w:tblW w:w="0" w:type="auto"/>
        <w:tblLook w:val="04A0" w:firstRow="1" w:lastRow="0" w:firstColumn="1" w:lastColumn="0" w:noHBand="0" w:noVBand="1"/>
      </w:tblPr>
      <w:tblGrid>
        <w:gridCol w:w="1101"/>
        <w:gridCol w:w="2126"/>
        <w:gridCol w:w="1276"/>
        <w:gridCol w:w="1559"/>
        <w:gridCol w:w="1559"/>
        <w:gridCol w:w="1418"/>
        <w:gridCol w:w="1382"/>
      </w:tblGrid>
      <w:tr w:rsidR="00931C5F" w14:paraId="72BE381F" w14:textId="77777777" w:rsidTr="00931C5F">
        <w:tc>
          <w:tcPr>
            <w:tcW w:w="1101" w:type="dxa"/>
            <w:tcBorders>
              <w:top w:val="single" w:sz="4" w:space="0" w:color="auto"/>
              <w:left w:val="nil"/>
              <w:bottom w:val="single" w:sz="4" w:space="0" w:color="auto"/>
              <w:right w:val="nil"/>
            </w:tcBorders>
          </w:tcPr>
          <w:p w14:paraId="0EEA29A6" w14:textId="77777777" w:rsidR="0053473D" w:rsidRDefault="0053473D" w:rsidP="0053473D">
            <w:pPr>
              <w:pStyle w:val="G4bTableBody"/>
              <w:jc w:val="left"/>
            </w:pPr>
            <w:r>
              <w:t>Receptor</w:t>
            </w:r>
          </w:p>
        </w:tc>
        <w:tc>
          <w:tcPr>
            <w:tcW w:w="2126" w:type="dxa"/>
            <w:tcBorders>
              <w:top w:val="single" w:sz="4" w:space="0" w:color="auto"/>
              <w:left w:val="nil"/>
              <w:bottom w:val="single" w:sz="4" w:space="0" w:color="auto"/>
              <w:right w:val="nil"/>
            </w:tcBorders>
          </w:tcPr>
          <w:p w14:paraId="484C6B4B" w14:textId="77777777" w:rsidR="0053473D" w:rsidRPr="0053473D" w:rsidRDefault="0053473D" w:rsidP="0053473D">
            <w:pPr>
              <w:pStyle w:val="G4bTableBody"/>
              <w:jc w:val="left"/>
            </w:pPr>
            <w:proofErr w:type="spellStart"/>
            <w:r>
              <w:t>Cl</w:t>
            </w:r>
            <w:proofErr w:type="spellEnd"/>
            <w:r>
              <w:rPr>
                <w:vertAlign w:val="superscript"/>
              </w:rPr>
              <w:t>-</w:t>
            </w:r>
            <w:r>
              <w:t>/NO</w:t>
            </w:r>
            <w:r>
              <w:rPr>
                <w:vertAlign w:val="subscript"/>
              </w:rPr>
              <w:t>3</w:t>
            </w:r>
            <w:r>
              <w:rPr>
                <w:vertAlign w:val="superscript"/>
              </w:rPr>
              <w:t>-</w:t>
            </w:r>
            <w:r>
              <w:t xml:space="preserve"> EC</w:t>
            </w:r>
            <w:r>
              <w:rPr>
                <w:vertAlign w:val="subscript"/>
              </w:rPr>
              <w:t>50</w:t>
            </w:r>
            <w:proofErr w:type="gramStart"/>
            <w:r w:rsidR="003B6F3B">
              <w:rPr>
                <w:vertAlign w:val="subscript"/>
              </w:rPr>
              <w:t>,270s</w:t>
            </w:r>
            <w:r w:rsidR="003B6F3B">
              <w:rPr>
                <w:vertAlign w:val="superscript"/>
              </w:rPr>
              <w:t>a</w:t>
            </w:r>
            <w:proofErr w:type="gramEnd"/>
            <w:r>
              <w:t xml:space="preserve"> (</w:t>
            </w:r>
            <w:proofErr w:type="spellStart"/>
            <w:r>
              <w:t>mol</w:t>
            </w:r>
            <w:proofErr w:type="spellEnd"/>
            <w:r>
              <w:t xml:space="preserve"> %)</w:t>
            </w:r>
          </w:p>
        </w:tc>
        <w:tc>
          <w:tcPr>
            <w:tcW w:w="1276" w:type="dxa"/>
            <w:tcBorders>
              <w:top w:val="single" w:sz="4" w:space="0" w:color="auto"/>
              <w:left w:val="nil"/>
              <w:bottom w:val="single" w:sz="4" w:space="0" w:color="auto"/>
              <w:right w:val="nil"/>
            </w:tcBorders>
          </w:tcPr>
          <w:p w14:paraId="36BCF99C" w14:textId="77777777" w:rsidR="0053473D" w:rsidRPr="003B6F3B" w:rsidRDefault="003B6F3B" w:rsidP="0053473D">
            <w:pPr>
              <w:pStyle w:val="G4bTableBody"/>
              <w:jc w:val="left"/>
            </w:pPr>
            <w:proofErr w:type="spellStart"/>
            <w:proofErr w:type="gramStart"/>
            <w:r>
              <w:t>n</w:t>
            </w:r>
            <w:r>
              <w:rPr>
                <w:vertAlign w:val="superscript"/>
              </w:rPr>
              <w:t>b</w:t>
            </w:r>
            <w:proofErr w:type="spellEnd"/>
            <w:proofErr w:type="gramEnd"/>
            <w:r>
              <w:t xml:space="preserve"> (</w:t>
            </w:r>
            <w:proofErr w:type="spellStart"/>
            <w:r>
              <w:t>Cl</w:t>
            </w:r>
            <w:proofErr w:type="spellEnd"/>
            <w:r>
              <w:rPr>
                <w:vertAlign w:val="superscript"/>
              </w:rPr>
              <w:t>-</w:t>
            </w:r>
            <w:r>
              <w:t>/NO</w:t>
            </w:r>
            <w:r>
              <w:rPr>
                <w:vertAlign w:val="subscript"/>
              </w:rPr>
              <w:t>3</w:t>
            </w:r>
            <w:r>
              <w:rPr>
                <w:vertAlign w:val="superscript"/>
              </w:rPr>
              <w:t>-</w:t>
            </w:r>
            <w:r>
              <w:t>)</w:t>
            </w:r>
          </w:p>
        </w:tc>
        <w:tc>
          <w:tcPr>
            <w:tcW w:w="1559" w:type="dxa"/>
            <w:tcBorders>
              <w:top w:val="single" w:sz="4" w:space="0" w:color="auto"/>
              <w:left w:val="nil"/>
              <w:bottom w:val="single" w:sz="4" w:space="0" w:color="auto"/>
              <w:right w:val="nil"/>
            </w:tcBorders>
          </w:tcPr>
          <w:p w14:paraId="0AC09597" w14:textId="43DDA35B" w:rsidR="0053473D" w:rsidRPr="00B446B0" w:rsidRDefault="003B6F3B" w:rsidP="0053473D">
            <w:pPr>
              <w:pStyle w:val="G4bTableBody"/>
              <w:jc w:val="left"/>
              <w:rPr>
                <w:vertAlign w:val="superscript"/>
              </w:rPr>
            </w:pPr>
            <w:proofErr w:type="spellStart"/>
            <w:r>
              <w:t>K</w:t>
            </w:r>
            <w:r>
              <w:rPr>
                <w:vertAlign w:val="subscript"/>
              </w:rPr>
              <w:t>a</w:t>
            </w:r>
            <w:r>
              <w:t>Cl</w:t>
            </w:r>
            <w:proofErr w:type="spellEnd"/>
            <w:r>
              <w:rPr>
                <w:vertAlign w:val="superscript"/>
              </w:rPr>
              <w:t>-</w:t>
            </w:r>
            <w:r w:rsidR="00A06776">
              <w:rPr>
                <w:vertAlign w:val="superscript"/>
              </w:rPr>
              <w:t xml:space="preserve"> </w:t>
            </w:r>
            <w:r>
              <w:t xml:space="preserve"> (M</w:t>
            </w:r>
            <w:r>
              <w:rPr>
                <w:vertAlign w:val="superscript"/>
              </w:rPr>
              <w:t>-</w:t>
            </w:r>
            <w:proofErr w:type="gramStart"/>
            <w:r>
              <w:rPr>
                <w:vertAlign w:val="superscript"/>
              </w:rPr>
              <w:t>1</w:t>
            </w:r>
            <w:r>
              <w:t>)</w:t>
            </w:r>
            <w:r w:rsidR="00B446B0">
              <w:rPr>
                <w:vertAlign w:val="superscript"/>
              </w:rPr>
              <w:t>c</w:t>
            </w:r>
            <w:proofErr w:type="gramEnd"/>
          </w:p>
        </w:tc>
        <w:tc>
          <w:tcPr>
            <w:tcW w:w="1559" w:type="dxa"/>
            <w:tcBorders>
              <w:top w:val="single" w:sz="4" w:space="0" w:color="auto"/>
              <w:left w:val="nil"/>
              <w:bottom w:val="single" w:sz="4" w:space="0" w:color="auto"/>
              <w:right w:val="nil"/>
            </w:tcBorders>
          </w:tcPr>
          <w:p w14:paraId="19377303" w14:textId="28D0A630" w:rsidR="0053473D" w:rsidRPr="00B446B0" w:rsidRDefault="003B6F3B" w:rsidP="0053473D">
            <w:pPr>
              <w:pStyle w:val="G4bTableBody"/>
              <w:jc w:val="left"/>
              <w:rPr>
                <w:vertAlign w:val="superscript"/>
              </w:rPr>
            </w:pPr>
            <w:r>
              <w:t>K</w:t>
            </w:r>
            <w:r>
              <w:rPr>
                <w:vertAlign w:val="subscript"/>
              </w:rPr>
              <w:t>a</w:t>
            </w:r>
            <w:r>
              <w:t>HCO</w:t>
            </w:r>
            <w:r>
              <w:rPr>
                <w:vertAlign w:val="subscript"/>
              </w:rPr>
              <w:t>3</w:t>
            </w:r>
            <w:r>
              <w:rPr>
                <w:vertAlign w:val="superscript"/>
              </w:rPr>
              <w:noBreakHyphen/>
            </w:r>
            <w:r>
              <w:t xml:space="preserve"> </w:t>
            </w:r>
            <w:r w:rsidR="00A06776">
              <w:rPr>
                <w:vertAlign w:val="superscript"/>
              </w:rPr>
              <w:t xml:space="preserve"> </w:t>
            </w:r>
            <w:r>
              <w:t>(M</w:t>
            </w:r>
            <w:r>
              <w:rPr>
                <w:vertAlign w:val="superscript"/>
              </w:rPr>
              <w:t>-</w:t>
            </w:r>
            <w:proofErr w:type="gramStart"/>
            <w:r>
              <w:rPr>
                <w:vertAlign w:val="superscript"/>
              </w:rPr>
              <w:t>1</w:t>
            </w:r>
            <w:r>
              <w:t>)</w:t>
            </w:r>
            <w:r w:rsidR="00B446B0">
              <w:rPr>
                <w:vertAlign w:val="superscript"/>
              </w:rPr>
              <w:t>c</w:t>
            </w:r>
            <w:proofErr w:type="gramEnd"/>
          </w:p>
        </w:tc>
        <w:tc>
          <w:tcPr>
            <w:tcW w:w="1418" w:type="dxa"/>
            <w:tcBorders>
              <w:top w:val="single" w:sz="4" w:space="0" w:color="auto"/>
              <w:left w:val="nil"/>
              <w:bottom w:val="single" w:sz="4" w:space="0" w:color="auto"/>
              <w:right w:val="nil"/>
            </w:tcBorders>
          </w:tcPr>
          <w:p w14:paraId="7F43F38E" w14:textId="77777777" w:rsidR="0053473D" w:rsidRPr="00A06776" w:rsidRDefault="003B6F3B" w:rsidP="0053473D">
            <w:pPr>
              <w:pStyle w:val="G4bTableBody"/>
              <w:jc w:val="left"/>
            </w:pPr>
            <w:r>
              <w:t>K</w:t>
            </w:r>
            <w:r>
              <w:rPr>
                <w:vertAlign w:val="subscript"/>
              </w:rPr>
              <w:t>a</w:t>
            </w:r>
            <w:r>
              <w:t>NO</w:t>
            </w:r>
            <w:r>
              <w:rPr>
                <w:vertAlign w:val="subscript"/>
              </w:rPr>
              <w:t>3</w:t>
            </w:r>
            <w:r>
              <w:rPr>
                <w:vertAlign w:val="superscript"/>
              </w:rPr>
              <w:t>-</w:t>
            </w:r>
            <w:r>
              <w:t xml:space="preserve"> (M</w:t>
            </w:r>
            <w:r>
              <w:rPr>
                <w:vertAlign w:val="superscript"/>
              </w:rPr>
              <w:t>-</w:t>
            </w:r>
            <w:proofErr w:type="gramStart"/>
            <w:r>
              <w:rPr>
                <w:vertAlign w:val="superscript"/>
              </w:rPr>
              <w:t>1</w:t>
            </w:r>
            <w:r>
              <w:t>)</w:t>
            </w:r>
            <w:r w:rsidR="00A06776">
              <w:rPr>
                <w:vertAlign w:val="superscript"/>
              </w:rPr>
              <w:t>c</w:t>
            </w:r>
            <w:proofErr w:type="gramEnd"/>
          </w:p>
        </w:tc>
        <w:tc>
          <w:tcPr>
            <w:tcW w:w="1382" w:type="dxa"/>
            <w:tcBorders>
              <w:top w:val="single" w:sz="4" w:space="0" w:color="auto"/>
              <w:left w:val="nil"/>
              <w:bottom w:val="single" w:sz="4" w:space="0" w:color="auto"/>
              <w:right w:val="nil"/>
            </w:tcBorders>
          </w:tcPr>
          <w:p w14:paraId="6CE39B00" w14:textId="77777777" w:rsidR="0053473D" w:rsidRPr="003B6F3B" w:rsidRDefault="003B6F3B" w:rsidP="0053473D">
            <w:pPr>
              <w:pStyle w:val="G4bTableBody"/>
              <w:jc w:val="left"/>
            </w:pPr>
            <w:proofErr w:type="spellStart"/>
            <w:proofErr w:type="gramStart"/>
            <w:r>
              <w:t>clogP</w:t>
            </w:r>
            <w:r>
              <w:rPr>
                <w:vertAlign w:val="superscript"/>
              </w:rPr>
              <w:t>d</w:t>
            </w:r>
            <w:proofErr w:type="spellEnd"/>
            <w:proofErr w:type="gramEnd"/>
          </w:p>
        </w:tc>
      </w:tr>
      <w:tr w:rsidR="00931C5F" w14:paraId="794EB7AC" w14:textId="77777777" w:rsidTr="00931C5F">
        <w:tc>
          <w:tcPr>
            <w:tcW w:w="1101" w:type="dxa"/>
            <w:tcBorders>
              <w:top w:val="single" w:sz="4" w:space="0" w:color="auto"/>
              <w:left w:val="nil"/>
              <w:bottom w:val="nil"/>
              <w:right w:val="nil"/>
            </w:tcBorders>
          </w:tcPr>
          <w:p w14:paraId="067BF779" w14:textId="77777777" w:rsidR="0053473D" w:rsidRDefault="003B6F3B" w:rsidP="0053473D">
            <w:pPr>
              <w:pStyle w:val="G4bTableBody"/>
              <w:jc w:val="left"/>
            </w:pPr>
            <w:r>
              <w:t>1</w:t>
            </w:r>
          </w:p>
        </w:tc>
        <w:tc>
          <w:tcPr>
            <w:tcW w:w="2126" w:type="dxa"/>
            <w:tcBorders>
              <w:top w:val="single" w:sz="4" w:space="0" w:color="auto"/>
              <w:left w:val="nil"/>
              <w:bottom w:val="nil"/>
              <w:right w:val="nil"/>
            </w:tcBorders>
          </w:tcPr>
          <w:p w14:paraId="5CD19A52" w14:textId="71E02DD3" w:rsidR="0053473D" w:rsidRPr="00931C5F" w:rsidRDefault="00151B0C" w:rsidP="0053473D">
            <w:pPr>
              <w:pStyle w:val="G4bTableBody"/>
              <w:jc w:val="left"/>
              <w:rPr>
                <w:vertAlign w:val="superscript"/>
              </w:rPr>
            </w:pPr>
            <w:r>
              <w:t>13.7</w:t>
            </w:r>
            <w:r w:rsidR="00931C5F">
              <w:rPr>
                <w:vertAlign w:val="superscript"/>
              </w:rPr>
              <w:t>e</w:t>
            </w:r>
          </w:p>
        </w:tc>
        <w:tc>
          <w:tcPr>
            <w:tcW w:w="1276" w:type="dxa"/>
            <w:tcBorders>
              <w:top w:val="single" w:sz="4" w:space="0" w:color="auto"/>
              <w:left w:val="nil"/>
              <w:bottom w:val="nil"/>
              <w:right w:val="nil"/>
            </w:tcBorders>
          </w:tcPr>
          <w:p w14:paraId="701A32EC" w14:textId="77777777" w:rsidR="0053473D" w:rsidRDefault="00A1374D" w:rsidP="00566EA9">
            <w:pPr>
              <w:pStyle w:val="G4bTableBody"/>
              <w:jc w:val="left"/>
            </w:pPr>
            <w:r>
              <w:t>1.3</w:t>
            </w:r>
          </w:p>
        </w:tc>
        <w:tc>
          <w:tcPr>
            <w:tcW w:w="1559" w:type="dxa"/>
            <w:tcBorders>
              <w:top w:val="single" w:sz="4" w:space="0" w:color="auto"/>
              <w:left w:val="nil"/>
              <w:bottom w:val="nil"/>
              <w:right w:val="nil"/>
            </w:tcBorders>
          </w:tcPr>
          <w:p w14:paraId="38208098" w14:textId="506523BD" w:rsidR="0053473D" w:rsidRDefault="00092B63" w:rsidP="00B3512F">
            <w:pPr>
              <w:pStyle w:val="G4bTableBody"/>
              <w:jc w:val="left"/>
            </w:pPr>
            <w:r>
              <w:t>42.</w:t>
            </w:r>
            <w:r w:rsidR="00B3512F">
              <w:t>4</w:t>
            </w:r>
          </w:p>
        </w:tc>
        <w:tc>
          <w:tcPr>
            <w:tcW w:w="1559" w:type="dxa"/>
            <w:tcBorders>
              <w:top w:val="single" w:sz="4" w:space="0" w:color="auto"/>
              <w:left w:val="nil"/>
              <w:bottom w:val="nil"/>
              <w:right w:val="nil"/>
            </w:tcBorders>
          </w:tcPr>
          <w:p w14:paraId="51F2209C" w14:textId="4FBF61D3" w:rsidR="0053473D" w:rsidRDefault="00092B63" w:rsidP="0053473D">
            <w:pPr>
              <w:pStyle w:val="G4bTableBody"/>
              <w:jc w:val="left"/>
            </w:pPr>
            <w:r>
              <w:t>47.6</w:t>
            </w:r>
          </w:p>
        </w:tc>
        <w:tc>
          <w:tcPr>
            <w:tcW w:w="1418" w:type="dxa"/>
            <w:tcBorders>
              <w:top w:val="single" w:sz="4" w:space="0" w:color="auto"/>
              <w:left w:val="nil"/>
              <w:bottom w:val="nil"/>
              <w:right w:val="nil"/>
            </w:tcBorders>
          </w:tcPr>
          <w:p w14:paraId="50D9CEE5" w14:textId="713CDBD2"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single" w:sz="4" w:space="0" w:color="auto"/>
              <w:left w:val="nil"/>
              <w:bottom w:val="nil"/>
              <w:right w:val="nil"/>
            </w:tcBorders>
          </w:tcPr>
          <w:p w14:paraId="4EE3194E" w14:textId="77777777" w:rsidR="0053473D" w:rsidRDefault="00471879" w:rsidP="0053473D">
            <w:pPr>
              <w:pStyle w:val="G4bTableBody"/>
              <w:jc w:val="left"/>
            </w:pPr>
            <w:r>
              <w:t>3.65±0.27</w:t>
            </w:r>
          </w:p>
        </w:tc>
      </w:tr>
      <w:tr w:rsidR="00931C5F" w14:paraId="722E1FC4" w14:textId="77777777" w:rsidTr="00931C5F">
        <w:tc>
          <w:tcPr>
            <w:tcW w:w="1101" w:type="dxa"/>
            <w:tcBorders>
              <w:top w:val="nil"/>
              <w:left w:val="nil"/>
              <w:bottom w:val="nil"/>
              <w:right w:val="nil"/>
            </w:tcBorders>
          </w:tcPr>
          <w:p w14:paraId="5BE948BB" w14:textId="77777777" w:rsidR="0053473D" w:rsidRDefault="003B6F3B" w:rsidP="0053473D">
            <w:pPr>
              <w:pStyle w:val="G4bTableBody"/>
              <w:jc w:val="left"/>
            </w:pPr>
            <w:r>
              <w:t>2</w:t>
            </w:r>
          </w:p>
        </w:tc>
        <w:tc>
          <w:tcPr>
            <w:tcW w:w="2126" w:type="dxa"/>
            <w:tcBorders>
              <w:top w:val="nil"/>
              <w:left w:val="nil"/>
              <w:bottom w:val="nil"/>
              <w:right w:val="nil"/>
            </w:tcBorders>
          </w:tcPr>
          <w:p w14:paraId="1F980288" w14:textId="18DE5971" w:rsidR="0053473D" w:rsidRDefault="00A1374D" w:rsidP="00B3512F">
            <w:pPr>
              <w:pStyle w:val="G4bTableBody"/>
              <w:jc w:val="left"/>
            </w:pPr>
            <w:r>
              <w:t>2.99</w:t>
            </w:r>
          </w:p>
        </w:tc>
        <w:tc>
          <w:tcPr>
            <w:tcW w:w="1276" w:type="dxa"/>
            <w:tcBorders>
              <w:top w:val="nil"/>
              <w:left w:val="nil"/>
              <w:bottom w:val="nil"/>
              <w:right w:val="nil"/>
            </w:tcBorders>
          </w:tcPr>
          <w:p w14:paraId="25A5D1A8" w14:textId="77777777" w:rsidR="0053473D" w:rsidRDefault="00A1374D" w:rsidP="00566EA9">
            <w:pPr>
              <w:pStyle w:val="G4bTableBody"/>
              <w:jc w:val="left"/>
            </w:pPr>
            <w:r>
              <w:t>2.7</w:t>
            </w:r>
          </w:p>
        </w:tc>
        <w:tc>
          <w:tcPr>
            <w:tcW w:w="1559" w:type="dxa"/>
            <w:tcBorders>
              <w:top w:val="nil"/>
              <w:left w:val="nil"/>
              <w:bottom w:val="nil"/>
              <w:right w:val="nil"/>
            </w:tcBorders>
          </w:tcPr>
          <w:p w14:paraId="6568E0FD" w14:textId="77777777" w:rsidR="0053473D" w:rsidRDefault="00566EA9" w:rsidP="0053473D">
            <w:pPr>
              <w:pStyle w:val="G4bTableBody"/>
              <w:jc w:val="left"/>
            </w:pPr>
            <w:r>
              <w:t>9.36</w:t>
            </w:r>
          </w:p>
        </w:tc>
        <w:tc>
          <w:tcPr>
            <w:tcW w:w="1559" w:type="dxa"/>
            <w:tcBorders>
              <w:top w:val="nil"/>
              <w:left w:val="nil"/>
              <w:bottom w:val="nil"/>
              <w:right w:val="nil"/>
            </w:tcBorders>
          </w:tcPr>
          <w:p w14:paraId="038C2447" w14:textId="59B8712F" w:rsidR="0053473D" w:rsidRPr="00931C5F" w:rsidRDefault="00B3512F" w:rsidP="0053473D">
            <w:pPr>
              <w:pStyle w:val="G4bTableBody"/>
              <w:jc w:val="left"/>
              <w:rPr>
                <w:vertAlign w:val="superscript"/>
              </w:rPr>
            </w:pPr>
            <w:r>
              <w:t>33.1</w:t>
            </w:r>
            <w:r w:rsidR="00931C5F">
              <w:rPr>
                <w:vertAlign w:val="superscript"/>
              </w:rPr>
              <w:t>h</w:t>
            </w:r>
          </w:p>
        </w:tc>
        <w:tc>
          <w:tcPr>
            <w:tcW w:w="1418" w:type="dxa"/>
            <w:tcBorders>
              <w:top w:val="nil"/>
              <w:left w:val="nil"/>
              <w:bottom w:val="nil"/>
              <w:right w:val="nil"/>
            </w:tcBorders>
          </w:tcPr>
          <w:p w14:paraId="32586D85" w14:textId="4DBC9378"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nil"/>
              <w:left w:val="nil"/>
              <w:bottom w:val="nil"/>
              <w:right w:val="nil"/>
            </w:tcBorders>
          </w:tcPr>
          <w:p w14:paraId="056E43DD" w14:textId="77777777" w:rsidR="0053473D" w:rsidRDefault="00471879" w:rsidP="0053473D">
            <w:pPr>
              <w:pStyle w:val="G4bTableBody"/>
              <w:jc w:val="left"/>
            </w:pPr>
            <w:r>
              <w:t>4.22±0.28</w:t>
            </w:r>
          </w:p>
        </w:tc>
      </w:tr>
      <w:tr w:rsidR="00931C5F" w14:paraId="398C646E" w14:textId="77777777" w:rsidTr="00931C5F">
        <w:tc>
          <w:tcPr>
            <w:tcW w:w="1101" w:type="dxa"/>
            <w:tcBorders>
              <w:top w:val="nil"/>
              <w:left w:val="nil"/>
              <w:bottom w:val="nil"/>
              <w:right w:val="nil"/>
            </w:tcBorders>
          </w:tcPr>
          <w:p w14:paraId="6E85A207" w14:textId="77777777" w:rsidR="0053473D" w:rsidRDefault="003B6F3B" w:rsidP="0053473D">
            <w:pPr>
              <w:pStyle w:val="G4bTableBody"/>
              <w:jc w:val="left"/>
            </w:pPr>
            <w:r>
              <w:t>3</w:t>
            </w:r>
          </w:p>
        </w:tc>
        <w:tc>
          <w:tcPr>
            <w:tcW w:w="2126" w:type="dxa"/>
            <w:tcBorders>
              <w:top w:val="nil"/>
              <w:left w:val="nil"/>
              <w:bottom w:val="nil"/>
              <w:right w:val="nil"/>
            </w:tcBorders>
          </w:tcPr>
          <w:p w14:paraId="17A5E241" w14:textId="72814D75" w:rsidR="0053473D" w:rsidRPr="00931C5F" w:rsidRDefault="00A1374D" w:rsidP="00B3512F">
            <w:pPr>
              <w:pStyle w:val="G4bTableBody"/>
              <w:jc w:val="left"/>
            </w:pPr>
            <w:r>
              <w:t>4.0</w:t>
            </w:r>
            <w:r w:rsidR="00B3512F">
              <w:t>3</w:t>
            </w:r>
            <w:r w:rsidR="00931C5F">
              <w:rPr>
                <w:vertAlign w:val="superscript"/>
              </w:rPr>
              <w:t>f</w:t>
            </w:r>
          </w:p>
        </w:tc>
        <w:tc>
          <w:tcPr>
            <w:tcW w:w="1276" w:type="dxa"/>
            <w:tcBorders>
              <w:top w:val="nil"/>
              <w:left w:val="nil"/>
              <w:bottom w:val="nil"/>
              <w:right w:val="nil"/>
            </w:tcBorders>
          </w:tcPr>
          <w:p w14:paraId="51E586E4" w14:textId="77777777" w:rsidR="0053473D" w:rsidRDefault="00A1374D" w:rsidP="00566EA9">
            <w:pPr>
              <w:pStyle w:val="G4bTableBody"/>
              <w:jc w:val="left"/>
            </w:pPr>
            <w:r>
              <w:t>3.2</w:t>
            </w:r>
          </w:p>
        </w:tc>
        <w:tc>
          <w:tcPr>
            <w:tcW w:w="1559" w:type="dxa"/>
            <w:tcBorders>
              <w:top w:val="nil"/>
              <w:left w:val="nil"/>
              <w:bottom w:val="nil"/>
              <w:right w:val="nil"/>
            </w:tcBorders>
          </w:tcPr>
          <w:p w14:paraId="6D74CA44" w14:textId="0068CE4F" w:rsidR="0053473D" w:rsidRDefault="00566EA9" w:rsidP="00B3512F">
            <w:pPr>
              <w:pStyle w:val="G4bTableBody"/>
              <w:jc w:val="left"/>
            </w:pPr>
            <w:r>
              <w:t>15.</w:t>
            </w:r>
            <w:r w:rsidR="00B3512F">
              <w:t>5</w:t>
            </w:r>
          </w:p>
        </w:tc>
        <w:tc>
          <w:tcPr>
            <w:tcW w:w="1559" w:type="dxa"/>
            <w:tcBorders>
              <w:top w:val="nil"/>
              <w:left w:val="nil"/>
              <w:bottom w:val="nil"/>
              <w:right w:val="nil"/>
            </w:tcBorders>
          </w:tcPr>
          <w:p w14:paraId="3480930E" w14:textId="5608BB6E" w:rsidR="0053473D" w:rsidRPr="00931C5F" w:rsidRDefault="00566EA9" w:rsidP="00B3512F">
            <w:pPr>
              <w:pStyle w:val="G4bTableBody"/>
              <w:jc w:val="left"/>
              <w:rPr>
                <w:vertAlign w:val="superscript"/>
              </w:rPr>
            </w:pPr>
            <w:r>
              <w:t>32.</w:t>
            </w:r>
            <w:r w:rsidR="00B3512F">
              <w:t>1</w:t>
            </w:r>
            <w:r w:rsidR="00931C5F">
              <w:rPr>
                <w:vertAlign w:val="superscript"/>
              </w:rPr>
              <w:t xml:space="preserve">h, </w:t>
            </w:r>
            <w:proofErr w:type="spellStart"/>
            <w:r w:rsidR="00931C5F">
              <w:rPr>
                <w:vertAlign w:val="superscript"/>
              </w:rPr>
              <w:t>i</w:t>
            </w:r>
            <w:proofErr w:type="spellEnd"/>
          </w:p>
        </w:tc>
        <w:tc>
          <w:tcPr>
            <w:tcW w:w="1418" w:type="dxa"/>
            <w:tcBorders>
              <w:top w:val="nil"/>
              <w:left w:val="nil"/>
              <w:bottom w:val="nil"/>
              <w:right w:val="nil"/>
            </w:tcBorders>
          </w:tcPr>
          <w:p w14:paraId="43965FC5" w14:textId="7ACF7A1A"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nil"/>
              <w:left w:val="nil"/>
              <w:bottom w:val="nil"/>
              <w:right w:val="nil"/>
            </w:tcBorders>
          </w:tcPr>
          <w:p w14:paraId="7AE4E0AE" w14:textId="77777777" w:rsidR="0053473D" w:rsidRDefault="00471879" w:rsidP="0053473D">
            <w:pPr>
              <w:pStyle w:val="G4bTableBody"/>
              <w:jc w:val="left"/>
            </w:pPr>
            <w:r>
              <w:t>5.84±0.53</w:t>
            </w:r>
          </w:p>
        </w:tc>
      </w:tr>
      <w:tr w:rsidR="00931C5F" w14:paraId="5916EF85" w14:textId="77777777" w:rsidTr="00931C5F">
        <w:tc>
          <w:tcPr>
            <w:tcW w:w="1101" w:type="dxa"/>
            <w:tcBorders>
              <w:top w:val="nil"/>
              <w:left w:val="nil"/>
              <w:bottom w:val="nil"/>
              <w:right w:val="nil"/>
            </w:tcBorders>
          </w:tcPr>
          <w:p w14:paraId="59F5951E" w14:textId="77777777" w:rsidR="0053473D" w:rsidRDefault="003B6F3B" w:rsidP="0053473D">
            <w:pPr>
              <w:pStyle w:val="G4bTableBody"/>
              <w:jc w:val="left"/>
            </w:pPr>
            <w:r>
              <w:t>4</w:t>
            </w:r>
          </w:p>
        </w:tc>
        <w:tc>
          <w:tcPr>
            <w:tcW w:w="2126" w:type="dxa"/>
            <w:tcBorders>
              <w:top w:val="nil"/>
              <w:left w:val="nil"/>
              <w:bottom w:val="nil"/>
              <w:right w:val="nil"/>
            </w:tcBorders>
          </w:tcPr>
          <w:p w14:paraId="3D6692D7" w14:textId="77777777" w:rsidR="0053473D" w:rsidRPr="00931C5F" w:rsidRDefault="00A1374D" w:rsidP="0053473D">
            <w:pPr>
              <w:pStyle w:val="G4bTableBody"/>
              <w:jc w:val="left"/>
              <w:rPr>
                <w:vertAlign w:val="superscript"/>
              </w:rPr>
            </w:pPr>
            <w:r>
              <w:t>-</w:t>
            </w:r>
            <w:proofErr w:type="gramStart"/>
            <w:r w:rsidR="00931C5F">
              <w:rPr>
                <w:vertAlign w:val="superscript"/>
              </w:rPr>
              <w:t>g</w:t>
            </w:r>
            <w:proofErr w:type="gramEnd"/>
          </w:p>
        </w:tc>
        <w:tc>
          <w:tcPr>
            <w:tcW w:w="1276" w:type="dxa"/>
            <w:tcBorders>
              <w:top w:val="nil"/>
              <w:left w:val="nil"/>
              <w:bottom w:val="nil"/>
              <w:right w:val="nil"/>
            </w:tcBorders>
          </w:tcPr>
          <w:p w14:paraId="231C0E03" w14:textId="77777777" w:rsidR="0053473D" w:rsidRPr="00931C5F" w:rsidRDefault="00A1374D" w:rsidP="0053473D">
            <w:pPr>
              <w:pStyle w:val="G4bTableBody"/>
              <w:jc w:val="left"/>
              <w:rPr>
                <w:vertAlign w:val="superscript"/>
              </w:rPr>
            </w:pPr>
            <w:r>
              <w:t>-</w:t>
            </w:r>
            <w:proofErr w:type="gramStart"/>
            <w:r w:rsidR="00931C5F">
              <w:rPr>
                <w:vertAlign w:val="superscript"/>
              </w:rPr>
              <w:t>g</w:t>
            </w:r>
            <w:proofErr w:type="gramEnd"/>
          </w:p>
        </w:tc>
        <w:tc>
          <w:tcPr>
            <w:tcW w:w="1559" w:type="dxa"/>
            <w:tcBorders>
              <w:top w:val="nil"/>
              <w:left w:val="nil"/>
              <w:bottom w:val="nil"/>
              <w:right w:val="nil"/>
            </w:tcBorders>
          </w:tcPr>
          <w:p w14:paraId="06523CA5" w14:textId="2DDEC2F2" w:rsidR="0053473D" w:rsidRPr="00B446B0" w:rsidRDefault="00092B63" w:rsidP="0053473D">
            <w:pPr>
              <w:pStyle w:val="G4bTableBody"/>
              <w:jc w:val="left"/>
              <w:rPr>
                <w:vertAlign w:val="superscript"/>
              </w:rPr>
            </w:pPr>
            <w:r>
              <w:t>-</w:t>
            </w:r>
            <w:proofErr w:type="gramStart"/>
            <w:r w:rsidR="00B446B0">
              <w:rPr>
                <w:vertAlign w:val="superscript"/>
              </w:rPr>
              <w:t>l</w:t>
            </w:r>
            <w:proofErr w:type="gramEnd"/>
          </w:p>
        </w:tc>
        <w:tc>
          <w:tcPr>
            <w:tcW w:w="1559" w:type="dxa"/>
            <w:tcBorders>
              <w:top w:val="nil"/>
              <w:left w:val="nil"/>
              <w:bottom w:val="nil"/>
              <w:right w:val="nil"/>
            </w:tcBorders>
          </w:tcPr>
          <w:p w14:paraId="1BED3839" w14:textId="280B5B6E" w:rsidR="0053473D" w:rsidRDefault="00092B63" w:rsidP="00B3512F">
            <w:pPr>
              <w:pStyle w:val="G4bTableBody"/>
              <w:jc w:val="left"/>
            </w:pPr>
            <w:r>
              <w:t>15.8</w:t>
            </w:r>
          </w:p>
        </w:tc>
        <w:tc>
          <w:tcPr>
            <w:tcW w:w="1418" w:type="dxa"/>
            <w:tcBorders>
              <w:top w:val="nil"/>
              <w:left w:val="nil"/>
              <w:bottom w:val="nil"/>
              <w:right w:val="nil"/>
            </w:tcBorders>
          </w:tcPr>
          <w:p w14:paraId="7692919C" w14:textId="0F73ED55"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nil"/>
              <w:left w:val="nil"/>
              <w:bottom w:val="nil"/>
              <w:right w:val="nil"/>
            </w:tcBorders>
          </w:tcPr>
          <w:p w14:paraId="6FE902A2" w14:textId="77777777" w:rsidR="0053473D" w:rsidRDefault="00471879" w:rsidP="0053473D">
            <w:pPr>
              <w:pStyle w:val="G4bTableBody"/>
              <w:jc w:val="left"/>
            </w:pPr>
            <w:r>
              <w:t>3.10±0.35</w:t>
            </w:r>
          </w:p>
        </w:tc>
      </w:tr>
      <w:tr w:rsidR="00931C5F" w14:paraId="7B027EDD" w14:textId="77777777" w:rsidTr="00931C5F">
        <w:tc>
          <w:tcPr>
            <w:tcW w:w="1101" w:type="dxa"/>
            <w:tcBorders>
              <w:top w:val="nil"/>
              <w:left w:val="nil"/>
              <w:bottom w:val="nil"/>
              <w:right w:val="nil"/>
            </w:tcBorders>
          </w:tcPr>
          <w:p w14:paraId="5FEFA618" w14:textId="77777777" w:rsidR="0053473D" w:rsidRDefault="003B6F3B" w:rsidP="0053473D">
            <w:pPr>
              <w:pStyle w:val="G4bTableBody"/>
              <w:jc w:val="left"/>
            </w:pPr>
            <w:r>
              <w:t>5</w:t>
            </w:r>
          </w:p>
        </w:tc>
        <w:tc>
          <w:tcPr>
            <w:tcW w:w="2126" w:type="dxa"/>
            <w:tcBorders>
              <w:top w:val="nil"/>
              <w:left w:val="nil"/>
              <w:bottom w:val="nil"/>
              <w:right w:val="nil"/>
            </w:tcBorders>
          </w:tcPr>
          <w:p w14:paraId="07C3CC53" w14:textId="7B097CD1" w:rsidR="0053473D" w:rsidRDefault="00B3512F" w:rsidP="00B3512F">
            <w:pPr>
              <w:pStyle w:val="G4bTableBody"/>
              <w:jc w:val="left"/>
            </w:pPr>
            <w:r>
              <w:t>10.9</w:t>
            </w:r>
          </w:p>
        </w:tc>
        <w:tc>
          <w:tcPr>
            <w:tcW w:w="1276" w:type="dxa"/>
            <w:tcBorders>
              <w:top w:val="nil"/>
              <w:left w:val="nil"/>
              <w:bottom w:val="nil"/>
              <w:right w:val="nil"/>
            </w:tcBorders>
          </w:tcPr>
          <w:p w14:paraId="7D824B50" w14:textId="77777777" w:rsidR="0053473D" w:rsidRDefault="00A1374D" w:rsidP="00566EA9">
            <w:pPr>
              <w:pStyle w:val="G4bTableBody"/>
              <w:jc w:val="left"/>
            </w:pPr>
            <w:r>
              <w:t>3.9</w:t>
            </w:r>
          </w:p>
        </w:tc>
        <w:tc>
          <w:tcPr>
            <w:tcW w:w="1559" w:type="dxa"/>
            <w:tcBorders>
              <w:top w:val="nil"/>
              <w:left w:val="nil"/>
              <w:bottom w:val="nil"/>
              <w:right w:val="nil"/>
            </w:tcBorders>
          </w:tcPr>
          <w:p w14:paraId="0A9040FD" w14:textId="6176A700" w:rsidR="0053473D" w:rsidRDefault="00566EA9" w:rsidP="0006191E">
            <w:pPr>
              <w:pStyle w:val="G4bTableBody"/>
              <w:jc w:val="left"/>
            </w:pPr>
            <w:r>
              <w:t xml:space="preserve">&lt;10 </w:t>
            </w:r>
          </w:p>
        </w:tc>
        <w:tc>
          <w:tcPr>
            <w:tcW w:w="1559" w:type="dxa"/>
            <w:tcBorders>
              <w:top w:val="nil"/>
              <w:left w:val="nil"/>
              <w:bottom w:val="nil"/>
              <w:right w:val="nil"/>
            </w:tcBorders>
          </w:tcPr>
          <w:p w14:paraId="5B19E660" w14:textId="706A9C0D" w:rsidR="0053473D" w:rsidRDefault="00092B63" w:rsidP="0053473D">
            <w:pPr>
              <w:pStyle w:val="G4bTableBody"/>
              <w:jc w:val="left"/>
            </w:pPr>
            <w:r>
              <w:t>9.19</w:t>
            </w:r>
          </w:p>
        </w:tc>
        <w:tc>
          <w:tcPr>
            <w:tcW w:w="1418" w:type="dxa"/>
            <w:tcBorders>
              <w:top w:val="nil"/>
              <w:left w:val="nil"/>
              <w:bottom w:val="nil"/>
              <w:right w:val="nil"/>
            </w:tcBorders>
          </w:tcPr>
          <w:p w14:paraId="0BA7E11F" w14:textId="4588D323"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nil"/>
              <w:left w:val="nil"/>
              <w:bottom w:val="nil"/>
              <w:right w:val="nil"/>
            </w:tcBorders>
          </w:tcPr>
          <w:p w14:paraId="4274197C" w14:textId="77777777" w:rsidR="0053473D" w:rsidRDefault="00471879" w:rsidP="0053473D">
            <w:pPr>
              <w:pStyle w:val="G4bTableBody"/>
              <w:jc w:val="left"/>
            </w:pPr>
            <w:r>
              <w:t>3.68±0.31</w:t>
            </w:r>
          </w:p>
        </w:tc>
      </w:tr>
      <w:tr w:rsidR="00931C5F" w14:paraId="5B99B9D5" w14:textId="77777777" w:rsidTr="00931C5F">
        <w:tc>
          <w:tcPr>
            <w:tcW w:w="1101" w:type="dxa"/>
            <w:tcBorders>
              <w:top w:val="nil"/>
              <w:left w:val="nil"/>
              <w:bottom w:val="nil"/>
              <w:right w:val="nil"/>
            </w:tcBorders>
          </w:tcPr>
          <w:p w14:paraId="29C9D5CE" w14:textId="77777777" w:rsidR="0053473D" w:rsidRDefault="003B6F3B" w:rsidP="0053473D">
            <w:pPr>
              <w:pStyle w:val="G4bTableBody"/>
              <w:jc w:val="left"/>
            </w:pPr>
            <w:r>
              <w:t>6</w:t>
            </w:r>
          </w:p>
        </w:tc>
        <w:tc>
          <w:tcPr>
            <w:tcW w:w="2126" w:type="dxa"/>
            <w:tcBorders>
              <w:top w:val="nil"/>
              <w:left w:val="nil"/>
              <w:bottom w:val="nil"/>
              <w:right w:val="nil"/>
            </w:tcBorders>
          </w:tcPr>
          <w:p w14:paraId="3F1BFA81" w14:textId="36064EFE" w:rsidR="0053473D" w:rsidRDefault="00A1374D" w:rsidP="00B3512F">
            <w:pPr>
              <w:pStyle w:val="G4bTableBody"/>
              <w:jc w:val="left"/>
            </w:pPr>
            <w:r>
              <w:t>2.43</w:t>
            </w:r>
          </w:p>
        </w:tc>
        <w:tc>
          <w:tcPr>
            <w:tcW w:w="1276" w:type="dxa"/>
            <w:tcBorders>
              <w:top w:val="nil"/>
              <w:left w:val="nil"/>
              <w:bottom w:val="nil"/>
              <w:right w:val="nil"/>
            </w:tcBorders>
          </w:tcPr>
          <w:p w14:paraId="2F660952" w14:textId="77777777" w:rsidR="0053473D" w:rsidRDefault="00A1374D" w:rsidP="00566EA9">
            <w:pPr>
              <w:pStyle w:val="G4bTableBody"/>
              <w:jc w:val="left"/>
            </w:pPr>
            <w:r>
              <w:t>3.4</w:t>
            </w:r>
          </w:p>
        </w:tc>
        <w:tc>
          <w:tcPr>
            <w:tcW w:w="1559" w:type="dxa"/>
            <w:tcBorders>
              <w:top w:val="nil"/>
              <w:left w:val="nil"/>
              <w:bottom w:val="nil"/>
              <w:right w:val="nil"/>
            </w:tcBorders>
          </w:tcPr>
          <w:p w14:paraId="78805C30" w14:textId="5ED396AE" w:rsidR="0053473D" w:rsidRPr="00931C5F" w:rsidRDefault="00566EA9" w:rsidP="0053473D">
            <w:pPr>
              <w:pStyle w:val="G4bTableBody"/>
              <w:jc w:val="left"/>
            </w:pPr>
            <w:r>
              <w:t>8.72</w:t>
            </w:r>
            <w:r w:rsidR="002330F4">
              <w:rPr>
                <w:vertAlign w:val="superscript"/>
              </w:rPr>
              <w:t>j</w:t>
            </w:r>
          </w:p>
        </w:tc>
        <w:tc>
          <w:tcPr>
            <w:tcW w:w="1559" w:type="dxa"/>
            <w:tcBorders>
              <w:top w:val="nil"/>
              <w:left w:val="nil"/>
              <w:bottom w:val="nil"/>
              <w:right w:val="nil"/>
            </w:tcBorders>
          </w:tcPr>
          <w:p w14:paraId="6F5D8FA0" w14:textId="057CD5D1" w:rsidR="0053473D" w:rsidRDefault="00566EA9" w:rsidP="00B3512F">
            <w:pPr>
              <w:pStyle w:val="G4bTableBody"/>
              <w:jc w:val="left"/>
            </w:pPr>
            <w:r>
              <w:t>13.</w:t>
            </w:r>
            <w:r w:rsidR="00B3512F">
              <w:t>8</w:t>
            </w:r>
          </w:p>
        </w:tc>
        <w:tc>
          <w:tcPr>
            <w:tcW w:w="1418" w:type="dxa"/>
            <w:tcBorders>
              <w:top w:val="nil"/>
              <w:left w:val="nil"/>
              <w:bottom w:val="nil"/>
              <w:right w:val="nil"/>
            </w:tcBorders>
          </w:tcPr>
          <w:p w14:paraId="735BE66E" w14:textId="26AADC97" w:rsidR="0053473D" w:rsidRPr="00931C5F" w:rsidRDefault="00566EA9" w:rsidP="0053473D">
            <w:pPr>
              <w:pStyle w:val="G4bTableBody"/>
              <w:jc w:val="left"/>
              <w:rPr>
                <w:vertAlign w:val="superscript"/>
              </w:rPr>
            </w:pPr>
            <w:r>
              <w:t>&lt;10</w:t>
            </w:r>
            <w:r w:rsidR="002330F4">
              <w:rPr>
                <w:vertAlign w:val="superscript"/>
              </w:rPr>
              <w:t>k</w:t>
            </w:r>
          </w:p>
        </w:tc>
        <w:tc>
          <w:tcPr>
            <w:tcW w:w="1382" w:type="dxa"/>
            <w:tcBorders>
              <w:top w:val="nil"/>
              <w:left w:val="nil"/>
              <w:bottom w:val="nil"/>
              <w:right w:val="nil"/>
            </w:tcBorders>
          </w:tcPr>
          <w:p w14:paraId="27A40D2A" w14:textId="77777777" w:rsidR="0053473D" w:rsidRDefault="00471879" w:rsidP="0053473D">
            <w:pPr>
              <w:pStyle w:val="G4bTableBody"/>
              <w:jc w:val="left"/>
            </w:pPr>
            <w:r>
              <w:t>5.31±0.67</w:t>
            </w:r>
          </w:p>
        </w:tc>
      </w:tr>
      <w:tr w:rsidR="003B6F3B" w14:paraId="0F23306D" w14:textId="77777777" w:rsidTr="003B6F3B">
        <w:tc>
          <w:tcPr>
            <w:tcW w:w="10421" w:type="dxa"/>
            <w:gridSpan w:val="7"/>
            <w:tcBorders>
              <w:top w:val="nil"/>
              <w:left w:val="nil"/>
              <w:bottom w:val="nil"/>
              <w:right w:val="nil"/>
            </w:tcBorders>
          </w:tcPr>
          <w:p w14:paraId="337AF559" w14:textId="222869FA" w:rsidR="003B6F3B" w:rsidRPr="00B446B0" w:rsidRDefault="00A06776" w:rsidP="00EA0E65">
            <w:pPr>
              <w:pStyle w:val="G4cTableFootnote"/>
              <w:spacing w:before="240"/>
            </w:pPr>
            <w:proofErr w:type="gramStart"/>
            <w:r>
              <w:rPr>
                <w:vertAlign w:val="superscript"/>
              </w:rPr>
              <w:t>a</w:t>
            </w:r>
            <w:proofErr w:type="gramEnd"/>
            <w:r>
              <w:t xml:space="preserve"> </w:t>
            </w:r>
            <w:r w:rsidR="00983C3D">
              <w:t>EC</w:t>
            </w:r>
            <w:r w:rsidR="00983C3D">
              <w:rPr>
                <w:vertAlign w:val="subscript"/>
              </w:rPr>
              <w:t>50, 270s</w:t>
            </w:r>
            <w:r w:rsidR="00983C3D">
              <w:t xml:space="preserve"> is the concentration in </w:t>
            </w:r>
            <w:proofErr w:type="spellStart"/>
            <w:r w:rsidR="00983C3D">
              <w:t>mol</w:t>
            </w:r>
            <w:proofErr w:type="spellEnd"/>
            <w:r w:rsidR="00983C3D">
              <w:t xml:space="preserve">%  of carrier with respect to lipid needed to obtain 50% chloride efflux in 270s from </w:t>
            </w:r>
            <w:proofErr w:type="spellStart"/>
            <w:r w:rsidR="00983C3D">
              <w:t>unilamellar</w:t>
            </w:r>
            <w:proofErr w:type="spellEnd"/>
            <w:r w:rsidR="00983C3D">
              <w:t xml:space="preserve"> POPC vesicles, obtained through Hill plot analysis using vesicles containing </w:t>
            </w:r>
            <w:proofErr w:type="spellStart"/>
            <w:r w:rsidR="00983C3D">
              <w:t>NaCl</w:t>
            </w:r>
            <w:proofErr w:type="spellEnd"/>
            <w:r w:rsidR="00983C3D">
              <w:t xml:space="preserve"> dispersed in NaNO</w:t>
            </w:r>
            <w:r w:rsidR="00983C3D">
              <w:rPr>
                <w:vertAlign w:val="subscript"/>
              </w:rPr>
              <w:t>3</w:t>
            </w:r>
            <w:r w:rsidR="00151B0C">
              <w:t xml:space="preserve"> solution (see F</w:t>
            </w:r>
            <w:r w:rsidR="00983C3D">
              <w:t xml:space="preserve">ig </w:t>
            </w:r>
            <w:r w:rsidR="00004B9E" w:rsidRPr="00004B9E">
              <w:rPr>
                <w:b/>
              </w:rPr>
              <w:t>1</w:t>
            </w:r>
            <w:r w:rsidR="00983C3D">
              <w:t xml:space="preserve"> and ESI).</w:t>
            </w:r>
            <w:r w:rsidR="00471879">
              <w:t xml:space="preserve"> Each EC</w:t>
            </w:r>
            <w:r w:rsidR="00471879">
              <w:rPr>
                <w:vertAlign w:val="subscript"/>
              </w:rPr>
              <w:t>50</w:t>
            </w:r>
            <w:r w:rsidR="00471879">
              <w:t xml:space="preserve"> is </w:t>
            </w:r>
            <w:r w:rsidR="00B446B0">
              <w:t>an average of at least 3 repeated plots</w:t>
            </w:r>
            <w:r w:rsidR="00471879">
              <w:t>.</w:t>
            </w:r>
            <w:r w:rsidR="00983C3D">
              <w:t xml:space="preserve"> </w:t>
            </w:r>
            <w:proofErr w:type="gramStart"/>
            <w:r w:rsidR="00983C3D">
              <w:rPr>
                <w:vertAlign w:val="superscript"/>
              </w:rPr>
              <w:t>b</w:t>
            </w:r>
            <w:proofErr w:type="gramEnd"/>
            <w:r w:rsidR="00983C3D">
              <w:t xml:space="preserve"> Hill coefficient for </w:t>
            </w:r>
            <w:proofErr w:type="spellStart"/>
            <w:r w:rsidR="00983C3D">
              <w:t>Cl</w:t>
            </w:r>
            <w:proofErr w:type="spellEnd"/>
            <w:r w:rsidR="00983C3D">
              <w:rPr>
                <w:vertAlign w:val="superscript"/>
              </w:rPr>
              <w:t>-</w:t>
            </w:r>
            <w:r w:rsidR="00983C3D">
              <w:t>/NO</w:t>
            </w:r>
            <w:r w:rsidR="00983C3D">
              <w:rPr>
                <w:vertAlign w:val="subscript"/>
              </w:rPr>
              <w:t>3</w:t>
            </w:r>
            <w:r w:rsidR="00983C3D">
              <w:rPr>
                <w:vertAlign w:val="superscript"/>
              </w:rPr>
              <w:t>-</w:t>
            </w:r>
            <w:r w:rsidR="00983C3D">
              <w:t xml:space="preserve"> experiments. </w:t>
            </w:r>
            <w:proofErr w:type="gramStart"/>
            <w:r w:rsidR="00983C3D">
              <w:rPr>
                <w:vertAlign w:val="superscript"/>
              </w:rPr>
              <w:t>c</w:t>
            </w:r>
            <w:proofErr w:type="gramEnd"/>
            <w:r w:rsidR="00B446B0">
              <w:t xml:space="preserve"> Association constant  in </w:t>
            </w:r>
            <w:r w:rsidR="00983C3D">
              <w:t>M</w:t>
            </w:r>
            <w:r w:rsidR="00983C3D">
              <w:rPr>
                <w:vertAlign w:val="superscript"/>
              </w:rPr>
              <w:t>-1</w:t>
            </w:r>
            <w:r w:rsidR="00983C3D">
              <w:t xml:space="preserve"> for receptors </w:t>
            </w:r>
            <w:r w:rsidR="00983C3D">
              <w:rPr>
                <w:b/>
              </w:rPr>
              <w:t>1-6</w:t>
            </w:r>
            <w:r w:rsidR="00983C3D">
              <w:t xml:space="preserve"> with either </w:t>
            </w:r>
            <w:proofErr w:type="spellStart"/>
            <w:r w:rsidR="00983C3D">
              <w:t>TBACl</w:t>
            </w:r>
            <w:proofErr w:type="spellEnd"/>
            <w:r w:rsidR="00983C3D">
              <w:t>, TEAHCO</w:t>
            </w:r>
            <w:r w:rsidR="00983C3D">
              <w:rPr>
                <w:vertAlign w:val="subscript"/>
              </w:rPr>
              <w:t>3</w:t>
            </w:r>
            <w:r w:rsidR="00983C3D">
              <w:t xml:space="preserve"> or TBANO</w:t>
            </w:r>
            <w:r w:rsidR="00983C3D">
              <w:rPr>
                <w:vertAlign w:val="subscript"/>
              </w:rPr>
              <w:t>3</w:t>
            </w:r>
            <w:r w:rsidR="00983C3D">
              <w:t xml:space="preserve"> in  DMSO-d</w:t>
            </w:r>
            <w:r w:rsidR="00983C3D">
              <w:rPr>
                <w:vertAlign w:val="subscript"/>
              </w:rPr>
              <w:t>6</w:t>
            </w:r>
            <w:r w:rsidR="00983C3D">
              <w:t>/0.5% H</w:t>
            </w:r>
            <w:r w:rsidR="00983C3D">
              <w:rPr>
                <w:vertAlign w:val="subscript"/>
              </w:rPr>
              <w:t>2</w:t>
            </w:r>
            <w:r w:rsidR="00931C5F">
              <w:t>O at 298K, fitted to a 1:1 binding model with most downfield NH unless stated.</w:t>
            </w:r>
            <w:r w:rsidR="00A3421B">
              <w:t xml:space="preserve"> All errors &lt; 15%</w:t>
            </w:r>
            <w:r w:rsidR="00983C3D">
              <w:t xml:space="preserve"> </w:t>
            </w:r>
            <w:r w:rsidR="00983C3D">
              <w:rPr>
                <w:vertAlign w:val="superscript"/>
              </w:rPr>
              <w:t>d</w:t>
            </w:r>
            <w:r w:rsidR="00A1374D">
              <w:rPr>
                <w:vertAlign w:val="superscript"/>
              </w:rPr>
              <w:t xml:space="preserve"> </w:t>
            </w:r>
            <w:r w:rsidR="007957DF">
              <w:t>Calculated log patrician coefficient,</w:t>
            </w:r>
            <w:r w:rsidR="007957DF">
              <w:rPr>
                <w:vertAlign w:val="superscript"/>
              </w:rPr>
              <w:t xml:space="preserve"> </w:t>
            </w:r>
            <w:r w:rsidR="007957DF">
              <w:t>a</w:t>
            </w:r>
            <w:r w:rsidR="00983C3D">
              <w:t>verage calculation</w:t>
            </w:r>
            <w:r w:rsidR="00A1374D">
              <w:t xml:space="preserve"> from VCCLab</w:t>
            </w:r>
            <w:r w:rsidR="00A1374D">
              <w:fldChar w:fldCharType="begin" w:fldLock="1"/>
            </w:r>
            <w:r w:rsidR="00EA0E65">
              <w:instrText>ADDIN CSL_CITATION { "citationItems" : [ { "id" : "ITEM-1", "itemData" : { "DOI" : "10.1007/s10822-005-8694-y", "ISSN" : "0920-654X", "PMID" : "16231203", "abstract" : "Internet technology offers an excellent opportunity for the development of tools by the cooperative effort of various groups and institutions. We have developed a multi-platform software system, Virtual Computational Chemistry Laboratory, http://www.vcclab.org, allowing the computational chemist to perform a comprehensive series of molecular indices/properties calculations and data analysis. The implemented software is based on a three-tier architecture that is one of the standard technologies to provide client-server services on the Internet. The developed software includes several popular programs, including the indices generation program, DRAGON, a 3D structure generator, CORINA, a program to predict lipophilicity and aqueous solubility of chemicals, ALOGPS and others. All these programs are running at the host institutes located in five countries over Europe. In this article we review the main features and statistics of the developed system that can be used as a prototype for academic and industry models.", "author" : [ { "dropping-particle" : "V", "family" : "Tetko", "given" : "Igor", "non-dropping-particle" : "", "parse-names" : false, "suffix" : "" }, { "dropping-particle" : "", "family" : "Gasteiger", "given" : "Johann", "non-dropping-particle" : "", "parse-names" : false, "suffix" : "" }, { "dropping-particle" : "", "family" : "Todeschini", "given" : "Roberto", "non-dropping-particle" : "", "parse-names" : false, "suffix" : "" }, { "dropping-particle" : "", "family" : "Mauri", "given" : "Andrea", "non-dropping-particle" : "", "parse-names" : false, "suffix" : "" }, { "dropping-particle" : "", "family" : "Livingstone", "given" : "David", "non-dropping-particle" : "", "parse-names" : false, "suffix" : "" }, { "dropping-particle" : "", "family" : "Ertl", "given" : "Peter", "non-dropping-particle" : "", "parse-names" : false, "suffix" : "" }, { "dropping-particle" : "", "family" : "Palyulin", "given" : "Vladimir a", "non-dropping-particle" : "", "parse-names" : false, "suffix" : "" }, { "dropping-particle" : "V", "family" : "Radchenko", "given" : "Eugene", "non-dropping-particle" : "", "parse-names" : false, "suffix" : "" }, { "dropping-particle" : "", "family" : "Zefirov", "given" : "Nikolay S", "non-dropping-particle" : "", "parse-names" : false, "suffix" : "" }, { "dropping-particle" : "", "family" : "Makarenko", "given" : "Alexander S", "non-dropping-particle" : "", "parse-names" : false, "suffix" : "" }, { "dropping-particle" : "", "family" : "Tanchuk", "given" : "Vsevolod Yu", "non-dropping-particle" : "", "parse-names" : false, "suffix" : "" }, { "dropping-particle" : "V", "family" : "Prokopenko", "given" : "Volodymyr", "non-dropping-particle" : "", "parse-names" : false, "suffix" : "" } ], "container-title" : "Journal of computer-aided molecular design", "id" : "ITEM-1", "issue" : "6", "issued" : { "date-parts" : [ [ "2005", "6" ] ] }, "page" : "453-63", "title" : "Virtual computational chemistry laboratory--design and description.", "type" : "article-journal", "volume" : "19" }, "uris" : [ "http://www.mendeley.com/documents/?uuid=1f485357-b219-4dd5-886f-67ce33eb2e9b" ] } ], "mendeley" : { "formattedCitation" : "&lt;sup&gt;24&lt;/sup&gt;", "plainTextFormattedCitation" : "24", "previouslyFormattedCitation" : "&lt;sup&gt;23&lt;/sup&gt;" }, "properties" : { "noteIndex" : 0 }, "schema" : "https://github.com/citation-style-language/schema/raw/master/csl-citation.json" }</w:instrText>
            </w:r>
            <w:r w:rsidR="00A1374D">
              <w:fldChar w:fldCharType="separate"/>
            </w:r>
            <w:r w:rsidR="00EA0E65" w:rsidRPr="00EA0E65">
              <w:rPr>
                <w:noProof/>
                <w:vertAlign w:val="superscript"/>
              </w:rPr>
              <w:t>24</w:t>
            </w:r>
            <w:r w:rsidR="00A1374D">
              <w:fldChar w:fldCharType="end"/>
            </w:r>
            <w:r w:rsidR="00931C5F">
              <w:t xml:space="preserve"> </w:t>
            </w:r>
            <w:r w:rsidR="00931C5F">
              <w:rPr>
                <w:vertAlign w:val="superscript"/>
              </w:rPr>
              <w:t>e</w:t>
            </w:r>
            <w:r w:rsidR="00931C5F">
              <w:t xml:space="preserve"> Max efflux only reaches 50%. </w:t>
            </w:r>
            <w:proofErr w:type="gramStart"/>
            <w:r w:rsidR="00931C5F">
              <w:rPr>
                <w:vertAlign w:val="superscript"/>
              </w:rPr>
              <w:t>f</w:t>
            </w:r>
            <w:proofErr w:type="gramEnd"/>
            <w:r w:rsidR="00931C5F">
              <w:t xml:space="preserve"> Average of 5 repeated Hill plots. </w:t>
            </w:r>
            <w:proofErr w:type="gramStart"/>
            <w:r w:rsidR="00931C5F">
              <w:rPr>
                <w:vertAlign w:val="superscript"/>
              </w:rPr>
              <w:t>g</w:t>
            </w:r>
            <w:proofErr w:type="gramEnd"/>
            <w:r w:rsidR="00931C5F">
              <w:t xml:space="preserve"> Not determined due to inactivity. </w:t>
            </w:r>
            <w:proofErr w:type="gramStart"/>
            <w:r w:rsidR="00931C5F">
              <w:rPr>
                <w:vertAlign w:val="superscript"/>
              </w:rPr>
              <w:t>h</w:t>
            </w:r>
            <w:proofErr w:type="gramEnd"/>
            <w:r w:rsidR="00931C5F">
              <w:t xml:space="preserve"> Significant broadening of </w:t>
            </w:r>
            <w:proofErr w:type="spellStart"/>
            <w:r w:rsidR="00931C5F">
              <w:t>isophthalamide</w:t>
            </w:r>
            <w:proofErr w:type="spellEnd"/>
            <w:r w:rsidR="00931C5F">
              <w:t xml:space="preserve"> NH’s observed. </w:t>
            </w:r>
            <w:proofErr w:type="spellStart"/>
            <w:proofErr w:type="gramStart"/>
            <w:r w:rsidR="002330F4">
              <w:rPr>
                <w:vertAlign w:val="superscript"/>
              </w:rPr>
              <w:t>i</w:t>
            </w:r>
            <w:proofErr w:type="spellEnd"/>
            <w:proofErr w:type="gramEnd"/>
            <w:r w:rsidR="00931C5F">
              <w:t xml:space="preserve"> Dramatic colour change upon addition of TMA bicarbonate. </w:t>
            </w:r>
            <w:proofErr w:type="gramStart"/>
            <w:r w:rsidR="002330F4">
              <w:rPr>
                <w:vertAlign w:val="superscript"/>
              </w:rPr>
              <w:t>j</w:t>
            </w:r>
            <w:proofErr w:type="gramEnd"/>
            <w:r w:rsidR="00931C5F">
              <w:t xml:space="preserve"> Follows downfield shift of central </w:t>
            </w:r>
            <w:proofErr w:type="spellStart"/>
            <w:r w:rsidR="00931C5F">
              <w:t>isophthalamide</w:t>
            </w:r>
            <w:proofErr w:type="spellEnd"/>
            <w:r w:rsidR="00931C5F">
              <w:t xml:space="preserve"> CH. </w:t>
            </w:r>
            <w:r w:rsidR="002330F4">
              <w:rPr>
                <w:vertAlign w:val="superscript"/>
              </w:rPr>
              <w:t>k</w:t>
            </w:r>
            <w:r w:rsidR="00931C5F">
              <w:rPr>
                <w:vertAlign w:val="superscript"/>
              </w:rPr>
              <w:t xml:space="preserve"> </w:t>
            </w:r>
            <w:r w:rsidR="00931C5F">
              <w:t>No measurable interaction observed.</w:t>
            </w:r>
            <w:r w:rsidR="00B446B0">
              <w:t xml:space="preserve"> </w:t>
            </w:r>
            <w:proofErr w:type="gramStart"/>
            <w:r w:rsidR="00B446B0">
              <w:rPr>
                <w:vertAlign w:val="superscript"/>
              </w:rPr>
              <w:t>l</w:t>
            </w:r>
            <w:proofErr w:type="gramEnd"/>
            <w:r w:rsidR="00B446B0">
              <w:t xml:space="preserve"> Binding constant could not be fitted to a 1:1 isotherm.</w:t>
            </w:r>
          </w:p>
        </w:tc>
      </w:tr>
    </w:tbl>
    <w:p w14:paraId="611D9138" w14:textId="77777777" w:rsidR="00596436" w:rsidRDefault="00596436" w:rsidP="00596436">
      <w:pPr>
        <w:pStyle w:val="G1bFigureCaption"/>
        <w:sectPr w:rsidR="00596436" w:rsidSect="00205BDA">
          <w:type w:val="continuous"/>
          <w:pgSz w:w="11907" w:h="15593" w:code="9"/>
          <w:pgMar w:top="1009" w:right="851" w:bottom="1134" w:left="851" w:header="510" w:footer="510" w:gutter="0"/>
          <w:cols w:space="227"/>
          <w:titlePg/>
          <w:docGrid w:linePitch="360"/>
        </w:sectPr>
      </w:pPr>
    </w:p>
    <w:p w14:paraId="7E906B69" w14:textId="64BDBD9E" w:rsidR="00642100" w:rsidRPr="00642100" w:rsidRDefault="00642100" w:rsidP="00642100">
      <w:pPr>
        <w:pStyle w:val="08ArticleText"/>
        <w:sectPr w:rsidR="00642100" w:rsidRPr="00642100" w:rsidSect="00596436">
          <w:type w:val="continuous"/>
          <w:pgSz w:w="11907" w:h="15593" w:code="9"/>
          <w:pgMar w:top="1009" w:right="851" w:bottom="1134" w:left="851" w:header="510" w:footer="510" w:gutter="0"/>
          <w:cols w:num="2" w:space="227"/>
          <w:titlePg/>
          <w:docGrid w:linePitch="360"/>
        </w:sectPr>
      </w:pPr>
    </w:p>
    <w:p w14:paraId="176DA774" w14:textId="387134C6" w:rsidR="007B4C1D" w:rsidRDefault="007B4C1D" w:rsidP="00F545BA">
      <w:pPr>
        <w:pStyle w:val="G1aFigureImage"/>
      </w:pPr>
      <w:r>
        <w:rPr>
          <w:noProof/>
          <w:lang w:val="en-US"/>
        </w:rPr>
        <w:lastRenderedPageBreak/>
        <w:drawing>
          <wp:inline distT="0" distB="0" distL="0" distR="0" wp14:anchorId="16E6E34E" wp14:editId="2E504FE1">
            <wp:extent cx="3164840" cy="2373630"/>
            <wp:effectExtent l="0" t="0" r="10160" b="0"/>
            <wp:docPr id="7" name="Picture 7" descr="Macintosh HD:Users:philgale:Documents:Publications:In preparation:Stuart's paper:Updated Tiffs:Figure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philgale:Documents:Publications:In preparation:Stuart's paper:Updated Tiffs:Figure 1.t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64840" cy="2373630"/>
                    </a:xfrm>
                    <a:prstGeom prst="rect">
                      <a:avLst/>
                    </a:prstGeom>
                    <a:noFill/>
                    <a:ln>
                      <a:noFill/>
                    </a:ln>
                  </pic:spPr>
                </pic:pic>
              </a:graphicData>
            </a:graphic>
          </wp:inline>
        </w:drawing>
      </w:r>
    </w:p>
    <w:p w14:paraId="606F36D1" w14:textId="6333081D" w:rsidR="00596436" w:rsidRPr="00642100" w:rsidRDefault="00642100" w:rsidP="00642100">
      <w:pPr>
        <w:pStyle w:val="G1bFigureCaption"/>
      </w:pPr>
      <w:r>
        <w:t xml:space="preserve">Figure 1: Chloride Efflux as a function of time promoted by addition of 4 </w:t>
      </w:r>
      <w:proofErr w:type="spellStart"/>
      <w:r>
        <w:t>mol</w:t>
      </w:r>
      <w:proofErr w:type="spellEnd"/>
      <w:r>
        <w:t xml:space="preserve">% (with respect to lipid concentration) of receptors </w:t>
      </w:r>
      <w:r>
        <w:rPr>
          <w:b/>
        </w:rPr>
        <w:t>1-6</w:t>
      </w:r>
      <w:r>
        <w:t xml:space="preserve"> from </w:t>
      </w:r>
      <w:proofErr w:type="spellStart"/>
      <w:r>
        <w:t>unilamellar</w:t>
      </w:r>
      <w:proofErr w:type="spellEnd"/>
      <w:r w:rsidR="00735D87">
        <w:t xml:space="preserve"> POPC vesicles containing 489 </w:t>
      </w:r>
      <w:proofErr w:type="spellStart"/>
      <w:r w:rsidR="00735D87">
        <w:t>mM</w:t>
      </w:r>
      <w:proofErr w:type="spellEnd"/>
      <w:r w:rsidR="00735D87">
        <w:t xml:space="preserve"> </w:t>
      </w:r>
      <w:proofErr w:type="spellStart"/>
      <w:r w:rsidR="00735D87">
        <w:t>NaCl</w:t>
      </w:r>
      <w:proofErr w:type="spellEnd"/>
      <w:r w:rsidR="00735D87">
        <w:t xml:space="preserve"> buffered to pH 7.2 with 5 </w:t>
      </w:r>
      <w:proofErr w:type="spellStart"/>
      <w:r w:rsidR="00735D87">
        <w:t>mM</w:t>
      </w:r>
      <w:proofErr w:type="spellEnd"/>
      <w:r w:rsidR="00735D87">
        <w:t xml:space="preserve"> phosphate salts. The vesicles were dispersed in 489 </w:t>
      </w:r>
      <w:proofErr w:type="spellStart"/>
      <w:r w:rsidR="00735D87">
        <w:t>mM</w:t>
      </w:r>
      <w:proofErr w:type="spellEnd"/>
      <w:r w:rsidR="00735D87">
        <w:t xml:space="preserve"> NaNO</w:t>
      </w:r>
      <w:r w:rsidR="00735D87">
        <w:rPr>
          <w:vertAlign w:val="subscript"/>
        </w:rPr>
        <w:t>3</w:t>
      </w:r>
      <w:r w:rsidR="00735D87">
        <w:t xml:space="preserve"> buffered to pH 7.2 with 5 </w:t>
      </w:r>
      <w:proofErr w:type="spellStart"/>
      <w:r w:rsidR="00735D87">
        <w:t>mM</w:t>
      </w:r>
      <w:proofErr w:type="spellEnd"/>
      <w:r w:rsidR="00735D87">
        <w:t xml:space="preserve"> phosphate salts. The receptors were added as a DMSO solution. At the end of the experiment, the vesicles were lysed to calibrate the electrode to 100% efflux. Each point is an average of 3 repeated </w:t>
      </w:r>
      <w:r w:rsidR="0090683D">
        <w:t>experiments;</w:t>
      </w:r>
      <w:r w:rsidR="00735D87">
        <w:t xml:space="preserve"> see ESI for a version of this graph with error bars.</w:t>
      </w:r>
      <w:r>
        <w:t xml:space="preserve"> </w:t>
      </w:r>
    </w:p>
    <w:p w14:paraId="23943145" w14:textId="744E1441" w:rsidR="00096CF9" w:rsidRDefault="00735D87" w:rsidP="00735D87">
      <w:pPr>
        <w:pStyle w:val="08ArticleText"/>
      </w:pPr>
      <w:r>
        <w:t xml:space="preserve">Compounds </w:t>
      </w:r>
      <w:r>
        <w:rPr>
          <w:b/>
        </w:rPr>
        <w:t>2</w:t>
      </w:r>
      <w:r>
        <w:t xml:space="preserve">, </w:t>
      </w:r>
      <w:r>
        <w:rPr>
          <w:b/>
        </w:rPr>
        <w:t>3</w:t>
      </w:r>
      <w:r>
        <w:t xml:space="preserve"> and </w:t>
      </w:r>
      <w:r>
        <w:rPr>
          <w:b/>
        </w:rPr>
        <w:t>6</w:t>
      </w:r>
      <w:r>
        <w:t xml:space="preserve"> are </w:t>
      </w:r>
      <w:r w:rsidR="00BD000A">
        <w:t>the most active</w:t>
      </w:r>
      <w:r>
        <w:t xml:space="preserve"> tra</w:t>
      </w:r>
      <w:r w:rsidR="00BD000A">
        <w:t xml:space="preserve">nsporters </w:t>
      </w:r>
      <w:r w:rsidR="004F6A52">
        <w:t>under these conditions</w:t>
      </w:r>
      <w:r w:rsidR="00BD000A">
        <w:t xml:space="preserve">, </w:t>
      </w:r>
      <w:r w:rsidR="000F6296">
        <w:t>and inter</w:t>
      </w:r>
      <w:r w:rsidR="00EB168A">
        <w:t>e</w:t>
      </w:r>
      <w:r w:rsidR="000F6296">
        <w:t>stingly</w:t>
      </w:r>
      <w:r w:rsidR="00C52D49">
        <w:t xml:space="preserve"> these compounds </w:t>
      </w:r>
      <w:r w:rsidR="00DC2E7D">
        <w:t>a</w:t>
      </w:r>
      <w:r w:rsidR="00C52D49">
        <w:t>re the most aromatic of the series and</w:t>
      </w:r>
      <w:r w:rsidR="004F6A52">
        <w:t xml:space="preserve"> contain the </w:t>
      </w:r>
      <w:r w:rsidR="0034384F">
        <w:t xml:space="preserve">largest </w:t>
      </w:r>
      <w:r w:rsidR="0034384F" w:rsidRPr="006140A6">
        <w:rPr>
          <w:color w:val="000000"/>
        </w:rPr>
        <w:t>π</w:t>
      </w:r>
      <w:r w:rsidR="0034384F">
        <w:rPr>
          <w:color w:val="000000"/>
        </w:rPr>
        <w:t>-systems</w:t>
      </w:r>
      <w:r>
        <w:t xml:space="preserve"> of the six transporters tested</w:t>
      </w:r>
      <w:r w:rsidR="00CA3AE4">
        <w:t>.</w:t>
      </w:r>
      <w:r w:rsidR="0034384F">
        <w:t xml:space="preserve"> </w:t>
      </w:r>
      <w:r w:rsidR="00CA3AE4">
        <w:t>Table 1 shows a calculated partition coefficient for the compounds used in this study (</w:t>
      </w:r>
      <w:proofErr w:type="spellStart"/>
      <w:r w:rsidR="00CA3AE4">
        <w:t>clogP</w:t>
      </w:r>
      <w:proofErr w:type="spellEnd"/>
      <w:r w:rsidR="00CA3AE4">
        <w:t xml:space="preserve">, </w:t>
      </w:r>
      <w:r w:rsidR="00CA3AE4">
        <w:lastRenderedPageBreak/>
        <w:t>VCClabs</w:t>
      </w:r>
      <w:r w:rsidR="00CA3AE4">
        <w:fldChar w:fldCharType="begin" w:fldLock="1"/>
      </w:r>
      <w:r w:rsidR="00EA0E65">
        <w:instrText>ADDIN CSL_CITATION { "citationItems" : [ { "id" : "ITEM-1", "itemData" : { "DOI" : "10.1007/s10822-005-8694-y", "ISSN" : "0920-654X", "PMID" : "16231203", "abstract" : "Internet technology offers an excellent opportunity for the development of tools by the cooperative effort of various groups and institutions. We have developed a multi-platform software system, Virtual Computational Chemistry Laboratory, http://www.vcclab.org, allowing the computational chemist to perform a comprehensive series of molecular indices/properties calculations and data analysis. The implemented software is based on a three-tier architecture that is one of the standard technologies to provide client-server services on the Internet. The developed software includes several popular programs, including the indices generation program, DRAGON, a 3D structure generator, CORINA, a program to predict lipophilicity and aqueous solubility of chemicals, ALOGPS and others. All these programs are running at the host institutes located in five countries over Europe. In this article we review the main features and statistics of the developed system that can be used as a prototype for academic and industry models.", "author" : [ { "dropping-particle" : "V", "family" : "Tetko", "given" : "Igor", "non-dropping-particle" : "", "parse-names" : false, "suffix" : "" }, { "dropping-particle" : "", "family" : "Gasteiger", "given" : "Johann", "non-dropping-particle" : "", "parse-names" : false, "suffix" : "" }, { "dropping-particle" : "", "family" : "Todeschini", "given" : "Roberto", "non-dropping-particle" : "", "parse-names" : false, "suffix" : "" }, { "dropping-particle" : "", "family" : "Mauri", "given" : "Andrea", "non-dropping-particle" : "", "parse-names" : false, "suffix" : "" }, { "dropping-particle" : "", "family" : "Livingstone", "given" : "David", "non-dropping-particle" : "", "parse-names" : false, "suffix" : "" }, { "dropping-particle" : "", "family" : "Ertl", "given" : "Peter", "non-dropping-particle" : "", "parse-names" : false, "suffix" : "" }, { "dropping-particle" : "", "family" : "Palyulin", "given" : "Vladimir a", "non-dropping-particle" : "", "parse-names" : false, "suffix" : "" }, { "dropping-particle" : "V", "family" : "Radchenko", "given" : "Eugene", "non-dropping-particle" : "", "parse-names" : false, "suffix" : "" }, { "dropping-particle" : "", "family" : "Zefirov", "given" : "Nikolay S", "non-dropping-particle" : "", "parse-names" : false, "suffix" : "" }, { "dropping-particle" : "", "family" : "Makarenko", "given" : "Alexander S", "non-dropping-particle" : "", "parse-names" : false, "suffix" : "" }, { "dropping-particle" : "", "family" : "Tanchuk", "given" : "Vsevolod Yu", "non-dropping-particle" : "", "parse-names" : false, "suffix" : "" }, { "dropping-particle" : "V", "family" : "Prokopenko", "given" : "Volodymyr", "non-dropping-particle" : "", "parse-names" : false, "suffix" : "" } ], "container-title" : "Journal of computer-aided molecular design", "id" : "ITEM-1", "issue" : "6", "issued" : { "date-parts" : [ [ "2005", "6" ] ] }, "page" : "453-63", "title" : "Virtual computational chemistry laboratory--design and description.", "type" : "article-journal", "volume" : "19" }, "uris" : [ "http://www.mendeley.com/documents/?uuid=1f485357-b219-4dd5-886f-67ce33eb2e9b" ] } ], "mendeley" : { "formattedCitation" : "&lt;sup&gt;24&lt;/sup&gt;", "plainTextFormattedCitation" : "24", "previouslyFormattedCitation" : "&lt;sup&gt;23&lt;/sup&gt;" }, "properties" : { "noteIndex" : 0 }, "schema" : "https://github.com/citation-style-language/schema/raw/master/csl-citation.json" }</w:instrText>
      </w:r>
      <w:r w:rsidR="00CA3AE4">
        <w:fldChar w:fldCharType="separate"/>
      </w:r>
      <w:r w:rsidR="00EA0E65" w:rsidRPr="00EA0E65">
        <w:rPr>
          <w:noProof/>
          <w:vertAlign w:val="superscript"/>
        </w:rPr>
        <w:t>24</w:t>
      </w:r>
      <w:r w:rsidR="00CA3AE4">
        <w:fldChar w:fldCharType="end"/>
      </w:r>
      <w:r w:rsidR="00CA3AE4">
        <w:t xml:space="preserve">). </w:t>
      </w:r>
      <w:proofErr w:type="spellStart"/>
      <w:proofErr w:type="gramStart"/>
      <w:r w:rsidR="00CA3AE4">
        <w:t>clogP</w:t>
      </w:r>
      <w:proofErr w:type="spellEnd"/>
      <w:proofErr w:type="gramEnd"/>
      <w:r w:rsidR="00CA3AE4">
        <w:t xml:space="preserve"> values provide a</w:t>
      </w:r>
      <w:r w:rsidR="003F4412">
        <w:t>n estimate</w:t>
      </w:r>
      <w:r w:rsidR="00CA3AE4">
        <w:t xml:space="preserve"> of </w:t>
      </w:r>
      <w:proofErr w:type="spellStart"/>
      <w:r w:rsidR="00CA3AE4">
        <w:t>lipophilicity</w:t>
      </w:r>
      <w:proofErr w:type="spellEnd"/>
      <w:r w:rsidR="00CA3AE4">
        <w:t xml:space="preserve"> </w:t>
      </w:r>
      <w:r w:rsidR="003F4412">
        <w:t xml:space="preserve">and </w:t>
      </w:r>
      <w:r w:rsidR="00DC2E7D">
        <w:t>therefore provide an estimate of</w:t>
      </w:r>
      <w:r w:rsidR="003F4412">
        <w:t xml:space="preserve"> how efficiently a compound is able to partition into the lipid bilayer</w:t>
      </w:r>
      <w:r w:rsidR="00CA3AE4">
        <w:t>.</w:t>
      </w:r>
      <w:r w:rsidR="00CA3AE4">
        <w:fldChar w:fldCharType="begin" w:fldLock="1"/>
      </w:r>
      <w:r w:rsidR="00EA0E65">
        <w:instrText>ADDIN CSL_CITATION { "citationItems" : [ { "id" : "ITEM-1", "itemData" : { "DOI" : "10.1039/c3sc52962b", "ISSN" : "2041-6520", "abstract" : "Despite extensive interest in transmembrane anion carriers (anionophores), the factors that govern activity are still only partly understood. Herein we report a study which identifies a new principle for anionophore design, that of \u201clipophilic balance\u201d. A series of simple thioureas with identical molecular formulae has been prepared and assayed for chloride/nitrate transport activity in synthetic vesicles. The molecules differ only in the positioning of the phenylthiourea binding unit within an 11-carbon linear chain. They are shown to possess very similar lipophilicities and anion affinities, while a test for leaching establishes that they locate almost exclusively in the vesicle membranes. Notwithstanding their close similarities, activities across the series show &gt;5-fold variation, peaking when the phenylthiourea group is centrally located. The results suggest that transport is favoured by a balanced array of lipophilic substituents, possibly because this arrangement facilitates transfer of the complexed anion into the apolar membrane interior.", "author" : [ { "dropping-particle" : "", "family" : "Valkenier", "given" : "Hennie", "non-dropping-particle" : "", "parse-names" : false, "suffix" : "" }, { "dropping-particle" : "", "family" : "Haynes", "given" : "Cally J. E.", "non-dropping-particle" : "", "parse-names" : false, "suffix" : "" }, { "dropping-particle" : "", "family" : "Herniman", "given" : "Julie", "non-dropping-particle" : "", "parse-names" : false, "suffix" : "" }, { "dropping-particle" : "", "family" : "Gale", "given" : "Philip A.", "non-dropping-particle" : "", "parse-names" : false, "suffix" : "" }, { "dropping-particle" : "", "family" : "Davis", "given" : "Anthony P.", "non-dropping-particle" : "", "parse-names" : false, "suffix" : "" } ], "container-title" : "Chemical Science", "id" : "ITEM-1", "issue" : "3", "issued" : { "date-parts" : [ [ "2014", "2", "4" ] ] }, "page" : "1128", "publisher" : "The Royal Society of Chemistry", "title" : "Lipophilic balance \u2013 a new design principle for transmembrane anion carriers", "type" : "article-journal", "volume" : "5" }, "uris" : [ "http://www.mendeley.com/documents/?uuid=53f129a0-2c2d-442d-bfe5-c850446fe4d7" ] } ], "mendeley" : { "formattedCitation" : "&lt;sup&gt;25&lt;/sup&gt;", "plainTextFormattedCitation" : "25", "previouslyFormattedCitation" : "&lt;sup&gt;24&lt;/sup&gt;" }, "properties" : { "noteIndex" : 0 }, "schema" : "https://github.com/citation-style-language/schema/raw/master/csl-citation.json" }</w:instrText>
      </w:r>
      <w:r w:rsidR="00CA3AE4">
        <w:fldChar w:fldCharType="separate"/>
      </w:r>
      <w:r w:rsidR="00EA0E65" w:rsidRPr="00EA0E65">
        <w:rPr>
          <w:noProof/>
          <w:vertAlign w:val="superscript"/>
        </w:rPr>
        <w:t>25</w:t>
      </w:r>
      <w:r w:rsidR="00CA3AE4">
        <w:fldChar w:fldCharType="end"/>
      </w:r>
      <w:r w:rsidR="00CA3AE4">
        <w:t xml:space="preserve"> In a rece</w:t>
      </w:r>
      <w:r w:rsidR="005B51A6">
        <w:t xml:space="preserve">nt study on synthetic </w:t>
      </w:r>
      <w:proofErr w:type="spellStart"/>
      <w:r w:rsidR="005B51A6">
        <w:t>Tamjamine</w:t>
      </w:r>
      <w:proofErr w:type="spellEnd"/>
      <w:r w:rsidR="005B51A6">
        <w:t xml:space="preserve"> derivatives</w:t>
      </w:r>
      <w:r w:rsidR="00CA3AE4">
        <w:t xml:space="preserve"> by Quesada and co-workers, it was suggested that the optimal </w:t>
      </w:r>
      <w:proofErr w:type="spellStart"/>
      <w:r w:rsidR="00CA3AE4">
        <w:t>lipophilicity</w:t>
      </w:r>
      <w:proofErr w:type="spellEnd"/>
      <w:r w:rsidR="00CA3AE4">
        <w:t xml:space="preserve"> </w:t>
      </w:r>
      <w:r w:rsidR="008F2414">
        <w:t>range</w:t>
      </w:r>
      <w:r w:rsidR="005B51A6">
        <w:t xml:space="preserve"> for an anion transporter</w:t>
      </w:r>
      <w:r w:rsidR="008F2414">
        <w:t xml:space="preserve"> is</w:t>
      </w:r>
      <w:r w:rsidR="00CA3AE4">
        <w:t xml:space="preserve"> between 4.2-5.</w:t>
      </w:r>
      <w:r w:rsidR="003F4412">
        <w:fldChar w:fldCharType="begin" w:fldLock="1"/>
      </w:r>
      <w:r w:rsidR="00EA0E65">
        <w:instrText>ADDIN CSL_CITATION { "citationItems" : [ { "id" : "ITEM-1", "itemData" : { "DOI" : "10.1039/c2cc31825c", "ISSN" : "1364-548X", "PMID" : "22531689", "abstract" : "The transmembrane anion transport activity of a series of synthetic molecules inspired by the structure of tambjamine alkaloids can be tuned by varying the lipophilicity of the receptor, with carriers within a certain log P range performing best.", "author" : [ { "dropping-particle" : "", "family" : "Saggiomo", "given" : "Vittorio", "non-dropping-particle" : "", "parse-names" : false, "suffix" : "" }, { "dropping-particle" : "", "family" : "Otto", "given" : "Sijbren", "non-dropping-particle" : "", "parse-names" : false, "suffix" : "" }, { "dropping-particle" : "", "family" : "Marques", "given" : "Igor", "non-dropping-particle" : "", "parse-names" : false, "suffix" : "" }, { "dropping-particle" : "", "family" : "F\u00e9lix", "given" : "V\u00edtor", "non-dropping-particle" : "", "parse-names" : false, "suffix" : "" }, { "dropping-particle" : "", "family" : "Torroba", "given" : "Tom\u00e1s", "non-dropping-particle" : "", "parse-names" : false, "suffix" : "" }, { "dropping-particle" : "", "family" : "Quesada", "given" : "Roberto", "non-dropping-particle" : "", "parse-names" : false, "suffix" : "" } ], "container-title" : "Chemical communications (Cambridge, England)", "id" : "ITEM-1", "issue" : "43", "issued" : { "date-parts" : [ [ "2012", "5", "28" ] ] }, "page" : "5274-6", "title" : "The role of lipophilicity in transmembrane anion transport.", "type" : "article-journal", "volume" : "48" }, "uris" : [ "http://www.mendeley.com/documents/?uuid=4be08e14-4276-48dd-aae2-771a3d0536a4" ] } ], "mendeley" : { "formattedCitation" : "&lt;sup&gt;26&lt;/sup&gt;", "plainTextFormattedCitation" : "26", "previouslyFormattedCitation" : "&lt;sup&gt;25&lt;/sup&gt;" }, "properties" : { "noteIndex" : 0 }, "schema" : "https://github.com/citation-style-language/schema/raw/master/csl-citation.json" }</w:instrText>
      </w:r>
      <w:r w:rsidR="003F4412">
        <w:fldChar w:fldCharType="separate"/>
      </w:r>
      <w:r w:rsidR="00EA0E65" w:rsidRPr="00EA0E65">
        <w:rPr>
          <w:noProof/>
          <w:vertAlign w:val="superscript"/>
        </w:rPr>
        <w:t>26</w:t>
      </w:r>
      <w:r w:rsidR="003F4412">
        <w:fldChar w:fldCharType="end"/>
      </w:r>
      <w:r w:rsidR="00646E69">
        <w:t xml:space="preserve"> The</w:t>
      </w:r>
      <w:r w:rsidR="00BD000A">
        <w:t xml:space="preserve"> most active compounds</w:t>
      </w:r>
      <w:r w:rsidR="007957DF">
        <w:t xml:space="preserve"> in this series</w:t>
      </w:r>
      <w:r w:rsidR="00BD000A">
        <w:t xml:space="preserve"> lie either in or just outside this range. It is possible that compounds </w:t>
      </w:r>
      <w:r w:rsidR="00BD000A">
        <w:rPr>
          <w:b/>
        </w:rPr>
        <w:t>1</w:t>
      </w:r>
      <w:r w:rsidR="0034384F">
        <w:t>,</w:t>
      </w:r>
      <w:r w:rsidR="00BD000A">
        <w:t xml:space="preserve"> </w:t>
      </w:r>
      <w:r w:rsidR="00BD000A">
        <w:rPr>
          <w:b/>
        </w:rPr>
        <w:t>4</w:t>
      </w:r>
      <w:r w:rsidR="0034384F">
        <w:rPr>
          <w:b/>
        </w:rPr>
        <w:t xml:space="preserve"> </w:t>
      </w:r>
      <w:r w:rsidR="0034384F">
        <w:t xml:space="preserve">and </w:t>
      </w:r>
      <w:r w:rsidR="0034384F">
        <w:rPr>
          <w:b/>
        </w:rPr>
        <w:t>5</w:t>
      </w:r>
      <w:r w:rsidR="00BD000A">
        <w:t xml:space="preserve"> are poor transporters because they are not lipophilic enough to partition into the lipid bilayer.</w:t>
      </w:r>
      <w:r w:rsidR="00646E69">
        <w:t xml:space="preserve"> </w:t>
      </w:r>
    </w:p>
    <w:p w14:paraId="2596D9A7" w14:textId="15065442" w:rsidR="00596436" w:rsidRDefault="00096CF9" w:rsidP="00735D87">
      <w:pPr>
        <w:pStyle w:val="08ArticleText"/>
      </w:pPr>
      <w:r>
        <w:tab/>
        <w:t>In general, the</w:t>
      </w:r>
      <w:r w:rsidR="00283A37">
        <w:t xml:space="preserve"> compounds with</w:t>
      </w:r>
      <w:r>
        <w:t xml:space="preserve"> phenyl based </w:t>
      </w:r>
      <w:r w:rsidR="00283A37">
        <w:t>side chains</w:t>
      </w:r>
      <w:r>
        <w:t xml:space="preserve"> (</w:t>
      </w:r>
      <w:r>
        <w:rPr>
          <w:b/>
        </w:rPr>
        <w:t>1-3</w:t>
      </w:r>
      <w:r>
        <w:t>) are more active than the</w:t>
      </w:r>
      <w:r w:rsidR="00283A37">
        <w:t xml:space="preserve"> compounds with</w:t>
      </w:r>
      <w:r>
        <w:t xml:space="preserve"> butyl based </w:t>
      </w:r>
      <w:r w:rsidR="00283A37">
        <w:t>side chains</w:t>
      </w:r>
      <w:r>
        <w:t xml:space="preserve"> (</w:t>
      </w:r>
      <w:r>
        <w:rPr>
          <w:b/>
        </w:rPr>
        <w:t>4-6</w:t>
      </w:r>
      <w:r>
        <w:t>)</w:t>
      </w:r>
      <w:r w:rsidR="00283A37">
        <w:t>. This could be due to the higher association co</w:t>
      </w:r>
      <w:r w:rsidR="00A03B82">
        <w:t>nstants observed for the phenyl-based compounds as shown in T</w:t>
      </w:r>
      <w:r w:rsidR="00283A37">
        <w:t xml:space="preserve">able 1. There is one notable exception to this trend however, </w:t>
      </w:r>
      <w:r w:rsidR="00DC2E7D">
        <w:t xml:space="preserve">the </w:t>
      </w:r>
      <w:proofErr w:type="spellStart"/>
      <w:r w:rsidR="00DC2E7D">
        <w:t>anthracene</w:t>
      </w:r>
      <w:proofErr w:type="spellEnd"/>
      <w:r w:rsidR="00DC2E7D">
        <w:t xml:space="preserve"> based </w:t>
      </w:r>
      <w:r w:rsidR="00283A37">
        <w:rPr>
          <w:b/>
        </w:rPr>
        <w:t>6</w:t>
      </w:r>
      <w:r w:rsidR="00283A37">
        <w:t xml:space="preserve"> is the most active compound in the series despite </w:t>
      </w:r>
      <w:r w:rsidR="00DC2E7D">
        <w:t xml:space="preserve">binding </w:t>
      </w:r>
      <w:proofErr w:type="spellStart"/>
      <w:r w:rsidR="00DC2E7D">
        <w:t>Cl</w:t>
      </w:r>
      <w:proofErr w:type="spellEnd"/>
      <w:r w:rsidR="00DC2E7D">
        <w:rPr>
          <w:vertAlign w:val="superscript"/>
        </w:rPr>
        <w:t>-</w:t>
      </w:r>
      <w:r w:rsidR="00DC2E7D">
        <w:t xml:space="preserve"> </w:t>
      </w:r>
      <w:r w:rsidR="00E916B7">
        <w:t>less strongly</w:t>
      </w:r>
      <w:r w:rsidR="00DC2E7D">
        <w:t xml:space="preserve"> than its phenyl side-chained analogue </w:t>
      </w:r>
      <w:r w:rsidR="00DC2E7D">
        <w:rPr>
          <w:b/>
        </w:rPr>
        <w:t>3</w:t>
      </w:r>
      <w:r w:rsidR="00283A37">
        <w:t xml:space="preserve">. </w:t>
      </w:r>
      <w:r w:rsidR="00E916B7">
        <w:t xml:space="preserve">It may be that the </w:t>
      </w:r>
      <w:proofErr w:type="spellStart"/>
      <w:r w:rsidR="00E916B7">
        <w:t>lipophilicity</w:t>
      </w:r>
      <w:proofErr w:type="spellEnd"/>
      <w:r w:rsidR="00E916B7">
        <w:t xml:space="preserve"> of compound</w:t>
      </w:r>
      <w:r w:rsidR="00283A37">
        <w:t xml:space="preserve"> </w:t>
      </w:r>
      <w:r w:rsidR="00283A37">
        <w:rPr>
          <w:b/>
        </w:rPr>
        <w:t>6</w:t>
      </w:r>
      <w:r w:rsidR="00283A37">
        <w:t xml:space="preserve"> is </w:t>
      </w:r>
      <w:r w:rsidR="00E916B7">
        <w:t>a determining factor here</w:t>
      </w:r>
      <w:r w:rsidR="00283A37">
        <w:t xml:space="preserve">. One would expect the phenyl side chained </w:t>
      </w:r>
      <w:r w:rsidR="00283A37">
        <w:rPr>
          <w:b/>
        </w:rPr>
        <w:t>3</w:t>
      </w:r>
      <w:r w:rsidR="00283A37">
        <w:t xml:space="preserve"> to be more active than its counter-part</w:t>
      </w:r>
      <w:r w:rsidR="00DC2E7D">
        <w:t xml:space="preserve"> </w:t>
      </w:r>
      <w:r w:rsidR="00DC2E7D">
        <w:rPr>
          <w:b/>
        </w:rPr>
        <w:t>6</w:t>
      </w:r>
      <w:r w:rsidR="00DC2E7D">
        <w:t xml:space="preserve"> based on the other </w:t>
      </w:r>
      <w:r w:rsidR="00E916B7">
        <w:t>trends observed and its higher</w:t>
      </w:r>
      <w:r w:rsidR="00DC2E7D">
        <w:t xml:space="preserve"> association constants</w:t>
      </w:r>
      <w:r w:rsidR="00283A37">
        <w:t xml:space="preserve"> however, </w:t>
      </w:r>
      <w:r w:rsidR="00E916B7">
        <w:t xml:space="preserve">it could be that compound </w:t>
      </w:r>
      <w:r w:rsidR="00283A37">
        <w:rPr>
          <w:b/>
        </w:rPr>
        <w:t>3</w:t>
      </w:r>
      <w:r w:rsidR="00283A37">
        <w:t xml:space="preserve"> is too lipophilic and </w:t>
      </w:r>
      <w:r w:rsidR="00E916B7">
        <w:t>predominantly resides</w:t>
      </w:r>
      <w:r w:rsidR="00283A37">
        <w:t xml:space="preserve"> in the </w:t>
      </w:r>
      <w:r w:rsidR="00E916B7">
        <w:t xml:space="preserve">central portion of the </w:t>
      </w:r>
      <w:r w:rsidR="00283A37">
        <w:t xml:space="preserve">lipid bilayer </w:t>
      </w:r>
      <w:r w:rsidR="00E916B7">
        <w:t xml:space="preserve">so disfavouring anion </w:t>
      </w:r>
      <w:proofErr w:type="spellStart"/>
      <w:r w:rsidR="00E916B7">
        <w:t>complexation</w:t>
      </w:r>
      <w:proofErr w:type="spellEnd"/>
      <w:r w:rsidR="00E916B7">
        <w:t xml:space="preserve"> at the lipid bilayer interface</w:t>
      </w:r>
      <w:r w:rsidR="00283A37">
        <w:t xml:space="preserve">. </w:t>
      </w:r>
      <w:r w:rsidR="00BD000A">
        <w:t xml:space="preserve"> </w:t>
      </w:r>
    </w:p>
    <w:p w14:paraId="7C3FA803" w14:textId="526B2379" w:rsidR="00FD0834" w:rsidRPr="002E3872" w:rsidRDefault="00BD000A" w:rsidP="00735D87">
      <w:pPr>
        <w:pStyle w:val="08ArticleText"/>
      </w:pPr>
      <w:r>
        <w:tab/>
        <w:t>In</w:t>
      </w:r>
      <w:r w:rsidR="008830FE">
        <w:t xml:space="preserve"> order to quantify anion transport</w:t>
      </w:r>
      <w:r>
        <w:t xml:space="preserve"> and</w:t>
      </w:r>
      <w:r w:rsidR="00A03B82">
        <w:t xml:space="preserve"> examine </w:t>
      </w:r>
      <w:r w:rsidR="00B92ABE">
        <w:t>higher order complex</w:t>
      </w:r>
      <w:r>
        <w:t xml:space="preserve"> formation</w:t>
      </w:r>
      <w:r w:rsidR="00D30951">
        <w:t xml:space="preserve"> we performed </w:t>
      </w:r>
      <w:r w:rsidR="00E916B7">
        <w:t xml:space="preserve">a </w:t>
      </w:r>
      <w:r w:rsidR="00D30951">
        <w:t>Hill analysis</w:t>
      </w:r>
      <w:r w:rsidR="00D30951">
        <w:fldChar w:fldCharType="begin" w:fldLock="1"/>
      </w:r>
      <w:r w:rsidR="00EA0E65">
        <w:instrText>ADDIN CSL_CITATION { "citationItems" : [ { "id" : "ITEM-1", "itemData" : { "author" : [ { "dropping-particle" : "", "family" : "Hill", "given" : "Archibald Vivian", "non-dropping-particle" : "", "parse-names" : false, "suffix" : "" } ], "container-title" : "Biochemical Journal", "id" : "ITEM-1", "issue" : "5", "issued" : { "date-parts" : [ [ "1913", "10", "1" ] ] }, "page" : "471", "publisher" : "Portland Press Ltd", "title" : "The Combinations of Haemoglobin with Oxygen and with Carbon Monoxide. I", "type" : "article", "volume" : "7" }, "uris" : [ "http://www.mendeley.com/documents/?uuid=f7fc2b7d-4365-4e7b-afb3-1c0e28d90d0d" ] } ], "mendeley" : { "formattedCitation" : "&lt;sup&gt;27&lt;/sup&gt;", "plainTextFormattedCitation" : "27", "previouslyFormattedCitation" : "&lt;sup&gt;26&lt;/sup&gt;" }, "properties" : { "noteIndex" : 0 }, "schema" : "https://github.com/citation-style-language/schema/raw/master/csl-citation.json" }</w:instrText>
      </w:r>
      <w:r w:rsidR="00D30951">
        <w:fldChar w:fldCharType="separate"/>
      </w:r>
      <w:r w:rsidR="00EA0E65" w:rsidRPr="00EA0E65">
        <w:rPr>
          <w:noProof/>
          <w:vertAlign w:val="superscript"/>
        </w:rPr>
        <w:t>27</w:t>
      </w:r>
      <w:r w:rsidR="00D30951">
        <w:fldChar w:fldCharType="end"/>
      </w:r>
      <w:r w:rsidR="00B90DEC">
        <w:t xml:space="preserve"> on</w:t>
      </w:r>
      <w:r w:rsidR="00D30951">
        <w:t xml:space="preserve"> this series of compounds, the results of whi</w:t>
      </w:r>
      <w:r w:rsidR="009B542D">
        <w:t>ch are summarised in T</w:t>
      </w:r>
      <w:r w:rsidR="00D30951">
        <w:t>able 1. The Hill an</w:t>
      </w:r>
      <w:r w:rsidR="00D21BBF">
        <w:t>alysis was performed as follows: p</w:t>
      </w:r>
      <w:r w:rsidR="00D30951">
        <w:t xml:space="preserve">lots of </w:t>
      </w:r>
      <w:r w:rsidR="00D30951">
        <w:lastRenderedPageBreak/>
        <w:t xml:space="preserve">receptor concentration </w:t>
      </w:r>
      <w:r w:rsidR="00D30951" w:rsidRPr="0046216C">
        <w:rPr>
          <w:i/>
        </w:rPr>
        <w:t>v</w:t>
      </w:r>
      <w:r w:rsidR="0046216C" w:rsidRPr="0046216C">
        <w:rPr>
          <w:i/>
        </w:rPr>
        <w:t>s.</w:t>
      </w:r>
      <w:r w:rsidR="00D30951">
        <w:t xml:space="preserve"> total chloride efflux 270 s after receptor addition were</w:t>
      </w:r>
      <w:r w:rsidR="007957DF">
        <w:t xml:space="preserve"> </w:t>
      </w:r>
      <w:r w:rsidR="00D30951">
        <w:t xml:space="preserve">fitted to the Hill equation using Origin 9.1. </w:t>
      </w:r>
      <w:r w:rsidR="00D30951" w:rsidRPr="006C67A7">
        <w:t>More details on this analysis</w:t>
      </w:r>
      <w:r w:rsidR="001C51FF" w:rsidRPr="006C67A7">
        <w:t xml:space="preserve">, including ISE calibration and data conversion from raw potentiometric values to % chloride efflux as well as </w:t>
      </w:r>
      <w:r w:rsidR="00D30951" w:rsidRPr="006C67A7">
        <w:t>representative Hill plots can be found in the ESI</w:t>
      </w:r>
      <w:r w:rsidR="00D30951">
        <w:t>. Hill analysis provides two key parameters. The first is the effective concentration (EC</w:t>
      </w:r>
      <w:r w:rsidR="00D30951">
        <w:rPr>
          <w:vertAlign w:val="subscript"/>
        </w:rPr>
        <w:t>50</w:t>
      </w:r>
      <w:r w:rsidR="00D30951">
        <w:t xml:space="preserve">). This is the concentration of receptor loading (in </w:t>
      </w:r>
      <w:proofErr w:type="spellStart"/>
      <w:r w:rsidR="00D30951">
        <w:t>mol</w:t>
      </w:r>
      <w:proofErr w:type="spellEnd"/>
      <w:r w:rsidR="00D30951">
        <w:t xml:space="preserve">% with respect to the lipid concentration) in which 50% of the chloride was </w:t>
      </w:r>
      <w:r w:rsidR="00FD0834">
        <w:t>transported</w:t>
      </w:r>
      <w:r w:rsidR="00D30951">
        <w:t xml:space="preserve"> from the vesicles</w:t>
      </w:r>
      <w:r w:rsidR="001C51FF">
        <w:t xml:space="preserve"> </w:t>
      </w:r>
      <w:r w:rsidR="001C51FF" w:rsidRPr="006C67A7">
        <w:t>over the time course of the experiment</w:t>
      </w:r>
      <w:r w:rsidR="005B51A6" w:rsidRPr="006C67A7">
        <w:t>.</w:t>
      </w:r>
      <w:r w:rsidR="005B51A6">
        <w:t xml:space="preserve"> This </w:t>
      </w:r>
      <w:r w:rsidR="00D21BBF">
        <w:t>parameter</w:t>
      </w:r>
      <w:r w:rsidR="00D30951">
        <w:t xml:space="preserve"> therefore provides a measure of how efficient these compounds are at transport. In this case, EC</w:t>
      </w:r>
      <w:r w:rsidR="00D30951">
        <w:rPr>
          <w:vertAlign w:val="subscript"/>
        </w:rPr>
        <w:t>50</w:t>
      </w:r>
      <w:r w:rsidR="00D30951">
        <w:rPr>
          <w:vertAlign w:val="subscript"/>
        </w:rPr>
        <w:softHyphen/>
        <w:t xml:space="preserve"> </w:t>
      </w:r>
      <w:r w:rsidR="00D30951">
        <w:t xml:space="preserve">values for </w:t>
      </w:r>
      <w:r w:rsidR="00D30951">
        <w:rPr>
          <w:b/>
        </w:rPr>
        <w:t>1</w:t>
      </w:r>
      <w:r w:rsidR="00D30951" w:rsidRPr="0099090E">
        <w:t>-</w:t>
      </w:r>
      <w:r w:rsidR="00D30951">
        <w:rPr>
          <w:b/>
        </w:rPr>
        <w:t>6</w:t>
      </w:r>
      <w:r w:rsidR="00D30951">
        <w:t xml:space="preserve"> </w:t>
      </w:r>
      <w:r w:rsidR="0099090E">
        <w:t>confirm the trend suggested in F</w:t>
      </w:r>
      <w:r w:rsidR="00D30951">
        <w:t xml:space="preserve">igure 1, </w:t>
      </w:r>
      <w:r w:rsidR="00D30951" w:rsidRPr="00B90DEC">
        <w:t xml:space="preserve">that </w:t>
      </w:r>
      <w:r w:rsidR="00283A37">
        <w:t>as the size of the central aromatic ring increases, the</w:t>
      </w:r>
      <w:r w:rsidR="002E3872">
        <w:t xml:space="preserve"> transport efficiency increases (with the exception of </w:t>
      </w:r>
      <w:r w:rsidR="002E3872">
        <w:rPr>
          <w:b/>
        </w:rPr>
        <w:t>3</w:t>
      </w:r>
      <w:r w:rsidR="002E3872">
        <w:t xml:space="preserve"> for the reasons discussed above).</w:t>
      </w:r>
    </w:p>
    <w:p w14:paraId="592AC117" w14:textId="1AC33286" w:rsidR="00F87664" w:rsidRPr="00FF3A4D" w:rsidRDefault="00FD0834" w:rsidP="00735D87">
      <w:pPr>
        <w:pStyle w:val="08ArticleText"/>
      </w:pPr>
      <w:r>
        <w:tab/>
      </w:r>
      <w:r w:rsidR="00D30951">
        <w:t>The secon</w:t>
      </w:r>
      <w:r w:rsidR="008F2414">
        <w:t xml:space="preserve">d parameter and perhaps </w:t>
      </w:r>
      <w:r w:rsidR="00ED1D90">
        <w:t>more</w:t>
      </w:r>
      <w:r w:rsidR="00D30951">
        <w:t xml:space="preserve"> importantly in this </w:t>
      </w:r>
      <w:r w:rsidR="00ED1D90">
        <w:t>study</w:t>
      </w:r>
      <w:r w:rsidR="00D30951">
        <w:t xml:space="preserve"> is the Hill coefficient (n). The Hill coefficient is a measure of stoichiometry and </w:t>
      </w:r>
      <w:r w:rsidR="00050167">
        <w:t xml:space="preserve">n values &gt; 1 indicate </w:t>
      </w:r>
      <w:r w:rsidR="00B92ABE">
        <w:t xml:space="preserve">higher order complex </w:t>
      </w:r>
      <w:r w:rsidR="00D30951">
        <w:t>formation.</w:t>
      </w:r>
      <w:r w:rsidR="00D30951">
        <w:fldChar w:fldCharType="begin" w:fldLock="1"/>
      </w:r>
      <w:r w:rsidR="00EA0E65">
        <w:instrText>ADDIN CSL_CITATION { "citationItems" : [ { "id" : "ITEM-1", "itemData" : { "DOI" : "10.1002/chir", "author" : [ { "dropping-particle" : "", "family" : "Bhosale", "given" : "Sheshanath", "non-dropping-particle" : "", "parse-names" : false, "suffix" : "" }, { "dropping-particle" : "", "family" : "Matile", "given" : "Stefan", "non-dropping-particle" : "", "parse-names" : false, "suffix" : "" } ], "container-title" : "Chirality", "id" : "ITEM-1", "issue" : "May", "issued" : { "date-parts" : [ [ "2006" ] ] }, "page" : "849-856", "title" : "A Simple Method to Identify Supramolecules in Action : Hill Coefficients for Exergonic Self-Assembly", "type" : "article-journal", "volume" : "18" }, "uris" : [ "http://www.mendeley.com/documents/?uuid=d2be8dc9-e1d0-4434-a85d-c3a19a8c4762" ] } ], "mendeley" : { "formattedCitation" : "&lt;sup&gt;16&lt;/sup&gt;", "plainTextFormattedCitation" : "16", "previouslyFormattedCitation" : "&lt;sup&gt;15&lt;/sup&gt;" }, "properties" : { "noteIndex" : 0 }, "schema" : "https://github.com/citation-style-language/schema/raw/master/csl-citation.json" }</w:instrText>
      </w:r>
      <w:r w:rsidR="00D30951">
        <w:fldChar w:fldCharType="separate"/>
      </w:r>
      <w:r w:rsidR="00EA0E65" w:rsidRPr="00EA0E65">
        <w:rPr>
          <w:noProof/>
          <w:vertAlign w:val="superscript"/>
        </w:rPr>
        <w:t>16</w:t>
      </w:r>
      <w:r w:rsidR="00D30951">
        <w:fldChar w:fldCharType="end"/>
      </w:r>
      <w:r w:rsidR="008F2414">
        <w:t xml:space="preserve"> Typically, if a molecule functions purely as a mobile carrier, it will have an n value of 1. This implies 1</w:t>
      </w:r>
      <w:r w:rsidR="002B43F2">
        <w:t xml:space="preserve"> molecule of</w:t>
      </w:r>
      <w:r w:rsidR="008F2414">
        <w:t xml:space="preserve"> receptor </w:t>
      </w:r>
      <w:r w:rsidR="00091F74">
        <w:t>interacts with one molecule of transported anion in a 1</w:t>
      </w:r>
      <w:r w:rsidR="007246C1">
        <w:t xml:space="preserve">:1 </w:t>
      </w:r>
      <w:proofErr w:type="spellStart"/>
      <w:r w:rsidR="007246C1">
        <w:t>receptor</w:t>
      </w:r>
      <w:proofErr w:type="gramStart"/>
      <w:r w:rsidR="007246C1">
        <w:t>:anion</w:t>
      </w:r>
      <w:proofErr w:type="spellEnd"/>
      <w:proofErr w:type="gramEnd"/>
      <w:r w:rsidR="007246C1">
        <w:t xml:space="preserve"> fashion</w:t>
      </w:r>
      <w:r w:rsidR="00091F74">
        <w:t>. For all compounds tested</w:t>
      </w:r>
      <w:r w:rsidR="00D21BBF">
        <w:t xml:space="preserve"> that were</w:t>
      </w:r>
      <w:r w:rsidR="00091F74">
        <w:t xml:space="preserve"> active enough to perform Hill analysis (compound </w:t>
      </w:r>
      <w:r w:rsidR="00091F74">
        <w:rPr>
          <w:b/>
        </w:rPr>
        <w:t>4</w:t>
      </w:r>
      <w:r w:rsidR="00091F74">
        <w:t xml:space="preserve"> exhibited no chloride transport even at 15 </w:t>
      </w:r>
      <w:proofErr w:type="spellStart"/>
      <w:r w:rsidR="00091F74">
        <w:t>mol</w:t>
      </w:r>
      <w:proofErr w:type="spellEnd"/>
      <w:r w:rsidR="00091F74">
        <w:t xml:space="preserve">% loading) we observed Hill coefficients &gt; 1. In this study, n </w:t>
      </w:r>
      <w:r w:rsidR="00B90DEC">
        <w:t>&gt; 1 implies</w:t>
      </w:r>
      <w:r w:rsidR="00091F74">
        <w:t xml:space="preserve"> that for every molecule of anion transported across the lipid bilayer, n molecules of receptor are </w:t>
      </w:r>
      <w:r w:rsidR="00050167">
        <w:t>bound to the</w:t>
      </w:r>
      <w:r w:rsidR="00091F74">
        <w:t xml:space="preserve"> anion at any one time. </w:t>
      </w:r>
      <w:r w:rsidR="002E3872">
        <w:t xml:space="preserve">This therefore suggests that these compounds function </w:t>
      </w:r>
      <w:r w:rsidR="002E3872" w:rsidRPr="00635B6A">
        <w:rPr>
          <w:i/>
        </w:rPr>
        <w:t>via</w:t>
      </w:r>
      <w:r w:rsidR="00635B6A">
        <w:t xml:space="preserve"> a cooperative transport</w:t>
      </w:r>
      <w:r w:rsidR="002E3872">
        <w:t xml:space="preserve"> mechanism and do not function purely as individual monomers. Further to this, as the size of the central aromatic ring increases for the phenyl-side chained compounds </w:t>
      </w:r>
      <w:r w:rsidR="002E3872">
        <w:rPr>
          <w:b/>
        </w:rPr>
        <w:t>1-3</w:t>
      </w:r>
      <w:r w:rsidR="00635B6A">
        <w:t>, the H</w:t>
      </w:r>
      <w:r w:rsidR="002E3872">
        <w:t xml:space="preserve">ill coefficients also increase. This implies that the higher the degree of </w:t>
      </w:r>
      <w:proofErr w:type="spellStart"/>
      <w:r w:rsidR="002E3872">
        <w:t>aromaticity</w:t>
      </w:r>
      <w:proofErr w:type="spellEnd"/>
      <w:r w:rsidR="002E3872">
        <w:t xml:space="preserve"> in the compound, the higher degree of cooperation we observe, suggesting that the driving force for the cooperation that is occurring is due to </w:t>
      </w:r>
      <w:r w:rsidR="002E3872">
        <w:sym w:font="Symbol" w:char="F070"/>
      </w:r>
      <w:r w:rsidR="002E3872">
        <w:t>-</w:t>
      </w:r>
      <w:r w:rsidR="002E3872">
        <w:sym w:font="Symbol" w:char="F070"/>
      </w:r>
      <w:r w:rsidR="002E3872">
        <w:t xml:space="preserve"> stacking in the lipid membrane.</w:t>
      </w:r>
      <w:r w:rsidR="00964174">
        <w:t xml:space="preserve"> </w:t>
      </w:r>
      <w:r w:rsidR="002E3872">
        <w:t xml:space="preserve">It should be noted however, that the compound with the highest Hill coefficient </w:t>
      </w:r>
      <w:r w:rsidR="002E3872">
        <w:rPr>
          <w:b/>
        </w:rPr>
        <w:t>5</w:t>
      </w:r>
      <w:r w:rsidR="002E3872">
        <w:t xml:space="preserve"> is a poor transporter. This</w:t>
      </w:r>
      <w:r w:rsidR="00FF3A4D">
        <w:t xml:space="preserve"> poor transport ability</w:t>
      </w:r>
      <w:r w:rsidR="002E3872">
        <w:t xml:space="preserve"> could be attributed to very low </w:t>
      </w:r>
      <w:r w:rsidR="00FF3A4D">
        <w:t>association constants with</w:t>
      </w:r>
      <w:r w:rsidR="001F2362">
        <w:t xml:space="preserve"> anions in the solution state (T</w:t>
      </w:r>
      <w:r w:rsidR="00FF3A4D">
        <w:t xml:space="preserve">able 1). </w:t>
      </w:r>
      <w:r w:rsidR="00C24A65">
        <w:t xml:space="preserve"> It should also be</w:t>
      </w:r>
      <w:r w:rsidR="001C51FF">
        <w:t xml:space="preserve"> noted that high Hill coefficients demonstrate unstable active transporting structures. </w:t>
      </w:r>
      <w:r w:rsidR="001C51FF" w:rsidRPr="006C67A7">
        <w:t>This could be why transport efficiency does not increase with increasing Hill coefficient</w:t>
      </w:r>
      <w:r w:rsidR="00976090" w:rsidRPr="006C67A7">
        <w:t xml:space="preserve">: although some </w:t>
      </w:r>
      <w:proofErr w:type="spellStart"/>
      <w:r w:rsidR="00976090" w:rsidRPr="006C67A7">
        <w:t>cooperativity</w:t>
      </w:r>
      <w:proofErr w:type="spellEnd"/>
      <w:r w:rsidR="00C24A65" w:rsidRPr="006C67A7">
        <w:t xml:space="preserve"> in this case</w:t>
      </w:r>
      <w:r w:rsidR="00976090" w:rsidRPr="006C67A7">
        <w:t xml:space="preserve"> is required for efficient transport, too much </w:t>
      </w:r>
      <w:proofErr w:type="spellStart"/>
      <w:r w:rsidR="00976090" w:rsidRPr="006C67A7">
        <w:t>cooperativity</w:t>
      </w:r>
      <w:proofErr w:type="spellEnd"/>
      <w:r w:rsidR="00976090" w:rsidRPr="006C67A7">
        <w:t xml:space="preserve"> requires the formation of more unstable higher ordered structures which are</w:t>
      </w:r>
      <w:r w:rsidR="00D56A83">
        <w:t xml:space="preserve"> inherently</w:t>
      </w:r>
      <w:r w:rsidR="00976090" w:rsidRPr="006C67A7">
        <w:t xml:space="preserve"> less favourable to form, thereby de</w:t>
      </w:r>
      <w:r w:rsidR="00C24A65" w:rsidRPr="006C67A7">
        <w:t xml:space="preserve">creasing transport efficiency. </w:t>
      </w:r>
    </w:p>
    <w:p w14:paraId="27289A76" w14:textId="6020009E" w:rsidR="00596436" w:rsidRDefault="00F87664" w:rsidP="00F87664">
      <w:pPr>
        <w:pStyle w:val="05BHeading"/>
      </w:pPr>
      <w:r>
        <w:t>Anion Transport Mechanism</w:t>
      </w:r>
    </w:p>
    <w:p w14:paraId="46C4A19D" w14:textId="317B98F0" w:rsidR="00F87664" w:rsidRDefault="00F87664" w:rsidP="00F87664">
      <w:pPr>
        <w:pStyle w:val="08ArticleText"/>
      </w:pPr>
      <w:r>
        <w:t>In the</w:t>
      </w:r>
      <w:r w:rsidR="00354C1C">
        <w:t>se</w:t>
      </w:r>
      <w:r>
        <w:t xml:space="preserve"> transport experiments, anion transport occurs </w:t>
      </w:r>
      <w:r w:rsidRPr="00354C1C">
        <w:rPr>
          <w:i/>
        </w:rPr>
        <w:t>via</w:t>
      </w:r>
      <w:r>
        <w:t xml:space="preserve"> a passive process</w:t>
      </w:r>
      <w:r w:rsidR="00354C1C">
        <w:t xml:space="preserve"> as the anions run down concentration gradients</w:t>
      </w:r>
      <w:r>
        <w:t xml:space="preserve">. There are three possible mechanisms by which transport is occurring here. The first is </w:t>
      </w:r>
      <w:proofErr w:type="spellStart"/>
      <w:r>
        <w:t>Cl</w:t>
      </w:r>
      <w:proofErr w:type="spellEnd"/>
      <w:r>
        <w:rPr>
          <w:vertAlign w:val="superscript"/>
        </w:rPr>
        <w:t>-</w:t>
      </w:r>
      <w:r w:rsidR="009C644D">
        <w:t>/X</w:t>
      </w:r>
      <w:r>
        <w:rPr>
          <w:vertAlign w:val="superscript"/>
        </w:rPr>
        <w:t>-</w:t>
      </w:r>
      <w:r>
        <w:t xml:space="preserve"> </w:t>
      </w:r>
      <w:proofErr w:type="spellStart"/>
      <w:r>
        <w:t>antiport</w:t>
      </w:r>
      <w:proofErr w:type="spellEnd"/>
      <w:r w:rsidR="009C644D">
        <w:t xml:space="preserve"> where two anions are transported in opposite directions</w:t>
      </w:r>
      <w:r>
        <w:t xml:space="preserve">, the second is </w:t>
      </w:r>
      <w:proofErr w:type="spellStart"/>
      <w:r>
        <w:t>Cl</w:t>
      </w:r>
      <w:proofErr w:type="spellEnd"/>
      <w:r>
        <w:rPr>
          <w:vertAlign w:val="superscript"/>
        </w:rPr>
        <w:t>-</w:t>
      </w:r>
      <w:r>
        <w:t>/Na</w:t>
      </w:r>
      <w:r w:rsidR="009C644D">
        <w:rPr>
          <w:vertAlign w:val="superscript"/>
        </w:rPr>
        <w:t>+</w:t>
      </w:r>
      <w:r>
        <w:t xml:space="preserve"> </w:t>
      </w:r>
      <w:proofErr w:type="spellStart"/>
      <w:r>
        <w:t>symport</w:t>
      </w:r>
      <w:proofErr w:type="spellEnd"/>
      <w:r>
        <w:t xml:space="preserve"> and the third is </w:t>
      </w:r>
      <w:proofErr w:type="spellStart"/>
      <w:r>
        <w:t>Cl</w:t>
      </w:r>
      <w:proofErr w:type="spellEnd"/>
      <w:r>
        <w:rPr>
          <w:vertAlign w:val="superscript"/>
        </w:rPr>
        <w:t>-</w:t>
      </w:r>
      <w:r>
        <w:t>/H</w:t>
      </w:r>
      <w:r>
        <w:rPr>
          <w:vertAlign w:val="superscript"/>
        </w:rPr>
        <w:t>+</w:t>
      </w:r>
      <w:r>
        <w:t xml:space="preserve"> </w:t>
      </w:r>
      <w:proofErr w:type="spellStart"/>
      <w:r w:rsidR="009C644D">
        <w:t>symport</w:t>
      </w:r>
      <w:proofErr w:type="spellEnd"/>
      <w:r w:rsidR="009C644D">
        <w:t xml:space="preserve"> where both an anion </w:t>
      </w:r>
      <w:r w:rsidR="009C644D">
        <w:lastRenderedPageBreak/>
        <w:t xml:space="preserve">and a </w:t>
      </w:r>
      <w:r w:rsidR="00354C1C">
        <w:t>proton</w:t>
      </w:r>
      <w:r w:rsidR="009C644D">
        <w:t xml:space="preserve"> are transported</w:t>
      </w:r>
      <w:r>
        <w:t xml:space="preserve">. To </w:t>
      </w:r>
      <w:r w:rsidR="007346BE">
        <w:t>exclude the possibility of</w:t>
      </w:r>
      <w:r>
        <w:t xml:space="preserve"> </w:t>
      </w:r>
      <w:proofErr w:type="spellStart"/>
      <w:r>
        <w:t>Cl</w:t>
      </w:r>
      <w:proofErr w:type="spellEnd"/>
      <w:r>
        <w:rPr>
          <w:vertAlign w:val="superscript"/>
        </w:rPr>
        <w:t>-</w:t>
      </w:r>
      <w:r>
        <w:t>/Na</w:t>
      </w:r>
      <w:r>
        <w:rPr>
          <w:vertAlign w:val="superscript"/>
        </w:rPr>
        <w:t>+</w:t>
      </w:r>
      <w:r>
        <w:t xml:space="preserve"> </w:t>
      </w:r>
      <w:proofErr w:type="spellStart"/>
      <w:r>
        <w:t>symport</w:t>
      </w:r>
      <w:proofErr w:type="spellEnd"/>
      <w:r>
        <w:t xml:space="preserve"> we performed </w:t>
      </w:r>
      <w:proofErr w:type="spellStart"/>
      <w:r>
        <w:t>cation</w:t>
      </w:r>
      <w:proofErr w:type="spellEnd"/>
      <w:r>
        <w:t xml:space="preserve"> exchange tests in which POPC vesicles were prepared containing either potassium chloride or caesium chloride. </w:t>
      </w:r>
      <w:r w:rsidR="00A81CD9">
        <w:t xml:space="preserve">If </w:t>
      </w:r>
      <w:proofErr w:type="spellStart"/>
      <w:r w:rsidR="00A81CD9">
        <w:t>Cl</w:t>
      </w:r>
      <w:proofErr w:type="spellEnd"/>
      <w:r w:rsidR="00A81CD9">
        <w:rPr>
          <w:vertAlign w:val="superscript"/>
        </w:rPr>
        <w:t>-</w:t>
      </w:r>
      <w:r w:rsidR="00A81CD9">
        <w:t>/M</w:t>
      </w:r>
      <w:r w:rsidR="00A81CD9">
        <w:rPr>
          <w:vertAlign w:val="superscript"/>
        </w:rPr>
        <w:t>+</w:t>
      </w:r>
      <w:r w:rsidR="00A81CD9">
        <w:t xml:space="preserve"> </w:t>
      </w:r>
      <w:proofErr w:type="spellStart"/>
      <w:r w:rsidR="00A81CD9">
        <w:t>symport</w:t>
      </w:r>
      <w:proofErr w:type="spellEnd"/>
      <w:r w:rsidR="00A81CD9">
        <w:t xml:space="preserve"> </w:t>
      </w:r>
      <w:proofErr w:type="gramStart"/>
      <w:r w:rsidR="009C644D">
        <w:t>is</w:t>
      </w:r>
      <w:proofErr w:type="gramEnd"/>
      <w:r w:rsidR="00A81CD9">
        <w:t xml:space="preserve"> </w:t>
      </w:r>
      <w:r w:rsidR="001F5369">
        <w:t>the transport mechanism</w:t>
      </w:r>
      <w:r w:rsidR="00A81CD9">
        <w:t xml:space="preserve">, one would expect the rate of transport to be dependent on the internal metal counter </w:t>
      </w:r>
      <w:proofErr w:type="spellStart"/>
      <w:r w:rsidR="00A81CD9">
        <w:t>cation</w:t>
      </w:r>
      <w:proofErr w:type="spellEnd"/>
      <w:r w:rsidR="00A81CD9">
        <w:t xml:space="preserve">. We </w:t>
      </w:r>
      <w:r w:rsidR="00354C1C">
        <w:t>observed</w:t>
      </w:r>
      <w:r w:rsidR="00A81CD9">
        <w:t xml:space="preserve"> that for all compounds tested, no change in transport rates w</w:t>
      </w:r>
      <w:r w:rsidR="001F5369">
        <w:t>as</w:t>
      </w:r>
      <w:r w:rsidR="00A81CD9">
        <w:t xml:space="preserve"> </w:t>
      </w:r>
      <w:r w:rsidR="00354C1C">
        <w:t>found</w:t>
      </w:r>
      <w:r w:rsidR="00A81CD9">
        <w:t xml:space="preserve"> for either vesicles containing potassium chloride</w:t>
      </w:r>
      <w:r w:rsidR="00D21BBF">
        <w:t>,</w:t>
      </w:r>
      <w:r w:rsidR="00354C1C">
        <w:t xml:space="preserve"> or caesium chloride. T</w:t>
      </w:r>
      <w:r w:rsidR="00A81CD9">
        <w:t>his effecti</w:t>
      </w:r>
      <w:r w:rsidR="00354C1C">
        <w:t>vely rules out this transport</w:t>
      </w:r>
      <w:r w:rsidR="00A81CD9">
        <w:t xml:space="preserve"> mechanism.</w:t>
      </w:r>
      <w:r w:rsidR="009C644D">
        <w:t xml:space="preserve"> Representative plots can be found in the ESI.</w:t>
      </w:r>
    </w:p>
    <w:p w14:paraId="5F8F7E8A" w14:textId="6FE8863A" w:rsidR="009C644D" w:rsidRDefault="009C644D" w:rsidP="00F87664">
      <w:pPr>
        <w:pStyle w:val="08ArticleText"/>
      </w:pPr>
      <w:r>
        <w:tab/>
      </w:r>
      <w:r w:rsidR="007346BE">
        <w:t xml:space="preserve">If transport is </w:t>
      </w:r>
      <w:r w:rsidR="00BD6427">
        <w:t xml:space="preserve">occurring </w:t>
      </w:r>
      <w:r w:rsidR="00BD6427" w:rsidRPr="00C24A65">
        <w:rPr>
          <w:i/>
        </w:rPr>
        <w:t>via</w:t>
      </w:r>
      <w:r w:rsidR="00BD6427">
        <w:t xml:space="preserve"> a </w:t>
      </w:r>
      <w:proofErr w:type="spellStart"/>
      <w:r w:rsidR="00BD6427">
        <w:t>Cl</w:t>
      </w:r>
      <w:proofErr w:type="spellEnd"/>
      <w:r w:rsidR="00BD6427">
        <w:rPr>
          <w:vertAlign w:val="superscript"/>
        </w:rPr>
        <w:t>-</w:t>
      </w:r>
      <w:r w:rsidR="00BD6427">
        <w:t>/X</w:t>
      </w:r>
      <w:r w:rsidR="00BD6427">
        <w:rPr>
          <w:vertAlign w:val="superscript"/>
        </w:rPr>
        <w:t>-</w:t>
      </w:r>
      <w:r w:rsidR="00BD6427">
        <w:t xml:space="preserve"> </w:t>
      </w:r>
      <w:proofErr w:type="spellStart"/>
      <w:r w:rsidR="00BD6427">
        <w:t>antiport</w:t>
      </w:r>
      <w:proofErr w:type="spellEnd"/>
      <w:r w:rsidR="00BD6427">
        <w:t xml:space="preserve"> process, the transport rate will be dependent on the external anion. Structurally similar </w:t>
      </w:r>
      <w:proofErr w:type="spellStart"/>
      <w:r w:rsidR="00BD6427">
        <w:t>isophthalamides</w:t>
      </w:r>
      <w:proofErr w:type="spellEnd"/>
      <w:r w:rsidR="00BD6427">
        <w:t xml:space="preserve"> have been shown to function </w:t>
      </w:r>
      <w:r w:rsidR="00BD6427" w:rsidRPr="00354C1C">
        <w:rPr>
          <w:i/>
        </w:rPr>
        <w:t>via</w:t>
      </w:r>
      <w:r w:rsidR="00BD6427">
        <w:t xml:space="preserve"> anion-anion </w:t>
      </w:r>
      <w:proofErr w:type="spellStart"/>
      <w:r w:rsidR="00BD6427">
        <w:t>antiport</w:t>
      </w:r>
      <w:proofErr w:type="spellEnd"/>
      <w:r w:rsidR="00BD6427">
        <w:t xml:space="preserve"> processes.</w:t>
      </w:r>
      <w:r w:rsidR="00BD6427">
        <w:fldChar w:fldCharType="begin" w:fldLock="1"/>
      </w:r>
      <w:r w:rsidR="00EA0E65">
        <w:instrText>ADDIN CSL_CITATION { "citationItems" : [ { "id" : "ITEM-1", "itemData" : { "DOI" : "10.1038/nchem.178", "ISSN" : "1755-4349", "PMID" : "21378827", "abstract" : "Bicarbonate is involved in a wide range of biological processes, which include respiration, regulation of intracellular pH and fertilization. In this study we use a combination of NMR spectroscopy and ion-selective electrode techniques to show that the natural product prodigiosin, a tripyrrolic molecule produced by microorganisms such as Streptomyces and Serratia, facilitates chloride/bicarbonate exchange (antiport) across liposomal membranes. Higher concentrations of simple synthetic molecules based on a 4,6-dihydroxyisophthalamide core are also shown to facilitate this antiport process. Although it is well known that proteins regulate Cl(-)/HCO(3)(-) exchange in cells, these results suggest that small molecules may also be able to regulate the concentration of these anions in biological systems.", "author" : [ { "dropping-particle" : "", "family" : "Davis", "given" : "Jeffery T", "non-dropping-particle" : "", "parse-names" : false, "suffix" : "" }, { "dropping-particle" : "", "family" : "Gale", "given" : "Philip A", "non-dropping-particle" : "", "parse-names" : false, "suffix" : "" }, { "dropping-particle" : "", "family" : "Okunola", "given" : "Oluyomi A", "non-dropping-particle" : "", "parse-names" : false, "suffix" : "" }, { "dropping-particle" : "", "family" : "Prados", "given" : "Pilar", "non-dropping-particle" : "", "parse-names" : false, "suffix" : "" }, { "dropping-particle" : "", "family" : "Iglesias-S\u00e1nchez", "given" : "Jose Carlos", "non-dropping-particle" : "", "parse-names" : false, "suffix" : "" }, { "dropping-particle" : "", "family" : "Torroba", "given" : "Tom\u00e1s", "non-dropping-particle" : "", "parse-names" : false, "suffix" : "" }, { "dropping-particle" : "", "family" : "Quesada", "given" : "Roberto", "non-dropping-particle" : "", "parse-names" : false, "suffix" : "" } ], "container-title" : "Nature chemistry", "id" : "ITEM-1", "issue" : "2", "issued" : { "date-parts" : [ [ "2009", "5" ] ] }, "page" : "138-44", "publisher" : "Nature Publishing Group", "shortTitle" : "Nat Chem", "title" : "Using small molecules to facilitate exchange of bicarbonate and chloride anions across liposomal membranes.", "type" : "article-journal", "volume" : "1" }, "uris" : [ "http://www.mendeley.com/documents/?uuid=afde178e-ae2c-4198-9403-1c664dd063ce" ] } ], "mendeley" : { "formattedCitation" : "&lt;sup&gt;28&lt;/sup&gt;", "plainTextFormattedCitation" : "28", "previouslyFormattedCitation" : "&lt;sup&gt;27&lt;/sup&gt;" }, "properties" : { "noteIndex" : 0 }, "schema" : "https://github.com/citation-style-language/schema/raw/master/csl-citation.json" }</w:instrText>
      </w:r>
      <w:r w:rsidR="00BD6427">
        <w:fldChar w:fldCharType="separate"/>
      </w:r>
      <w:r w:rsidR="00EA0E65" w:rsidRPr="00EA0E65">
        <w:rPr>
          <w:noProof/>
          <w:vertAlign w:val="superscript"/>
        </w:rPr>
        <w:t>28</w:t>
      </w:r>
      <w:r w:rsidR="00BD6427">
        <w:fldChar w:fldCharType="end"/>
      </w:r>
      <w:r w:rsidR="00BD6427">
        <w:t xml:space="preserve"> To test this</w:t>
      </w:r>
      <w:r w:rsidR="002A0040">
        <w:t xml:space="preserve"> mechanism</w:t>
      </w:r>
      <w:r w:rsidR="00BD6427">
        <w:t xml:space="preserve"> we repeated our standard transport assay but this time the vesicles were suspended in external solution containing sodium </w:t>
      </w:r>
      <w:proofErr w:type="spellStart"/>
      <w:r w:rsidR="00BD6427">
        <w:t>sulfate</w:t>
      </w:r>
      <w:proofErr w:type="spellEnd"/>
      <w:r w:rsidR="00BD6427">
        <w:t xml:space="preserve"> (150 </w:t>
      </w:r>
      <w:proofErr w:type="spellStart"/>
      <w:r w:rsidR="00BD6427">
        <w:t>mM</w:t>
      </w:r>
      <w:proofErr w:type="spellEnd"/>
      <w:r w:rsidR="00BD6427">
        <w:t xml:space="preserve"> buffered to pH 7.2 with 20 </w:t>
      </w:r>
      <w:proofErr w:type="spellStart"/>
      <w:r w:rsidR="00BD6427">
        <w:t>mM</w:t>
      </w:r>
      <w:proofErr w:type="spellEnd"/>
      <w:r w:rsidR="00BD6427">
        <w:t xml:space="preserve"> phosphate salts). The </w:t>
      </w:r>
      <w:proofErr w:type="spellStart"/>
      <w:r w:rsidR="00BD6427">
        <w:t>sulfate</w:t>
      </w:r>
      <w:proofErr w:type="spellEnd"/>
      <w:r w:rsidR="00BD6427">
        <w:t xml:space="preserve"> </w:t>
      </w:r>
      <w:proofErr w:type="spellStart"/>
      <w:r w:rsidR="00BD6427">
        <w:t>dianion</w:t>
      </w:r>
      <w:proofErr w:type="spellEnd"/>
      <w:r w:rsidR="00BD6427">
        <w:t xml:space="preserve"> is significantly more hydrated than nitrate and as such, </w:t>
      </w:r>
      <w:r w:rsidR="00FA5048">
        <w:t>is</w:t>
      </w:r>
      <w:r w:rsidR="00D21BBF">
        <w:t xml:space="preserve"> therefore</w:t>
      </w:r>
      <w:r w:rsidR="00FA5048">
        <w:t xml:space="preserve"> much more difficult to transport.</w:t>
      </w:r>
      <w:r w:rsidR="004A3288" w:rsidRPr="004A3288">
        <w:fldChar w:fldCharType="begin" w:fldLock="1"/>
      </w:r>
      <w:r w:rsidR="00EA0E65">
        <w:instrText>ADDIN CSL_CITATION { "citationItems" : [ { "id" : "ITEM-1", "itemData" : { "DOI" : "10.1039/c3sc52006d", "ISSN" : "2041-6520", "author" : [ { "dropping-particle" : "", "family" : "Busschaert", "given" : "Nathalie", "non-dropping-particle" : "", "parse-names" : false, "suffix" : "" }, { "dropping-particle" : "", "family" : "Karagiannidis", "given" : "Louise E.", "non-dropping-particle" : "", "parse-names" : false, "suffix" : "" }, { "dropping-particle" : "", "family" : "Wenzel", "given" : "Marco", "non-dropping-particle" : "", "parse-names" : false, "suffix" : "" }, { "dropping-particle" : "", "family" : "Haynes", "given" : "Cally J. E.", "non-dropping-particle" : "", "parse-names" : false, "suffix" : "" }, { "dropping-particle" : "", "family" : "Wells", "given" : "Neil J.", "non-dropping-particle" : "", "parse-names" : false, "suffix" : "" }, { "dropping-particle" : "", "family" : "Young", "given" : "Philip G.", "non-dropping-particle" : "", "parse-names" : false, "suffix" : "" }, { "dropping-particle" : "", "family" : "Makuc", "given" : "Damjan", "non-dropping-particle" : "", "parse-names" : false, "suffix" : "" }, { "dropping-particle" : "", "family" : "Plavec", "given" : "Janez", "non-dropping-particle" : "", "parse-names" : false, "suffix" : "" }, { "dropping-particle" : "", "family" : "Jolliffe", "given" : "Katrina a.", "non-dropping-particle" : "", "parse-names" : false, "suffix" : "" }, { "dropping-particle" : "", "family" : "Gale", "given" : "Philip a.", "non-dropping-particle" : "", "parse-names" : false, "suffix" : "" } ], "container-title" : "Chemical Science", "id" : "ITEM-1", "issue" : "3", "issued" : { "date-parts" : [ [ "2014" ] ] }, "page" : "1118", "title" : "Synthetic transporters for sulfate: a new method for the direct detection of lipid bilayer sulfate transport", "type" : "article-journal", "volume" : "5" }, "uris" : [ "http://www.mendeley.com/documents/?uuid=c68121ba-bbab-4a74-9606-949fb8fb553a" ] } ], "mendeley" : { "formattedCitation" : "&lt;sup&gt;29&lt;/sup&gt;", "plainTextFormattedCitation" : "29", "previouslyFormattedCitation" : "&lt;sup&gt;28&lt;/sup&gt;" }, "properties" : { "noteIndex" : 0 }, "schema" : "https://github.com/citation-style-language/schema/raw/master/csl-citation.json" }</w:instrText>
      </w:r>
      <w:r w:rsidR="004A3288" w:rsidRPr="004A3288">
        <w:fldChar w:fldCharType="separate"/>
      </w:r>
      <w:r w:rsidR="00EA0E65" w:rsidRPr="00EA0E65">
        <w:rPr>
          <w:noProof/>
          <w:vertAlign w:val="superscript"/>
        </w:rPr>
        <w:t>29</w:t>
      </w:r>
      <w:r w:rsidR="004A3288" w:rsidRPr="004A3288">
        <w:fldChar w:fldCharType="end"/>
      </w:r>
      <w:r w:rsidR="00FA5048">
        <w:t xml:space="preserve"> In these experiments, </w:t>
      </w:r>
      <w:r w:rsidR="00D56A83">
        <w:t xml:space="preserve">transported </w:t>
      </w:r>
      <w:r w:rsidR="00BD6427">
        <w:t>chloride detection</w:t>
      </w:r>
      <w:r w:rsidR="00FA5048">
        <w:t xml:space="preserve"> was severely reduced</w:t>
      </w:r>
      <w:r w:rsidR="0034384F">
        <w:t>, however,</w:t>
      </w:r>
      <w:r w:rsidR="00FA5048">
        <w:t xml:space="preserve"> w</w:t>
      </w:r>
      <w:r w:rsidR="00BD6427">
        <w:t xml:space="preserve">e still observed some chloride transport </w:t>
      </w:r>
      <w:r w:rsidR="006C72B9">
        <w:t>from</w:t>
      </w:r>
      <w:r w:rsidR="00BD6427">
        <w:t xml:space="preserve"> this assay</w:t>
      </w:r>
      <w:r w:rsidR="002A0040">
        <w:t xml:space="preserve"> (the best receptor showed 20% eff</w:t>
      </w:r>
      <w:r w:rsidR="00C24A65">
        <w:t xml:space="preserve">lux at the concentration tested, see ESI for this </w:t>
      </w:r>
      <w:proofErr w:type="spellStart"/>
      <w:r w:rsidR="00C24A65">
        <w:t>sulfate</w:t>
      </w:r>
      <w:proofErr w:type="spellEnd"/>
      <w:r w:rsidR="00C24A65">
        <w:t xml:space="preserve"> assay)</w:t>
      </w:r>
      <w:r w:rsidR="00FA5048">
        <w:t>. T</w:t>
      </w:r>
      <w:r w:rsidR="00BD6427">
        <w:t xml:space="preserve">his could suggest that these compounds function mostly as </w:t>
      </w:r>
      <w:proofErr w:type="spellStart"/>
      <w:r w:rsidR="00BD6427">
        <w:t>Cl</w:t>
      </w:r>
      <w:proofErr w:type="spellEnd"/>
      <w:r w:rsidR="00BD6427">
        <w:rPr>
          <w:vertAlign w:val="superscript"/>
        </w:rPr>
        <w:t>-</w:t>
      </w:r>
      <w:r w:rsidR="00BD6427">
        <w:t>/X</w:t>
      </w:r>
      <w:r w:rsidR="00BD6427">
        <w:rPr>
          <w:vertAlign w:val="superscript"/>
        </w:rPr>
        <w:t>-</w:t>
      </w:r>
      <w:r w:rsidR="00BD6427">
        <w:t xml:space="preserve"> </w:t>
      </w:r>
      <w:proofErr w:type="spellStart"/>
      <w:r w:rsidR="00BD6427">
        <w:t>antiporters</w:t>
      </w:r>
      <w:proofErr w:type="spellEnd"/>
      <w:r w:rsidR="00BD6427">
        <w:t xml:space="preserve"> but with</w:t>
      </w:r>
      <w:r w:rsidR="00150546">
        <w:t xml:space="preserve"> a slight amount of </w:t>
      </w:r>
      <w:proofErr w:type="spellStart"/>
      <w:r w:rsidR="00150546">
        <w:t>Cl</w:t>
      </w:r>
      <w:proofErr w:type="spellEnd"/>
      <w:r w:rsidR="00150546">
        <w:rPr>
          <w:vertAlign w:val="superscript"/>
        </w:rPr>
        <w:t>-</w:t>
      </w:r>
      <w:r w:rsidR="00150546">
        <w:t>/H</w:t>
      </w:r>
      <w:r w:rsidR="00150546">
        <w:rPr>
          <w:vertAlign w:val="superscript"/>
        </w:rPr>
        <w:t>+</w:t>
      </w:r>
      <w:r w:rsidR="00150546">
        <w:t xml:space="preserve"> </w:t>
      </w:r>
      <w:proofErr w:type="spellStart"/>
      <w:r w:rsidR="00150546">
        <w:t>symport</w:t>
      </w:r>
      <w:proofErr w:type="spellEnd"/>
      <w:r w:rsidR="00150546">
        <w:t xml:space="preserve"> mechanism, or that we are detecting some 2Cl</w:t>
      </w:r>
      <w:r w:rsidR="00150546">
        <w:rPr>
          <w:vertAlign w:val="superscript"/>
        </w:rPr>
        <w:t>-</w:t>
      </w:r>
      <w:r w:rsidR="00150546">
        <w:t>/SO</w:t>
      </w:r>
      <w:r w:rsidR="00150546">
        <w:rPr>
          <w:vertAlign w:val="subscript"/>
        </w:rPr>
        <w:t>4</w:t>
      </w:r>
      <w:r w:rsidR="00150546">
        <w:rPr>
          <w:vertAlign w:val="superscript"/>
        </w:rPr>
        <w:t>2-</w:t>
      </w:r>
      <w:r w:rsidR="00150546">
        <w:t xml:space="preserve"> </w:t>
      </w:r>
      <w:proofErr w:type="spellStart"/>
      <w:proofErr w:type="gramStart"/>
      <w:r w:rsidR="00150546">
        <w:t>antiport</w:t>
      </w:r>
      <w:proofErr w:type="spellEnd"/>
      <w:proofErr w:type="gramEnd"/>
      <w:r w:rsidR="00150546">
        <w:t>.</w:t>
      </w:r>
      <w:r w:rsidR="00FA5048">
        <w:t xml:space="preserve"> </w:t>
      </w:r>
      <w:r w:rsidR="00695794">
        <w:t>We recently reported receptors capable of transporting sulfate.</w:t>
      </w:r>
      <w:r w:rsidR="00695794">
        <w:fldChar w:fldCharType="begin" w:fldLock="1"/>
      </w:r>
      <w:r w:rsidR="00EA0E65">
        <w:instrText>ADDIN CSL_CITATION { "citationItems" : [ { "id" : "ITEM-1", "itemData" : { "DOI" : "10.1039/c3sc52006d", "ISSN" : "2041-6520", "author" : [ { "dropping-particle" : "", "family" : "Busschaert", "given" : "Nathalie", "non-dropping-particle" : "", "parse-names" : false, "suffix" : "" }, { "dropping-particle" : "", "family" : "Karagiannidis", "given" : "Louise E.", "non-dropping-particle" : "", "parse-names" : false, "suffix" : "" }, { "dropping-particle" : "", "family" : "Wenzel", "given" : "Marco", "non-dropping-particle" : "", "parse-names" : false, "suffix" : "" }, { "dropping-particle" : "", "family" : "Haynes", "given" : "Cally J. E.", "non-dropping-particle" : "", "parse-names" : false, "suffix" : "" }, { "dropping-particle" : "", "family" : "Wells", "given" : "Neil J.", "non-dropping-particle" : "", "parse-names" : false, "suffix" : "" }, { "dropping-particle" : "", "family" : "Young", "given" : "Philip G.", "non-dropping-particle" : "", "parse-names" : false, "suffix" : "" }, { "dropping-particle" : "", "family" : "Makuc", "given" : "Damjan", "non-dropping-particle" : "", "parse-names" : false, "suffix" : "" }, { "dropping-particle" : "", "family" : "Plavec", "given" : "Janez", "non-dropping-particle" : "", "parse-names" : false, "suffix" : "" }, { "dropping-particle" : "", "family" : "Jolliffe", "given" : "Katrina a.", "non-dropping-particle" : "", "parse-names" : false, "suffix" : "" }, { "dropping-particle" : "", "family" : "Gale", "given" : "Philip a.", "non-dropping-particle" : "", "parse-names" : false, "suffix" : "" } ], "container-title" : "Chemical Science", "id" : "ITEM-1", "issue" : "3", "issued" : { "date-parts" : [ [ "2014" ] ] }, "page" : "1118", "title" : "Synthetic transporters for sulfate: a new method for the direct detection of lipid bilayer sulfate transport", "type" : "article-journal", "volume" : "5" }, "uris" : [ "http://www.mendeley.com/documents/?uuid=c68121ba-bbab-4a74-9606-949fb8fb553a" ] } ], "mendeley" : { "formattedCitation" : "&lt;sup&gt;29&lt;/sup&gt;", "plainTextFormattedCitation" : "29", "previouslyFormattedCitation" : "&lt;sup&gt;28&lt;/sup&gt;" }, "properties" : { "noteIndex" : 0 }, "schema" : "https://github.com/citation-style-language/schema/raw/master/csl-citation.json" }</w:instrText>
      </w:r>
      <w:r w:rsidR="00695794">
        <w:fldChar w:fldCharType="separate"/>
      </w:r>
      <w:r w:rsidR="00EA0E65" w:rsidRPr="00EA0E65">
        <w:rPr>
          <w:noProof/>
          <w:vertAlign w:val="superscript"/>
        </w:rPr>
        <w:t>29</w:t>
      </w:r>
      <w:r w:rsidR="00695794">
        <w:fldChar w:fldCharType="end"/>
      </w:r>
      <w:r w:rsidR="00695794">
        <w:t xml:space="preserve"> In th</w:t>
      </w:r>
      <w:r w:rsidR="00BD33A8">
        <w:t>at</w:t>
      </w:r>
      <w:r w:rsidR="00695794">
        <w:t xml:space="preserve"> study, we noted</w:t>
      </w:r>
      <w:r w:rsidR="00BD33A8">
        <w:t xml:space="preserve"> that a minimum of 6-9 hydrogen </w:t>
      </w:r>
      <w:proofErr w:type="gramStart"/>
      <w:r w:rsidR="00695794">
        <w:t>bond donating</w:t>
      </w:r>
      <w:proofErr w:type="gramEnd"/>
      <w:r w:rsidR="00695794">
        <w:t xml:space="preserve"> groups were </w:t>
      </w:r>
      <w:r w:rsidR="00DC2E7D">
        <w:t>desired</w:t>
      </w:r>
      <w:r w:rsidR="00695794">
        <w:t xml:space="preserve"> for </w:t>
      </w:r>
      <w:proofErr w:type="spellStart"/>
      <w:r w:rsidR="00695794">
        <w:t>sulfate</w:t>
      </w:r>
      <w:proofErr w:type="spellEnd"/>
      <w:r w:rsidR="00695794">
        <w:t xml:space="preserve"> transport. Compounds </w:t>
      </w:r>
      <w:r w:rsidR="00695794">
        <w:rPr>
          <w:b/>
        </w:rPr>
        <w:t>2</w:t>
      </w:r>
      <w:r w:rsidR="00695794">
        <w:t>,</w:t>
      </w:r>
      <w:r w:rsidR="00BD33A8">
        <w:t xml:space="preserve"> </w:t>
      </w:r>
      <w:r w:rsidR="00695794">
        <w:rPr>
          <w:b/>
        </w:rPr>
        <w:t>3</w:t>
      </w:r>
      <w:r w:rsidR="00695794">
        <w:t>,</w:t>
      </w:r>
      <w:r w:rsidR="00BD33A8">
        <w:t xml:space="preserve"> </w:t>
      </w:r>
      <w:r w:rsidR="00695794">
        <w:rPr>
          <w:b/>
        </w:rPr>
        <w:t>5</w:t>
      </w:r>
      <w:r w:rsidR="00695794">
        <w:t xml:space="preserve"> and </w:t>
      </w:r>
      <w:r w:rsidR="00695794">
        <w:rPr>
          <w:b/>
        </w:rPr>
        <w:t>6</w:t>
      </w:r>
      <w:r w:rsidR="00BD33A8">
        <w:t xml:space="preserve"> all have H</w:t>
      </w:r>
      <w:r w:rsidR="00695794">
        <w:t xml:space="preserve">ill coefficients of ~3 or higher. If three </w:t>
      </w:r>
      <w:r w:rsidR="00BD33A8">
        <w:t>equivalents</w:t>
      </w:r>
      <w:r w:rsidR="00695794">
        <w:t xml:space="preserve"> of these compounds </w:t>
      </w:r>
      <w:proofErr w:type="gramStart"/>
      <w:r w:rsidR="00695794">
        <w:t>are</w:t>
      </w:r>
      <w:proofErr w:type="gramEnd"/>
      <w:r w:rsidR="00695794">
        <w:t xml:space="preserve"> interacting with one </w:t>
      </w:r>
      <w:proofErr w:type="spellStart"/>
      <w:r w:rsidR="00695794">
        <w:t>sulfate</w:t>
      </w:r>
      <w:proofErr w:type="spellEnd"/>
      <w:r w:rsidR="00695794">
        <w:t xml:space="preserve"> </w:t>
      </w:r>
      <w:r w:rsidR="00BD33A8">
        <w:t>anion</w:t>
      </w:r>
      <w:r w:rsidR="00695794">
        <w:t xml:space="preserve"> at one time, there would be a minimum of six hydrogen bond donating groups available to interact with the transported </w:t>
      </w:r>
      <w:proofErr w:type="spellStart"/>
      <w:r w:rsidR="00695794">
        <w:t>sulfate</w:t>
      </w:r>
      <w:proofErr w:type="spellEnd"/>
      <w:r w:rsidR="00695794">
        <w:t>. In this sense, 2Cl</w:t>
      </w:r>
      <w:r w:rsidR="00695794">
        <w:rPr>
          <w:vertAlign w:val="superscript"/>
        </w:rPr>
        <w:t>-</w:t>
      </w:r>
      <w:r w:rsidR="00695794">
        <w:t>/SO</w:t>
      </w:r>
      <w:r w:rsidR="00695794">
        <w:rPr>
          <w:vertAlign w:val="subscript"/>
        </w:rPr>
        <w:t>4</w:t>
      </w:r>
      <w:r w:rsidR="00695794">
        <w:rPr>
          <w:vertAlign w:val="superscript"/>
        </w:rPr>
        <w:t>2-</w:t>
      </w:r>
      <w:r w:rsidR="00695794">
        <w:t xml:space="preserve"> is not unreasonable.</w:t>
      </w:r>
      <w:r w:rsidR="00BD33A8">
        <w:t xml:space="preserve"> Further, high H</w:t>
      </w:r>
      <w:r w:rsidR="0034384F">
        <w:t xml:space="preserve">ill coefficients have also been observed for some transporters shown to transport </w:t>
      </w:r>
      <w:proofErr w:type="spellStart"/>
      <w:r w:rsidR="0034384F">
        <w:t>sulfate</w:t>
      </w:r>
      <w:proofErr w:type="spellEnd"/>
      <w:r w:rsidR="0034384F">
        <w:t xml:space="preserve"> and a cooperative transport mechanism was also suggested for th</w:t>
      </w:r>
      <w:r w:rsidR="00BD33A8">
        <w:t>ese systems</w:t>
      </w:r>
      <w:r w:rsidR="0034384F">
        <w:t>.</w:t>
      </w:r>
      <w:r w:rsidR="0034384F">
        <w:fldChar w:fldCharType="begin" w:fldLock="1"/>
      </w:r>
      <w:r w:rsidR="00EA0E65">
        <w:instrText>ADDIN CSL_CITATION { "citationItems" : [ { "id" : "ITEM-1", "itemData" : { "DOI" : "10.1021/ja205884y", "ISSN" : "1520-5126", "PMID" : "21846096", "abstract" : "A series of easy-to-make fluorinated tripodal anion transporters containing urea and thiourea groups have been prepared and their anion transport properties studied. Vesicle anion transport assays using ion-selective electrodes show that this class of compound is capable of transporting chloride through a lipid bilayer via a variety of mechanisms, including chloride/H(+) cotransport and chloride/nitrate, chloride/bicarbonate, and to a lesser extent an unusual chloride/sulfate antiport process. Calculations indicate that increasing the degree of fluorination of the tripodal transmembrane transporters increases the lipophilicity of the transporter and this is shown to be the major contributing factor in the superior transport activity of the fluorinated compounds, with a maximum transport rate achieved for clog P = 8. The most active transporter 5 contained a urea functionality appended with a 3,5-bis(trifluoromethyl)phenyl group and was able to mediate transmembrane chloride transport at receptor to lipid ratios as low as 1:250000. Proton NMR titration and single crystal X-ray diffraction revealed the ability of the tripodal receptors to bind different anions with varying affinities in a 1:1 or 2:1 stoichiometry in solution and in the solid state. We also provide evidence that the most potent anion transporters are able to induce apoptosis in human cancer cells by using a selection of in vitro viability and fluorescence assays.", "author" : [ { "dropping-particle" : "", "family" : "Busschaert", "given" : "Nathalie", "non-dropping-particle" : "", "parse-names" : false, "suffix" : "" }, { "dropping-particle" : "", "family" : "Wenzel", "given" : "Marco", "non-dropping-particle" : "", "parse-names" : false, "suffix" : "" }, { "dropping-particle" : "", "family" : "Light", "given" : "Mark E", "non-dropping-particle" : "", "parse-names" : false, "suffix" : "" }, { "dropping-particle" : "", "family" : "Iglesias-Hern\u00e1ndez", "given" : "Paulina", "non-dropping-particle" : "", "parse-names" : false, "suffix" : "" }, { "dropping-particle" : "", "family" : "P\u00e9rez-Tom\u00e1s", "given" : "Ricardo", "non-dropping-particle" : "", "parse-names" : false, "suffix" : "" }, { "dropping-particle" : "", "family" : "Gale", "given" : "Philip a", "non-dropping-particle" : "", "parse-names" : false, "suffix" : "" } ], "container-title" : "Journal of the American Chemical Society", "id" : "ITEM-1", "issue" : "35", "issued" : { "date-parts" : [ [ "2011", "9", "7" ] ] }, "page" : "14136-48", "title" : "Structure-activity relationships in tripodal transmembrane anion transporters: the effect of fluorination.", "type" : "article-journal", "volume" : "133" }, "uris" : [ "http://www.mendeley.com/documents/?uuid=780673b0-f46c-4fc3-9e4f-02eb9539217a" ] } ], "mendeley" : { "formattedCitation" : "&lt;sup&gt;30&lt;/sup&gt;", "plainTextFormattedCitation" : "30", "previouslyFormattedCitation" : "&lt;sup&gt;29&lt;/sup&gt;" }, "properties" : { "noteIndex" : 0 }, "schema" : "https://github.com/citation-style-language/schema/raw/master/csl-citation.json" }</w:instrText>
      </w:r>
      <w:r w:rsidR="0034384F">
        <w:fldChar w:fldCharType="separate"/>
      </w:r>
      <w:r w:rsidR="00EA0E65" w:rsidRPr="00EA0E65">
        <w:rPr>
          <w:noProof/>
          <w:vertAlign w:val="superscript"/>
        </w:rPr>
        <w:t>30</w:t>
      </w:r>
      <w:r w:rsidR="0034384F">
        <w:fldChar w:fldCharType="end"/>
      </w:r>
      <w:r w:rsidR="00695794">
        <w:t xml:space="preserve"> </w:t>
      </w:r>
    </w:p>
    <w:p w14:paraId="37256DA7" w14:textId="7A8F2C6C" w:rsidR="00150546" w:rsidRDefault="00150546" w:rsidP="00F87664">
      <w:pPr>
        <w:pStyle w:val="08ArticleText"/>
      </w:pPr>
      <w:r>
        <w:tab/>
        <w:t>As well as chloride/nitrate transport, we also decided to test these compounds for the biologically significant chloride/bicarbonate antiport.</w:t>
      </w:r>
      <w:r w:rsidR="00A745D1">
        <w:fldChar w:fldCharType="begin" w:fldLock="1"/>
      </w:r>
      <w:r w:rsidR="00EA0E65">
        <w:instrText>ADDIN CSL_CITATION { "citationItems" : [ { "id" : "ITEM-1", "itemData" : { "author" : [ { "dropping-particle" : "", "family" : "Cordat", "given" : "E", "non-dropping-particle" : "", "parse-names" : false, "suffix" : "" }, { "dropping-particle" : "", "family" : "Casey", "given" : "J. R.", "non-dropping-particle" : "", "parse-names" : false, "suffix" : "" } ], "container-title" : "Biochemical Journal", "id" : "ITEM-1", "issued" : { "date-parts" : [ [ "2009", "1", "15" ] ] }, "page" : "2009", "publisher" : "Portland Press Ltd.", "title" : "Bicarbonate transport in cell physiology and disease", "type" : "article-journal", "volume" : "417" }, "uris" : [ "http://www.mendeley.com/documents/?uuid=6f25bda6-cedb-4f7d-b7a5-16411412f430" ] }, { "id" : "ITEM-2", "itemData" : { "DOI" : "10.1039/c2sc21112b", "ISSN" : "2041-6520", "author" : [ { "dropping-particle" : "", "family" : "Moore", "given" : "Stephen J.", "non-dropping-particle" : "", "parse-names" : false, "suffix" : "" }, { "dropping-particle" : "", "family" : "Haynes", "given" : "Cally J. E.", "non-dropping-particle" : "", "parse-names" : false, "suffix" : "" }, { "dropping-particle" : "", "family" : "Gonz\u00e1lez", "given" : "Jorge", "non-dropping-particle" : "", "parse-names" : false, "suffix" : "" }, { "dropping-particle" : "", "family" : "Sutton", "given" : "Jennifer L.", "non-dropping-particle" : "", "parse-names" : false, "suffix" : "" }, { "dropping-particle" : "", "family" : "Brooks", "given" : "Simon J.", "non-dropping-particle" : "", "parse-names" : false, "suffix" : "" }, { "dropping-particle" : "", "family" : "Light", "given" : "Mark E.", "non-dropping-particle" : "", "parse-names" : false, "suffix" : "" }, { "dropping-particle" : "", "family" : "Herniman", "given" : "Julie", "non-dropping-particle" : "", "parse-names" : false, "suffix" : "" }, { "dropping-particle" : "", "family" : "Langley", "given" : "G. John", "non-dropping-particle" : "", "parse-names" : false, "suffix" : "" }, { "dropping-particle" : "", "family" : "Soto-Cerrato", "given" : "Vanessa", "non-dropping-particle" : "", "parse-names" : false, "suffix" : "" }, { "dropping-particle" : "", "family" : "P\u00e9rez-Tom\u00e1s", "given" : "Ricardo", "non-dropping-particle" : "", "parse-names" : false, "suffix" : "" }, { "dropping-particle" : "", "family" : "Marques", "given" : "Igor", "non-dropping-particle" : "", "parse-names" : false, "suffix" : "" }, { "dropping-particle" : "", "family" : "Costa", "given" : "Paulo J.", "non-dropping-particle" : "", "parse-names" : false, "suffix" : "" }, { "dropping-particle" : "", "family" : "F\u00e9lix", "given" : "V\u00edtor", "non-dropping-particle" : "", "parse-names" : false, "suffix" : "" }, { "dropping-particle" : "", "family" : "Gale", "given" : "Philip a.", "non-dropping-particle" : "", "parse-names" : false, "suffix" : "" } ], "container-title" : "Chemical Science", "id" : "ITEM-2", "issue" : "1", "issued" : { "date-parts" : [ [ "2013" ] ] }, "page" : "103", "title" : "Chloride, carboxylate and carbonate transport by ortho-phenylenediamine-based bisureas", "type" : "article-journal", "volume" : "4" }, "uris" : [ "http://www.mendeley.com/documents/?uuid=110ffdbf-46f6-4ea9-8c0f-bed42fc380ad" ] }, { "id" : "ITEM-3", "itemData" : { "DOI" : "10.1039/b511847f", "ISSN" : "1359-7345", "PMID" : "16307144", "abstract" : "The natural product prodigiosin 1, often described as an H+/Cl- symport cotransporter, can transport Cl- across lipid vesicles via an anion exchange (or antiport) mechanism.", "author" : [ { "dropping-particle" : "", "family" : "Seganish", "given" : "Jennifer L", "non-dropping-particle" : "", "parse-names" : false, "suffix" : "" }, { "dropping-particle" : "", "family" : "Davis", "given" : "Jeffery T", "non-dropping-particle" : "", "parse-names" : false, "suffix" : "" } ], "container-title" : "Chemical communications (Cambridge, England)", "id" : "ITEM-3", "issue" : "46", "issued" : { "date-parts" : [ [ "2005", "12", "14" ] ] }, "page" : "5781-3", "publisher" : "The Royal Society of Chemistry", "title" : "Prodigiosin is a chloride carrier that can function as an anion exchanger.", "type" : "article-journal" }, "uris" : [ "http://www.mendeley.com/documents/?uuid=18d36b64-723d-4b82-9383-07b3a1aef9a1" ] } ], "mendeley" : { "formattedCitation" : "&lt;sup&gt;31\u201333&lt;/sup&gt;", "plainTextFormattedCitation" : "31\u201333", "previouslyFormattedCitation" : "&lt;sup&gt;30\u201332&lt;/sup&gt;" }, "properties" : { "noteIndex" : 0 }, "schema" : "https://github.com/citation-style-language/schema/raw/master/csl-citation.json" }</w:instrText>
      </w:r>
      <w:r w:rsidR="00A745D1">
        <w:fldChar w:fldCharType="separate"/>
      </w:r>
      <w:r w:rsidR="00EA0E65" w:rsidRPr="00EA0E65">
        <w:rPr>
          <w:noProof/>
          <w:vertAlign w:val="superscript"/>
        </w:rPr>
        <w:t>31–33</w:t>
      </w:r>
      <w:r w:rsidR="00A745D1">
        <w:fldChar w:fldCharType="end"/>
      </w:r>
      <w:r>
        <w:t xml:space="preserve"> </w:t>
      </w:r>
      <w:r w:rsidR="008E720D">
        <w:t>In this assay</w:t>
      </w:r>
      <w:r w:rsidR="00695794">
        <w:t xml:space="preserve"> the</w:t>
      </w:r>
      <w:r w:rsidR="008E720D">
        <w:t xml:space="preserve"> </w:t>
      </w:r>
      <w:r w:rsidR="00A51FB8">
        <w:t xml:space="preserve">POPC </w:t>
      </w:r>
      <w:r>
        <w:t>vesicles we used</w:t>
      </w:r>
      <w:r w:rsidR="00695794">
        <w:t xml:space="preserve"> had </w:t>
      </w:r>
      <w:r>
        <w:t xml:space="preserve">the same internal and external </w:t>
      </w:r>
      <w:r w:rsidR="00BD33A8">
        <w:t>conditions</w:t>
      </w:r>
      <w:r>
        <w:t xml:space="preserve"> as the </w:t>
      </w:r>
      <w:proofErr w:type="spellStart"/>
      <w:r>
        <w:t>sulfate</w:t>
      </w:r>
      <w:proofErr w:type="spellEnd"/>
      <w:r>
        <w:t xml:space="preserve"> assay mentioned </w:t>
      </w:r>
      <w:r w:rsidR="00BD33A8">
        <w:t>above</w:t>
      </w:r>
      <w:r>
        <w:t>, but this time, two minutes after receptor addition, a sodium bicarbonate ‘spike’ was added s</w:t>
      </w:r>
      <w:r w:rsidR="00695794">
        <w:t>uch</w:t>
      </w:r>
      <w:r>
        <w:t xml:space="preserve"> that the </w:t>
      </w:r>
      <w:proofErr w:type="spellStart"/>
      <w:r>
        <w:t>extravesicular</w:t>
      </w:r>
      <w:proofErr w:type="spellEnd"/>
      <w:r>
        <w:t xml:space="preserve"> bicarbonate concentration was 40 </w:t>
      </w:r>
      <w:proofErr w:type="spellStart"/>
      <w:r>
        <w:t>mM.</w:t>
      </w:r>
      <w:proofErr w:type="spellEnd"/>
      <w:r>
        <w:t xml:space="preserve"> As stated above, these compounds function predominately as chloride/anion </w:t>
      </w:r>
      <w:proofErr w:type="spellStart"/>
      <w:r>
        <w:t>antiport</w:t>
      </w:r>
      <w:proofErr w:type="spellEnd"/>
      <w:r>
        <w:t xml:space="preserve"> agents, </w:t>
      </w:r>
      <w:r w:rsidR="00BD33A8">
        <w:t xml:space="preserve">and </w:t>
      </w:r>
      <w:r>
        <w:t>this is further</w:t>
      </w:r>
      <w:r w:rsidR="002A0040">
        <w:t xml:space="preserve"> confirmed </w:t>
      </w:r>
      <w:r w:rsidR="008E720D">
        <w:t>by this assay</w:t>
      </w:r>
      <w:r w:rsidR="002A0040">
        <w:t xml:space="preserve"> where we see a</w:t>
      </w:r>
      <w:r w:rsidR="00A51FB8">
        <w:t>n</w:t>
      </w:r>
      <w:r>
        <w:t xml:space="preserve"> increase in chloride transport after the bicarbonate spike is added </w:t>
      </w:r>
      <w:r w:rsidR="00DC2E7D">
        <w:t>(</w:t>
      </w:r>
      <w:r w:rsidR="00BD33A8">
        <w:t>F</w:t>
      </w:r>
      <w:r>
        <w:t>igure 2</w:t>
      </w:r>
      <w:r w:rsidR="00DC2E7D">
        <w:t>),</w:t>
      </w:r>
      <w:r w:rsidR="002A0040">
        <w:t xml:space="preserve"> this implies dependence on the external anion</w:t>
      </w:r>
      <w:r w:rsidR="008E720D">
        <w:t>, suggesting</w:t>
      </w:r>
      <w:r w:rsidR="00695794">
        <w:t xml:space="preserve"> predominately </w:t>
      </w:r>
      <w:r w:rsidR="00BD33A8">
        <w:t xml:space="preserve">an </w:t>
      </w:r>
      <w:r w:rsidR="008E720D">
        <w:t xml:space="preserve">anion-anion </w:t>
      </w:r>
      <w:proofErr w:type="spellStart"/>
      <w:r w:rsidR="008E720D">
        <w:t>antiport</w:t>
      </w:r>
      <w:proofErr w:type="spellEnd"/>
      <w:r w:rsidR="00BD33A8">
        <w:t xml:space="preserve"> process is responsible for transport</w:t>
      </w:r>
      <w:r w:rsidR="008E720D">
        <w:t>.</w:t>
      </w:r>
    </w:p>
    <w:p w14:paraId="7425DC7F" w14:textId="5AC48089" w:rsidR="00150546" w:rsidRDefault="00150546" w:rsidP="00150546">
      <w:pPr>
        <w:pStyle w:val="G1aFigureImage"/>
        <w:rPr>
          <w:noProof/>
          <w:lang w:val="en-US"/>
        </w:rPr>
      </w:pPr>
    </w:p>
    <w:p w14:paraId="45050638" w14:textId="01DA3AFE" w:rsidR="00236510" w:rsidRPr="00236510" w:rsidRDefault="00236510" w:rsidP="00236510">
      <w:pPr>
        <w:pStyle w:val="G1aFigureImage"/>
      </w:pPr>
      <w:r>
        <w:rPr>
          <w:noProof/>
          <w:lang w:val="en-US"/>
        </w:rPr>
        <w:lastRenderedPageBreak/>
        <w:drawing>
          <wp:inline distT="0" distB="0" distL="0" distR="0" wp14:anchorId="78622420" wp14:editId="44A17A36">
            <wp:extent cx="3164840" cy="2373630"/>
            <wp:effectExtent l="0" t="0" r="10160" b="0"/>
            <wp:docPr id="8" name="Picture 8" descr="Macintosh HD:Users:philgale:Documents:Publications:In preparation:Stuart's paper:Updated Tiffs: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philgale:Documents:Publications:In preparation:Stuart's paper:Updated Tiffs:Figure 2.t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64840" cy="2373630"/>
                    </a:xfrm>
                    <a:prstGeom prst="rect">
                      <a:avLst/>
                    </a:prstGeom>
                    <a:noFill/>
                    <a:ln>
                      <a:noFill/>
                    </a:ln>
                  </pic:spPr>
                </pic:pic>
              </a:graphicData>
            </a:graphic>
          </wp:inline>
        </w:drawing>
      </w:r>
    </w:p>
    <w:p w14:paraId="65C0D39D" w14:textId="318311B1" w:rsidR="008E720D" w:rsidRPr="008E720D" w:rsidRDefault="005E1EF2" w:rsidP="008E720D">
      <w:pPr>
        <w:pStyle w:val="G1bFigureCaption"/>
      </w:pPr>
      <w:r>
        <w:t xml:space="preserve">Figure 2: Chloride efflux promoted by a DMSO solution of compound </w:t>
      </w:r>
      <w:r>
        <w:rPr>
          <w:b/>
        </w:rPr>
        <w:t>1-6</w:t>
      </w:r>
      <w:r>
        <w:t xml:space="preserve"> (5 </w:t>
      </w:r>
      <w:proofErr w:type="spellStart"/>
      <w:r>
        <w:t>mol</w:t>
      </w:r>
      <w:proofErr w:type="spellEnd"/>
      <w:r>
        <w:t xml:space="preserve">% receptor concentration versus lipid) from </w:t>
      </w:r>
      <w:proofErr w:type="spellStart"/>
      <w:r>
        <w:t>unilamellar</w:t>
      </w:r>
      <w:proofErr w:type="spellEnd"/>
      <w:r>
        <w:t xml:space="preserve"> POPC vesicles loaded with 451 </w:t>
      </w:r>
      <w:proofErr w:type="spellStart"/>
      <w:r>
        <w:t>mM</w:t>
      </w:r>
      <w:proofErr w:type="spellEnd"/>
      <w:r>
        <w:t xml:space="preserve"> </w:t>
      </w:r>
      <w:proofErr w:type="spellStart"/>
      <w:r>
        <w:t>NaCl</w:t>
      </w:r>
      <w:proofErr w:type="spellEnd"/>
      <w:r>
        <w:t xml:space="preserve"> buffered to pH 7.2 with 20 </w:t>
      </w:r>
      <w:proofErr w:type="spellStart"/>
      <w:r>
        <w:t>mM</w:t>
      </w:r>
      <w:proofErr w:type="spellEnd"/>
      <w:r>
        <w:t xml:space="preserve"> sodium phosphate salts. At t = 120 s a solution of sodium bicarbonate was added such that the external bicarbonate concentration was 40 </w:t>
      </w:r>
      <w:proofErr w:type="spellStart"/>
      <w:r>
        <w:t>mM.</w:t>
      </w:r>
      <w:proofErr w:type="spellEnd"/>
      <w:r>
        <w:t xml:space="preserve"> At the end of the experiment, the vesicles were lysed to calibrate the electrode to 100% efflux. Each point is an average of 3 repeated </w:t>
      </w:r>
      <w:proofErr w:type="gramStart"/>
      <w:r>
        <w:t>runs,</w:t>
      </w:r>
      <w:proofErr w:type="gramEnd"/>
      <w:r>
        <w:t xml:space="preserve"> see ESI for a version of this graph with error bars.</w:t>
      </w:r>
      <w:r w:rsidR="00A81CD9">
        <w:tab/>
      </w:r>
    </w:p>
    <w:p w14:paraId="177EB76B" w14:textId="165EC071" w:rsidR="00596436" w:rsidRDefault="00DC2E7D" w:rsidP="00415DCF">
      <w:pPr>
        <w:pStyle w:val="05BHeading"/>
      </w:pPr>
      <w:r>
        <w:t xml:space="preserve">Evidence for </w:t>
      </w:r>
      <w:r w:rsidR="00BD33A8">
        <w:t xml:space="preserve">a </w:t>
      </w:r>
      <w:r w:rsidR="00695794">
        <w:t>Cooperative Transport Mechanism</w:t>
      </w:r>
    </w:p>
    <w:p w14:paraId="29002BD7" w14:textId="0E80EFAA" w:rsidR="00415DCF" w:rsidRPr="008E720D" w:rsidRDefault="004C7208" w:rsidP="00415DCF">
      <w:pPr>
        <w:pStyle w:val="08ArticleText"/>
      </w:pPr>
      <w:r>
        <w:t xml:space="preserve">Armed with evidence for </w:t>
      </w:r>
      <w:r w:rsidR="00B92ABE">
        <w:t>higher order aggregate</w:t>
      </w:r>
      <w:r w:rsidR="00695794">
        <w:t xml:space="preserve"> formation from the obtained H</w:t>
      </w:r>
      <w:r w:rsidR="00415DCF">
        <w:t>ill coefficients, we decided to employ the traditional experiments used to examine carrier, channel or pore formation.</w:t>
      </w:r>
      <w:r w:rsidR="00A77E7A">
        <w:fldChar w:fldCharType="begin" w:fldLock="1"/>
      </w:r>
      <w:r w:rsidR="00EA0E65">
        <w:instrText>ADDIN CSL_CITATION { "citationItems" : [ { "id" : "ITEM-1", "itemData" : { "DOI" : "10.1021/ja205884y", "ISSN" : "1520-5126", "PMID" : "21846096", "abstract" : "A series of easy-to-make fluorinated tripodal anion transporters containing urea and thiourea groups have been prepared and their anion transport properties studied. Vesicle anion transport assays using ion-selective electrodes show that this class of compound is capable of transporting chloride through a lipid bilayer via a variety of mechanisms, including chloride/H(+) cotransport and chloride/nitrate, chloride/bicarbonate, and to a lesser extent an unusual chloride/sulfate antiport process. Calculations indicate that increasing the degree of fluorination of the tripodal transmembrane transporters increases the lipophilicity of the transporter and this is shown to be the major contributing factor in the superior transport activity of the fluorinated compounds, with a maximum transport rate achieved for clog P = 8. The most active transporter 5 contained a urea functionality appended with a 3,5-bis(trifluoromethyl)phenyl group and was able to mediate transmembrane chloride transport at receptor to lipid ratios as low as 1:250000. Proton NMR titration and single crystal X-ray diffraction revealed the ability of the tripodal receptors to bind different anions with varying affinities in a 1:1 or 2:1 stoichiometry in solution and in the solid state. We also provide evidence that the most potent anion transporters are able to induce apoptosis in human cancer cells by using a selection of in vitro viability and fluorescence assays.", "author" : [ { "dropping-particle" : "", "family" : "Busschaert", "given" : "Nathalie", "non-dropping-particle" : "", "parse-names" : false, "suffix" : "" }, { "dropping-particle" : "", "family" : "Wenzel", "given" : "Marco", "non-dropping-particle" : "", "parse-names" : false, "suffix" : "" }, { "dropping-particle" : "", "family" : "Light", "given" : "Mark E", "non-dropping-particle" : "", "parse-names" : false, "suffix" : "" }, { "dropping-particle" : "", "family" : "Iglesias-Hern\u00e1ndez", "given" : "Paulina", "non-dropping-particle" : "", "parse-names" : false, "suffix" : "" }, { "dropping-particle" : "", "family" : "P\u00e9rez-Tom\u00e1s", "given" : "Ricardo", "non-dropping-particle" : "", "parse-names" : false, "suffix" : "" }, { "dropping-particle" : "", "family" : "Gale", "given" : "Philip a", "non-dropping-particle" : "", "parse-names" : false, "suffix" : "" } ], "container-title" : "Journal of the American Chemical Society", "id" : "ITEM-1", "issue" : "35", "issued" : { "date-parts" : [ [ "2011", "9", "7" ] ] }, "page" : "14136-48", "title" : "Structure-activity relationships in tripodal transmembrane anion transporters: the effect of fluorination.", "type" : "article-journal", "volume" : "133" }, "uris" : [ "http://www.mendeley.com/documents/?uuid=780673b0-f46c-4fc3-9e4f-02eb9539217a" ] } ], "mendeley" : { "formattedCitation" : "&lt;sup&gt;30&lt;/sup&gt;", "plainTextFormattedCitation" : "30", "previouslyFormattedCitation" : "&lt;sup&gt;29&lt;/sup&gt;" }, "properties" : { "noteIndex" : 0 }, "schema" : "https://github.com/citation-style-language/schema/raw/master/csl-citation.json" }</w:instrText>
      </w:r>
      <w:r w:rsidR="00A77E7A">
        <w:fldChar w:fldCharType="separate"/>
      </w:r>
      <w:r w:rsidR="00EA0E65" w:rsidRPr="00EA0E65">
        <w:rPr>
          <w:noProof/>
          <w:vertAlign w:val="superscript"/>
        </w:rPr>
        <w:t>30</w:t>
      </w:r>
      <w:r w:rsidR="00A77E7A">
        <w:fldChar w:fldCharType="end"/>
      </w:r>
      <w:r w:rsidR="00415DCF">
        <w:t xml:space="preserve"> Classic U-Tube experiments were carried out where the membrane is modelled by two aqueous phases separated by an organic phase of nitrobenzene. The </w:t>
      </w:r>
      <w:r w:rsidR="00866CBC">
        <w:t>donating</w:t>
      </w:r>
      <w:r w:rsidR="00415DCF">
        <w:t xml:space="preserve"> aqueous phase contained sodium chloride (489 </w:t>
      </w:r>
      <w:proofErr w:type="spellStart"/>
      <w:r w:rsidR="00415DCF">
        <w:t>mM</w:t>
      </w:r>
      <w:proofErr w:type="spellEnd"/>
      <w:r w:rsidR="00415DCF">
        <w:t xml:space="preserve">, buffered to pH 7.2 with 5 </w:t>
      </w:r>
      <w:proofErr w:type="spellStart"/>
      <w:r w:rsidR="00415DCF">
        <w:t>mM</w:t>
      </w:r>
      <w:proofErr w:type="spellEnd"/>
      <w:r w:rsidR="00415DCF">
        <w:t xml:space="preserve"> sodium phosphate</w:t>
      </w:r>
      <w:r w:rsidR="00866CBC">
        <w:t xml:space="preserve"> salts), the second, receiving </w:t>
      </w:r>
      <w:r w:rsidR="00415DCF">
        <w:t xml:space="preserve">phase contained sodium nitrate (489 </w:t>
      </w:r>
      <w:proofErr w:type="spellStart"/>
      <w:r w:rsidR="00415DCF">
        <w:t>mM</w:t>
      </w:r>
      <w:proofErr w:type="spellEnd"/>
      <w:r w:rsidR="00415DCF">
        <w:t xml:space="preserve">, buffered to pH 7.2 with 5 </w:t>
      </w:r>
      <w:proofErr w:type="spellStart"/>
      <w:r w:rsidR="00415DCF">
        <w:t>mM</w:t>
      </w:r>
      <w:proofErr w:type="spellEnd"/>
      <w:r w:rsidR="00415DCF">
        <w:t xml:space="preserve"> sodium phosphate salts)</w:t>
      </w:r>
      <w:r w:rsidR="00866CBC">
        <w:t xml:space="preserve">. The nitrobenzene organic phase contained 1 </w:t>
      </w:r>
      <w:proofErr w:type="spellStart"/>
      <w:r w:rsidR="00866CBC">
        <w:t>mM</w:t>
      </w:r>
      <w:proofErr w:type="spellEnd"/>
      <w:r w:rsidR="00866CBC">
        <w:t xml:space="preserve"> receptor and 1 </w:t>
      </w:r>
      <w:proofErr w:type="spellStart"/>
      <w:r w:rsidR="00866CBC">
        <w:t>mM</w:t>
      </w:r>
      <w:proofErr w:type="spellEnd"/>
      <w:r w:rsidR="00866CBC">
        <w:t xml:space="preserve"> TBAPF</w:t>
      </w:r>
      <w:r w:rsidR="00866CBC">
        <w:rPr>
          <w:vertAlign w:val="subscript"/>
        </w:rPr>
        <w:t>6</w:t>
      </w:r>
      <w:r w:rsidR="00866CBC">
        <w:t xml:space="preserve"> to act as a counter </w:t>
      </w:r>
      <w:proofErr w:type="spellStart"/>
      <w:r w:rsidR="00866CBC">
        <w:t>cation</w:t>
      </w:r>
      <w:proofErr w:type="spellEnd"/>
      <w:r w:rsidR="00866CBC">
        <w:t xml:space="preserve"> in the transport process.</w:t>
      </w:r>
      <w:r w:rsidR="00AF0C81">
        <w:t xml:space="preserve"> The chloride concentration in the receiving phase was monitored over a period of 96 hours using a chloride selective electrode.</w:t>
      </w:r>
      <w:r w:rsidR="00866CBC">
        <w:t xml:space="preserve"> The large separation distances between the two aqueous phases rules out transport by a channel or pore formation process</w:t>
      </w:r>
      <w:r w:rsidR="00AF0C81">
        <w:t xml:space="preserve"> and therefore chloride transport observed in this experiment must </w:t>
      </w:r>
      <w:r w:rsidR="00695794">
        <w:t>occur</w:t>
      </w:r>
      <w:r w:rsidR="00AF0C81">
        <w:t xml:space="preserve"> from a mobile carrier transport process. We observed</w:t>
      </w:r>
      <w:r w:rsidR="00695794">
        <w:t xml:space="preserve"> that</w:t>
      </w:r>
      <w:r w:rsidR="00AF0C81">
        <w:t xml:space="preserve"> only</w:t>
      </w:r>
      <w:r w:rsidR="00695794">
        <w:t xml:space="preserve"> with</w:t>
      </w:r>
      <w:r w:rsidR="00AF0C81">
        <w:t xml:space="preserve"> compound </w:t>
      </w:r>
      <w:r w:rsidR="00AF0C81">
        <w:rPr>
          <w:b/>
        </w:rPr>
        <w:t>2</w:t>
      </w:r>
      <w:r w:rsidR="00AF0C81">
        <w:t xml:space="preserve"> </w:t>
      </w:r>
      <w:r w:rsidR="00824448">
        <w:t xml:space="preserve">was </w:t>
      </w:r>
      <w:r w:rsidR="00AF0C81">
        <w:t>more chloride</w:t>
      </w:r>
      <w:r w:rsidR="00695794">
        <w:t xml:space="preserve"> was transported</w:t>
      </w:r>
      <w:r w:rsidR="00AF0C81">
        <w:t xml:space="preserve"> to the receiving phase than the control (no receptor in the nitrobenzene phase) (see ESI for data). This</w:t>
      </w:r>
      <w:r w:rsidR="003F30A7">
        <w:t xml:space="preserve"> could suggest</w:t>
      </w:r>
      <w:r w:rsidR="00AF0C81">
        <w:t xml:space="preserve"> that these compound</w:t>
      </w:r>
      <w:r w:rsidR="00695794">
        <w:t xml:space="preserve">s </w:t>
      </w:r>
      <w:r w:rsidR="00AF0C81">
        <w:t>function best when they are able to aggregate into an activated transporting unit and do not function</w:t>
      </w:r>
      <w:r w:rsidR="003F30A7">
        <w:t xml:space="preserve"> well</w:t>
      </w:r>
      <w:r w:rsidR="00AF0C81">
        <w:t xml:space="preserve"> solely as mobile carriers. As structurally similar </w:t>
      </w:r>
      <w:proofErr w:type="spellStart"/>
      <w:r w:rsidR="00AF0C81">
        <w:t>isophthalamides</w:t>
      </w:r>
      <w:proofErr w:type="spellEnd"/>
      <w:r w:rsidR="00AF0C81">
        <w:t xml:space="preserve"> have been shown </w:t>
      </w:r>
      <w:r w:rsidR="00A77E7A">
        <w:t>to function as mobile carriers</w:t>
      </w:r>
      <w:r w:rsidR="00A77E7A">
        <w:fldChar w:fldCharType="begin" w:fldLock="1"/>
      </w:r>
      <w:r w:rsidR="00EA0E65">
        <w:instrText>ADDIN CSL_CITATION { "citationItems" : [ { "id" : "ITEM-1", "itemData" : { "DOI" : "10.1039/b703259e", "ISSN" : "1359-7345", "PMID" : "17457425", "abstract" : "Replacement of the central isophthalamide core in a synthetic HCl receptor, with a 2,6-dicarboxamidopyridine, leads to a more preorganised molecular structure that exhibits higher chloride affinity and membrane transport flux.", "author" : [ { "dropping-particle" : "", "family" : "Gale", "given" : "Philip a", "non-dropping-particle" : "", "parse-names" : false, "suffix" : "" }, { "dropping-particle" : "", "family" : "Garric", "given" : "Joachim", "non-dropping-particle" : "", "parse-names" : false, "suffix" : "" }, { "dropping-particle" : "", "family" : "Light", "given" : "Mark E", "non-dropping-particle" : "", "parse-names" : false, "suffix" : "" }, { "dropping-particle" : "", "family" : "McNally", "given" : "Beth a", "non-dropping-particle" : "", "parse-names" : false, "suffix" : "" }, { "dropping-particle" : "", "family" : "Smith", "given" : "Bradley D", "non-dropping-particle" : "", "parse-names" : false, "suffix" : "" } ], "container-title" : "Chemical communications (Cambridge, England)", "id" : "ITEM-1", "issue" : "17", "issued" : { "date-parts" : [ [ "2007", "5", "7" ] ] }, "page" : "1736-8", "title" : "Conformational control of HCl co-transporter: imidazole functionalised isophthalamide vs. 2,6-dicarboxamidopyridine.", "type" : "article-journal", "volume" : "48" }, "uris" : [ "http://www.mendeley.com/documents/?uuid=33e0bc11-5db7-44fa-9eb9-d055af700d3e" ] } ], "mendeley" : { "formattedCitation" : "&lt;sup&gt;34&lt;/sup&gt;", "plainTextFormattedCitation" : "34", "previouslyFormattedCitation" : "&lt;sup&gt;33&lt;/sup&gt;" }, "properties" : { "noteIndex" : 0 }, "schema" : "https://github.com/citation-style-language/schema/raw/master/csl-citation.json" }</w:instrText>
      </w:r>
      <w:r w:rsidR="00A77E7A">
        <w:fldChar w:fldCharType="separate"/>
      </w:r>
      <w:r w:rsidR="00EA0E65" w:rsidRPr="00EA0E65">
        <w:rPr>
          <w:noProof/>
          <w:vertAlign w:val="superscript"/>
        </w:rPr>
        <w:t>34</w:t>
      </w:r>
      <w:r w:rsidR="00A77E7A">
        <w:fldChar w:fldCharType="end"/>
      </w:r>
      <w:r w:rsidR="00AF0C81">
        <w:t>, there is no</w:t>
      </w:r>
      <w:r w:rsidR="00EA1C05">
        <w:t xml:space="preserve"> obvious</w:t>
      </w:r>
      <w:r w:rsidR="00AF0C81">
        <w:t xml:space="preserve"> reason to suggest why these compounds cannot function </w:t>
      </w:r>
      <w:r w:rsidR="008A1C36">
        <w:t>as a 1:1 carrier</w:t>
      </w:r>
      <w:r w:rsidR="00D945F5">
        <w:t>. However</w:t>
      </w:r>
      <w:r w:rsidR="00AF0C81">
        <w:t>,</w:t>
      </w:r>
      <w:r w:rsidR="00695794">
        <w:t xml:space="preserve"> the fact that the majority of these compounds function poorly in the U-tube suggests that</w:t>
      </w:r>
      <w:r w:rsidR="00AF0C81">
        <w:t xml:space="preserve"> their transport efficiency is greatly enhanced when individual monomers assemble into a higher ordered transporting unit.</w:t>
      </w:r>
      <w:r w:rsidR="008E720D">
        <w:t xml:space="preserve"> The slight chloride detection in the receiving </w:t>
      </w:r>
      <w:r w:rsidR="008E720D">
        <w:lastRenderedPageBreak/>
        <w:t>phase in the control U-tube can be rationalised by</w:t>
      </w:r>
      <w:r w:rsidR="00695794">
        <w:t xml:space="preserve"> ion-pairing transport. It</w:t>
      </w:r>
      <w:r w:rsidR="008E720D">
        <w:t xml:space="preserve"> is unclear why the addition of receptors </w:t>
      </w:r>
      <w:r w:rsidR="008E720D">
        <w:rPr>
          <w:b/>
        </w:rPr>
        <w:t>1</w:t>
      </w:r>
      <w:r w:rsidR="008E720D">
        <w:t>,</w:t>
      </w:r>
      <w:r w:rsidR="00B15906">
        <w:t xml:space="preserve"> </w:t>
      </w:r>
      <w:r w:rsidR="008E720D">
        <w:rPr>
          <w:b/>
        </w:rPr>
        <w:t>3</w:t>
      </w:r>
      <w:r w:rsidR="008E720D">
        <w:t>,</w:t>
      </w:r>
      <w:r w:rsidR="00B15906">
        <w:t xml:space="preserve"> </w:t>
      </w:r>
      <w:r w:rsidR="008E720D">
        <w:rPr>
          <w:b/>
        </w:rPr>
        <w:t>4-6</w:t>
      </w:r>
      <w:r w:rsidR="003F30A7">
        <w:t xml:space="preserve"> to the organic phase </w:t>
      </w:r>
      <w:r w:rsidR="008E720D">
        <w:t>caused less chloride efflux than the control.</w:t>
      </w:r>
    </w:p>
    <w:p w14:paraId="4F762EA5" w14:textId="5920F698" w:rsidR="00A416B8" w:rsidRDefault="00AF0C81" w:rsidP="00415DCF">
      <w:pPr>
        <w:pStyle w:val="08ArticleText"/>
      </w:pPr>
      <w:r>
        <w:tab/>
        <w:t>Further to the U-Tu</w:t>
      </w:r>
      <w:r w:rsidR="008C496C">
        <w:t>be experiments, we assayed the</w:t>
      </w:r>
      <w:r>
        <w:t xml:space="preserve"> compound</w:t>
      </w:r>
      <w:r w:rsidR="002528E6">
        <w:t>s</w:t>
      </w:r>
      <w:r>
        <w:t xml:space="preserve"> ability to transpor</w:t>
      </w:r>
      <w:r w:rsidR="00B15906">
        <w:t xml:space="preserve">t in vesicles composed of </w:t>
      </w:r>
      <w:proofErr w:type="spellStart"/>
      <w:r w:rsidR="00B15906">
        <w:t>POPC</w:t>
      </w:r>
      <w:proofErr w:type="gramStart"/>
      <w:r w:rsidR="00B15906">
        <w:t>:c</w:t>
      </w:r>
      <w:r>
        <w:t>holesterol</w:t>
      </w:r>
      <w:proofErr w:type="spellEnd"/>
      <w:proofErr w:type="gramEnd"/>
      <w:r>
        <w:t xml:space="preserve"> (7:3 molar ratio). The presence of cholesterol </w:t>
      </w:r>
      <w:r w:rsidR="002528E6">
        <w:t>in the vesicle bilayer decreases membrane fluidity and thus any transport mechanism that relies on diffusion would be expected to show a reduced transport rate under thes</w:t>
      </w:r>
      <w:r w:rsidR="00B15906">
        <w:t xml:space="preserve">e conditions. We prepared </w:t>
      </w:r>
      <w:proofErr w:type="spellStart"/>
      <w:r w:rsidR="00B15906">
        <w:t>POPC</w:t>
      </w:r>
      <w:proofErr w:type="gramStart"/>
      <w:r w:rsidR="00B15906">
        <w:t>:c</w:t>
      </w:r>
      <w:r w:rsidR="002528E6">
        <w:t>holesterol</w:t>
      </w:r>
      <w:proofErr w:type="spellEnd"/>
      <w:proofErr w:type="gramEnd"/>
      <w:r w:rsidR="002528E6">
        <w:t xml:space="preserve"> vesicles (7:3 molar ratio) containing sodium chloride (489 </w:t>
      </w:r>
      <w:proofErr w:type="spellStart"/>
      <w:r w:rsidR="002528E6">
        <w:t>mM</w:t>
      </w:r>
      <w:proofErr w:type="spellEnd"/>
      <w:r w:rsidR="002528E6">
        <w:t xml:space="preserve"> with 5 </w:t>
      </w:r>
      <w:proofErr w:type="spellStart"/>
      <w:r w:rsidR="002528E6">
        <w:t>mM</w:t>
      </w:r>
      <w:proofErr w:type="spellEnd"/>
      <w:r w:rsidR="002528E6">
        <w:t xml:space="preserve"> phosphate buffer, pH 7.2) and suspended them in an external sodium nitrate solution (489 </w:t>
      </w:r>
      <w:proofErr w:type="spellStart"/>
      <w:r w:rsidR="002528E6">
        <w:t>mM</w:t>
      </w:r>
      <w:proofErr w:type="spellEnd"/>
      <w:r w:rsidR="002528E6">
        <w:t xml:space="preserve"> with 5 </w:t>
      </w:r>
      <w:proofErr w:type="spellStart"/>
      <w:r w:rsidR="002528E6">
        <w:t>mM</w:t>
      </w:r>
      <w:proofErr w:type="spellEnd"/>
      <w:r w:rsidR="002528E6">
        <w:t xml:space="preserve"> phosphate buffer, pH 7.2) so as to be directly comparable to the </w:t>
      </w:r>
      <w:proofErr w:type="spellStart"/>
      <w:r w:rsidR="002528E6">
        <w:t>Cl</w:t>
      </w:r>
      <w:proofErr w:type="spellEnd"/>
      <w:r w:rsidR="002528E6">
        <w:rPr>
          <w:vertAlign w:val="superscript"/>
        </w:rPr>
        <w:t>-</w:t>
      </w:r>
      <w:r w:rsidR="002528E6">
        <w:t>/NO</w:t>
      </w:r>
      <w:r w:rsidR="002528E6">
        <w:softHyphen/>
      </w:r>
      <w:r w:rsidR="002528E6">
        <w:rPr>
          <w:vertAlign w:val="subscript"/>
        </w:rPr>
        <w:t>3</w:t>
      </w:r>
      <w:r w:rsidR="002528E6">
        <w:rPr>
          <w:vertAlign w:val="superscript"/>
        </w:rPr>
        <w:noBreakHyphen/>
      </w:r>
      <w:r w:rsidR="002528E6">
        <w:t xml:space="preserve"> assays previously run. For all compounds except </w:t>
      </w:r>
      <w:r w:rsidR="002528E6">
        <w:rPr>
          <w:b/>
        </w:rPr>
        <w:t>2</w:t>
      </w:r>
      <w:r w:rsidR="002528E6">
        <w:t xml:space="preserve">, we see a dramatic decrease in transport efficiency under these conditions than in POPC vesicles alone (see ESI for comparative plots). </w:t>
      </w:r>
      <w:r w:rsidR="003F30A7">
        <w:t xml:space="preserve">As </w:t>
      </w:r>
      <w:r w:rsidR="003F30A7">
        <w:rPr>
          <w:b/>
        </w:rPr>
        <w:t>2</w:t>
      </w:r>
      <w:r w:rsidR="003F30A7">
        <w:t xml:space="preserve"> out-performed the other compounds in the U-Tube experiment and the cholesterol tests, perhaps this compound functions </w:t>
      </w:r>
      <w:r w:rsidR="007F34EB">
        <w:t xml:space="preserve">predominantly </w:t>
      </w:r>
      <w:r w:rsidR="003F30A7">
        <w:t>as a mobile carrier</w:t>
      </w:r>
      <w:r w:rsidR="006D5856">
        <w:t>, possibly due</w:t>
      </w:r>
      <w:r w:rsidR="007F34EB">
        <w:t xml:space="preserve"> to </w:t>
      </w:r>
      <w:proofErr w:type="spellStart"/>
      <w:r w:rsidR="007F34EB">
        <w:t>lipophilicity</w:t>
      </w:r>
      <w:proofErr w:type="spellEnd"/>
      <w:r w:rsidR="007F34EB">
        <w:t xml:space="preserve"> reasons (see T</w:t>
      </w:r>
      <w:r w:rsidR="006D5856">
        <w:t>able 1)</w:t>
      </w:r>
      <w:r w:rsidR="003F30A7">
        <w:t xml:space="preserve">. </w:t>
      </w:r>
    </w:p>
    <w:p w14:paraId="5A6B2948" w14:textId="5EB9B820" w:rsidR="00AF0C81" w:rsidRPr="002528E6" w:rsidRDefault="00A416B8" w:rsidP="00415DCF">
      <w:pPr>
        <w:pStyle w:val="08ArticleText"/>
      </w:pPr>
      <w:r>
        <w:tab/>
      </w:r>
      <w:r w:rsidR="002528E6" w:rsidRPr="003F30A7">
        <w:t>A</w:t>
      </w:r>
      <w:r w:rsidR="002528E6">
        <w:t xml:space="preserve"> decrease in transport efficiency has been used in the past as evidence </w:t>
      </w:r>
      <w:r w:rsidR="002A1105">
        <w:t>for a mobile carrier mechanism</w:t>
      </w:r>
      <w:r w:rsidR="002A1105">
        <w:fldChar w:fldCharType="begin" w:fldLock="1"/>
      </w:r>
      <w:r w:rsidR="00EA0E65">
        <w:instrText>ADDIN CSL_CITATION { "citationItems" : [ { "id" : "ITEM-1", "itemData" : { "author" : [ { "dropping-particle" : "", "family" : "Kirby", "given" : "C", "non-dropping-particle" : "", "parse-names" : false, "suffix" : "" }, { "dropping-particle" : "", "family" : "Clarke", "given" : "Jacqui", "non-dropping-particle" : "", "parse-names" : false, "suffix" : "" }, { "dropping-particle" : "", "family" : "Gregoriadis", "given" : "Gregory", "non-dropping-particle" : "", "parse-names" : false, "suffix" : "" } ], "container-title" : "Biochemical Journal", "id" : "ITEM-1", "issued" : { "date-parts" : [ [ "1980", "2", "15" ] ] }, "page" : "591-598", "publisher" : "Portland Press Ltd.", "title" : "Effect of the cholesterol content of small unilamellar liposomes on their stability in vivo and in vitro", "type" : "article-journal", "volume" : "186" }, "uris" : [ "http://www.mendeley.com/documents/?uuid=516d1570-6ee4-4230-94be-573c8ecbe4d9" ] } ], "mendeley" : { "formattedCitation" : "&lt;sup&gt;35&lt;/sup&gt;", "plainTextFormattedCitation" : "35", "previouslyFormattedCitation" : "&lt;sup&gt;34&lt;/sup&gt;" }, "properties" : { "noteIndex" : 0 }, "schema" : "https://github.com/citation-style-language/schema/raw/master/csl-citation.json" }</w:instrText>
      </w:r>
      <w:r w:rsidR="002A1105">
        <w:fldChar w:fldCharType="separate"/>
      </w:r>
      <w:r w:rsidR="00EA0E65" w:rsidRPr="00EA0E65">
        <w:rPr>
          <w:noProof/>
          <w:vertAlign w:val="superscript"/>
        </w:rPr>
        <w:t>35</w:t>
      </w:r>
      <w:r w:rsidR="002A1105">
        <w:fldChar w:fldCharType="end"/>
      </w:r>
      <w:r w:rsidR="002528E6">
        <w:t xml:space="preserve">, however, it could be argued that if these </w:t>
      </w:r>
      <w:proofErr w:type="spellStart"/>
      <w:r w:rsidR="002528E6">
        <w:t>isophthalamides</w:t>
      </w:r>
      <w:proofErr w:type="spellEnd"/>
      <w:r w:rsidR="002528E6">
        <w:t xml:space="preserve"> function by self-assembling</w:t>
      </w:r>
      <w:r w:rsidR="008A1C36">
        <w:t xml:space="preserve"> into</w:t>
      </w:r>
      <w:r w:rsidR="002528E6">
        <w:t xml:space="preserve"> </w:t>
      </w:r>
      <w:r w:rsidR="006D5856">
        <w:t>cooperative transporting aggregates</w:t>
      </w:r>
      <w:r w:rsidR="002528E6">
        <w:t>, an increase in viscosity in the membrane could be preventing firstly the diffusion of individual monomers into the bilayer, and</w:t>
      </w:r>
      <w:r w:rsidR="00C24A65">
        <w:t xml:space="preserve"> then</w:t>
      </w:r>
      <w:r w:rsidR="002528E6">
        <w:t xml:space="preserve"> secondly, </w:t>
      </w:r>
      <w:r w:rsidR="000C2424">
        <w:t xml:space="preserve">disrupting any stacking interactions between monomers to form the conducting </w:t>
      </w:r>
      <w:r w:rsidR="006D5856">
        <w:t>aggregate</w:t>
      </w:r>
      <w:r w:rsidR="000C2424">
        <w:t>. Therefore, it is not surprising that we see reduced transport rates under these conditions.</w:t>
      </w:r>
      <w:r w:rsidR="003F30A7">
        <w:t xml:space="preserve"> </w:t>
      </w:r>
      <w:r w:rsidR="006C72B9">
        <w:t xml:space="preserve">Certainly this experiment implies that the rate of diffusion of these monomers into the bilayer is important for transport efficiency, which is probably why the </w:t>
      </w:r>
      <w:proofErr w:type="spellStart"/>
      <w:r w:rsidR="006C72B9">
        <w:t>lipophilicity</w:t>
      </w:r>
      <w:proofErr w:type="spellEnd"/>
      <w:r w:rsidR="006C72B9">
        <w:t xml:space="preserve"> range also seems to play a role in defining the best transporter.</w:t>
      </w:r>
    </w:p>
    <w:p w14:paraId="734F3DF0" w14:textId="4D4F1679" w:rsidR="00596436" w:rsidRDefault="00AB208E" w:rsidP="00AB208E">
      <w:pPr>
        <w:pStyle w:val="05BHeading"/>
      </w:pPr>
      <w:r>
        <w:t>Evidence for Aggregation</w:t>
      </w:r>
    </w:p>
    <w:p w14:paraId="460D7932" w14:textId="745B51AE" w:rsidR="009D7589" w:rsidRDefault="004929D1" w:rsidP="009D7589">
      <w:pPr>
        <w:pStyle w:val="08ArticleText"/>
      </w:pPr>
      <w:r>
        <w:t>Fluorescence</w:t>
      </w:r>
      <w:r w:rsidR="009D7589">
        <w:t xml:space="preserve"> experiments have been used </w:t>
      </w:r>
      <w:r>
        <w:t>previously</w:t>
      </w:r>
      <w:r w:rsidR="009D7589">
        <w:t xml:space="preserve"> to show evidence of aggregation, both in water and in phospholipid bilayer</w:t>
      </w:r>
      <w:r>
        <w:t>s</w:t>
      </w:r>
      <w:r w:rsidR="00862A1D">
        <w:t>.</w:t>
      </w:r>
      <w:r w:rsidR="00862A1D">
        <w:fldChar w:fldCharType="begin" w:fldLock="1"/>
      </w:r>
      <w:r w:rsidR="00EA0E65">
        <w:instrText>ADDIN CSL_CITATION { "citationItems" : [ { "id" : "ITEM-1", "itemData" : { "DOI" : "10.1039/c0ob00194e", "ISSN" : "1477-0539", "PMID" : "20835456", "abstract" : "Four new linear oligoesters containing a diphenylacetylene unit were prepared by fragment coupling sequences and the ion channel forming ability of the compounds was investigated. Activity in vesicles was very strongly controlled by overall length; the longest compound was effectively inactive. Planar bilayer studies established that all compounds are able to form channels, but that regular step changes in conductance depend on the location of the diphenylacetylene unit within the oligoester and on the electrolyte. The intrinsic fluorescence of the diphenylacetylene unit was used to probe aggregation and membrane localization. Both monomer (320 nm) and excimer (380 nm) emissions are quenched by copper ions; quenching of the excimer emission from an aqueous aggregate is very efficient. Time-dependent changes in the intensities of monomer and excimer emission show slow transfer of diphenylacetylene units from an aqueous aggregate to a membrane-bound monomer with subsequent growth of emission from a membrane-bound excimer. The latter species is not quenched by aqueous copper ions. The implications of these species and processes for the mechanism of ion channel formation by simple oligoesters are discussed.", "author" : [ { "dropping-particle" : "", "family" : "Moszynski", "given" : "Joanne M", "non-dropping-particle" : "", "parse-names" : false, "suffix" : "" }, { "dropping-particle" : "", "family" : "Fyles", "given" : "Thomas M", "non-dropping-particle" : "", "parse-names" : false, "suffix" : "" } ], "container-title" : "Organic &amp; biomolecular chemistry", "id" : "ITEM-1", "issue" : "22", "issued" : { "date-parts" : [ [ "2010", "11", "21" ] ] }, "page" : "5139-49", "publisher" : "The Royal Society of Chemistry", "title" : "Synthesis, transport activity, membrane localization, and dynamics of oligoester ion channels containing diphenylacetylene units.", "type" : "article-journal", "volume" : "8" }, "uris" : [ "http://www.mendeley.com/documents/?uuid=fe12208c-2caa-466d-9420-e16c17ff5ba5" ] }, { "id" : "ITEM-2", "itemData" : { "DOI" : "10.1021/ja306596m", "ISSN" : "1520-5126", "PMID" : "22946569", "abstract" : "The synthesis and membrane activity of a suite of linear oligoesters containing a common diphenylacetylene unit core and differing in the hydroxyl terminus are reported. Active compounds formed high-conductance channels efficiently in both vesicle and planar bilayers, with one compound showing a very unusual slow loss of transport activity over a 20-30 min period. Steady-state and time-resolved fluorescence studies establish the rapid partition of active compounds to the bilayer and identify at least three types of membrane-associated species by their differing fluorescence lifetimes. The change in the distribution of species is correlated with the slow loss of activity. The results are interpreted in terms of an aggregate within a single bilayer leaflet that is nonetheless competent to transport ionic species through the bilayer. The properties of such structures, revealed by these compounds, appear to be consistent with commonly observed behaviors of other synthetic ion channels.", "author" : [ { "dropping-particle" : "", "family" : "Moszynski", "given" : "Joanne M", "non-dropping-particle" : "", "parse-names" : false, "suffix" : "" }, { "dropping-particle" : "", "family" : "Fyles", "given" : "Thomas M", "non-dropping-particle" : "", "parse-names" : false, "suffix" : "" } ], "container-title" : "Journal of the American Chemical Society", "id" : "ITEM-2", "issue" : "38", "issued" : { "date-parts" : [ [ "2012", "9", "26" ] ] }, "page" : "15937-45", "publisher" : "American Chemical Society", "title" : "Mechanism of ion transport by fluorescent oligoester channels.", "type" : "article-journal", "volume" : "134" }, "uris" : [ "http://www.mendeley.com/documents/?uuid=1043ebb4-8941-450a-81c8-4733d9d42c64" ] } ], "mendeley" : { "formattedCitation" : "&lt;sup&gt;36,37&lt;/sup&gt;", "plainTextFormattedCitation" : "36,37", "previouslyFormattedCitation" : "&lt;sup&gt;35,36&lt;/sup&gt;" }, "properties" : { "noteIndex" : 0 }, "schema" : "https://github.com/citation-style-language/schema/raw/master/csl-citation.json" }</w:instrText>
      </w:r>
      <w:r w:rsidR="00862A1D">
        <w:fldChar w:fldCharType="separate"/>
      </w:r>
      <w:r w:rsidR="00EA0E65" w:rsidRPr="00EA0E65">
        <w:rPr>
          <w:noProof/>
          <w:vertAlign w:val="superscript"/>
        </w:rPr>
        <w:t>36,37</w:t>
      </w:r>
      <w:r w:rsidR="00862A1D">
        <w:fldChar w:fldCharType="end"/>
      </w:r>
      <w:r w:rsidR="00862A1D">
        <w:t xml:space="preserve"> </w:t>
      </w:r>
      <w:r w:rsidR="009D7589">
        <w:t>Therefore, i</w:t>
      </w:r>
      <w:r w:rsidR="00AB208E">
        <w:t>n order to find direct evidence for aggregation within the phospholipid bilayer and as such show evidence for stacking interact</w:t>
      </w:r>
      <w:r w:rsidR="009D7589">
        <w:t>ions between individual monomers</w:t>
      </w:r>
      <w:r w:rsidR="00AB208E">
        <w:t>, we performed</w:t>
      </w:r>
      <w:r w:rsidR="009A3034">
        <w:t xml:space="preserve"> fluorescence</w:t>
      </w:r>
      <w:r w:rsidR="00AB208E">
        <w:t xml:space="preserve"> titrations with</w:t>
      </w:r>
      <w:r w:rsidR="00803D43">
        <w:t xml:space="preserve"> the</w:t>
      </w:r>
      <w:r w:rsidR="00AB208E">
        <w:t xml:space="preserve"> </w:t>
      </w:r>
      <w:proofErr w:type="spellStart"/>
      <w:r w:rsidR="009A3034">
        <w:t>anthracene</w:t>
      </w:r>
      <w:proofErr w:type="spellEnd"/>
      <w:r w:rsidR="009A3034">
        <w:t xml:space="preserve"> based and intrinsically </w:t>
      </w:r>
      <w:bookmarkStart w:id="0" w:name="_GoBack"/>
      <w:r w:rsidR="009A3034">
        <w:t>fluorescent</w:t>
      </w:r>
      <w:bookmarkEnd w:id="0"/>
      <w:r w:rsidR="006D5856">
        <w:t xml:space="preserve"> </w:t>
      </w:r>
      <w:r w:rsidR="009F5CC3">
        <w:t xml:space="preserve">compound </w:t>
      </w:r>
      <w:r w:rsidR="00AB208E">
        <w:rPr>
          <w:b/>
        </w:rPr>
        <w:t>3</w:t>
      </w:r>
      <w:r w:rsidR="00AB208E">
        <w:t xml:space="preserve">. Increasing amounts of </w:t>
      </w:r>
      <w:r w:rsidR="00AB208E">
        <w:rPr>
          <w:b/>
        </w:rPr>
        <w:t>3</w:t>
      </w:r>
      <w:r w:rsidR="00AB208E">
        <w:t xml:space="preserve"> were added as methanol soluti</w:t>
      </w:r>
      <w:r w:rsidR="009D7589">
        <w:t>ons into various external me</w:t>
      </w:r>
      <w:r w:rsidR="005F2F8C">
        <w:t>dia as shown in F</w:t>
      </w:r>
      <w:r w:rsidR="009D7589">
        <w:t>igure 3.</w:t>
      </w:r>
    </w:p>
    <w:p w14:paraId="6E41DE8D" w14:textId="35C9C854" w:rsidR="003A0B11" w:rsidRDefault="003A0B11" w:rsidP="0043715A">
      <w:pPr>
        <w:pStyle w:val="G1aFigureImage"/>
      </w:pPr>
    </w:p>
    <w:p w14:paraId="7003BEBB" w14:textId="19170B78" w:rsidR="003A0B11" w:rsidRDefault="003A0B11" w:rsidP="00101E6A">
      <w:pPr>
        <w:pStyle w:val="04AHeading"/>
        <w:rPr>
          <w:rFonts w:ascii="Times New Roman" w:hAnsi="Times New Roman"/>
        </w:rPr>
      </w:pPr>
    </w:p>
    <w:p w14:paraId="7187B620" w14:textId="77777777" w:rsidR="00E32C3C" w:rsidRDefault="00E32C3C" w:rsidP="00E32C3C">
      <w:pPr>
        <w:pStyle w:val="08ArticleText"/>
      </w:pPr>
    </w:p>
    <w:p w14:paraId="7E62EA80" w14:textId="77777777" w:rsidR="00E32C3C" w:rsidRDefault="00E32C3C" w:rsidP="00E32C3C">
      <w:pPr>
        <w:pStyle w:val="08ArticleText"/>
      </w:pPr>
    </w:p>
    <w:p w14:paraId="33CB1A86" w14:textId="77777777" w:rsidR="00E32C3C" w:rsidRDefault="00E32C3C" w:rsidP="00E32C3C">
      <w:pPr>
        <w:pStyle w:val="08ArticleText"/>
      </w:pPr>
    </w:p>
    <w:p w14:paraId="11C5616C" w14:textId="77777777" w:rsidR="00E32C3C" w:rsidRDefault="00E32C3C" w:rsidP="00E32C3C">
      <w:pPr>
        <w:pStyle w:val="08ArticleText"/>
      </w:pPr>
    </w:p>
    <w:p w14:paraId="5C371E6F" w14:textId="77777777" w:rsidR="00E32C3C" w:rsidRDefault="00E32C3C" w:rsidP="00E32C3C">
      <w:pPr>
        <w:pStyle w:val="08ArticleText"/>
      </w:pPr>
    </w:p>
    <w:p w14:paraId="49977CFD" w14:textId="77777777" w:rsidR="00E32C3C" w:rsidRDefault="00E32C3C" w:rsidP="00E32C3C">
      <w:pPr>
        <w:pStyle w:val="08ArticleText"/>
      </w:pPr>
    </w:p>
    <w:p w14:paraId="53A2C8A1" w14:textId="77777777" w:rsidR="00E32C3C" w:rsidRDefault="00E32C3C" w:rsidP="00E32C3C">
      <w:pPr>
        <w:pStyle w:val="08ArticleText"/>
      </w:pPr>
    </w:p>
    <w:p w14:paraId="26F7B6B6" w14:textId="77777777" w:rsidR="00E32C3C" w:rsidRDefault="00E32C3C" w:rsidP="00E32C3C">
      <w:pPr>
        <w:pStyle w:val="08ArticleText"/>
      </w:pPr>
    </w:p>
    <w:p w14:paraId="08291F04" w14:textId="77777777" w:rsidR="00E32C3C" w:rsidRDefault="00E32C3C" w:rsidP="00E32C3C">
      <w:pPr>
        <w:pStyle w:val="08ArticleText"/>
      </w:pPr>
    </w:p>
    <w:p w14:paraId="2C978717" w14:textId="77777777" w:rsidR="00E32C3C" w:rsidRDefault="00E32C3C" w:rsidP="00E32C3C">
      <w:pPr>
        <w:pStyle w:val="08ArticleText"/>
      </w:pPr>
    </w:p>
    <w:p w14:paraId="39964C9D" w14:textId="540619F3" w:rsidR="00E32C3C" w:rsidRDefault="00E32C3C" w:rsidP="00E32C3C">
      <w:pPr>
        <w:pStyle w:val="G1aFigureImage"/>
      </w:pPr>
      <w:r>
        <w:rPr>
          <w:noProof/>
          <w:lang w:val="en-US"/>
        </w:rPr>
        <w:drawing>
          <wp:inline distT="0" distB="0" distL="0" distR="0" wp14:anchorId="3B33B80B" wp14:editId="6B56265E">
            <wp:extent cx="3164840" cy="2373630"/>
            <wp:effectExtent l="0" t="0" r="10160" b="0"/>
            <wp:docPr id="9" name="Picture 9" descr="Macintosh HD:Users:philgale:Documents:Publications:In preparation:Stuart's paper:Updated Tiffs:Figure 3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philgale:Documents:Publications:In preparation:Stuart's paper:Updated Tiffs:Figure 3a.t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64840" cy="2373630"/>
                    </a:xfrm>
                    <a:prstGeom prst="rect">
                      <a:avLst/>
                    </a:prstGeom>
                    <a:noFill/>
                    <a:ln>
                      <a:noFill/>
                    </a:ln>
                  </pic:spPr>
                </pic:pic>
              </a:graphicData>
            </a:graphic>
          </wp:inline>
        </w:drawing>
      </w:r>
    </w:p>
    <w:p w14:paraId="5AB90158" w14:textId="545A1F9E" w:rsidR="003A0B11" w:rsidRDefault="00E32C3C" w:rsidP="00E32C3C">
      <w:pPr>
        <w:pStyle w:val="G1aFigureImage"/>
      </w:pPr>
      <w:r w:rsidRPr="00E32C3C">
        <w:rPr>
          <w:noProof/>
          <w:lang w:val="en-US"/>
        </w:rPr>
        <w:drawing>
          <wp:inline distT="0" distB="0" distL="0" distR="0" wp14:anchorId="3182DE11" wp14:editId="048DEE92">
            <wp:extent cx="3164840" cy="2373630"/>
            <wp:effectExtent l="0" t="0" r="10160" b="0"/>
            <wp:docPr id="12" name="Picture 12" descr="Macintosh HD:Users:philgale:Documents:Publications:In preparation:Stuart's paper:Updated Tiffs:Figure 3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philgale:Documents:Publications:In preparation:Stuart's paper:Updated Tiffs:Figure 3b.t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64840" cy="2373630"/>
                    </a:xfrm>
                    <a:prstGeom prst="rect">
                      <a:avLst/>
                    </a:prstGeom>
                    <a:noFill/>
                    <a:ln>
                      <a:noFill/>
                    </a:ln>
                  </pic:spPr>
                </pic:pic>
              </a:graphicData>
            </a:graphic>
          </wp:inline>
        </w:drawing>
      </w:r>
    </w:p>
    <w:p w14:paraId="34B719F3" w14:textId="207BCA77" w:rsidR="00E32C3C" w:rsidRPr="00E32C3C" w:rsidRDefault="00E32C3C" w:rsidP="00E32C3C">
      <w:pPr>
        <w:pStyle w:val="G1aFigureImage"/>
      </w:pPr>
      <w:r>
        <w:rPr>
          <w:noProof/>
          <w:lang w:val="en-US"/>
        </w:rPr>
        <w:drawing>
          <wp:inline distT="0" distB="0" distL="0" distR="0" wp14:anchorId="02B437AE" wp14:editId="73FCE1D7">
            <wp:extent cx="3164840" cy="2373630"/>
            <wp:effectExtent l="0" t="0" r="10160" b="0"/>
            <wp:docPr id="13" name="Picture 13" descr="Macintosh HD:Users:philgale:Documents:Publications:In preparation:Stuart's paper:Updated Tiffs:Figure 3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hilgale:Documents:Publications:In preparation:Stuart's paper:Updated Tiffs:Figure 3c.t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64840" cy="2373630"/>
                    </a:xfrm>
                    <a:prstGeom prst="rect">
                      <a:avLst/>
                    </a:prstGeom>
                    <a:noFill/>
                    <a:ln>
                      <a:noFill/>
                    </a:ln>
                  </pic:spPr>
                </pic:pic>
              </a:graphicData>
            </a:graphic>
          </wp:inline>
        </w:drawing>
      </w:r>
    </w:p>
    <w:p w14:paraId="65781CF9" w14:textId="248BFEDB" w:rsidR="003A0B11" w:rsidRDefault="00FE0119" w:rsidP="00AA5F66">
      <w:pPr>
        <w:pStyle w:val="G1bFigureCaption"/>
      </w:pPr>
      <w:r>
        <w:t xml:space="preserve">Figure 3: </w:t>
      </w:r>
      <w:r w:rsidR="0043715A">
        <w:t xml:space="preserve">Fluorescence spectra of compound </w:t>
      </w:r>
      <w:r w:rsidR="0043715A">
        <w:rPr>
          <w:b/>
        </w:rPr>
        <w:t>3</w:t>
      </w:r>
      <w:r w:rsidR="0043715A">
        <w:t xml:space="preserve"> in 10 </w:t>
      </w:r>
      <w:r w:rsidR="00C325C5" w:rsidRPr="00C325C5">
        <w:rPr>
          <w:rFonts w:ascii="Symbol" w:hAnsi="Symbol"/>
        </w:rPr>
        <w:t></w:t>
      </w:r>
      <w:r w:rsidR="0043715A">
        <w:t xml:space="preserve">M increments from 10 </w:t>
      </w:r>
      <w:r w:rsidR="00C325C5" w:rsidRPr="00C325C5">
        <w:rPr>
          <w:rFonts w:ascii="Symbol" w:hAnsi="Symbol"/>
        </w:rPr>
        <w:t></w:t>
      </w:r>
      <w:r w:rsidR="0043715A">
        <w:t xml:space="preserve">M – 100 </w:t>
      </w:r>
      <w:r w:rsidR="00C325C5" w:rsidRPr="00C325C5">
        <w:rPr>
          <w:rFonts w:ascii="Symbol" w:hAnsi="Symbol"/>
        </w:rPr>
        <w:t></w:t>
      </w:r>
      <w:r w:rsidR="0043715A">
        <w:t xml:space="preserve">M excitation wavelength 365 nm, emission wavelength 390-700 nm, 5 nm slits. The compound was added as a methanol solution to a) methanol, b) 0.5 </w:t>
      </w:r>
      <w:proofErr w:type="spellStart"/>
      <w:r w:rsidR="00DC2E7D">
        <w:t>m</w:t>
      </w:r>
      <w:r w:rsidR="0043715A">
        <w:t>M</w:t>
      </w:r>
      <w:proofErr w:type="spellEnd"/>
      <w:r w:rsidR="0043715A">
        <w:t xml:space="preserve"> </w:t>
      </w:r>
      <w:proofErr w:type="spellStart"/>
      <w:r w:rsidR="0043715A">
        <w:t>unilamellar</w:t>
      </w:r>
      <w:proofErr w:type="spellEnd"/>
      <w:r w:rsidR="0043715A">
        <w:t xml:space="preserve"> POPC vesicles suspended in aqueous solution, c) 0.5</w:t>
      </w:r>
      <w:r w:rsidR="006D5856">
        <w:t xml:space="preserve"> </w:t>
      </w:r>
      <w:proofErr w:type="spellStart"/>
      <w:r w:rsidR="00DC2E7D">
        <w:t>m</w:t>
      </w:r>
      <w:r w:rsidR="0043715A">
        <w:t>M</w:t>
      </w:r>
      <w:proofErr w:type="spellEnd"/>
      <w:r w:rsidR="0043715A">
        <w:t xml:space="preserve"> </w:t>
      </w:r>
      <w:proofErr w:type="spellStart"/>
      <w:r w:rsidR="0043715A">
        <w:lastRenderedPageBreak/>
        <w:t>unilamellar</w:t>
      </w:r>
      <w:proofErr w:type="spellEnd"/>
      <w:r w:rsidR="0043715A">
        <w:t xml:space="preserve"> </w:t>
      </w:r>
      <w:proofErr w:type="spellStart"/>
      <w:r w:rsidR="0043715A">
        <w:t>POPC</w:t>
      </w:r>
      <w:proofErr w:type="gramStart"/>
      <w:r w:rsidR="0043715A">
        <w:t>:cholesterol</w:t>
      </w:r>
      <w:proofErr w:type="spellEnd"/>
      <w:proofErr w:type="gramEnd"/>
      <w:r w:rsidR="0043715A">
        <w:t xml:space="preserve"> vesicles (7:3 molar ratio) suspended in aqueous solution.</w:t>
      </w:r>
    </w:p>
    <w:p w14:paraId="4BFC7757" w14:textId="5CB5CD46" w:rsidR="003A0B11" w:rsidRDefault="00AA5F66" w:rsidP="006059B1">
      <w:pPr>
        <w:pStyle w:val="08ArticleText"/>
      </w:pPr>
      <w:r>
        <w:t>In homogeneous organic sol</w:t>
      </w:r>
      <w:r w:rsidR="0080323E">
        <w:t>ution</w:t>
      </w:r>
      <w:r>
        <w:t xml:space="preserve">, the emission peak from the monomeric species of </w:t>
      </w:r>
      <w:r>
        <w:rPr>
          <w:b/>
        </w:rPr>
        <w:t>3</w:t>
      </w:r>
      <w:r w:rsidR="006D5856">
        <w:t xml:space="preserve"> occurs at ~</w:t>
      </w:r>
      <w:r>
        <w:t>456 nm</w:t>
      </w:r>
      <w:r w:rsidR="005F2F8C">
        <w:t xml:space="preserve"> (F</w:t>
      </w:r>
      <w:r w:rsidR="00A94BD8">
        <w:t>igure 3a)</w:t>
      </w:r>
      <w:r>
        <w:t>.</w:t>
      </w:r>
      <w:r w:rsidR="00984388">
        <w:t xml:space="preserve"> We would not expect to see aggregation in homogenous</w:t>
      </w:r>
      <w:r w:rsidR="006D5856">
        <w:t xml:space="preserve"> organic</w:t>
      </w:r>
      <w:r w:rsidR="00984388">
        <w:t xml:space="preserve"> solution, </w:t>
      </w:r>
      <w:r w:rsidR="00621403">
        <w:t>and hence</w:t>
      </w:r>
      <w:r w:rsidR="00984388">
        <w:t xml:space="preserve"> this peak must be that of the</w:t>
      </w:r>
      <w:r w:rsidR="006B39BF">
        <w:t xml:space="preserve"> compound </w:t>
      </w:r>
      <w:r w:rsidR="006D5856">
        <w:t>interacting</w:t>
      </w:r>
      <w:r w:rsidR="006B39BF">
        <w:t xml:space="preserve"> solely as a</w:t>
      </w:r>
      <w:r w:rsidR="006D5856">
        <w:t>n individual</w:t>
      </w:r>
      <w:r w:rsidR="00984388">
        <w:t xml:space="preserve"> monomer. Further t</w:t>
      </w:r>
      <w:r w:rsidR="00621403">
        <w:t>o this, the fluorescence spectrum</w:t>
      </w:r>
      <w:r w:rsidR="00984388">
        <w:t xml:space="preserve"> of </w:t>
      </w:r>
      <w:r w:rsidR="00984388">
        <w:rPr>
          <w:b/>
        </w:rPr>
        <w:t>3</w:t>
      </w:r>
      <w:r w:rsidR="00984388">
        <w:t xml:space="preserve"> in homogeneous organic solvent is similar to structurally similar analogues we have previously reported.</w:t>
      </w:r>
      <w:r w:rsidR="00984388">
        <w:fldChar w:fldCharType="begin" w:fldLock="1"/>
      </w:r>
      <w:r w:rsidR="00EA0E65">
        <w:instrText>ADDIN CSL_CITATION { "citationItems" : [ { "id" : "ITEM-1", "itemData" : { "DOI" : "10.1080/10610270701258121", "ISSN" : "1061-0278", "author" : [ { "dropping-particle" : "", "family" : "Brooks", "given" : "Simon", "non-dropping-particle" : "", "parse-names" : false, "suffix" : "" }, { "dropping-particle" : "", "family" : "Caltagirone", "given" : "Claudia", "non-dropping-particle" : "", "parse-names" : false, "suffix" : "" }, { "dropping-particle" : "", "family" : "Cossins", "given" : "Aimee", "non-dropping-particle" : "", "parse-names" : false, "suffix" : "" }, { "dropping-particle" : "", "family" : "Gale", "given" : "Philip", "non-dropping-particle" : "", "parse-names" : false, "suffix" : "" }, { "dropping-particle" : "", "family" : "Light", "given" : "Mark", "non-dropping-particle" : "", "parse-names" : false, "suffix" : "" } ], "container-title" : "Supramolecular Chemistry", "id" : "ITEM-1", "issue" : "4", "issued" : { "date-parts" : [ [ "2008", "4" ] ] }, "page" : "349-355", "title" : "Fluorescent Anthracene-based Anion Receptors", "type" : "article-journal", "volume" : "20" }, "uris" : [ "http://www.mendeley.com/documents/?uuid=0345a5a5-9bc4-4f99-a473-1120eb6e4c3b" ] } ], "mendeley" : { "formattedCitation" : "&lt;sup&gt;17&lt;/sup&gt;", "plainTextFormattedCitation" : "17", "previouslyFormattedCitation" : "&lt;sup&gt;16&lt;/sup&gt;" }, "properties" : { "noteIndex" : 0 }, "schema" : "https://github.com/citation-style-language/schema/raw/master/csl-citation.json" }</w:instrText>
      </w:r>
      <w:r w:rsidR="00984388">
        <w:fldChar w:fldCharType="separate"/>
      </w:r>
      <w:r w:rsidR="00EA0E65" w:rsidRPr="00EA0E65">
        <w:rPr>
          <w:noProof/>
          <w:vertAlign w:val="superscript"/>
        </w:rPr>
        <w:t>17</w:t>
      </w:r>
      <w:r w:rsidR="00984388">
        <w:fldChar w:fldCharType="end"/>
      </w:r>
      <w:r>
        <w:t xml:space="preserve"> When added to aqueous solution,</w:t>
      </w:r>
      <w:r w:rsidR="006B39BF">
        <w:t xml:space="preserve"> the fluorescence spectra of </w:t>
      </w:r>
      <w:r w:rsidR="006B39BF">
        <w:rPr>
          <w:b/>
        </w:rPr>
        <w:t>3</w:t>
      </w:r>
      <w:r w:rsidR="006B39BF">
        <w:t xml:space="preserve"> is shifted and we observ</w:t>
      </w:r>
      <w:r w:rsidR="00D54461">
        <w:t>e a singular peak centred around</w:t>
      </w:r>
      <w:r w:rsidR="006B39BF">
        <w:t xml:space="preserve"> ~540 nm</w:t>
      </w:r>
      <w:r w:rsidR="00D54461">
        <w:t xml:space="preserve"> (ESI)</w:t>
      </w:r>
      <w:r w:rsidR="006B39BF">
        <w:t xml:space="preserve">. This peak is formed due to aggregation in aqueous solution most probably due to the formation of </w:t>
      </w:r>
      <w:proofErr w:type="spellStart"/>
      <w:r w:rsidR="006B39BF">
        <w:t>excimers</w:t>
      </w:r>
      <w:proofErr w:type="spellEnd"/>
      <w:r w:rsidR="006B39BF">
        <w:t>. T</w:t>
      </w:r>
      <w:r>
        <w:t>he intensity of th</w:t>
      </w:r>
      <w:r w:rsidR="006B39BF">
        <w:t xml:space="preserve">ese </w:t>
      </w:r>
      <w:proofErr w:type="spellStart"/>
      <w:r w:rsidR="006B39BF">
        <w:t>excimer</w:t>
      </w:r>
      <w:proofErr w:type="spellEnd"/>
      <w:r w:rsidR="006B39BF">
        <w:t xml:space="preserve"> </w:t>
      </w:r>
      <w:r w:rsidR="00621403">
        <w:t>peak</w:t>
      </w:r>
      <w:r w:rsidR="00A04B28">
        <w:t>s</w:t>
      </w:r>
      <w:r w:rsidR="00621403">
        <w:t xml:space="preserve"> </w:t>
      </w:r>
      <w:r w:rsidR="004A3288">
        <w:t>decreases rapidly</w:t>
      </w:r>
      <w:r>
        <w:t xml:space="preserve"> over time</w:t>
      </w:r>
      <w:r w:rsidR="008A1C36">
        <w:t xml:space="preserve"> (~</w:t>
      </w:r>
      <w:r w:rsidR="006D5A2C">
        <w:t>1</w:t>
      </w:r>
      <w:r w:rsidR="008A1C36">
        <w:t xml:space="preserve"> minute</w:t>
      </w:r>
      <w:r w:rsidR="006B39BF">
        <w:t>)</w:t>
      </w:r>
      <w:r>
        <w:t xml:space="preserve"> as the compound</w:t>
      </w:r>
      <w:r w:rsidR="00984388">
        <w:t xml:space="preserve"> </w:t>
      </w:r>
      <w:r>
        <w:t xml:space="preserve">precipitates out of solution. </w:t>
      </w:r>
    </w:p>
    <w:p w14:paraId="7D553F9F" w14:textId="76D7AB4F" w:rsidR="006059B1" w:rsidRDefault="006059B1" w:rsidP="006059B1">
      <w:pPr>
        <w:pStyle w:val="08ArticleText"/>
      </w:pPr>
      <w:r>
        <w:tab/>
        <w:t>When added to POPC vesicles (0.5</w:t>
      </w:r>
      <w:r w:rsidR="00803D43">
        <w:t xml:space="preserve"> </w:t>
      </w:r>
      <w:proofErr w:type="spellStart"/>
      <w:r w:rsidR="00DC2E7D">
        <w:t>m</w:t>
      </w:r>
      <w:r>
        <w:t>M</w:t>
      </w:r>
      <w:proofErr w:type="spellEnd"/>
      <w:r>
        <w:t xml:space="preserve"> suspended in aqueous buffer, pH 7.2 with sodium phosphate salts)</w:t>
      </w:r>
      <w:r w:rsidR="00215CF3">
        <w:t xml:space="preserve"> in increasing concentrations, we observed a shift from the monomer emission peak at 456 nm</w:t>
      </w:r>
      <w:r w:rsidR="006D5856">
        <w:t xml:space="preserve"> (lower concentrations)</w:t>
      </w:r>
      <w:r w:rsidR="00215CF3">
        <w:t xml:space="preserve"> to the </w:t>
      </w:r>
      <w:proofErr w:type="spellStart"/>
      <w:r w:rsidR="00215CF3">
        <w:t>excimer</w:t>
      </w:r>
      <w:proofErr w:type="spellEnd"/>
      <w:r w:rsidR="00215CF3">
        <w:t xml:space="preserve"> emission peak at 540 nm</w:t>
      </w:r>
      <w:r w:rsidR="006D5856">
        <w:t xml:space="preserve"> (higher concentrations)</w:t>
      </w:r>
      <w:r w:rsidR="00F57E51">
        <w:t xml:space="preserve"> (F</w:t>
      </w:r>
      <w:r w:rsidR="00D54461">
        <w:t>igure 3b)</w:t>
      </w:r>
      <w:r w:rsidR="00215CF3">
        <w:t xml:space="preserve">. </w:t>
      </w:r>
      <w:r w:rsidR="00713020">
        <w:t xml:space="preserve">The intensity of the emission spectra in vesicles is </w:t>
      </w:r>
      <w:r w:rsidR="00D53E47">
        <w:t>stronger</w:t>
      </w:r>
      <w:r w:rsidR="00713020">
        <w:t xml:space="preserve"> at all concentrations tested than in methanol alone</w:t>
      </w:r>
      <w:r w:rsidR="006B39BF">
        <w:t>,</w:t>
      </w:r>
      <w:r w:rsidR="00713020">
        <w:t xml:space="preserve"> </w:t>
      </w:r>
      <w:r w:rsidR="00B8417E">
        <w:t xml:space="preserve">which </w:t>
      </w:r>
      <w:r w:rsidR="0077069E">
        <w:t>is consistent with other compounds which have been suggested to aggregate in lipid membranes</w:t>
      </w:r>
      <w:r w:rsidR="00713020">
        <w:t>.</w:t>
      </w:r>
      <w:r w:rsidR="00B92ABE">
        <w:rPr>
          <w:vertAlign w:val="superscript"/>
        </w:rPr>
        <w:t>13</w:t>
      </w:r>
      <w:r w:rsidR="006B39BF">
        <w:t xml:space="preserve"> </w:t>
      </w:r>
      <w:r w:rsidR="00713020">
        <w:t xml:space="preserve">The shift from monomer emission to </w:t>
      </w:r>
      <w:proofErr w:type="spellStart"/>
      <w:r w:rsidR="00713020">
        <w:t>excimer</w:t>
      </w:r>
      <w:proofErr w:type="spellEnd"/>
      <w:r w:rsidR="00713020">
        <w:t xml:space="preserve"> emission</w:t>
      </w:r>
      <w:r w:rsidR="006B39BF">
        <w:t xml:space="preserve"> as concentration increases</w:t>
      </w:r>
      <w:r w:rsidR="00713020">
        <w:t xml:space="preserve"> implies that this compound is entering the lipid bilayer and</w:t>
      </w:r>
      <w:r w:rsidR="006D5856">
        <w:t xml:space="preserve"> then</w:t>
      </w:r>
      <w:r w:rsidR="00713020">
        <w:t xml:space="preserve"> aggregating in the </w:t>
      </w:r>
      <w:r w:rsidR="006D5856">
        <w:t>vesicles.</w:t>
      </w:r>
      <w:r w:rsidR="00D53E47">
        <w:t xml:space="preserve"> </w:t>
      </w:r>
      <w:r w:rsidR="00DC2E7D">
        <w:t xml:space="preserve">To determine whether the </w:t>
      </w:r>
      <w:proofErr w:type="spellStart"/>
      <w:r w:rsidR="00DC2E7D">
        <w:t>excimer</w:t>
      </w:r>
      <w:proofErr w:type="spellEnd"/>
      <w:r w:rsidR="00DC2E7D">
        <w:t xml:space="preserve"> peak observed was formed due to aggr</w:t>
      </w:r>
      <w:r w:rsidR="004411CD">
        <w:t>egation in aqueous solution or i</w:t>
      </w:r>
      <w:r w:rsidR="00DC2E7D">
        <w:t xml:space="preserve">n the phospholipid bilayer, we performed kinetic </w:t>
      </w:r>
      <w:r w:rsidR="002402E2">
        <w:t>experiments</w:t>
      </w:r>
      <w:r w:rsidR="006D5A2C">
        <w:t xml:space="preserve"> </w:t>
      </w:r>
      <w:r w:rsidR="002214F7">
        <w:t>that</w:t>
      </w:r>
      <w:r w:rsidR="002402E2">
        <w:t xml:space="preserve"> showed no change in the emission intensity of the monomer or </w:t>
      </w:r>
      <w:proofErr w:type="spellStart"/>
      <w:r w:rsidR="002402E2">
        <w:t>excimer</w:t>
      </w:r>
      <w:proofErr w:type="spellEnd"/>
      <w:r w:rsidR="009A3034">
        <w:t xml:space="preserve"> peaks over a 10-minute period (longer than any of the transport experiments run, see </w:t>
      </w:r>
      <w:r w:rsidR="002402E2">
        <w:t>ESI</w:t>
      </w:r>
      <w:r w:rsidR="006D5A2C">
        <w:t xml:space="preserve"> for data</w:t>
      </w:r>
      <w:r w:rsidR="002402E2">
        <w:t>).</w:t>
      </w:r>
      <w:r w:rsidR="008A1C36">
        <w:t xml:space="preserve"> When the compound is first added to the lipid vesicles in solution, a spike of the </w:t>
      </w:r>
      <w:proofErr w:type="spellStart"/>
      <w:r w:rsidR="00F11195">
        <w:t>excimer</w:t>
      </w:r>
      <w:proofErr w:type="spellEnd"/>
      <w:r w:rsidR="00F11195">
        <w:t xml:space="preserve"> peak</w:t>
      </w:r>
      <w:r w:rsidR="008A1C36">
        <w:t xml:space="preserve"> is observed, th</w:t>
      </w:r>
      <w:r w:rsidR="00C22D09">
        <w:t>at</w:t>
      </w:r>
      <w:r w:rsidR="008A1C36">
        <w:t xml:space="preserve"> is</w:t>
      </w:r>
      <w:r w:rsidR="006D5A2C">
        <w:t xml:space="preserve"> presumably</w:t>
      </w:r>
      <w:r w:rsidR="008A1C36">
        <w:t xml:space="preserve"> due to the compound aggregating in the aqueous media. This spike of </w:t>
      </w:r>
      <w:proofErr w:type="spellStart"/>
      <w:r w:rsidR="008A1C36">
        <w:t>excimer</w:t>
      </w:r>
      <w:proofErr w:type="spellEnd"/>
      <w:r w:rsidR="008A1C36">
        <w:t xml:space="preserve"> emission rapidly decreas</w:t>
      </w:r>
      <w:r w:rsidR="0072469B">
        <w:t xml:space="preserve">es and the </w:t>
      </w:r>
      <w:proofErr w:type="spellStart"/>
      <w:r w:rsidR="0072469B">
        <w:t>excimer</w:t>
      </w:r>
      <w:proofErr w:type="spellEnd"/>
      <w:r w:rsidR="0072469B">
        <w:t xml:space="preserve"> and monomer emission p</w:t>
      </w:r>
      <w:r w:rsidR="00D61D2F">
        <w:t>eaks remain constant for the 10-</w:t>
      </w:r>
      <w:r w:rsidR="0072469B">
        <w:t>minute duration of the experiment.</w:t>
      </w:r>
      <w:r w:rsidR="002402E2">
        <w:t xml:space="preserve"> This suggests the compound </w:t>
      </w:r>
      <w:r w:rsidR="00803D43">
        <w:t>rapidly</w:t>
      </w:r>
      <w:r w:rsidR="002402E2">
        <w:t xml:space="preserve"> enters and aggregates in the lipid bilayer and </w:t>
      </w:r>
      <w:r w:rsidR="00803D43">
        <w:t>diffusion into the membrane</w:t>
      </w:r>
      <w:r w:rsidR="002402E2">
        <w:t xml:space="preserve"> does not happen over a period of time as has been suggested for some self-assembled, aggregated pores.</w:t>
      </w:r>
      <w:r w:rsidR="002402E2">
        <w:fldChar w:fldCharType="begin" w:fldLock="1"/>
      </w:r>
      <w:r w:rsidR="00EA0E65">
        <w:instrText>ADDIN CSL_CITATION { "citationItems" : [ { "id" : "ITEM-1", "itemData" : { "DOI" : "10.1021/ja306596m", "ISSN" : "1520-5126", "PMID" : "22946569", "abstract" : "The synthesis and membrane activity of a suite of linear oligoesters containing a common diphenylacetylene unit core and differing in the hydroxyl terminus are reported. Active compounds formed high-conductance channels efficiently in both vesicle and planar bilayers, with one compound showing a very unusual slow loss of transport activity over a 20-30 min period. Steady-state and time-resolved fluorescence studies establish the rapid partition of active compounds to the bilayer and identify at least three types of membrane-associated species by their differing fluorescence lifetimes. The change in the distribution of species is correlated with the slow loss of activity. The results are interpreted in terms of an aggregate within a single bilayer leaflet that is nonetheless competent to transport ionic species through the bilayer. The properties of such structures, revealed by these compounds, appear to be consistent with commonly observed behaviors of other synthetic ion channels.", "author" : [ { "dropping-particle" : "", "family" : "Moszynski", "given" : "Joanne M", "non-dropping-particle" : "", "parse-names" : false, "suffix" : "" }, { "dropping-particle" : "", "family" : "Fyles", "given" : "Thomas M", "non-dropping-particle" : "", "parse-names" : false, "suffix" : "" } ], "container-title" : "Journal of the American Chemical Society", "id" : "ITEM-1", "issue" : "38", "issued" : { "date-parts" : [ [ "2012", "9", "26" ] ] }, "page" : "15937-45", "publisher" : "American Chemical Society", "title" : "Mechanism of ion transport by fluorescent oligoester channels.", "type" : "article-journal", "volume" : "134" }, "uris" : [ "http://www.mendeley.com/documents/?uuid=1043ebb4-8941-450a-81c8-4733d9d42c64" ] } ], "mendeley" : { "formattedCitation" : "&lt;sup&gt;37&lt;/sup&gt;", "plainTextFormattedCitation" : "37", "previouslyFormattedCitation" : "&lt;sup&gt;36&lt;/sup&gt;" }, "properties" : { "noteIndex" : 0 }, "schema" : "https://github.com/citation-style-language/schema/raw/master/csl-citation.json" }</w:instrText>
      </w:r>
      <w:r w:rsidR="002402E2">
        <w:fldChar w:fldCharType="separate"/>
      </w:r>
      <w:r w:rsidR="00EA0E65" w:rsidRPr="00EA0E65">
        <w:rPr>
          <w:noProof/>
          <w:vertAlign w:val="superscript"/>
        </w:rPr>
        <w:t>37</w:t>
      </w:r>
      <w:r w:rsidR="002402E2">
        <w:fldChar w:fldCharType="end"/>
      </w:r>
      <w:r w:rsidR="002402E2">
        <w:t xml:space="preserve"> </w:t>
      </w:r>
    </w:p>
    <w:p w14:paraId="296ACA79" w14:textId="55A8EABD" w:rsidR="00710897" w:rsidRPr="00E61FD1" w:rsidRDefault="00710897" w:rsidP="006059B1">
      <w:pPr>
        <w:pStyle w:val="08ArticleText"/>
      </w:pPr>
      <w:r>
        <w:tab/>
      </w:r>
      <w:r w:rsidRPr="006C67A7">
        <w:t xml:space="preserve">It is important to </w:t>
      </w:r>
      <w:r w:rsidR="006C72B9">
        <w:t>note</w:t>
      </w:r>
      <w:r w:rsidR="00FA5FBD">
        <w:t xml:space="preserve"> that the fluorescence</w:t>
      </w:r>
      <w:r w:rsidRPr="006C67A7">
        <w:t xml:space="preserve"> studies conducted herein are not directly comparable to the transport studies conducted. This is because the concentrations of receptor used</w:t>
      </w:r>
      <w:r w:rsidR="0047131A">
        <w:t xml:space="preserve"> in the fluorescence</w:t>
      </w:r>
      <w:r w:rsidR="00E61FD1" w:rsidRPr="006C67A7">
        <w:t xml:space="preserve"> studies</w:t>
      </w:r>
      <w:r w:rsidRPr="006C67A7">
        <w:t xml:space="preserve"> are higher than the concentrations used in the transport assays</w:t>
      </w:r>
      <w:r w:rsidR="00E61FD1" w:rsidRPr="006C67A7">
        <w:t xml:space="preserve"> as high receptor concentrations are required to show significan</w:t>
      </w:r>
      <w:r w:rsidR="00BA2D2D">
        <w:t>t aggregation in the fluorescence</w:t>
      </w:r>
      <w:r w:rsidR="00E61FD1" w:rsidRPr="006C67A7">
        <w:t xml:space="preserve"> studies and high receptor concentrations in the transport studies were not. Nonetheless, the fact that evidence of aggregation in the lipid bilayer can be detected is still significant. This provides evidence that in the POPC bilayer </w:t>
      </w:r>
      <w:r w:rsidR="00E61FD1" w:rsidRPr="006C67A7">
        <w:rPr>
          <w:color w:val="000000"/>
        </w:rPr>
        <w:t>π</w:t>
      </w:r>
      <w:r w:rsidR="00E61FD1" w:rsidRPr="006C67A7">
        <w:t>-</w:t>
      </w:r>
      <w:r w:rsidR="00E61FD1" w:rsidRPr="006C67A7">
        <w:rPr>
          <w:color w:val="000000"/>
        </w:rPr>
        <w:t>π</w:t>
      </w:r>
      <w:r w:rsidR="00E61FD1" w:rsidRPr="006C67A7">
        <w:t xml:space="preserve"> stacking interactions are occurring which supports the observed </w:t>
      </w:r>
      <w:r w:rsidR="00E61FD1" w:rsidRPr="006C67A7">
        <w:lastRenderedPageBreak/>
        <w:t xml:space="preserve">Hill coefficients and the hypothesis that transport is occurring </w:t>
      </w:r>
      <w:r w:rsidR="00E61FD1" w:rsidRPr="006C67A7">
        <w:rPr>
          <w:i/>
        </w:rPr>
        <w:t>via</w:t>
      </w:r>
      <w:r w:rsidR="00E61FD1" w:rsidRPr="006C67A7">
        <w:t xml:space="preserve"> a cooperative transport mechanism.</w:t>
      </w:r>
    </w:p>
    <w:p w14:paraId="0786DBA5" w14:textId="6CAD2B79" w:rsidR="00A04B28" w:rsidRPr="006C67A7" w:rsidRDefault="00D53E47" w:rsidP="0001065F">
      <w:pPr>
        <w:pStyle w:val="08ArticleText"/>
      </w:pPr>
      <w:r>
        <w:tab/>
        <w:t>To test the hypothesis that the presence of cholesterol in the POPC bilayer is hindering either partitioning of the compound</w:t>
      </w:r>
      <w:r w:rsidR="006D5856">
        <w:t xml:space="preserve"> into the membrane</w:t>
      </w:r>
      <w:r>
        <w:t xml:space="preserve"> or self-assembly of the compound into an aggregated pore, we repeated the</w:t>
      </w:r>
      <w:r w:rsidR="0072469B">
        <w:t xml:space="preserve"> fluorescence</w:t>
      </w:r>
      <w:r>
        <w:t xml:space="preserve"> titratio</w:t>
      </w:r>
      <w:r w:rsidR="0062632E">
        <w:t xml:space="preserve">n in vesicles composed of </w:t>
      </w:r>
      <w:proofErr w:type="spellStart"/>
      <w:r w:rsidR="0062632E">
        <w:t>POPC</w:t>
      </w:r>
      <w:proofErr w:type="gramStart"/>
      <w:r w:rsidR="0062632E">
        <w:t>:c</w:t>
      </w:r>
      <w:r>
        <w:t>holesterol</w:t>
      </w:r>
      <w:proofErr w:type="spellEnd"/>
      <w:proofErr w:type="gramEnd"/>
      <w:r>
        <w:t xml:space="preserve"> (0.5 </w:t>
      </w:r>
      <w:proofErr w:type="spellStart"/>
      <w:r w:rsidR="0005768B">
        <w:t>m</w:t>
      </w:r>
      <w:r>
        <w:t>M</w:t>
      </w:r>
      <w:proofErr w:type="spellEnd"/>
      <w:r>
        <w:t xml:space="preserve"> 7:3 molar ratio, suspended in aqueous buffer, pH 7.2 with sodium phosphate salts). Interestingly we found that under the same conditions as the other titrations in this study, the spectra in the cholesterol containing vesicles </w:t>
      </w:r>
      <w:r w:rsidR="006D5856">
        <w:t>are</w:t>
      </w:r>
      <w:r>
        <w:t xml:space="preserve"> less intense for both the monomer emission and the </w:t>
      </w:r>
      <w:proofErr w:type="spellStart"/>
      <w:r>
        <w:t>excimer</w:t>
      </w:r>
      <w:proofErr w:type="spellEnd"/>
      <w:r>
        <w:t xml:space="preserve"> emission peak</w:t>
      </w:r>
      <w:r w:rsidR="002B7ABC">
        <w:t xml:space="preserve"> (F</w:t>
      </w:r>
      <w:r w:rsidR="00F11195">
        <w:t>ig</w:t>
      </w:r>
      <w:r w:rsidR="002B7ABC">
        <w:t>ure</w:t>
      </w:r>
      <w:r w:rsidR="00F11195">
        <w:t xml:space="preserve"> 3c)</w:t>
      </w:r>
      <w:r>
        <w:t>. This suggests that under these conditions</w:t>
      </w:r>
      <w:r w:rsidR="002B7ABC">
        <w:t>,</w:t>
      </w:r>
      <w:r>
        <w:t xml:space="preserve"> aggregation in the lipid bilayer is less favourable. This could provide a reason as</w:t>
      </w:r>
      <w:r w:rsidR="00D45EA3">
        <w:t xml:space="preserve"> to why we observed a dramatic decrease</w:t>
      </w:r>
      <w:r>
        <w:t xml:space="preserve"> in transport efficiency for this compound</w:t>
      </w:r>
      <w:r w:rsidR="002B7ABC">
        <w:t xml:space="preserve"> in </w:t>
      </w:r>
      <w:proofErr w:type="spellStart"/>
      <w:r w:rsidR="002B7ABC">
        <w:t>POPC</w:t>
      </w:r>
      <w:proofErr w:type="gramStart"/>
      <w:r w:rsidR="002B7ABC">
        <w:t>:c</w:t>
      </w:r>
      <w:r w:rsidR="00D45EA3">
        <w:t>holesterol</w:t>
      </w:r>
      <w:proofErr w:type="spellEnd"/>
      <w:proofErr w:type="gramEnd"/>
      <w:r w:rsidR="00D45EA3">
        <w:t xml:space="preserve"> vesicles</w:t>
      </w:r>
      <w:r>
        <w:t>.</w:t>
      </w:r>
      <w:r w:rsidR="009A3034">
        <w:t xml:space="preserve"> Cholesterol is a non-aromatic compound and therefore would not be expected to contribute to any stacking interactions</w:t>
      </w:r>
      <w:r w:rsidR="009A3034" w:rsidRPr="006C67A7">
        <w:t>.</w:t>
      </w:r>
      <w:r w:rsidR="00D340C0" w:rsidRPr="006C67A7">
        <w:t xml:space="preserve"> It may however be possible that the less intense aggregation observed in this study is a consequence of hindered partitioning into the membrane as a result of decreased membrane fluidity</w:t>
      </w:r>
      <w:r w:rsidR="0057241A" w:rsidRPr="006C67A7">
        <w:t xml:space="preserve"> and not of fewer stacking interactions in the membrane</w:t>
      </w:r>
      <w:r w:rsidR="00D340C0" w:rsidRPr="006C67A7">
        <w:t xml:space="preserve">. </w:t>
      </w:r>
      <w:r w:rsidR="0057241A" w:rsidRPr="006C67A7">
        <w:t>As the compound is added to the vesicles externally, w</w:t>
      </w:r>
      <w:r w:rsidR="00D340C0" w:rsidRPr="006C67A7">
        <w:t>e would</w:t>
      </w:r>
      <w:r w:rsidR="0057241A" w:rsidRPr="006C67A7">
        <w:t xml:space="preserve"> expect hindered partitioning into the lipid bilayer from individual monomeric units under these conditions</w:t>
      </w:r>
      <w:r w:rsidR="00223573" w:rsidRPr="006C67A7">
        <w:t>. This could provide an explanation as to why the monomeric peaks are less intense in this titration than in the POPC vesicles alone. Perhaps the true explanation for this phenomenon is</w:t>
      </w:r>
      <w:r w:rsidR="00A04B28" w:rsidRPr="006C67A7">
        <w:t xml:space="preserve"> a complicated mixture of both hypotheses.</w:t>
      </w:r>
    </w:p>
    <w:p w14:paraId="2F7B1A40" w14:textId="7D7C87EC" w:rsidR="003A0B11" w:rsidRDefault="00A04B28" w:rsidP="0001065F">
      <w:pPr>
        <w:pStyle w:val="08ArticleText"/>
      </w:pPr>
      <w:r w:rsidRPr="006C67A7">
        <w:tab/>
      </w:r>
      <w:r w:rsidR="00AA2846" w:rsidRPr="006C67A7">
        <w:t xml:space="preserve"> </w:t>
      </w:r>
      <w:r w:rsidRPr="006C67A7">
        <w:t xml:space="preserve">In order to examine further lesser </w:t>
      </w:r>
      <w:proofErr w:type="spellStart"/>
      <w:r w:rsidRPr="006C67A7">
        <w:t>cooperativity</w:t>
      </w:r>
      <w:proofErr w:type="spellEnd"/>
      <w:r w:rsidRPr="006C67A7">
        <w:t xml:space="preserve"> in more viscous lipid environments</w:t>
      </w:r>
      <w:r w:rsidR="00AA2846">
        <w:t xml:space="preserve">, we performed Hill analysis for </w:t>
      </w:r>
      <w:r w:rsidR="00AA2846">
        <w:rPr>
          <w:b/>
        </w:rPr>
        <w:t>3</w:t>
      </w:r>
      <w:r w:rsidR="002B7ABC">
        <w:t xml:space="preserve"> in </w:t>
      </w:r>
      <w:proofErr w:type="spellStart"/>
      <w:r w:rsidR="002B7ABC">
        <w:t>POPC</w:t>
      </w:r>
      <w:proofErr w:type="gramStart"/>
      <w:r w:rsidR="002B7ABC">
        <w:t>:c</w:t>
      </w:r>
      <w:r w:rsidR="00AA2846">
        <w:t>holesterol</w:t>
      </w:r>
      <w:proofErr w:type="spellEnd"/>
      <w:proofErr w:type="gramEnd"/>
      <w:r w:rsidR="00AA2846">
        <w:t xml:space="preserve"> vesicles (</w:t>
      </w:r>
      <w:r w:rsidR="00D45EA3">
        <w:t xml:space="preserve">see </w:t>
      </w:r>
      <w:r w:rsidR="00AA2846">
        <w:t>ESI</w:t>
      </w:r>
      <w:r w:rsidR="00D45EA3">
        <w:t xml:space="preserve"> for plot and calculations</w:t>
      </w:r>
      <w:r w:rsidR="00AA2846">
        <w:t>). Here we found not only had the EC</w:t>
      </w:r>
      <w:r w:rsidR="00AA2846">
        <w:rPr>
          <w:vertAlign w:val="subscript"/>
        </w:rPr>
        <w:t>50</w:t>
      </w:r>
      <w:r w:rsidR="00AA2846">
        <w:t xml:space="preserve"> </w:t>
      </w:r>
      <w:r w:rsidR="0072469B">
        <w:t>dramatically</w:t>
      </w:r>
      <w:r w:rsidR="00AA2846">
        <w:t xml:space="preserve"> </w:t>
      </w:r>
      <w:r w:rsidR="006D5856">
        <w:t>increased</w:t>
      </w:r>
      <w:r w:rsidR="00AA2846">
        <w:t xml:space="preserve"> (as expected) to 16.47 </w:t>
      </w:r>
      <w:proofErr w:type="spellStart"/>
      <w:r w:rsidR="00AA2846">
        <w:t>mol</w:t>
      </w:r>
      <w:proofErr w:type="spellEnd"/>
      <w:r w:rsidR="00AA2846">
        <w:t xml:space="preserve">% but also, most importantly, the Hill coefficient decreases from 3.2 in POPC vesicles to 1.5 </w:t>
      </w:r>
      <w:r w:rsidR="002B7ABC">
        <w:t xml:space="preserve">in </w:t>
      </w:r>
      <w:proofErr w:type="spellStart"/>
      <w:r w:rsidR="002B7ABC">
        <w:t>POPC</w:t>
      </w:r>
      <w:proofErr w:type="gramStart"/>
      <w:r w:rsidR="002B7ABC">
        <w:t>:c</w:t>
      </w:r>
      <w:r w:rsidR="00D82091">
        <w:t>holesterol</w:t>
      </w:r>
      <w:proofErr w:type="spellEnd"/>
      <w:proofErr w:type="gramEnd"/>
      <w:r w:rsidR="00D82091">
        <w:t xml:space="preserve"> vesicles</w:t>
      </w:r>
      <w:r w:rsidR="002B7ABC">
        <w:t xml:space="preserve">. This </w:t>
      </w:r>
      <w:r w:rsidR="00C24A65">
        <w:t xml:space="preserve">suggests the degree of </w:t>
      </w:r>
      <w:proofErr w:type="spellStart"/>
      <w:r w:rsidR="00C24A65">
        <w:t>cooperativity</w:t>
      </w:r>
      <w:proofErr w:type="spellEnd"/>
      <w:r w:rsidR="00C24A65">
        <w:t xml:space="preserve"> with</w:t>
      </w:r>
      <w:r w:rsidR="00AA2846">
        <w:t xml:space="preserve"> the presence of cholesterol in the bilayer and that the Hill coefficient is tending towards n=1, which could mean that the only transport observed here is</w:t>
      </w:r>
      <w:r w:rsidR="00D54461">
        <w:t xml:space="preserve"> </w:t>
      </w:r>
      <w:proofErr w:type="spellStart"/>
      <w:r w:rsidR="00D54461">
        <w:t>Cl</w:t>
      </w:r>
      <w:proofErr w:type="spellEnd"/>
      <w:r w:rsidR="00D54461">
        <w:rPr>
          <w:vertAlign w:val="superscript"/>
        </w:rPr>
        <w:t>-</w:t>
      </w:r>
      <w:r w:rsidR="00D54461">
        <w:t>/NO</w:t>
      </w:r>
      <w:r w:rsidR="00D54461">
        <w:rPr>
          <w:vertAlign w:val="subscript"/>
        </w:rPr>
        <w:t>3</w:t>
      </w:r>
      <w:r w:rsidR="00D54461">
        <w:rPr>
          <w:vertAlign w:val="superscript"/>
        </w:rPr>
        <w:t>-</w:t>
      </w:r>
      <w:r w:rsidR="00AA2846">
        <w:t xml:space="preserve"> </w:t>
      </w:r>
      <w:proofErr w:type="spellStart"/>
      <w:r w:rsidR="00AA2846">
        <w:t>antiport</w:t>
      </w:r>
      <w:proofErr w:type="spellEnd"/>
      <w:r w:rsidR="00AA2846">
        <w:t>, mediated by</w:t>
      </w:r>
      <w:r w:rsidR="00F11195">
        <w:t xml:space="preserve"> monomers of</w:t>
      </w:r>
      <w:r w:rsidR="00AA2846">
        <w:t xml:space="preserve"> </w:t>
      </w:r>
      <w:r w:rsidR="00AA2846">
        <w:rPr>
          <w:b/>
        </w:rPr>
        <w:t xml:space="preserve">3 </w:t>
      </w:r>
      <w:r w:rsidR="00AA2846">
        <w:t>acting</w:t>
      </w:r>
      <w:r w:rsidR="00D54461">
        <w:t xml:space="preserve"> </w:t>
      </w:r>
      <w:r w:rsidR="00C24A65">
        <w:t>mostly</w:t>
      </w:r>
      <w:r w:rsidR="00AA2846">
        <w:t xml:space="preserve"> as a mobile carrier</w:t>
      </w:r>
      <w:r w:rsidR="00F11195">
        <w:t>s</w:t>
      </w:r>
      <w:r w:rsidR="00AA2846">
        <w:t>.</w:t>
      </w:r>
      <w:r w:rsidR="009A3034">
        <w:t xml:space="preserve"> This</w:t>
      </w:r>
      <w:r w:rsidR="00D340C0">
        <w:t xml:space="preserve"> </w:t>
      </w:r>
      <w:r w:rsidR="00D340C0" w:rsidRPr="006C67A7">
        <w:t>could</w:t>
      </w:r>
      <w:r w:rsidR="009A3034">
        <w:t xml:space="preserve"> suggest that although these compounds can function as mobile carriers (albeit poorly), transport is greatly increased when compounds are acting cooperatively</w:t>
      </w:r>
      <w:r w:rsidR="00C24A65">
        <w:t>.</w:t>
      </w:r>
      <w:r w:rsidR="00D340C0">
        <w:t xml:space="preserve"> </w:t>
      </w:r>
    </w:p>
    <w:p w14:paraId="70D78183" w14:textId="06F30E7F" w:rsidR="00553334" w:rsidRPr="002F6D19" w:rsidRDefault="00702742" w:rsidP="00101E6A">
      <w:pPr>
        <w:pStyle w:val="04AHeading"/>
        <w:rPr>
          <w:rFonts w:ascii="Times New Roman" w:hAnsi="Times New Roman"/>
        </w:rPr>
      </w:pPr>
      <w:r>
        <w:rPr>
          <w:rFonts w:ascii="Times New Roman" w:hAnsi="Times New Roman"/>
        </w:rPr>
        <w:t>Conclusions</w:t>
      </w:r>
    </w:p>
    <w:p w14:paraId="7CFBED6A" w14:textId="6CFFB356" w:rsidR="00101E6A" w:rsidRPr="0001065F" w:rsidRDefault="000D6E30" w:rsidP="0001065F">
      <w:pPr>
        <w:pStyle w:val="08ArticleText"/>
      </w:pPr>
      <w:r>
        <w:t>W</w:t>
      </w:r>
      <w:r w:rsidR="00E74565" w:rsidRPr="0001065F">
        <w:t xml:space="preserve">e have reported the anion binding and transport properties of a series of increasingly aromatic </w:t>
      </w:r>
      <w:proofErr w:type="spellStart"/>
      <w:r w:rsidR="00E74565" w:rsidRPr="0001065F">
        <w:t>isophthalamides</w:t>
      </w:r>
      <w:proofErr w:type="spellEnd"/>
      <w:r w:rsidR="00E74565" w:rsidRPr="0001065F">
        <w:t xml:space="preserve">. We see that in the solution state, all compounds bind to </w:t>
      </w:r>
      <w:proofErr w:type="spellStart"/>
      <w:r w:rsidR="0062632E">
        <w:t>tetrabutylammonium</w:t>
      </w:r>
      <w:proofErr w:type="spellEnd"/>
      <w:r w:rsidR="0062632E">
        <w:t xml:space="preserve"> chloride</w:t>
      </w:r>
      <w:r w:rsidR="00E74565" w:rsidRPr="0001065F">
        <w:t xml:space="preserve"> and </w:t>
      </w:r>
      <w:proofErr w:type="spellStart"/>
      <w:r w:rsidR="0062632E" w:rsidRPr="004A3288">
        <w:t>tetraethylammonium</w:t>
      </w:r>
      <w:proofErr w:type="spellEnd"/>
      <w:r w:rsidR="0062632E" w:rsidRPr="004A3288">
        <w:t xml:space="preserve"> bicarbonate</w:t>
      </w:r>
      <w:r w:rsidR="00E74565" w:rsidRPr="0001065F">
        <w:t xml:space="preserve"> within similar orders of magnitude. Anion transport studies using POPC vesicles showed that these transporters function mainly a</w:t>
      </w:r>
      <w:r w:rsidR="005110C0" w:rsidRPr="0001065F">
        <w:t>s</w:t>
      </w:r>
      <w:r w:rsidR="00E74565" w:rsidRPr="0001065F">
        <w:t xml:space="preserve"> anion/anion </w:t>
      </w:r>
      <w:proofErr w:type="spellStart"/>
      <w:r w:rsidR="00E74565" w:rsidRPr="0001065F">
        <w:t>antiporters</w:t>
      </w:r>
      <w:proofErr w:type="spellEnd"/>
      <w:r w:rsidR="00E74565" w:rsidRPr="0001065F">
        <w:t>. Hill a</w:t>
      </w:r>
      <w:r w:rsidR="005110C0" w:rsidRPr="0001065F">
        <w:t>nalysis showed that in general H</w:t>
      </w:r>
      <w:r w:rsidR="00E74565" w:rsidRPr="0001065F">
        <w:t xml:space="preserve">ill coefficients increase with increased number of individual aromatic rings on the molecule. This implies that the more aromatic the compound is, the higher the </w:t>
      </w:r>
      <w:r w:rsidR="00E74565" w:rsidRPr="0001065F">
        <w:lastRenderedPageBreak/>
        <w:t>degree of agg</w:t>
      </w:r>
      <w:r w:rsidR="00252474">
        <w:t>regation in the lipid bilayer</w:t>
      </w:r>
      <w:r w:rsidR="00E74565" w:rsidRPr="0001065F">
        <w:t xml:space="preserve">. Further to this, the more aromatic </w:t>
      </w:r>
      <w:proofErr w:type="spellStart"/>
      <w:r w:rsidR="00E74565" w:rsidRPr="0001065F">
        <w:t>isophthalamides</w:t>
      </w:r>
      <w:proofErr w:type="spellEnd"/>
      <w:r w:rsidR="00E74565" w:rsidRPr="0001065F">
        <w:t xml:space="preserve"> tend to be the most</w:t>
      </w:r>
      <w:r w:rsidR="005110C0" w:rsidRPr="0001065F">
        <w:t xml:space="preserve"> efficient transporters. We observed evidence of aggregation in the lipid bilayer through fluorescen</w:t>
      </w:r>
      <w:r w:rsidR="00252474">
        <w:t>ce</w:t>
      </w:r>
      <w:r w:rsidR="005110C0" w:rsidRPr="0001065F">
        <w:t xml:space="preserve"> studies, which showed the presence of an aggregated ‘</w:t>
      </w:r>
      <w:proofErr w:type="spellStart"/>
      <w:r w:rsidR="005110C0" w:rsidRPr="0001065F">
        <w:t>excimer</w:t>
      </w:r>
      <w:proofErr w:type="spellEnd"/>
      <w:r w:rsidR="005110C0" w:rsidRPr="0001065F">
        <w:t>’ peak in POPC lipid that is not presen</w:t>
      </w:r>
      <w:r w:rsidR="00C24A65">
        <w:t>t in homogenous organic solvent but also noted that this observed aggregation was detected at higher concentrations than the transport studies.</w:t>
      </w:r>
      <w:r w:rsidR="005110C0" w:rsidRPr="0001065F">
        <w:t xml:space="preserve"> Finally, we observed reduced transport rates </w:t>
      </w:r>
      <w:r w:rsidR="0062632E">
        <w:t xml:space="preserve">in vesicles which contain </w:t>
      </w:r>
      <w:proofErr w:type="spellStart"/>
      <w:r w:rsidR="0062632E">
        <w:t>POPC</w:t>
      </w:r>
      <w:proofErr w:type="gramStart"/>
      <w:r w:rsidR="0062632E">
        <w:t>:c</w:t>
      </w:r>
      <w:r w:rsidR="005110C0" w:rsidRPr="0001065F">
        <w:t>holesterol</w:t>
      </w:r>
      <w:proofErr w:type="spellEnd"/>
      <w:proofErr w:type="gramEnd"/>
      <w:r w:rsidR="005110C0" w:rsidRPr="0001065F">
        <w:t>. We hypothesised</w:t>
      </w:r>
      <w:r w:rsidR="009A3034">
        <w:t xml:space="preserve"> that </w:t>
      </w:r>
      <w:r w:rsidR="005110C0" w:rsidRPr="0001065F">
        <w:t xml:space="preserve">the presence of cholesterol in the lipid bilayer </w:t>
      </w:r>
      <w:r w:rsidR="00C24A65">
        <w:t>could have</w:t>
      </w:r>
      <w:r w:rsidR="005110C0" w:rsidRPr="0001065F">
        <w:t xml:space="preserve"> prevented the diffusion and assembly of individual monomers into its active transporting unit.</w:t>
      </w:r>
      <w:r w:rsidR="006C67A7">
        <w:t xml:space="preserve"> </w:t>
      </w:r>
      <w:r w:rsidR="005110C0" w:rsidRPr="0001065F">
        <w:t>We observed lower aggregation intensities in</w:t>
      </w:r>
      <w:r w:rsidR="006D5856">
        <w:t xml:space="preserve"> the</w:t>
      </w:r>
      <w:r w:rsidR="005110C0" w:rsidRPr="0001065F">
        <w:t xml:space="preserve"> fluorescence spectra</w:t>
      </w:r>
      <w:r w:rsidR="006D5856">
        <w:t xml:space="preserve"> conducted</w:t>
      </w:r>
      <w:r w:rsidR="005110C0" w:rsidRPr="0001065F">
        <w:t xml:space="preserve"> in </w:t>
      </w:r>
      <w:proofErr w:type="spellStart"/>
      <w:r w:rsidR="005110C0" w:rsidRPr="0001065F">
        <w:t>P</w:t>
      </w:r>
      <w:r w:rsidR="0062632E">
        <w:t>OPC</w:t>
      </w:r>
      <w:proofErr w:type="gramStart"/>
      <w:r w:rsidR="0062632E">
        <w:t>:c</w:t>
      </w:r>
      <w:r w:rsidR="006D5A2C">
        <w:t>holesterol</w:t>
      </w:r>
      <w:proofErr w:type="spellEnd"/>
      <w:proofErr w:type="gramEnd"/>
      <w:r w:rsidR="006D5A2C">
        <w:t xml:space="preserve"> vesicles and a H</w:t>
      </w:r>
      <w:r w:rsidR="0062632E">
        <w:t xml:space="preserve">ill plot in </w:t>
      </w:r>
      <w:proofErr w:type="spellStart"/>
      <w:r w:rsidR="0062632E">
        <w:t>POPC:c</w:t>
      </w:r>
      <w:r w:rsidR="005110C0" w:rsidRPr="0001065F">
        <w:t>h</w:t>
      </w:r>
      <w:r w:rsidR="006D5A2C">
        <w:t>olesterol</w:t>
      </w:r>
      <w:proofErr w:type="spellEnd"/>
      <w:r w:rsidR="006D5A2C">
        <w:t xml:space="preserve"> vesicles showed the H</w:t>
      </w:r>
      <w:r w:rsidR="005110C0" w:rsidRPr="0001065F">
        <w:t>ill coefficient tends towards 1 under these conditions.</w:t>
      </w:r>
      <w:r w:rsidR="006C67A7">
        <w:t xml:space="preserve"> Although hindered partitioning into the lipid bilayer would also cause less intense fluorescence spectra, t</w:t>
      </w:r>
      <w:r w:rsidR="005110C0" w:rsidRPr="0001065F">
        <w:t xml:space="preserve">his is </w:t>
      </w:r>
      <w:r w:rsidR="006C67A7">
        <w:t>still</w:t>
      </w:r>
      <w:r w:rsidR="005110C0" w:rsidRPr="0001065F">
        <w:t xml:space="preserve"> evidence to </w:t>
      </w:r>
      <w:r w:rsidR="00F11195">
        <w:t>suggest</w:t>
      </w:r>
      <w:r w:rsidR="005110C0" w:rsidRPr="0001065F">
        <w:t xml:space="preserve"> that</w:t>
      </w:r>
      <w:r w:rsidR="006D5A2C">
        <w:t xml:space="preserve"> this compound</w:t>
      </w:r>
      <w:r w:rsidR="005110C0" w:rsidRPr="0001065F">
        <w:t xml:space="preserve"> function</w:t>
      </w:r>
      <w:r w:rsidR="006D5A2C">
        <w:t>s</w:t>
      </w:r>
      <w:r w:rsidR="005110C0" w:rsidRPr="0001065F">
        <w:t xml:space="preserve"> as</w:t>
      </w:r>
      <w:r w:rsidR="006D5A2C">
        <w:t xml:space="preserve"> a</w:t>
      </w:r>
      <w:r w:rsidR="005110C0" w:rsidRPr="0001065F">
        <w:t xml:space="preserve"> self-assemb</w:t>
      </w:r>
      <w:r w:rsidR="00D82091">
        <w:t>led</w:t>
      </w:r>
      <w:r w:rsidR="006D5856">
        <w:t xml:space="preserve"> anion conducting aggregated unit</w:t>
      </w:r>
      <w:r w:rsidR="005110C0" w:rsidRPr="0001065F">
        <w:t xml:space="preserve"> within the phospholipid bilayers. </w:t>
      </w:r>
      <w:r w:rsidR="006D5856">
        <w:t xml:space="preserve">Although the true transport mechanism is clearly very complicated and might be a mixture of </w:t>
      </w:r>
      <w:r w:rsidR="009A3034">
        <w:t>cooperative</w:t>
      </w:r>
      <w:r w:rsidR="006D5856">
        <w:t xml:space="preserve"> and mobile carrier function, t</w:t>
      </w:r>
      <w:r w:rsidR="005110C0" w:rsidRPr="0001065F">
        <w:t xml:space="preserve">his work may prove useful in aiding the design of more potent transporters which function by self-assembling into </w:t>
      </w:r>
      <w:proofErr w:type="spellStart"/>
      <w:r w:rsidR="005110C0" w:rsidRPr="0001065F">
        <w:t>transmembrane</w:t>
      </w:r>
      <w:proofErr w:type="spellEnd"/>
      <w:r w:rsidR="005110C0" w:rsidRPr="0001065F">
        <w:t xml:space="preserve"> transporting pores, a feature which may be desirable in the t</w:t>
      </w:r>
      <w:r w:rsidR="00621654">
        <w:t>reatment of biological diseases.</w:t>
      </w:r>
    </w:p>
    <w:p w14:paraId="43640443" w14:textId="77777777" w:rsidR="00CF2F03" w:rsidRPr="0001065F" w:rsidRDefault="00CF2F03" w:rsidP="0001065F">
      <w:pPr>
        <w:pStyle w:val="08ArticleText"/>
      </w:pPr>
    </w:p>
    <w:p w14:paraId="67CFE7C7" w14:textId="77777777" w:rsidR="00D605D9" w:rsidRDefault="00D605D9" w:rsidP="00101E6A">
      <w:pPr>
        <w:pStyle w:val="08ArticleText"/>
        <w:spacing w:line="240" w:lineRule="auto"/>
        <w:rPr>
          <w:b/>
          <w:sz w:val="22"/>
          <w:szCs w:val="22"/>
        </w:rPr>
      </w:pPr>
      <w:r w:rsidRPr="00702742">
        <w:rPr>
          <w:b/>
          <w:sz w:val="22"/>
          <w:szCs w:val="22"/>
        </w:rPr>
        <w:t>Acknowledgements</w:t>
      </w:r>
    </w:p>
    <w:p w14:paraId="3B0888A9" w14:textId="4B95D2D5" w:rsidR="00101E6A" w:rsidRDefault="008A2022" w:rsidP="00EE2A40">
      <w:pPr>
        <w:pStyle w:val="N2Footnotes"/>
      </w:pPr>
      <w:r>
        <w:t xml:space="preserve">We thank the EPSRC (EP/J009687/1) for funding (NB).  PAG thanks the Royal Society and the </w:t>
      </w:r>
      <w:proofErr w:type="spellStart"/>
      <w:r>
        <w:t>Wolfson</w:t>
      </w:r>
      <w:proofErr w:type="spellEnd"/>
      <w:r>
        <w:t xml:space="preserve"> Foundation for a Research Merit Award.  SNB thanks the University of Southampton and A*STAR for funding. </w:t>
      </w:r>
      <w:r w:rsidR="00F22828">
        <w:t xml:space="preserve"> We thank the Royal Society of Chemistry and the Nuffield Foundation for a summer studentship (CLF).</w:t>
      </w:r>
    </w:p>
    <w:p w14:paraId="516F9BC0" w14:textId="77777777" w:rsidR="003D282D" w:rsidRPr="00E02CF7" w:rsidRDefault="003D282D" w:rsidP="00E02CF7">
      <w:pPr>
        <w:pStyle w:val="08ArticleText"/>
      </w:pPr>
    </w:p>
    <w:p w14:paraId="41B70538" w14:textId="77777777" w:rsidR="0092763E" w:rsidRPr="002F6D19" w:rsidRDefault="00221531" w:rsidP="00A403B1">
      <w:pPr>
        <w:pStyle w:val="04AHeading"/>
        <w:spacing w:before="0" w:after="0" w:line="240" w:lineRule="exact"/>
        <w:rPr>
          <w:rFonts w:ascii="Times New Roman" w:hAnsi="Times New Roman"/>
          <w:b w:val="0"/>
          <w:smallCaps/>
          <w:w w:val="108"/>
          <w:sz w:val="18"/>
          <w:szCs w:val="18"/>
        </w:rPr>
      </w:pPr>
      <w:r w:rsidRPr="002F6D19">
        <w:rPr>
          <w:rFonts w:ascii="Times New Roman" w:hAnsi="Times New Roman"/>
        </w:rPr>
        <w:t>N</w:t>
      </w:r>
      <w:r w:rsidR="009D17C3" w:rsidRPr="002F6D19">
        <w:rPr>
          <w:rFonts w:ascii="Times New Roman" w:hAnsi="Times New Roman"/>
        </w:rPr>
        <w:t>otes and references</w:t>
      </w:r>
    </w:p>
    <w:p w14:paraId="27A179C9" w14:textId="6078B0C5" w:rsidR="00D4070D" w:rsidRDefault="00D4070D" w:rsidP="00F24CA4">
      <w:pPr>
        <w:pStyle w:val="N1AuthorAddress"/>
        <w:spacing w:line="240" w:lineRule="atLeast"/>
      </w:pPr>
      <w:proofErr w:type="gramStart"/>
      <w:r w:rsidRPr="00272D6F">
        <w:rPr>
          <w:i/>
          <w:vertAlign w:val="superscript"/>
        </w:rPr>
        <w:t>a</w:t>
      </w:r>
      <w:proofErr w:type="gramEnd"/>
      <w:r>
        <w:t xml:space="preserve"> </w:t>
      </w:r>
      <w:r w:rsidR="00F24CA4">
        <w:t>Chemistry, University of Southampton, Southampton, SO17 1BJ, UK. E-mail: philip.gale@soton.ac.uk</w:t>
      </w:r>
    </w:p>
    <w:p w14:paraId="7532A88A" w14:textId="4B6EC594" w:rsidR="00FB1610" w:rsidRDefault="00FB1610" w:rsidP="00017239">
      <w:pPr>
        <w:pStyle w:val="N2Footnotes"/>
      </w:pPr>
      <w:r w:rsidRPr="0031610B">
        <w:t>Electronic</w:t>
      </w:r>
      <w:r w:rsidRPr="003628FE">
        <w:t xml:space="preserve"> Supplementary Information (ESI) available:</w:t>
      </w:r>
      <w:r w:rsidR="00961B1A">
        <w:t xml:space="preserve"> Synthesis and characterisation of new compounds </w:t>
      </w:r>
      <w:r w:rsidR="00961B1A">
        <w:rPr>
          <w:b/>
        </w:rPr>
        <w:t>2</w:t>
      </w:r>
      <w:r w:rsidR="00961B1A">
        <w:t xml:space="preserve"> and </w:t>
      </w:r>
      <w:r w:rsidR="00961B1A">
        <w:rPr>
          <w:b/>
        </w:rPr>
        <w:t>5</w:t>
      </w:r>
      <w:r w:rsidR="00961B1A">
        <w:t xml:space="preserve"> and characterisation spectra for all compounds; experimental details for ion-selective electrode transport studies</w:t>
      </w:r>
      <w:r w:rsidR="003E0235">
        <w:t xml:space="preserve"> including electrode calibration techniques</w:t>
      </w:r>
      <w:r w:rsidR="00961B1A">
        <w:t xml:space="preserve">, additional transport studies and Hill plots; experimental and analysis details for </w:t>
      </w:r>
      <w:r w:rsidR="00961B1A">
        <w:rPr>
          <w:vertAlign w:val="superscript"/>
        </w:rPr>
        <w:t>1</w:t>
      </w:r>
      <w:r w:rsidR="00961B1A">
        <w:t>H NMR titrations; U-tube transport data; experimental details and additional spectra for fluorescence studies</w:t>
      </w:r>
      <w:r w:rsidRPr="003628FE">
        <w:t xml:space="preserve">. See </w:t>
      </w:r>
      <w:r>
        <w:t>DOI: </w:t>
      </w:r>
      <w:r w:rsidRPr="00EA020E">
        <w:t>10.1039/</w:t>
      </w:r>
      <w:r w:rsidRPr="003628FE">
        <w:t>b000000x/</w:t>
      </w:r>
    </w:p>
    <w:p w14:paraId="3378B3A4" w14:textId="77777777" w:rsidR="00FB1610" w:rsidRDefault="00FB1610" w:rsidP="00FB1610">
      <w:pPr>
        <w:pStyle w:val="N2Footnotes"/>
        <w:spacing w:line="240" w:lineRule="atLeast"/>
      </w:pPr>
    </w:p>
    <w:p w14:paraId="6C943C26" w14:textId="32D98031" w:rsidR="004A3288" w:rsidRPr="004A3288" w:rsidRDefault="005110C0" w:rsidP="004A3288">
      <w:pPr>
        <w:pStyle w:val="N3References"/>
        <w:divId w:val="1895696862"/>
        <w:rPr>
          <w:rFonts w:eastAsiaTheme="minorEastAsia"/>
          <w:noProof/>
        </w:rPr>
      </w:pPr>
      <w:r>
        <w:fldChar w:fldCharType="begin" w:fldLock="1"/>
      </w:r>
      <w:r>
        <w:instrText xml:space="preserve">ADDIN Mendeley Bibliography CSL_BIBLIOGRAPHY </w:instrText>
      </w:r>
      <w:r>
        <w:fldChar w:fldCharType="separate"/>
      </w:r>
      <w:r w:rsidR="004A3288" w:rsidRPr="004A3288">
        <w:rPr>
          <w:noProof/>
        </w:rPr>
        <w:t>1.</w:t>
      </w:r>
      <w:r w:rsidR="004A3288" w:rsidRPr="004A3288">
        <w:rPr>
          <w:noProof/>
        </w:rPr>
        <w:tab/>
        <w:t xml:space="preserve">F. M. Ashcroft, </w:t>
      </w:r>
      <w:r w:rsidR="004A3288" w:rsidRPr="004A3288">
        <w:rPr>
          <w:i/>
          <w:iCs/>
          <w:noProof/>
        </w:rPr>
        <w:t>Ion Channels and Disease</w:t>
      </w:r>
      <w:r w:rsidR="004A3288" w:rsidRPr="004A3288">
        <w:rPr>
          <w:noProof/>
        </w:rPr>
        <w:t>, Academic Press, San Diego, 2000.</w:t>
      </w:r>
    </w:p>
    <w:p w14:paraId="0DD47372" w14:textId="5C835F9B" w:rsidR="004A3288" w:rsidRPr="004A3288" w:rsidRDefault="0061660C" w:rsidP="004A3288">
      <w:pPr>
        <w:pStyle w:val="N3References"/>
        <w:divId w:val="1895696862"/>
        <w:rPr>
          <w:noProof/>
        </w:rPr>
      </w:pPr>
      <w:r>
        <w:rPr>
          <w:noProof/>
        </w:rPr>
        <w:t>2.</w:t>
      </w:r>
      <w:r>
        <w:rPr>
          <w:noProof/>
        </w:rPr>
        <w:tab/>
        <w:t>N. Busschaert and P. A.</w:t>
      </w:r>
      <w:r w:rsidR="004A3288" w:rsidRPr="004A3288">
        <w:rPr>
          <w:noProof/>
        </w:rPr>
        <w:t xml:space="preserve"> Gale, </w:t>
      </w:r>
      <w:r w:rsidR="004A3288" w:rsidRPr="004A3288">
        <w:rPr>
          <w:i/>
          <w:iCs/>
          <w:noProof/>
        </w:rPr>
        <w:t>Angew. Chem. Int. Ed. Engl.</w:t>
      </w:r>
      <w:r w:rsidR="004A3288" w:rsidRPr="004A3288">
        <w:rPr>
          <w:noProof/>
        </w:rPr>
        <w:t xml:space="preserve">, 2013, </w:t>
      </w:r>
      <w:r w:rsidR="004A3288" w:rsidRPr="004A3288">
        <w:rPr>
          <w:b/>
          <w:bCs/>
          <w:noProof/>
        </w:rPr>
        <w:t>52</w:t>
      </w:r>
      <w:r w:rsidR="004A3288" w:rsidRPr="004A3288">
        <w:rPr>
          <w:noProof/>
        </w:rPr>
        <w:t>, 1374–</w:t>
      </w:r>
      <w:r>
        <w:rPr>
          <w:noProof/>
        </w:rPr>
        <w:t>13</w:t>
      </w:r>
      <w:r w:rsidR="004A3288" w:rsidRPr="004A3288">
        <w:rPr>
          <w:noProof/>
        </w:rPr>
        <w:t>82.</w:t>
      </w:r>
    </w:p>
    <w:p w14:paraId="2A5D96C9" w14:textId="545FD39D" w:rsidR="004A3288" w:rsidRPr="004A3288" w:rsidRDefault="0061660C" w:rsidP="004A3288">
      <w:pPr>
        <w:pStyle w:val="N3References"/>
        <w:divId w:val="1895696862"/>
        <w:rPr>
          <w:noProof/>
        </w:rPr>
      </w:pPr>
      <w:r>
        <w:rPr>
          <w:noProof/>
        </w:rPr>
        <w:t>3.</w:t>
      </w:r>
      <w:r>
        <w:rPr>
          <w:noProof/>
        </w:rPr>
        <w:tab/>
        <w:t>P. A.</w:t>
      </w:r>
      <w:r w:rsidR="004A3288" w:rsidRPr="004A3288">
        <w:rPr>
          <w:noProof/>
        </w:rPr>
        <w:t xml:space="preserve"> Gale, R. Pérez-Tomás and R. Quesada, </w:t>
      </w:r>
      <w:r w:rsidR="004A3288" w:rsidRPr="004A3288">
        <w:rPr>
          <w:i/>
          <w:iCs/>
          <w:noProof/>
        </w:rPr>
        <w:t>Acc. Chem. Res.</w:t>
      </w:r>
      <w:r w:rsidR="004A3288" w:rsidRPr="004A3288">
        <w:rPr>
          <w:noProof/>
        </w:rPr>
        <w:t xml:space="preserve">, 2013, </w:t>
      </w:r>
      <w:r w:rsidR="004A3288" w:rsidRPr="004A3288">
        <w:rPr>
          <w:b/>
          <w:bCs/>
          <w:noProof/>
        </w:rPr>
        <w:t>46</w:t>
      </w:r>
      <w:r w:rsidR="004A3288" w:rsidRPr="004A3288">
        <w:rPr>
          <w:noProof/>
        </w:rPr>
        <w:t>, 2801–</w:t>
      </w:r>
      <w:r>
        <w:rPr>
          <w:noProof/>
        </w:rPr>
        <w:t>28</w:t>
      </w:r>
      <w:r w:rsidR="004A3288" w:rsidRPr="004A3288">
        <w:rPr>
          <w:noProof/>
        </w:rPr>
        <w:t>13.</w:t>
      </w:r>
    </w:p>
    <w:p w14:paraId="636E639A" w14:textId="4371824F" w:rsidR="004A3288" w:rsidRPr="004A3288" w:rsidRDefault="004A3288" w:rsidP="004A3288">
      <w:pPr>
        <w:pStyle w:val="N3References"/>
        <w:divId w:val="1895696862"/>
        <w:rPr>
          <w:noProof/>
        </w:rPr>
      </w:pPr>
      <w:r w:rsidRPr="004A3288">
        <w:rPr>
          <w:noProof/>
        </w:rPr>
        <w:t>4.</w:t>
      </w:r>
      <w:r w:rsidRPr="004A3288">
        <w:rPr>
          <w:noProof/>
        </w:rPr>
        <w:tab/>
        <w:t xml:space="preserve">S. Matile, A. Vargas Jentzsch, J. Montenegro and A. Fin, </w:t>
      </w:r>
      <w:r w:rsidRPr="004A3288">
        <w:rPr>
          <w:i/>
          <w:iCs/>
          <w:noProof/>
        </w:rPr>
        <w:t>Chem. Soc. Rev.</w:t>
      </w:r>
      <w:r w:rsidRPr="004A3288">
        <w:rPr>
          <w:noProof/>
        </w:rPr>
        <w:t xml:space="preserve">, 2011, </w:t>
      </w:r>
      <w:r w:rsidRPr="004A3288">
        <w:rPr>
          <w:b/>
          <w:bCs/>
          <w:noProof/>
        </w:rPr>
        <w:t>40</w:t>
      </w:r>
      <w:r w:rsidRPr="004A3288">
        <w:rPr>
          <w:noProof/>
        </w:rPr>
        <w:t>, 2453–</w:t>
      </w:r>
      <w:r w:rsidR="0061660C">
        <w:rPr>
          <w:noProof/>
        </w:rPr>
        <w:t>24</w:t>
      </w:r>
      <w:r w:rsidRPr="004A3288">
        <w:rPr>
          <w:noProof/>
        </w:rPr>
        <w:t>74.</w:t>
      </w:r>
    </w:p>
    <w:p w14:paraId="1CEFE8D5" w14:textId="77777777" w:rsidR="004A3288" w:rsidRPr="004A3288" w:rsidRDefault="004A3288" w:rsidP="004A3288">
      <w:pPr>
        <w:pStyle w:val="N3References"/>
        <w:divId w:val="1895696862"/>
        <w:rPr>
          <w:noProof/>
        </w:rPr>
      </w:pPr>
      <w:r w:rsidRPr="004A3288">
        <w:rPr>
          <w:noProof/>
        </w:rPr>
        <w:t>5.</w:t>
      </w:r>
      <w:r w:rsidRPr="004A3288">
        <w:rPr>
          <w:noProof/>
        </w:rPr>
        <w:tab/>
        <w:t xml:space="preserve">K. Kavallieratos, S. R. de Gala, D. J. Austin and R. H. Crabtree, </w:t>
      </w:r>
      <w:r w:rsidRPr="004A3288">
        <w:rPr>
          <w:i/>
          <w:iCs/>
          <w:noProof/>
        </w:rPr>
        <w:t>J. Am. Chem. Soc.</w:t>
      </w:r>
      <w:r w:rsidRPr="004A3288">
        <w:rPr>
          <w:noProof/>
        </w:rPr>
        <w:t xml:space="preserve">, 1997, </w:t>
      </w:r>
      <w:r w:rsidRPr="004A3288">
        <w:rPr>
          <w:b/>
          <w:bCs/>
          <w:noProof/>
        </w:rPr>
        <w:t>119</w:t>
      </w:r>
      <w:r w:rsidRPr="004A3288">
        <w:rPr>
          <w:noProof/>
        </w:rPr>
        <w:t>, 2325–2326.</w:t>
      </w:r>
    </w:p>
    <w:p w14:paraId="3AC3FDB5" w14:textId="77777777" w:rsidR="004A3288" w:rsidRPr="004A3288" w:rsidRDefault="004A3288" w:rsidP="004A3288">
      <w:pPr>
        <w:pStyle w:val="N3References"/>
        <w:divId w:val="1895696862"/>
        <w:rPr>
          <w:noProof/>
        </w:rPr>
      </w:pPr>
      <w:r w:rsidRPr="004A3288">
        <w:rPr>
          <w:noProof/>
        </w:rPr>
        <w:lastRenderedPageBreak/>
        <w:t>6.</w:t>
      </w:r>
      <w:r w:rsidRPr="004A3288">
        <w:rPr>
          <w:noProof/>
        </w:rPr>
        <w:tab/>
        <w:t xml:space="preserve">C. R. Bondy and S. J. Loeb, </w:t>
      </w:r>
      <w:r w:rsidRPr="004A3288">
        <w:rPr>
          <w:i/>
          <w:iCs/>
          <w:noProof/>
        </w:rPr>
        <w:t>Coord. Chem. Rev.</w:t>
      </w:r>
      <w:r w:rsidRPr="004A3288">
        <w:rPr>
          <w:noProof/>
        </w:rPr>
        <w:t xml:space="preserve">, 2003, </w:t>
      </w:r>
      <w:r w:rsidRPr="004A3288">
        <w:rPr>
          <w:b/>
          <w:bCs/>
          <w:noProof/>
        </w:rPr>
        <w:t>240</w:t>
      </w:r>
      <w:r w:rsidRPr="004A3288">
        <w:rPr>
          <w:noProof/>
        </w:rPr>
        <w:t>, 77–99.</w:t>
      </w:r>
    </w:p>
    <w:p w14:paraId="0BE8E9CA" w14:textId="7B460686" w:rsidR="004A3288" w:rsidRPr="004A3288" w:rsidRDefault="004A3288" w:rsidP="004A3288">
      <w:pPr>
        <w:pStyle w:val="N3References"/>
        <w:divId w:val="1895696862"/>
        <w:rPr>
          <w:noProof/>
        </w:rPr>
      </w:pPr>
      <w:r w:rsidRPr="004A3288">
        <w:rPr>
          <w:noProof/>
        </w:rPr>
        <w:t>7.</w:t>
      </w:r>
      <w:r w:rsidRPr="004A3288">
        <w:rPr>
          <w:noProof/>
        </w:rPr>
        <w:tab/>
        <w:t xml:space="preserve">S. O. Kang, R. A. Begum and K. Bowman-James, </w:t>
      </w:r>
      <w:r w:rsidRPr="004A3288">
        <w:rPr>
          <w:i/>
          <w:iCs/>
          <w:noProof/>
        </w:rPr>
        <w:t>Angew. Chem. Int. Ed. Engl.</w:t>
      </w:r>
      <w:r w:rsidRPr="004A3288">
        <w:rPr>
          <w:noProof/>
        </w:rPr>
        <w:t xml:space="preserve">, 2006, </w:t>
      </w:r>
      <w:r w:rsidRPr="004A3288">
        <w:rPr>
          <w:b/>
          <w:bCs/>
          <w:noProof/>
        </w:rPr>
        <w:t>45</w:t>
      </w:r>
      <w:r w:rsidRPr="004A3288">
        <w:rPr>
          <w:noProof/>
        </w:rPr>
        <w:t>, 7882–</w:t>
      </w:r>
      <w:r w:rsidR="0061660C">
        <w:rPr>
          <w:noProof/>
        </w:rPr>
        <w:t>78</w:t>
      </w:r>
      <w:r w:rsidRPr="004A3288">
        <w:rPr>
          <w:noProof/>
        </w:rPr>
        <w:t>94.</w:t>
      </w:r>
    </w:p>
    <w:p w14:paraId="015DA67B" w14:textId="039E93F8" w:rsidR="004A3288" w:rsidRPr="004A3288" w:rsidRDefault="004A3288" w:rsidP="004A3288">
      <w:pPr>
        <w:pStyle w:val="N3References"/>
        <w:divId w:val="1895696862"/>
        <w:rPr>
          <w:noProof/>
        </w:rPr>
      </w:pPr>
      <w:r w:rsidRPr="004A3288">
        <w:rPr>
          <w:noProof/>
        </w:rPr>
        <w:t>8.</w:t>
      </w:r>
      <w:r w:rsidRPr="004A3288">
        <w:rPr>
          <w:noProof/>
        </w:rPr>
        <w:tab/>
      </w:r>
      <w:r w:rsidR="00B92ABE">
        <w:rPr>
          <w:noProof/>
        </w:rPr>
        <w:t xml:space="preserve">(a) </w:t>
      </w:r>
      <w:r w:rsidRPr="004A3288">
        <w:rPr>
          <w:noProof/>
        </w:rPr>
        <w:t>P. V Santacroce</w:t>
      </w:r>
      <w:r w:rsidR="0061660C">
        <w:rPr>
          <w:noProof/>
        </w:rPr>
        <w:t>, J. T. Davis, M. E. Light, P. A.</w:t>
      </w:r>
      <w:r w:rsidRPr="004A3288">
        <w:rPr>
          <w:noProof/>
        </w:rPr>
        <w:t xml:space="preserve"> Gale, J. C. Iglesias-Sanchez, P. Prados and R. Quesada, </w:t>
      </w:r>
      <w:r w:rsidRPr="004A3288">
        <w:rPr>
          <w:i/>
          <w:iCs/>
          <w:noProof/>
        </w:rPr>
        <w:t>J. Am. Chem. Soc.</w:t>
      </w:r>
      <w:r w:rsidRPr="004A3288">
        <w:rPr>
          <w:noProof/>
        </w:rPr>
        <w:t xml:space="preserve">, 2007, </w:t>
      </w:r>
      <w:r w:rsidRPr="004A3288">
        <w:rPr>
          <w:b/>
          <w:bCs/>
          <w:noProof/>
        </w:rPr>
        <w:t>129</w:t>
      </w:r>
      <w:r w:rsidRPr="004A3288">
        <w:rPr>
          <w:noProof/>
        </w:rPr>
        <w:t>, 1886–</w:t>
      </w:r>
      <w:r w:rsidR="0061660C">
        <w:rPr>
          <w:noProof/>
        </w:rPr>
        <w:t>188</w:t>
      </w:r>
      <w:r w:rsidRPr="004A3288">
        <w:rPr>
          <w:noProof/>
        </w:rPr>
        <w:t>7</w:t>
      </w:r>
      <w:r w:rsidR="00B92ABE">
        <w:rPr>
          <w:noProof/>
        </w:rPr>
        <w:t>; (b) P. A. Gale, J. Garric, M. E. Light, B. A. McNally, B. D. Smith</w:t>
      </w:r>
      <w:r w:rsidR="00611439">
        <w:rPr>
          <w:noProof/>
        </w:rPr>
        <w:t xml:space="preserve">, </w:t>
      </w:r>
      <w:r w:rsidR="00611439">
        <w:rPr>
          <w:i/>
          <w:noProof/>
        </w:rPr>
        <w:t xml:space="preserve">Chem </w:t>
      </w:r>
      <w:r w:rsidR="00D94A1B">
        <w:rPr>
          <w:i/>
          <w:noProof/>
        </w:rPr>
        <w:t>C</w:t>
      </w:r>
      <w:r w:rsidR="00611439">
        <w:rPr>
          <w:i/>
          <w:noProof/>
        </w:rPr>
        <w:t>ommun.</w:t>
      </w:r>
      <w:r w:rsidR="0073501D">
        <w:rPr>
          <w:noProof/>
        </w:rPr>
        <w:t>, 2007,</w:t>
      </w:r>
      <w:r w:rsidR="00611439">
        <w:rPr>
          <w:noProof/>
        </w:rPr>
        <w:t xml:space="preserve"> </w:t>
      </w:r>
      <w:r w:rsidR="00611439">
        <w:rPr>
          <w:b/>
          <w:noProof/>
        </w:rPr>
        <w:t>17</w:t>
      </w:r>
      <w:r w:rsidR="00611439">
        <w:rPr>
          <w:noProof/>
        </w:rPr>
        <w:t>, 1736-1738.</w:t>
      </w:r>
      <w:r w:rsidR="00B92ABE">
        <w:rPr>
          <w:noProof/>
        </w:rPr>
        <w:t xml:space="preserve"> </w:t>
      </w:r>
    </w:p>
    <w:p w14:paraId="00C863BA" w14:textId="52CDA9B7" w:rsidR="004A3288" w:rsidRPr="004A3288" w:rsidRDefault="004A3288" w:rsidP="004A3288">
      <w:pPr>
        <w:pStyle w:val="N3References"/>
        <w:divId w:val="1895696862"/>
        <w:rPr>
          <w:noProof/>
        </w:rPr>
      </w:pPr>
      <w:r w:rsidRPr="004A3288">
        <w:rPr>
          <w:noProof/>
        </w:rPr>
        <w:t>9.</w:t>
      </w:r>
      <w:r w:rsidRPr="004A3288">
        <w:rPr>
          <w:noProof/>
        </w:rPr>
        <w:tab/>
        <w:t xml:space="preserve">P. A. Gale, </w:t>
      </w:r>
      <w:r w:rsidRPr="004A3288">
        <w:rPr>
          <w:i/>
          <w:iCs/>
          <w:noProof/>
        </w:rPr>
        <w:t>Acc. Chem. Res.</w:t>
      </w:r>
      <w:r w:rsidRPr="004A3288">
        <w:rPr>
          <w:noProof/>
        </w:rPr>
        <w:t xml:space="preserve">, 2011, </w:t>
      </w:r>
      <w:r w:rsidRPr="004A3288">
        <w:rPr>
          <w:b/>
          <w:bCs/>
          <w:noProof/>
        </w:rPr>
        <w:t>44</w:t>
      </w:r>
      <w:r w:rsidRPr="004A3288">
        <w:rPr>
          <w:noProof/>
        </w:rPr>
        <w:t>, 216–</w:t>
      </w:r>
      <w:r w:rsidR="0061660C">
        <w:rPr>
          <w:noProof/>
        </w:rPr>
        <w:t>2</w:t>
      </w:r>
      <w:r w:rsidRPr="004A3288">
        <w:rPr>
          <w:noProof/>
        </w:rPr>
        <w:t>26.</w:t>
      </w:r>
    </w:p>
    <w:p w14:paraId="22A67C0A" w14:textId="0E090B11" w:rsidR="004A3288" w:rsidRPr="004A3288" w:rsidRDefault="004A3288" w:rsidP="004A3288">
      <w:pPr>
        <w:pStyle w:val="N3References"/>
        <w:divId w:val="1895696862"/>
        <w:rPr>
          <w:noProof/>
        </w:rPr>
      </w:pPr>
      <w:r w:rsidRPr="004A3288">
        <w:rPr>
          <w:noProof/>
        </w:rPr>
        <w:t>10.</w:t>
      </w:r>
      <w:r w:rsidRPr="004A3288">
        <w:rPr>
          <w:noProof/>
        </w:rPr>
        <w:tab/>
        <w:t xml:space="preserve">J. L. Atkins, M. B. Patel, M. M. Daschbach, J. W. Meisel and G. W. Gokel, </w:t>
      </w:r>
      <w:r w:rsidRPr="004A3288">
        <w:rPr>
          <w:i/>
          <w:iCs/>
          <w:noProof/>
        </w:rPr>
        <w:t>J. Am. Chem. Soc.</w:t>
      </w:r>
      <w:r w:rsidRPr="004A3288">
        <w:rPr>
          <w:noProof/>
        </w:rPr>
        <w:t xml:space="preserve">, 2012, </w:t>
      </w:r>
      <w:r w:rsidRPr="004A3288">
        <w:rPr>
          <w:b/>
          <w:bCs/>
          <w:noProof/>
        </w:rPr>
        <w:t>134</w:t>
      </w:r>
      <w:r w:rsidRPr="004A3288">
        <w:rPr>
          <w:noProof/>
        </w:rPr>
        <w:t>, 13546–</w:t>
      </w:r>
      <w:r w:rsidR="0061660C">
        <w:rPr>
          <w:noProof/>
        </w:rPr>
        <w:t>1354</w:t>
      </w:r>
      <w:r w:rsidRPr="004A3288">
        <w:rPr>
          <w:noProof/>
        </w:rPr>
        <w:t>9.</w:t>
      </w:r>
    </w:p>
    <w:p w14:paraId="67F143B6" w14:textId="0BFA4A58" w:rsidR="004A3288" w:rsidRPr="004A3288" w:rsidRDefault="004A3288" w:rsidP="004A3288">
      <w:pPr>
        <w:pStyle w:val="N3References"/>
        <w:divId w:val="1895696862"/>
        <w:rPr>
          <w:noProof/>
        </w:rPr>
      </w:pPr>
      <w:r w:rsidRPr="004A3288">
        <w:rPr>
          <w:noProof/>
        </w:rPr>
        <w:t>11.</w:t>
      </w:r>
      <w:r w:rsidRPr="004A3288">
        <w:rPr>
          <w:noProof/>
        </w:rPr>
        <w:tab/>
        <w:t xml:space="preserve">X. Li, B. Shen, X.-Q. Yao and D. Yang, </w:t>
      </w:r>
      <w:r w:rsidRPr="004A3288">
        <w:rPr>
          <w:i/>
          <w:iCs/>
          <w:noProof/>
        </w:rPr>
        <w:t>J. Am. Chem. Soc.</w:t>
      </w:r>
      <w:r w:rsidRPr="004A3288">
        <w:rPr>
          <w:noProof/>
        </w:rPr>
        <w:t xml:space="preserve">, 2007, </w:t>
      </w:r>
      <w:r w:rsidRPr="004A3288">
        <w:rPr>
          <w:b/>
          <w:bCs/>
          <w:noProof/>
        </w:rPr>
        <w:t>129</w:t>
      </w:r>
      <w:r w:rsidRPr="004A3288">
        <w:rPr>
          <w:noProof/>
        </w:rPr>
        <w:t>, 7264–</w:t>
      </w:r>
      <w:r w:rsidR="0061660C">
        <w:rPr>
          <w:noProof/>
        </w:rPr>
        <w:t>726</w:t>
      </w:r>
      <w:r w:rsidRPr="004A3288">
        <w:rPr>
          <w:noProof/>
        </w:rPr>
        <w:t>5.</w:t>
      </w:r>
    </w:p>
    <w:p w14:paraId="2DBF97E3" w14:textId="77777777" w:rsidR="004A3288" w:rsidRPr="004A3288" w:rsidRDefault="004A3288" w:rsidP="004A3288">
      <w:pPr>
        <w:pStyle w:val="N3References"/>
        <w:divId w:val="1895696862"/>
        <w:rPr>
          <w:noProof/>
        </w:rPr>
      </w:pPr>
      <w:r w:rsidRPr="004A3288">
        <w:rPr>
          <w:noProof/>
        </w:rPr>
        <w:t>12.</w:t>
      </w:r>
      <w:r w:rsidRPr="004A3288">
        <w:rPr>
          <w:noProof/>
        </w:rPr>
        <w:tab/>
        <w:t xml:space="preserve">B. Shen, X. Li, F. Wang, X. Yao and D. Yang, </w:t>
      </w:r>
      <w:r w:rsidRPr="004A3288">
        <w:rPr>
          <w:i/>
          <w:iCs/>
          <w:noProof/>
        </w:rPr>
        <w:t>PLoS One</w:t>
      </w:r>
      <w:r w:rsidRPr="004A3288">
        <w:rPr>
          <w:noProof/>
        </w:rPr>
        <w:t xml:space="preserve">, 2012, </w:t>
      </w:r>
      <w:r w:rsidRPr="004A3288">
        <w:rPr>
          <w:b/>
          <w:bCs/>
          <w:noProof/>
        </w:rPr>
        <w:t>7</w:t>
      </w:r>
      <w:r w:rsidRPr="004A3288">
        <w:rPr>
          <w:noProof/>
        </w:rPr>
        <w:t>, e34694.</w:t>
      </w:r>
    </w:p>
    <w:p w14:paraId="2A32BDE0" w14:textId="54DD5F04" w:rsidR="004A3288" w:rsidRPr="004A3288" w:rsidRDefault="004A3288" w:rsidP="004A3288">
      <w:pPr>
        <w:pStyle w:val="N3References"/>
        <w:divId w:val="1895696862"/>
        <w:rPr>
          <w:noProof/>
        </w:rPr>
      </w:pPr>
      <w:r w:rsidRPr="004A3288">
        <w:rPr>
          <w:noProof/>
        </w:rPr>
        <w:t>13.</w:t>
      </w:r>
      <w:r w:rsidRPr="004A3288">
        <w:rPr>
          <w:noProof/>
        </w:rPr>
        <w:tab/>
        <w:t xml:space="preserve">C. R. Yamnitz, S. Negin, I. A. Carasel, R. K. Winter and G. W. Gokel, </w:t>
      </w:r>
      <w:r w:rsidR="0061660C">
        <w:rPr>
          <w:i/>
          <w:iCs/>
          <w:noProof/>
        </w:rPr>
        <w:t>Chem. Commun</w:t>
      </w:r>
      <w:r w:rsidRPr="004A3288">
        <w:rPr>
          <w:i/>
          <w:iCs/>
          <w:noProof/>
        </w:rPr>
        <w:t>.</w:t>
      </w:r>
      <w:r w:rsidRPr="004A3288">
        <w:rPr>
          <w:noProof/>
        </w:rPr>
        <w:t xml:space="preserve">, 2010, </w:t>
      </w:r>
      <w:r w:rsidRPr="004A3288">
        <w:rPr>
          <w:b/>
          <w:bCs/>
          <w:noProof/>
        </w:rPr>
        <w:t>46</w:t>
      </w:r>
      <w:r w:rsidRPr="004A3288">
        <w:rPr>
          <w:noProof/>
        </w:rPr>
        <w:t>, 2838–</w:t>
      </w:r>
      <w:r w:rsidR="00287139">
        <w:rPr>
          <w:noProof/>
        </w:rPr>
        <w:t>28</w:t>
      </w:r>
      <w:r w:rsidRPr="004A3288">
        <w:rPr>
          <w:noProof/>
        </w:rPr>
        <w:t>40.</w:t>
      </w:r>
    </w:p>
    <w:p w14:paraId="77AB0F1E" w14:textId="4B92EECD" w:rsidR="004A3288" w:rsidRDefault="004A3288" w:rsidP="004A3288">
      <w:pPr>
        <w:pStyle w:val="N3References"/>
        <w:divId w:val="1895696862"/>
        <w:rPr>
          <w:noProof/>
        </w:rPr>
      </w:pPr>
      <w:r w:rsidRPr="004A3288">
        <w:rPr>
          <w:noProof/>
        </w:rPr>
        <w:t>14.</w:t>
      </w:r>
      <w:r w:rsidRPr="004A3288">
        <w:rPr>
          <w:noProof/>
        </w:rPr>
        <w:tab/>
        <w:t xml:space="preserve">A. P. Davis, D. N. Sheppard and B. D. Smith, </w:t>
      </w:r>
      <w:r w:rsidRPr="004A3288">
        <w:rPr>
          <w:i/>
          <w:iCs/>
          <w:noProof/>
        </w:rPr>
        <w:t>Chem. Soc. Rev.</w:t>
      </w:r>
      <w:r w:rsidRPr="004A3288">
        <w:rPr>
          <w:noProof/>
        </w:rPr>
        <w:t xml:space="preserve">, 2007, </w:t>
      </w:r>
      <w:r w:rsidRPr="004A3288">
        <w:rPr>
          <w:b/>
          <w:bCs/>
          <w:noProof/>
        </w:rPr>
        <w:t>36</w:t>
      </w:r>
      <w:r w:rsidRPr="004A3288">
        <w:rPr>
          <w:noProof/>
        </w:rPr>
        <w:t>, 348–</w:t>
      </w:r>
      <w:r w:rsidR="00287139">
        <w:rPr>
          <w:noProof/>
        </w:rPr>
        <w:t>3</w:t>
      </w:r>
      <w:r w:rsidRPr="004A3288">
        <w:rPr>
          <w:noProof/>
        </w:rPr>
        <w:t>57.</w:t>
      </w:r>
    </w:p>
    <w:p w14:paraId="500BD79E" w14:textId="68068B62" w:rsidR="00EA0E65" w:rsidRPr="00EA0E65" w:rsidRDefault="00EA0E65" w:rsidP="004A3288">
      <w:pPr>
        <w:pStyle w:val="N3References"/>
        <w:divId w:val="1895696862"/>
        <w:rPr>
          <w:noProof/>
        </w:rPr>
      </w:pPr>
      <w:r>
        <w:rPr>
          <w:noProof/>
        </w:rPr>
        <w:t xml:space="preserve">15.  S. Bhosale, A. Sisson, N. Sakai and S. Matile, </w:t>
      </w:r>
      <w:r>
        <w:rPr>
          <w:i/>
          <w:noProof/>
        </w:rPr>
        <w:t>Org. Biomol. Chem.</w:t>
      </w:r>
      <w:r>
        <w:rPr>
          <w:noProof/>
        </w:rPr>
        <w:t xml:space="preserve">, 2006, </w:t>
      </w:r>
      <w:r>
        <w:rPr>
          <w:b/>
          <w:noProof/>
        </w:rPr>
        <w:t>4</w:t>
      </w:r>
      <w:r>
        <w:rPr>
          <w:noProof/>
        </w:rPr>
        <w:t>, 3031-3039.</w:t>
      </w:r>
    </w:p>
    <w:p w14:paraId="786FDC72" w14:textId="59CE4CA0" w:rsidR="004A3288" w:rsidRPr="004A3288" w:rsidRDefault="001D42EB" w:rsidP="004A3288">
      <w:pPr>
        <w:pStyle w:val="N3References"/>
        <w:divId w:val="1895696862"/>
        <w:rPr>
          <w:noProof/>
        </w:rPr>
      </w:pPr>
      <w:r>
        <w:rPr>
          <w:noProof/>
        </w:rPr>
        <w:t>16</w:t>
      </w:r>
      <w:r w:rsidR="004A3288" w:rsidRPr="004A3288">
        <w:rPr>
          <w:noProof/>
        </w:rPr>
        <w:t>.</w:t>
      </w:r>
      <w:r w:rsidR="004A3288" w:rsidRPr="004A3288">
        <w:rPr>
          <w:noProof/>
        </w:rPr>
        <w:tab/>
        <w:t xml:space="preserve">S. Bhosale and S. Matile, </w:t>
      </w:r>
      <w:r w:rsidR="004A3288" w:rsidRPr="004A3288">
        <w:rPr>
          <w:i/>
          <w:iCs/>
          <w:noProof/>
        </w:rPr>
        <w:t>Chirality</w:t>
      </w:r>
      <w:r w:rsidR="004A3288" w:rsidRPr="004A3288">
        <w:rPr>
          <w:noProof/>
        </w:rPr>
        <w:t xml:space="preserve">, 2006, </w:t>
      </w:r>
      <w:r w:rsidR="004A3288" w:rsidRPr="004A3288">
        <w:rPr>
          <w:b/>
          <w:bCs/>
          <w:noProof/>
        </w:rPr>
        <w:t>18</w:t>
      </w:r>
      <w:r w:rsidR="004A3288" w:rsidRPr="004A3288">
        <w:rPr>
          <w:noProof/>
        </w:rPr>
        <w:t>, 849–856.</w:t>
      </w:r>
    </w:p>
    <w:p w14:paraId="7668E6A4" w14:textId="77E27B65" w:rsidR="004A3288" w:rsidRPr="004A3288" w:rsidRDefault="001D42EB" w:rsidP="004A3288">
      <w:pPr>
        <w:pStyle w:val="N3References"/>
        <w:divId w:val="1895696862"/>
        <w:rPr>
          <w:noProof/>
        </w:rPr>
      </w:pPr>
      <w:r>
        <w:rPr>
          <w:noProof/>
        </w:rPr>
        <w:t>17</w:t>
      </w:r>
      <w:r w:rsidR="004A3288" w:rsidRPr="004A3288">
        <w:rPr>
          <w:noProof/>
        </w:rPr>
        <w:t>.</w:t>
      </w:r>
      <w:r w:rsidR="004A3288" w:rsidRPr="004A3288">
        <w:rPr>
          <w:noProof/>
        </w:rPr>
        <w:tab/>
        <w:t>S.</w:t>
      </w:r>
      <w:r w:rsidR="0073501D">
        <w:rPr>
          <w:noProof/>
        </w:rPr>
        <w:t>J.</w:t>
      </w:r>
      <w:r w:rsidR="004A3288" w:rsidRPr="004A3288">
        <w:rPr>
          <w:noProof/>
        </w:rPr>
        <w:t xml:space="preserve"> Brooks, C. Caltagirone, A. Cossins, P.</w:t>
      </w:r>
      <w:r w:rsidR="0073501D">
        <w:rPr>
          <w:noProof/>
        </w:rPr>
        <w:t>A.</w:t>
      </w:r>
      <w:r w:rsidR="004A3288" w:rsidRPr="004A3288">
        <w:rPr>
          <w:noProof/>
        </w:rPr>
        <w:t xml:space="preserve"> Gale and M.</w:t>
      </w:r>
      <w:r w:rsidR="0073501D">
        <w:rPr>
          <w:noProof/>
        </w:rPr>
        <w:t>E.</w:t>
      </w:r>
      <w:r w:rsidR="004A3288" w:rsidRPr="004A3288">
        <w:rPr>
          <w:noProof/>
        </w:rPr>
        <w:t xml:space="preserve"> Light, </w:t>
      </w:r>
      <w:r w:rsidR="004A3288" w:rsidRPr="004A3288">
        <w:rPr>
          <w:i/>
          <w:iCs/>
          <w:noProof/>
        </w:rPr>
        <w:t>Supramol. Chem.</w:t>
      </w:r>
      <w:r w:rsidR="004A3288" w:rsidRPr="004A3288">
        <w:rPr>
          <w:noProof/>
        </w:rPr>
        <w:t xml:space="preserve">, 2008, </w:t>
      </w:r>
      <w:r w:rsidR="004A3288" w:rsidRPr="004A3288">
        <w:rPr>
          <w:b/>
          <w:bCs/>
          <w:noProof/>
        </w:rPr>
        <w:t>20</w:t>
      </w:r>
      <w:r w:rsidR="004A3288" w:rsidRPr="004A3288">
        <w:rPr>
          <w:noProof/>
        </w:rPr>
        <w:t>, 349–355.</w:t>
      </w:r>
    </w:p>
    <w:p w14:paraId="31650AB4" w14:textId="39D06A10" w:rsidR="004A3288" w:rsidRPr="004A3288" w:rsidRDefault="001D42EB" w:rsidP="004A3288">
      <w:pPr>
        <w:pStyle w:val="N3References"/>
        <w:divId w:val="1895696862"/>
        <w:rPr>
          <w:noProof/>
        </w:rPr>
      </w:pPr>
      <w:r>
        <w:rPr>
          <w:noProof/>
        </w:rPr>
        <w:t>18</w:t>
      </w:r>
      <w:r w:rsidR="004A3288" w:rsidRPr="004A3288">
        <w:rPr>
          <w:noProof/>
        </w:rPr>
        <w:t>.</w:t>
      </w:r>
      <w:r w:rsidR="004A3288" w:rsidRPr="004A3288">
        <w:rPr>
          <w:noProof/>
        </w:rPr>
        <w:tab/>
        <w:t xml:space="preserve">J. P. Larocca and M. A. Y. Sharkawi, </w:t>
      </w:r>
      <w:r w:rsidR="004A3288" w:rsidRPr="004A3288">
        <w:rPr>
          <w:i/>
          <w:iCs/>
          <w:noProof/>
        </w:rPr>
        <w:t>J. Pharm. Sci.</w:t>
      </w:r>
      <w:r w:rsidR="004A3288" w:rsidRPr="004A3288">
        <w:rPr>
          <w:noProof/>
        </w:rPr>
        <w:t xml:space="preserve">, 1967, </w:t>
      </w:r>
      <w:r w:rsidR="004A3288" w:rsidRPr="004A3288">
        <w:rPr>
          <w:b/>
          <w:bCs/>
          <w:noProof/>
        </w:rPr>
        <w:t>56</w:t>
      </w:r>
      <w:r w:rsidR="004A3288" w:rsidRPr="004A3288">
        <w:rPr>
          <w:noProof/>
        </w:rPr>
        <w:t>, 916–918.</w:t>
      </w:r>
    </w:p>
    <w:p w14:paraId="0C586F3D" w14:textId="0B2E5E02" w:rsidR="004A3288" w:rsidRPr="004A3288" w:rsidRDefault="001D42EB" w:rsidP="004A3288">
      <w:pPr>
        <w:pStyle w:val="N3References"/>
        <w:divId w:val="1895696862"/>
        <w:rPr>
          <w:noProof/>
        </w:rPr>
      </w:pPr>
      <w:r>
        <w:rPr>
          <w:noProof/>
        </w:rPr>
        <w:t>19</w:t>
      </w:r>
      <w:r w:rsidR="004A3288" w:rsidRPr="004A3288">
        <w:rPr>
          <w:noProof/>
        </w:rPr>
        <w:t>.</w:t>
      </w:r>
      <w:r w:rsidR="004A3288" w:rsidRPr="004A3288">
        <w:rPr>
          <w:noProof/>
        </w:rPr>
        <w:tab/>
        <w:t xml:space="preserve">M. P. Hughes and B. D. Smith, </w:t>
      </w:r>
      <w:r w:rsidR="004A3288" w:rsidRPr="004A3288">
        <w:rPr>
          <w:i/>
          <w:iCs/>
          <w:noProof/>
        </w:rPr>
        <w:t>J. Org. Chem.</w:t>
      </w:r>
      <w:r w:rsidR="004A3288" w:rsidRPr="004A3288">
        <w:rPr>
          <w:noProof/>
        </w:rPr>
        <w:t xml:space="preserve">, 1997, </w:t>
      </w:r>
      <w:r w:rsidR="004A3288" w:rsidRPr="004A3288">
        <w:rPr>
          <w:b/>
          <w:bCs/>
          <w:noProof/>
        </w:rPr>
        <w:t>62</w:t>
      </w:r>
      <w:r w:rsidR="004A3288" w:rsidRPr="004A3288">
        <w:rPr>
          <w:noProof/>
        </w:rPr>
        <w:t>, 4492–4499.</w:t>
      </w:r>
    </w:p>
    <w:p w14:paraId="37B03474" w14:textId="02AC7E48" w:rsidR="004A3288" w:rsidRPr="004A3288" w:rsidRDefault="001D42EB" w:rsidP="004A3288">
      <w:pPr>
        <w:pStyle w:val="N3References"/>
        <w:divId w:val="1895696862"/>
        <w:rPr>
          <w:noProof/>
        </w:rPr>
      </w:pPr>
      <w:r>
        <w:rPr>
          <w:noProof/>
        </w:rPr>
        <w:t>20</w:t>
      </w:r>
      <w:r w:rsidR="004A3288" w:rsidRPr="004A3288">
        <w:rPr>
          <w:noProof/>
        </w:rPr>
        <w:t>.</w:t>
      </w:r>
      <w:r w:rsidR="004A3288" w:rsidRPr="004A3288">
        <w:rPr>
          <w:noProof/>
        </w:rPr>
        <w:tab/>
        <w:t xml:space="preserve">R. Santi, F. Bergamini, A. Citterio, R. Sebastiano and M. Nicolini, </w:t>
      </w:r>
      <w:r w:rsidR="004A3288" w:rsidRPr="004A3288">
        <w:rPr>
          <w:i/>
          <w:iCs/>
          <w:noProof/>
        </w:rPr>
        <w:t>J. Org. Chem.</w:t>
      </w:r>
      <w:r w:rsidR="004A3288" w:rsidRPr="004A3288">
        <w:rPr>
          <w:noProof/>
        </w:rPr>
        <w:t xml:space="preserve">, 1992, </w:t>
      </w:r>
      <w:r w:rsidR="004A3288" w:rsidRPr="004A3288">
        <w:rPr>
          <w:b/>
          <w:bCs/>
          <w:noProof/>
        </w:rPr>
        <w:t>57</w:t>
      </w:r>
      <w:r w:rsidR="004A3288" w:rsidRPr="004A3288">
        <w:rPr>
          <w:noProof/>
        </w:rPr>
        <w:t>, 4250–4255.</w:t>
      </w:r>
    </w:p>
    <w:p w14:paraId="7DD90FF1" w14:textId="62715DE1" w:rsidR="004A3288" w:rsidRPr="004A3288" w:rsidRDefault="001D42EB" w:rsidP="004A3288">
      <w:pPr>
        <w:pStyle w:val="N3References"/>
        <w:divId w:val="1895696862"/>
        <w:rPr>
          <w:noProof/>
        </w:rPr>
      </w:pPr>
      <w:r>
        <w:rPr>
          <w:noProof/>
        </w:rPr>
        <w:t>21</w:t>
      </w:r>
      <w:r w:rsidR="004A3288" w:rsidRPr="004A3288">
        <w:rPr>
          <w:noProof/>
        </w:rPr>
        <w:t>.</w:t>
      </w:r>
      <w:r w:rsidR="004A3288" w:rsidRPr="004A3288">
        <w:rPr>
          <w:noProof/>
        </w:rPr>
        <w:tab/>
        <w:t xml:space="preserve">Y. J. Im, K. Y. Lee, T. H. Kim and J. N. Kim, </w:t>
      </w:r>
      <w:r w:rsidR="004A3288" w:rsidRPr="004A3288">
        <w:rPr>
          <w:i/>
          <w:iCs/>
          <w:noProof/>
        </w:rPr>
        <w:t>Tetrahedron Lett.</w:t>
      </w:r>
      <w:r w:rsidR="004A3288" w:rsidRPr="004A3288">
        <w:rPr>
          <w:noProof/>
        </w:rPr>
        <w:t xml:space="preserve">, 2002, </w:t>
      </w:r>
      <w:r w:rsidR="004A3288" w:rsidRPr="004A3288">
        <w:rPr>
          <w:b/>
          <w:bCs/>
          <w:noProof/>
        </w:rPr>
        <w:t>43</w:t>
      </w:r>
      <w:r w:rsidR="004A3288" w:rsidRPr="004A3288">
        <w:rPr>
          <w:noProof/>
        </w:rPr>
        <w:t>, 4675–4678.</w:t>
      </w:r>
    </w:p>
    <w:p w14:paraId="0B458D89" w14:textId="472FCF8E" w:rsidR="004A3288" w:rsidRPr="004A3288" w:rsidRDefault="001D42EB" w:rsidP="004A3288">
      <w:pPr>
        <w:pStyle w:val="N3References"/>
        <w:divId w:val="1895696862"/>
        <w:rPr>
          <w:noProof/>
        </w:rPr>
      </w:pPr>
      <w:r>
        <w:rPr>
          <w:noProof/>
        </w:rPr>
        <w:t>22</w:t>
      </w:r>
      <w:r w:rsidR="004A3288" w:rsidRPr="004A3288">
        <w:rPr>
          <w:noProof/>
        </w:rPr>
        <w:t>.</w:t>
      </w:r>
      <w:r w:rsidR="004A3288" w:rsidRPr="004A3288">
        <w:rPr>
          <w:noProof/>
        </w:rPr>
        <w:tab/>
        <w:t xml:space="preserve">M. J. Hynes, </w:t>
      </w:r>
      <w:r w:rsidR="0073501D">
        <w:rPr>
          <w:i/>
          <w:iCs/>
          <w:noProof/>
        </w:rPr>
        <w:t>J. Chem. Soc. Dalton</w:t>
      </w:r>
      <w:r w:rsidR="004A3288" w:rsidRPr="004A3288">
        <w:rPr>
          <w:i/>
          <w:iCs/>
          <w:noProof/>
        </w:rPr>
        <w:t xml:space="preserve"> Trans.</w:t>
      </w:r>
      <w:r w:rsidR="004A3288" w:rsidRPr="004A3288">
        <w:rPr>
          <w:noProof/>
        </w:rPr>
        <w:t>, 1993, 311</w:t>
      </w:r>
      <w:r w:rsidR="00287139">
        <w:rPr>
          <w:noProof/>
        </w:rPr>
        <w:t>-312</w:t>
      </w:r>
      <w:r w:rsidR="004A3288" w:rsidRPr="004A3288">
        <w:rPr>
          <w:noProof/>
        </w:rPr>
        <w:t>.</w:t>
      </w:r>
    </w:p>
    <w:p w14:paraId="0653735A" w14:textId="27DFB59E" w:rsidR="004A3288" w:rsidRPr="004A3288" w:rsidRDefault="001D42EB" w:rsidP="004A3288">
      <w:pPr>
        <w:pStyle w:val="N3References"/>
        <w:divId w:val="1895696862"/>
        <w:rPr>
          <w:noProof/>
        </w:rPr>
      </w:pPr>
      <w:r>
        <w:rPr>
          <w:noProof/>
        </w:rPr>
        <w:t>23</w:t>
      </w:r>
      <w:r w:rsidR="004A3288" w:rsidRPr="004A3288">
        <w:rPr>
          <w:noProof/>
        </w:rPr>
        <w:t>.</w:t>
      </w:r>
      <w:r w:rsidR="004A3288" w:rsidRPr="004A3288">
        <w:rPr>
          <w:noProof/>
        </w:rPr>
        <w:tab/>
        <w:t xml:space="preserve">K. Kavallieratos, C. M. Bertao and R. H. Crabtree, </w:t>
      </w:r>
      <w:r w:rsidR="004A3288" w:rsidRPr="004A3288">
        <w:rPr>
          <w:i/>
          <w:iCs/>
          <w:noProof/>
        </w:rPr>
        <w:t>J. Org. Chem.</w:t>
      </w:r>
      <w:r w:rsidR="004A3288" w:rsidRPr="004A3288">
        <w:rPr>
          <w:noProof/>
        </w:rPr>
        <w:t xml:space="preserve">, 1999, </w:t>
      </w:r>
      <w:r w:rsidR="004A3288" w:rsidRPr="004A3288">
        <w:rPr>
          <w:b/>
          <w:bCs/>
          <w:noProof/>
        </w:rPr>
        <w:t>64</w:t>
      </w:r>
      <w:r w:rsidR="004A3288" w:rsidRPr="004A3288">
        <w:rPr>
          <w:noProof/>
        </w:rPr>
        <w:t>, 1675–1683.</w:t>
      </w:r>
    </w:p>
    <w:p w14:paraId="4A7CE81C" w14:textId="6343F982" w:rsidR="004A3288" w:rsidRPr="004A3288" w:rsidRDefault="001D42EB" w:rsidP="004A3288">
      <w:pPr>
        <w:pStyle w:val="N3References"/>
        <w:divId w:val="1895696862"/>
        <w:rPr>
          <w:noProof/>
        </w:rPr>
      </w:pPr>
      <w:r>
        <w:rPr>
          <w:noProof/>
        </w:rPr>
        <w:t>24</w:t>
      </w:r>
      <w:r w:rsidR="004A3288" w:rsidRPr="004A3288">
        <w:rPr>
          <w:noProof/>
        </w:rPr>
        <w:t>.</w:t>
      </w:r>
      <w:r w:rsidR="004A3288" w:rsidRPr="004A3288">
        <w:rPr>
          <w:noProof/>
        </w:rPr>
        <w:tab/>
        <w:t xml:space="preserve">I. V Tetko, J. Gasteiger, R. Todeschini, A. Mauri, D. Livingstone, P. Ertl, V. </w:t>
      </w:r>
      <w:r w:rsidR="0073501D">
        <w:rPr>
          <w:noProof/>
        </w:rPr>
        <w:t>A.</w:t>
      </w:r>
      <w:r w:rsidR="004A3288" w:rsidRPr="004A3288">
        <w:rPr>
          <w:noProof/>
        </w:rPr>
        <w:t xml:space="preserve"> Palyulin, E. V Radchenko, N. S. Zefirov, A. S. Makarenko, V. Y. Tanchuk and V. V Prokopenko, </w:t>
      </w:r>
      <w:r w:rsidR="004A3288" w:rsidRPr="004A3288">
        <w:rPr>
          <w:i/>
          <w:iCs/>
          <w:noProof/>
        </w:rPr>
        <w:t>J. Comput. Aided. Mol. Des.</w:t>
      </w:r>
      <w:r w:rsidR="004A3288" w:rsidRPr="004A3288">
        <w:rPr>
          <w:noProof/>
        </w:rPr>
        <w:t xml:space="preserve">, 2005, </w:t>
      </w:r>
      <w:r w:rsidR="004A3288" w:rsidRPr="004A3288">
        <w:rPr>
          <w:b/>
          <w:bCs/>
          <w:noProof/>
        </w:rPr>
        <w:t>19</w:t>
      </w:r>
      <w:r w:rsidR="004A3288" w:rsidRPr="004A3288">
        <w:rPr>
          <w:noProof/>
        </w:rPr>
        <w:t>, 453–</w:t>
      </w:r>
      <w:r w:rsidR="00287139">
        <w:rPr>
          <w:noProof/>
        </w:rPr>
        <w:t>4</w:t>
      </w:r>
      <w:r w:rsidR="004A3288" w:rsidRPr="004A3288">
        <w:rPr>
          <w:noProof/>
        </w:rPr>
        <w:t>63.</w:t>
      </w:r>
    </w:p>
    <w:p w14:paraId="34E15EA7" w14:textId="287D4167" w:rsidR="004A3288" w:rsidRPr="004A3288" w:rsidRDefault="001D42EB" w:rsidP="004A3288">
      <w:pPr>
        <w:pStyle w:val="N3References"/>
        <w:divId w:val="1895696862"/>
        <w:rPr>
          <w:noProof/>
        </w:rPr>
      </w:pPr>
      <w:r>
        <w:rPr>
          <w:noProof/>
        </w:rPr>
        <w:t>25</w:t>
      </w:r>
      <w:r w:rsidR="004A3288" w:rsidRPr="004A3288">
        <w:rPr>
          <w:noProof/>
        </w:rPr>
        <w:t>.</w:t>
      </w:r>
      <w:r w:rsidR="004A3288" w:rsidRPr="004A3288">
        <w:rPr>
          <w:noProof/>
        </w:rPr>
        <w:tab/>
        <w:t xml:space="preserve">H. Valkenier, C. J. E. Haynes, J. Herniman, P. A. Gale and A. P. Davis, </w:t>
      </w:r>
      <w:r w:rsidR="004A3288" w:rsidRPr="004A3288">
        <w:rPr>
          <w:i/>
          <w:iCs/>
          <w:noProof/>
        </w:rPr>
        <w:t>Chem. Sci.</w:t>
      </w:r>
      <w:r w:rsidR="004A3288" w:rsidRPr="004A3288">
        <w:rPr>
          <w:noProof/>
        </w:rPr>
        <w:t xml:space="preserve">, 2014, </w:t>
      </w:r>
      <w:r w:rsidR="004A3288" w:rsidRPr="004A3288">
        <w:rPr>
          <w:b/>
          <w:bCs/>
          <w:noProof/>
        </w:rPr>
        <w:t>5</w:t>
      </w:r>
      <w:r w:rsidR="004A3288" w:rsidRPr="004A3288">
        <w:rPr>
          <w:noProof/>
        </w:rPr>
        <w:t>, 1128</w:t>
      </w:r>
      <w:r w:rsidR="00287139">
        <w:rPr>
          <w:noProof/>
        </w:rPr>
        <w:t>-1134</w:t>
      </w:r>
      <w:r w:rsidR="004A3288" w:rsidRPr="004A3288">
        <w:rPr>
          <w:noProof/>
        </w:rPr>
        <w:t>.</w:t>
      </w:r>
    </w:p>
    <w:p w14:paraId="44F8F666" w14:textId="6560B37F" w:rsidR="004A3288" w:rsidRPr="004A3288" w:rsidRDefault="001D42EB" w:rsidP="004A3288">
      <w:pPr>
        <w:pStyle w:val="N3References"/>
        <w:divId w:val="1895696862"/>
        <w:rPr>
          <w:noProof/>
        </w:rPr>
      </w:pPr>
      <w:r>
        <w:rPr>
          <w:noProof/>
        </w:rPr>
        <w:t>26</w:t>
      </w:r>
      <w:r w:rsidR="004A3288" w:rsidRPr="004A3288">
        <w:rPr>
          <w:noProof/>
        </w:rPr>
        <w:t>.</w:t>
      </w:r>
      <w:r w:rsidR="004A3288" w:rsidRPr="004A3288">
        <w:rPr>
          <w:noProof/>
        </w:rPr>
        <w:tab/>
        <w:t xml:space="preserve">V. Saggiomo, S. Otto, I. Marques, V. Félix, T. Torroba and R. Quesada, </w:t>
      </w:r>
      <w:r w:rsidR="0073501D">
        <w:rPr>
          <w:i/>
          <w:iCs/>
          <w:noProof/>
        </w:rPr>
        <w:t>Chem. Commun.</w:t>
      </w:r>
      <w:r w:rsidR="004A3288" w:rsidRPr="004A3288">
        <w:rPr>
          <w:noProof/>
        </w:rPr>
        <w:t xml:space="preserve">, 2012, </w:t>
      </w:r>
      <w:r w:rsidR="004A3288" w:rsidRPr="004A3288">
        <w:rPr>
          <w:b/>
          <w:bCs/>
          <w:noProof/>
        </w:rPr>
        <w:t>48</w:t>
      </w:r>
      <w:r w:rsidR="004A3288" w:rsidRPr="004A3288">
        <w:rPr>
          <w:noProof/>
        </w:rPr>
        <w:t>, 5274–</w:t>
      </w:r>
      <w:r w:rsidR="00287139">
        <w:rPr>
          <w:noProof/>
        </w:rPr>
        <w:t>527</w:t>
      </w:r>
      <w:r w:rsidR="004A3288" w:rsidRPr="004A3288">
        <w:rPr>
          <w:noProof/>
        </w:rPr>
        <w:t>6.</w:t>
      </w:r>
    </w:p>
    <w:p w14:paraId="1E1176B5" w14:textId="3F795FDE" w:rsidR="004A3288" w:rsidRPr="004A3288" w:rsidRDefault="001D42EB" w:rsidP="004A3288">
      <w:pPr>
        <w:pStyle w:val="N3References"/>
        <w:divId w:val="1895696862"/>
        <w:rPr>
          <w:noProof/>
        </w:rPr>
      </w:pPr>
      <w:r>
        <w:rPr>
          <w:noProof/>
        </w:rPr>
        <w:t>27</w:t>
      </w:r>
      <w:r w:rsidR="004A3288" w:rsidRPr="004A3288">
        <w:rPr>
          <w:noProof/>
        </w:rPr>
        <w:t>.</w:t>
      </w:r>
      <w:r w:rsidR="004A3288" w:rsidRPr="004A3288">
        <w:rPr>
          <w:noProof/>
        </w:rPr>
        <w:tab/>
        <w:t xml:space="preserve">A. V. Hill, </w:t>
      </w:r>
      <w:r w:rsidR="004A3288" w:rsidRPr="004A3288">
        <w:rPr>
          <w:i/>
          <w:iCs/>
          <w:noProof/>
        </w:rPr>
        <w:t>Biochem. J.</w:t>
      </w:r>
      <w:r w:rsidR="004A3288" w:rsidRPr="004A3288">
        <w:rPr>
          <w:noProof/>
        </w:rPr>
        <w:t>, 1913, 7, 471</w:t>
      </w:r>
      <w:r w:rsidR="00287139">
        <w:rPr>
          <w:noProof/>
        </w:rPr>
        <w:t>-480</w:t>
      </w:r>
      <w:r w:rsidR="004A3288" w:rsidRPr="004A3288">
        <w:rPr>
          <w:noProof/>
        </w:rPr>
        <w:t>.</w:t>
      </w:r>
    </w:p>
    <w:p w14:paraId="1F03B474" w14:textId="2372E4BA" w:rsidR="004A3288" w:rsidRPr="004A3288" w:rsidRDefault="001D42EB" w:rsidP="004A3288">
      <w:pPr>
        <w:pStyle w:val="N3References"/>
        <w:divId w:val="1895696862"/>
        <w:rPr>
          <w:noProof/>
        </w:rPr>
      </w:pPr>
      <w:r>
        <w:rPr>
          <w:noProof/>
        </w:rPr>
        <w:t>28</w:t>
      </w:r>
      <w:r w:rsidR="004A3288" w:rsidRPr="004A3288">
        <w:rPr>
          <w:noProof/>
        </w:rPr>
        <w:t>.</w:t>
      </w:r>
      <w:r w:rsidR="004A3288" w:rsidRPr="004A3288">
        <w:rPr>
          <w:noProof/>
        </w:rPr>
        <w:tab/>
        <w:t xml:space="preserve">J. T. Davis, P. A. Gale, O. A. Okunola, P. Prados, J. C. Iglesias-Sánchez, T. Torroba and R. Quesada, </w:t>
      </w:r>
      <w:r w:rsidR="004A3288" w:rsidRPr="004A3288">
        <w:rPr>
          <w:i/>
          <w:iCs/>
          <w:noProof/>
        </w:rPr>
        <w:t>Nat. Chem.</w:t>
      </w:r>
      <w:r w:rsidR="004A3288" w:rsidRPr="004A3288">
        <w:rPr>
          <w:noProof/>
        </w:rPr>
        <w:t xml:space="preserve">, 2009, </w:t>
      </w:r>
      <w:r w:rsidR="004A3288" w:rsidRPr="004A3288">
        <w:rPr>
          <w:b/>
          <w:bCs/>
          <w:noProof/>
        </w:rPr>
        <w:t>1</w:t>
      </w:r>
      <w:r w:rsidR="004A3288" w:rsidRPr="004A3288">
        <w:rPr>
          <w:noProof/>
        </w:rPr>
        <w:t>, 138–</w:t>
      </w:r>
      <w:r w:rsidR="00287139">
        <w:rPr>
          <w:noProof/>
        </w:rPr>
        <w:t>1</w:t>
      </w:r>
      <w:r w:rsidR="004A3288" w:rsidRPr="004A3288">
        <w:rPr>
          <w:noProof/>
        </w:rPr>
        <w:t>44.</w:t>
      </w:r>
    </w:p>
    <w:p w14:paraId="6C2E908B" w14:textId="42D38146" w:rsidR="004A3288" w:rsidRPr="004A3288" w:rsidRDefault="001D42EB" w:rsidP="004A3288">
      <w:pPr>
        <w:pStyle w:val="N3References"/>
        <w:divId w:val="1895696862"/>
        <w:rPr>
          <w:noProof/>
        </w:rPr>
      </w:pPr>
      <w:r>
        <w:rPr>
          <w:noProof/>
        </w:rPr>
        <w:t>29</w:t>
      </w:r>
      <w:r w:rsidR="004A3288" w:rsidRPr="004A3288">
        <w:rPr>
          <w:noProof/>
        </w:rPr>
        <w:t>.</w:t>
      </w:r>
      <w:r w:rsidR="004A3288" w:rsidRPr="004A3288">
        <w:rPr>
          <w:noProof/>
        </w:rPr>
        <w:tab/>
        <w:t xml:space="preserve">N. Busschaert, L. E. Karagiannidis, M. Wenzel, C. J. E. Haynes, N. J. Wells, P. G. </w:t>
      </w:r>
      <w:r w:rsidR="00287139">
        <w:rPr>
          <w:noProof/>
        </w:rPr>
        <w:t>Young, D. Makuc, J. Plavec, K. A. Jolliffe and P. A</w:t>
      </w:r>
      <w:r w:rsidR="004A3288" w:rsidRPr="004A3288">
        <w:rPr>
          <w:noProof/>
        </w:rPr>
        <w:t xml:space="preserve">. Gale, </w:t>
      </w:r>
      <w:r w:rsidR="004A3288" w:rsidRPr="004A3288">
        <w:rPr>
          <w:i/>
          <w:iCs/>
          <w:noProof/>
        </w:rPr>
        <w:t>Chem. Sci.</w:t>
      </w:r>
      <w:r w:rsidR="004A3288" w:rsidRPr="004A3288">
        <w:rPr>
          <w:noProof/>
        </w:rPr>
        <w:t xml:space="preserve">, 2014, </w:t>
      </w:r>
      <w:r w:rsidR="004A3288" w:rsidRPr="004A3288">
        <w:rPr>
          <w:b/>
          <w:bCs/>
          <w:noProof/>
        </w:rPr>
        <w:t>5</w:t>
      </w:r>
      <w:r w:rsidR="004A3288" w:rsidRPr="004A3288">
        <w:rPr>
          <w:noProof/>
        </w:rPr>
        <w:t>, 1118</w:t>
      </w:r>
      <w:r w:rsidR="00287139">
        <w:rPr>
          <w:noProof/>
        </w:rPr>
        <w:t>-1127</w:t>
      </w:r>
      <w:r w:rsidR="004A3288" w:rsidRPr="004A3288">
        <w:rPr>
          <w:noProof/>
        </w:rPr>
        <w:t>.</w:t>
      </w:r>
    </w:p>
    <w:p w14:paraId="516C0C7F" w14:textId="44286B00" w:rsidR="004A3288" w:rsidRPr="004A3288" w:rsidRDefault="001D42EB" w:rsidP="004A3288">
      <w:pPr>
        <w:pStyle w:val="N3References"/>
        <w:divId w:val="1895696862"/>
        <w:rPr>
          <w:noProof/>
        </w:rPr>
      </w:pPr>
      <w:r>
        <w:rPr>
          <w:noProof/>
        </w:rPr>
        <w:t>30</w:t>
      </w:r>
      <w:r w:rsidR="004A3288" w:rsidRPr="004A3288">
        <w:rPr>
          <w:noProof/>
        </w:rPr>
        <w:t>.</w:t>
      </w:r>
      <w:r w:rsidR="004A3288" w:rsidRPr="004A3288">
        <w:rPr>
          <w:noProof/>
        </w:rPr>
        <w:tab/>
        <w:t>N. Busschaert, M. Wenzel, M. E. Light, P. Iglesias-Hernández, R. Pére</w:t>
      </w:r>
      <w:r w:rsidR="00287139">
        <w:rPr>
          <w:noProof/>
        </w:rPr>
        <w:t>z-Tomás and P. A.</w:t>
      </w:r>
      <w:r w:rsidR="004A3288" w:rsidRPr="004A3288">
        <w:rPr>
          <w:noProof/>
        </w:rPr>
        <w:t xml:space="preserve"> Gale, </w:t>
      </w:r>
      <w:r w:rsidR="004A3288" w:rsidRPr="004A3288">
        <w:rPr>
          <w:i/>
          <w:iCs/>
          <w:noProof/>
        </w:rPr>
        <w:t>J. Am. Chem. Soc.</w:t>
      </w:r>
      <w:r w:rsidR="004A3288" w:rsidRPr="004A3288">
        <w:rPr>
          <w:noProof/>
        </w:rPr>
        <w:t xml:space="preserve">, 2011, </w:t>
      </w:r>
      <w:r w:rsidR="004A3288" w:rsidRPr="004A3288">
        <w:rPr>
          <w:b/>
          <w:bCs/>
          <w:noProof/>
        </w:rPr>
        <w:t>133</w:t>
      </w:r>
      <w:r w:rsidR="004A3288" w:rsidRPr="004A3288">
        <w:rPr>
          <w:noProof/>
        </w:rPr>
        <w:t>, 14136–</w:t>
      </w:r>
      <w:r w:rsidR="00287139">
        <w:rPr>
          <w:noProof/>
        </w:rPr>
        <w:t>141</w:t>
      </w:r>
      <w:r w:rsidR="004A3288" w:rsidRPr="004A3288">
        <w:rPr>
          <w:noProof/>
        </w:rPr>
        <w:t>48.</w:t>
      </w:r>
    </w:p>
    <w:p w14:paraId="39284279" w14:textId="0780D981" w:rsidR="004A3288" w:rsidRPr="004A3288" w:rsidRDefault="001D42EB" w:rsidP="004A3288">
      <w:pPr>
        <w:pStyle w:val="N3References"/>
        <w:divId w:val="1895696862"/>
        <w:rPr>
          <w:noProof/>
        </w:rPr>
      </w:pPr>
      <w:r>
        <w:rPr>
          <w:noProof/>
        </w:rPr>
        <w:t>31</w:t>
      </w:r>
      <w:r w:rsidR="004A3288" w:rsidRPr="004A3288">
        <w:rPr>
          <w:noProof/>
        </w:rPr>
        <w:t>.</w:t>
      </w:r>
      <w:r w:rsidR="004A3288" w:rsidRPr="004A3288">
        <w:rPr>
          <w:noProof/>
        </w:rPr>
        <w:tab/>
        <w:t xml:space="preserve">E. Cordat and J. R. Casey, </w:t>
      </w:r>
      <w:r w:rsidR="004A3288" w:rsidRPr="004A3288">
        <w:rPr>
          <w:i/>
          <w:iCs/>
          <w:noProof/>
        </w:rPr>
        <w:t>Biochem. J.</w:t>
      </w:r>
      <w:r w:rsidR="004A3288" w:rsidRPr="004A3288">
        <w:rPr>
          <w:noProof/>
        </w:rPr>
        <w:t xml:space="preserve">, 2009, </w:t>
      </w:r>
      <w:r w:rsidR="004A3288" w:rsidRPr="004A3288">
        <w:rPr>
          <w:b/>
          <w:bCs/>
          <w:noProof/>
        </w:rPr>
        <w:t>417</w:t>
      </w:r>
      <w:r w:rsidR="00287139">
        <w:rPr>
          <w:noProof/>
        </w:rPr>
        <w:t>, 423-239</w:t>
      </w:r>
      <w:r w:rsidR="004A3288" w:rsidRPr="004A3288">
        <w:rPr>
          <w:noProof/>
        </w:rPr>
        <w:t>.</w:t>
      </w:r>
    </w:p>
    <w:p w14:paraId="588AE9BB" w14:textId="22F2DCC7" w:rsidR="004A3288" w:rsidRPr="004A3288" w:rsidRDefault="001D42EB" w:rsidP="004A3288">
      <w:pPr>
        <w:pStyle w:val="N3References"/>
        <w:divId w:val="1895696862"/>
        <w:rPr>
          <w:noProof/>
        </w:rPr>
      </w:pPr>
      <w:r>
        <w:rPr>
          <w:noProof/>
        </w:rPr>
        <w:t>32</w:t>
      </w:r>
      <w:r w:rsidR="004A3288" w:rsidRPr="004A3288">
        <w:rPr>
          <w:noProof/>
        </w:rPr>
        <w:t>.</w:t>
      </w:r>
      <w:r w:rsidR="004A3288" w:rsidRPr="004A3288">
        <w:rPr>
          <w:noProof/>
        </w:rPr>
        <w:tab/>
        <w:t>S. J. Moore, C. J. E. Haynes, J. González, J. L. Sutton, S. J. Brooks, M. E. Light, J. Herniman, G. J. Langley, V. Soto-Cerrato, R. Pérez-Tomás, I. Marques</w:t>
      </w:r>
      <w:r w:rsidR="00287139">
        <w:rPr>
          <w:noProof/>
        </w:rPr>
        <w:t>, P. J. Costa, V. Félix and P. A</w:t>
      </w:r>
      <w:r w:rsidR="004A3288" w:rsidRPr="004A3288">
        <w:rPr>
          <w:noProof/>
        </w:rPr>
        <w:t xml:space="preserve">. Gale, </w:t>
      </w:r>
      <w:r w:rsidR="004A3288" w:rsidRPr="004A3288">
        <w:rPr>
          <w:i/>
          <w:iCs/>
          <w:noProof/>
        </w:rPr>
        <w:t>Chem. Sci.</w:t>
      </w:r>
      <w:r w:rsidR="004A3288" w:rsidRPr="004A3288">
        <w:rPr>
          <w:noProof/>
        </w:rPr>
        <w:t xml:space="preserve">, 2013, </w:t>
      </w:r>
      <w:r w:rsidR="004A3288" w:rsidRPr="004A3288">
        <w:rPr>
          <w:b/>
          <w:bCs/>
          <w:noProof/>
        </w:rPr>
        <w:t>4</w:t>
      </w:r>
      <w:r w:rsidR="004A3288" w:rsidRPr="004A3288">
        <w:rPr>
          <w:noProof/>
        </w:rPr>
        <w:t>, 103</w:t>
      </w:r>
      <w:r w:rsidR="00287139">
        <w:rPr>
          <w:noProof/>
        </w:rPr>
        <w:t>-117</w:t>
      </w:r>
      <w:r w:rsidR="004A3288" w:rsidRPr="004A3288">
        <w:rPr>
          <w:noProof/>
        </w:rPr>
        <w:t>.</w:t>
      </w:r>
    </w:p>
    <w:p w14:paraId="6435999A" w14:textId="2ED0B210" w:rsidR="004A3288" w:rsidRPr="004A3288" w:rsidRDefault="001D42EB" w:rsidP="004A3288">
      <w:pPr>
        <w:pStyle w:val="N3References"/>
        <w:divId w:val="1895696862"/>
        <w:rPr>
          <w:noProof/>
        </w:rPr>
      </w:pPr>
      <w:r>
        <w:rPr>
          <w:noProof/>
        </w:rPr>
        <w:t>33</w:t>
      </w:r>
      <w:r w:rsidR="004A3288" w:rsidRPr="004A3288">
        <w:rPr>
          <w:noProof/>
        </w:rPr>
        <w:t>.</w:t>
      </w:r>
      <w:r w:rsidR="004A3288" w:rsidRPr="004A3288">
        <w:rPr>
          <w:noProof/>
        </w:rPr>
        <w:tab/>
        <w:t xml:space="preserve">J. L. Seganish and J. T. Davis, </w:t>
      </w:r>
      <w:r w:rsidR="004A3288" w:rsidRPr="004A3288">
        <w:rPr>
          <w:i/>
          <w:iCs/>
          <w:noProof/>
        </w:rPr>
        <w:t>Chem. Commun.</w:t>
      </w:r>
      <w:r w:rsidR="004A3288" w:rsidRPr="004A3288">
        <w:rPr>
          <w:noProof/>
        </w:rPr>
        <w:t>, 2005, 5781–3.</w:t>
      </w:r>
    </w:p>
    <w:p w14:paraId="77528DA5" w14:textId="5255EB1F" w:rsidR="004A3288" w:rsidRPr="004A3288" w:rsidRDefault="001D42EB" w:rsidP="004A3288">
      <w:pPr>
        <w:pStyle w:val="N3References"/>
        <w:divId w:val="1895696862"/>
        <w:rPr>
          <w:noProof/>
        </w:rPr>
      </w:pPr>
      <w:r>
        <w:rPr>
          <w:noProof/>
        </w:rPr>
        <w:lastRenderedPageBreak/>
        <w:t>34</w:t>
      </w:r>
      <w:r w:rsidR="00287139">
        <w:rPr>
          <w:noProof/>
        </w:rPr>
        <w:t>.</w:t>
      </w:r>
      <w:r w:rsidR="00287139">
        <w:rPr>
          <w:noProof/>
        </w:rPr>
        <w:tab/>
        <w:t>P. A.</w:t>
      </w:r>
      <w:r w:rsidR="004A3288" w:rsidRPr="004A3288">
        <w:rPr>
          <w:noProof/>
        </w:rPr>
        <w:t xml:space="preserve"> Gale, J. Garric, M. E. Light, B. </w:t>
      </w:r>
      <w:r w:rsidR="0073501D">
        <w:rPr>
          <w:noProof/>
        </w:rPr>
        <w:t>A.</w:t>
      </w:r>
      <w:r w:rsidR="004A3288" w:rsidRPr="004A3288">
        <w:rPr>
          <w:noProof/>
        </w:rPr>
        <w:t xml:space="preserve"> McNally and B. D. Smith, </w:t>
      </w:r>
      <w:r w:rsidR="00287139">
        <w:rPr>
          <w:i/>
          <w:iCs/>
          <w:noProof/>
        </w:rPr>
        <w:t>Chem. Commun.</w:t>
      </w:r>
      <w:r w:rsidR="004A3288" w:rsidRPr="004A3288">
        <w:rPr>
          <w:noProof/>
        </w:rPr>
        <w:t xml:space="preserve">, 2007, </w:t>
      </w:r>
      <w:r w:rsidR="004A3288" w:rsidRPr="004A3288">
        <w:rPr>
          <w:b/>
          <w:bCs/>
          <w:noProof/>
        </w:rPr>
        <w:t>48</w:t>
      </w:r>
      <w:r w:rsidR="004A3288" w:rsidRPr="004A3288">
        <w:rPr>
          <w:noProof/>
        </w:rPr>
        <w:t>, 1736–</w:t>
      </w:r>
      <w:r w:rsidR="00287139">
        <w:rPr>
          <w:noProof/>
        </w:rPr>
        <w:t>173</w:t>
      </w:r>
      <w:r w:rsidR="004A3288" w:rsidRPr="004A3288">
        <w:rPr>
          <w:noProof/>
        </w:rPr>
        <w:t>8.</w:t>
      </w:r>
    </w:p>
    <w:p w14:paraId="3510F7F1" w14:textId="72515C14" w:rsidR="004A3288" w:rsidRPr="004A3288" w:rsidRDefault="001D42EB" w:rsidP="004A3288">
      <w:pPr>
        <w:pStyle w:val="N3References"/>
        <w:divId w:val="1895696862"/>
        <w:rPr>
          <w:noProof/>
        </w:rPr>
      </w:pPr>
      <w:r>
        <w:rPr>
          <w:noProof/>
        </w:rPr>
        <w:t>35</w:t>
      </w:r>
      <w:r w:rsidR="004A3288" w:rsidRPr="004A3288">
        <w:rPr>
          <w:noProof/>
        </w:rPr>
        <w:t>.</w:t>
      </w:r>
      <w:r w:rsidR="004A3288" w:rsidRPr="004A3288">
        <w:rPr>
          <w:noProof/>
        </w:rPr>
        <w:tab/>
        <w:t xml:space="preserve">C. Kirby, J. Clarke and G. Gregoriadis, </w:t>
      </w:r>
      <w:r w:rsidR="004A3288" w:rsidRPr="004A3288">
        <w:rPr>
          <w:i/>
          <w:iCs/>
          <w:noProof/>
        </w:rPr>
        <w:t>Biochem. J.</w:t>
      </w:r>
      <w:r w:rsidR="004A3288" w:rsidRPr="004A3288">
        <w:rPr>
          <w:noProof/>
        </w:rPr>
        <w:t xml:space="preserve">, 1980, </w:t>
      </w:r>
      <w:r w:rsidR="004A3288" w:rsidRPr="004A3288">
        <w:rPr>
          <w:b/>
          <w:bCs/>
          <w:noProof/>
        </w:rPr>
        <w:t>186</w:t>
      </w:r>
      <w:r w:rsidR="004A3288" w:rsidRPr="004A3288">
        <w:rPr>
          <w:noProof/>
        </w:rPr>
        <w:t>, 591–598.</w:t>
      </w:r>
    </w:p>
    <w:p w14:paraId="67049BE9" w14:textId="475363CE" w:rsidR="004A3288" w:rsidRPr="004A3288" w:rsidRDefault="001D42EB" w:rsidP="004A3288">
      <w:pPr>
        <w:pStyle w:val="N3References"/>
        <w:divId w:val="1895696862"/>
        <w:rPr>
          <w:noProof/>
        </w:rPr>
      </w:pPr>
      <w:r>
        <w:rPr>
          <w:noProof/>
        </w:rPr>
        <w:t>36</w:t>
      </w:r>
      <w:r w:rsidR="004A3288" w:rsidRPr="004A3288">
        <w:rPr>
          <w:noProof/>
        </w:rPr>
        <w:t>.</w:t>
      </w:r>
      <w:r w:rsidR="004A3288" w:rsidRPr="004A3288">
        <w:rPr>
          <w:noProof/>
        </w:rPr>
        <w:tab/>
        <w:t xml:space="preserve">J. M. Moszynski and T. M. Fyles, </w:t>
      </w:r>
      <w:r w:rsidR="004A3288" w:rsidRPr="004A3288">
        <w:rPr>
          <w:i/>
          <w:iCs/>
          <w:noProof/>
        </w:rPr>
        <w:t>Org. Biomol. Chem.</w:t>
      </w:r>
      <w:r w:rsidR="004A3288" w:rsidRPr="004A3288">
        <w:rPr>
          <w:noProof/>
        </w:rPr>
        <w:t xml:space="preserve">, 2010, </w:t>
      </w:r>
      <w:r w:rsidR="004A3288" w:rsidRPr="004A3288">
        <w:rPr>
          <w:b/>
          <w:bCs/>
          <w:noProof/>
        </w:rPr>
        <w:t>8</w:t>
      </w:r>
      <w:r w:rsidR="004A3288" w:rsidRPr="004A3288">
        <w:rPr>
          <w:noProof/>
        </w:rPr>
        <w:t>, 5139–</w:t>
      </w:r>
      <w:r w:rsidR="00287139">
        <w:rPr>
          <w:noProof/>
        </w:rPr>
        <w:t>51</w:t>
      </w:r>
      <w:r w:rsidR="004A3288" w:rsidRPr="004A3288">
        <w:rPr>
          <w:noProof/>
        </w:rPr>
        <w:t>49.</w:t>
      </w:r>
    </w:p>
    <w:p w14:paraId="36DE1ECC" w14:textId="655E2C37" w:rsidR="004A3288" w:rsidRPr="004A3288" w:rsidRDefault="001D42EB" w:rsidP="004A3288">
      <w:pPr>
        <w:pStyle w:val="N3References"/>
        <w:divId w:val="1895696862"/>
        <w:rPr>
          <w:noProof/>
        </w:rPr>
      </w:pPr>
      <w:r>
        <w:rPr>
          <w:noProof/>
        </w:rPr>
        <w:t>37</w:t>
      </w:r>
      <w:r w:rsidR="004A3288" w:rsidRPr="004A3288">
        <w:rPr>
          <w:noProof/>
        </w:rPr>
        <w:t>.</w:t>
      </w:r>
      <w:r w:rsidR="004A3288" w:rsidRPr="004A3288">
        <w:rPr>
          <w:noProof/>
        </w:rPr>
        <w:tab/>
        <w:t xml:space="preserve">J. M. Moszynski and T. M. Fyles, </w:t>
      </w:r>
      <w:r w:rsidR="004A3288" w:rsidRPr="004A3288">
        <w:rPr>
          <w:i/>
          <w:iCs/>
          <w:noProof/>
        </w:rPr>
        <w:t>J. Am. Chem. Soc.</w:t>
      </w:r>
      <w:r w:rsidR="004A3288" w:rsidRPr="004A3288">
        <w:rPr>
          <w:noProof/>
        </w:rPr>
        <w:t xml:space="preserve">, 2012, </w:t>
      </w:r>
      <w:r w:rsidR="004A3288" w:rsidRPr="004A3288">
        <w:rPr>
          <w:b/>
          <w:bCs/>
          <w:noProof/>
        </w:rPr>
        <w:t>134</w:t>
      </w:r>
      <w:r w:rsidR="004A3288" w:rsidRPr="004A3288">
        <w:rPr>
          <w:noProof/>
        </w:rPr>
        <w:t>, 15937–</w:t>
      </w:r>
      <w:r w:rsidR="00287139">
        <w:rPr>
          <w:noProof/>
        </w:rPr>
        <w:t>159</w:t>
      </w:r>
      <w:r w:rsidR="004A3288" w:rsidRPr="004A3288">
        <w:rPr>
          <w:noProof/>
        </w:rPr>
        <w:t>45.</w:t>
      </w:r>
    </w:p>
    <w:p w14:paraId="442F2051" w14:textId="32D98031" w:rsidR="005110C0" w:rsidRPr="00D4070D" w:rsidRDefault="005110C0" w:rsidP="004A3288">
      <w:pPr>
        <w:pStyle w:val="N3References"/>
        <w:divId w:val="2132624151"/>
      </w:pPr>
      <w:r>
        <w:fldChar w:fldCharType="end"/>
      </w:r>
    </w:p>
    <w:sectPr w:rsidR="005110C0" w:rsidRPr="00D4070D" w:rsidSect="009D7589">
      <w:type w:val="continuous"/>
      <w:pgSz w:w="11907" w:h="15593" w:code="9"/>
      <w:pgMar w:top="1009" w:right="851" w:bottom="1134" w:left="851" w:header="510" w:footer="510" w:gutter="0"/>
      <w:cols w:num="2" w:space="227"/>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3D7EB" w14:textId="77777777" w:rsidR="0047131A" w:rsidRDefault="0047131A" w:rsidP="00E547DB">
      <w:pPr>
        <w:spacing w:after="0" w:line="240" w:lineRule="auto"/>
      </w:pPr>
      <w:r>
        <w:separator/>
      </w:r>
    </w:p>
    <w:p w14:paraId="366F34E7" w14:textId="77777777" w:rsidR="0047131A" w:rsidRDefault="0047131A"/>
    <w:p w14:paraId="634D5649" w14:textId="77777777" w:rsidR="0047131A" w:rsidRDefault="0047131A"/>
    <w:p w14:paraId="28F41C97" w14:textId="77777777" w:rsidR="0047131A" w:rsidRDefault="0047131A"/>
    <w:p w14:paraId="37F9A02D" w14:textId="77777777" w:rsidR="0047131A" w:rsidRDefault="0047131A"/>
    <w:p w14:paraId="7E82B795" w14:textId="77777777" w:rsidR="0047131A" w:rsidRDefault="0047131A"/>
  </w:endnote>
  <w:endnote w:type="continuationSeparator" w:id="0">
    <w:p w14:paraId="160F4B97" w14:textId="77777777" w:rsidR="0047131A" w:rsidRDefault="0047131A" w:rsidP="00E547DB">
      <w:pPr>
        <w:spacing w:after="0" w:line="240" w:lineRule="auto"/>
      </w:pPr>
      <w:r>
        <w:continuationSeparator/>
      </w:r>
    </w:p>
    <w:p w14:paraId="63D392BB" w14:textId="77777777" w:rsidR="0047131A" w:rsidRDefault="0047131A"/>
    <w:p w14:paraId="46B0F696" w14:textId="77777777" w:rsidR="0047131A" w:rsidRDefault="0047131A"/>
    <w:p w14:paraId="0DF0AC7D" w14:textId="77777777" w:rsidR="0047131A" w:rsidRDefault="0047131A"/>
    <w:p w14:paraId="651602A3" w14:textId="77777777" w:rsidR="0047131A" w:rsidRDefault="0047131A"/>
    <w:p w14:paraId="18700F25" w14:textId="77777777" w:rsidR="0047131A" w:rsidRDefault="00471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09F" w:csb1="00000000"/>
  </w:font>
  <w:font w:name="Myriad Pro">
    <w:altName w:val="Luminari"/>
    <w:charset w:val="00"/>
    <w:family w:val="auto"/>
    <w:pitch w:val="variable"/>
    <w:sig w:usb0="2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Pompei">
    <w:altName w:val="Times New Roman"/>
    <w:panose1 w:val="00000000000000000000"/>
    <w:charset w:val="00"/>
    <w:family w:val="roman"/>
    <w:notTrueType/>
    <w:pitch w:val="variable"/>
    <w:sig w:usb0="00000083" w:usb1="00000000" w:usb2="00000000" w:usb3="00000000" w:csb0="00000009"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9FCD" w14:textId="77777777" w:rsidR="0047131A" w:rsidRPr="006602F1" w:rsidRDefault="0047131A" w:rsidP="004877C8">
    <w:pPr>
      <w:pStyle w:val="Footer"/>
      <w:tabs>
        <w:tab w:val="clear" w:pos="4513"/>
        <w:tab w:val="clear" w:pos="9026"/>
        <w:tab w:val="right" w:pos="10206"/>
      </w:tabs>
      <w:rPr>
        <w:spacing w:val="10"/>
        <w:sz w:val="16"/>
        <w:szCs w:val="16"/>
      </w:rPr>
    </w:pPr>
    <w:r w:rsidRPr="006602F1">
      <w:rPr>
        <w:b/>
        <w:spacing w:val="10"/>
        <w:sz w:val="16"/>
        <w:szCs w:val="16"/>
      </w:rPr>
      <w:fldChar w:fldCharType="begin"/>
    </w:r>
    <w:r w:rsidRPr="006602F1">
      <w:rPr>
        <w:b/>
        <w:spacing w:val="10"/>
        <w:sz w:val="16"/>
        <w:szCs w:val="16"/>
      </w:rPr>
      <w:instrText xml:space="preserve"> PAGE   \* MERGEFORMAT </w:instrText>
    </w:r>
    <w:r w:rsidRPr="006602F1">
      <w:rPr>
        <w:b/>
        <w:spacing w:val="10"/>
        <w:sz w:val="16"/>
        <w:szCs w:val="16"/>
      </w:rPr>
      <w:fldChar w:fldCharType="separate"/>
    </w:r>
    <w:r w:rsidR="00BA2D2D">
      <w:rPr>
        <w:b/>
        <w:noProof/>
        <w:spacing w:val="10"/>
        <w:sz w:val="16"/>
        <w:szCs w:val="16"/>
      </w:rPr>
      <w:t>6</w:t>
    </w:r>
    <w:r w:rsidRPr="006602F1">
      <w:rPr>
        <w:b/>
        <w:noProof/>
        <w:spacing w:val="10"/>
        <w:sz w:val="16"/>
        <w:szCs w:val="16"/>
      </w:rPr>
      <w:fldChar w:fldCharType="end"/>
    </w:r>
    <w:r w:rsidRPr="006602F1">
      <w:rPr>
        <w:noProof/>
        <w:spacing w:val="10"/>
        <w:sz w:val="16"/>
        <w:szCs w:val="16"/>
      </w:rPr>
      <w:t xml:space="preserve"> | </w:t>
    </w:r>
    <w:r>
      <w:rPr>
        <w:i/>
        <w:noProof/>
        <w:spacing w:val="10"/>
        <w:sz w:val="16"/>
        <w:szCs w:val="16"/>
      </w:rPr>
      <w:t>J</w:t>
    </w:r>
    <w:r w:rsidRPr="006602F1">
      <w:rPr>
        <w:i/>
        <w:noProof/>
        <w:spacing w:val="10"/>
        <w:sz w:val="16"/>
        <w:szCs w:val="16"/>
      </w:rPr>
      <w:t xml:space="preserve">. </w:t>
    </w:r>
    <w:r>
      <w:rPr>
        <w:i/>
        <w:noProof/>
        <w:spacing w:val="10"/>
        <w:sz w:val="16"/>
        <w:szCs w:val="16"/>
      </w:rPr>
      <w:t>Name</w:t>
    </w:r>
    <w:r w:rsidRPr="006602F1">
      <w:rPr>
        <w:noProof/>
        <w:spacing w:val="10"/>
        <w:sz w:val="16"/>
        <w:szCs w:val="16"/>
      </w:rPr>
      <w:t xml:space="preserve">., 2012, </w:t>
    </w:r>
    <w:r w:rsidRPr="006602F1">
      <w:rPr>
        <w:b/>
        <w:noProof/>
        <w:spacing w:val="10"/>
        <w:sz w:val="16"/>
        <w:szCs w:val="16"/>
      </w:rPr>
      <w:t>00</w:t>
    </w:r>
    <w:r w:rsidRPr="006602F1">
      <w:rPr>
        <w:noProof/>
        <w:spacing w:val="10"/>
        <w:sz w:val="16"/>
        <w:szCs w:val="16"/>
      </w:rPr>
      <w:t>, 1-3</w:t>
    </w:r>
    <w:r w:rsidRPr="006602F1">
      <w:rPr>
        <w:noProof/>
        <w:spacing w:val="10"/>
        <w:sz w:val="16"/>
        <w:szCs w:val="16"/>
      </w:rPr>
      <w:tab/>
    </w:r>
    <w:r w:rsidRPr="00AC3BF2">
      <w:rPr>
        <w:noProof/>
        <w:spacing w:val="2"/>
        <w:sz w:val="16"/>
        <w:szCs w:val="16"/>
      </w:rPr>
      <w:t xml:space="preserve">This journal is </w:t>
    </w:r>
    <w:r w:rsidRPr="00F27DF6">
      <w:rPr>
        <w:rFonts w:cs="Calibri"/>
        <w:noProof/>
        <w:spacing w:val="2"/>
        <w:sz w:val="16"/>
        <w:szCs w:val="16"/>
      </w:rPr>
      <w:t>©</w:t>
    </w:r>
    <w:r w:rsidRPr="00AC3BF2">
      <w:rPr>
        <w:noProof/>
        <w:spacing w:val="2"/>
        <w:sz w:val="16"/>
        <w:szCs w:val="16"/>
      </w:rPr>
      <w:t xml:space="preserve"> The Royal Society of Chemistry 2012</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2D401" w14:textId="77777777" w:rsidR="0047131A" w:rsidRPr="006602F1" w:rsidRDefault="0047131A" w:rsidP="004877C8">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 Royal Society of Chemistry 2012</w:t>
    </w:r>
    <w:r w:rsidRPr="006602F1">
      <w:rPr>
        <w:i/>
        <w:noProof/>
        <w:sz w:val="16"/>
        <w:szCs w:val="16"/>
      </w:rPr>
      <w:tab/>
    </w:r>
    <w:r>
      <w:rPr>
        <w:i/>
        <w:noProof/>
        <w:spacing w:val="10"/>
        <w:sz w:val="16"/>
        <w:szCs w:val="16"/>
      </w:rPr>
      <w:t>J. Name</w:t>
    </w:r>
    <w:r w:rsidRPr="002C0803">
      <w:rPr>
        <w:noProof/>
        <w:spacing w:val="10"/>
        <w:sz w:val="16"/>
        <w:szCs w:val="16"/>
      </w:rPr>
      <w:t xml:space="preserve">., 2012,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BA2D2D">
      <w:rPr>
        <w:b/>
        <w:noProof/>
        <w:spacing w:val="10"/>
        <w:sz w:val="16"/>
        <w:szCs w:val="16"/>
      </w:rPr>
      <w:t>7</w:t>
    </w:r>
    <w:r w:rsidRPr="008C1387">
      <w:rPr>
        <w:b/>
        <w:noProof/>
        <w:spacing w:val="10"/>
        <w:sz w:val="16"/>
        <w:szCs w:val="16"/>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0201" w14:textId="77777777" w:rsidR="0047131A" w:rsidRPr="006602F1" w:rsidRDefault="0047131A" w:rsidP="00E70DCE">
    <w:pPr>
      <w:pStyle w:val="Footer"/>
      <w:tabs>
        <w:tab w:val="clear" w:pos="4513"/>
        <w:tab w:val="clear" w:pos="9026"/>
        <w:tab w:val="right" w:pos="10206"/>
      </w:tabs>
      <w:rPr>
        <w:sz w:val="16"/>
        <w:szCs w:val="16"/>
      </w:rPr>
    </w:pPr>
    <w:r w:rsidRPr="002C0803">
      <w:rPr>
        <w:noProof/>
        <w:spacing w:val="2"/>
        <w:sz w:val="16"/>
        <w:szCs w:val="16"/>
      </w:rPr>
      <w:t xml:space="preserve">This journal is </w:t>
    </w:r>
    <w:r w:rsidRPr="00F27DF6">
      <w:rPr>
        <w:rFonts w:cs="Calibri"/>
        <w:noProof/>
        <w:spacing w:val="2"/>
        <w:sz w:val="16"/>
        <w:szCs w:val="16"/>
      </w:rPr>
      <w:t>©</w:t>
    </w:r>
    <w:r w:rsidRPr="002C0803">
      <w:rPr>
        <w:noProof/>
        <w:spacing w:val="2"/>
        <w:sz w:val="16"/>
        <w:szCs w:val="16"/>
      </w:rPr>
      <w:t xml:space="preserve"> The</w:t>
    </w:r>
    <w:r>
      <w:rPr>
        <w:noProof/>
        <w:spacing w:val="2"/>
        <w:sz w:val="16"/>
        <w:szCs w:val="16"/>
      </w:rPr>
      <w:t xml:space="preserve"> Royal Society of Chemistry 2013</w:t>
    </w:r>
    <w:r w:rsidRPr="006602F1">
      <w:rPr>
        <w:i/>
        <w:noProof/>
        <w:sz w:val="16"/>
        <w:szCs w:val="16"/>
      </w:rPr>
      <w:tab/>
    </w:r>
    <w:r>
      <w:rPr>
        <w:i/>
        <w:noProof/>
        <w:spacing w:val="10"/>
        <w:sz w:val="16"/>
        <w:szCs w:val="16"/>
      </w:rPr>
      <w:t>J</w:t>
    </w:r>
    <w:r w:rsidRPr="002C0803">
      <w:rPr>
        <w:i/>
        <w:noProof/>
        <w:spacing w:val="10"/>
        <w:sz w:val="16"/>
        <w:szCs w:val="16"/>
      </w:rPr>
      <w:t xml:space="preserve">. </w:t>
    </w:r>
    <w:r>
      <w:rPr>
        <w:i/>
        <w:noProof/>
        <w:spacing w:val="10"/>
        <w:sz w:val="16"/>
        <w:szCs w:val="16"/>
      </w:rPr>
      <w:t>Name</w:t>
    </w:r>
    <w:r w:rsidRPr="002C0803">
      <w:rPr>
        <w:noProof/>
        <w:spacing w:val="10"/>
        <w:sz w:val="16"/>
        <w:szCs w:val="16"/>
      </w:rPr>
      <w:t>., 201</w:t>
    </w:r>
    <w:r>
      <w:rPr>
        <w:noProof/>
        <w:spacing w:val="10"/>
        <w:sz w:val="16"/>
        <w:szCs w:val="16"/>
      </w:rPr>
      <w:t>3</w:t>
    </w:r>
    <w:r w:rsidRPr="002C0803">
      <w:rPr>
        <w:noProof/>
        <w:spacing w:val="10"/>
        <w:sz w:val="16"/>
        <w:szCs w:val="16"/>
      </w:rPr>
      <w:t xml:space="preserve">, </w:t>
    </w:r>
    <w:r w:rsidRPr="002C0803">
      <w:rPr>
        <w:b/>
        <w:noProof/>
        <w:spacing w:val="10"/>
        <w:sz w:val="16"/>
        <w:szCs w:val="16"/>
      </w:rPr>
      <w:t>00</w:t>
    </w:r>
    <w:r w:rsidRPr="002C0803">
      <w:rPr>
        <w:noProof/>
        <w:spacing w:val="10"/>
        <w:sz w:val="16"/>
        <w:szCs w:val="16"/>
      </w:rPr>
      <w:t>, 1-3</w:t>
    </w:r>
    <w:r w:rsidRPr="002C0803">
      <w:rPr>
        <w:spacing w:val="10"/>
        <w:sz w:val="16"/>
        <w:szCs w:val="16"/>
      </w:rPr>
      <w:t xml:space="preserve"> | </w:t>
    </w:r>
    <w:r w:rsidRPr="008C1387">
      <w:rPr>
        <w:b/>
        <w:spacing w:val="10"/>
        <w:sz w:val="16"/>
        <w:szCs w:val="16"/>
      </w:rPr>
      <w:fldChar w:fldCharType="begin"/>
    </w:r>
    <w:r w:rsidRPr="008C1387">
      <w:rPr>
        <w:b/>
        <w:spacing w:val="10"/>
        <w:sz w:val="16"/>
        <w:szCs w:val="16"/>
      </w:rPr>
      <w:instrText xml:space="preserve"> PAGE   \* MERGEFORMAT </w:instrText>
    </w:r>
    <w:r w:rsidRPr="008C1387">
      <w:rPr>
        <w:b/>
        <w:spacing w:val="10"/>
        <w:sz w:val="16"/>
        <w:szCs w:val="16"/>
      </w:rPr>
      <w:fldChar w:fldCharType="separate"/>
    </w:r>
    <w:r w:rsidR="00BA2D2D">
      <w:rPr>
        <w:b/>
        <w:noProof/>
        <w:spacing w:val="10"/>
        <w:sz w:val="16"/>
        <w:szCs w:val="16"/>
      </w:rPr>
      <w:t>1</w:t>
    </w:r>
    <w:r w:rsidRPr="008C1387">
      <w:rPr>
        <w:b/>
        <w:noProof/>
        <w:spacing w:val="10"/>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ABCBD4" w14:textId="77777777" w:rsidR="0047131A" w:rsidRDefault="0047131A" w:rsidP="00E547DB">
      <w:pPr>
        <w:spacing w:after="0" w:line="240" w:lineRule="auto"/>
      </w:pPr>
      <w:r>
        <w:separator/>
      </w:r>
    </w:p>
    <w:p w14:paraId="46B7595C" w14:textId="77777777" w:rsidR="0047131A" w:rsidRDefault="0047131A"/>
    <w:p w14:paraId="02EBF3FE" w14:textId="77777777" w:rsidR="0047131A" w:rsidRDefault="0047131A"/>
    <w:p w14:paraId="30FC1B62" w14:textId="77777777" w:rsidR="0047131A" w:rsidRDefault="0047131A"/>
    <w:p w14:paraId="52B35CB7" w14:textId="77777777" w:rsidR="0047131A" w:rsidRDefault="0047131A"/>
    <w:p w14:paraId="45F8A85B" w14:textId="77777777" w:rsidR="0047131A" w:rsidRDefault="0047131A"/>
  </w:footnote>
  <w:footnote w:type="continuationSeparator" w:id="0">
    <w:p w14:paraId="3C5815CD" w14:textId="77777777" w:rsidR="0047131A" w:rsidRDefault="0047131A" w:rsidP="00E547DB">
      <w:pPr>
        <w:spacing w:after="0" w:line="240" w:lineRule="auto"/>
      </w:pPr>
      <w:r>
        <w:continuationSeparator/>
      </w:r>
    </w:p>
    <w:p w14:paraId="1A491C3D" w14:textId="77777777" w:rsidR="0047131A" w:rsidRDefault="0047131A"/>
    <w:p w14:paraId="01CCFD92" w14:textId="77777777" w:rsidR="0047131A" w:rsidRDefault="0047131A"/>
    <w:p w14:paraId="3028805D" w14:textId="77777777" w:rsidR="0047131A" w:rsidRDefault="0047131A"/>
    <w:p w14:paraId="1CD13DB7" w14:textId="77777777" w:rsidR="0047131A" w:rsidRDefault="0047131A"/>
    <w:p w14:paraId="22395C5D" w14:textId="77777777" w:rsidR="0047131A" w:rsidRDefault="0047131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47A50" w14:textId="77777777" w:rsidR="0047131A" w:rsidRPr="00F27DF6" w:rsidRDefault="0047131A" w:rsidP="0052630A">
    <w:pPr>
      <w:pStyle w:val="Header"/>
      <w:tabs>
        <w:tab w:val="clear" w:pos="4513"/>
        <w:tab w:val="clear" w:pos="9026"/>
        <w:tab w:val="right" w:pos="10206"/>
      </w:tabs>
      <w:rPr>
        <w:rFonts w:cs="Calibri"/>
        <w:color w:val="999999"/>
        <w:sz w:val="20"/>
        <w:szCs w:val="20"/>
      </w:rPr>
    </w:pPr>
    <w:r w:rsidRPr="00F27DF6">
      <w:rPr>
        <w:rFonts w:cs="Calibri"/>
        <w:b/>
        <w:color w:val="999999"/>
        <w:sz w:val="20"/>
        <w:szCs w:val="20"/>
      </w:rPr>
      <w:t>ARTICLE</w:t>
    </w:r>
    <w:r w:rsidRPr="00F27DF6">
      <w:rPr>
        <w:rFonts w:cs="Calibri"/>
        <w:color w:val="999999"/>
        <w:sz w:val="20"/>
        <w:szCs w:val="20"/>
      </w:rPr>
      <w:tab/>
    </w:r>
    <w:r w:rsidRPr="00F27DF6">
      <w:rPr>
        <w:rFonts w:cs="Calibri"/>
        <w:b/>
        <w:color w:val="999999"/>
        <w:sz w:val="20"/>
        <w:szCs w:val="20"/>
      </w:rPr>
      <w:t>Journal Name</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FF67F" w14:textId="77777777" w:rsidR="0047131A" w:rsidRPr="00E70DCE" w:rsidRDefault="0047131A" w:rsidP="0052630A">
    <w:pPr>
      <w:pStyle w:val="Header"/>
      <w:tabs>
        <w:tab w:val="clear" w:pos="4513"/>
        <w:tab w:val="clear" w:pos="9026"/>
        <w:tab w:val="right" w:pos="10206"/>
      </w:tabs>
      <w:rPr>
        <w:b/>
        <w:color w:val="999999"/>
        <w:sz w:val="20"/>
        <w:szCs w:val="20"/>
      </w:rPr>
    </w:pPr>
    <w:r>
      <w:rPr>
        <w:b/>
        <w:color w:val="999999"/>
        <w:sz w:val="20"/>
        <w:szCs w:val="20"/>
      </w:rPr>
      <w:t>Journal Name</w:t>
    </w:r>
    <w:r w:rsidRPr="00E70DCE">
      <w:rPr>
        <w:b/>
        <w:color w:val="999999"/>
        <w:sz w:val="20"/>
        <w:szCs w:val="20"/>
      </w:rPr>
      <w:tab/>
    </w:r>
    <w:r>
      <w:rPr>
        <w:b/>
        <w:color w:val="999999"/>
        <w:sz w:val="20"/>
        <w:szCs w:val="20"/>
      </w:rPr>
      <w:t>ARTICLE</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B0F79" w14:textId="77777777" w:rsidR="0047131A" w:rsidRDefault="0047131A" w:rsidP="00B6239D">
    <w:pPr>
      <w:pStyle w:val="Header"/>
      <w:tabs>
        <w:tab w:val="clear" w:pos="4513"/>
        <w:tab w:val="clear" w:pos="9026"/>
        <w:tab w:val="right" w:pos="10206"/>
      </w:tabs>
      <w:spacing w:before="400" w:after="240"/>
      <w:rPr>
        <w:rFonts w:ascii="Pompei" w:hAnsi="Pompei"/>
        <w:sz w:val="40"/>
        <w:szCs w:val="40"/>
      </w:rPr>
    </w:pPr>
    <w:r>
      <w:rPr>
        <w:rFonts w:ascii="Pompei" w:hAnsi="Pompei"/>
        <w:sz w:val="40"/>
        <w:szCs w:val="40"/>
      </w:rPr>
      <w:t>Journal Name</w:t>
    </w:r>
    <w:r>
      <w:rPr>
        <w:rFonts w:ascii="Pompei" w:hAnsi="Pompei"/>
        <w:sz w:val="40"/>
        <w:szCs w:val="40"/>
      </w:rPr>
      <w:tab/>
    </w:r>
    <w:proofErr w:type="spellStart"/>
    <w:r w:rsidRPr="00A074D7">
      <w:rPr>
        <w:rFonts w:ascii="Pompei" w:hAnsi="Pompei"/>
        <w:sz w:val="28"/>
        <w:szCs w:val="28"/>
      </w:rPr>
      <w:t>RSC</w:t>
    </w:r>
    <w:r w:rsidRPr="00F27DF6">
      <w:rPr>
        <w:rFonts w:ascii="Myriad Pro Light" w:hAnsi="Myriad Pro Light" w:cs="Calibri"/>
        <w:b/>
        <w:color w:val="999999"/>
        <w:sz w:val="32"/>
        <w:szCs w:val="32"/>
      </w:rPr>
      <w:t>Publishing</w:t>
    </w:r>
    <w:proofErr w:type="spellEnd"/>
  </w:p>
  <w:p w14:paraId="6AED61E8" w14:textId="77777777" w:rsidR="0047131A" w:rsidRPr="00F27DF6" w:rsidRDefault="0047131A" w:rsidP="000A2670">
    <w:pPr>
      <w:pStyle w:val="Header"/>
      <w:pBdr>
        <w:top w:val="single" w:sz="4" w:space="9" w:color="999999"/>
        <w:left w:val="single" w:sz="4" w:space="6" w:color="999999"/>
        <w:bottom w:val="single" w:sz="4" w:space="9" w:color="999999"/>
        <w:right w:val="single" w:sz="4" w:space="6" w:color="999999"/>
      </w:pBdr>
      <w:shd w:val="pct40" w:color="auto" w:fill="auto"/>
      <w:spacing w:after="240"/>
      <w:ind w:left="170" w:right="170"/>
      <w:rPr>
        <w:rFonts w:cs="Calibri"/>
        <w:b/>
        <w:color w:val="FFFFFF"/>
        <w:sz w:val="32"/>
        <w:szCs w:val="32"/>
      </w:rPr>
    </w:pPr>
    <w:r w:rsidRPr="00F27DF6">
      <w:rPr>
        <w:rFonts w:cs="Calibri"/>
        <w:b/>
        <w:color w:val="FFFFFF"/>
        <w:sz w:val="32"/>
        <w:szCs w:val="32"/>
      </w:rPr>
      <w:t>ARTICLE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D44F8"/>
    <w:multiLevelType w:val="hybridMultilevel"/>
    <w:tmpl w:val="5AFE19A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TrueTypeFonts/>
  <w:proofState w:spelling="clean" w:grammar="clean"/>
  <w:attachedTemplate r:id="rId1"/>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A66"/>
    <w:rsid w:val="00004B9E"/>
    <w:rsid w:val="0001065F"/>
    <w:rsid w:val="00017239"/>
    <w:rsid w:val="00024B89"/>
    <w:rsid w:val="0003120F"/>
    <w:rsid w:val="00050167"/>
    <w:rsid w:val="0005768B"/>
    <w:rsid w:val="0006191E"/>
    <w:rsid w:val="000622D1"/>
    <w:rsid w:val="0006305C"/>
    <w:rsid w:val="00066F07"/>
    <w:rsid w:val="00071E41"/>
    <w:rsid w:val="00073639"/>
    <w:rsid w:val="00075D51"/>
    <w:rsid w:val="00087A4C"/>
    <w:rsid w:val="00091F74"/>
    <w:rsid w:val="00092B63"/>
    <w:rsid w:val="00096CF9"/>
    <w:rsid w:val="000A2670"/>
    <w:rsid w:val="000C0A9D"/>
    <w:rsid w:val="000C2424"/>
    <w:rsid w:val="000D077F"/>
    <w:rsid w:val="000D6E30"/>
    <w:rsid w:val="000E64DB"/>
    <w:rsid w:val="000F6296"/>
    <w:rsid w:val="00101E6A"/>
    <w:rsid w:val="00110E1C"/>
    <w:rsid w:val="00117A22"/>
    <w:rsid w:val="00120227"/>
    <w:rsid w:val="00131265"/>
    <w:rsid w:val="00132298"/>
    <w:rsid w:val="00150546"/>
    <w:rsid w:val="00151B0C"/>
    <w:rsid w:val="00154FEE"/>
    <w:rsid w:val="001624E7"/>
    <w:rsid w:val="00182B24"/>
    <w:rsid w:val="001C2081"/>
    <w:rsid w:val="001C51FF"/>
    <w:rsid w:val="001C76EE"/>
    <w:rsid w:val="001D42EB"/>
    <w:rsid w:val="001D52A6"/>
    <w:rsid w:val="001D74CD"/>
    <w:rsid w:val="001E19A5"/>
    <w:rsid w:val="001F2362"/>
    <w:rsid w:val="001F35E5"/>
    <w:rsid w:val="001F43EB"/>
    <w:rsid w:val="001F5369"/>
    <w:rsid w:val="002002AB"/>
    <w:rsid w:val="00205BDA"/>
    <w:rsid w:val="00212A6A"/>
    <w:rsid w:val="00215CF3"/>
    <w:rsid w:val="002214F7"/>
    <w:rsid w:val="00221531"/>
    <w:rsid w:val="00223573"/>
    <w:rsid w:val="002330F4"/>
    <w:rsid w:val="00236510"/>
    <w:rsid w:val="002402E2"/>
    <w:rsid w:val="00252474"/>
    <w:rsid w:val="002528E6"/>
    <w:rsid w:val="00253C1B"/>
    <w:rsid w:val="0027129B"/>
    <w:rsid w:val="00272D6F"/>
    <w:rsid w:val="00275689"/>
    <w:rsid w:val="00283A37"/>
    <w:rsid w:val="00287139"/>
    <w:rsid w:val="002A0040"/>
    <w:rsid w:val="002A0C64"/>
    <w:rsid w:val="002A1105"/>
    <w:rsid w:val="002A4BFD"/>
    <w:rsid w:val="002B2E21"/>
    <w:rsid w:val="002B43F2"/>
    <w:rsid w:val="002B7ABC"/>
    <w:rsid w:val="002C0803"/>
    <w:rsid w:val="002C32D6"/>
    <w:rsid w:val="002C71ED"/>
    <w:rsid w:val="002E3872"/>
    <w:rsid w:val="002F6D19"/>
    <w:rsid w:val="0030154B"/>
    <w:rsid w:val="00304B3E"/>
    <w:rsid w:val="00325F93"/>
    <w:rsid w:val="0034384F"/>
    <w:rsid w:val="00354C1C"/>
    <w:rsid w:val="00355BAA"/>
    <w:rsid w:val="003A0B11"/>
    <w:rsid w:val="003A26E9"/>
    <w:rsid w:val="003B6F3B"/>
    <w:rsid w:val="003B739C"/>
    <w:rsid w:val="003D282D"/>
    <w:rsid w:val="003E0235"/>
    <w:rsid w:val="003E7D77"/>
    <w:rsid w:val="003F30A7"/>
    <w:rsid w:val="003F4412"/>
    <w:rsid w:val="00406EC7"/>
    <w:rsid w:val="004158AA"/>
    <w:rsid w:val="00415DCF"/>
    <w:rsid w:val="004313BD"/>
    <w:rsid w:val="0043715A"/>
    <w:rsid w:val="004411CD"/>
    <w:rsid w:val="0046216C"/>
    <w:rsid w:val="004629CE"/>
    <w:rsid w:val="00467975"/>
    <w:rsid w:val="00467C80"/>
    <w:rsid w:val="0047131A"/>
    <w:rsid w:val="00471879"/>
    <w:rsid w:val="00474052"/>
    <w:rsid w:val="004840D6"/>
    <w:rsid w:val="004877C8"/>
    <w:rsid w:val="004909CE"/>
    <w:rsid w:val="004929D1"/>
    <w:rsid w:val="004A3288"/>
    <w:rsid w:val="004A4947"/>
    <w:rsid w:val="004C6C90"/>
    <w:rsid w:val="004C7208"/>
    <w:rsid w:val="004F6A52"/>
    <w:rsid w:val="005040FF"/>
    <w:rsid w:val="005110C0"/>
    <w:rsid w:val="00512181"/>
    <w:rsid w:val="0052630A"/>
    <w:rsid w:val="00530C9A"/>
    <w:rsid w:val="0053177A"/>
    <w:rsid w:val="0053473D"/>
    <w:rsid w:val="00553334"/>
    <w:rsid w:val="00566EA9"/>
    <w:rsid w:val="0057241A"/>
    <w:rsid w:val="005771C3"/>
    <w:rsid w:val="00590F6D"/>
    <w:rsid w:val="00596436"/>
    <w:rsid w:val="005A5ED7"/>
    <w:rsid w:val="005B51A6"/>
    <w:rsid w:val="005B76DD"/>
    <w:rsid w:val="005C1A32"/>
    <w:rsid w:val="005C4565"/>
    <w:rsid w:val="005C536C"/>
    <w:rsid w:val="005E1EF2"/>
    <w:rsid w:val="005F0C49"/>
    <w:rsid w:val="005F2F8C"/>
    <w:rsid w:val="006059B1"/>
    <w:rsid w:val="00611439"/>
    <w:rsid w:val="006140A6"/>
    <w:rsid w:val="0061660C"/>
    <w:rsid w:val="00621403"/>
    <w:rsid w:val="00621654"/>
    <w:rsid w:val="00621F5F"/>
    <w:rsid w:val="0062632E"/>
    <w:rsid w:val="00626CBE"/>
    <w:rsid w:val="0063486C"/>
    <w:rsid w:val="00635B6A"/>
    <w:rsid w:val="00642100"/>
    <w:rsid w:val="00646E69"/>
    <w:rsid w:val="00646F7E"/>
    <w:rsid w:val="006602F1"/>
    <w:rsid w:val="00672928"/>
    <w:rsid w:val="006742D6"/>
    <w:rsid w:val="00677179"/>
    <w:rsid w:val="00680C35"/>
    <w:rsid w:val="00684011"/>
    <w:rsid w:val="0069132F"/>
    <w:rsid w:val="00694649"/>
    <w:rsid w:val="00695794"/>
    <w:rsid w:val="006B2986"/>
    <w:rsid w:val="006B39BF"/>
    <w:rsid w:val="006B3B35"/>
    <w:rsid w:val="006C67A7"/>
    <w:rsid w:val="006C72B9"/>
    <w:rsid w:val="006D5856"/>
    <w:rsid w:val="006D5A2C"/>
    <w:rsid w:val="006E19C5"/>
    <w:rsid w:val="006F01C4"/>
    <w:rsid w:val="00702742"/>
    <w:rsid w:val="007037D5"/>
    <w:rsid w:val="00710897"/>
    <w:rsid w:val="00713020"/>
    <w:rsid w:val="0072469B"/>
    <w:rsid w:val="007246C1"/>
    <w:rsid w:val="007346BE"/>
    <w:rsid w:val="0073501D"/>
    <w:rsid w:val="00735D87"/>
    <w:rsid w:val="00741AB7"/>
    <w:rsid w:val="00751A36"/>
    <w:rsid w:val="0077069E"/>
    <w:rsid w:val="00771C3D"/>
    <w:rsid w:val="00784447"/>
    <w:rsid w:val="00786A0A"/>
    <w:rsid w:val="00790B00"/>
    <w:rsid w:val="007957DF"/>
    <w:rsid w:val="007A7EB7"/>
    <w:rsid w:val="007B26A5"/>
    <w:rsid w:val="007B4C1D"/>
    <w:rsid w:val="007C3FB1"/>
    <w:rsid w:val="007D1EFA"/>
    <w:rsid w:val="007D2319"/>
    <w:rsid w:val="007F34EB"/>
    <w:rsid w:val="0080323E"/>
    <w:rsid w:val="00803D43"/>
    <w:rsid w:val="00824448"/>
    <w:rsid w:val="008435A4"/>
    <w:rsid w:val="00862A1D"/>
    <w:rsid w:val="00866CBC"/>
    <w:rsid w:val="008830FE"/>
    <w:rsid w:val="0088525A"/>
    <w:rsid w:val="0089245C"/>
    <w:rsid w:val="00896FF4"/>
    <w:rsid w:val="008A014E"/>
    <w:rsid w:val="008A0D60"/>
    <w:rsid w:val="008A1C36"/>
    <w:rsid w:val="008A2022"/>
    <w:rsid w:val="008A63E4"/>
    <w:rsid w:val="008A7DD2"/>
    <w:rsid w:val="008B0A66"/>
    <w:rsid w:val="008B4901"/>
    <w:rsid w:val="008C1020"/>
    <w:rsid w:val="008C1387"/>
    <w:rsid w:val="008C496C"/>
    <w:rsid w:val="008E720D"/>
    <w:rsid w:val="008F2414"/>
    <w:rsid w:val="008F3A65"/>
    <w:rsid w:val="008F6E5B"/>
    <w:rsid w:val="009026D4"/>
    <w:rsid w:val="00904117"/>
    <w:rsid w:val="0090683D"/>
    <w:rsid w:val="0091097C"/>
    <w:rsid w:val="00910FA7"/>
    <w:rsid w:val="0092763E"/>
    <w:rsid w:val="00931C5F"/>
    <w:rsid w:val="00936114"/>
    <w:rsid w:val="0095293B"/>
    <w:rsid w:val="00961B1A"/>
    <w:rsid w:val="00962779"/>
    <w:rsid w:val="0096340E"/>
    <w:rsid w:val="00964174"/>
    <w:rsid w:val="00965049"/>
    <w:rsid w:val="009654EC"/>
    <w:rsid w:val="009713D0"/>
    <w:rsid w:val="00976090"/>
    <w:rsid w:val="00976E72"/>
    <w:rsid w:val="00983C3D"/>
    <w:rsid w:val="00984388"/>
    <w:rsid w:val="0099090E"/>
    <w:rsid w:val="0099733D"/>
    <w:rsid w:val="009A3034"/>
    <w:rsid w:val="009A392D"/>
    <w:rsid w:val="009B542D"/>
    <w:rsid w:val="009B64D6"/>
    <w:rsid w:val="009C36D4"/>
    <w:rsid w:val="009C644D"/>
    <w:rsid w:val="009D17C3"/>
    <w:rsid w:val="009D47C2"/>
    <w:rsid w:val="009D7589"/>
    <w:rsid w:val="009F5CC3"/>
    <w:rsid w:val="00A03B82"/>
    <w:rsid w:val="00A04B28"/>
    <w:rsid w:val="00A06776"/>
    <w:rsid w:val="00A074D7"/>
    <w:rsid w:val="00A1374D"/>
    <w:rsid w:val="00A17D23"/>
    <w:rsid w:val="00A3421B"/>
    <w:rsid w:val="00A403B1"/>
    <w:rsid w:val="00A40FD3"/>
    <w:rsid w:val="00A416B8"/>
    <w:rsid w:val="00A45F5F"/>
    <w:rsid w:val="00A46732"/>
    <w:rsid w:val="00A51FB8"/>
    <w:rsid w:val="00A536E1"/>
    <w:rsid w:val="00A745D1"/>
    <w:rsid w:val="00A7643E"/>
    <w:rsid w:val="00A77E7A"/>
    <w:rsid w:val="00A81CD9"/>
    <w:rsid w:val="00A94BD8"/>
    <w:rsid w:val="00A95E54"/>
    <w:rsid w:val="00AA2846"/>
    <w:rsid w:val="00AA5F66"/>
    <w:rsid w:val="00AA791E"/>
    <w:rsid w:val="00AB16D0"/>
    <w:rsid w:val="00AB208E"/>
    <w:rsid w:val="00AC3BF2"/>
    <w:rsid w:val="00AD6DD5"/>
    <w:rsid w:val="00AF0249"/>
    <w:rsid w:val="00AF0C81"/>
    <w:rsid w:val="00AF54A7"/>
    <w:rsid w:val="00B15906"/>
    <w:rsid w:val="00B2364D"/>
    <w:rsid w:val="00B23A02"/>
    <w:rsid w:val="00B3512F"/>
    <w:rsid w:val="00B36563"/>
    <w:rsid w:val="00B446B0"/>
    <w:rsid w:val="00B53582"/>
    <w:rsid w:val="00B6239D"/>
    <w:rsid w:val="00B722DE"/>
    <w:rsid w:val="00B76DDB"/>
    <w:rsid w:val="00B76EB3"/>
    <w:rsid w:val="00B8417E"/>
    <w:rsid w:val="00B85AB4"/>
    <w:rsid w:val="00B90DEC"/>
    <w:rsid w:val="00B92ABE"/>
    <w:rsid w:val="00BA2D2D"/>
    <w:rsid w:val="00BA761E"/>
    <w:rsid w:val="00BB255B"/>
    <w:rsid w:val="00BB3FBE"/>
    <w:rsid w:val="00BC4D02"/>
    <w:rsid w:val="00BD000A"/>
    <w:rsid w:val="00BD33A8"/>
    <w:rsid w:val="00BD6427"/>
    <w:rsid w:val="00BF28F0"/>
    <w:rsid w:val="00BF3045"/>
    <w:rsid w:val="00C16497"/>
    <w:rsid w:val="00C22D09"/>
    <w:rsid w:val="00C24A65"/>
    <w:rsid w:val="00C27A41"/>
    <w:rsid w:val="00C31922"/>
    <w:rsid w:val="00C325C5"/>
    <w:rsid w:val="00C5024A"/>
    <w:rsid w:val="00C52D49"/>
    <w:rsid w:val="00C604FD"/>
    <w:rsid w:val="00C62C2D"/>
    <w:rsid w:val="00C83EFE"/>
    <w:rsid w:val="00C93D92"/>
    <w:rsid w:val="00CA3AE4"/>
    <w:rsid w:val="00CC12E6"/>
    <w:rsid w:val="00CD671C"/>
    <w:rsid w:val="00CF2F03"/>
    <w:rsid w:val="00D208BA"/>
    <w:rsid w:val="00D21BBF"/>
    <w:rsid w:val="00D30951"/>
    <w:rsid w:val="00D340C0"/>
    <w:rsid w:val="00D4070D"/>
    <w:rsid w:val="00D42F8F"/>
    <w:rsid w:val="00D45EA3"/>
    <w:rsid w:val="00D53E47"/>
    <w:rsid w:val="00D54461"/>
    <w:rsid w:val="00D56A83"/>
    <w:rsid w:val="00D605D9"/>
    <w:rsid w:val="00D61D2F"/>
    <w:rsid w:val="00D753D4"/>
    <w:rsid w:val="00D82091"/>
    <w:rsid w:val="00D936EE"/>
    <w:rsid w:val="00D945F5"/>
    <w:rsid w:val="00D94A1B"/>
    <w:rsid w:val="00DC1746"/>
    <w:rsid w:val="00DC2E7D"/>
    <w:rsid w:val="00DD2E1F"/>
    <w:rsid w:val="00DD500F"/>
    <w:rsid w:val="00DE1D5F"/>
    <w:rsid w:val="00DF53E4"/>
    <w:rsid w:val="00E02CF7"/>
    <w:rsid w:val="00E2136E"/>
    <w:rsid w:val="00E27458"/>
    <w:rsid w:val="00E32C3C"/>
    <w:rsid w:val="00E336E0"/>
    <w:rsid w:val="00E37727"/>
    <w:rsid w:val="00E5081C"/>
    <w:rsid w:val="00E547DB"/>
    <w:rsid w:val="00E55178"/>
    <w:rsid w:val="00E61FD1"/>
    <w:rsid w:val="00E652C2"/>
    <w:rsid w:val="00E70DCE"/>
    <w:rsid w:val="00E74565"/>
    <w:rsid w:val="00E7591C"/>
    <w:rsid w:val="00E87ABC"/>
    <w:rsid w:val="00E916B7"/>
    <w:rsid w:val="00EA0E65"/>
    <w:rsid w:val="00EA1C05"/>
    <w:rsid w:val="00EA446A"/>
    <w:rsid w:val="00EA5A21"/>
    <w:rsid w:val="00EB168A"/>
    <w:rsid w:val="00EB17E3"/>
    <w:rsid w:val="00EC651D"/>
    <w:rsid w:val="00ED1D90"/>
    <w:rsid w:val="00EE2A40"/>
    <w:rsid w:val="00EF0EF7"/>
    <w:rsid w:val="00EF1577"/>
    <w:rsid w:val="00F11195"/>
    <w:rsid w:val="00F22828"/>
    <w:rsid w:val="00F24BFF"/>
    <w:rsid w:val="00F24CA4"/>
    <w:rsid w:val="00F27DF6"/>
    <w:rsid w:val="00F32356"/>
    <w:rsid w:val="00F545BA"/>
    <w:rsid w:val="00F57E51"/>
    <w:rsid w:val="00F61EB1"/>
    <w:rsid w:val="00F62C8B"/>
    <w:rsid w:val="00F87664"/>
    <w:rsid w:val="00FA5048"/>
    <w:rsid w:val="00FA5FBD"/>
    <w:rsid w:val="00FB1610"/>
    <w:rsid w:val="00FB2D8F"/>
    <w:rsid w:val="00FC1AAD"/>
    <w:rsid w:val="00FC2EA7"/>
    <w:rsid w:val="00FD0834"/>
    <w:rsid w:val="00FE0119"/>
    <w:rsid w:val="00FE0FE8"/>
    <w:rsid w:val="00FE4493"/>
    <w:rsid w:val="00FF3A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2552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rPr>
  </w:style>
  <w:style w:type="paragraph" w:customStyle="1" w:styleId="G1aFigureImage">
    <w:name w:val="G1a Figure Image"/>
    <w:basedOn w:val="Normal"/>
    <w:next w:val="G1bFigureCaption"/>
    <w:link w:val="G1aFigureImageChar"/>
    <w:qFormat/>
    <w:rsid w:val="005771C3"/>
    <w:pPr>
      <w:pBdr>
        <w:top w:val="single" w:sz="12" w:space="5" w:color="999999"/>
      </w:pBdr>
      <w:spacing w:before="120" w:after="40" w:line="240" w:lineRule="auto"/>
      <w:jc w:val="center"/>
    </w:pPr>
    <w:rPr>
      <w:rFonts w:ascii="Times New Roman" w:hAnsi="Times New Roman"/>
      <w:w w:val="108"/>
      <w:sz w:val="18"/>
      <w:szCs w:val="18"/>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rFonts w:cs="Calibri"/>
      <w:w w:val="108"/>
      <w:sz w:val="14"/>
      <w:szCs w:val="14"/>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styleId="NoSpacing">
    <w:name w:val="No Spacing"/>
    <w:uiPriority w:val="1"/>
    <w:rsid w:val="00272D6F"/>
    <w:rPr>
      <w:sz w:val="22"/>
      <w:szCs w:val="22"/>
      <w:lang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eastAsia="en-GB"/>
    </w:rPr>
  </w:style>
  <w:style w:type="character" w:customStyle="1" w:styleId="G1aFigureImageChar">
    <w:name w:val="G1a Figure Image Char"/>
    <w:link w:val="G1aFigureImage"/>
    <w:rsid w:val="005771C3"/>
    <w:rPr>
      <w:rFonts w:ascii="Times New Roman" w:hAnsi="Times New Roman" w:cs="Times New Roman"/>
      <w:w w:val="108"/>
      <w:sz w:val="18"/>
      <w:szCs w:val="18"/>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styleId="NormalWeb">
    <w:name w:val="Normal (Web)"/>
    <w:basedOn w:val="Normal"/>
    <w:uiPriority w:val="99"/>
    <w:unhideWhenUsed/>
    <w:rsid w:val="00F24BFF"/>
    <w:pPr>
      <w:spacing w:before="100" w:beforeAutospacing="1" w:after="100" w:afterAutospacing="1" w:line="240" w:lineRule="auto"/>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F157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47DB"/>
  </w:style>
  <w:style w:type="paragraph" w:styleId="Footer">
    <w:name w:val="footer"/>
    <w:basedOn w:val="Normal"/>
    <w:link w:val="FooterChar"/>
    <w:uiPriority w:val="99"/>
    <w:unhideWhenUsed/>
    <w:rsid w:val="00E547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7DB"/>
  </w:style>
  <w:style w:type="paragraph" w:styleId="BalloonText">
    <w:name w:val="Balloon Text"/>
    <w:basedOn w:val="Normal"/>
    <w:link w:val="BalloonTextChar"/>
    <w:uiPriority w:val="99"/>
    <w:semiHidden/>
    <w:unhideWhenUsed/>
    <w:rsid w:val="00E547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47DB"/>
    <w:rPr>
      <w:rFonts w:ascii="Tahoma" w:hAnsi="Tahoma" w:cs="Tahoma"/>
      <w:sz w:val="16"/>
      <w:szCs w:val="16"/>
    </w:rPr>
  </w:style>
  <w:style w:type="paragraph" w:customStyle="1" w:styleId="01PaperTitle">
    <w:name w:val="01 Paper Title"/>
    <w:basedOn w:val="Normal"/>
    <w:next w:val="02PaperAuthors"/>
    <w:link w:val="01PaperTitleChar"/>
    <w:qFormat/>
    <w:rsid w:val="00EA446A"/>
    <w:pPr>
      <w:spacing w:after="0" w:line="400" w:lineRule="exact"/>
    </w:pPr>
    <w:rPr>
      <w:rFonts w:ascii="Myriad Pro Light" w:hAnsi="Myriad Pro Light"/>
      <w:b/>
      <w:spacing w:val="4"/>
      <w:sz w:val="32"/>
      <w:szCs w:val="32"/>
    </w:rPr>
  </w:style>
  <w:style w:type="paragraph" w:customStyle="1" w:styleId="02PaperAuthors">
    <w:name w:val="02 Paper Authors"/>
    <w:basedOn w:val="Normal"/>
    <w:next w:val="03Abstract"/>
    <w:link w:val="02PaperAuthorsChar"/>
    <w:qFormat/>
    <w:rsid w:val="00AB16D0"/>
    <w:pPr>
      <w:spacing w:before="200" w:after="480" w:line="240" w:lineRule="exact"/>
    </w:pPr>
    <w:rPr>
      <w:rFonts w:ascii="Myriad Pro" w:hAnsi="Myriad Pro"/>
      <w:spacing w:val="4"/>
    </w:rPr>
  </w:style>
  <w:style w:type="table" w:styleId="TableGrid">
    <w:name w:val="Table Grid"/>
    <w:basedOn w:val="TableNormal"/>
    <w:uiPriority w:val="59"/>
    <w:rsid w:val="005771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5BHeading">
    <w:name w:val="05 B Heading"/>
    <w:basedOn w:val="04AHeading"/>
    <w:next w:val="08ArticleText"/>
    <w:link w:val="05BHeadingChar"/>
    <w:qFormat/>
    <w:rsid w:val="00AB16D0"/>
    <w:pPr>
      <w:spacing w:before="160" w:after="80" w:line="240" w:lineRule="exact"/>
    </w:pPr>
    <w:rPr>
      <w:rFonts w:ascii="Times New Roman" w:hAnsi="Times New Roman"/>
      <w:sz w:val="18"/>
      <w:szCs w:val="18"/>
    </w:rPr>
  </w:style>
  <w:style w:type="paragraph" w:customStyle="1" w:styleId="08ArticleText">
    <w:name w:val="08 Article Text"/>
    <w:basedOn w:val="Normal"/>
    <w:link w:val="08ArticleTextChar"/>
    <w:qFormat/>
    <w:rsid w:val="00EF1577"/>
    <w:pPr>
      <w:tabs>
        <w:tab w:val="left" w:pos="284"/>
      </w:tabs>
      <w:spacing w:after="0" w:line="240" w:lineRule="exact"/>
      <w:jc w:val="both"/>
    </w:pPr>
    <w:rPr>
      <w:rFonts w:ascii="Times New Roman" w:hAnsi="Times New Roman"/>
      <w:w w:val="108"/>
      <w:sz w:val="18"/>
      <w:szCs w:val="18"/>
    </w:rPr>
  </w:style>
  <w:style w:type="character" w:customStyle="1" w:styleId="06CHeading">
    <w:name w:val="06 C Heading"/>
    <w:uiPriority w:val="1"/>
    <w:qFormat/>
    <w:rsid w:val="00EF1577"/>
    <w:rPr>
      <w:rFonts w:ascii="Times New Roman" w:hAnsi="Times New Roman" w:cs="Times New Roman"/>
      <w:b/>
      <w:smallCaps/>
      <w:w w:val="108"/>
      <w:sz w:val="18"/>
      <w:szCs w:val="18"/>
    </w:rPr>
  </w:style>
  <w:style w:type="character" w:customStyle="1" w:styleId="08ArticleTextChar">
    <w:name w:val="08 Article Text Char"/>
    <w:link w:val="08ArticleText"/>
    <w:rsid w:val="00EF1577"/>
    <w:rPr>
      <w:rFonts w:ascii="Times New Roman" w:hAnsi="Times New Roman" w:cs="Times New Roman"/>
      <w:w w:val="108"/>
      <w:sz w:val="18"/>
      <w:szCs w:val="18"/>
    </w:rPr>
  </w:style>
  <w:style w:type="paragraph" w:customStyle="1" w:styleId="09ListText">
    <w:name w:val="09 List Text"/>
    <w:basedOn w:val="08ArticleText"/>
    <w:link w:val="09ListTextChar"/>
    <w:qFormat/>
    <w:rsid w:val="00EF1577"/>
    <w:pPr>
      <w:widowControl w:val="0"/>
      <w:spacing w:line="230" w:lineRule="exact"/>
      <w:ind w:left="284" w:hanging="284"/>
    </w:pPr>
    <w:rPr>
      <w:rFonts w:eastAsia="Times New Roman"/>
      <w:lang w:eastAsia="en-GB"/>
    </w:rPr>
  </w:style>
  <w:style w:type="paragraph" w:customStyle="1" w:styleId="N1AuthorAddress">
    <w:name w:val="N1 Author Address"/>
    <w:basedOn w:val="Normal"/>
    <w:link w:val="N1AuthorAddressChar"/>
    <w:qFormat/>
    <w:rsid w:val="00272D6F"/>
    <w:pPr>
      <w:spacing w:after="0" w:line="180" w:lineRule="exact"/>
      <w:jc w:val="both"/>
    </w:pPr>
    <w:rPr>
      <w:rFonts w:ascii="Times New Roman" w:hAnsi="Times New Roman"/>
      <w:w w:val="105"/>
      <w:sz w:val="16"/>
      <w:szCs w:val="16"/>
    </w:rPr>
  </w:style>
  <w:style w:type="paragraph" w:customStyle="1" w:styleId="G1aFigureImage">
    <w:name w:val="G1a Figure Image"/>
    <w:basedOn w:val="Normal"/>
    <w:next w:val="G1bFigureCaption"/>
    <w:link w:val="G1aFigureImageChar"/>
    <w:qFormat/>
    <w:rsid w:val="005771C3"/>
    <w:pPr>
      <w:pBdr>
        <w:top w:val="single" w:sz="12" w:space="5" w:color="999999"/>
      </w:pBdr>
      <w:spacing w:before="120" w:after="40" w:line="240" w:lineRule="auto"/>
      <w:jc w:val="center"/>
    </w:pPr>
    <w:rPr>
      <w:rFonts w:ascii="Times New Roman" w:hAnsi="Times New Roman"/>
      <w:w w:val="108"/>
      <w:sz w:val="18"/>
      <w:szCs w:val="18"/>
    </w:rPr>
  </w:style>
  <w:style w:type="paragraph" w:customStyle="1" w:styleId="G1bFigureCaption">
    <w:name w:val="G1b Figure Caption"/>
    <w:basedOn w:val="Normal"/>
    <w:next w:val="08ArticleText"/>
    <w:link w:val="G1bFigureCaptionChar"/>
    <w:qFormat/>
    <w:rsid w:val="005771C3"/>
    <w:pPr>
      <w:pBdr>
        <w:bottom w:val="single" w:sz="12" w:space="5" w:color="999999"/>
      </w:pBdr>
      <w:spacing w:before="40" w:after="120" w:line="180" w:lineRule="exact"/>
      <w:jc w:val="both"/>
    </w:pPr>
    <w:rPr>
      <w:rFonts w:cs="Calibri"/>
      <w:w w:val="108"/>
      <w:sz w:val="14"/>
      <w:szCs w:val="14"/>
    </w:rPr>
  </w:style>
  <w:style w:type="paragraph" w:customStyle="1" w:styleId="G2UncaptionedImage">
    <w:name w:val="G2 Uncaptioned Image"/>
    <w:basedOn w:val="Normal"/>
    <w:next w:val="08ArticleText"/>
    <w:link w:val="G2UncaptionedImageChar"/>
    <w:qFormat/>
    <w:rsid w:val="005771C3"/>
    <w:pPr>
      <w:spacing w:before="160" w:after="160" w:line="240" w:lineRule="auto"/>
      <w:jc w:val="center"/>
    </w:pPr>
    <w:rPr>
      <w:rFonts w:ascii="Times New Roman" w:hAnsi="Times New Roman"/>
      <w:sz w:val="16"/>
      <w:szCs w:val="16"/>
    </w:rPr>
  </w:style>
  <w:style w:type="paragraph" w:customStyle="1" w:styleId="G3Equation">
    <w:name w:val="G3 Equation"/>
    <w:basedOn w:val="Normal"/>
    <w:link w:val="G3EquationChar"/>
    <w:qFormat/>
    <w:rsid w:val="005771C3"/>
    <w:pPr>
      <w:tabs>
        <w:tab w:val="center" w:pos="2268"/>
        <w:tab w:val="right" w:pos="4536"/>
      </w:tabs>
      <w:spacing w:before="160" w:after="160"/>
    </w:pPr>
  </w:style>
  <w:style w:type="paragraph" w:customStyle="1" w:styleId="N0Biography">
    <w:name w:val="N0 Biography"/>
    <w:basedOn w:val="08ArticleText"/>
    <w:link w:val="N0BiographyChar"/>
    <w:qFormat/>
    <w:rsid w:val="0092763E"/>
    <w:pPr>
      <w:pBdr>
        <w:top w:val="single" w:sz="6" w:space="1" w:color="auto"/>
      </w:pBdr>
    </w:pPr>
    <w:rPr>
      <w:i/>
    </w:rPr>
  </w:style>
  <w:style w:type="paragraph" w:customStyle="1" w:styleId="03Abstract">
    <w:name w:val="03 Abstract"/>
    <w:basedOn w:val="02PaperAuthors"/>
    <w:link w:val="03AbstractChar"/>
    <w:qFormat/>
    <w:rsid w:val="001F35E5"/>
    <w:pPr>
      <w:jc w:val="both"/>
    </w:pPr>
    <w:rPr>
      <w:w w:val="105"/>
      <w:sz w:val="16"/>
      <w:szCs w:val="16"/>
    </w:rPr>
  </w:style>
  <w:style w:type="character" w:customStyle="1" w:styleId="N0BiographyChar">
    <w:name w:val="N0 Biography Char"/>
    <w:link w:val="N0Biography"/>
    <w:rsid w:val="0092763E"/>
    <w:rPr>
      <w:rFonts w:ascii="Times New Roman" w:hAnsi="Times New Roman" w:cs="Times New Roman"/>
      <w:i/>
      <w:w w:val="108"/>
      <w:sz w:val="18"/>
      <w:szCs w:val="18"/>
    </w:rPr>
  </w:style>
  <w:style w:type="paragraph" w:customStyle="1" w:styleId="N2Footnotes">
    <w:name w:val="N2 Footnotes"/>
    <w:basedOn w:val="Normal"/>
    <w:link w:val="N2FootnotesChar"/>
    <w:qFormat/>
    <w:rsid w:val="00626CBE"/>
    <w:pPr>
      <w:tabs>
        <w:tab w:val="left" w:pos="284"/>
      </w:tabs>
      <w:spacing w:after="0" w:line="240" w:lineRule="exact"/>
      <w:jc w:val="both"/>
    </w:pPr>
    <w:rPr>
      <w:rFonts w:ascii="Times New Roman" w:hAnsi="Times New Roman"/>
      <w:w w:val="105"/>
      <w:sz w:val="16"/>
      <w:szCs w:val="16"/>
    </w:rPr>
  </w:style>
  <w:style w:type="character" w:customStyle="1" w:styleId="N1AuthorAddressChar">
    <w:name w:val="N1 Author Address Char"/>
    <w:link w:val="N1AuthorAddress"/>
    <w:rsid w:val="00272D6F"/>
    <w:rPr>
      <w:rFonts w:ascii="Times New Roman" w:hAnsi="Times New Roman" w:cs="Times New Roman"/>
      <w:w w:val="105"/>
      <w:sz w:val="16"/>
      <w:szCs w:val="16"/>
    </w:rPr>
  </w:style>
  <w:style w:type="paragraph" w:customStyle="1" w:styleId="N3References">
    <w:name w:val="N3 References"/>
    <w:basedOn w:val="Normal"/>
    <w:link w:val="N3ReferencesChar"/>
    <w:qFormat/>
    <w:rsid w:val="00626CBE"/>
    <w:pPr>
      <w:tabs>
        <w:tab w:val="left" w:pos="284"/>
      </w:tabs>
      <w:spacing w:after="0" w:line="240" w:lineRule="exact"/>
      <w:ind w:left="284" w:hanging="284"/>
      <w:jc w:val="both"/>
    </w:pPr>
    <w:rPr>
      <w:rFonts w:ascii="Times New Roman" w:hAnsi="Times New Roman"/>
      <w:w w:val="105"/>
      <w:sz w:val="16"/>
      <w:szCs w:val="16"/>
    </w:rPr>
  </w:style>
  <w:style w:type="character" w:customStyle="1" w:styleId="N2FootnotesChar">
    <w:name w:val="N2 Footnotes Char"/>
    <w:link w:val="N2Footnotes"/>
    <w:rsid w:val="00626CBE"/>
    <w:rPr>
      <w:rFonts w:ascii="Times New Roman" w:hAnsi="Times New Roman" w:cs="Times New Roman"/>
      <w:w w:val="105"/>
      <w:sz w:val="16"/>
      <w:szCs w:val="16"/>
    </w:rPr>
  </w:style>
  <w:style w:type="paragraph" w:styleId="NoSpacing">
    <w:name w:val="No Spacing"/>
    <w:uiPriority w:val="1"/>
    <w:rsid w:val="00272D6F"/>
    <w:rPr>
      <w:sz w:val="22"/>
      <w:szCs w:val="22"/>
      <w:lang w:eastAsia="en-US"/>
    </w:rPr>
  </w:style>
  <w:style w:type="character" w:customStyle="1" w:styleId="N3ReferencesChar">
    <w:name w:val="N3 References Char"/>
    <w:link w:val="N3References"/>
    <w:rsid w:val="00626CBE"/>
    <w:rPr>
      <w:rFonts w:ascii="Times New Roman" w:hAnsi="Times New Roman" w:cs="Times New Roman"/>
      <w:w w:val="105"/>
      <w:sz w:val="16"/>
      <w:szCs w:val="16"/>
    </w:rPr>
  </w:style>
  <w:style w:type="paragraph" w:customStyle="1" w:styleId="04AHeading">
    <w:name w:val="04 A Heading"/>
    <w:basedOn w:val="Normal"/>
    <w:next w:val="08ArticleText"/>
    <w:link w:val="04AHeadingChar"/>
    <w:qFormat/>
    <w:rsid w:val="00AB16D0"/>
    <w:pPr>
      <w:spacing w:before="240" w:after="120" w:line="240" w:lineRule="auto"/>
    </w:pPr>
    <w:rPr>
      <w:b/>
    </w:rPr>
  </w:style>
  <w:style w:type="character" w:customStyle="1" w:styleId="01PaperTitleChar">
    <w:name w:val="01 Paper Title Char"/>
    <w:link w:val="01PaperTitle"/>
    <w:rsid w:val="00EA446A"/>
    <w:rPr>
      <w:rFonts w:ascii="Myriad Pro Light" w:hAnsi="Myriad Pro Light"/>
      <w:b/>
      <w:spacing w:val="4"/>
      <w:sz w:val="32"/>
      <w:szCs w:val="32"/>
    </w:rPr>
  </w:style>
  <w:style w:type="character" w:customStyle="1" w:styleId="02PaperAuthorsChar">
    <w:name w:val="02 Paper Authors Char"/>
    <w:link w:val="02PaperAuthors"/>
    <w:rsid w:val="00AB16D0"/>
    <w:rPr>
      <w:rFonts w:ascii="Myriad Pro" w:hAnsi="Myriad Pro"/>
      <w:spacing w:val="4"/>
    </w:rPr>
  </w:style>
  <w:style w:type="character" w:customStyle="1" w:styleId="09ListTextChar">
    <w:name w:val="09 List Text Char"/>
    <w:link w:val="09ListText"/>
    <w:rsid w:val="00EF1577"/>
    <w:rPr>
      <w:rFonts w:ascii="Times New Roman" w:eastAsia="Times New Roman" w:hAnsi="Times New Roman" w:cs="Times New Roman"/>
      <w:w w:val="108"/>
      <w:sz w:val="18"/>
      <w:szCs w:val="18"/>
      <w:lang w:eastAsia="en-GB"/>
    </w:rPr>
  </w:style>
  <w:style w:type="character" w:customStyle="1" w:styleId="04AHeadingChar">
    <w:name w:val="04 A Heading Char"/>
    <w:link w:val="04AHeading"/>
    <w:rsid w:val="00AB16D0"/>
    <w:rPr>
      <w:b/>
    </w:rPr>
  </w:style>
  <w:style w:type="character" w:customStyle="1" w:styleId="05BHeadingChar">
    <w:name w:val="05 B Heading Char"/>
    <w:link w:val="05BHeading"/>
    <w:rsid w:val="00AB16D0"/>
    <w:rPr>
      <w:rFonts w:ascii="Times New Roman" w:hAnsi="Times New Roman" w:cs="Times New Roman"/>
      <w:b/>
      <w:sz w:val="18"/>
      <w:szCs w:val="18"/>
    </w:rPr>
  </w:style>
  <w:style w:type="paragraph" w:customStyle="1" w:styleId="G4aTableTitle">
    <w:name w:val="G4a Table Title"/>
    <w:basedOn w:val="Normal"/>
    <w:next w:val="G4bTableBody"/>
    <w:link w:val="G4aTableTitleChar"/>
    <w:qFormat/>
    <w:rsid w:val="0092763E"/>
    <w:pPr>
      <w:keepNext/>
      <w:keepLines/>
      <w:pBdr>
        <w:top w:val="single" w:sz="12" w:space="1" w:color="999999"/>
        <w:bottom w:val="single" w:sz="6" w:space="1" w:color="auto"/>
      </w:pBdr>
      <w:spacing w:before="120" w:after="120" w:line="190" w:lineRule="exact"/>
    </w:pPr>
    <w:rPr>
      <w:rFonts w:ascii="Times New Roman" w:eastAsia="Times New Roman" w:hAnsi="Times New Roman"/>
      <w:sz w:val="16"/>
      <w:szCs w:val="20"/>
      <w:lang w:eastAsia="en-GB"/>
    </w:rPr>
  </w:style>
  <w:style w:type="character" w:customStyle="1" w:styleId="G1aFigureImageChar">
    <w:name w:val="G1a Figure Image Char"/>
    <w:link w:val="G1aFigureImage"/>
    <w:rsid w:val="005771C3"/>
    <w:rPr>
      <w:rFonts w:ascii="Times New Roman" w:hAnsi="Times New Roman" w:cs="Times New Roman"/>
      <w:w w:val="108"/>
      <w:sz w:val="18"/>
      <w:szCs w:val="18"/>
    </w:rPr>
  </w:style>
  <w:style w:type="character" w:customStyle="1" w:styleId="G1bFigureCaptionChar">
    <w:name w:val="G1b Figure Caption Char"/>
    <w:link w:val="G1bFigureCaption"/>
    <w:rsid w:val="005771C3"/>
    <w:rPr>
      <w:rFonts w:cs="Calibri"/>
      <w:w w:val="108"/>
      <w:sz w:val="14"/>
      <w:szCs w:val="14"/>
    </w:rPr>
  </w:style>
  <w:style w:type="character" w:customStyle="1" w:styleId="G2UncaptionedImageChar">
    <w:name w:val="G2 Uncaptioned Image Char"/>
    <w:link w:val="G2UncaptionedImage"/>
    <w:rsid w:val="005771C3"/>
    <w:rPr>
      <w:rFonts w:ascii="Times New Roman" w:hAnsi="Times New Roman" w:cs="Times New Roman"/>
      <w:sz w:val="16"/>
      <w:szCs w:val="16"/>
    </w:rPr>
  </w:style>
  <w:style w:type="character" w:customStyle="1" w:styleId="G3EquationChar">
    <w:name w:val="G3 Equation Char"/>
    <w:basedOn w:val="DefaultParagraphFont"/>
    <w:link w:val="G3Equation"/>
    <w:rsid w:val="005771C3"/>
  </w:style>
  <w:style w:type="paragraph" w:customStyle="1" w:styleId="G4bTableBody">
    <w:name w:val="G4b Table Body"/>
    <w:basedOn w:val="Normal"/>
    <w:next w:val="G4cTableFootnote"/>
    <w:link w:val="G4bTableBodyChar"/>
    <w:qFormat/>
    <w:rsid w:val="0092763E"/>
    <w:pPr>
      <w:keepNext/>
      <w:keepLines/>
      <w:spacing w:after="0" w:line="240" w:lineRule="auto"/>
      <w:jc w:val="center"/>
    </w:pPr>
    <w:rPr>
      <w:rFonts w:ascii="Times New Roman" w:eastAsia="Times New Roman" w:hAnsi="Times New Roman"/>
      <w:sz w:val="16"/>
      <w:szCs w:val="16"/>
      <w:lang w:eastAsia="en-GB"/>
    </w:rPr>
  </w:style>
  <w:style w:type="character" w:customStyle="1" w:styleId="G4aTableTitleChar">
    <w:name w:val="G4a Table Title Char"/>
    <w:link w:val="G4aTableTitle"/>
    <w:rsid w:val="0092763E"/>
    <w:rPr>
      <w:rFonts w:ascii="Times New Roman" w:eastAsia="Times New Roman" w:hAnsi="Times New Roman" w:cs="Times New Roman"/>
      <w:sz w:val="16"/>
      <w:szCs w:val="20"/>
      <w:lang w:eastAsia="en-GB"/>
    </w:rPr>
  </w:style>
  <w:style w:type="paragraph" w:customStyle="1" w:styleId="G4cTableFootnote">
    <w:name w:val="G4c Table Footnote"/>
    <w:basedOn w:val="Normal"/>
    <w:next w:val="08ArticleText"/>
    <w:link w:val="G4cTableFootnoteChar"/>
    <w:qFormat/>
    <w:rsid w:val="0092763E"/>
    <w:pPr>
      <w:keepLines/>
      <w:pBdr>
        <w:bottom w:val="single" w:sz="12" w:space="1" w:color="999999"/>
      </w:pBdr>
      <w:spacing w:before="120" w:after="160" w:line="240" w:lineRule="auto"/>
    </w:pPr>
    <w:rPr>
      <w:rFonts w:ascii="Times New Roman" w:eastAsia="Times New Roman" w:hAnsi="Times New Roman"/>
      <w:sz w:val="16"/>
      <w:szCs w:val="20"/>
      <w:lang w:eastAsia="en-GB"/>
    </w:rPr>
  </w:style>
  <w:style w:type="character" w:customStyle="1" w:styleId="03AbstractChar">
    <w:name w:val="03 Abstract Char"/>
    <w:link w:val="03Abstract"/>
    <w:rsid w:val="001F35E5"/>
    <w:rPr>
      <w:rFonts w:ascii="Myriad Pro" w:hAnsi="Myriad Pro"/>
      <w:spacing w:val="4"/>
      <w:w w:val="105"/>
      <w:sz w:val="16"/>
      <w:szCs w:val="16"/>
    </w:rPr>
  </w:style>
  <w:style w:type="character" w:customStyle="1" w:styleId="G4bTableBodyChar">
    <w:name w:val="G4b Table Body Char"/>
    <w:link w:val="G4bTableBody"/>
    <w:rsid w:val="0092763E"/>
    <w:rPr>
      <w:rFonts w:ascii="Times New Roman" w:eastAsia="Times New Roman" w:hAnsi="Times New Roman" w:cs="Times New Roman"/>
      <w:sz w:val="16"/>
      <w:szCs w:val="16"/>
      <w:lang w:eastAsia="en-GB"/>
    </w:rPr>
  </w:style>
  <w:style w:type="character" w:customStyle="1" w:styleId="G4cTableFootnoteChar">
    <w:name w:val="G4c Table Footnote Char"/>
    <w:link w:val="G4cTableFootnote"/>
    <w:rsid w:val="0092763E"/>
    <w:rPr>
      <w:rFonts w:ascii="Times New Roman" w:eastAsia="Times New Roman" w:hAnsi="Times New Roman" w:cs="Times New Roman"/>
      <w:sz w:val="16"/>
      <w:szCs w:val="20"/>
      <w:lang w:eastAsia="en-GB"/>
    </w:rPr>
  </w:style>
  <w:style w:type="character" w:styleId="CommentReference">
    <w:name w:val="annotation reference"/>
    <w:uiPriority w:val="99"/>
    <w:semiHidden/>
    <w:unhideWhenUsed/>
    <w:rsid w:val="00FB2D8F"/>
    <w:rPr>
      <w:sz w:val="16"/>
      <w:szCs w:val="16"/>
    </w:rPr>
  </w:style>
  <w:style w:type="paragraph" w:styleId="CommentText">
    <w:name w:val="annotation text"/>
    <w:basedOn w:val="Normal"/>
    <w:link w:val="CommentTextChar"/>
    <w:uiPriority w:val="99"/>
    <w:semiHidden/>
    <w:unhideWhenUsed/>
    <w:rsid w:val="00FB2D8F"/>
    <w:pPr>
      <w:spacing w:line="240" w:lineRule="auto"/>
    </w:pPr>
    <w:rPr>
      <w:sz w:val="20"/>
      <w:szCs w:val="20"/>
    </w:rPr>
  </w:style>
  <w:style w:type="character" w:customStyle="1" w:styleId="CommentTextChar">
    <w:name w:val="Comment Text Char"/>
    <w:link w:val="CommentText"/>
    <w:uiPriority w:val="99"/>
    <w:semiHidden/>
    <w:rsid w:val="00FB2D8F"/>
    <w:rPr>
      <w:sz w:val="20"/>
      <w:szCs w:val="20"/>
    </w:rPr>
  </w:style>
  <w:style w:type="paragraph" w:styleId="CommentSubject">
    <w:name w:val="annotation subject"/>
    <w:basedOn w:val="CommentText"/>
    <w:next w:val="CommentText"/>
    <w:link w:val="CommentSubjectChar"/>
    <w:uiPriority w:val="99"/>
    <w:semiHidden/>
    <w:unhideWhenUsed/>
    <w:rsid w:val="00FB2D8F"/>
    <w:rPr>
      <w:b/>
      <w:bCs/>
    </w:rPr>
  </w:style>
  <w:style w:type="character" w:customStyle="1" w:styleId="CommentSubjectChar">
    <w:name w:val="Comment Subject Char"/>
    <w:link w:val="CommentSubject"/>
    <w:uiPriority w:val="99"/>
    <w:semiHidden/>
    <w:rsid w:val="00FB2D8F"/>
    <w:rPr>
      <w:b/>
      <w:bCs/>
      <w:sz w:val="20"/>
      <w:szCs w:val="20"/>
    </w:rPr>
  </w:style>
  <w:style w:type="paragraph" w:styleId="NormalWeb">
    <w:name w:val="Normal (Web)"/>
    <w:basedOn w:val="Normal"/>
    <w:uiPriority w:val="99"/>
    <w:unhideWhenUsed/>
    <w:rsid w:val="00F24BFF"/>
    <w:pPr>
      <w:spacing w:before="100" w:beforeAutospacing="1" w:after="100" w:afterAutospacing="1" w:line="240" w:lineRule="auto"/>
    </w:pPr>
    <w:rPr>
      <w:rFonts w:ascii="Times" w:eastAsiaTheme="minorEastAsia"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020838">
      <w:bodyDiv w:val="1"/>
      <w:marLeft w:val="0"/>
      <w:marRight w:val="0"/>
      <w:marTop w:val="0"/>
      <w:marBottom w:val="0"/>
      <w:divBdr>
        <w:top w:val="none" w:sz="0" w:space="0" w:color="auto"/>
        <w:left w:val="none" w:sz="0" w:space="0" w:color="auto"/>
        <w:bottom w:val="none" w:sz="0" w:space="0" w:color="auto"/>
        <w:right w:val="none" w:sz="0" w:space="0" w:color="auto"/>
      </w:divBdr>
    </w:div>
    <w:div w:id="844704871">
      <w:bodyDiv w:val="1"/>
      <w:marLeft w:val="0"/>
      <w:marRight w:val="0"/>
      <w:marTop w:val="0"/>
      <w:marBottom w:val="0"/>
      <w:divBdr>
        <w:top w:val="none" w:sz="0" w:space="0" w:color="auto"/>
        <w:left w:val="none" w:sz="0" w:space="0" w:color="auto"/>
        <w:bottom w:val="none" w:sz="0" w:space="0" w:color="auto"/>
        <w:right w:val="none" w:sz="0" w:space="0" w:color="auto"/>
      </w:divBdr>
    </w:div>
    <w:div w:id="911811686">
      <w:bodyDiv w:val="1"/>
      <w:marLeft w:val="0"/>
      <w:marRight w:val="0"/>
      <w:marTop w:val="0"/>
      <w:marBottom w:val="0"/>
      <w:divBdr>
        <w:top w:val="none" w:sz="0" w:space="0" w:color="auto"/>
        <w:left w:val="none" w:sz="0" w:space="0" w:color="auto"/>
        <w:bottom w:val="none" w:sz="0" w:space="0" w:color="auto"/>
        <w:right w:val="none" w:sz="0" w:space="0" w:color="auto"/>
      </w:divBdr>
      <w:divsChild>
        <w:div w:id="1675376323">
          <w:marLeft w:val="0"/>
          <w:marRight w:val="0"/>
          <w:marTop w:val="0"/>
          <w:marBottom w:val="0"/>
          <w:divBdr>
            <w:top w:val="none" w:sz="0" w:space="0" w:color="auto"/>
            <w:left w:val="none" w:sz="0" w:space="0" w:color="auto"/>
            <w:bottom w:val="none" w:sz="0" w:space="0" w:color="auto"/>
            <w:right w:val="none" w:sz="0" w:space="0" w:color="auto"/>
          </w:divBdr>
          <w:divsChild>
            <w:div w:id="274138611">
              <w:marLeft w:val="0"/>
              <w:marRight w:val="0"/>
              <w:marTop w:val="0"/>
              <w:marBottom w:val="0"/>
              <w:divBdr>
                <w:top w:val="none" w:sz="0" w:space="0" w:color="auto"/>
                <w:left w:val="none" w:sz="0" w:space="0" w:color="auto"/>
                <w:bottom w:val="none" w:sz="0" w:space="0" w:color="auto"/>
                <w:right w:val="none" w:sz="0" w:space="0" w:color="auto"/>
              </w:divBdr>
              <w:divsChild>
                <w:div w:id="1142230933">
                  <w:marLeft w:val="0"/>
                  <w:marRight w:val="0"/>
                  <w:marTop w:val="0"/>
                  <w:marBottom w:val="0"/>
                  <w:divBdr>
                    <w:top w:val="none" w:sz="0" w:space="0" w:color="auto"/>
                    <w:left w:val="none" w:sz="0" w:space="0" w:color="auto"/>
                    <w:bottom w:val="none" w:sz="0" w:space="0" w:color="auto"/>
                    <w:right w:val="none" w:sz="0" w:space="0" w:color="auto"/>
                  </w:divBdr>
                  <w:divsChild>
                    <w:div w:id="948196115">
                      <w:marLeft w:val="0"/>
                      <w:marRight w:val="0"/>
                      <w:marTop w:val="0"/>
                      <w:marBottom w:val="0"/>
                      <w:divBdr>
                        <w:top w:val="none" w:sz="0" w:space="0" w:color="auto"/>
                        <w:left w:val="none" w:sz="0" w:space="0" w:color="auto"/>
                        <w:bottom w:val="none" w:sz="0" w:space="0" w:color="auto"/>
                        <w:right w:val="none" w:sz="0" w:space="0" w:color="auto"/>
                      </w:divBdr>
                      <w:divsChild>
                        <w:div w:id="357779362">
                          <w:marLeft w:val="0"/>
                          <w:marRight w:val="0"/>
                          <w:marTop w:val="0"/>
                          <w:marBottom w:val="0"/>
                          <w:divBdr>
                            <w:top w:val="none" w:sz="0" w:space="0" w:color="auto"/>
                            <w:left w:val="none" w:sz="0" w:space="0" w:color="auto"/>
                            <w:bottom w:val="none" w:sz="0" w:space="0" w:color="auto"/>
                            <w:right w:val="none" w:sz="0" w:space="0" w:color="auto"/>
                          </w:divBdr>
                          <w:divsChild>
                            <w:div w:id="690225519">
                              <w:marLeft w:val="0"/>
                              <w:marRight w:val="0"/>
                              <w:marTop w:val="0"/>
                              <w:marBottom w:val="0"/>
                              <w:divBdr>
                                <w:top w:val="none" w:sz="0" w:space="0" w:color="auto"/>
                                <w:left w:val="none" w:sz="0" w:space="0" w:color="auto"/>
                                <w:bottom w:val="none" w:sz="0" w:space="0" w:color="auto"/>
                                <w:right w:val="none" w:sz="0" w:space="0" w:color="auto"/>
                              </w:divBdr>
                              <w:divsChild>
                                <w:div w:id="995260515">
                                  <w:marLeft w:val="0"/>
                                  <w:marRight w:val="0"/>
                                  <w:marTop w:val="0"/>
                                  <w:marBottom w:val="0"/>
                                  <w:divBdr>
                                    <w:top w:val="none" w:sz="0" w:space="0" w:color="auto"/>
                                    <w:left w:val="none" w:sz="0" w:space="0" w:color="auto"/>
                                    <w:bottom w:val="none" w:sz="0" w:space="0" w:color="auto"/>
                                    <w:right w:val="none" w:sz="0" w:space="0" w:color="auto"/>
                                  </w:divBdr>
                                  <w:divsChild>
                                    <w:div w:id="1601138667">
                                      <w:marLeft w:val="0"/>
                                      <w:marRight w:val="0"/>
                                      <w:marTop w:val="0"/>
                                      <w:marBottom w:val="0"/>
                                      <w:divBdr>
                                        <w:top w:val="none" w:sz="0" w:space="0" w:color="auto"/>
                                        <w:left w:val="none" w:sz="0" w:space="0" w:color="auto"/>
                                        <w:bottom w:val="none" w:sz="0" w:space="0" w:color="auto"/>
                                        <w:right w:val="none" w:sz="0" w:space="0" w:color="auto"/>
                                      </w:divBdr>
                                      <w:divsChild>
                                        <w:div w:id="643512932">
                                          <w:marLeft w:val="0"/>
                                          <w:marRight w:val="0"/>
                                          <w:marTop w:val="0"/>
                                          <w:marBottom w:val="0"/>
                                          <w:divBdr>
                                            <w:top w:val="none" w:sz="0" w:space="0" w:color="auto"/>
                                            <w:left w:val="none" w:sz="0" w:space="0" w:color="auto"/>
                                            <w:bottom w:val="none" w:sz="0" w:space="0" w:color="auto"/>
                                            <w:right w:val="none" w:sz="0" w:space="0" w:color="auto"/>
                                          </w:divBdr>
                                          <w:divsChild>
                                            <w:div w:id="1686010725">
                                              <w:marLeft w:val="0"/>
                                              <w:marRight w:val="0"/>
                                              <w:marTop w:val="0"/>
                                              <w:marBottom w:val="0"/>
                                              <w:divBdr>
                                                <w:top w:val="none" w:sz="0" w:space="0" w:color="auto"/>
                                                <w:left w:val="none" w:sz="0" w:space="0" w:color="auto"/>
                                                <w:bottom w:val="none" w:sz="0" w:space="0" w:color="auto"/>
                                                <w:right w:val="none" w:sz="0" w:space="0" w:color="auto"/>
                                              </w:divBdr>
                                              <w:divsChild>
                                                <w:div w:id="672486746">
                                                  <w:marLeft w:val="0"/>
                                                  <w:marRight w:val="0"/>
                                                  <w:marTop w:val="0"/>
                                                  <w:marBottom w:val="0"/>
                                                  <w:divBdr>
                                                    <w:top w:val="none" w:sz="0" w:space="0" w:color="auto"/>
                                                    <w:left w:val="none" w:sz="0" w:space="0" w:color="auto"/>
                                                    <w:bottom w:val="none" w:sz="0" w:space="0" w:color="auto"/>
                                                    <w:right w:val="none" w:sz="0" w:space="0" w:color="auto"/>
                                                  </w:divBdr>
                                                  <w:divsChild>
                                                    <w:div w:id="912205682">
                                                      <w:marLeft w:val="0"/>
                                                      <w:marRight w:val="0"/>
                                                      <w:marTop w:val="0"/>
                                                      <w:marBottom w:val="0"/>
                                                      <w:divBdr>
                                                        <w:top w:val="none" w:sz="0" w:space="0" w:color="auto"/>
                                                        <w:left w:val="none" w:sz="0" w:space="0" w:color="auto"/>
                                                        <w:bottom w:val="none" w:sz="0" w:space="0" w:color="auto"/>
                                                        <w:right w:val="none" w:sz="0" w:space="0" w:color="auto"/>
                                                      </w:divBdr>
                                                      <w:divsChild>
                                                        <w:div w:id="1396658018">
                                                          <w:marLeft w:val="0"/>
                                                          <w:marRight w:val="0"/>
                                                          <w:marTop w:val="0"/>
                                                          <w:marBottom w:val="0"/>
                                                          <w:divBdr>
                                                            <w:top w:val="none" w:sz="0" w:space="0" w:color="auto"/>
                                                            <w:left w:val="none" w:sz="0" w:space="0" w:color="auto"/>
                                                            <w:bottom w:val="none" w:sz="0" w:space="0" w:color="auto"/>
                                                            <w:right w:val="none" w:sz="0" w:space="0" w:color="auto"/>
                                                          </w:divBdr>
                                                          <w:divsChild>
                                                            <w:div w:id="1839149130">
                                                              <w:marLeft w:val="0"/>
                                                              <w:marRight w:val="0"/>
                                                              <w:marTop w:val="0"/>
                                                              <w:marBottom w:val="0"/>
                                                              <w:divBdr>
                                                                <w:top w:val="none" w:sz="0" w:space="0" w:color="auto"/>
                                                                <w:left w:val="none" w:sz="0" w:space="0" w:color="auto"/>
                                                                <w:bottom w:val="none" w:sz="0" w:space="0" w:color="auto"/>
                                                                <w:right w:val="none" w:sz="0" w:space="0" w:color="auto"/>
                                                              </w:divBdr>
                                                              <w:divsChild>
                                                                <w:div w:id="1458911877">
                                                                  <w:marLeft w:val="0"/>
                                                                  <w:marRight w:val="0"/>
                                                                  <w:marTop w:val="0"/>
                                                                  <w:marBottom w:val="0"/>
                                                                  <w:divBdr>
                                                                    <w:top w:val="none" w:sz="0" w:space="0" w:color="auto"/>
                                                                    <w:left w:val="none" w:sz="0" w:space="0" w:color="auto"/>
                                                                    <w:bottom w:val="none" w:sz="0" w:space="0" w:color="auto"/>
                                                                    <w:right w:val="none" w:sz="0" w:space="0" w:color="auto"/>
                                                                  </w:divBdr>
                                                                  <w:divsChild>
                                                                    <w:div w:id="1110590476">
                                                                      <w:marLeft w:val="0"/>
                                                                      <w:marRight w:val="0"/>
                                                                      <w:marTop w:val="0"/>
                                                                      <w:marBottom w:val="0"/>
                                                                      <w:divBdr>
                                                                        <w:top w:val="none" w:sz="0" w:space="0" w:color="auto"/>
                                                                        <w:left w:val="none" w:sz="0" w:space="0" w:color="auto"/>
                                                                        <w:bottom w:val="none" w:sz="0" w:space="0" w:color="auto"/>
                                                                        <w:right w:val="none" w:sz="0" w:space="0" w:color="auto"/>
                                                                      </w:divBdr>
                                                                      <w:divsChild>
                                                                        <w:div w:id="1924411606">
                                                                          <w:marLeft w:val="0"/>
                                                                          <w:marRight w:val="0"/>
                                                                          <w:marTop w:val="0"/>
                                                                          <w:marBottom w:val="0"/>
                                                                          <w:divBdr>
                                                                            <w:top w:val="none" w:sz="0" w:space="0" w:color="auto"/>
                                                                            <w:left w:val="none" w:sz="0" w:space="0" w:color="auto"/>
                                                                            <w:bottom w:val="none" w:sz="0" w:space="0" w:color="auto"/>
                                                                            <w:right w:val="none" w:sz="0" w:space="0" w:color="auto"/>
                                                                          </w:divBdr>
                                                                          <w:divsChild>
                                                                            <w:div w:id="2045327091">
                                                                              <w:marLeft w:val="0"/>
                                                                              <w:marRight w:val="0"/>
                                                                              <w:marTop w:val="0"/>
                                                                              <w:marBottom w:val="0"/>
                                                                              <w:divBdr>
                                                                                <w:top w:val="none" w:sz="0" w:space="0" w:color="auto"/>
                                                                                <w:left w:val="none" w:sz="0" w:space="0" w:color="auto"/>
                                                                                <w:bottom w:val="none" w:sz="0" w:space="0" w:color="auto"/>
                                                                                <w:right w:val="none" w:sz="0" w:space="0" w:color="auto"/>
                                                                              </w:divBdr>
                                                                              <w:divsChild>
                                                                                <w:div w:id="1038965462">
                                                                                  <w:marLeft w:val="0"/>
                                                                                  <w:marRight w:val="0"/>
                                                                                  <w:marTop w:val="0"/>
                                                                                  <w:marBottom w:val="0"/>
                                                                                  <w:divBdr>
                                                                                    <w:top w:val="none" w:sz="0" w:space="0" w:color="auto"/>
                                                                                    <w:left w:val="none" w:sz="0" w:space="0" w:color="auto"/>
                                                                                    <w:bottom w:val="none" w:sz="0" w:space="0" w:color="auto"/>
                                                                                    <w:right w:val="none" w:sz="0" w:space="0" w:color="auto"/>
                                                                                  </w:divBdr>
                                                                                  <w:divsChild>
                                                                                    <w:div w:id="520558079">
                                                                                      <w:marLeft w:val="0"/>
                                                                                      <w:marRight w:val="0"/>
                                                                                      <w:marTop w:val="0"/>
                                                                                      <w:marBottom w:val="0"/>
                                                                                      <w:divBdr>
                                                                                        <w:top w:val="none" w:sz="0" w:space="0" w:color="auto"/>
                                                                                        <w:left w:val="none" w:sz="0" w:space="0" w:color="auto"/>
                                                                                        <w:bottom w:val="none" w:sz="0" w:space="0" w:color="auto"/>
                                                                                        <w:right w:val="none" w:sz="0" w:space="0" w:color="auto"/>
                                                                                      </w:divBdr>
                                                                                      <w:divsChild>
                                                                                        <w:div w:id="744372955">
                                                                                          <w:marLeft w:val="0"/>
                                                                                          <w:marRight w:val="0"/>
                                                                                          <w:marTop w:val="0"/>
                                                                                          <w:marBottom w:val="0"/>
                                                                                          <w:divBdr>
                                                                                            <w:top w:val="none" w:sz="0" w:space="0" w:color="auto"/>
                                                                                            <w:left w:val="none" w:sz="0" w:space="0" w:color="auto"/>
                                                                                            <w:bottom w:val="none" w:sz="0" w:space="0" w:color="auto"/>
                                                                                            <w:right w:val="none" w:sz="0" w:space="0" w:color="auto"/>
                                                                                          </w:divBdr>
                                                                                          <w:divsChild>
                                                                                            <w:div w:id="110636304">
                                                                                              <w:marLeft w:val="0"/>
                                                                                              <w:marRight w:val="0"/>
                                                                                              <w:marTop w:val="0"/>
                                                                                              <w:marBottom w:val="0"/>
                                                                                              <w:divBdr>
                                                                                                <w:top w:val="none" w:sz="0" w:space="0" w:color="auto"/>
                                                                                                <w:left w:val="none" w:sz="0" w:space="0" w:color="auto"/>
                                                                                                <w:bottom w:val="none" w:sz="0" w:space="0" w:color="auto"/>
                                                                                                <w:right w:val="none" w:sz="0" w:space="0" w:color="auto"/>
                                                                                              </w:divBdr>
                                                                                              <w:divsChild>
                                                                                                <w:div w:id="686752519">
                                                                                                  <w:marLeft w:val="0"/>
                                                                                                  <w:marRight w:val="0"/>
                                                                                                  <w:marTop w:val="0"/>
                                                                                                  <w:marBottom w:val="0"/>
                                                                                                  <w:divBdr>
                                                                                                    <w:top w:val="none" w:sz="0" w:space="0" w:color="auto"/>
                                                                                                    <w:left w:val="none" w:sz="0" w:space="0" w:color="auto"/>
                                                                                                    <w:bottom w:val="none" w:sz="0" w:space="0" w:color="auto"/>
                                                                                                    <w:right w:val="none" w:sz="0" w:space="0" w:color="auto"/>
                                                                                                  </w:divBdr>
                                                                                                  <w:divsChild>
                                                                                                    <w:div w:id="1962297587">
                                                                                                      <w:marLeft w:val="0"/>
                                                                                                      <w:marRight w:val="0"/>
                                                                                                      <w:marTop w:val="0"/>
                                                                                                      <w:marBottom w:val="0"/>
                                                                                                      <w:divBdr>
                                                                                                        <w:top w:val="none" w:sz="0" w:space="0" w:color="auto"/>
                                                                                                        <w:left w:val="none" w:sz="0" w:space="0" w:color="auto"/>
                                                                                                        <w:bottom w:val="none" w:sz="0" w:space="0" w:color="auto"/>
                                                                                                        <w:right w:val="none" w:sz="0" w:space="0" w:color="auto"/>
                                                                                                      </w:divBdr>
                                                                                                      <w:divsChild>
                                                                                                        <w:div w:id="1775636277">
                                                                                                          <w:marLeft w:val="0"/>
                                                                                                          <w:marRight w:val="0"/>
                                                                                                          <w:marTop w:val="0"/>
                                                                                                          <w:marBottom w:val="0"/>
                                                                                                          <w:divBdr>
                                                                                                            <w:top w:val="none" w:sz="0" w:space="0" w:color="auto"/>
                                                                                                            <w:left w:val="none" w:sz="0" w:space="0" w:color="auto"/>
                                                                                                            <w:bottom w:val="none" w:sz="0" w:space="0" w:color="auto"/>
                                                                                                            <w:right w:val="none" w:sz="0" w:space="0" w:color="auto"/>
                                                                                                          </w:divBdr>
                                                                                                          <w:divsChild>
                                                                                                            <w:div w:id="2132624151">
                                                                                                              <w:marLeft w:val="0"/>
                                                                                                              <w:marRight w:val="0"/>
                                                                                                              <w:marTop w:val="0"/>
                                                                                                              <w:marBottom w:val="0"/>
                                                                                                              <w:divBdr>
                                                                                                                <w:top w:val="none" w:sz="0" w:space="0" w:color="auto"/>
                                                                                                                <w:left w:val="none" w:sz="0" w:space="0" w:color="auto"/>
                                                                                                                <w:bottom w:val="none" w:sz="0" w:space="0" w:color="auto"/>
                                                                                                                <w:right w:val="none" w:sz="0" w:space="0" w:color="auto"/>
                                                                                                              </w:divBdr>
                                                                                                              <w:divsChild>
                                                                                                                <w:div w:id="1895696862">
                                                                                                                  <w:marLeft w:val="0"/>
                                                                                                                  <w:marRight w:val="0"/>
                                                                                                                  <w:marTop w:val="0"/>
                                                                                                                  <w:marBottom w:val="0"/>
                                                                                                                  <w:divBdr>
                                                                                                                    <w:top w:val="none" w:sz="0" w:space="0" w:color="auto"/>
                                                                                                                    <w:left w:val="none" w:sz="0" w:space="0" w:color="auto"/>
                                                                                                                    <w:bottom w:val="none" w:sz="0" w:space="0" w:color="auto"/>
                                                                                                                    <w:right w:val="none" w:sz="0" w:space="0" w:color="auto"/>
                                                                                                                  </w:divBdr>
                                                                                                                  <w:divsChild>
                                                                                                                    <w:div w:id="29422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image" Target="media/image6.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emf"/><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nb1g09:Library:Application%20Support:Microsoft:Office:User%20Templates:My%20Templates:RSC%20Full%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0BE2-2784-3F4D-BEFE-AD8D82144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RSC Full Paper Template.dotx</Template>
  <TotalTime>261</TotalTime>
  <Pages>8</Pages>
  <Words>19356</Words>
  <Characters>110331</Characters>
  <Application>Microsoft Macintosh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The Royal Society of Chemistry</Company>
  <LinksUpToDate>false</LinksUpToDate>
  <CharactersWithSpaces>129429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Berry</dc:creator>
  <cp:lastModifiedBy>Philip Gale</cp:lastModifiedBy>
  <cp:revision>23</cp:revision>
  <cp:lastPrinted>2015-01-09T09:29:00Z</cp:lastPrinted>
  <dcterms:created xsi:type="dcterms:W3CDTF">2015-01-08T10:27:00Z</dcterms:created>
  <dcterms:modified xsi:type="dcterms:W3CDTF">2015-01-09T13:49:00Z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snb1g09@soton.ac.uk@www.mendeley.com</vt:lpwstr>
  </property>
  <property fmtid="{D5CDD505-2E9C-101B-9397-08002B2CF9AE}" pid="4" name="Mendeley Citation Style_1">
    <vt:lpwstr>http://www.zotero.org/styles/royal-society-of-chemistry</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6th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