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0DA" w:rsidRDefault="000C40DA" w:rsidP="000C40DA">
      <w:pPr>
        <w:pStyle w:val="Heading1"/>
      </w:pPr>
      <w:bookmarkStart w:id="0" w:name="_GoBack"/>
      <w:bookmarkEnd w:id="0"/>
      <w:r>
        <w:t>PNEUMOCOCCAL VACCINATION FOR WELDERS</w:t>
      </w:r>
    </w:p>
    <w:p w:rsidR="000C40DA" w:rsidRDefault="000C40DA" w:rsidP="000C40DA">
      <w:pPr>
        <w:pStyle w:val="Heading1"/>
      </w:pPr>
    </w:p>
    <w:p w:rsidR="000C40DA" w:rsidRDefault="000C40DA" w:rsidP="000C40DA"/>
    <w:p w:rsidR="000C40DA" w:rsidRDefault="000C40DA" w:rsidP="000C40DA"/>
    <w:p w:rsidR="000C40DA" w:rsidRPr="000C40DA" w:rsidRDefault="000C40DA" w:rsidP="000C40DA"/>
    <w:p w:rsidR="000C40DA" w:rsidRPr="003B6E51" w:rsidRDefault="000C40DA" w:rsidP="000C40DA">
      <w:pPr>
        <w:jc w:val="center"/>
        <w:rPr>
          <w:b/>
          <w:vertAlign w:val="superscript"/>
        </w:rPr>
      </w:pPr>
      <w:r w:rsidRPr="000C40DA">
        <w:rPr>
          <w:b/>
        </w:rPr>
        <w:t>David Coggon</w:t>
      </w:r>
      <w:r w:rsidR="003B6E51">
        <w:rPr>
          <w:b/>
          <w:vertAlign w:val="superscript"/>
        </w:rPr>
        <w:t>1</w:t>
      </w:r>
    </w:p>
    <w:p w:rsidR="000C40DA" w:rsidRPr="003B6E51" w:rsidRDefault="000C40DA" w:rsidP="000C40DA">
      <w:pPr>
        <w:jc w:val="center"/>
        <w:rPr>
          <w:b/>
          <w:vertAlign w:val="superscript"/>
        </w:rPr>
      </w:pPr>
      <w:r w:rsidRPr="000C40DA">
        <w:rPr>
          <w:b/>
        </w:rPr>
        <w:t>E Clare Harris</w:t>
      </w:r>
      <w:r w:rsidR="003B6E51">
        <w:rPr>
          <w:b/>
          <w:vertAlign w:val="superscript"/>
        </w:rPr>
        <w:t>1</w:t>
      </w:r>
    </w:p>
    <w:p w:rsidR="000C40DA" w:rsidRPr="003B6E51" w:rsidRDefault="000C40DA" w:rsidP="000C40DA">
      <w:pPr>
        <w:jc w:val="center"/>
        <w:rPr>
          <w:b/>
          <w:vertAlign w:val="superscript"/>
        </w:rPr>
      </w:pPr>
      <w:r w:rsidRPr="000C40DA">
        <w:rPr>
          <w:b/>
        </w:rPr>
        <w:t>Vanessa Cox</w:t>
      </w:r>
      <w:r w:rsidR="003B6E51">
        <w:rPr>
          <w:b/>
          <w:vertAlign w:val="superscript"/>
        </w:rPr>
        <w:t>1</w:t>
      </w:r>
    </w:p>
    <w:p w:rsidR="000C40DA" w:rsidRPr="003B6E51" w:rsidRDefault="000C40DA" w:rsidP="000C40DA">
      <w:pPr>
        <w:jc w:val="center"/>
        <w:rPr>
          <w:b/>
          <w:vertAlign w:val="superscript"/>
        </w:rPr>
      </w:pPr>
      <w:r w:rsidRPr="000C40DA">
        <w:rPr>
          <w:b/>
        </w:rPr>
        <w:t>Keith T Palmer</w:t>
      </w:r>
      <w:r w:rsidR="003B6E51">
        <w:rPr>
          <w:b/>
          <w:vertAlign w:val="superscript"/>
        </w:rPr>
        <w:t>1</w:t>
      </w:r>
    </w:p>
    <w:p w:rsidR="000C40DA" w:rsidRPr="000C40DA" w:rsidRDefault="000C40DA" w:rsidP="000C40DA">
      <w:pPr>
        <w:jc w:val="center"/>
        <w:rPr>
          <w:b/>
        </w:rPr>
      </w:pPr>
    </w:p>
    <w:p w:rsidR="000C40DA" w:rsidRPr="000C40DA" w:rsidRDefault="003B6E51" w:rsidP="000C40DA">
      <w:pPr>
        <w:jc w:val="center"/>
      </w:pPr>
      <w:r>
        <w:rPr>
          <w:vertAlign w:val="superscript"/>
        </w:rPr>
        <w:t>1</w:t>
      </w:r>
      <w:r w:rsidR="000C40DA" w:rsidRPr="000C40DA">
        <w:t>MRC Lifecourse Epidemiology Unit</w:t>
      </w:r>
      <w:r>
        <w:t xml:space="preserve">, </w:t>
      </w:r>
      <w:r w:rsidR="000C40DA" w:rsidRPr="000C40DA">
        <w:t>University of Southampton</w:t>
      </w:r>
      <w:r w:rsidR="00AF1D8D">
        <w:t>, Southampton,</w:t>
      </w:r>
      <w:r>
        <w:t xml:space="preserve"> </w:t>
      </w:r>
      <w:r w:rsidR="000C40DA" w:rsidRPr="000C40DA">
        <w:t>UK</w:t>
      </w:r>
    </w:p>
    <w:p w:rsidR="000C40DA" w:rsidRPr="000C40DA" w:rsidRDefault="000C40DA" w:rsidP="000C40DA">
      <w:pPr>
        <w:jc w:val="center"/>
      </w:pPr>
    </w:p>
    <w:p w:rsidR="000C40DA" w:rsidRPr="000C40DA" w:rsidRDefault="000C40DA" w:rsidP="000C40DA">
      <w:pPr>
        <w:jc w:val="center"/>
      </w:pPr>
    </w:p>
    <w:p w:rsidR="000C40DA" w:rsidRPr="000C40DA" w:rsidRDefault="000C40DA" w:rsidP="000C40DA">
      <w:pPr>
        <w:jc w:val="center"/>
      </w:pPr>
    </w:p>
    <w:p w:rsidR="000C40DA" w:rsidRPr="000C40DA" w:rsidRDefault="000C40DA" w:rsidP="000C40DA">
      <w:pPr>
        <w:jc w:val="center"/>
      </w:pPr>
    </w:p>
    <w:p w:rsidR="000C40DA" w:rsidRPr="000C40DA" w:rsidRDefault="000C40DA" w:rsidP="000C40DA">
      <w:pPr>
        <w:jc w:val="center"/>
      </w:pPr>
    </w:p>
    <w:p w:rsidR="000C40DA" w:rsidRPr="000C40DA" w:rsidRDefault="000C40DA" w:rsidP="000C40DA">
      <w:pPr>
        <w:jc w:val="center"/>
      </w:pPr>
    </w:p>
    <w:p w:rsidR="000C40DA" w:rsidRPr="000C40DA" w:rsidRDefault="000C40DA" w:rsidP="000C40DA">
      <w:pPr>
        <w:jc w:val="center"/>
      </w:pPr>
    </w:p>
    <w:p w:rsidR="000C40DA" w:rsidRPr="000C40DA" w:rsidRDefault="000C40DA" w:rsidP="000C40DA">
      <w:pPr>
        <w:jc w:val="center"/>
      </w:pPr>
    </w:p>
    <w:p w:rsidR="000C40DA" w:rsidRPr="000C40DA" w:rsidRDefault="000C40DA" w:rsidP="000C40DA">
      <w:r w:rsidRPr="000C40DA">
        <w:t>Correspondence to:</w:t>
      </w:r>
    </w:p>
    <w:p w:rsidR="000C40DA" w:rsidRPr="000C40DA" w:rsidRDefault="000C40DA" w:rsidP="000C40DA">
      <w:r w:rsidRPr="000C40DA">
        <w:t>Professor David Coggon</w:t>
      </w:r>
    </w:p>
    <w:p w:rsidR="000C40DA" w:rsidRPr="000C40DA" w:rsidRDefault="000C40DA" w:rsidP="000C40DA">
      <w:r w:rsidRPr="000C40DA">
        <w:t>MRC Lifecourse Epidemiology Unit</w:t>
      </w:r>
    </w:p>
    <w:p w:rsidR="000C40DA" w:rsidRPr="000C40DA" w:rsidRDefault="000C40DA" w:rsidP="000C40DA">
      <w:r w:rsidRPr="000C40DA">
        <w:t>Southampton General Hospital</w:t>
      </w:r>
    </w:p>
    <w:p w:rsidR="000C40DA" w:rsidRPr="000C40DA" w:rsidRDefault="000C40DA" w:rsidP="000C40DA">
      <w:r w:rsidRPr="000C40DA">
        <w:t>Southampton</w:t>
      </w:r>
    </w:p>
    <w:p w:rsidR="000C40DA" w:rsidRPr="000C40DA" w:rsidRDefault="000C40DA" w:rsidP="000C40DA">
      <w:r w:rsidRPr="000C40DA">
        <w:t>SO16 6YD</w:t>
      </w:r>
    </w:p>
    <w:p w:rsidR="000C40DA" w:rsidRPr="000C40DA" w:rsidRDefault="000C40DA" w:rsidP="000C40DA">
      <w:r w:rsidRPr="000C40DA">
        <w:t>UK</w:t>
      </w:r>
    </w:p>
    <w:p w:rsidR="000C40DA" w:rsidRPr="000C40DA" w:rsidRDefault="000C40DA" w:rsidP="000C40DA"/>
    <w:p w:rsidR="000C40DA" w:rsidRPr="000C40DA" w:rsidRDefault="000C40DA" w:rsidP="000C40DA">
      <w:r w:rsidRPr="000C40DA">
        <w:t>Tel:  #44 2380 777624</w:t>
      </w:r>
    </w:p>
    <w:p w:rsidR="000C40DA" w:rsidRPr="000C40DA" w:rsidRDefault="000C40DA" w:rsidP="000C40DA">
      <w:r w:rsidRPr="000C40DA">
        <w:t>Fax:  #44 2380 704021</w:t>
      </w:r>
    </w:p>
    <w:p w:rsidR="000C40DA" w:rsidRPr="000C40DA" w:rsidRDefault="000C40DA" w:rsidP="000C40DA">
      <w:r w:rsidRPr="000C40DA">
        <w:t>Email:  dnc@mrc.soton.ac.uk</w:t>
      </w:r>
    </w:p>
    <w:p w:rsidR="000C40DA" w:rsidRPr="000C40DA" w:rsidRDefault="000C40DA" w:rsidP="000C40DA">
      <w:pPr>
        <w:pStyle w:val="Heading1"/>
        <w:rPr>
          <w:b w:val="0"/>
        </w:rPr>
      </w:pPr>
    </w:p>
    <w:p w:rsidR="009B0083" w:rsidRDefault="00F2538F" w:rsidP="00F2538F">
      <w:r>
        <w:rPr>
          <w:b/>
        </w:rPr>
        <w:t xml:space="preserve">Key words:  </w:t>
      </w:r>
      <w:r>
        <w:t>Pneumococcus, pneumonia, welders, vaccination, mortality</w:t>
      </w:r>
    </w:p>
    <w:p w:rsidR="003B6E51" w:rsidRDefault="003B6E51" w:rsidP="00F2538F"/>
    <w:p w:rsidR="003B6E51" w:rsidRDefault="003B6E51" w:rsidP="00F2538F"/>
    <w:p w:rsidR="003B6E51" w:rsidRDefault="003B6E51" w:rsidP="00F2538F">
      <w:r w:rsidRPr="003B6E51">
        <w:rPr>
          <w:b/>
        </w:rPr>
        <w:t>Word Count</w:t>
      </w:r>
      <w:r>
        <w:t>: 8</w:t>
      </w:r>
      <w:r w:rsidR="00B7616D">
        <w:t>5</w:t>
      </w:r>
      <w:r w:rsidR="00BD4853">
        <w:t>5</w:t>
      </w:r>
      <w:r w:rsidR="00AF1D8D">
        <w:t xml:space="preserve"> (main text)</w:t>
      </w:r>
    </w:p>
    <w:p w:rsidR="002332F1" w:rsidRDefault="002332F1">
      <w:pPr>
        <w:spacing w:after="200"/>
      </w:pPr>
      <w:r>
        <w:br w:type="page"/>
      </w:r>
    </w:p>
    <w:p w:rsidR="00C7395C" w:rsidRDefault="009671EF" w:rsidP="000C40DA">
      <w:pPr>
        <w:spacing w:line="360" w:lineRule="auto"/>
        <w:jc w:val="both"/>
      </w:pPr>
      <w:r>
        <w:lastRenderedPageBreak/>
        <w:t>Over the past 20 years, evidence has accumulated that occupations entailing exposure to metal fume (principally welders) are at increased risk of developing and dying from pneumococcal and unspecified lobar pneumonia[</w:t>
      </w:r>
      <w:r w:rsidR="009C6F0F">
        <w:t>1-</w:t>
      </w:r>
      <w:r w:rsidR="00142C47">
        <w:t>9</w:t>
      </w:r>
      <w:r>
        <w:t xml:space="preserve">].  The hazard </w:t>
      </w:r>
      <w:r w:rsidR="00920A5B">
        <w:t>is apparent in people</w:t>
      </w:r>
      <w:r w:rsidR="001A490B">
        <w:t xml:space="preserve"> working with ferrous metal</w:t>
      </w:r>
      <w:r w:rsidR="0016215E">
        <w:t>[2,4]</w:t>
      </w:r>
      <w:r w:rsidR="00920A5B">
        <w:t>,</w:t>
      </w:r>
      <w:r w:rsidR="001A490B">
        <w:t xml:space="preserve"> may extend to other metals</w:t>
      </w:r>
      <w:r w:rsidR="0016215E">
        <w:t>[4]</w:t>
      </w:r>
      <w:r w:rsidR="00920A5B">
        <w:t>, and is</w:t>
      </w:r>
      <w:r>
        <w:t xml:space="preserve"> reversible following cessation of exposure</w:t>
      </w:r>
      <w:r w:rsidR="001A490B">
        <w:t>[</w:t>
      </w:r>
      <w:r w:rsidR="0016215E">
        <w:t>1,</w:t>
      </w:r>
      <w:r w:rsidR="001A490B">
        <w:t>4</w:t>
      </w:r>
      <w:r w:rsidR="0016215E">
        <w:t>,5</w:t>
      </w:r>
      <w:r w:rsidR="00920A5B">
        <w:t>].  T</w:t>
      </w:r>
      <w:r>
        <w:t xml:space="preserve">here are indications that </w:t>
      </w:r>
      <w:r w:rsidR="00F54641">
        <w:t xml:space="preserve">the ultrafine particles </w:t>
      </w:r>
      <w:r w:rsidR="00116E87">
        <w:t xml:space="preserve">in </w:t>
      </w:r>
      <w:r>
        <w:t xml:space="preserve">welding fume </w:t>
      </w:r>
      <w:r w:rsidR="00F54641">
        <w:t>promote adherence of pneumococci to bronchial epithelium</w:t>
      </w:r>
      <w:r>
        <w:t>[</w:t>
      </w:r>
      <w:r w:rsidR="00142C47">
        <w:t>10</w:t>
      </w:r>
      <w:r w:rsidR="00920A5B">
        <w:t>], but</w:t>
      </w:r>
      <w:r w:rsidR="00E76B07">
        <w:t xml:space="preserve"> the underlying mechanisms are not yet well established. </w:t>
      </w:r>
      <w:r w:rsidR="00C7395C">
        <w:t xml:space="preserve"> Nevertheless, i</w:t>
      </w:r>
      <w:r>
        <w:t xml:space="preserve">n 2011 the independent Joint Committee on Vaccination at the English Department of Health (DH) judged that </w:t>
      </w:r>
      <w:r w:rsidR="00ED0F08">
        <w:t xml:space="preserve">the </w:t>
      </w:r>
      <w:r>
        <w:t xml:space="preserve">evidence </w:t>
      </w:r>
      <w:r w:rsidR="000C40DA">
        <w:t>of</w:t>
      </w:r>
      <w:r w:rsidR="005E4DF8">
        <w:t xml:space="preserve"> </w:t>
      </w:r>
      <w:r w:rsidR="00BD406E">
        <w:t xml:space="preserve">increased </w:t>
      </w:r>
      <w:r w:rsidR="005E4DF8">
        <w:t xml:space="preserve">risk </w:t>
      </w:r>
      <w:r>
        <w:t>was sufficient to recommend that employers offer welders vaccination against pneumococcus[</w:t>
      </w:r>
      <w:r w:rsidR="00142C47">
        <w:t>11</w:t>
      </w:r>
      <w:r>
        <w:t>]</w:t>
      </w:r>
      <w:r w:rsidR="001277DF">
        <w:t xml:space="preserve">.  This was a new </w:t>
      </w:r>
      <w:r w:rsidR="00BD406E">
        <w:t>measure</w:t>
      </w:r>
      <w:r w:rsidR="001277DF">
        <w:t xml:space="preserve"> that had not previously been </w:t>
      </w:r>
      <w:r w:rsidR="00C7395C">
        <w:t>applied</w:t>
      </w:r>
      <w:r w:rsidR="00920A5B">
        <w:t xml:space="preserve"> in other countries</w:t>
      </w:r>
      <w:r w:rsidR="009C0067">
        <w:t>.</w:t>
      </w:r>
      <w:r w:rsidR="001277DF">
        <w:t xml:space="preserve"> </w:t>
      </w:r>
    </w:p>
    <w:p w:rsidR="00C7395C" w:rsidRDefault="00C7395C" w:rsidP="000C40DA">
      <w:pPr>
        <w:spacing w:line="360" w:lineRule="auto"/>
        <w:jc w:val="both"/>
      </w:pPr>
    </w:p>
    <w:p w:rsidR="00487E3A" w:rsidRDefault="009C0067" w:rsidP="000C40DA">
      <w:pPr>
        <w:spacing w:line="360" w:lineRule="auto"/>
        <w:jc w:val="both"/>
      </w:pPr>
      <w:r>
        <w:t>S</w:t>
      </w:r>
      <w:r w:rsidR="009671EF">
        <w:t xml:space="preserve">ubsequently, </w:t>
      </w:r>
      <w:r>
        <w:t xml:space="preserve">on the advice of </w:t>
      </w:r>
      <w:r w:rsidR="009671EF">
        <w:t>the UK Health and Safety Executive (HSE)</w:t>
      </w:r>
      <w:r>
        <w:t>,</w:t>
      </w:r>
      <w:r w:rsidR="009671EF">
        <w:t xml:space="preserve"> </w:t>
      </w:r>
      <w:r>
        <w:t xml:space="preserve">the </w:t>
      </w:r>
      <w:r w:rsidR="009671EF">
        <w:t>DH weaken</w:t>
      </w:r>
      <w:r>
        <w:t>ed</w:t>
      </w:r>
      <w:r w:rsidR="009671EF">
        <w:t xml:space="preserve"> its recommendation, </w:t>
      </w:r>
      <w:r>
        <w:t xml:space="preserve">stating </w:t>
      </w:r>
      <w:r w:rsidR="009671EF">
        <w:t>only that vaccination “should be considered for those at risk of frequent or continuous occupational exposure to metal fume (e.g. welders), taking into account the exposure control measures in place”[</w:t>
      </w:r>
      <w:r w:rsidR="00142C47">
        <w:t>12</w:t>
      </w:r>
      <w:r w:rsidR="009671EF">
        <w:t xml:space="preserve">].  </w:t>
      </w:r>
      <w:r w:rsidR="00C7395C">
        <w:t>Then after some delay</w:t>
      </w:r>
      <w:r w:rsidR="009671EF">
        <w:t>, HSE published guidance for employers in which they were advised to prioritise controls on exposure and to take the efficacy of such controls into account when deciding whether or not to offer vaccination</w:t>
      </w:r>
      <w:r w:rsidR="00487E3A">
        <w:t>[</w:t>
      </w:r>
      <w:r w:rsidR="00142C47">
        <w:t>13</w:t>
      </w:r>
      <w:r w:rsidR="00487E3A">
        <w:t>]</w:t>
      </w:r>
      <w:r w:rsidR="009671EF">
        <w:t>.  The guidance emphasised that vaccination was not a regulatory requirement</w:t>
      </w:r>
      <w:r w:rsidR="00B475DB">
        <w:t>,</w:t>
      </w:r>
      <w:r w:rsidR="009671EF">
        <w:t xml:space="preserve"> </w:t>
      </w:r>
      <w:r>
        <w:t xml:space="preserve">provided that </w:t>
      </w:r>
      <w:r w:rsidR="00116E87">
        <w:t>an adequate risk assessment</w:t>
      </w:r>
      <w:r w:rsidR="00487E3A">
        <w:t xml:space="preserve"> could demonstrate that fume was effectively controlled.</w:t>
      </w:r>
    </w:p>
    <w:p w:rsidR="00487E3A" w:rsidRDefault="00487E3A" w:rsidP="000C40DA">
      <w:pPr>
        <w:spacing w:line="360" w:lineRule="auto"/>
        <w:jc w:val="both"/>
      </w:pPr>
    </w:p>
    <w:p w:rsidR="003245B0" w:rsidRPr="003245B0" w:rsidRDefault="0008486C" w:rsidP="003245B0">
      <w:pPr>
        <w:spacing w:line="360" w:lineRule="auto"/>
        <w:jc w:val="both"/>
      </w:pPr>
      <w:r>
        <w:t>A</w:t>
      </w:r>
      <w:r w:rsidR="00C7395C">
        <w:t xml:space="preserve"> </w:t>
      </w:r>
      <w:r w:rsidR="003245B0">
        <w:t xml:space="preserve">fundamental </w:t>
      </w:r>
      <w:r w:rsidR="00C7395C">
        <w:t xml:space="preserve">flaw </w:t>
      </w:r>
      <w:r w:rsidR="003245B0">
        <w:t>of</w:t>
      </w:r>
      <w:r w:rsidR="00C7395C">
        <w:t xml:space="preserve"> this approach is that, a</w:t>
      </w:r>
      <w:r>
        <w:t xml:space="preserve">s the HSE’s guidance </w:t>
      </w:r>
      <w:r w:rsidR="00BD406E">
        <w:t>acknowledge</w:t>
      </w:r>
      <w:r>
        <w:t xml:space="preserve">s, </w:t>
      </w:r>
      <w:r w:rsidR="00487E3A">
        <w:t>“there are no research studies which specify how much exposure to welding or metal fume (dose) will result in an increased susceptibility to pneumonia (response)”</w:t>
      </w:r>
      <w:r w:rsidR="00B475DB">
        <w:t>[13]</w:t>
      </w:r>
      <w:r w:rsidR="00487E3A">
        <w:t xml:space="preserve">.  It follows that there is no evidential basis </w:t>
      </w:r>
      <w:r w:rsidR="009C0067">
        <w:t>for</w:t>
      </w:r>
      <w:r w:rsidR="00487E3A">
        <w:t xml:space="preserve"> determin</w:t>
      </w:r>
      <w:r w:rsidR="009C0067">
        <w:t>ing</w:t>
      </w:r>
      <w:r w:rsidR="00487E3A">
        <w:t xml:space="preserve"> whether exposures are sufficiently controlled to eliminate the risk</w:t>
      </w:r>
      <w:r w:rsidR="009C0067">
        <w:t>.</w:t>
      </w:r>
      <w:r w:rsidR="003245B0">
        <w:t xml:space="preserve">  </w:t>
      </w:r>
      <w:r w:rsidR="003245B0" w:rsidRPr="003245B0">
        <w:t>When challenged on th</w:t>
      </w:r>
      <w:r w:rsidR="003245B0">
        <w:t>e matter</w:t>
      </w:r>
      <w:r w:rsidR="003245B0" w:rsidRPr="003245B0">
        <w:t>, HSE responded that despite the admitted absence of evidence, “we do know what constitutes effective controls in relation to welding and those are intended to prevent all health-related end-points” [J Delic personal communication].  They also suggested that exposures should have reduced over time, although they had no supporting empirical evidence.</w:t>
      </w:r>
    </w:p>
    <w:p w:rsidR="00B475DB" w:rsidRDefault="00B475DB" w:rsidP="000C40DA">
      <w:pPr>
        <w:spacing w:line="360" w:lineRule="auto"/>
        <w:jc w:val="both"/>
      </w:pPr>
    </w:p>
    <w:p w:rsidR="00487E3A" w:rsidRPr="00CF591C" w:rsidRDefault="00487E3A" w:rsidP="000C40DA">
      <w:pPr>
        <w:spacing w:line="360" w:lineRule="auto"/>
        <w:jc w:val="both"/>
      </w:pPr>
      <w:r>
        <w:t xml:space="preserve">New data have now become available on mortality by occupation in England and Wales during 2001-2010, and we used them to explore whether the excess risk of pneumonia </w:t>
      </w:r>
      <w:r w:rsidR="006D4B59">
        <w:t xml:space="preserve">in </w:t>
      </w:r>
      <w:r w:rsidR="00116E87">
        <w:t>w</w:t>
      </w:r>
      <w:r w:rsidR="006D4B59">
        <w:t xml:space="preserve">elders </w:t>
      </w:r>
      <w:r w:rsidR="001277DF">
        <w:t>ha</w:t>
      </w:r>
      <w:r w:rsidR="005E4DF8">
        <w:t>d</w:t>
      </w:r>
      <w:r w:rsidR="001277DF">
        <w:t xml:space="preserve"> persisted</w:t>
      </w:r>
      <w:r w:rsidR="003008A5">
        <w:t xml:space="preserve"> into the new century</w:t>
      </w:r>
      <w:r>
        <w:t>.</w:t>
      </w:r>
    </w:p>
    <w:p w:rsidR="00CF591C" w:rsidRDefault="00CF591C" w:rsidP="000C40DA">
      <w:pPr>
        <w:spacing w:line="360" w:lineRule="auto"/>
        <w:jc w:val="both"/>
        <w:rPr>
          <w:b/>
        </w:rPr>
      </w:pPr>
    </w:p>
    <w:p w:rsidR="00DC2354" w:rsidRDefault="003245B0" w:rsidP="000C40DA">
      <w:pPr>
        <w:spacing w:line="360" w:lineRule="auto"/>
        <w:jc w:val="both"/>
      </w:pPr>
      <w:r>
        <w:lastRenderedPageBreak/>
        <w:t>T</w:t>
      </w:r>
      <w:r w:rsidR="009D48F6">
        <w:t xml:space="preserve">he </w:t>
      </w:r>
      <w:r w:rsidR="00C86415">
        <w:t xml:space="preserve">Office for National Statistics provided us with the numbers of deaths in England and Wales during 2001-2010 at ages 16-74 years, broken down by </w:t>
      </w:r>
      <w:r w:rsidR="00DC2354">
        <w:t xml:space="preserve">combinations of </w:t>
      </w:r>
      <w:r w:rsidR="00C86415">
        <w:t xml:space="preserve">sex, age (in five-year bands), occupation (in </w:t>
      </w:r>
      <w:r w:rsidR="00700C64">
        <w:t xml:space="preserve">143 </w:t>
      </w:r>
      <w:r w:rsidR="00C86415">
        <w:t>categories)</w:t>
      </w:r>
      <w:r w:rsidR="00DC2354">
        <w:t>, social class (</w:t>
      </w:r>
      <w:r w:rsidR="008D623C">
        <w:t>eight</w:t>
      </w:r>
      <w:r w:rsidR="00DC2354">
        <w:t xml:space="preserve"> categories) and underlying cause of death (</w:t>
      </w:r>
      <w:r w:rsidR="00700C64">
        <w:t xml:space="preserve">229 </w:t>
      </w:r>
      <w:r w:rsidR="00DC2354">
        <w:t xml:space="preserve">categories).  All of this information came originally from death certificates.  The data were used to calculate proportional mortality ratios (PMRs) for pneumococcal and unspecified lobar pneumonia </w:t>
      </w:r>
      <w:r w:rsidR="00FF0173">
        <w:t>(categories J13 and J18.1 in the 10</w:t>
      </w:r>
      <w:r w:rsidR="00FF0173" w:rsidRPr="00FF0173">
        <w:rPr>
          <w:vertAlign w:val="superscript"/>
        </w:rPr>
        <w:t>th</w:t>
      </w:r>
      <w:r w:rsidR="00FF0173">
        <w:t xml:space="preserve"> revision of the International Classification of Diseases)</w:t>
      </w:r>
      <w:r w:rsidR="00E76B07">
        <w:t xml:space="preserve"> in welders</w:t>
      </w:r>
      <w:r w:rsidR="00DC2354">
        <w:t xml:space="preserve">, standardised for age and social class.  Confidence intervals (CIs) for PMRs were based on the Poisson distribution.  Results were compared with those </w:t>
      </w:r>
      <w:r w:rsidR="00CF591C">
        <w:t>derived</w:t>
      </w:r>
      <w:r w:rsidR="00DC2354">
        <w:t xml:space="preserve"> previously </w:t>
      </w:r>
      <w:r w:rsidR="00CF591C">
        <w:t xml:space="preserve">by a similar method </w:t>
      </w:r>
      <w:r w:rsidR="00DC2354">
        <w:t>for the period 1991-2000</w:t>
      </w:r>
      <w:r w:rsidR="00116E87">
        <w:t xml:space="preserve">, when pneumococcal and unspecified lobar pneumonia was classified to </w:t>
      </w:r>
      <w:r w:rsidR="001277DF">
        <w:t xml:space="preserve">a </w:t>
      </w:r>
      <w:r w:rsidR="00116E87">
        <w:t>single category (481) in the ninth revision of the International Classification of Diseases</w:t>
      </w:r>
      <w:r w:rsidR="00142C47">
        <w:t>[14</w:t>
      </w:r>
      <w:r w:rsidR="00DC2354">
        <w:t xml:space="preserve">]. </w:t>
      </w:r>
    </w:p>
    <w:p w:rsidR="009D48F6" w:rsidRDefault="009D48F6" w:rsidP="000C40DA">
      <w:pPr>
        <w:spacing w:line="360" w:lineRule="auto"/>
        <w:jc w:val="both"/>
      </w:pPr>
    </w:p>
    <w:p w:rsidR="00C86415" w:rsidRDefault="009D48F6" w:rsidP="000C40DA">
      <w:pPr>
        <w:spacing w:line="360" w:lineRule="auto"/>
        <w:jc w:val="both"/>
      </w:pPr>
      <w:r>
        <w:t xml:space="preserve">During 2001-2010, there were </w:t>
      </w:r>
      <w:r w:rsidR="00116E87">
        <w:t>2,863</w:t>
      </w:r>
      <w:r>
        <w:t xml:space="preserve"> </w:t>
      </w:r>
      <w:r w:rsidR="006F59B0">
        <w:t xml:space="preserve">male </w:t>
      </w:r>
      <w:r>
        <w:t xml:space="preserve">deaths from pneumococcal and unspecified pneumonia at ages </w:t>
      </w:r>
      <w:r w:rsidR="00700C64">
        <w:t>16</w:t>
      </w:r>
      <w:r>
        <w:t xml:space="preserve">-74 in all occupations combined, as compared with </w:t>
      </w:r>
      <w:r w:rsidR="00700C64">
        <w:t xml:space="preserve">3,234 </w:t>
      </w:r>
      <w:r>
        <w:t xml:space="preserve">during 1991-2000.  The </w:t>
      </w:r>
      <w:r w:rsidR="00DC2354">
        <w:t>corresponding</w:t>
      </w:r>
      <w:r>
        <w:t xml:space="preserve"> number</w:t>
      </w:r>
      <w:r w:rsidR="00DC2354">
        <w:t>s</w:t>
      </w:r>
      <w:r>
        <w:t xml:space="preserve"> of deaths from all causes </w:t>
      </w:r>
      <w:r w:rsidR="00DC2354">
        <w:t>were</w:t>
      </w:r>
      <w:r>
        <w:t xml:space="preserve"> </w:t>
      </w:r>
      <w:r w:rsidR="00116E87">
        <w:t>927,152</w:t>
      </w:r>
      <w:r>
        <w:t xml:space="preserve"> </w:t>
      </w:r>
      <w:r w:rsidR="00DC2354">
        <w:t xml:space="preserve">(including </w:t>
      </w:r>
      <w:r w:rsidR="006F59B0">
        <w:t>8,160</w:t>
      </w:r>
      <w:r w:rsidR="00DC2354">
        <w:t xml:space="preserve"> in welders) </w:t>
      </w:r>
      <w:r w:rsidR="006F59B0">
        <w:t xml:space="preserve">during 2001-10, </w:t>
      </w:r>
      <w:r w:rsidR="00DC2354">
        <w:t xml:space="preserve">and </w:t>
      </w:r>
      <w:r w:rsidR="00700C64">
        <w:t xml:space="preserve">1,202,888 </w:t>
      </w:r>
      <w:r w:rsidR="00DC2354">
        <w:t>(</w:t>
      </w:r>
      <w:r w:rsidR="00700C64">
        <w:t xml:space="preserve">10,455 </w:t>
      </w:r>
      <w:r>
        <w:t xml:space="preserve">in </w:t>
      </w:r>
      <w:r w:rsidR="00DC2354">
        <w:t>welders)</w:t>
      </w:r>
      <w:r w:rsidR="006F59B0">
        <w:t xml:space="preserve"> during 1991-2000</w:t>
      </w:r>
      <w:r>
        <w:t>.</w:t>
      </w:r>
      <w:r w:rsidR="003245B0">
        <w:t xml:space="preserve">  </w:t>
      </w:r>
      <w:r w:rsidR="00C86415">
        <w:t xml:space="preserve">As in 1991-2000, mortality from pneumococcal and unspecified lobar pneumonia </w:t>
      </w:r>
      <w:r w:rsidR="00DC2354">
        <w:t>during 2001-2010</w:t>
      </w:r>
      <w:r w:rsidR="00C86415">
        <w:t xml:space="preserve"> was significantly elevated </w:t>
      </w:r>
      <w:r w:rsidR="00DC2354">
        <w:t>in welders</w:t>
      </w:r>
      <w:r w:rsidR="0016215E">
        <w:t xml:space="preserve"> of working age</w:t>
      </w:r>
      <w:r w:rsidR="003245B0">
        <w:t xml:space="preserve"> (Table</w:t>
      </w:r>
      <w:r w:rsidR="00C86415">
        <w:t>), with a particularly high PMR for pneumococcal pneumonia specifically (3.58, 95%CI 1.44-7.37).  The estimated excess of deaths from pneumococcal and unspecified lobar during 2001-2010 was 10.</w:t>
      </w:r>
      <w:r w:rsidR="00700C64">
        <w:t xml:space="preserve">9 </w:t>
      </w:r>
      <w:r w:rsidR="00C86415">
        <w:t>as compared with 18.8 during 1991-2000.</w:t>
      </w:r>
    </w:p>
    <w:p w:rsidR="00487E3A" w:rsidRDefault="00487E3A" w:rsidP="000C40DA">
      <w:pPr>
        <w:spacing w:line="360" w:lineRule="auto"/>
        <w:jc w:val="both"/>
      </w:pPr>
    </w:p>
    <w:p w:rsidR="00487E3A" w:rsidRDefault="000B6B7B" w:rsidP="000C40DA">
      <w:pPr>
        <w:spacing w:line="360" w:lineRule="auto"/>
        <w:jc w:val="both"/>
      </w:pPr>
      <w:r>
        <w:t xml:space="preserve">Our analysis indicates that welders continued to experience significant excess mortality from pneumococcal and unspecified </w:t>
      </w:r>
      <w:r w:rsidR="006D4B59">
        <w:t xml:space="preserve">lobar </w:t>
      </w:r>
      <w:r>
        <w:t xml:space="preserve">pneumonia </w:t>
      </w:r>
      <w:r w:rsidR="006F59B0">
        <w:t>during 2001-</w:t>
      </w:r>
      <w:r>
        <w:t>2010.  As discussed in relation to earlier similar analyses, the excess is unlikely to be explai</w:t>
      </w:r>
      <w:r w:rsidR="00142C47">
        <w:t>ned by bias or confounding[1-3,5,8</w:t>
      </w:r>
      <w:r>
        <w:t>].  The PMR during 200</w:t>
      </w:r>
      <w:r w:rsidR="006F59B0">
        <w:t>1</w:t>
      </w:r>
      <w:r>
        <w:t>-</w:t>
      </w:r>
      <w:r w:rsidR="006F59B0">
        <w:t>20</w:t>
      </w:r>
      <w:r>
        <w:t>10, although significantly elevated, was somewhat lower than in the preceding decade (1.</w:t>
      </w:r>
      <w:r w:rsidR="00700C64">
        <w:t xml:space="preserve">64 </w:t>
      </w:r>
      <w:r>
        <w:t xml:space="preserve">v 2.42), which may reflect </w:t>
      </w:r>
      <w:r w:rsidR="006F59B0">
        <w:t>reduced</w:t>
      </w:r>
      <w:r>
        <w:t xml:space="preserve"> levels of exposure.  Nevertheless, the hazard was responsible for a</w:t>
      </w:r>
      <w:r w:rsidR="006F59B0">
        <w:t>pproximately</w:t>
      </w:r>
      <w:r>
        <w:t xml:space="preserve"> 11 excess deaths, and for every attributable fatality there </w:t>
      </w:r>
      <w:r w:rsidR="006F59B0">
        <w:t>are likely to</w:t>
      </w:r>
      <w:r>
        <w:t xml:space="preserve"> </w:t>
      </w:r>
      <w:r w:rsidR="006F59B0">
        <w:t xml:space="preserve">have </w:t>
      </w:r>
      <w:r>
        <w:t>be</w:t>
      </w:r>
      <w:r w:rsidR="006F59B0">
        <w:t>en</w:t>
      </w:r>
      <w:r>
        <w:t xml:space="preserve"> many more non-fatal cases, </w:t>
      </w:r>
      <w:r w:rsidR="006F59B0">
        <w:t xml:space="preserve">including </w:t>
      </w:r>
      <w:r>
        <w:t xml:space="preserve">some </w:t>
      </w:r>
      <w:r w:rsidR="006F59B0">
        <w:t xml:space="preserve">associated with </w:t>
      </w:r>
      <w:r>
        <w:t>serious morbidity.</w:t>
      </w:r>
      <w:r w:rsidR="00894B89">
        <w:t xml:space="preserve">  An important proportion of </w:t>
      </w:r>
      <w:r w:rsidR="008D623C">
        <w:t>such</w:t>
      </w:r>
      <w:r w:rsidR="00894B89">
        <w:t xml:space="preserve"> disease should be preventable by pneumococcal vaccination.</w:t>
      </w:r>
    </w:p>
    <w:p w:rsidR="00416F9E" w:rsidRDefault="00416F9E" w:rsidP="000C40DA">
      <w:pPr>
        <w:spacing w:line="360" w:lineRule="auto"/>
        <w:jc w:val="both"/>
      </w:pPr>
    </w:p>
    <w:p w:rsidR="000B6B7B" w:rsidRDefault="00416F9E" w:rsidP="000C40DA">
      <w:pPr>
        <w:spacing w:line="360" w:lineRule="auto"/>
        <w:jc w:val="both"/>
      </w:pPr>
      <w:r>
        <w:t xml:space="preserve">There is an urgent need for regulatory bodies internationally to consider </w:t>
      </w:r>
      <w:r w:rsidR="00E53CB0">
        <w:t xml:space="preserve">the need for </w:t>
      </w:r>
      <w:r>
        <w:t>p</w:t>
      </w:r>
      <w:r w:rsidR="003008A5">
        <w:t>n</w:t>
      </w:r>
      <w:r>
        <w:t>eumococcal vaccination for welders</w:t>
      </w:r>
      <w:r w:rsidR="00E53CB0">
        <w:t>,</w:t>
      </w:r>
      <w:r w:rsidR="00B475DB">
        <w:t xml:space="preserve"> and for the HSE to review its approach to the hazard</w:t>
      </w:r>
      <w:r>
        <w:t xml:space="preserve">.  </w:t>
      </w:r>
      <w:r w:rsidR="006A57AE">
        <w:t xml:space="preserve">Similarly, clinicians advising welders should review their practice and the advice they give.  </w:t>
      </w:r>
      <w:r>
        <w:t>C</w:t>
      </w:r>
      <w:r w:rsidR="000B6B7B">
        <w:t xml:space="preserve">ontrols on exposure are important, </w:t>
      </w:r>
      <w:r w:rsidR="006D4B59">
        <w:t xml:space="preserve">but </w:t>
      </w:r>
      <w:r w:rsidR="000B6B7B">
        <w:t>as currently applied</w:t>
      </w:r>
      <w:r>
        <w:t xml:space="preserve"> in the UK, </w:t>
      </w:r>
      <w:r w:rsidR="000B6B7B">
        <w:t xml:space="preserve">they appear not to provide adequate protection.  </w:t>
      </w:r>
      <w:r>
        <w:t xml:space="preserve">It is likely that the same applies in many other countries.  </w:t>
      </w:r>
      <w:r w:rsidR="000B6B7B">
        <w:t xml:space="preserve">An </w:t>
      </w:r>
      <w:r w:rsidR="000B6B7B">
        <w:lastRenderedPageBreak/>
        <w:t xml:space="preserve">analogy can be drawn with hepatitis B immunisation for health care workers at risk of sharps injuries.  Good working practices are necessary to minimise the occurrence of such injuries, but because in practice they are not fully effective, it is necessary to </w:t>
      </w:r>
      <w:r w:rsidR="00BD4853">
        <w:t xml:space="preserve">promote and </w:t>
      </w:r>
      <w:r w:rsidR="000B6B7B">
        <w:t>provide additional protection by vaccination.</w:t>
      </w:r>
      <w:r w:rsidR="00B13198">
        <w:t xml:space="preserve">  </w:t>
      </w:r>
    </w:p>
    <w:p w:rsidR="002332F1" w:rsidRDefault="002332F1">
      <w:pPr>
        <w:spacing w:after="200"/>
      </w:pPr>
    </w:p>
    <w:p w:rsidR="002332F1" w:rsidRDefault="002332F1">
      <w:pPr>
        <w:spacing w:after="200"/>
      </w:pPr>
    </w:p>
    <w:p w:rsidR="002332F1" w:rsidRDefault="002332F1">
      <w:pPr>
        <w:spacing w:after="200"/>
      </w:pPr>
    </w:p>
    <w:p w:rsidR="002332F1" w:rsidRDefault="002332F1">
      <w:pPr>
        <w:spacing w:after="200"/>
      </w:pPr>
    </w:p>
    <w:p w:rsidR="000B6B7B" w:rsidRPr="002332F1" w:rsidRDefault="002332F1" w:rsidP="002332F1">
      <w:pPr>
        <w:spacing w:line="360" w:lineRule="auto"/>
        <w:jc w:val="both"/>
      </w:pPr>
      <w:r>
        <w:rPr>
          <w:b/>
        </w:rPr>
        <w:t xml:space="preserve">Acknowledgements:  </w:t>
      </w:r>
      <w:r>
        <w:t>We thank the Office for National Statistics, who provided us with the data on occupational mortality.</w:t>
      </w:r>
    </w:p>
    <w:p w:rsidR="004609BB" w:rsidRDefault="004609BB" w:rsidP="002332F1">
      <w:pPr>
        <w:spacing w:after="200" w:line="360" w:lineRule="auto"/>
        <w:jc w:val="both"/>
      </w:pPr>
    </w:p>
    <w:p w:rsidR="004609BB" w:rsidRDefault="004609BB" w:rsidP="004609BB">
      <w:pPr>
        <w:spacing w:after="200"/>
        <w:sectPr w:rsidR="004609BB">
          <w:footerReference w:type="default" r:id="rId9"/>
          <w:pgSz w:w="11906" w:h="16838"/>
          <w:pgMar w:top="1440" w:right="1440" w:bottom="1440" w:left="1440" w:header="708" w:footer="708" w:gutter="0"/>
          <w:cols w:space="708"/>
          <w:docGrid w:linePitch="360"/>
        </w:sectPr>
      </w:pPr>
    </w:p>
    <w:p w:rsidR="004609BB" w:rsidRDefault="004609BB" w:rsidP="004609BB"/>
    <w:p w:rsidR="004609BB" w:rsidRPr="00163AE9" w:rsidRDefault="004609BB" w:rsidP="004609BB">
      <w:pPr>
        <w:rPr>
          <w:b/>
        </w:rPr>
      </w:pPr>
      <w:r w:rsidRPr="00163AE9">
        <w:rPr>
          <w:b/>
        </w:rPr>
        <w:t>Table</w:t>
      </w:r>
      <w:r w:rsidR="00AF1D8D">
        <w:rPr>
          <w:b/>
        </w:rPr>
        <w:t xml:space="preserve"> </w:t>
      </w:r>
      <w:r w:rsidRPr="00163AE9">
        <w:rPr>
          <w:b/>
        </w:rPr>
        <w:tab/>
        <w:t>Mortality of welders from pneumococcal and unspecified lobar pneumonia, England and Wales, 1991-2010</w:t>
      </w:r>
    </w:p>
    <w:p w:rsidR="004609BB" w:rsidRDefault="004609BB" w:rsidP="004609BB"/>
    <w:p w:rsidR="004609BB" w:rsidRDefault="004609BB" w:rsidP="004609B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6"/>
        <w:gridCol w:w="283"/>
        <w:gridCol w:w="1256"/>
        <w:gridCol w:w="1276"/>
        <w:gridCol w:w="708"/>
        <w:gridCol w:w="1418"/>
        <w:gridCol w:w="283"/>
        <w:gridCol w:w="1276"/>
        <w:gridCol w:w="1276"/>
        <w:gridCol w:w="850"/>
        <w:gridCol w:w="1418"/>
      </w:tblGrid>
      <w:tr w:rsidR="004609BB" w:rsidRPr="00D93701" w:rsidTr="00700C64">
        <w:tc>
          <w:tcPr>
            <w:tcW w:w="3956" w:type="dxa"/>
            <w:vMerge w:val="restart"/>
            <w:tcBorders>
              <w:top w:val="single" w:sz="12" w:space="0" w:color="auto"/>
            </w:tcBorders>
          </w:tcPr>
          <w:p w:rsidR="004609BB" w:rsidRPr="000D0FD6" w:rsidRDefault="004609BB" w:rsidP="00700C64">
            <w:pPr>
              <w:rPr>
                <w:b/>
              </w:rPr>
            </w:pPr>
            <w:r w:rsidRPr="000D0FD6">
              <w:rPr>
                <w:b/>
              </w:rPr>
              <w:t>Cause of death</w:t>
            </w:r>
          </w:p>
        </w:tc>
        <w:tc>
          <w:tcPr>
            <w:tcW w:w="283" w:type="dxa"/>
            <w:tcBorders>
              <w:top w:val="single" w:sz="12" w:space="0" w:color="auto"/>
            </w:tcBorders>
          </w:tcPr>
          <w:p w:rsidR="004609BB" w:rsidRPr="000D0FD6" w:rsidRDefault="004609BB" w:rsidP="00700C64">
            <w:pPr>
              <w:rPr>
                <w:b/>
              </w:rPr>
            </w:pPr>
          </w:p>
        </w:tc>
        <w:tc>
          <w:tcPr>
            <w:tcW w:w="4658" w:type="dxa"/>
            <w:gridSpan w:val="4"/>
            <w:tcBorders>
              <w:top w:val="single" w:sz="12" w:space="0" w:color="auto"/>
            </w:tcBorders>
          </w:tcPr>
          <w:p w:rsidR="004609BB" w:rsidRPr="000D0FD6" w:rsidRDefault="004609BB" w:rsidP="00700C64">
            <w:pPr>
              <w:jc w:val="center"/>
              <w:rPr>
                <w:b/>
              </w:rPr>
            </w:pPr>
            <w:r w:rsidRPr="000D0FD6">
              <w:rPr>
                <w:b/>
              </w:rPr>
              <w:t xml:space="preserve">Deaths at age </w:t>
            </w:r>
            <w:r w:rsidR="00700C64">
              <w:rPr>
                <w:b/>
              </w:rPr>
              <w:t>16</w:t>
            </w:r>
            <w:r w:rsidRPr="000D0FD6">
              <w:rPr>
                <w:b/>
              </w:rPr>
              <w:t>-64 years</w:t>
            </w:r>
          </w:p>
        </w:tc>
        <w:tc>
          <w:tcPr>
            <w:tcW w:w="283" w:type="dxa"/>
            <w:tcBorders>
              <w:top w:val="single" w:sz="12" w:space="0" w:color="auto"/>
            </w:tcBorders>
          </w:tcPr>
          <w:p w:rsidR="004609BB" w:rsidRPr="000D0FD6" w:rsidRDefault="004609BB" w:rsidP="00700C64">
            <w:pPr>
              <w:jc w:val="center"/>
              <w:rPr>
                <w:b/>
              </w:rPr>
            </w:pPr>
          </w:p>
        </w:tc>
        <w:tc>
          <w:tcPr>
            <w:tcW w:w="4820" w:type="dxa"/>
            <w:gridSpan w:val="4"/>
            <w:tcBorders>
              <w:top w:val="single" w:sz="12" w:space="0" w:color="auto"/>
            </w:tcBorders>
          </w:tcPr>
          <w:p w:rsidR="004609BB" w:rsidRPr="000D0FD6" w:rsidRDefault="004609BB" w:rsidP="00700C64">
            <w:pPr>
              <w:jc w:val="center"/>
              <w:rPr>
                <w:b/>
              </w:rPr>
            </w:pPr>
            <w:r w:rsidRPr="000D0FD6">
              <w:rPr>
                <w:b/>
              </w:rPr>
              <w:t xml:space="preserve">Deaths at age </w:t>
            </w:r>
            <w:r w:rsidR="00700C64" w:rsidRPr="000D0FD6">
              <w:rPr>
                <w:b/>
              </w:rPr>
              <w:t>6</w:t>
            </w:r>
            <w:r w:rsidR="00700C64">
              <w:rPr>
                <w:b/>
              </w:rPr>
              <w:t>5</w:t>
            </w:r>
            <w:r w:rsidRPr="000D0FD6">
              <w:rPr>
                <w:b/>
              </w:rPr>
              <w:t>-74 years</w:t>
            </w:r>
          </w:p>
        </w:tc>
      </w:tr>
      <w:tr w:rsidR="004609BB" w:rsidRPr="00D93701" w:rsidTr="00700C64">
        <w:tc>
          <w:tcPr>
            <w:tcW w:w="3956" w:type="dxa"/>
            <w:vMerge/>
            <w:tcBorders>
              <w:bottom w:val="single" w:sz="12" w:space="0" w:color="auto"/>
            </w:tcBorders>
          </w:tcPr>
          <w:p w:rsidR="004609BB" w:rsidRPr="000D0FD6" w:rsidRDefault="004609BB" w:rsidP="00700C64">
            <w:pPr>
              <w:rPr>
                <w:b/>
              </w:rPr>
            </w:pPr>
          </w:p>
        </w:tc>
        <w:tc>
          <w:tcPr>
            <w:tcW w:w="283" w:type="dxa"/>
            <w:tcBorders>
              <w:bottom w:val="single" w:sz="12" w:space="0" w:color="auto"/>
            </w:tcBorders>
          </w:tcPr>
          <w:p w:rsidR="004609BB" w:rsidRPr="000D0FD6" w:rsidRDefault="004609BB" w:rsidP="00700C64">
            <w:pPr>
              <w:rPr>
                <w:b/>
              </w:rPr>
            </w:pPr>
          </w:p>
        </w:tc>
        <w:tc>
          <w:tcPr>
            <w:tcW w:w="1256" w:type="dxa"/>
            <w:tcBorders>
              <w:bottom w:val="single" w:sz="12" w:space="0" w:color="auto"/>
            </w:tcBorders>
          </w:tcPr>
          <w:p w:rsidR="004609BB" w:rsidRPr="000D0FD6" w:rsidRDefault="004609BB" w:rsidP="00700C64">
            <w:pPr>
              <w:jc w:val="center"/>
              <w:rPr>
                <w:b/>
              </w:rPr>
            </w:pPr>
            <w:r w:rsidRPr="000D0FD6">
              <w:rPr>
                <w:b/>
              </w:rPr>
              <w:t>Observed</w:t>
            </w:r>
          </w:p>
        </w:tc>
        <w:tc>
          <w:tcPr>
            <w:tcW w:w="1276" w:type="dxa"/>
            <w:tcBorders>
              <w:bottom w:val="single" w:sz="12" w:space="0" w:color="auto"/>
            </w:tcBorders>
          </w:tcPr>
          <w:p w:rsidR="004609BB" w:rsidRPr="000D0FD6" w:rsidRDefault="004609BB" w:rsidP="00700C64">
            <w:pPr>
              <w:jc w:val="center"/>
              <w:rPr>
                <w:b/>
              </w:rPr>
            </w:pPr>
            <w:r w:rsidRPr="000D0FD6">
              <w:rPr>
                <w:b/>
              </w:rPr>
              <w:t>Expected</w:t>
            </w:r>
          </w:p>
        </w:tc>
        <w:tc>
          <w:tcPr>
            <w:tcW w:w="708" w:type="dxa"/>
            <w:tcBorders>
              <w:bottom w:val="single" w:sz="12" w:space="0" w:color="auto"/>
            </w:tcBorders>
          </w:tcPr>
          <w:p w:rsidR="004609BB" w:rsidRPr="000D0FD6" w:rsidRDefault="004609BB" w:rsidP="00700C64">
            <w:pPr>
              <w:jc w:val="center"/>
              <w:rPr>
                <w:b/>
              </w:rPr>
            </w:pPr>
            <w:r w:rsidRPr="000D0FD6">
              <w:rPr>
                <w:b/>
              </w:rPr>
              <w:t>PMR</w:t>
            </w:r>
          </w:p>
        </w:tc>
        <w:tc>
          <w:tcPr>
            <w:tcW w:w="1418" w:type="dxa"/>
            <w:tcBorders>
              <w:bottom w:val="single" w:sz="12" w:space="0" w:color="auto"/>
            </w:tcBorders>
          </w:tcPr>
          <w:p w:rsidR="004609BB" w:rsidRPr="000D0FD6" w:rsidRDefault="004609BB" w:rsidP="00700C64">
            <w:pPr>
              <w:jc w:val="center"/>
              <w:rPr>
                <w:b/>
              </w:rPr>
            </w:pPr>
            <w:r w:rsidRPr="000D0FD6">
              <w:rPr>
                <w:b/>
              </w:rPr>
              <w:t>(95%CI)</w:t>
            </w:r>
          </w:p>
        </w:tc>
        <w:tc>
          <w:tcPr>
            <w:tcW w:w="283" w:type="dxa"/>
            <w:tcBorders>
              <w:bottom w:val="single" w:sz="12" w:space="0" w:color="auto"/>
            </w:tcBorders>
          </w:tcPr>
          <w:p w:rsidR="004609BB" w:rsidRPr="000D0FD6" w:rsidRDefault="004609BB" w:rsidP="00700C64">
            <w:pPr>
              <w:jc w:val="center"/>
              <w:rPr>
                <w:b/>
              </w:rPr>
            </w:pPr>
          </w:p>
        </w:tc>
        <w:tc>
          <w:tcPr>
            <w:tcW w:w="1276" w:type="dxa"/>
            <w:tcBorders>
              <w:bottom w:val="single" w:sz="12" w:space="0" w:color="auto"/>
            </w:tcBorders>
          </w:tcPr>
          <w:p w:rsidR="004609BB" w:rsidRPr="000D0FD6" w:rsidRDefault="004609BB" w:rsidP="00700C64">
            <w:pPr>
              <w:jc w:val="center"/>
              <w:rPr>
                <w:b/>
              </w:rPr>
            </w:pPr>
            <w:r w:rsidRPr="000D0FD6">
              <w:rPr>
                <w:b/>
              </w:rPr>
              <w:t>Observed</w:t>
            </w:r>
          </w:p>
        </w:tc>
        <w:tc>
          <w:tcPr>
            <w:tcW w:w="1276" w:type="dxa"/>
            <w:tcBorders>
              <w:bottom w:val="single" w:sz="12" w:space="0" w:color="auto"/>
            </w:tcBorders>
          </w:tcPr>
          <w:p w:rsidR="004609BB" w:rsidRPr="000D0FD6" w:rsidRDefault="004609BB" w:rsidP="00700C64">
            <w:pPr>
              <w:jc w:val="center"/>
              <w:rPr>
                <w:b/>
              </w:rPr>
            </w:pPr>
            <w:r w:rsidRPr="000D0FD6">
              <w:rPr>
                <w:b/>
              </w:rPr>
              <w:t>Expected</w:t>
            </w:r>
          </w:p>
        </w:tc>
        <w:tc>
          <w:tcPr>
            <w:tcW w:w="850" w:type="dxa"/>
            <w:tcBorders>
              <w:bottom w:val="single" w:sz="12" w:space="0" w:color="auto"/>
            </w:tcBorders>
          </w:tcPr>
          <w:p w:rsidR="004609BB" w:rsidRPr="000D0FD6" w:rsidRDefault="004609BB" w:rsidP="00700C64">
            <w:pPr>
              <w:jc w:val="center"/>
              <w:rPr>
                <w:b/>
              </w:rPr>
            </w:pPr>
            <w:r w:rsidRPr="000D0FD6">
              <w:rPr>
                <w:b/>
              </w:rPr>
              <w:t>PMR</w:t>
            </w:r>
          </w:p>
        </w:tc>
        <w:tc>
          <w:tcPr>
            <w:tcW w:w="1418" w:type="dxa"/>
            <w:tcBorders>
              <w:bottom w:val="single" w:sz="12" w:space="0" w:color="auto"/>
            </w:tcBorders>
          </w:tcPr>
          <w:p w:rsidR="004609BB" w:rsidRPr="000D0FD6" w:rsidRDefault="004609BB" w:rsidP="00700C64">
            <w:pPr>
              <w:jc w:val="center"/>
              <w:rPr>
                <w:b/>
              </w:rPr>
            </w:pPr>
            <w:r w:rsidRPr="000D0FD6">
              <w:rPr>
                <w:b/>
              </w:rPr>
              <w:t>(95%CI)</w:t>
            </w:r>
          </w:p>
        </w:tc>
      </w:tr>
      <w:tr w:rsidR="004609BB" w:rsidRPr="00D93701" w:rsidTr="00700C64">
        <w:tc>
          <w:tcPr>
            <w:tcW w:w="3956" w:type="dxa"/>
            <w:tcBorders>
              <w:top w:val="single" w:sz="12" w:space="0" w:color="auto"/>
            </w:tcBorders>
          </w:tcPr>
          <w:p w:rsidR="004609BB" w:rsidRPr="000D0FD6" w:rsidRDefault="004609BB" w:rsidP="00700C64"/>
        </w:tc>
        <w:tc>
          <w:tcPr>
            <w:tcW w:w="283" w:type="dxa"/>
            <w:tcBorders>
              <w:top w:val="single" w:sz="12" w:space="0" w:color="auto"/>
            </w:tcBorders>
          </w:tcPr>
          <w:p w:rsidR="004609BB" w:rsidRPr="000D0FD6" w:rsidRDefault="004609BB" w:rsidP="00700C64"/>
        </w:tc>
        <w:tc>
          <w:tcPr>
            <w:tcW w:w="1256" w:type="dxa"/>
            <w:tcBorders>
              <w:top w:val="single" w:sz="12" w:space="0" w:color="auto"/>
            </w:tcBorders>
          </w:tcPr>
          <w:p w:rsidR="004609BB" w:rsidRPr="000D0FD6" w:rsidRDefault="004609BB" w:rsidP="00700C64">
            <w:pPr>
              <w:jc w:val="center"/>
            </w:pPr>
          </w:p>
        </w:tc>
        <w:tc>
          <w:tcPr>
            <w:tcW w:w="1276" w:type="dxa"/>
            <w:tcBorders>
              <w:top w:val="single" w:sz="12" w:space="0" w:color="auto"/>
            </w:tcBorders>
          </w:tcPr>
          <w:p w:rsidR="004609BB" w:rsidRPr="000D0FD6" w:rsidRDefault="004609BB" w:rsidP="00700C64">
            <w:pPr>
              <w:jc w:val="center"/>
            </w:pPr>
          </w:p>
        </w:tc>
        <w:tc>
          <w:tcPr>
            <w:tcW w:w="708" w:type="dxa"/>
            <w:tcBorders>
              <w:top w:val="single" w:sz="12" w:space="0" w:color="auto"/>
            </w:tcBorders>
          </w:tcPr>
          <w:p w:rsidR="004609BB" w:rsidRPr="000D0FD6" w:rsidRDefault="004609BB" w:rsidP="00700C64">
            <w:pPr>
              <w:jc w:val="center"/>
            </w:pPr>
          </w:p>
        </w:tc>
        <w:tc>
          <w:tcPr>
            <w:tcW w:w="1418" w:type="dxa"/>
            <w:tcBorders>
              <w:top w:val="single" w:sz="12" w:space="0" w:color="auto"/>
            </w:tcBorders>
          </w:tcPr>
          <w:p w:rsidR="004609BB" w:rsidRPr="000D0FD6" w:rsidRDefault="004609BB" w:rsidP="00700C64">
            <w:pPr>
              <w:jc w:val="center"/>
            </w:pPr>
          </w:p>
        </w:tc>
        <w:tc>
          <w:tcPr>
            <w:tcW w:w="283" w:type="dxa"/>
            <w:tcBorders>
              <w:top w:val="single" w:sz="12" w:space="0" w:color="auto"/>
            </w:tcBorders>
          </w:tcPr>
          <w:p w:rsidR="004609BB" w:rsidRPr="000D0FD6" w:rsidRDefault="004609BB" w:rsidP="00700C64">
            <w:pPr>
              <w:jc w:val="center"/>
            </w:pPr>
          </w:p>
        </w:tc>
        <w:tc>
          <w:tcPr>
            <w:tcW w:w="1276" w:type="dxa"/>
            <w:tcBorders>
              <w:top w:val="single" w:sz="12" w:space="0" w:color="auto"/>
            </w:tcBorders>
          </w:tcPr>
          <w:p w:rsidR="004609BB" w:rsidRPr="000D0FD6" w:rsidRDefault="004609BB" w:rsidP="00700C64">
            <w:pPr>
              <w:jc w:val="center"/>
            </w:pPr>
          </w:p>
        </w:tc>
        <w:tc>
          <w:tcPr>
            <w:tcW w:w="1276" w:type="dxa"/>
            <w:tcBorders>
              <w:top w:val="single" w:sz="12" w:space="0" w:color="auto"/>
            </w:tcBorders>
          </w:tcPr>
          <w:p w:rsidR="004609BB" w:rsidRPr="000D0FD6" w:rsidRDefault="004609BB" w:rsidP="00700C64">
            <w:pPr>
              <w:jc w:val="center"/>
            </w:pPr>
          </w:p>
        </w:tc>
        <w:tc>
          <w:tcPr>
            <w:tcW w:w="850" w:type="dxa"/>
            <w:tcBorders>
              <w:top w:val="single" w:sz="12" w:space="0" w:color="auto"/>
            </w:tcBorders>
          </w:tcPr>
          <w:p w:rsidR="004609BB" w:rsidRPr="000D0FD6" w:rsidRDefault="004609BB" w:rsidP="00700C64">
            <w:pPr>
              <w:jc w:val="center"/>
            </w:pPr>
          </w:p>
        </w:tc>
        <w:tc>
          <w:tcPr>
            <w:tcW w:w="1418" w:type="dxa"/>
            <w:tcBorders>
              <w:top w:val="single" w:sz="12" w:space="0" w:color="auto"/>
            </w:tcBorders>
          </w:tcPr>
          <w:p w:rsidR="004609BB" w:rsidRPr="000D0FD6" w:rsidRDefault="004609BB" w:rsidP="00700C64">
            <w:pPr>
              <w:jc w:val="center"/>
            </w:pPr>
          </w:p>
        </w:tc>
      </w:tr>
      <w:tr w:rsidR="004609BB" w:rsidRPr="00D93701" w:rsidTr="00700C64">
        <w:tc>
          <w:tcPr>
            <w:tcW w:w="3956" w:type="dxa"/>
          </w:tcPr>
          <w:p w:rsidR="004609BB" w:rsidRPr="000D0FD6" w:rsidRDefault="004609BB" w:rsidP="00700C64">
            <w:pPr>
              <w:rPr>
                <w:b/>
              </w:rPr>
            </w:pPr>
            <w:r w:rsidRPr="000D0FD6">
              <w:rPr>
                <w:b/>
              </w:rPr>
              <w:t>1991-2000</w:t>
            </w:r>
          </w:p>
        </w:tc>
        <w:tc>
          <w:tcPr>
            <w:tcW w:w="283" w:type="dxa"/>
          </w:tcPr>
          <w:p w:rsidR="004609BB" w:rsidRPr="000D0FD6" w:rsidRDefault="004609BB" w:rsidP="00700C64"/>
        </w:tc>
        <w:tc>
          <w:tcPr>
            <w:tcW w:w="1256" w:type="dxa"/>
          </w:tcPr>
          <w:p w:rsidR="004609BB" w:rsidRPr="000D0FD6" w:rsidRDefault="004609BB" w:rsidP="00700C64">
            <w:pPr>
              <w:jc w:val="center"/>
            </w:pPr>
          </w:p>
        </w:tc>
        <w:tc>
          <w:tcPr>
            <w:tcW w:w="1276" w:type="dxa"/>
          </w:tcPr>
          <w:p w:rsidR="004609BB" w:rsidRPr="000D0FD6" w:rsidRDefault="004609BB" w:rsidP="00700C64">
            <w:pPr>
              <w:jc w:val="center"/>
            </w:pPr>
          </w:p>
        </w:tc>
        <w:tc>
          <w:tcPr>
            <w:tcW w:w="708" w:type="dxa"/>
          </w:tcPr>
          <w:p w:rsidR="004609BB" w:rsidRPr="000D0FD6" w:rsidRDefault="004609BB" w:rsidP="00700C64">
            <w:pPr>
              <w:jc w:val="center"/>
            </w:pPr>
          </w:p>
        </w:tc>
        <w:tc>
          <w:tcPr>
            <w:tcW w:w="1418" w:type="dxa"/>
          </w:tcPr>
          <w:p w:rsidR="004609BB" w:rsidRPr="000D0FD6" w:rsidRDefault="004609BB" w:rsidP="00700C64">
            <w:pPr>
              <w:jc w:val="center"/>
            </w:pPr>
          </w:p>
        </w:tc>
        <w:tc>
          <w:tcPr>
            <w:tcW w:w="283" w:type="dxa"/>
          </w:tcPr>
          <w:p w:rsidR="004609BB" w:rsidRPr="000D0FD6" w:rsidRDefault="004609BB" w:rsidP="00700C64">
            <w:pPr>
              <w:jc w:val="center"/>
            </w:pPr>
          </w:p>
        </w:tc>
        <w:tc>
          <w:tcPr>
            <w:tcW w:w="1276" w:type="dxa"/>
          </w:tcPr>
          <w:p w:rsidR="004609BB" w:rsidRPr="000D0FD6" w:rsidRDefault="004609BB" w:rsidP="00700C64">
            <w:pPr>
              <w:jc w:val="center"/>
            </w:pPr>
          </w:p>
        </w:tc>
        <w:tc>
          <w:tcPr>
            <w:tcW w:w="1276" w:type="dxa"/>
          </w:tcPr>
          <w:p w:rsidR="004609BB" w:rsidRPr="000D0FD6" w:rsidRDefault="004609BB" w:rsidP="00700C64">
            <w:pPr>
              <w:jc w:val="center"/>
            </w:pPr>
          </w:p>
        </w:tc>
        <w:tc>
          <w:tcPr>
            <w:tcW w:w="850" w:type="dxa"/>
          </w:tcPr>
          <w:p w:rsidR="004609BB" w:rsidRPr="000D0FD6" w:rsidRDefault="004609BB" w:rsidP="00700C64">
            <w:pPr>
              <w:jc w:val="center"/>
            </w:pPr>
          </w:p>
        </w:tc>
        <w:tc>
          <w:tcPr>
            <w:tcW w:w="1418" w:type="dxa"/>
          </w:tcPr>
          <w:p w:rsidR="004609BB" w:rsidRPr="000D0FD6" w:rsidRDefault="004609BB" w:rsidP="00700C64">
            <w:pPr>
              <w:jc w:val="center"/>
            </w:pPr>
          </w:p>
        </w:tc>
      </w:tr>
      <w:tr w:rsidR="004609BB" w:rsidRPr="00D93701" w:rsidTr="00700C64">
        <w:tc>
          <w:tcPr>
            <w:tcW w:w="3956" w:type="dxa"/>
          </w:tcPr>
          <w:p w:rsidR="004609BB" w:rsidRPr="000D0FD6" w:rsidRDefault="004609BB" w:rsidP="00700C64">
            <w:pPr>
              <w:ind w:left="303"/>
            </w:pPr>
            <w:r w:rsidRPr="000D0FD6">
              <w:t>Pneumococcal and unspecified lobar pneumonia</w:t>
            </w:r>
          </w:p>
        </w:tc>
        <w:tc>
          <w:tcPr>
            <w:tcW w:w="283" w:type="dxa"/>
          </w:tcPr>
          <w:p w:rsidR="004609BB" w:rsidRPr="000D0FD6" w:rsidRDefault="004609BB" w:rsidP="00700C64"/>
        </w:tc>
        <w:tc>
          <w:tcPr>
            <w:tcW w:w="1256" w:type="dxa"/>
          </w:tcPr>
          <w:p w:rsidR="004609BB" w:rsidRPr="000D0FD6" w:rsidRDefault="004609BB" w:rsidP="00700C64">
            <w:pPr>
              <w:jc w:val="center"/>
            </w:pPr>
            <w:r w:rsidRPr="000D0FD6">
              <w:t>32</w:t>
            </w:r>
          </w:p>
        </w:tc>
        <w:tc>
          <w:tcPr>
            <w:tcW w:w="1276" w:type="dxa"/>
          </w:tcPr>
          <w:p w:rsidR="004609BB" w:rsidRPr="000D0FD6" w:rsidRDefault="004609BB" w:rsidP="00700C64">
            <w:pPr>
              <w:jc w:val="center"/>
            </w:pPr>
            <w:r w:rsidRPr="000D0FD6">
              <w:t>13.2</w:t>
            </w:r>
          </w:p>
        </w:tc>
        <w:tc>
          <w:tcPr>
            <w:tcW w:w="708" w:type="dxa"/>
          </w:tcPr>
          <w:p w:rsidR="004609BB" w:rsidRPr="000D0FD6" w:rsidRDefault="004609BB" w:rsidP="00700C64">
            <w:pPr>
              <w:jc w:val="center"/>
            </w:pPr>
            <w:r w:rsidRPr="000D0FD6">
              <w:t>2.42</w:t>
            </w:r>
          </w:p>
        </w:tc>
        <w:tc>
          <w:tcPr>
            <w:tcW w:w="1418" w:type="dxa"/>
          </w:tcPr>
          <w:p w:rsidR="004609BB" w:rsidRPr="000D0FD6" w:rsidRDefault="004609BB" w:rsidP="00700C64">
            <w:pPr>
              <w:jc w:val="center"/>
            </w:pPr>
            <w:r w:rsidRPr="000D0FD6">
              <w:t>(1.66-3.42)</w:t>
            </w:r>
          </w:p>
        </w:tc>
        <w:tc>
          <w:tcPr>
            <w:tcW w:w="283" w:type="dxa"/>
          </w:tcPr>
          <w:p w:rsidR="004609BB" w:rsidRPr="000D0FD6" w:rsidRDefault="004609BB" w:rsidP="00700C64">
            <w:pPr>
              <w:jc w:val="center"/>
            </w:pPr>
          </w:p>
        </w:tc>
        <w:tc>
          <w:tcPr>
            <w:tcW w:w="1276" w:type="dxa"/>
          </w:tcPr>
          <w:p w:rsidR="004609BB" w:rsidRPr="000D0FD6" w:rsidRDefault="004609BB" w:rsidP="00700C64">
            <w:pPr>
              <w:jc w:val="center"/>
            </w:pPr>
            <w:r w:rsidRPr="000D0FD6">
              <w:t>21</w:t>
            </w:r>
          </w:p>
        </w:tc>
        <w:tc>
          <w:tcPr>
            <w:tcW w:w="1276" w:type="dxa"/>
          </w:tcPr>
          <w:p w:rsidR="004609BB" w:rsidRPr="000D0FD6" w:rsidRDefault="004609BB" w:rsidP="00700C64">
            <w:pPr>
              <w:jc w:val="center"/>
            </w:pPr>
            <w:r w:rsidRPr="000D0FD6">
              <w:t>15.0</w:t>
            </w:r>
          </w:p>
        </w:tc>
        <w:tc>
          <w:tcPr>
            <w:tcW w:w="850" w:type="dxa"/>
          </w:tcPr>
          <w:p w:rsidR="004609BB" w:rsidRPr="000D0FD6" w:rsidRDefault="004609BB" w:rsidP="00700C64">
            <w:pPr>
              <w:jc w:val="center"/>
            </w:pPr>
            <w:r w:rsidRPr="000D0FD6">
              <w:t>1.40</w:t>
            </w:r>
          </w:p>
        </w:tc>
        <w:tc>
          <w:tcPr>
            <w:tcW w:w="1418" w:type="dxa"/>
          </w:tcPr>
          <w:p w:rsidR="004609BB" w:rsidRPr="000D0FD6" w:rsidRDefault="004609BB" w:rsidP="00700C64">
            <w:pPr>
              <w:jc w:val="center"/>
            </w:pPr>
            <w:r w:rsidRPr="000D0FD6">
              <w:t>(0.86-2.13)</w:t>
            </w:r>
          </w:p>
        </w:tc>
      </w:tr>
      <w:tr w:rsidR="004609BB" w:rsidRPr="00D93701" w:rsidTr="00700C64">
        <w:tc>
          <w:tcPr>
            <w:tcW w:w="3956" w:type="dxa"/>
          </w:tcPr>
          <w:p w:rsidR="004609BB" w:rsidRPr="000D0FD6" w:rsidRDefault="004609BB" w:rsidP="00700C64"/>
        </w:tc>
        <w:tc>
          <w:tcPr>
            <w:tcW w:w="283" w:type="dxa"/>
          </w:tcPr>
          <w:p w:rsidR="004609BB" w:rsidRPr="000D0FD6" w:rsidRDefault="004609BB" w:rsidP="00700C64"/>
        </w:tc>
        <w:tc>
          <w:tcPr>
            <w:tcW w:w="1256" w:type="dxa"/>
          </w:tcPr>
          <w:p w:rsidR="004609BB" w:rsidRPr="000D0FD6" w:rsidRDefault="004609BB" w:rsidP="00700C64">
            <w:pPr>
              <w:jc w:val="center"/>
            </w:pPr>
          </w:p>
        </w:tc>
        <w:tc>
          <w:tcPr>
            <w:tcW w:w="1276" w:type="dxa"/>
          </w:tcPr>
          <w:p w:rsidR="004609BB" w:rsidRPr="000D0FD6" w:rsidRDefault="004609BB" w:rsidP="00700C64">
            <w:pPr>
              <w:jc w:val="center"/>
            </w:pPr>
          </w:p>
        </w:tc>
        <w:tc>
          <w:tcPr>
            <w:tcW w:w="708" w:type="dxa"/>
          </w:tcPr>
          <w:p w:rsidR="004609BB" w:rsidRPr="000D0FD6" w:rsidRDefault="004609BB" w:rsidP="00700C64">
            <w:pPr>
              <w:jc w:val="center"/>
            </w:pPr>
          </w:p>
        </w:tc>
        <w:tc>
          <w:tcPr>
            <w:tcW w:w="1418" w:type="dxa"/>
          </w:tcPr>
          <w:p w:rsidR="004609BB" w:rsidRPr="000D0FD6" w:rsidRDefault="004609BB" w:rsidP="00700C64">
            <w:pPr>
              <w:jc w:val="center"/>
            </w:pPr>
          </w:p>
        </w:tc>
        <w:tc>
          <w:tcPr>
            <w:tcW w:w="283" w:type="dxa"/>
          </w:tcPr>
          <w:p w:rsidR="004609BB" w:rsidRPr="000D0FD6" w:rsidRDefault="004609BB" w:rsidP="00700C64">
            <w:pPr>
              <w:jc w:val="center"/>
            </w:pPr>
          </w:p>
        </w:tc>
        <w:tc>
          <w:tcPr>
            <w:tcW w:w="1276" w:type="dxa"/>
          </w:tcPr>
          <w:p w:rsidR="004609BB" w:rsidRPr="000D0FD6" w:rsidRDefault="004609BB" w:rsidP="00700C64">
            <w:pPr>
              <w:jc w:val="center"/>
            </w:pPr>
          </w:p>
        </w:tc>
        <w:tc>
          <w:tcPr>
            <w:tcW w:w="1276" w:type="dxa"/>
          </w:tcPr>
          <w:p w:rsidR="004609BB" w:rsidRPr="000D0FD6" w:rsidRDefault="004609BB" w:rsidP="00700C64">
            <w:pPr>
              <w:jc w:val="center"/>
            </w:pPr>
          </w:p>
        </w:tc>
        <w:tc>
          <w:tcPr>
            <w:tcW w:w="850" w:type="dxa"/>
          </w:tcPr>
          <w:p w:rsidR="004609BB" w:rsidRPr="000D0FD6" w:rsidRDefault="004609BB" w:rsidP="00700C64">
            <w:pPr>
              <w:jc w:val="center"/>
            </w:pPr>
          </w:p>
        </w:tc>
        <w:tc>
          <w:tcPr>
            <w:tcW w:w="1418" w:type="dxa"/>
          </w:tcPr>
          <w:p w:rsidR="004609BB" w:rsidRPr="000D0FD6" w:rsidRDefault="004609BB" w:rsidP="00700C64">
            <w:pPr>
              <w:jc w:val="center"/>
            </w:pPr>
          </w:p>
        </w:tc>
      </w:tr>
      <w:tr w:rsidR="004609BB" w:rsidRPr="00D93701" w:rsidTr="00700C64">
        <w:tc>
          <w:tcPr>
            <w:tcW w:w="3956" w:type="dxa"/>
          </w:tcPr>
          <w:p w:rsidR="004609BB" w:rsidRPr="000D0FD6" w:rsidRDefault="004609BB" w:rsidP="00700C64">
            <w:pPr>
              <w:rPr>
                <w:b/>
              </w:rPr>
            </w:pPr>
            <w:r w:rsidRPr="000D0FD6">
              <w:rPr>
                <w:b/>
              </w:rPr>
              <w:t>2001-2010</w:t>
            </w:r>
          </w:p>
        </w:tc>
        <w:tc>
          <w:tcPr>
            <w:tcW w:w="283" w:type="dxa"/>
          </w:tcPr>
          <w:p w:rsidR="004609BB" w:rsidRPr="000D0FD6" w:rsidRDefault="004609BB" w:rsidP="00700C64"/>
        </w:tc>
        <w:tc>
          <w:tcPr>
            <w:tcW w:w="1256" w:type="dxa"/>
          </w:tcPr>
          <w:p w:rsidR="004609BB" w:rsidRPr="000D0FD6" w:rsidRDefault="004609BB" w:rsidP="00700C64">
            <w:pPr>
              <w:jc w:val="center"/>
            </w:pPr>
          </w:p>
        </w:tc>
        <w:tc>
          <w:tcPr>
            <w:tcW w:w="1276" w:type="dxa"/>
          </w:tcPr>
          <w:p w:rsidR="004609BB" w:rsidRPr="000D0FD6" w:rsidRDefault="004609BB" w:rsidP="00700C64">
            <w:pPr>
              <w:jc w:val="center"/>
            </w:pPr>
          </w:p>
        </w:tc>
        <w:tc>
          <w:tcPr>
            <w:tcW w:w="708" w:type="dxa"/>
          </w:tcPr>
          <w:p w:rsidR="004609BB" w:rsidRPr="000D0FD6" w:rsidRDefault="004609BB" w:rsidP="00700C64">
            <w:pPr>
              <w:jc w:val="center"/>
            </w:pPr>
          </w:p>
        </w:tc>
        <w:tc>
          <w:tcPr>
            <w:tcW w:w="1418" w:type="dxa"/>
          </w:tcPr>
          <w:p w:rsidR="004609BB" w:rsidRPr="000D0FD6" w:rsidRDefault="004609BB" w:rsidP="00700C64">
            <w:pPr>
              <w:jc w:val="center"/>
            </w:pPr>
          </w:p>
        </w:tc>
        <w:tc>
          <w:tcPr>
            <w:tcW w:w="283" w:type="dxa"/>
          </w:tcPr>
          <w:p w:rsidR="004609BB" w:rsidRPr="000D0FD6" w:rsidRDefault="004609BB" w:rsidP="00700C64">
            <w:pPr>
              <w:jc w:val="center"/>
            </w:pPr>
          </w:p>
        </w:tc>
        <w:tc>
          <w:tcPr>
            <w:tcW w:w="1276" w:type="dxa"/>
          </w:tcPr>
          <w:p w:rsidR="004609BB" w:rsidRPr="000D0FD6" w:rsidRDefault="004609BB" w:rsidP="00700C64">
            <w:pPr>
              <w:jc w:val="center"/>
            </w:pPr>
          </w:p>
        </w:tc>
        <w:tc>
          <w:tcPr>
            <w:tcW w:w="1276" w:type="dxa"/>
          </w:tcPr>
          <w:p w:rsidR="004609BB" w:rsidRPr="000D0FD6" w:rsidRDefault="004609BB" w:rsidP="00700C64">
            <w:pPr>
              <w:jc w:val="center"/>
            </w:pPr>
          </w:p>
        </w:tc>
        <w:tc>
          <w:tcPr>
            <w:tcW w:w="850" w:type="dxa"/>
          </w:tcPr>
          <w:p w:rsidR="004609BB" w:rsidRPr="000D0FD6" w:rsidRDefault="004609BB" w:rsidP="00700C64">
            <w:pPr>
              <w:jc w:val="center"/>
            </w:pPr>
          </w:p>
        </w:tc>
        <w:tc>
          <w:tcPr>
            <w:tcW w:w="1418" w:type="dxa"/>
          </w:tcPr>
          <w:p w:rsidR="004609BB" w:rsidRPr="000D0FD6" w:rsidRDefault="004609BB" w:rsidP="00700C64">
            <w:pPr>
              <w:jc w:val="center"/>
            </w:pPr>
          </w:p>
        </w:tc>
      </w:tr>
      <w:tr w:rsidR="004609BB" w:rsidRPr="00D93701" w:rsidTr="00700C64">
        <w:tc>
          <w:tcPr>
            <w:tcW w:w="3956" w:type="dxa"/>
          </w:tcPr>
          <w:p w:rsidR="004609BB" w:rsidRPr="000D0FD6" w:rsidRDefault="004609BB" w:rsidP="00700C64">
            <w:pPr>
              <w:ind w:left="303"/>
            </w:pPr>
            <w:r w:rsidRPr="000D0FD6">
              <w:t>Pneumococcal and unspecified lobar pneumonia</w:t>
            </w:r>
          </w:p>
        </w:tc>
        <w:tc>
          <w:tcPr>
            <w:tcW w:w="283" w:type="dxa"/>
          </w:tcPr>
          <w:p w:rsidR="004609BB" w:rsidRPr="000D0FD6" w:rsidRDefault="004609BB" w:rsidP="00700C64"/>
        </w:tc>
        <w:tc>
          <w:tcPr>
            <w:tcW w:w="1256" w:type="dxa"/>
          </w:tcPr>
          <w:p w:rsidR="004609BB" w:rsidRPr="000D0FD6" w:rsidRDefault="004609BB" w:rsidP="00700C64">
            <w:pPr>
              <w:jc w:val="center"/>
            </w:pPr>
            <w:r w:rsidRPr="000D0FD6">
              <w:t>28</w:t>
            </w:r>
          </w:p>
        </w:tc>
        <w:tc>
          <w:tcPr>
            <w:tcW w:w="1276" w:type="dxa"/>
          </w:tcPr>
          <w:p w:rsidR="004609BB" w:rsidRPr="000D0FD6" w:rsidRDefault="004609BB" w:rsidP="00700C64">
            <w:pPr>
              <w:jc w:val="center"/>
            </w:pPr>
            <w:r w:rsidRPr="000D0FD6">
              <w:t>17.</w:t>
            </w:r>
            <w:r w:rsidR="00700C64">
              <w:t>1</w:t>
            </w:r>
          </w:p>
        </w:tc>
        <w:tc>
          <w:tcPr>
            <w:tcW w:w="708" w:type="dxa"/>
          </w:tcPr>
          <w:p w:rsidR="004609BB" w:rsidRPr="000D0FD6" w:rsidRDefault="004609BB" w:rsidP="00700C64">
            <w:pPr>
              <w:jc w:val="center"/>
            </w:pPr>
            <w:r>
              <w:t>1.</w:t>
            </w:r>
            <w:r w:rsidR="00700C64">
              <w:t>64</w:t>
            </w:r>
          </w:p>
        </w:tc>
        <w:tc>
          <w:tcPr>
            <w:tcW w:w="1418" w:type="dxa"/>
          </w:tcPr>
          <w:p w:rsidR="004609BB" w:rsidRPr="000D0FD6" w:rsidRDefault="004609BB" w:rsidP="00700C64">
            <w:pPr>
              <w:jc w:val="center"/>
            </w:pPr>
            <w:r>
              <w:t>(1.</w:t>
            </w:r>
            <w:r w:rsidR="00700C64">
              <w:t>09</w:t>
            </w:r>
            <w:r>
              <w:t>-2.</w:t>
            </w:r>
            <w:r w:rsidR="00700C64">
              <w:t>36</w:t>
            </w:r>
            <w:r>
              <w:t>)</w:t>
            </w:r>
          </w:p>
        </w:tc>
        <w:tc>
          <w:tcPr>
            <w:tcW w:w="283" w:type="dxa"/>
          </w:tcPr>
          <w:p w:rsidR="004609BB" w:rsidRPr="000D0FD6" w:rsidRDefault="004609BB" w:rsidP="00700C64">
            <w:pPr>
              <w:jc w:val="center"/>
            </w:pPr>
          </w:p>
        </w:tc>
        <w:tc>
          <w:tcPr>
            <w:tcW w:w="1276" w:type="dxa"/>
          </w:tcPr>
          <w:p w:rsidR="004609BB" w:rsidRPr="000D0FD6" w:rsidRDefault="004609BB" w:rsidP="00700C64">
            <w:pPr>
              <w:jc w:val="center"/>
            </w:pPr>
            <w:r w:rsidRPr="000D0FD6">
              <w:t>18</w:t>
            </w:r>
          </w:p>
        </w:tc>
        <w:tc>
          <w:tcPr>
            <w:tcW w:w="1276" w:type="dxa"/>
          </w:tcPr>
          <w:p w:rsidR="004609BB" w:rsidRPr="000D0FD6" w:rsidRDefault="004609BB" w:rsidP="00700C64">
            <w:pPr>
              <w:jc w:val="center"/>
            </w:pPr>
            <w:r>
              <w:t>13.6</w:t>
            </w:r>
          </w:p>
        </w:tc>
        <w:tc>
          <w:tcPr>
            <w:tcW w:w="850" w:type="dxa"/>
          </w:tcPr>
          <w:p w:rsidR="004609BB" w:rsidRPr="000D0FD6" w:rsidRDefault="004609BB" w:rsidP="00700C64">
            <w:pPr>
              <w:jc w:val="center"/>
            </w:pPr>
            <w:r>
              <w:t>1.32</w:t>
            </w:r>
          </w:p>
        </w:tc>
        <w:tc>
          <w:tcPr>
            <w:tcW w:w="1418" w:type="dxa"/>
          </w:tcPr>
          <w:p w:rsidR="004609BB" w:rsidRPr="000D0FD6" w:rsidRDefault="004609BB" w:rsidP="00700C64">
            <w:pPr>
              <w:jc w:val="center"/>
            </w:pPr>
            <w:r>
              <w:t>(0.78-2.09)</w:t>
            </w:r>
          </w:p>
        </w:tc>
      </w:tr>
      <w:tr w:rsidR="004609BB" w:rsidRPr="00D93701" w:rsidTr="00700C64">
        <w:tc>
          <w:tcPr>
            <w:tcW w:w="3956" w:type="dxa"/>
          </w:tcPr>
          <w:p w:rsidR="004609BB" w:rsidRPr="000D0FD6" w:rsidRDefault="004609BB" w:rsidP="00700C64"/>
        </w:tc>
        <w:tc>
          <w:tcPr>
            <w:tcW w:w="283" w:type="dxa"/>
          </w:tcPr>
          <w:p w:rsidR="004609BB" w:rsidRPr="000D0FD6" w:rsidRDefault="004609BB" w:rsidP="00700C64"/>
        </w:tc>
        <w:tc>
          <w:tcPr>
            <w:tcW w:w="1256" w:type="dxa"/>
          </w:tcPr>
          <w:p w:rsidR="004609BB" w:rsidRPr="000D0FD6" w:rsidRDefault="004609BB" w:rsidP="00700C64">
            <w:pPr>
              <w:jc w:val="center"/>
            </w:pPr>
          </w:p>
        </w:tc>
        <w:tc>
          <w:tcPr>
            <w:tcW w:w="1276" w:type="dxa"/>
          </w:tcPr>
          <w:p w:rsidR="004609BB" w:rsidRPr="000D0FD6" w:rsidRDefault="004609BB" w:rsidP="00700C64">
            <w:pPr>
              <w:jc w:val="center"/>
            </w:pPr>
          </w:p>
        </w:tc>
        <w:tc>
          <w:tcPr>
            <w:tcW w:w="708" w:type="dxa"/>
          </w:tcPr>
          <w:p w:rsidR="004609BB" w:rsidRPr="000D0FD6" w:rsidRDefault="004609BB" w:rsidP="00700C64">
            <w:pPr>
              <w:jc w:val="center"/>
            </w:pPr>
          </w:p>
        </w:tc>
        <w:tc>
          <w:tcPr>
            <w:tcW w:w="1418" w:type="dxa"/>
          </w:tcPr>
          <w:p w:rsidR="004609BB" w:rsidRPr="000D0FD6" w:rsidRDefault="004609BB" w:rsidP="00700C64">
            <w:pPr>
              <w:jc w:val="center"/>
            </w:pPr>
          </w:p>
        </w:tc>
        <w:tc>
          <w:tcPr>
            <w:tcW w:w="283" w:type="dxa"/>
          </w:tcPr>
          <w:p w:rsidR="004609BB" w:rsidRPr="000D0FD6" w:rsidRDefault="004609BB" w:rsidP="00700C64">
            <w:pPr>
              <w:jc w:val="center"/>
            </w:pPr>
          </w:p>
        </w:tc>
        <w:tc>
          <w:tcPr>
            <w:tcW w:w="1276" w:type="dxa"/>
          </w:tcPr>
          <w:p w:rsidR="004609BB" w:rsidRPr="000D0FD6" w:rsidRDefault="004609BB" w:rsidP="00700C64">
            <w:pPr>
              <w:jc w:val="center"/>
            </w:pPr>
          </w:p>
        </w:tc>
        <w:tc>
          <w:tcPr>
            <w:tcW w:w="1276" w:type="dxa"/>
          </w:tcPr>
          <w:p w:rsidR="004609BB" w:rsidRPr="000D0FD6" w:rsidRDefault="004609BB" w:rsidP="00700C64">
            <w:pPr>
              <w:jc w:val="center"/>
            </w:pPr>
          </w:p>
        </w:tc>
        <w:tc>
          <w:tcPr>
            <w:tcW w:w="850" w:type="dxa"/>
          </w:tcPr>
          <w:p w:rsidR="004609BB" w:rsidRPr="000D0FD6" w:rsidRDefault="004609BB" w:rsidP="00700C64">
            <w:pPr>
              <w:jc w:val="center"/>
            </w:pPr>
          </w:p>
        </w:tc>
        <w:tc>
          <w:tcPr>
            <w:tcW w:w="1418" w:type="dxa"/>
          </w:tcPr>
          <w:p w:rsidR="004609BB" w:rsidRPr="000D0FD6" w:rsidRDefault="004609BB" w:rsidP="00700C64">
            <w:pPr>
              <w:jc w:val="center"/>
            </w:pPr>
          </w:p>
        </w:tc>
      </w:tr>
      <w:tr w:rsidR="004609BB" w:rsidRPr="00D93701" w:rsidTr="00700C64">
        <w:tc>
          <w:tcPr>
            <w:tcW w:w="3956" w:type="dxa"/>
          </w:tcPr>
          <w:p w:rsidR="004609BB" w:rsidRPr="000D0FD6" w:rsidRDefault="004609BB" w:rsidP="00700C64">
            <w:pPr>
              <w:ind w:firstLine="587"/>
              <w:rPr>
                <w:i/>
              </w:rPr>
            </w:pPr>
            <w:r w:rsidRPr="000D0FD6">
              <w:rPr>
                <w:i/>
              </w:rPr>
              <w:t>Pneumococcal pneumonia</w:t>
            </w:r>
          </w:p>
        </w:tc>
        <w:tc>
          <w:tcPr>
            <w:tcW w:w="283" w:type="dxa"/>
          </w:tcPr>
          <w:p w:rsidR="004609BB" w:rsidRPr="000D0FD6" w:rsidRDefault="004609BB" w:rsidP="00700C64"/>
        </w:tc>
        <w:tc>
          <w:tcPr>
            <w:tcW w:w="1256" w:type="dxa"/>
          </w:tcPr>
          <w:p w:rsidR="004609BB" w:rsidRPr="000D0FD6" w:rsidRDefault="004609BB" w:rsidP="00700C64">
            <w:pPr>
              <w:jc w:val="center"/>
            </w:pPr>
            <w:r w:rsidRPr="000D0FD6">
              <w:t>7</w:t>
            </w:r>
          </w:p>
        </w:tc>
        <w:tc>
          <w:tcPr>
            <w:tcW w:w="1276" w:type="dxa"/>
          </w:tcPr>
          <w:p w:rsidR="004609BB" w:rsidRPr="000D0FD6" w:rsidRDefault="004609BB" w:rsidP="00700C64">
            <w:pPr>
              <w:jc w:val="center"/>
            </w:pPr>
            <w:r>
              <w:t>1.96</w:t>
            </w:r>
          </w:p>
        </w:tc>
        <w:tc>
          <w:tcPr>
            <w:tcW w:w="708" w:type="dxa"/>
          </w:tcPr>
          <w:p w:rsidR="004609BB" w:rsidRPr="000D0FD6" w:rsidRDefault="004609BB" w:rsidP="00700C64">
            <w:pPr>
              <w:jc w:val="center"/>
            </w:pPr>
            <w:r w:rsidRPr="000D0FD6">
              <w:t>3.58</w:t>
            </w:r>
          </w:p>
        </w:tc>
        <w:tc>
          <w:tcPr>
            <w:tcW w:w="1418" w:type="dxa"/>
          </w:tcPr>
          <w:p w:rsidR="004609BB" w:rsidRPr="000D0FD6" w:rsidRDefault="004609BB" w:rsidP="00700C64">
            <w:pPr>
              <w:jc w:val="center"/>
            </w:pPr>
            <w:r w:rsidRPr="000D0FD6">
              <w:t>(1.44-7.37)</w:t>
            </w:r>
          </w:p>
        </w:tc>
        <w:tc>
          <w:tcPr>
            <w:tcW w:w="283" w:type="dxa"/>
          </w:tcPr>
          <w:p w:rsidR="004609BB" w:rsidRPr="000D0FD6" w:rsidRDefault="004609BB" w:rsidP="00700C64">
            <w:pPr>
              <w:jc w:val="center"/>
            </w:pPr>
          </w:p>
        </w:tc>
        <w:tc>
          <w:tcPr>
            <w:tcW w:w="1276" w:type="dxa"/>
          </w:tcPr>
          <w:p w:rsidR="004609BB" w:rsidRPr="000D0FD6" w:rsidRDefault="004609BB" w:rsidP="00700C64">
            <w:pPr>
              <w:jc w:val="center"/>
            </w:pPr>
            <w:r w:rsidRPr="000D0FD6">
              <w:t>0</w:t>
            </w:r>
          </w:p>
        </w:tc>
        <w:tc>
          <w:tcPr>
            <w:tcW w:w="1276" w:type="dxa"/>
          </w:tcPr>
          <w:p w:rsidR="004609BB" w:rsidRPr="000D0FD6" w:rsidRDefault="004609BB" w:rsidP="00700C64">
            <w:pPr>
              <w:jc w:val="center"/>
            </w:pPr>
            <w:r>
              <w:t>0.82</w:t>
            </w:r>
          </w:p>
        </w:tc>
        <w:tc>
          <w:tcPr>
            <w:tcW w:w="850" w:type="dxa"/>
          </w:tcPr>
          <w:p w:rsidR="004609BB" w:rsidRPr="000D0FD6" w:rsidRDefault="004609BB" w:rsidP="00700C64">
            <w:pPr>
              <w:jc w:val="center"/>
            </w:pPr>
            <w:r w:rsidRPr="000D0FD6">
              <w:t>0</w:t>
            </w:r>
            <w:r>
              <w:t>.00</w:t>
            </w:r>
          </w:p>
        </w:tc>
        <w:tc>
          <w:tcPr>
            <w:tcW w:w="1418" w:type="dxa"/>
          </w:tcPr>
          <w:p w:rsidR="004609BB" w:rsidRPr="000D0FD6" w:rsidRDefault="004609BB" w:rsidP="00700C64">
            <w:pPr>
              <w:jc w:val="center"/>
            </w:pPr>
            <w:r>
              <w:t>(0.00-4.51)</w:t>
            </w:r>
          </w:p>
        </w:tc>
      </w:tr>
      <w:tr w:rsidR="004609BB" w:rsidRPr="00D93701" w:rsidTr="00700C64">
        <w:tc>
          <w:tcPr>
            <w:tcW w:w="3956" w:type="dxa"/>
          </w:tcPr>
          <w:p w:rsidR="004609BB" w:rsidRPr="000D0FD6" w:rsidRDefault="004609BB" w:rsidP="00700C64">
            <w:pPr>
              <w:ind w:firstLine="587"/>
              <w:rPr>
                <w:i/>
              </w:rPr>
            </w:pPr>
            <w:r w:rsidRPr="000D0FD6">
              <w:rPr>
                <w:i/>
              </w:rPr>
              <w:t>Unspecified lobar pneumonia</w:t>
            </w:r>
          </w:p>
        </w:tc>
        <w:tc>
          <w:tcPr>
            <w:tcW w:w="283" w:type="dxa"/>
          </w:tcPr>
          <w:p w:rsidR="004609BB" w:rsidRPr="000D0FD6" w:rsidRDefault="004609BB" w:rsidP="00700C64"/>
        </w:tc>
        <w:tc>
          <w:tcPr>
            <w:tcW w:w="1256" w:type="dxa"/>
          </w:tcPr>
          <w:p w:rsidR="004609BB" w:rsidRPr="000D0FD6" w:rsidRDefault="004609BB" w:rsidP="00700C64">
            <w:pPr>
              <w:jc w:val="center"/>
            </w:pPr>
            <w:r w:rsidRPr="000D0FD6">
              <w:t>21</w:t>
            </w:r>
          </w:p>
        </w:tc>
        <w:tc>
          <w:tcPr>
            <w:tcW w:w="1276" w:type="dxa"/>
          </w:tcPr>
          <w:p w:rsidR="004609BB" w:rsidRPr="000D0FD6" w:rsidRDefault="004609BB" w:rsidP="00700C64">
            <w:pPr>
              <w:jc w:val="center"/>
            </w:pPr>
            <w:r w:rsidRPr="000D0FD6">
              <w:t>15.2</w:t>
            </w:r>
          </w:p>
        </w:tc>
        <w:tc>
          <w:tcPr>
            <w:tcW w:w="708" w:type="dxa"/>
          </w:tcPr>
          <w:p w:rsidR="004609BB" w:rsidRPr="000D0FD6" w:rsidRDefault="004609BB" w:rsidP="00700C64">
            <w:pPr>
              <w:jc w:val="center"/>
            </w:pPr>
            <w:r w:rsidRPr="000D0FD6">
              <w:t>1.38</w:t>
            </w:r>
          </w:p>
        </w:tc>
        <w:tc>
          <w:tcPr>
            <w:tcW w:w="1418" w:type="dxa"/>
          </w:tcPr>
          <w:p w:rsidR="004609BB" w:rsidRPr="000D0FD6" w:rsidRDefault="004609BB" w:rsidP="00700C64">
            <w:pPr>
              <w:jc w:val="center"/>
            </w:pPr>
            <w:r w:rsidRPr="000D0FD6">
              <w:t>(0.86-2.12)</w:t>
            </w:r>
          </w:p>
        </w:tc>
        <w:tc>
          <w:tcPr>
            <w:tcW w:w="283" w:type="dxa"/>
          </w:tcPr>
          <w:p w:rsidR="004609BB" w:rsidRPr="000D0FD6" w:rsidRDefault="004609BB" w:rsidP="00700C64">
            <w:pPr>
              <w:jc w:val="center"/>
            </w:pPr>
          </w:p>
        </w:tc>
        <w:tc>
          <w:tcPr>
            <w:tcW w:w="1276" w:type="dxa"/>
          </w:tcPr>
          <w:p w:rsidR="004609BB" w:rsidRPr="000D0FD6" w:rsidRDefault="004609BB" w:rsidP="00700C64">
            <w:pPr>
              <w:jc w:val="center"/>
            </w:pPr>
            <w:r w:rsidRPr="000D0FD6">
              <w:t>18</w:t>
            </w:r>
          </w:p>
        </w:tc>
        <w:tc>
          <w:tcPr>
            <w:tcW w:w="1276" w:type="dxa"/>
          </w:tcPr>
          <w:p w:rsidR="004609BB" w:rsidRPr="000D0FD6" w:rsidRDefault="004609BB" w:rsidP="00700C64">
            <w:pPr>
              <w:jc w:val="center"/>
            </w:pPr>
            <w:r w:rsidRPr="000D0FD6">
              <w:t>12.8</w:t>
            </w:r>
          </w:p>
        </w:tc>
        <w:tc>
          <w:tcPr>
            <w:tcW w:w="850" w:type="dxa"/>
          </w:tcPr>
          <w:p w:rsidR="004609BB" w:rsidRPr="000D0FD6" w:rsidRDefault="004609BB" w:rsidP="00700C64">
            <w:pPr>
              <w:jc w:val="center"/>
            </w:pPr>
            <w:r w:rsidRPr="000D0FD6">
              <w:t>1.40</w:t>
            </w:r>
          </w:p>
        </w:tc>
        <w:tc>
          <w:tcPr>
            <w:tcW w:w="1418" w:type="dxa"/>
          </w:tcPr>
          <w:p w:rsidR="004609BB" w:rsidRPr="000D0FD6" w:rsidRDefault="004609BB" w:rsidP="00700C64">
            <w:pPr>
              <w:jc w:val="center"/>
            </w:pPr>
            <w:r w:rsidRPr="000D0FD6">
              <w:t>(0.83-2.22)</w:t>
            </w:r>
          </w:p>
        </w:tc>
      </w:tr>
    </w:tbl>
    <w:p w:rsidR="004609BB" w:rsidRPr="00D93701" w:rsidRDefault="004609BB" w:rsidP="004609BB">
      <w:pPr>
        <w:rPr>
          <w:sz w:val="20"/>
        </w:rPr>
      </w:pPr>
    </w:p>
    <w:p w:rsidR="009C6F0F" w:rsidRDefault="009C6F0F" w:rsidP="004609BB">
      <w:pPr>
        <w:spacing w:after="200"/>
        <w:sectPr w:rsidR="009C6F0F" w:rsidSect="00700C64">
          <w:pgSz w:w="16838" w:h="11906" w:orient="landscape"/>
          <w:pgMar w:top="1440" w:right="1440" w:bottom="1440" w:left="1440" w:header="708" w:footer="708" w:gutter="0"/>
          <w:cols w:space="708"/>
          <w:docGrid w:linePitch="360"/>
        </w:sectPr>
      </w:pPr>
    </w:p>
    <w:p w:rsidR="009C6F0F" w:rsidRPr="009C6F0F" w:rsidRDefault="009C6F0F" w:rsidP="002332F1">
      <w:pPr>
        <w:spacing w:after="200"/>
        <w:jc w:val="both"/>
        <w:rPr>
          <w:b/>
        </w:rPr>
      </w:pPr>
      <w:r w:rsidRPr="009C6F0F">
        <w:rPr>
          <w:b/>
        </w:rPr>
        <w:lastRenderedPageBreak/>
        <w:t>References</w:t>
      </w:r>
    </w:p>
    <w:p w:rsidR="009C6F0F" w:rsidRPr="009C6F0F" w:rsidRDefault="009C6F0F" w:rsidP="002332F1">
      <w:pPr>
        <w:numPr>
          <w:ilvl w:val="0"/>
          <w:numId w:val="1"/>
        </w:numPr>
        <w:spacing w:line="360" w:lineRule="auto"/>
        <w:ind w:left="426" w:hanging="426"/>
        <w:jc w:val="both"/>
        <w:rPr>
          <w:iCs/>
        </w:rPr>
      </w:pPr>
      <w:r w:rsidRPr="009C6F0F">
        <w:t xml:space="preserve">Coggon D, Inskip H, Winter P </w:t>
      </w:r>
      <w:r w:rsidR="005B5F9E">
        <w:t>et al</w:t>
      </w:r>
      <w:r w:rsidRPr="009C6F0F">
        <w:t xml:space="preserve">. Lobar pneumonia: an occupational disease in welders.  </w:t>
      </w:r>
      <w:r w:rsidRPr="00F63ABA">
        <w:rPr>
          <w:i/>
          <w:iCs/>
        </w:rPr>
        <w:t xml:space="preserve">Lancet </w:t>
      </w:r>
      <w:r w:rsidRPr="009C6F0F">
        <w:rPr>
          <w:iCs/>
        </w:rPr>
        <w:t>1994;344:41-44.</w:t>
      </w:r>
    </w:p>
    <w:p w:rsidR="009C6F0F" w:rsidRPr="009C6F0F" w:rsidRDefault="009C6F0F" w:rsidP="002332F1">
      <w:pPr>
        <w:numPr>
          <w:ilvl w:val="0"/>
          <w:numId w:val="1"/>
        </w:numPr>
        <w:spacing w:line="360" w:lineRule="auto"/>
        <w:ind w:left="426" w:hanging="426"/>
        <w:jc w:val="both"/>
      </w:pPr>
      <w:r w:rsidRPr="009C6F0F">
        <w:t xml:space="preserve">Palmer K, Coggon D. Does occupational exposure to iron promote infection?  </w:t>
      </w:r>
      <w:r w:rsidRPr="00F63ABA">
        <w:rPr>
          <w:i/>
          <w:iCs/>
        </w:rPr>
        <w:t>Occup Environ Med</w:t>
      </w:r>
      <w:r w:rsidRPr="009C6F0F">
        <w:t xml:space="preserve"> 1997;54:529-534.</w:t>
      </w:r>
    </w:p>
    <w:p w:rsidR="009C6F0F" w:rsidRPr="009C6F0F" w:rsidRDefault="009C6F0F" w:rsidP="002332F1">
      <w:pPr>
        <w:pStyle w:val="ListParagraph"/>
        <w:numPr>
          <w:ilvl w:val="0"/>
          <w:numId w:val="1"/>
        </w:numPr>
        <w:spacing w:line="360" w:lineRule="auto"/>
        <w:ind w:left="426" w:hanging="426"/>
        <w:jc w:val="both"/>
        <w:rPr>
          <w:rFonts w:ascii="Arial" w:eastAsiaTheme="minorHAnsi" w:hAnsi="Arial" w:cs="Arial"/>
          <w:sz w:val="22"/>
          <w:szCs w:val="22"/>
        </w:rPr>
      </w:pPr>
      <w:r w:rsidRPr="009C6F0F">
        <w:rPr>
          <w:rFonts w:ascii="Arial" w:eastAsiaTheme="minorHAnsi" w:hAnsi="Arial" w:cs="Arial"/>
          <w:sz w:val="22"/>
          <w:szCs w:val="22"/>
        </w:rPr>
        <w:t xml:space="preserve">Wergeland E, Iversen BG. Deaths from pneumonia after welding. </w:t>
      </w:r>
      <w:r w:rsidRPr="00F63ABA">
        <w:rPr>
          <w:rFonts w:ascii="Arial" w:eastAsiaTheme="minorHAnsi" w:hAnsi="Arial" w:cs="Arial"/>
          <w:i/>
          <w:iCs/>
          <w:sz w:val="22"/>
          <w:szCs w:val="22"/>
        </w:rPr>
        <w:t>Scand J Work Environ Health</w:t>
      </w:r>
      <w:r w:rsidRPr="009C6F0F">
        <w:rPr>
          <w:rFonts w:ascii="Arial" w:eastAsiaTheme="minorHAnsi" w:hAnsi="Arial" w:cs="Arial"/>
          <w:sz w:val="22"/>
          <w:szCs w:val="22"/>
        </w:rPr>
        <w:t xml:space="preserve"> 2001;27:353.</w:t>
      </w:r>
    </w:p>
    <w:p w:rsidR="009C6F0F" w:rsidRPr="009C6F0F" w:rsidRDefault="009C6F0F" w:rsidP="002332F1">
      <w:pPr>
        <w:numPr>
          <w:ilvl w:val="0"/>
          <w:numId w:val="1"/>
        </w:numPr>
        <w:spacing w:line="360" w:lineRule="auto"/>
        <w:ind w:left="426" w:hanging="426"/>
        <w:jc w:val="both"/>
      </w:pPr>
      <w:r w:rsidRPr="009C6F0F">
        <w:t xml:space="preserve">Palmer KT, Poole J, Ayres JG </w:t>
      </w:r>
      <w:r w:rsidR="005B5F9E">
        <w:t>et al</w:t>
      </w:r>
      <w:r w:rsidRPr="009C6F0F">
        <w:t xml:space="preserve">. Exposure to metal fume and infectious pneumonia, </w:t>
      </w:r>
      <w:r w:rsidRPr="00F63ABA">
        <w:rPr>
          <w:i/>
          <w:iCs/>
        </w:rPr>
        <w:t>Am J Epidemiol</w:t>
      </w:r>
      <w:r w:rsidRPr="009C6F0F">
        <w:t xml:space="preserve"> 2003;157:227-233.</w:t>
      </w:r>
    </w:p>
    <w:p w:rsidR="009C6F0F" w:rsidRPr="009C6F0F" w:rsidRDefault="009C6F0F" w:rsidP="002332F1">
      <w:pPr>
        <w:pStyle w:val="ListParagraph"/>
        <w:numPr>
          <w:ilvl w:val="0"/>
          <w:numId w:val="1"/>
        </w:numPr>
        <w:spacing w:line="360" w:lineRule="auto"/>
        <w:ind w:left="426" w:hanging="426"/>
        <w:jc w:val="both"/>
        <w:rPr>
          <w:rFonts w:ascii="Arial" w:eastAsiaTheme="minorHAnsi" w:hAnsi="Arial" w:cs="Arial"/>
          <w:sz w:val="22"/>
          <w:szCs w:val="22"/>
        </w:rPr>
      </w:pPr>
      <w:r w:rsidRPr="009C6F0F">
        <w:rPr>
          <w:rFonts w:ascii="Arial" w:eastAsiaTheme="minorHAnsi" w:hAnsi="Arial" w:cs="Arial"/>
          <w:sz w:val="22"/>
          <w:szCs w:val="22"/>
        </w:rPr>
        <w:t xml:space="preserve">Palmer KT, Cullinan P, Rice S </w:t>
      </w:r>
      <w:r w:rsidR="005B5F9E">
        <w:rPr>
          <w:rFonts w:ascii="Arial" w:eastAsiaTheme="minorHAnsi" w:hAnsi="Arial" w:cs="Arial"/>
          <w:sz w:val="22"/>
          <w:szCs w:val="22"/>
        </w:rPr>
        <w:t>et al</w:t>
      </w:r>
      <w:r w:rsidRPr="009C6F0F">
        <w:rPr>
          <w:rFonts w:ascii="Arial" w:eastAsiaTheme="minorHAnsi" w:hAnsi="Arial" w:cs="Arial"/>
          <w:sz w:val="22"/>
          <w:szCs w:val="22"/>
        </w:rPr>
        <w:t xml:space="preserve">. Mortality from infectious pneumonia in metal workers: a comparison with deaths from asthma in occupations exposed to respiratory sensitizers. </w:t>
      </w:r>
      <w:r w:rsidRPr="00F63ABA">
        <w:rPr>
          <w:rFonts w:ascii="Arial" w:eastAsiaTheme="minorHAnsi" w:hAnsi="Arial" w:cs="Arial"/>
          <w:i/>
          <w:iCs/>
          <w:sz w:val="22"/>
          <w:szCs w:val="22"/>
        </w:rPr>
        <w:t>Thorax</w:t>
      </w:r>
      <w:r w:rsidRPr="009C6F0F">
        <w:rPr>
          <w:rFonts w:ascii="Arial" w:eastAsiaTheme="minorHAnsi" w:hAnsi="Arial" w:cs="Arial"/>
          <w:sz w:val="22"/>
          <w:szCs w:val="22"/>
        </w:rPr>
        <w:t xml:space="preserve"> 2009;64:983-</w:t>
      </w:r>
      <w:r w:rsidR="00AF1D8D">
        <w:rPr>
          <w:rFonts w:ascii="Arial" w:eastAsiaTheme="minorHAnsi" w:hAnsi="Arial" w:cs="Arial"/>
          <w:sz w:val="22"/>
          <w:szCs w:val="22"/>
        </w:rPr>
        <w:t>98</w:t>
      </w:r>
      <w:r w:rsidRPr="009C6F0F">
        <w:rPr>
          <w:rFonts w:ascii="Arial" w:eastAsiaTheme="minorHAnsi" w:hAnsi="Arial" w:cs="Arial"/>
          <w:sz w:val="22"/>
          <w:szCs w:val="22"/>
        </w:rPr>
        <w:t>6.</w:t>
      </w:r>
    </w:p>
    <w:p w:rsidR="009C6F0F" w:rsidRPr="009C6F0F" w:rsidRDefault="009C6F0F" w:rsidP="002332F1">
      <w:pPr>
        <w:pStyle w:val="ListParagraph"/>
        <w:numPr>
          <w:ilvl w:val="0"/>
          <w:numId w:val="1"/>
        </w:numPr>
        <w:spacing w:line="360" w:lineRule="auto"/>
        <w:ind w:left="426" w:hanging="426"/>
        <w:jc w:val="both"/>
        <w:rPr>
          <w:rFonts w:ascii="Arial" w:eastAsiaTheme="minorHAnsi" w:hAnsi="Arial" w:cs="Arial"/>
          <w:sz w:val="22"/>
          <w:szCs w:val="22"/>
        </w:rPr>
      </w:pPr>
      <w:r w:rsidRPr="009C6F0F">
        <w:rPr>
          <w:rFonts w:ascii="Arial" w:eastAsiaTheme="minorHAnsi" w:hAnsi="Arial" w:cs="Arial"/>
          <w:sz w:val="22"/>
          <w:szCs w:val="22"/>
        </w:rPr>
        <w:t xml:space="preserve">Wong A, Marrie TJ, Garg S </w:t>
      </w:r>
      <w:r w:rsidR="005B5F9E">
        <w:rPr>
          <w:rFonts w:ascii="Arial" w:eastAsiaTheme="minorHAnsi" w:hAnsi="Arial" w:cs="Arial"/>
          <w:sz w:val="22"/>
          <w:szCs w:val="22"/>
        </w:rPr>
        <w:t>et al</w:t>
      </w:r>
      <w:r w:rsidRPr="009C6F0F">
        <w:rPr>
          <w:rFonts w:ascii="Arial" w:eastAsiaTheme="minorHAnsi" w:hAnsi="Arial" w:cs="Arial"/>
          <w:sz w:val="22"/>
          <w:szCs w:val="22"/>
        </w:rPr>
        <w:t>. Welders are at increased risk for invasive pneumococcal disease</w:t>
      </w:r>
      <w:r w:rsidRPr="00F63ABA">
        <w:rPr>
          <w:rFonts w:ascii="Arial" w:eastAsiaTheme="minorHAnsi" w:hAnsi="Arial" w:cs="Arial"/>
          <w:i/>
          <w:iCs/>
          <w:sz w:val="22"/>
          <w:szCs w:val="22"/>
        </w:rPr>
        <w:t>. Int J Infect Dis</w:t>
      </w:r>
      <w:r w:rsidRPr="009C6F0F">
        <w:rPr>
          <w:rFonts w:ascii="Arial" w:eastAsiaTheme="minorHAnsi" w:hAnsi="Arial" w:cs="Arial"/>
          <w:sz w:val="22"/>
          <w:szCs w:val="22"/>
        </w:rPr>
        <w:t xml:space="preserve"> 2010;14:e796-e799.</w:t>
      </w:r>
    </w:p>
    <w:p w:rsidR="009C6F0F" w:rsidRPr="009C6F0F" w:rsidRDefault="009C6F0F" w:rsidP="002332F1">
      <w:pPr>
        <w:pStyle w:val="ListParagraph"/>
        <w:numPr>
          <w:ilvl w:val="0"/>
          <w:numId w:val="1"/>
        </w:numPr>
        <w:spacing w:line="360" w:lineRule="auto"/>
        <w:ind w:left="426" w:hanging="426"/>
        <w:jc w:val="both"/>
        <w:rPr>
          <w:rFonts w:ascii="Arial" w:eastAsiaTheme="minorHAnsi" w:hAnsi="Arial" w:cs="Arial"/>
          <w:sz w:val="22"/>
          <w:szCs w:val="22"/>
        </w:rPr>
      </w:pPr>
      <w:r w:rsidRPr="009C6F0F">
        <w:rPr>
          <w:rFonts w:ascii="Arial" w:eastAsiaTheme="minorHAnsi" w:hAnsi="Arial" w:cs="Arial"/>
          <w:sz w:val="22"/>
          <w:szCs w:val="22"/>
        </w:rPr>
        <w:t xml:space="preserve">Torén K, Qvarfordt I, Bergdahl IA </w:t>
      </w:r>
      <w:r w:rsidR="005B5F9E">
        <w:rPr>
          <w:rFonts w:ascii="Arial" w:eastAsiaTheme="minorHAnsi" w:hAnsi="Arial" w:cs="Arial"/>
          <w:sz w:val="22"/>
          <w:szCs w:val="22"/>
        </w:rPr>
        <w:t>et al</w:t>
      </w:r>
      <w:r w:rsidRPr="009C6F0F">
        <w:rPr>
          <w:rFonts w:ascii="Arial" w:eastAsiaTheme="minorHAnsi" w:hAnsi="Arial" w:cs="Arial"/>
          <w:sz w:val="22"/>
          <w:szCs w:val="22"/>
        </w:rPr>
        <w:t xml:space="preserve">. Increased mortality from infectious pneumonia after occupational exposure to inorganic dust, metal fumes and chemicals. </w:t>
      </w:r>
      <w:r w:rsidRPr="00F63ABA">
        <w:rPr>
          <w:rFonts w:ascii="Arial" w:eastAsiaTheme="minorHAnsi" w:hAnsi="Arial" w:cs="Arial"/>
          <w:i/>
          <w:iCs/>
          <w:sz w:val="22"/>
          <w:szCs w:val="22"/>
        </w:rPr>
        <w:t xml:space="preserve">Thorax </w:t>
      </w:r>
      <w:r w:rsidRPr="009C6F0F">
        <w:rPr>
          <w:rFonts w:ascii="Arial" w:eastAsiaTheme="minorHAnsi" w:hAnsi="Arial" w:cs="Arial"/>
          <w:sz w:val="22"/>
          <w:szCs w:val="22"/>
        </w:rPr>
        <w:t>2011;66:992-</w:t>
      </w:r>
      <w:r w:rsidR="00AF1D8D">
        <w:rPr>
          <w:rFonts w:ascii="Arial" w:eastAsiaTheme="minorHAnsi" w:hAnsi="Arial" w:cs="Arial"/>
          <w:sz w:val="22"/>
          <w:szCs w:val="22"/>
        </w:rPr>
        <w:t>99</w:t>
      </w:r>
      <w:r w:rsidRPr="009C6F0F">
        <w:rPr>
          <w:rFonts w:ascii="Arial" w:eastAsiaTheme="minorHAnsi" w:hAnsi="Arial" w:cs="Arial"/>
          <w:sz w:val="22"/>
          <w:szCs w:val="22"/>
        </w:rPr>
        <w:t>6.</w:t>
      </w:r>
    </w:p>
    <w:p w:rsidR="009C6F0F" w:rsidRDefault="009C6F0F" w:rsidP="002332F1">
      <w:pPr>
        <w:pStyle w:val="ListParagraph"/>
        <w:numPr>
          <w:ilvl w:val="0"/>
          <w:numId w:val="1"/>
        </w:numPr>
        <w:spacing w:line="360" w:lineRule="auto"/>
        <w:ind w:left="426" w:hanging="426"/>
        <w:jc w:val="both"/>
        <w:rPr>
          <w:rFonts w:ascii="Arial" w:eastAsiaTheme="minorHAnsi" w:hAnsi="Arial" w:cs="Arial"/>
          <w:sz w:val="22"/>
          <w:szCs w:val="22"/>
        </w:rPr>
      </w:pPr>
      <w:r w:rsidRPr="009C6F0F">
        <w:rPr>
          <w:rFonts w:ascii="Arial" w:eastAsiaTheme="minorHAnsi" w:hAnsi="Arial" w:cs="Arial"/>
          <w:sz w:val="22"/>
          <w:szCs w:val="22"/>
        </w:rPr>
        <w:t xml:space="preserve">Palmer KT, Cosgrove M. Vaccinating welders against pneumonia. </w:t>
      </w:r>
      <w:r w:rsidRPr="00F63ABA">
        <w:rPr>
          <w:rFonts w:ascii="Arial" w:eastAsiaTheme="minorHAnsi" w:hAnsi="Arial" w:cs="Arial"/>
          <w:i/>
          <w:iCs/>
          <w:sz w:val="22"/>
          <w:szCs w:val="22"/>
        </w:rPr>
        <w:t>Occup Med</w:t>
      </w:r>
      <w:r w:rsidRPr="009C6F0F">
        <w:rPr>
          <w:rFonts w:ascii="Arial" w:eastAsiaTheme="minorHAnsi" w:hAnsi="Arial" w:cs="Arial"/>
          <w:sz w:val="22"/>
          <w:szCs w:val="22"/>
        </w:rPr>
        <w:t xml:space="preserve"> 2012;62: 325-330.</w:t>
      </w:r>
    </w:p>
    <w:p w:rsidR="00142C47" w:rsidRPr="00142C47" w:rsidRDefault="00C17235" w:rsidP="002332F1">
      <w:pPr>
        <w:pStyle w:val="ListParagraph"/>
        <w:numPr>
          <w:ilvl w:val="0"/>
          <w:numId w:val="1"/>
        </w:numPr>
        <w:tabs>
          <w:tab w:val="left" w:pos="-720"/>
          <w:tab w:val="left" w:pos="0"/>
          <w:tab w:val="left" w:pos="360"/>
        </w:tabs>
        <w:suppressAutoHyphens/>
        <w:spacing w:line="360" w:lineRule="auto"/>
        <w:ind w:left="426" w:hanging="426"/>
        <w:jc w:val="both"/>
        <w:rPr>
          <w:rFonts w:ascii="Arial" w:eastAsiaTheme="minorHAnsi" w:hAnsi="Arial" w:cs="Arial"/>
          <w:sz w:val="22"/>
          <w:szCs w:val="22"/>
        </w:rPr>
      </w:pPr>
      <w:r>
        <w:rPr>
          <w:rFonts w:ascii="Arial" w:eastAsiaTheme="minorHAnsi" w:hAnsi="Arial" w:cs="Arial"/>
          <w:sz w:val="22"/>
          <w:szCs w:val="22"/>
        </w:rPr>
        <w:t xml:space="preserve"> </w:t>
      </w:r>
      <w:r w:rsidR="00142C47" w:rsidRPr="00142C47">
        <w:rPr>
          <w:rFonts w:ascii="Arial" w:eastAsiaTheme="minorHAnsi" w:hAnsi="Arial" w:cs="Arial"/>
          <w:sz w:val="22"/>
          <w:szCs w:val="22"/>
        </w:rPr>
        <w:t xml:space="preserve">Palmer KT, Coggon D.  Infectious pneumonia in workers exposed to metal fume. In: Venables, KM. (ed), </w:t>
      </w:r>
      <w:r w:rsidR="00142C47" w:rsidRPr="00F63ABA">
        <w:rPr>
          <w:rFonts w:ascii="Arial" w:eastAsiaTheme="minorHAnsi" w:hAnsi="Arial" w:cs="Arial"/>
          <w:i/>
          <w:iCs/>
          <w:sz w:val="22"/>
          <w:szCs w:val="22"/>
        </w:rPr>
        <w:t xml:space="preserve">Current topics in occupational epidemiology. </w:t>
      </w:r>
      <w:r w:rsidR="00142C47">
        <w:rPr>
          <w:rFonts w:ascii="Arial" w:eastAsiaTheme="minorHAnsi" w:hAnsi="Arial" w:cs="Arial"/>
          <w:sz w:val="22"/>
          <w:szCs w:val="22"/>
        </w:rPr>
        <w:t>Oxford University Press, 2013</w:t>
      </w:r>
      <w:r w:rsidR="00142C47" w:rsidRPr="00142C47">
        <w:rPr>
          <w:rFonts w:ascii="Arial" w:eastAsiaTheme="minorHAnsi" w:hAnsi="Arial" w:cs="Arial"/>
          <w:sz w:val="22"/>
          <w:szCs w:val="22"/>
        </w:rPr>
        <w:t>.</w:t>
      </w:r>
      <w:r w:rsidR="00142C47">
        <w:rPr>
          <w:rFonts w:ascii="Arial" w:eastAsiaTheme="minorHAnsi" w:hAnsi="Arial" w:cs="Arial"/>
          <w:sz w:val="22"/>
          <w:szCs w:val="22"/>
        </w:rPr>
        <w:t xml:space="preserve"> </w:t>
      </w:r>
      <w:r w:rsidR="00142C47" w:rsidRPr="00142C47">
        <w:rPr>
          <w:rFonts w:ascii="Arial" w:eastAsiaTheme="minorHAnsi" w:hAnsi="Arial" w:cs="Arial"/>
          <w:sz w:val="22"/>
          <w:szCs w:val="22"/>
        </w:rPr>
        <w:t>Chapter 4</w:t>
      </w:r>
      <w:r w:rsidR="00C01D05">
        <w:rPr>
          <w:rFonts w:ascii="Arial" w:eastAsiaTheme="minorHAnsi" w:hAnsi="Arial" w:cs="Arial"/>
          <w:sz w:val="22"/>
          <w:szCs w:val="22"/>
        </w:rPr>
        <w:t>,</w:t>
      </w:r>
      <w:r w:rsidR="00142C47" w:rsidRPr="00142C47">
        <w:rPr>
          <w:rFonts w:ascii="Arial" w:eastAsiaTheme="minorHAnsi" w:hAnsi="Arial" w:cs="Arial"/>
          <w:sz w:val="22"/>
          <w:szCs w:val="22"/>
        </w:rPr>
        <w:t xml:space="preserve"> p42-52. </w:t>
      </w:r>
    </w:p>
    <w:p w:rsidR="00142C47" w:rsidRPr="00142C47" w:rsidRDefault="00142C47" w:rsidP="002332F1">
      <w:pPr>
        <w:pStyle w:val="ListParagraph"/>
        <w:numPr>
          <w:ilvl w:val="0"/>
          <w:numId w:val="1"/>
        </w:numPr>
        <w:spacing w:line="360" w:lineRule="auto"/>
        <w:ind w:left="426" w:hanging="426"/>
        <w:jc w:val="both"/>
        <w:rPr>
          <w:rFonts w:ascii="Arial" w:eastAsiaTheme="minorHAnsi" w:hAnsi="Arial" w:cs="Arial"/>
          <w:sz w:val="22"/>
          <w:szCs w:val="22"/>
        </w:rPr>
      </w:pPr>
      <w:r w:rsidRPr="00142C47">
        <w:rPr>
          <w:rFonts w:ascii="Arial" w:eastAsiaTheme="minorHAnsi" w:hAnsi="Arial" w:cs="Arial"/>
          <w:sz w:val="22"/>
          <w:szCs w:val="22"/>
        </w:rPr>
        <w:t xml:space="preserve">Suri R, Palmer K, Ross J et al. Exposure to welding fume and adhesion of Streptococcus pneumonia to A549 alveolar cells. </w:t>
      </w:r>
      <w:r w:rsidRPr="00F63ABA">
        <w:rPr>
          <w:rFonts w:ascii="Arial" w:eastAsiaTheme="minorHAnsi" w:hAnsi="Arial" w:cs="Arial"/>
          <w:i/>
          <w:iCs/>
          <w:sz w:val="22"/>
          <w:szCs w:val="22"/>
        </w:rPr>
        <w:t>Thorax</w:t>
      </w:r>
      <w:r w:rsidRPr="00142C47">
        <w:rPr>
          <w:rFonts w:ascii="Arial" w:eastAsiaTheme="minorHAnsi" w:hAnsi="Arial" w:cs="Arial"/>
          <w:sz w:val="22"/>
          <w:szCs w:val="22"/>
        </w:rPr>
        <w:t xml:space="preserve"> 2012;67:A51 doi:10.1136/thoraxjnl-2012-202678.1092012, S104.</w:t>
      </w:r>
    </w:p>
    <w:p w:rsidR="009C6F0F" w:rsidRDefault="009C6F0F" w:rsidP="002332F1">
      <w:pPr>
        <w:pStyle w:val="ListParagraph"/>
        <w:numPr>
          <w:ilvl w:val="0"/>
          <w:numId w:val="1"/>
        </w:numPr>
        <w:spacing w:line="360" w:lineRule="auto"/>
        <w:ind w:left="426" w:hanging="426"/>
        <w:jc w:val="both"/>
        <w:rPr>
          <w:rFonts w:ascii="Arial" w:eastAsiaTheme="minorHAnsi" w:hAnsi="Arial" w:cs="Arial"/>
          <w:sz w:val="22"/>
          <w:szCs w:val="22"/>
        </w:rPr>
      </w:pPr>
      <w:r w:rsidRPr="009C6F0F">
        <w:rPr>
          <w:rFonts w:ascii="Arial" w:eastAsiaTheme="minorHAnsi" w:hAnsi="Arial" w:cs="Arial"/>
          <w:sz w:val="22"/>
          <w:szCs w:val="22"/>
        </w:rPr>
        <w:t xml:space="preserve">Department of Health.  </w:t>
      </w:r>
      <w:r w:rsidRPr="00F63ABA">
        <w:rPr>
          <w:rFonts w:ascii="Arial" w:eastAsiaTheme="minorHAnsi" w:hAnsi="Arial" w:cs="Arial"/>
          <w:i/>
          <w:iCs/>
          <w:sz w:val="22"/>
          <w:szCs w:val="22"/>
        </w:rPr>
        <w:t>Immunisation against Infectious Disease</w:t>
      </w:r>
      <w:r w:rsidR="00650077" w:rsidRPr="00F63ABA">
        <w:rPr>
          <w:rFonts w:ascii="Arial" w:eastAsiaTheme="minorHAnsi" w:hAnsi="Arial" w:cs="Arial"/>
          <w:i/>
          <w:iCs/>
          <w:sz w:val="22"/>
          <w:szCs w:val="22"/>
        </w:rPr>
        <w:t xml:space="preserve"> (3rd edition)</w:t>
      </w:r>
      <w:r w:rsidRPr="00F63ABA">
        <w:rPr>
          <w:rFonts w:ascii="Arial" w:eastAsiaTheme="minorHAnsi" w:hAnsi="Arial" w:cs="Arial"/>
          <w:i/>
          <w:iCs/>
          <w:sz w:val="22"/>
          <w:szCs w:val="22"/>
        </w:rPr>
        <w:t>,</w:t>
      </w:r>
      <w:r w:rsidRPr="009C6F0F">
        <w:rPr>
          <w:rFonts w:ascii="Arial" w:eastAsiaTheme="minorHAnsi" w:hAnsi="Arial" w:cs="Arial"/>
          <w:sz w:val="22"/>
          <w:szCs w:val="22"/>
        </w:rPr>
        <w:t xml:space="preserve"> 2006</w:t>
      </w:r>
      <w:r w:rsidR="00AF1D8D">
        <w:rPr>
          <w:rFonts w:ascii="Arial" w:eastAsiaTheme="minorHAnsi" w:hAnsi="Arial" w:cs="Arial"/>
          <w:sz w:val="22"/>
          <w:szCs w:val="22"/>
        </w:rPr>
        <w:t xml:space="preserve"> </w:t>
      </w:r>
      <w:r w:rsidRPr="009C6F0F">
        <w:rPr>
          <w:rFonts w:ascii="Arial" w:eastAsiaTheme="minorHAnsi" w:hAnsi="Arial" w:cs="Arial"/>
          <w:sz w:val="22"/>
          <w:szCs w:val="22"/>
        </w:rPr>
        <w:t>(updated November 2011),Chapter 25 v2_0,p305.</w:t>
      </w:r>
    </w:p>
    <w:p w:rsidR="00650077" w:rsidRPr="00650077" w:rsidRDefault="00650077" w:rsidP="002332F1">
      <w:pPr>
        <w:pStyle w:val="ListParagraph"/>
        <w:numPr>
          <w:ilvl w:val="0"/>
          <w:numId w:val="1"/>
        </w:numPr>
        <w:spacing w:line="360" w:lineRule="auto"/>
        <w:ind w:left="426" w:hanging="426"/>
        <w:jc w:val="both"/>
        <w:rPr>
          <w:rFonts w:ascii="Arial" w:eastAsiaTheme="minorHAnsi" w:hAnsi="Arial" w:cs="Arial"/>
          <w:sz w:val="22"/>
          <w:szCs w:val="22"/>
        </w:rPr>
      </w:pPr>
      <w:r w:rsidRPr="009C6F0F">
        <w:rPr>
          <w:rFonts w:ascii="Arial" w:eastAsiaTheme="minorHAnsi" w:hAnsi="Arial" w:cs="Arial"/>
          <w:sz w:val="22"/>
          <w:szCs w:val="22"/>
        </w:rPr>
        <w:t xml:space="preserve">Department of Health.  </w:t>
      </w:r>
      <w:r w:rsidRPr="00F63ABA">
        <w:rPr>
          <w:rFonts w:ascii="Arial" w:eastAsiaTheme="minorHAnsi" w:hAnsi="Arial" w:cs="Arial"/>
          <w:i/>
          <w:iCs/>
          <w:sz w:val="22"/>
          <w:szCs w:val="22"/>
        </w:rPr>
        <w:t>Immunisation against Infectious Disease (3rd edition),</w:t>
      </w:r>
      <w:r w:rsidRPr="009C6F0F">
        <w:rPr>
          <w:rFonts w:ascii="Arial" w:eastAsiaTheme="minorHAnsi" w:hAnsi="Arial" w:cs="Arial"/>
          <w:sz w:val="22"/>
          <w:szCs w:val="22"/>
        </w:rPr>
        <w:t xml:space="preserve"> 2006</w:t>
      </w:r>
      <w:r w:rsidR="00AF1D8D">
        <w:rPr>
          <w:rFonts w:ascii="Arial" w:eastAsiaTheme="minorHAnsi" w:hAnsi="Arial" w:cs="Arial"/>
          <w:sz w:val="22"/>
          <w:szCs w:val="22"/>
        </w:rPr>
        <w:t xml:space="preserve"> </w:t>
      </w:r>
      <w:r w:rsidRPr="009C6F0F">
        <w:rPr>
          <w:rFonts w:ascii="Arial" w:eastAsiaTheme="minorHAnsi" w:hAnsi="Arial" w:cs="Arial"/>
          <w:sz w:val="22"/>
          <w:szCs w:val="22"/>
        </w:rPr>
        <w:t xml:space="preserve">(updated </w:t>
      </w:r>
      <w:r>
        <w:rPr>
          <w:rFonts w:ascii="Arial" w:eastAsiaTheme="minorHAnsi" w:hAnsi="Arial" w:cs="Arial"/>
          <w:sz w:val="22"/>
          <w:szCs w:val="22"/>
        </w:rPr>
        <w:t>October 2012),Chapter 25 v4_0</w:t>
      </w:r>
      <w:r w:rsidRPr="009C6F0F">
        <w:rPr>
          <w:rFonts w:ascii="Arial" w:eastAsiaTheme="minorHAnsi" w:hAnsi="Arial" w:cs="Arial"/>
          <w:sz w:val="22"/>
          <w:szCs w:val="22"/>
        </w:rPr>
        <w:t>.</w:t>
      </w:r>
    </w:p>
    <w:p w:rsidR="005B3E5E" w:rsidRPr="00650077" w:rsidRDefault="005B3E5E" w:rsidP="002332F1">
      <w:pPr>
        <w:pStyle w:val="ListParagraph"/>
        <w:numPr>
          <w:ilvl w:val="0"/>
          <w:numId w:val="1"/>
        </w:numPr>
        <w:spacing w:line="360" w:lineRule="auto"/>
        <w:ind w:left="426" w:hanging="426"/>
        <w:jc w:val="both"/>
        <w:rPr>
          <w:rFonts w:eastAsiaTheme="minorHAnsi"/>
        </w:rPr>
      </w:pPr>
      <w:r w:rsidRPr="00C01D05">
        <w:rPr>
          <w:rFonts w:ascii="Arial" w:eastAsiaTheme="minorHAnsi" w:hAnsi="Arial" w:cs="Arial"/>
          <w:sz w:val="22"/>
          <w:szCs w:val="22"/>
        </w:rPr>
        <w:t xml:space="preserve">Health and Safety Executive. </w:t>
      </w:r>
      <w:r w:rsidRPr="00F63ABA">
        <w:rPr>
          <w:rFonts w:ascii="Arial" w:eastAsiaTheme="minorHAnsi" w:hAnsi="Arial" w:cs="Arial"/>
          <w:i/>
          <w:iCs/>
          <w:sz w:val="22"/>
          <w:szCs w:val="22"/>
        </w:rPr>
        <w:t>Pneumonia vaccination for employees exposed to welding and metal fume.</w:t>
      </w:r>
      <w:r w:rsidRPr="00C01D05">
        <w:rPr>
          <w:rFonts w:ascii="Arial" w:eastAsiaTheme="minorHAnsi" w:hAnsi="Arial" w:cs="Arial"/>
          <w:sz w:val="22"/>
          <w:szCs w:val="22"/>
        </w:rPr>
        <w:t xml:space="preserve"> EIS44, December 2013.</w:t>
      </w:r>
      <w:r w:rsidR="00AF1D8D">
        <w:rPr>
          <w:rFonts w:ascii="Arial" w:eastAsiaTheme="minorHAnsi" w:hAnsi="Arial" w:cs="Arial"/>
          <w:sz w:val="22"/>
          <w:szCs w:val="22"/>
        </w:rPr>
        <w:t xml:space="preserve"> </w:t>
      </w:r>
      <w:hyperlink r:id="rId10" w:history="1">
        <w:r w:rsidRPr="00D2232B">
          <w:rPr>
            <w:rStyle w:val="Hyperlink"/>
            <w:rFonts w:ascii="Arial" w:eastAsiaTheme="minorHAnsi" w:hAnsi="Arial" w:cs="Arial"/>
            <w:sz w:val="22"/>
            <w:szCs w:val="22"/>
          </w:rPr>
          <w:t>http://www.hse.gov.uk/pubns/eis44.pdf</w:t>
        </w:r>
      </w:hyperlink>
      <w:r w:rsidR="00F63ABA">
        <w:rPr>
          <w:rStyle w:val="Hyperlink"/>
          <w:rFonts w:ascii="Arial" w:eastAsiaTheme="minorHAnsi" w:hAnsi="Arial" w:cs="Arial"/>
          <w:sz w:val="22"/>
          <w:szCs w:val="22"/>
        </w:rPr>
        <w:t xml:space="preserve"> </w:t>
      </w:r>
      <w:r w:rsidR="00B73472">
        <w:rPr>
          <w:rFonts w:ascii="Arial" w:eastAsiaTheme="minorHAnsi" w:hAnsi="Arial" w:cs="Arial"/>
          <w:sz w:val="22"/>
          <w:szCs w:val="22"/>
        </w:rPr>
        <w:t>(</w:t>
      </w:r>
      <w:r w:rsidR="00B73472" w:rsidRPr="00B73472">
        <w:rPr>
          <w:rFonts w:ascii="Arial" w:eastAsiaTheme="minorHAnsi" w:hAnsi="Arial" w:cs="Arial"/>
          <w:sz w:val="22"/>
          <w:szCs w:val="22"/>
        </w:rPr>
        <w:t>accessed</w:t>
      </w:r>
      <w:r w:rsidR="00B73472" w:rsidRPr="001B44FD">
        <w:rPr>
          <w:rFonts w:ascii="Arial" w:eastAsiaTheme="minorHAnsi" w:hAnsi="Arial" w:cs="Arial"/>
          <w:sz w:val="22"/>
          <w:szCs w:val="22"/>
        </w:rPr>
        <w:t xml:space="preserve"> 1/7/14)</w:t>
      </w:r>
      <w:r w:rsidR="00B73472">
        <w:rPr>
          <w:rStyle w:val="Hyperlink"/>
          <w:rFonts w:ascii="Arial" w:eastAsiaTheme="minorHAnsi" w:hAnsi="Arial" w:cs="Arial"/>
          <w:sz w:val="22"/>
          <w:szCs w:val="22"/>
        </w:rPr>
        <w:t xml:space="preserve"> </w:t>
      </w:r>
    </w:p>
    <w:p w:rsidR="00142C47" w:rsidRPr="00650077" w:rsidRDefault="00142C47" w:rsidP="002332F1">
      <w:pPr>
        <w:pStyle w:val="ListParagraph"/>
        <w:numPr>
          <w:ilvl w:val="0"/>
          <w:numId w:val="1"/>
        </w:numPr>
        <w:spacing w:line="360" w:lineRule="auto"/>
        <w:ind w:left="426" w:hanging="426"/>
        <w:jc w:val="both"/>
        <w:rPr>
          <w:rFonts w:ascii="Arial" w:eastAsiaTheme="minorHAnsi" w:hAnsi="Arial" w:cs="Arial"/>
          <w:sz w:val="22"/>
          <w:szCs w:val="22"/>
        </w:rPr>
      </w:pPr>
      <w:r w:rsidRPr="00650077">
        <w:rPr>
          <w:rFonts w:ascii="Arial" w:eastAsiaTheme="minorHAnsi" w:hAnsi="Arial" w:cs="Arial"/>
          <w:sz w:val="22"/>
          <w:szCs w:val="22"/>
        </w:rPr>
        <w:t>ICD</w:t>
      </w:r>
      <w:r w:rsidR="00650077" w:rsidRPr="00C01D05">
        <w:rPr>
          <w:rFonts w:ascii="Arial" w:eastAsiaTheme="minorHAnsi" w:hAnsi="Arial" w:cs="Arial"/>
          <w:sz w:val="22"/>
          <w:szCs w:val="22"/>
        </w:rPr>
        <w:t xml:space="preserve"> </w:t>
      </w:r>
      <w:r w:rsidR="00650077" w:rsidRPr="00650077">
        <w:rPr>
          <w:rFonts w:ascii="Arial" w:eastAsiaTheme="minorHAnsi" w:hAnsi="Arial" w:cs="Arial"/>
          <w:sz w:val="22"/>
          <w:szCs w:val="22"/>
        </w:rPr>
        <w:t xml:space="preserve">CDC National Center for Health Statistics.  </w:t>
      </w:r>
      <w:r w:rsidR="00650077" w:rsidRPr="00F63ABA">
        <w:rPr>
          <w:rFonts w:ascii="Arial" w:eastAsiaTheme="minorHAnsi" w:hAnsi="Arial" w:cs="Arial"/>
          <w:i/>
          <w:iCs/>
          <w:sz w:val="22"/>
          <w:szCs w:val="22"/>
        </w:rPr>
        <w:t>International Classification of Diseases, Ninth Revision</w:t>
      </w:r>
      <w:r w:rsidR="00650077" w:rsidRPr="00650077">
        <w:rPr>
          <w:rFonts w:ascii="Arial" w:eastAsiaTheme="minorHAnsi" w:hAnsi="Arial" w:cs="Arial"/>
          <w:sz w:val="22"/>
          <w:szCs w:val="22"/>
        </w:rPr>
        <w:t xml:space="preserve">. </w:t>
      </w:r>
      <w:hyperlink r:id="rId11" w:history="1">
        <w:r w:rsidR="00B73472" w:rsidRPr="00B73472">
          <w:rPr>
            <w:rStyle w:val="Hyperlink"/>
            <w:rFonts w:ascii="Arial" w:hAnsi="Arial" w:cs="Arial"/>
            <w:sz w:val="22"/>
            <w:szCs w:val="22"/>
          </w:rPr>
          <w:t>http://www.cdc.gov/nchs/icd/icd9cm.htm</w:t>
        </w:r>
      </w:hyperlink>
      <w:r w:rsidR="00B73472" w:rsidRPr="00B73472">
        <w:rPr>
          <w:rFonts w:ascii="Arial" w:hAnsi="Arial" w:cs="Arial"/>
          <w:sz w:val="22"/>
          <w:szCs w:val="22"/>
        </w:rPr>
        <w:t xml:space="preserve"> </w:t>
      </w:r>
      <w:r w:rsidR="00B73472">
        <w:rPr>
          <w:rFonts w:ascii="Arial" w:eastAsiaTheme="minorHAnsi" w:hAnsi="Arial" w:cs="Arial"/>
          <w:sz w:val="22"/>
          <w:szCs w:val="22"/>
        </w:rPr>
        <w:t>(</w:t>
      </w:r>
      <w:r w:rsidR="00B73472" w:rsidRPr="00B73472">
        <w:rPr>
          <w:rFonts w:ascii="Arial" w:eastAsiaTheme="minorHAnsi" w:hAnsi="Arial" w:cs="Arial"/>
          <w:sz w:val="22"/>
          <w:szCs w:val="22"/>
        </w:rPr>
        <w:t>accessed</w:t>
      </w:r>
      <w:r w:rsidR="00B73472" w:rsidRPr="001B44FD">
        <w:rPr>
          <w:rFonts w:ascii="Arial" w:eastAsiaTheme="minorHAnsi" w:hAnsi="Arial" w:cs="Arial"/>
          <w:sz w:val="22"/>
          <w:szCs w:val="22"/>
        </w:rPr>
        <w:t xml:space="preserve"> 1/7/14</w:t>
      </w:r>
      <w:r w:rsidR="00B73472">
        <w:rPr>
          <w:rFonts w:eastAsiaTheme="minorHAnsi"/>
        </w:rPr>
        <w:t>)</w:t>
      </w:r>
    </w:p>
    <w:p w:rsidR="009C6F0F" w:rsidRPr="009C6F0F" w:rsidRDefault="009C6F0F" w:rsidP="002332F1">
      <w:pPr>
        <w:spacing w:line="360" w:lineRule="auto"/>
        <w:ind w:left="426" w:hanging="720"/>
        <w:jc w:val="both"/>
      </w:pPr>
    </w:p>
    <w:sectPr w:rsidR="009C6F0F" w:rsidRPr="009C6F0F" w:rsidSect="009C6F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7A" w:rsidRDefault="0099577A" w:rsidP="000C40DA">
      <w:pPr>
        <w:spacing w:line="240" w:lineRule="auto"/>
      </w:pPr>
      <w:r>
        <w:separator/>
      </w:r>
    </w:p>
  </w:endnote>
  <w:endnote w:type="continuationSeparator" w:id="0">
    <w:p w:rsidR="0099577A" w:rsidRDefault="0099577A" w:rsidP="000C4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635236"/>
      <w:docPartObj>
        <w:docPartGallery w:val="Page Numbers (Bottom of Page)"/>
        <w:docPartUnique/>
      </w:docPartObj>
    </w:sdtPr>
    <w:sdtEndPr>
      <w:rPr>
        <w:noProof/>
      </w:rPr>
    </w:sdtEndPr>
    <w:sdtContent>
      <w:p w:rsidR="000C40DA" w:rsidRDefault="000C40DA">
        <w:pPr>
          <w:pStyle w:val="Footer"/>
          <w:jc w:val="center"/>
        </w:pPr>
        <w:r>
          <w:fldChar w:fldCharType="begin"/>
        </w:r>
        <w:r>
          <w:instrText xml:space="preserve"> PAGE   \* MERGEFORMAT </w:instrText>
        </w:r>
        <w:r>
          <w:fldChar w:fldCharType="separate"/>
        </w:r>
        <w:r w:rsidR="00463311">
          <w:rPr>
            <w:noProof/>
          </w:rPr>
          <w:t>1</w:t>
        </w:r>
        <w:r>
          <w:rPr>
            <w:noProof/>
          </w:rPr>
          <w:fldChar w:fldCharType="end"/>
        </w:r>
      </w:p>
    </w:sdtContent>
  </w:sdt>
  <w:p w:rsidR="000C40DA" w:rsidRDefault="000C4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7A" w:rsidRDefault="0099577A" w:rsidP="000C40DA">
      <w:pPr>
        <w:spacing w:line="240" w:lineRule="auto"/>
      </w:pPr>
      <w:r>
        <w:separator/>
      </w:r>
    </w:p>
  </w:footnote>
  <w:footnote w:type="continuationSeparator" w:id="0">
    <w:p w:rsidR="0099577A" w:rsidRDefault="0099577A" w:rsidP="000C40D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F73DB"/>
    <w:multiLevelType w:val="hybridMultilevel"/>
    <w:tmpl w:val="79A4EE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C22C6A"/>
    <w:multiLevelType w:val="hybridMultilevel"/>
    <w:tmpl w:val="D1785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3EF2276"/>
    <w:multiLevelType w:val="hybridMultilevel"/>
    <w:tmpl w:val="79A4E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0E5F2536-03CD-41C8-9D7B-56D2C46E4B32}"/>
    <w:docVar w:name="dgnword-eventsink" w:val="74603560"/>
  </w:docVars>
  <w:rsids>
    <w:rsidRoot w:val="009D48F6"/>
    <w:rsid w:val="00031D70"/>
    <w:rsid w:val="00041D15"/>
    <w:rsid w:val="0008486C"/>
    <w:rsid w:val="000B6B7B"/>
    <w:rsid w:val="000C40DA"/>
    <w:rsid w:val="001063D9"/>
    <w:rsid w:val="00116E87"/>
    <w:rsid w:val="001277DF"/>
    <w:rsid w:val="00135ED8"/>
    <w:rsid w:val="00142C47"/>
    <w:rsid w:val="0016215E"/>
    <w:rsid w:val="001810A9"/>
    <w:rsid w:val="001A490B"/>
    <w:rsid w:val="001A6DE4"/>
    <w:rsid w:val="001B44FD"/>
    <w:rsid w:val="002332F1"/>
    <w:rsid w:val="0029729B"/>
    <w:rsid w:val="002D04A3"/>
    <w:rsid w:val="002D3D9C"/>
    <w:rsid w:val="003008A5"/>
    <w:rsid w:val="003245B0"/>
    <w:rsid w:val="003632A8"/>
    <w:rsid w:val="0038461C"/>
    <w:rsid w:val="003B6E51"/>
    <w:rsid w:val="003E3B85"/>
    <w:rsid w:val="00404F7D"/>
    <w:rsid w:val="0041603C"/>
    <w:rsid w:val="00416F9E"/>
    <w:rsid w:val="004609BB"/>
    <w:rsid w:val="00463311"/>
    <w:rsid w:val="00487E3A"/>
    <w:rsid w:val="004D1278"/>
    <w:rsid w:val="005010ED"/>
    <w:rsid w:val="00543CB4"/>
    <w:rsid w:val="005B3E5E"/>
    <w:rsid w:val="005B5F9E"/>
    <w:rsid w:val="005E4DF8"/>
    <w:rsid w:val="00607478"/>
    <w:rsid w:val="00650077"/>
    <w:rsid w:val="00670534"/>
    <w:rsid w:val="006A57AE"/>
    <w:rsid w:val="006D4B59"/>
    <w:rsid w:val="006F59B0"/>
    <w:rsid w:val="00700C64"/>
    <w:rsid w:val="00703C42"/>
    <w:rsid w:val="00794B4B"/>
    <w:rsid w:val="007B3646"/>
    <w:rsid w:val="00862142"/>
    <w:rsid w:val="00864A24"/>
    <w:rsid w:val="008949BA"/>
    <w:rsid w:val="00894B89"/>
    <w:rsid w:val="00895BDD"/>
    <w:rsid w:val="008D36A8"/>
    <w:rsid w:val="008D4DA0"/>
    <w:rsid w:val="008D623C"/>
    <w:rsid w:val="008E4BBB"/>
    <w:rsid w:val="00920A5B"/>
    <w:rsid w:val="009671EF"/>
    <w:rsid w:val="0099577A"/>
    <w:rsid w:val="009B0083"/>
    <w:rsid w:val="009C0067"/>
    <w:rsid w:val="009C42B0"/>
    <w:rsid w:val="009C6F0F"/>
    <w:rsid w:val="009D14DF"/>
    <w:rsid w:val="009D48F6"/>
    <w:rsid w:val="00A8133B"/>
    <w:rsid w:val="00A835B0"/>
    <w:rsid w:val="00AB1329"/>
    <w:rsid w:val="00AF1D8D"/>
    <w:rsid w:val="00B13198"/>
    <w:rsid w:val="00B316BC"/>
    <w:rsid w:val="00B475DB"/>
    <w:rsid w:val="00B73472"/>
    <w:rsid w:val="00B7616D"/>
    <w:rsid w:val="00B8769E"/>
    <w:rsid w:val="00BD406E"/>
    <w:rsid w:val="00BD4853"/>
    <w:rsid w:val="00C01D05"/>
    <w:rsid w:val="00C17235"/>
    <w:rsid w:val="00C7395C"/>
    <w:rsid w:val="00C75277"/>
    <w:rsid w:val="00C86415"/>
    <w:rsid w:val="00C9758D"/>
    <w:rsid w:val="00CF591C"/>
    <w:rsid w:val="00D26CEE"/>
    <w:rsid w:val="00D70C9F"/>
    <w:rsid w:val="00D77FE9"/>
    <w:rsid w:val="00DB29E5"/>
    <w:rsid w:val="00DC2354"/>
    <w:rsid w:val="00DE71AB"/>
    <w:rsid w:val="00DF7A07"/>
    <w:rsid w:val="00E53CB0"/>
    <w:rsid w:val="00E671A5"/>
    <w:rsid w:val="00E76B07"/>
    <w:rsid w:val="00ED0F08"/>
    <w:rsid w:val="00EE159C"/>
    <w:rsid w:val="00F2538F"/>
    <w:rsid w:val="00F42EE8"/>
    <w:rsid w:val="00F44BC5"/>
    <w:rsid w:val="00F54641"/>
    <w:rsid w:val="00F63ABA"/>
    <w:rsid w:val="00F91B41"/>
    <w:rsid w:val="00FB5692"/>
    <w:rsid w:val="00FE1090"/>
    <w:rsid w:val="00FF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uiPriority w:val="1"/>
    <w:qFormat/>
    <w:rsid w:val="00404F7D"/>
    <w:pPr>
      <w:spacing w:after="0"/>
    </w:pPr>
    <w:rPr>
      <w:rFonts w:ascii="Arial" w:hAnsi="Arial" w:cs="Arial"/>
      <w:i/>
    </w:rPr>
  </w:style>
  <w:style w:type="paragraph" w:styleId="BalloonText">
    <w:name w:val="Balloon Text"/>
    <w:basedOn w:val="Normal"/>
    <w:link w:val="BalloonTextChar"/>
    <w:uiPriority w:val="99"/>
    <w:semiHidden/>
    <w:unhideWhenUsed/>
    <w:rsid w:val="004609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9BB"/>
    <w:rPr>
      <w:rFonts w:ascii="Tahoma" w:hAnsi="Tahoma" w:cs="Tahoma"/>
      <w:sz w:val="16"/>
      <w:szCs w:val="16"/>
    </w:rPr>
  </w:style>
  <w:style w:type="table" w:styleId="TableGrid">
    <w:name w:val="Table Grid"/>
    <w:basedOn w:val="TableNormal"/>
    <w:uiPriority w:val="59"/>
    <w:rsid w:val="00460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F0F"/>
    <w:pPr>
      <w:spacing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2C47"/>
    <w:rPr>
      <w:color w:val="0000FF" w:themeColor="hyperlink"/>
      <w:u w:val="single"/>
    </w:rPr>
  </w:style>
  <w:style w:type="character" w:styleId="FollowedHyperlink">
    <w:name w:val="FollowedHyperlink"/>
    <w:basedOn w:val="DefaultParagraphFont"/>
    <w:uiPriority w:val="99"/>
    <w:semiHidden/>
    <w:unhideWhenUsed/>
    <w:rsid w:val="00650077"/>
    <w:rPr>
      <w:color w:val="800080" w:themeColor="followedHyperlink"/>
      <w:u w:val="single"/>
    </w:rPr>
  </w:style>
  <w:style w:type="character" w:styleId="CommentReference">
    <w:name w:val="annotation reference"/>
    <w:basedOn w:val="DefaultParagraphFont"/>
    <w:uiPriority w:val="99"/>
    <w:semiHidden/>
    <w:unhideWhenUsed/>
    <w:rsid w:val="00700C64"/>
    <w:rPr>
      <w:sz w:val="16"/>
      <w:szCs w:val="16"/>
    </w:rPr>
  </w:style>
  <w:style w:type="paragraph" w:styleId="CommentText">
    <w:name w:val="annotation text"/>
    <w:basedOn w:val="Normal"/>
    <w:link w:val="CommentTextChar"/>
    <w:uiPriority w:val="99"/>
    <w:semiHidden/>
    <w:unhideWhenUsed/>
    <w:rsid w:val="00700C64"/>
    <w:pPr>
      <w:spacing w:line="240" w:lineRule="auto"/>
    </w:pPr>
    <w:rPr>
      <w:sz w:val="20"/>
      <w:szCs w:val="20"/>
    </w:rPr>
  </w:style>
  <w:style w:type="character" w:customStyle="1" w:styleId="CommentTextChar">
    <w:name w:val="Comment Text Char"/>
    <w:basedOn w:val="DefaultParagraphFont"/>
    <w:link w:val="CommentText"/>
    <w:uiPriority w:val="99"/>
    <w:semiHidden/>
    <w:rsid w:val="00700C6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0C64"/>
    <w:rPr>
      <w:b/>
      <w:bCs/>
    </w:rPr>
  </w:style>
  <w:style w:type="character" w:customStyle="1" w:styleId="CommentSubjectChar">
    <w:name w:val="Comment Subject Char"/>
    <w:basedOn w:val="CommentTextChar"/>
    <w:link w:val="CommentSubject"/>
    <w:uiPriority w:val="99"/>
    <w:semiHidden/>
    <w:rsid w:val="00700C64"/>
    <w:rPr>
      <w:rFonts w:ascii="Arial" w:hAnsi="Arial" w:cs="Arial"/>
      <w:b/>
      <w:bCs/>
      <w:sz w:val="20"/>
      <w:szCs w:val="20"/>
    </w:rPr>
  </w:style>
  <w:style w:type="paragraph" w:styleId="Header">
    <w:name w:val="header"/>
    <w:basedOn w:val="Normal"/>
    <w:link w:val="HeaderChar"/>
    <w:uiPriority w:val="99"/>
    <w:unhideWhenUsed/>
    <w:rsid w:val="000C40DA"/>
    <w:pPr>
      <w:tabs>
        <w:tab w:val="center" w:pos="4513"/>
        <w:tab w:val="right" w:pos="9026"/>
      </w:tabs>
      <w:spacing w:line="240" w:lineRule="auto"/>
    </w:pPr>
  </w:style>
  <w:style w:type="character" w:customStyle="1" w:styleId="HeaderChar">
    <w:name w:val="Header Char"/>
    <w:basedOn w:val="DefaultParagraphFont"/>
    <w:link w:val="Header"/>
    <w:uiPriority w:val="99"/>
    <w:rsid w:val="000C40DA"/>
    <w:rPr>
      <w:rFonts w:ascii="Arial" w:hAnsi="Arial" w:cs="Arial"/>
    </w:rPr>
  </w:style>
  <w:style w:type="paragraph" w:styleId="Footer">
    <w:name w:val="footer"/>
    <w:basedOn w:val="Normal"/>
    <w:link w:val="FooterChar"/>
    <w:uiPriority w:val="99"/>
    <w:unhideWhenUsed/>
    <w:rsid w:val="000C40DA"/>
    <w:pPr>
      <w:tabs>
        <w:tab w:val="center" w:pos="4513"/>
        <w:tab w:val="right" w:pos="9026"/>
      </w:tabs>
      <w:spacing w:line="240" w:lineRule="auto"/>
    </w:pPr>
  </w:style>
  <w:style w:type="character" w:customStyle="1" w:styleId="FooterChar">
    <w:name w:val="Footer Char"/>
    <w:basedOn w:val="DefaultParagraphFont"/>
    <w:link w:val="Footer"/>
    <w:uiPriority w:val="99"/>
    <w:rsid w:val="000C40DA"/>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uiPriority w:val="1"/>
    <w:qFormat/>
    <w:rsid w:val="00404F7D"/>
    <w:pPr>
      <w:spacing w:after="0"/>
    </w:pPr>
    <w:rPr>
      <w:rFonts w:ascii="Arial" w:hAnsi="Arial" w:cs="Arial"/>
      <w:i/>
    </w:rPr>
  </w:style>
  <w:style w:type="paragraph" w:styleId="BalloonText">
    <w:name w:val="Balloon Text"/>
    <w:basedOn w:val="Normal"/>
    <w:link w:val="BalloonTextChar"/>
    <w:uiPriority w:val="99"/>
    <w:semiHidden/>
    <w:unhideWhenUsed/>
    <w:rsid w:val="004609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9BB"/>
    <w:rPr>
      <w:rFonts w:ascii="Tahoma" w:hAnsi="Tahoma" w:cs="Tahoma"/>
      <w:sz w:val="16"/>
      <w:szCs w:val="16"/>
    </w:rPr>
  </w:style>
  <w:style w:type="table" w:styleId="TableGrid">
    <w:name w:val="Table Grid"/>
    <w:basedOn w:val="TableNormal"/>
    <w:uiPriority w:val="59"/>
    <w:rsid w:val="00460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F0F"/>
    <w:pPr>
      <w:spacing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42C47"/>
    <w:rPr>
      <w:color w:val="0000FF" w:themeColor="hyperlink"/>
      <w:u w:val="single"/>
    </w:rPr>
  </w:style>
  <w:style w:type="character" w:styleId="FollowedHyperlink">
    <w:name w:val="FollowedHyperlink"/>
    <w:basedOn w:val="DefaultParagraphFont"/>
    <w:uiPriority w:val="99"/>
    <w:semiHidden/>
    <w:unhideWhenUsed/>
    <w:rsid w:val="00650077"/>
    <w:rPr>
      <w:color w:val="800080" w:themeColor="followedHyperlink"/>
      <w:u w:val="single"/>
    </w:rPr>
  </w:style>
  <w:style w:type="character" w:styleId="CommentReference">
    <w:name w:val="annotation reference"/>
    <w:basedOn w:val="DefaultParagraphFont"/>
    <w:uiPriority w:val="99"/>
    <w:semiHidden/>
    <w:unhideWhenUsed/>
    <w:rsid w:val="00700C64"/>
    <w:rPr>
      <w:sz w:val="16"/>
      <w:szCs w:val="16"/>
    </w:rPr>
  </w:style>
  <w:style w:type="paragraph" w:styleId="CommentText">
    <w:name w:val="annotation text"/>
    <w:basedOn w:val="Normal"/>
    <w:link w:val="CommentTextChar"/>
    <w:uiPriority w:val="99"/>
    <w:semiHidden/>
    <w:unhideWhenUsed/>
    <w:rsid w:val="00700C64"/>
    <w:pPr>
      <w:spacing w:line="240" w:lineRule="auto"/>
    </w:pPr>
    <w:rPr>
      <w:sz w:val="20"/>
      <w:szCs w:val="20"/>
    </w:rPr>
  </w:style>
  <w:style w:type="character" w:customStyle="1" w:styleId="CommentTextChar">
    <w:name w:val="Comment Text Char"/>
    <w:basedOn w:val="DefaultParagraphFont"/>
    <w:link w:val="CommentText"/>
    <w:uiPriority w:val="99"/>
    <w:semiHidden/>
    <w:rsid w:val="00700C6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00C64"/>
    <w:rPr>
      <w:b/>
      <w:bCs/>
    </w:rPr>
  </w:style>
  <w:style w:type="character" w:customStyle="1" w:styleId="CommentSubjectChar">
    <w:name w:val="Comment Subject Char"/>
    <w:basedOn w:val="CommentTextChar"/>
    <w:link w:val="CommentSubject"/>
    <w:uiPriority w:val="99"/>
    <w:semiHidden/>
    <w:rsid w:val="00700C64"/>
    <w:rPr>
      <w:rFonts w:ascii="Arial" w:hAnsi="Arial" w:cs="Arial"/>
      <w:b/>
      <w:bCs/>
      <w:sz w:val="20"/>
      <w:szCs w:val="20"/>
    </w:rPr>
  </w:style>
  <w:style w:type="paragraph" w:styleId="Header">
    <w:name w:val="header"/>
    <w:basedOn w:val="Normal"/>
    <w:link w:val="HeaderChar"/>
    <w:uiPriority w:val="99"/>
    <w:unhideWhenUsed/>
    <w:rsid w:val="000C40DA"/>
    <w:pPr>
      <w:tabs>
        <w:tab w:val="center" w:pos="4513"/>
        <w:tab w:val="right" w:pos="9026"/>
      </w:tabs>
      <w:spacing w:line="240" w:lineRule="auto"/>
    </w:pPr>
  </w:style>
  <w:style w:type="character" w:customStyle="1" w:styleId="HeaderChar">
    <w:name w:val="Header Char"/>
    <w:basedOn w:val="DefaultParagraphFont"/>
    <w:link w:val="Header"/>
    <w:uiPriority w:val="99"/>
    <w:rsid w:val="000C40DA"/>
    <w:rPr>
      <w:rFonts w:ascii="Arial" w:hAnsi="Arial" w:cs="Arial"/>
    </w:rPr>
  </w:style>
  <w:style w:type="paragraph" w:styleId="Footer">
    <w:name w:val="footer"/>
    <w:basedOn w:val="Normal"/>
    <w:link w:val="FooterChar"/>
    <w:uiPriority w:val="99"/>
    <w:unhideWhenUsed/>
    <w:rsid w:val="000C40DA"/>
    <w:pPr>
      <w:tabs>
        <w:tab w:val="center" w:pos="4513"/>
        <w:tab w:val="right" w:pos="9026"/>
      </w:tabs>
      <w:spacing w:line="240" w:lineRule="auto"/>
    </w:pPr>
  </w:style>
  <w:style w:type="character" w:customStyle="1" w:styleId="FooterChar">
    <w:name w:val="Footer Char"/>
    <w:basedOn w:val="DefaultParagraphFont"/>
    <w:link w:val="Footer"/>
    <w:uiPriority w:val="99"/>
    <w:rsid w:val="000C40D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hs/icd/icd9cm.htm" TargetMode="External"/><Relationship Id="rId5" Type="http://schemas.openxmlformats.org/officeDocument/2006/relationships/settings" Target="settings.xml"/><Relationship Id="rId10" Type="http://schemas.openxmlformats.org/officeDocument/2006/relationships/hyperlink" Target="http://www.hse.gov.uk/pubns/eis44.pdf"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FE41-6614-453D-8743-C45EC81A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cp:lastPrinted>2014-06-30T14:54:00Z</cp:lastPrinted>
  <dcterms:created xsi:type="dcterms:W3CDTF">2015-02-23T11:05:00Z</dcterms:created>
  <dcterms:modified xsi:type="dcterms:W3CDTF">2015-02-23T11:05:00Z</dcterms:modified>
</cp:coreProperties>
</file>