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FD" w:rsidRDefault="005B32FD" w:rsidP="005B32FD">
      <w:pPr>
        <w:widowControl w:val="0"/>
        <w:rPr>
          <w:rFonts w:ascii="Times New Roman" w:hAnsi="Times New Roman" w:cs="Times New Roman"/>
          <w:b/>
          <w:sz w:val="32"/>
          <w:szCs w:val="32"/>
        </w:rPr>
      </w:pPr>
      <w:bookmarkStart w:id="0" w:name="_GoBack"/>
      <w:bookmarkEnd w:id="0"/>
    </w:p>
    <w:p w:rsidR="005B32FD" w:rsidRDefault="005B32FD" w:rsidP="005B32FD">
      <w:pPr>
        <w:widowControl w:val="0"/>
        <w:rPr>
          <w:rFonts w:ascii="Times New Roman" w:hAnsi="Times New Roman" w:cs="Times New Roman"/>
          <w:b/>
          <w:sz w:val="32"/>
          <w:szCs w:val="32"/>
        </w:rPr>
      </w:pPr>
    </w:p>
    <w:p w:rsidR="005B32FD" w:rsidRDefault="004C7769" w:rsidP="005B32FD">
      <w:pPr>
        <w:widowControl w:val="0"/>
        <w:rPr>
          <w:rFonts w:ascii="Times New Roman" w:hAnsi="Times New Roman" w:cs="Times New Roman"/>
          <w:b/>
          <w:sz w:val="28"/>
          <w:szCs w:val="28"/>
        </w:rPr>
      </w:pPr>
      <w:r>
        <w:rPr>
          <w:rFonts w:ascii="Times New Roman" w:hAnsi="Times New Roman" w:cs="Times New Roman"/>
          <w:b/>
          <w:sz w:val="36"/>
          <w:szCs w:val="36"/>
        </w:rPr>
        <w:t>Sensory impairments,</w:t>
      </w:r>
      <w:r w:rsidR="005B32FD" w:rsidRPr="005B32FD">
        <w:rPr>
          <w:rFonts w:ascii="Times New Roman" w:hAnsi="Times New Roman" w:cs="Times New Roman"/>
          <w:b/>
          <w:sz w:val="36"/>
          <w:szCs w:val="36"/>
        </w:rPr>
        <w:t xml:space="preserve"> problems of balan</w:t>
      </w:r>
      <w:r>
        <w:rPr>
          <w:rFonts w:ascii="Times New Roman" w:hAnsi="Times New Roman" w:cs="Times New Roman"/>
          <w:b/>
          <w:sz w:val="36"/>
          <w:szCs w:val="36"/>
        </w:rPr>
        <w:t>ce and accidental injury at work – a case-control study</w:t>
      </w:r>
    </w:p>
    <w:p w:rsidR="005B32FD" w:rsidRDefault="005B32FD" w:rsidP="005B32FD">
      <w:pPr>
        <w:widowControl w:val="0"/>
        <w:rPr>
          <w:rFonts w:ascii="Times New Roman" w:hAnsi="Times New Roman" w:cs="Times New Roman"/>
          <w:b/>
          <w:sz w:val="28"/>
          <w:szCs w:val="28"/>
        </w:rPr>
      </w:pP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Professor Keith Palmer</w:t>
      </w:r>
    </w:p>
    <w:p w:rsidR="004C7769" w:rsidRDefault="004C7769" w:rsidP="005B32FD">
      <w:pPr>
        <w:widowControl w:val="0"/>
        <w:rPr>
          <w:rFonts w:ascii="Times New Roman" w:hAnsi="Times New Roman" w:cs="Times New Roman"/>
          <w:b/>
          <w:sz w:val="28"/>
          <w:szCs w:val="28"/>
        </w:rPr>
      </w:pPr>
      <w:r>
        <w:rPr>
          <w:rFonts w:ascii="Times New Roman" w:hAnsi="Times New Roman" w:cs="Times New Roman"/>
          <w:b/>
          <w:sz w:val="28"/>
          <w:szCs w:val="28"/>
        </w:rPr>
        <w:t>Stefania D’Angelo</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 xml:space="preserve">Dr </w:t>
      </w:r>
      <w:r w:rsidR="00C01B87">
        <w:rPr>
          <w:rFonts w:ascii="Times New Roman" w:hAnsi="Times New Roman" w:cs="Times New Roman"/>
          <w:b/>
          <w:sz w:val="28"/>
          <w:szCs w:val="28"/>
        </w:rPr>
        <w:t xml:space="preserve">E </w:t>
      </w:r>
      <w:r>
        <w:rPr>
          <w:rFonts w:ascii="Times New Roman" w:hAnsi="Times New Roman" w:cs="Times New Roman"/>
          <w:b/>
          <w:sz w:val="28"/>
          <w:szCs w:val="28"/>
        </w:rPr>
        <w:t>Clare Harris</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Dr Cathy Linaker</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Professor David Coggon</w:t>
      </w:r>
    </w:p>
    <w:p w:rsidR="005B32FD" w:rsidRDefault="005B32FD" w:rsidP="005B32FD">
      <w:pPr>
        <w:widowControl w:val="0"/>
        <w:rPr>
          <w:rFonts w:ascii="Times New Roman" w:hAnsi="Times New Roman" w:cs="Times New Roman"/>
          <w:b/>
          <w:sz w:val="28"/>
          <w:szCs w:val="28"/>
        </w:rPr>
      </w:pP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MRC Lifecourse Epidemiology Unit</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University of Southampton</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Southampton General Hospital</w:t>
      </w:r>
    </w:p>
    <w:p w:rsidR="005B32FD"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Tremona Road</w:t>
      </w:r>
    </w:p>
    <w:p w:rsidR="005B32FD" w:rsidRPr="00C23D45" w:rsidRDefault="005B32FD" w:rsidP="005B32FD">
      <w:pPr>
        <w:widowControl w:val="0"/>
        <w:rPr>
          <w:rFonts w:ascii="Times New Roman" w:hAnsi="Times New Roman" w:cs="Times New Roman"/>
          <w:b/>
          <w:sz w:val="28"/>
          <w:szCs w:val="28"/>
        </w:rPr>
      </w:pPr>
      <w:r>
        <w:rPr>
          <w:rFonts w:ascii="Times New Roman" w:hAnsi="Times New Roman" w:cs="Times New Roman"/>
          <w:b/>
          <w:sz w:val="28"/>
          <w:szCs w:val="28"/>
        </w:rPr>
        <w:t>Southampton SO16 6YD</w:t>
      </w:r>
    </w:p>
    <w:p w:rsidR="005B32FD" w:rsidRDefault="005B32FD" w:rsidP="005B32FD">
      <w:pPr>
        <w:widowControl w:val="0"/>
        <w:rPr>
          <w:rFonts w:ascii="Times New Roman" w:hAnsi="Times New Roman" w:cs="Times New Roman"/>
          <w:b/>
          <w:sz w:val="28"/>
          <w:szCs w:val="28"/>
        </w:rPr>
      </w:pPr>
    </w:p>
    <w:p w:rsidR="004A7333" w:rsidRPr="00C23D45" w:rsidRDefault="004A7333" w:rsidP="005B32FD">
      <w:pPr>
        <w:widowControl w:val="0"/>
        <w:rPr>
          <w:rFonts w:ascii="Times New Roman" w:hAnsi="Times New Roman" w:cs="Times New Roman"/>
          <w:b/>
          <w:sz w:val="28"/>
          <w:szCs w:val="28"/>
        </w:rPr>
      </w:pPr>
      <w:r w:rsidRPr="008C3B47">
        <w:rPr>
          <w:rFonts w:ascii="Times New Roman" w:hAnsi="Times New Roman"/>
          <w:b/>
          <w:sz w:val="28"/>
          <w:szCs w:val="28"/>
        </w:rPr>
        <w:t xml:space="preserve">Correspondence to: Professor </w:t>
      </w:r>
      <w:r>
        <w:rPr>
          <w:rFonts w:ascii="Times New Roman" w:hAnsi="Times New Roman"/>
          <w:b/>
          <w:sz w:val="28"/>
          <w:szCs w:val="28"/>
        </w:rPr>
        <w:t xml:space="preserve">Keith </w:t>
      </w:r>
      <w:r w:rsidRPr="008C3B47">
        <w:rPr>
          <w:rFonts w:ascii="Times New Roman" w:hAnsi="Times New Roman"/>
          <w:b/>
          <w:sz w:val="28"/>
          <w:szCs w:val="28"/>
        </w:rPr>
        <w:t>Palmer</w:t>
      </w:r>
      <w:r>
        <w:rPr>
          <w:rFonts w:ascii="Times New Roman" w:hAnsi="Times New Roman"/>
          <w:b/>
          <w:sz w:val="28"/>
          <w:szCs w:val="28"/>
        </w:rPr>
        <w:t>,</w:t>
      </w:r>
      <w:r w:rsidRPr="008C3B47">
        <w:rPr>
          <w:rFonts w:ascii="Times New Roman" w:hAnsi="Times New Roman"/>
          <w:b/>
          <w:sz w:val="28"/>
          <w:szCs w:val="28"/>
        </w:rPr>
        <w:t xml:space="preserve"> MRC Lifecourse Epidemiology Unit, Univers</w:t>
      </w:r>
      <w:r>
        <w:rPr>
          <w:rFonts w:ascii="Times New Roman" w:hAnsi="Times New Roman"/>
          <w:b/>
          <w:sz w:val="28"/>
          <w:szCs w:val="28"/>
        </w:rPr>
        <w:t xml:space="preserve">ity of Southampton, UK SO16 6YD: </w:t>
      </w:r>
      <w:hyperlink r:id="rId9" w:history="1">
        <w:r w:rsidRPr="00252141">
          <w:rPr>
            <w:rStyle w:val="Hyperlink"/>
            <w:rFonts w:ascii="Times New Roman" w:hAnsi="Times New Roman"/>
            <w:b/>
            <w:sz w:val="28"/>
            <w:szCs w:val="28"/>
          </w:rPr>
          <w:t>ktp@mrc.soton.ac.uk</w:t>
        </w:r>
      </w:hyperlink>
    </w:p>
    <w:p w:rsidR="004A7333" w:rsidRDefault="004A7333" w:rsidP="005B32FD">
      <w:pPr>
        <w:rPr>
          <w:rFonts w:ascii="Times New Roman" w:hAnsi="Times New Roman" w:cs="Times New Roman"/>
          <w:b/>
          <w:i/>
        </w:rPr>
      </w:pPr>
    </w:p>
    <w:p w:rsidR="005B32FD" w:rsidRDefault="004A7333" w:rsidP="005B32FD">
      <w:pPr>
        <w:rPr>
          <w:rFonts w:ascii="Times New Roman" w:hAnsi="Times New Roman" w:cs="Times New Roman"/>
          <w:b/>
          <w:sz w:val="24"/>
          <w:szCs w:val="24"/>
        </w:rPr>
      </w:pPr>
      <w:r w:rsidRPr="004A7333">
        <w:rPr>
          <w:rFonts w:ascii="Times New Roman" w:hAnsi="Times New Roman" w:cs="Times New Roman"/>
          <w:b/>
          <w:sz w:val="24"/>
          <w:szCs w:val="24"/>
        </w:rPr>
        <w:t xml:space="preserve">Word counts: </w:t>
      </w:r>
      <w:r w:rsidR="008123D8">
        <w:rPr>
          <w:rFonts w:ascii="Times New Roman" w:hAnsi="Times New Roman" w:cs="Times New Roman"/>
          <w:b/>
          <w:sz w:val="24"/>
          <w:szCs w:val="24"/>
        </w:rPr>
        <w:t>2,903</w:t>
      </w:r>
      <w:r w:rsidR="008123D8" w:rsidRPr="004A7333">
        <w:rPr>
          <w:rFonts w:ascii="Times New Roman" w:hAnsi="Times New Roman" w:cs="Times New Roman"/>
          <w:b/>
          <w:sz w:val="24"/>
          <w:szCs w:val="24"/>
        </w:rPr>
        <w:t xml:space="preserve"> </w:t>
      </w:r>
      <w:r w:rsidRPr="004A7333">
        <w:rPr>
          <w:rFonts w:ascii="Times New Roman" w:hAnsi="Times New Roman" w:cs="Times New Roman"/>
          <w:b/>
          <w:sz w:val="24"/>
          <w:szCs w:val="24"/>
        </w:rPr>
        <w:t xml:space="preserve">(main text), </w:t>
      </w:r>
      <w:r w:rsidR="00E33EA6">
        <w:rPr>
          <w:rFonts w:ascii="Times New Roman" w:hAnsi="Times New Roman" w:cs="Times New Roman"/>
          <w:b/>
          <w:sz w:val="24"/>
          <w:szCs w:val="24"/>
        </w:rPr>
        <w:t>249</w:t>
      </w:r>
      <w:r w:rsidR="00E33EA6" w:rsidRPr="004A7333">
        <w:rPr>
          <w:rFonts w:ascii="Times New Roman" w:hAnsi="Times New Roman" w:cs="Times New Roman"/>
          <w:b/>
          <w:sz w:val="24"/>
          <w:szCs w:val="24"/>
        </w:rPr>
        <w:t xml:space="preserve"> </w:t>
      </w:r>
      <w:r w:rsidRPr="004A7333">
        <w:rPr>
          <w:rFonts w:ascii="Times New Roman" w:hAnsi="Times New Roman" w:cs="Times New Roman"/>
          <w:b/>
          <w:sz w:val="24"/>
          <w:szCs w:val="24"/>
        </w:rPr>
        <w:t xml:space="preserve">(abstract); </w:t>
      </w:r>
      <w:r>
        <w:rPr>
          <w:rFonts w:ascii="Times New Roman" w:hAnsi="Times New Roman" w:cs="Times New Roman"/>
          <w:b/>
          <w:sz w:val="24"/>
          <w:szCs w:val="24"/>
        </w:rPr>
        <w:t>3 tables; one online supplementary file</w:t>
      </w:r>
    </w:p>
    <w:p w:rsidR="001F3B3A" w:rsidRDefault="001F3B3A" w:rsidP="005B32FD">
      <w:pPr>
        <w:rPr>
          <w:rFonts w:ascii="Times New Roman" w:hAnsi="Times New Roman" w:cs="Times New Roman"/>
          <w:sz w:val="24"/>
          <w:szCs w:val="24"/>
        </w:rPr>
      </w:pPr>
    </w:p>
    <w:p w:rsidR="005B32FD" w:rsidRPr="001F3B3A" w:rsidRDefault="00946A81" w:rsidP="005B32FD">
      <w:pPr>
        <w:rPr>
          <w:rFonts w:ascii="Times New Roman" w:hAnsi="Times New Roman" w:cs="Times New Roman"/>
          <w:b/>
          <w:sz w:val="24"/>
          <w:szCs w:val="24"/>
        </w:rPr>
      </w:pPr>
      <w:r w:rsidRPr="00EE51AB">
        <w:rPr>
          <w:rFonts w:ascii="Times New Roman" w:hAnsi="Times New Roman" w:cs="Times New Roman"/>
          <w:sz w:val="24"/>
          <w:szCs w:val="24"/>
        </w:rPr>
        <w:t>The Corresponding Author has the right to grant on behalf of all authors and does grant on behalf of all authors, an exclusive licence (or non exclusive for government employees) on a worldwide basis to the BMJ Publishing Group Ltd and its Licensees to permit this article (if accepted) to be published in Occupational and Environmental Medicine editions and any other BMJPGL products to exploit all subsidiary rights, as set out in our licence (http://oem.bmjjournals.com/misc/ifora/licenceform.shtml).</w:t>
      </w:r>
      <w:r w:rsidR="005B32FD">
        <w:rPr>
          <w:rFonts w:ascii="Times New Roman" w:hAnsi="Times New Roman" w:cs="Times New Roman"/>
          <w:b/>
          <w:i/>
        </w:rPr>
        <w:br w:type="page"/>
      </w:r>
    </w:p>
    <w:p w:rsidR="008B4AB7" w:rsidRDefault="008B4AB7" w:rsidP="00BC704B">
      <w:pP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B4AB7" w:rsidRDefault="008B4AB7" w:rsidP="00BC704B">
      <w:pPr>
        <w:rPr>
          <w:rFonts w:ascii="Times New Roman" w:hAnsi="Times New Roman" w:cs="Times New Roman"/>
          <w:b/>
          <w:sz w:val="24"/>
          <w:szCs w:val="24"/>
        </w:rPr>
      </w:pPr>
    </w:p>
    <w:p w:rsidR="00BC704B" w:rsidRPr="00880131" w:rsidRDefault="00BC704B" w:rsidP="00784848">
      <w:pPr>
        <w:jc w:val="both"/>
        <w:rPr>
          <w:rFonts w:ascii="Times New Roman" w:hAnsi="Times New Roman" w:cs="Times New Roman"/>
          <w:b/>
          <w:sz w:val="24"/>
          <w:szCs w:val="24"/>
        </w:rPr>
      </w:pPr>
      <w:r>
        <w:rPr>
          <w:rFonts w:ascii="Times New Roman" w:hAnsi="Times New Roman" w:cs="Times New Roman"/>
          <w:b/>
          <w:sz w:val="24"/>
          <w:szCs w:val="24"/>
        </w:rPr>
        <w:t>Objectives</w:t>
      </w:r>
    </w:p>
    <w:p w:rsidR="00BC704B" w:rsidRDefault="004D0B26" w:rsidP="00784848">
      <w:pPr>
        <w:jc w:val="both"/>
        <w:rPr>
          <w:rFonts w:ascii="Times New Roman" w:hAnsi="Times New Roman" w:cs="Times New Roman"/>
          <w:sz w:val="24"/>
          <w:szCs w:val="24"/>
        </w:rPr>
      </w:pPr>
      <w:r w:rsidRPr="007843CD">
        <w:rPr>
          <w:rFonts w:ascii="Times New Roman" w:hAnsi="Times New Roman" w:cs="Times New Roman"/>
          <w:sz w:val="24"/>
          <w:szCs w:val="24"/>
        </w:rPr>
        <w:t xml:space="preserve">Sensory impairments are becoming increasingly common in the workforces of Western countries. </w:t>
      </w:r>
      <w:r w:rsidR="00BC704B" w:rsidRPr="007843CD">
        <w:rPr>
          <w:rFonts w:ascii="Times New Roman" w:hAnsi="Times New Roman" w:cs="Times New Roman"/>
          <w:sz w:val="24"/>
          <w:szCs w:val="24"/>
        </w:rPr>
        <w:t>To assess the</w:t>
      </w:r>
      <w:r w:rsidRPr="007843CD">
        <w:rPr>
          <w:rFonts w:ascii="Times New Roman" w:hAnsi="Times New Roman" w:cs="Times New Roman"/>
          <w:sz w:val="24"/>
          <w:szCs w:val="24"/>
        </w:rPr>
        <w:t>ir</w:t>
      </w:r>
      <w:r w:rsidR="00BC704B" w:rsidRPr="007843CD">
        <w:rPr>
          <w:rFonts w:ascii="Times New Roman" w:hAnsi="Times New Roman" w:cs="Times New Roman"/>
          <w:sz w:val="24"/>
          <w:szCs w:val="24"/>
        </w:rPr>
        <w:t xml:space="preserve"> role in occupational injury,</w:t>
      </w:r>
      <w:r w:rsidR="0006615F">
        <w:rPr>
          <w:rFonts w:ascii="Times New Roman" w:hAnsi="Times New Roman" w:cs="Times New Roman"/>
          <w:sz w:val="24"/>
          <w:szCs w:val="24"/>
        </w:rPr>
        <w:t xml:space="preserve"> and that of </w:t>
      </w:r>
      <w:r w:rsidR="0006615F" w:rsidRPr="007843CD">
        <w:rPr>
          <w:rFonts w:ascii="Times New Roman" w:hAnsi="Times New Roman" w:cs="Times New Roman"/>
          <w:sz w:val="24"/>
          <w:szCs w:val="24"/>
        </w:rPr>
        <w:t>disorders of balance</w:t>
      </w:r>
      <w:r w:rsidR="0006615F">
        <w:rPr>
          <w:rFonts w:ascii="Times New Roman" w:hAnsi="Times New Roman" w:cs="Times New Roman"/>
          <w:sz w:val="24"/>
          <w:szCs w:val="24"/>
        </w:rPr>
        <w:t>,</w:t>
      </w:r>
      <w:r w:rsidR="00BC704B" w:rsidRPr="007843CD">
        <w:rPr>
          <w:rFonts w:ascii="Times New Roman" w:hAnsi="Times New Roman" w:cs="Times New Roman"/>
          <w:sz w:val="24"/>
          <w:szCs w:val="24"/>
        </w:rPr>
        <w:t xml:space="preserve"> we </w:t>
      </w:r>
      <w:r w:rsidR="00F421E5" w:rsidRPr="007843CD">
        <w:rPr>
          <w:rFonts w:ascii="Times New Roman" w:hAnsi="Times New Roman" w:cs="Times New Roman"/>
          <w:sz w:val="24"/>
          <w:szCs w:val="24"/>
        </w:rPr>
        <w:t>undertook</w:t>
      </w:r>
      <w:r w:rsidR="00BC704B" w:rsidRPr="007843CD">
        <w:rPr>
          <w:rFonts w:ascii="Times New Roman" w:hAnsi="Times New Roman" w:cs="Times New Roman"/>
          <w:sz w:val="24"/>
          <w:szCs w:val="24"/>
        </w:rPr>
        <w:t xml:space="preserve"> a</w:t>
      </w:r>
      <w:r w:rsidR="00BC704B">
        <w:rPr>
          <w:rFonts w:ascii="Times New Roman" w:hAnsi="Times New Roman" w:cs="Times New Roman"/>
          <w:sz w:val="24"/>
          <w:szCs w:val="24"/>
        </w:rPr>
        <w:t xml:space="preserve"> </w:t>
      </w:r>
      <w:r w:rsidR="00BC704B" w:rsidRPr="00496F2A">
        <w:rPr>
          <w:rFonts w:ascii="Times New Roman" w:hAnsi="Times New Roman" w:cs="Times New Roman"/>
          <w:sz w:val="24"/>
          <w:szCs w:val="24"/>
        </w:rPr>
        <w:t xml:space="preserve">case-control </w:t>
      </w:r>
      <w:r w:rsidR="00F421E5">
        <w:rPr>
          <w:rFonts w:ascii="Times New Roman" w:hAnsi="Times New Roman" w:cs="Times New Roman"/>
          <w:sz w:val="24"/>
          <w:szCs w:val="24"/>
        </w:rPr>
        <w:t>study</w:t>
      </w:r>
      <w:r w:rsidR="00BC704B" w:rsidRPr="00496F2A">
        <w:rPr>
          <w:rFonts w:ascii="Times New Roman" w:hAnsi="Times New Roman" w:cs="Times New Roman"/>
          <w:sz w:val="24"/>
          <w:szCs w:val="24"/>
        </w:rPr>
        <w:t>.</w:t>
      </w:r>
    </w:p>
    <w:p w:rsidR="00BC704B" w:rsidRDefault="00BC704B" w:rsidP="00784848">
      <w:pPr>
        <w:jc w:val="both"/>
        <w:rPr>
          <w:rFonts w:ascii="Times New Roman" w:hAnsi="Times New Roman" w:cs="Times New Roman"/>
          <w:b/>
          <w:sz w:val="24"/>
          <w:szCs w:val="24"/>
        </w:rPr>
      </w:pPr>
    </w:p>
    <w:p w:rsidR="00BC704B" w:rsidRPr="00880131" w:rsidRDefault="00BC704B" w:rsidP="00784848">
      <w:pPr>
        <w:jc w:val="both"/>
        <w:rPr>
          <w:rFonts w:ascii="Times New Roman" w:hAnsi="Times New Roman" w:cs="Times New Roman"/>
          <w:b/>
          <w:sz w:val="24"/>
          <w:szCs w:val="24"/>
        </w:rPr>
      </w:pPr>
      <w:r w:rsidRPr="00880131">
        <w:rPr>
          <w:rFonts w:ascii="Times New Roman" w:hAnsi="Times New Roman" w:cs="Times New Roman"/>
          <w:b/>
          <w:sz w:val="24"/>
          <w:szCs w:val="24"/>
        </w:rPr>
        <w:t>Methods</w:t>
      </w:r>
    </w:p>
    <w:p w:rsidR="0035622B" w:rsidRDefault="0035622B" w:rsidP="00784848">
      <w:pPr>
        <w:jc w:val="both"/>
        <w:rPr>
          <w:rFonts w:ascii="Times New Roman" w:hAnsi="Times New Roman"/>
          <w:sz w:val="24"/>
          <w:szCs w:val="24"/>
        </w:rPr>
      </w:pPr>
      <w:r>
        <w:rPr>
          <w:rFonts w:ascii="Times New Roman" w:hAnsi="Times New Roman" w:cs="Times New Roman"/>
          <w:sz w:val="24"/>
          <w:szCs w:val="24"/>
        </w:rPr>
        <w:t>Using t</w:t>
      </w:r>
      <w:r w:rsidR="00BC704B" w:rsidRPr="00880131">
        <w:rPr>
          <w:rFonts w:ascii="Times New Roman" w:hAnsi="Times New Roman" w:cs="Times New Roman"/>
          <w:sz w:val="24"/>
          <w:szCs w:val="24"/>
        </w:rPr>
        <w:t xml:space="preserve">he </w:t>
      </w:r>
      <w:r w:rsidR="00BC704B" w:rsidRPr="0093540C">
        <w:rPr>
          <w:rFonts w:ascii="Times New Roman" w:hAnsi="Times New Roman" w:cs="Times New Roman"/>
          <w:sz w:val="24"/>
          <w:szCs w:val="24"/>
        </w:rPr>
        <w:t>Clin</w:t>
      </w:r>
      <w:r>
        <w:rPr>
          <w:rFonts w:ascii="Times New Roman" w:hAnsi="Times New Roman" w:cs="Times New Roman"/>
          <w:sz w:val="24"/>
          <w:szCs w:val="24"/>
        </w:rPr>
        <w:t xml:space="preserve">ical Practice Research Datalink, </w:t>
      </w:r>
      <w:r w:rsidR="00156CFA">
        <w:rPr>
          <w:rFonts w:ascii="Times New Roman" w:hAnsi="Times New Roman" w:cs="Times New Roman"/>
          <w:sz w:val="24"/>
          <w:szCs w:val="24"/>
        </w:rPr>
        <w:t>which</w:t>
      </w:r>
      <w:r>
        <w:rPr>
          <w:rFonts w:ascii="Times New Roman" w:hAnsi="Times New Roman" w:cs="Times New Roman"/>
          <w:sz w:val="24"/>
          <w:szCs w:val="24"/>
        </w:rPr>
        <w:t xml:space="preserve"> </w:t>
      </w:r>
      <w:r w:rsidR="00FE2D2C">
        <w:rPr>
          <w:rFonts w:ascii="Times New Roman" w:hAnsi="Times New Roman" w:cs="Times New Roman"/>
          <w:sz w:val="24"/>
          <w:szCs w:val="24"/>
        </w:rPr>
        <w:t>documents</w:t>
      </w:r>
      <w:r w:rsidR="00FE2D2C" w:rsidRPr="00880131">
        <w:rPr>
          <w:rFonts w:ascii="Times New Roman" w:hAnsi="Times New Roman" w:cs="Times New Roman"/>
          <w:sz w:val="24"/>
          <w:szCs w:val="24"/>
        </w:rPr>
        <w:t xml:space="preserve"> </w:t>
      </w:r>
      <w:r w:rsidR="00F421E5">
        <w:rPr>
          <w:rFonts w:ascii="Times New Roman" w:hAnsi="Times New Roman" w:cs="Times New Roman"/>
          <w:sz w:val="24"/>
          <w:szCs w:val="24"/>
        </w:rPr>
        <w:t>all</w:t>
      </w:r>
      <w:r w:rsidR="00F421E5" w:rsidRPr="00880131">
        <w:rPr>
          <w:rFonts w:ascii="Times New Roman" w:hAnsi="Times New Roman" w:cs="Times New Roman"/>
          <w:sz w:val="24"/>
          <w:szCs w:val="24"/>
        </w:rPr>
        <w:t xml:space="preserve"> </w:t>
      </w:r>
      <w:r w:rsidR="00F421E5">
        <w:rPr>
          <w:rFonts w:ascii="Times New Roman" w:hAnsi="Times New Roman" w:cs="Times New Roman"/>
          <w:sz w:val="24"/>
          <w:szCs w:val="24"/>
        </w:rPr>
        <w:t>medical c</w:t>
      </w:r>
      <w:r w:rsidR="00F421E5" w:rsidRPr="00880131">
        <w:rPr>
          <w:rFonts w:ascii="Times New Roman" w:hAnsi="Times New Roman" w:cs="Times New Roman"/>
          <w:sz w:val="24"/>
          <w:szCs w:val="24"/>
        </w:rPr>
        <w:t>onsultations</w:t>
      </w:r>
      <w:r>
        <w:rPr>
          <w:rFonts w:ascii="Times New Roman" w:hAnsi="Times New Roman" w:cs="Times New Roman"/>
          <w:sz w:val="24"/>
          <w:szCs w:val="24"/>
        </w:rPr>
        <w:t>, referrals</w:t>
      </w:r>
      <w:r w:rsidR="004D0B26">
        <w:rPr>
          <w:rFonts w:ascii="Times New Roman" w:hAnsi="Times New Roman" w:cs="Times New Roman"/>
          <w:sz w:val="24"/>
          <w:szCs w:val="24"/>
        </w:rPr>
        <w:t>,</w:t>
      </w:r>
      <w:r w:rsidR="00F421E5" w:rsidRPr="00880131">
        <w:rPr>
          <w:rFonts w:ascii="Times New Roman" w:hAnsi="Times New Roman" w:cs="Times New Roman"/>
          <w:sz w:val="24"/>
          <w:szCs w:val="24"/>
        </w:rPr>
        <w:t xml:space="preserve"> </w:t>
      </w:r>
      <w:r w:rsidR="00F421E5">
        <w:rPr>
          <w:rFonts w:ascii="Times New Roman" w:hAnsi="Times New Roman" w:cs="Times New Roman"/>
          <w:sz w:val="24"/>
          <w:szCs w:val="24"/>
        </w:rPr>
        <w:t xml:space="preserve">and diagnoses in </w:t>
      </w:r>
      <w:r w:rsidR="00BC704B" w:rsidRPr="00880131">
        <w:rPr>
          <w:rFonts w:ascii="Times New Roman" w:hAnsi="Times New Roman" w:cs="Times New Roman"/>
          <w:sz w:val="24"/>
          <w:szCs w:val="24"/>
        </w:rPr>
        <w:t>primary</w:t>
      </w:r>
      <w:r w:rsidR="00BC704B">
        <w:rPr>
          <w:rFonts w:ascii="Times New Roman" w:hAnsi="Times New Roman" w:cs="Times New Roman"/>
          <w:sz w:val="24"/>
          <w:szCs w:val="24"/>
        </w:rPr>
        <w:t xml:space="preserve"> </w:t>
      </w:r>
      <w:r w:rsidR="00BC704B" w:rsidRPr="00880131">
        <w:rPr>
          <w:rFonts w:ascii="Times New Roman" w:hAnsi="Times New Roman" w:cs="Times New Roman"/>
          <w:sz w:val="24"/>
          <w:szCs w:val="24"/>
        </w:rPr>
        <w:t>care</w:t>
      </w:r>
      <w:r w:rsidR="00BC704B">
        <w:rPr>
          <w:rFonts w:ascii="Times New Roman" w:hAnsi="Times New Roman" w:cs="Times New Roman"/>
          <w:sz w:val="24"/>
          <w:szCs w:val="24"/>
        </w:rPr>
        <w:t xml:space="preserve"> </w:t>
      </w:r>
      <w:r w:rsidR="00BC704B" w:rsidRPr="00880131">
        <w:rPr>
          <w:rFonts w:ascii="Times New Roman" w:hAnsi="Times New Roman" w:cs="Times New Roman"/>
          <w:sz w:val="24"/>
          <w:szCs w:val="24"/>
        </w:rPr>
        <w:t>for</w:t>
      </w:r>
      <w:r w:rsidR="00F421E5">
        <w:rPr>
          <w:rFonts w:ascii="Times New Roman" w:hAnsi="Times New Roman" w:cs="Times New Roman"/>
          <w:sz w:val="24"/>
          <w:szCs w:val="24"/>
        </w:rPr>
        <w:t xml:space="preserve"> </w:t>
      </w:r>
      <w:r w:rsidR="00156CFA">
        <w:rPr>
          <w:rFonts w:ascii="Times New Roman" w:hAnsi="Times New Roman" w:cs="Times New Roman"/>
          <w:sz w:val="24"/>
          <w:szCs w:val="24"/>
        </w:rPr>
        <w:t>6% of the British population</w:t>
      </w:r>
      <w:r w:rsidR="00BC704B">
        <w:rPr>
          <w:rFonts w:ascii="Times New Roman" w:hAnsi="Times New Roman" w:cs="Times New Roman"/>
          <w:sz w:val="24"/>
          <w:szCs w:val="24"/>
        </w:rPr>
        <w:t>,</w:t>
      </w:r>
      <w:r w:rsidR="00BC704B" w:rsidRPr="00880131">
        <w:rPr>
          <w:rFonts w:ascii="Times New Roman" w:hAnsi="Times New Roman" w:cs="Times New Roman"/>
          <w:sz w:val="24"/>
          <w:szCs w:val="24"/>
        </w:rPr>
        <w:t xml:space="preserve"> </w:t>
      </w:r>
      <w:r w:rsidR="00BC704B">
        <w:rPr>
          <w:rFonts w:ascii="Times New Roman" w:hAnsi="Times New Roman" w:cs="Times New Roman"/>
          <w:sz w:val="24"/>
          <w:szCs w:val="24"/>
        </w:rPr>
        <w:t>w</w:t>
      </w:r>
      <w:r w:rsidR="00BC704B" w:rsidRPr="00880131">
        <w:rPr>
          <w:rFonts w:ascii="Times New Roman" w:hAnsi="Times New Roman" w:cs="Times New Roman"/>
          <w:sz w:val="24"/>
          <w:szCs w:val="24"/>
        </w:rPr>
        <w:t xml:space="preserve">e identified 1,348 </w:t>
      </w:r>
      <w:r>
        <w:rPr>
          <w:rFonts w:ascii="Times New Roman" w:hAnsi="Times New Roman" w:cs="Times New Roman"/>
          <w:sz w:val="24"/>
          <w:szCs w:val="24"/>
        </w:rPr>
        <w:t>working-</w:t>
      </w:r>
      <w:r w:rsidR="00F421E5">
        <w:rPr>
          <w:rFonts w:ascii="Times New Roman" w:hAnsi="Times New Roman" w:cs="Times New Roman"/>
          <w:sz w:val="24"/>
          <w:szCs w:val="24"/>
        </w:rPr>
        <w:t xml:space="preserve">aged </w:t>
      </w:r>
      <w:r w:rsidR="00BC704B" w:rsidRPr="00880131">
        <w:rPr>
          <w:rFonts w:ascii="Times New Roman" w:hAnsi="Times New Roman" w:cs="Times New Roman"/>
          <w:sz w:val="24"/>
          <w:szCs w:val="24"/>
        </w:rPr>
        <w:t xml:space="preserve">patients </w:t>
      </w:r>
      <w:r w:rsidR="00BC704B">
        <w:rPr>
          <w:rFonts w:ascii="Times New Roman" w:hAnsi="Times New Roman" w:cs="Times New Roman"/>
          <w:sz w:val="24"/>
          <w:szCs w:val="24"/>
        </w:rPr>
        <w:t xml:space="preserve">who had </w:t>
      </w:r>
      <w:r w:rsidR="00F421E5">
        <w:rPr>
          <w:rFonts w:ascii="Times New Roman" w:hAnsi="Times New Roman" w:cs="Times New Roman"/>
          <w:sz w:val="24"/>
          <w:szCs w:val="24"/>
        </w:rPr>
        <w:t>consulted</w:t>
      </w:r>
      <w:r w:rsidR="00BC704B" w:rsidRPr="00880131">
        <w:rPr>
          <w:rFonts w:ascii="Times New Roman" w:hAnsi="Times New Roman" w:cs="Times New Roman"/>
          <w:sz w:val="24"/>
          <w:szCs w:val="24"/>
        </w:rPr>
        <w:t xml:space="preserve"> </w:t>
      </w:r>
      <w:r w:rsidR="00BC704B">
        <w:rPr>
          <w:rFonts w:ascii="Times New Roman" w:hAnsi="Times New Roman" w:cs="Times New Roman"/>
          <w:sz w:val="24"/>
          <w:szCs w:val="24"/>
        </w:rPr>
        <w:t xml:space="preserve">medical services over a </w:t>
      </w:r>
      <w:r w:rsidR="00836326">
        <w:rPr>
          <w:rFonts w:ascii="Times New Roman" w:hAnsi="Times New Roman" w:cs="Times New Roman"/>
          <w:sz w:val="24"/>
          <w:szCs w:val="24"/>
        </w:rPr>
        <w:t>22</w:t>
      </w:r>
      <w:r w:rsidR="00BC704B">
        <w:rPr>
          <w:rFonts w:ascii="Times New Roman" w:hAnsi="Times New Roman" w:cs="Times New Roman"/>
          <w:sz w:val="24"/>
          <w:szCs w:val="24"/>
        </w:rPr>
        <w:t>-year period</w:t>
      </w:r>
      <w:r w:rsidR="00BC704B" w:rsidRPr="00880131">
        <w:rPr>
          <w:rFonts w:ascii="Times New Roman" w:hAnsi="Times New Roman" w:cs="Times New Roman"/>
          <w:sz w:val="24"/>
          <w:szCs w:val="24"/>
        </w:rPr>
        <w:t xml:space="preserve"> for workplace injury</w:t>
      </w:r>
      <w:r w:rsidR="00F23686">
        <w:rPr>
          <w:rFonts w:ascii="Times New Roman" w:hAnsi="Times New Roman" w:cs="Times New Roman"/>
          <w:sz w:val="24"/>
          <w:szCs w:val="24"/>
        </w:rPr>
        <w:t xml:space="preserve"> (cases)</w:t>
      </w:r>
      <w:r w:rsidR="00BC704B" w:rsidRPr="00880131">
        <w:rPr>
          <w:rFonts w:ascii="Times New Roman" w:hAnsi="Times New Roman" w:cs="Times New Roman"/>
          <w:sz w:val="24"/>
          <w:szCs w:val="24"/>
        </w:rPr>
        <w:t xml:space="preserve"> and 6,652 </w:t>
      </w:r>
      <w:r w:rsidR="00F23686">
        <w:rPr>
          <w:rFonts w:ascii="Times New Roman" w:hAnsi="Times New Roman" w:cs="Times New Roman"/>
          <w:sz w:val="24"/>
          <w:szCs w:val="24"/>
        </w:rPr>
        <w:t>age</w:t>
      </w:r>
      <w:r w:rsidR="00084106">
        <w:rPr>
          <w:rFonts w:ascii="Times New Roman" w:hAnsi="Times New Roman" w:cs="Times New Roman"/>
          <w:sz w:val="24"/>
          <w:szCs w:val="24"/>
        </w:rPr>
        <w:t>-</w:t>
      </w:r>
      <w:r w:rsidR="00F23686">
        <w:rPr>
          <w:rFonts w:ascii="Times New Roman" w:hAnsi="Times New Roman" w:cs="Times New Roman"/>
          <w:sz w:val="24"/>
          <w:szCs w:val="24"/>
        </w:rPr>
        <w:t>, sex</w:t>
      </w:r>
      <w:r w:rsidR="00084106">
        <w:rPr>
          <w:rFonts w:ascii="Times New Roman" w:hAnsi="Times New Roman" w:cs="Times New Roman"/>
          <w:sz w:val="24"/>
          <w:szCs w:val="24"/>
        </w:rPr>
        <w:t>-</w:t>
      </w:r>
      <w:r w:rsidR="00F23686">
        <w:rPr>
          <w:rFonts w:ascii="Times New Roman" w:hAnsi="Times New Roman" w:cs="Times New Roman"/>
          <w:sz w:val="24"/>
          <w:szCs w:val="24"/>
        </w:rPr>
        <w:t xml:space="preserve"> and practice-</w:t>
      </w:r>
      <w:r w:rsidR="00BC704B" w:rsidRPr="00880131">
        <w:rPr>
          <w:rFonts w:ascii="Times New Roman" w:hAnsi="Times New Roman" w:cs="Times New Roman"/>
          <w:sz w:val="24"/>
          <w:szCs w:val="24"/>
        </w:rPr>
        <w:t xml:space="preserve">matched controls. </w:t>
      </w:r>
      <w:r w:rsidR="00F23686">
        <w:rPr>
          <w:rFonts w:ascii="Times New Roman" w:hAnsi="Times New Roman" w:cs="Times New Roman"/>
          <w:sz w:val="24"/>
          <w:szCs w:val="24"/>
        </w:rPr>
        <w:t xml:space="preserve"> </w:t>
      </w:r>
      <w:r w:rsidR="00BC704B">
        <w:rPr>
          <w:rFonts w:ascii="Times New Roman" w:hAnsi="Times New Roman" w:cs="Times New Roman"/>
          <w:sz w:val="24"/>
          <w:szCs w:val="24"/>
        </w:rPr>
        <w:t xml:space="preserve">Risks were assessed </w:t>
      </w:r>
      <w:r w:rsidR="00FE2D2C">
        <w:rPr>
          <w:rFonts w:ascii="Times New Roman" w:hAnsi="Times New Roman" w:cs="Times New Roman"/>
          <w:sz w:val="24"/>
          <w:szCs w:val="24"/>
        </w:rPr>
        <w:t>by conditional logistic regression</w:t>
      </w:r>
      <w:r w:rsidR="009857C9">
        <w:rPr>
          <w:rFonts w:ascii="Times New Roman" w:hAnsi="Times New Roman" w:cs="Times New Roman"/>
          <w:sz w:val="24"/>
          <w:szCs w:val="24"/>
        </w:rPr>
        <w:t>,</w:t>
      </w:r>
      <w:r w:rsidR="00FE2D2C">
        <w:rPr>
          <w:rFonts w:ascii="Times New Roman" w:hAnsi="Times New Roman" w:cs="Times New Roman"/>
          <w:sz w:val="24"/>
          <w:szCs w:val="24"/>
        </w:rPr>
        <w:t xml:space="preserve"> </w:t>
      </w:r>
      <w:r w:rsidR="009857C9">
        <w:rPr>
          <w:rFonts w:ascii="Times New Roman" w:hAnsi="Times New Roman" w:cs="Times New Roman"/>
          <w:sz w:val="24"/>
          <w:szCs w:val="24"/>
        </w:rPr>
        <w:t>for earlier</w:t>
      </w:r>
      <w:r w:rsidR="00F421E5">
        <w:rPr>
          <w:rFonts w:ascii="Times New Roman" w:hAnsi="Times New Roman" w:cs="Times New Roman"/>
          <w:sz w:val="24"/>
          <w:szCs w:val="24"/>
        </w:rPr>
        <w:t xml:space="preserve"> </w:t>
      </w:r>
      <w:r w:rsidR="00FE2D2C">
        <w:rPr>
          <w:rFonts w:ascii="Times New Roman" w:hAnsi="Times New Roman" w:cs="Times New Roman"/>
          <w:sz w:val="24"/>
          <w:szCs w:val="24"/>
        </w:rPr>
        <w:t>record</w:t>
      </w:r>
      <w:r w:rsidR="009857C9">
        <w:rPr>
          <w:rFonts w:ascii="Times New Roman" w:hAnsi="Times New Roman" w:cs="Times New Roman"/>
          <w:sz w:val="24"/>
          <w:szCs w:val="24"/>
        </w:rPr>
        <w:t>ed</w:t>
      </w:r>
      <w:r w:rsidR="00FE2D2C">
        <w:rPr>
          <w:rFonts w:ascii="Times New Roman" w:hAnsi="Times New Roman" w:cs="Times New Roman"/>
          <w:sz w:val="24"/>
          <w:szCs w:val="24"/>
        </w:rPr>
        <w:t xml:space="preserve"> </w:t>
      </w:r>
      <w:r w:rsidR="009857C9">
        <w:rPr>
          <w:rFonts w:ascii="Times New Roman" w:hAnsi="Times New Roman" w:cs="Times New Roman"/>
          <w:sz w:val="24"/>
          <w:szCs w:val="24"/>
        </w:rPr>
        <w:t xml:space="preserve">diagnoses </w:t>
      </w:r>
      <w:r w:rsidR="00FE2D2C">
        <w:rPr>
          <w:rFonts w:ascii="Times New Roman" w:hAnsi="Times New Roman" w:cs="Times New Roman"/>
          <w:sz w:val="24"/>
          <w:szCs w:val="24"/>
        </w:rPr>
        <w:t xml:space="preserve">of </w:t>
      </w:r>
      <w:r w:rsidR="00F421E5">
        <w:rPr>
          <w:rFonts w:ascii="Times New Roman" w:hAnsi="Times New Roman" w:cs="Times New Roman"/>
          <w:sz w:val="24"/>
          <w:szCs w:val="24"/>
        </w:rPr>
        <w:t>visual impairment, common eye disease</w:t>
      </w:r>
      <w:r w:rsidR="003330BC">
        <w:rPr>
          <w:rFonts w:ascii="Times New Roman" w:hAnsi="Times New Roman" w:cs="Times New Roman"/>
          <w:sz w:val="24"/>
          <w:szCs w:val="24"/>
        </w:rPr>
        <w:t>s</w:t>
      </w:r>
      <w:r w:rsidR="00F421E5">
        <w:rPr>
          <w:rFonts w:ascii="Times New Roman" w:hAnsi="Times New Roman" w:cs="Times New Roman"/>
          <w:sz w:val="24"/>
          <w:szCs w:val="24"/>
        </w:rPr>
        <w:t xml:space="preserve">, </w:t>
      </w:r>
      <w:r w:rsidR="00F421E5" w:rsidRPr="00F44E44">
        <w:rPr>
          <w:rFonts w:ascii="Times New Roman" w:hAnsi="Times New Roman"/>
          <w:sz w:val="24"/>
          <w:szCs w:val="24"/>
        </w:rPr>
        <w:t>hearing loss</w:t>
      </w:r>
      <w:r w:rsidR="00F421E5">
        <w:rPr>
          <w:rFonts w:ascii="Times New Roman" w:hAnsi="Times New Roman"/>
          <w:sz w:val="24"/>
          <w:szCs w:val="24"/>
        </w:rPr>
        <w:t xml:space="preserve">, perforated ear drum, </w:t>
      </w:r>
      <w:r w:rsidR="00F421E5" w:rsidRPr="00F44E44">
        <w:rPr>
          <w:rFonts w:ascii="Times New Roman" w:hAnsi="Times New Roman"/>
          <w:sz w:val="24"/>
          <w:szCs w:val="24"/>
        </w:rPr>
        <w:t>non-acute otitis media</w:t>
      </w:r>
      <w:r w:rsidR="00F421E5">
        <w:rPr>
          <w:rFonts w:ascii="Times New Roman" w:hAnsi="Times New Roman"/>
          <w:sz w:val="24"/>
          <w:szCs w:val="24"/>
        </w:rPr>
        <w:t>, and disorder</w:t>
      </w:r>
      <w:r w:rsidR="009857C9">
        <w:rPr>
          <w:rFonts w:ascii="Times New Roman" w:hAnsi="Times New Roman"/>
          <w:sz w:val="24"/>
          <w:szCs w:val="24"/>
        </w:rPr>
        <w:t>s</w:t>
      </w:r>
      <w:r w:rsidR="00F421E5">
        <w:rPr>
          <w:rFonts w:ascii="Times New Roman" w:hAnsi="Times New Roman"/>
          <w:sz w:val="24"/>
          <w:szCs w:val="24"/>
        </w:rPr>
        <w:t xml:space="preserve"> of balanc</w:t>
      </w:r>
      <w:r>
        <w:rPr>
          <w:rFonts w:ascii="Times New Roman" w:hAnsi="Times New Roman"/>
          <w:sz w:val="24"/>
          <w:szCs w:val="24"/>
        </w:rPr>
        <w:t>e.</w:t>
      </w:r>
    </w:p>
    <w:p w:rsidR="00F421E5" w:rsidRDefault="00F421E5" w:rsidP="00784848">
      <w:pPr>
        <w:jc w:val="both"/>
        <w:rPr>
          <w:rFonts w:ascii="Times New Roman" w:hAnsi="Times New Roman" w:cs="Times New Roman"/>
          <w:sz w:val="24"/>
          <w:szCs w:val="24"/>
        </w:rPr>
      </w:pPr>
    </w:p>
    <w:p w:rsidR="00BC704B" w:rsidRPr="00880131" w:rsidRDefault="00BC704B" w:rsidP="00784848">
      <w:pPr>
        <w:pStyle w:val="Heading2"/>
        <w:spacing w:before="0"/>
        <w:jc w:val="both"/>
        <w:rPr>
          <w:rFonts w:ascii="Times New Roman" w:eastAsiaTheme="minorHAnsi" w:hAnsi="Times New Roman" w:cs="Times New Roman"/>
          <w:bCs w:val="0"/>
          <w:color w:val="auto"/>
          <w:sz w:val="24"/>
          <w:szCs w:val="24"/>
        </w:rPr>
      </w:pPr>
      <w:r w:rsidRPr="00880131">
        <w:rPr>
          <w:rFonts w:ascii="Times New Roman" w:eastAsiaTheme="minorHAnsi" w:hAnsi="Times New Roman" w:cs="Times New Roman"/>
          <w:bCs w:val="0"/>
          <w:color w:val="auto"/>
          <w:sz w:val="24"/>
          <w:szCs w:val="24"/>
        </w:rPr>
        <w:t>Results</w:t>
      </w:r>
    </w:p>
    <w:p w:rsidR="0035622B" w:rsidRDefault="00BC704B" w:rsidP="00784848">
      <w:pPr>
        <w:widowControl w:val="0"/>
        <w:jc w:val="both"/>
        <w:rPr>
          <w:rFonts w:ascii="Times New Roman" w:hAnsi="Times New Roman"/>
          <w:sz w:val="24"/>
          <w:szCs w:val="24"/>
        </w:rPr>
      </w:pPr>
      <w:r w:rsidRPr="00880131">
        <w:rPr>
          <w:rFonts w:ascii="Times New Roman" w:hAnsi="Times New Roman" w:cs="Times New Roman"/>
          <w:sz w:val="24"/>
          <w:szCs w:val="24"/>
        </w:rPr>
        <w:t xml:space="preserve">In </w:t>
      </w:r>
      <w:r>
        <w:rPr>
          <w:rFonts w:ascii="Times New Roman" w:hAnsi="Times New Roman" w:cs="Times New Roman"/>
          <w:sz w:val="24"/>
          <w:szCs w:val="24"/>
        </w:rPr>
        <w:t>all</w:t>
      </w:r>
      <w:r w:rsidRPr="00880131">
        <w:rPr>
          <w:rFonts w:ascii="Times New Roman" w:hAnsi="Times New Roman" w:cs="Times New Roman"/>
          <w:sz w:val="24"/>
          <w:szCs w:val="24"/>
        </w:rPr>
        <w:t xml:space="preserve">, </w:t>
      </w:r>
      <w:r>
        <w:rPr>
          <w:rFonts w:ascii="Times New Roman" w:hAnsi="Times New Roman" w:cs="Times New Roman"/>
          <w:sz w:val="24"/>
          <w:szCs w:val="24"/>
        </w:rPr>
        <w:t>1</w:t>
      </w:r>
      <w:r w:rsidR="00F421E5">
        <w:rPr>
          <w:rFonts w:ascii="Times New Roman" w:hAnsi="Times New Roman" w:cs="Times New Roman"/>
          <w:sz w:val="24"/>
          <w:szCs w:val="24"/>
        </w:rPr>
        <w:t>73</w:t>
      </w:r>
      <w:r>
        <w:rPr>
          <w:rFonts w:ascii="Times New Roman" w:hAnsi="Times New Roman" w:cs="Times New Roman"/>
          <w:sz w:val="24"/>
          <w:szCs w:val="24"/>
        </w:rPr>
        <w:t xml:space="preserve"> (2.</w:t>
      </w:r>
      <w:r w:rsidR="00F421E5">
        <w:rPr>
          <w:rFonts w:ascii="Times New Roman" w:hAnsi="Times New Roman" w:cs="Times New Roman"/>
          <w:sz w:val="24"/>
          <w:szCs w:val="24"/>
        </w:rPr>
        <w:t>2</w:t>
      </w:r>
      <w:r w:rsidRPr="00880131">
        <w:rPr>
          <w:rFonts w:ascii="Times New Roman" w:hAnsi="Times New Roman" w:cs="Times New Roman"/>
          <w:sz w:val="24"/>
          <w:szCs w:val="24"/>
        </w:rPr>
        <w:t xml:space="preserve">%) subjects </w:t>
      </w:r>
      <w:r w:rsidR="0035622B">
        <w:rPr>
          <w:rFonts w:ascii="Times New Roman" w:hAnsi="Times New Roman" w:cs="Times New Roman"/>
          <w:sz w:val="24"/>
          <w:szCs w:val="24"/>
        </w:rPr>
        <w:t xml:space="preserve">had </w:t>
      </w:r>
      <w:r w:rsidR="00F421E5">
        <w:rPr>
          <w:rFonts w:ascii="Times New Roman" w:hAnsi="Times New Roman" w:cs="Times New Roman"/>
          <w:sz w:val="24"/>
          <w:szCs w:val="24"/>
        </w:rPr>
        <w:t xml:space="preserve">an </w:t>
      </w:r>
      <w:r w:rsidR="009857C9">
        <w:rPr>
          <w:rFonts w:ascii="Times New Roman" w:hAnsi="Times New Roman" w:cs="Times New Roman"/>
          <w:sz w:val="24"/>
          <w:szCs w:val="24"/>
        </w:rPr>
        <w:t xml:space="preserve">earlier </w:t>
      </w:r>
      <w:r w:rsidR="00F421E5">
        <w:rPr>
          <w:rFonts w:ascii="Times New Roman" w:hAnsi="Times New Roman" w:cs="Times New Roman"/>
          <w:sz w:val="24"/>
          <w:szCs w:val="24"/>
        </w:rPr>
        <w:t>eye problem</w:t>
      </w:r>
      <w:r w:rsidR="0035622B">
        <w:rPr>
          <w:rFonts w:ascii="Times New Roman" w:hAnsi="Times New Roman" w:cs="Times New Roman"/>
          <w:sz w:val="24"/>
          <w:szCs w:val="24"/>
        </w:rPr>
        <w:t>,</w:t>
      </w:r>
      <w:r w:rsidR="00F421E5">
        <w:rPr>
          <w:rFonts w:ascii="Times New Roman" w:hAnsi="Times New Roman" w:cs="Times New Roman"/>
          <w:sz w:val="24"/>
          <w:szCs w:val="24"/>
        </w:rPr>
        <w:t xml:space="preserve"> </w:t>
      </w:r>
      <w:r w:rsidR="00C510B1">
        <w:rPr>
          <w:rFonts w:ascii="Times New Roman" w:hAnsi="Times New Roman"/>
          <w:sz w:val="24"/>
          <w:szCs w:val="24"/>
        </w:rPr>
        <w:t xml:space="preserve">792 </w:t>
      </w:r>
      <w:r w:rsidR="00223E77">
        <w:rPr>
          <w:rFonts w:ascii="Times New Roman" w:hAnsi="Times New Roman"/>
          <w:sz w:val="24"/>
          <w:szCs w:val="24"/>
        </w:rPr>
        <w:t>(9.9%)</w:t>
      </w:r>
      <w:r w:rsidR="00F421E5">
        <w:rPr>
          <w:rFonts w:ascii="Times New Roman" w:hAnsi="Times New Roman"/>
          <w:sz w:val="24"/>
          <w:szCs w:val="24"/>
        </w:rPr>
        <w:t xml:space="preserve"> an ear problem</w:t>
      </w:r>
      <w:r w:rsidR="00223E77" w:rsidRPr="00223E77">
        <w:rPr>
          <w:rFonts w:ascii="Times New Roman" w:hAnsi="Times New Roman"/>
          <w:sz w:val="24"/>
          <w:szCs w:val="24"/>
        </w:rPr>
        <w:t xml:space="preserve"> </w:t>
      </w:r>
      <w:r w:rsidR="00223E77">
        <w:rPr>
          <w:rFonts w:ascii="Times New Roman" w:hAnsi="Times New Roman"/>
          <w:sz w:val="24"/>
          <w:szCs w:val="24"/>
        </w:rPr>
        <w:t>(including 336 with impaired hearing and 48</w:t>
      </w:r>
      <w:r w:rsidR="003330BC">
        <w:rPr>
          <w:rFonts w:ascii="Times New Roman" w:hAnsi="Times New Roman"/>
          <w:sz w:val="24"/>
          <w:szCs w:val="24"/>
        </w:rPr>
        <w:t>2</w:t>
      </w:r>
      <w:r w:rsidR="00223E77">
        <w:rPr>
          <w:rFonts w:ascii="Times New Roman" w:hAnsi="Times New Roman"/>
          <w:sz w:val="24"/>
          <w:szCs w:val="24"/>
        </w:rPr>
        <w:t xml:space="preserve"> with non-acute otitis media), </w:t>
      </w:r>
      <w:r w:rsidR="00223E77" w:rsidRPr="00F44E44">
        <w:rPr>
          <w:rFonts w:ascii="Times New Roman" w:hAnsi="Times New Roman"/>
          <w:sz w:val="24"/>
          <w:szCs w:val="24"/>
        </w:rPr>
        <w:t xml:space="preserve">and </w:t>
      </w:r>
      <w:r w:rsidR="00223E77">
        <w:rPr>
          <w:rFonts w:ascii="Times New Roman" w:hAnsi="Times New Roman"/>
          <w:sz w:val="24"/>
          <w:szCs w:val="24"/>
        </w:rPr>
        <w:t xml:space="preserve">266 (3.3%) a </w:t>
      </w:r>
      <w:r w:rsidR="0035622B">
        <w:rPr>
          <w:rFonts w:ascii="Times New Roman" w:hAnsi="Times New Roman"/>
          <w:sz w:val="24"/>
          <w:szCs w:val="24"/>
        </w:rPr>
        <w:t>disorder</w:t>
      </w:r>
      <w:r w:rsidR="00223E77" w:rsidRPr="00F44E44">
        <w:rPr>
          <w:rFonts w:ascii="Times New Roman" w:hAnsi="Times New Roman"/>
          <w:sz w:val="24"/>
          <w:szCs w:val="24"/>
        </w:rPr>
        <w:t xml:space="preserve"> of </w:t>
      </w:r>
      <w:r w:rsidR="00223E77">
        <w:rPr>
          <w:rFonts w:ascii="Times New Roman" w:hAnsi="Times New Roman"/>
          <w:sz w:val="24"/>
          <w:szCs w:val="24"/>
        </w:rPr>
        <w:t>balance</w:t>
      </w:r>
      <w:r w:rsidR="00223E77" w:rsidRPr="00F44E44">
        <w:rPr>
          <w:rFonts w:ascii="Times New Roman" w:hAnsi="Times New Roman"/>
          <w:sz w:val="24"/>
          <w:szCs w:val="24"/>
        </w:rPr>
        <w:t>.</w:t>
      </w:r>
      <w:r w:rsidR="00223E77">
        <w:rPr>
          <w:rFonts w:ascii="Times New Roman" w:hAnsi="Times New Roman"/>
          <w:sz w:val="24"/>
          <w:szCs w:val="24"/>
        </w:rPr>
        <w:t xml:space="preserve"> </w:t>
      </w:r>
      <w:r w:rsidR="0035622B">
        <w:rPr>
          <w:rFonts w:ascii="Times New Roman" w:hAnsi="Times New Roman"/>
          <w:sz w:val="24"/>
          <w:szCs w:val="24"/>
        </w:rPr>
        <w:t xml:space="preserve">No associations were found with glaucoma, cataract, </w:t>
      </w:r>
      <w:r w:rsidR="0035622B" w:rsidRPr="00F44E44">
        <w:rPr>
          <w:rFonts w:ascii="Times New Roman" w:hAnsi="Times New Roman"/>
          <w:sz w:val="24"/>
          <w:szCs w:val="24"/>
        </w:rPr>
        <w:t xml:space="preserve">retinal </w:t>
      </w:r>
      <w:r w:rsidR="00E92E3B">
        <w:rPr>
          <w:rFonts w:ascii="Times New Roman" w:hAnsi="Times New Roman"/>
          <w:sz w:val="24"/>
          <w:szCs w:val="24"/>
        </w:rPr>
        <w:t>disorders</w:t>
      </w:r>
      <w:r w:rsidR="0035622B">
        <w:rPr>
          <w:rFonts w:ascii="Times New Roman" w:hAnsi="Times New Roman"/>
          <w:sz w:val="24"/>
          <w:szCs w:val="24"/>
        </w:rPr>
        <w:t>, or perforation of the ear drum</w:t>
      </w:r>
      <w:r w:rsidR="00914CA7">
        <w:rPr>
          <w:rFonts w:ascii="Times New Roman" w:hAnsi="Times New Roman"/>
          <w:sz w:val="24"/>
          <w:szCs w:val="24"/>
        </w:rPr>
        <w:t xml:space="preserve"> specifically</w:t>
      </w:r>
      <w:r w:rsidR="0035622B">
        <w:rPr>
          <w:rFonts w:ascii="Times New Roman" w:hAnsi="Times New Roman"/>
          <w:sz w:val="24"/>
          <w:szCs w:val="24"/>
        </w:rPr>
        <w:t xml:space="preserve">, but </w:t>
      </w:r>
      <w:r w:rsidR="00D12A13">
        <w:rPr>
          <w:rFonts w:ascii="Times New Roman" w:hAnsi="Times New Roman"/>
          <w:sz w:val="24"/>
          <w:szCs w:val="24"/>
        </w:rPr>
        <w:t xml:space="preserve">adjusted </w:t>
      </w:r>
      <w:r w:rsidR="0035622B">
        <w:rPr>
          <w:rFonts w:ascii="Times New Roman" w:hAnsi="Times New Roman"/>
          <w:sz w:val="24"/>
          <w:szCs w:val="24"/>
        </w:rPr>
        <w:t>o</w:t>
      </w:r>
      <w:r w:rsidR="00223E77">
        <w:rPr>
          <w:rFonts w:ascii="Times New Roman" w:hAnsi="Times New Roman"/>
          <w:sz w:val="24"/>
          <w:szCs w:val="24"/>
        </w:rPr>
        <w:t>dds ratios</w:t>
      </w:r>
      <w:r w:rsidR="0035622B">
        <w:rPr>
          <w:rFonts w:ascii="Times New Roman" w:hAnsi="Times New Roman"/>
          <w:sz w:val="24"/>
          <w:szCs w:val="24"/>
        </w:rPr>
        <w:t xml:space="preserve"> (ORs)</w:t>
      </w:r>
      <w:r w:rsidR="00223E77">
        <w:rPr>
          <w:rFonts w:ascii="Times New Roman" w:hAnsi="Times New Roman"/>
          <w:sz w:val="24"/>
          <w:szCs w:val="24"/>
        </w:rPr>
        <w:t xml:space="preserve"> were </w:t>
      </w:r>
      <w:r w:rsidR="00914CA7">
        <w:rPr>
          <w:rFonts w:ascii="Times New Roman" w:hAnsi="Times New Roman"/>
          <w:sz w:val="24"/>
          <w:szCs w:val="24"/>
        </w:rPr>
        <w:t xml:space="preserve">moderately </w:t>
      </w:r>
      <w:r w:rsidR="00223E77">
        <w:rPr>
          <w:rFonts w:ascii="Times New Roman" w:hAnsi="Times New Roman"/>
          <w:sz w:val="24"/>
          <w:szCs w:val="24"/>
        </w:rPr>
        <w:t>elevated</w:t>
      </w:r>
      <w:r w:rsidR="00156CFA">
        <w:rPr>
          <w:rFonts w:ascii="Times New Roman" w:hAnsi="Times New Roman"/>
          <w:sz w:val="24"/>
          <w:szCs w:val="24"/>
        </w:rPr>
        <w:t xml:space="preserve"> </w:t>
      </w:r>
      <w:r w:rsidR="00223E77">
        <w:rPr>
          <w:rFonts w:ascii="Times New Roman" w:hAnsi="Times New Roman"/>
          <w:sz w:val="24"/>
          <w:szCs w:val="24"/>
        </w:rPr>
        <w:t xml:space="preserve">for eye and ear problems </w:t>
      </w:r>
      <w:r w:rsidR="00914CA7">
        <w:rPr>
          <w:rFonts w:ascii="Times New Roman" w:hAnsi="Times New Roman"/>
          <w:sz w:val="24"/>
          <w:szCs w:val="24"/>
        </w:rPr>
        <w:t xml:space="preserve">more </w:t>
      </w:r>
      <w:r w:rsidR="00223E77">
        <w:rPr>
          <w:rFonts w:ascii="Times New Roman" w:hAnsi="Times New Roman"/>
          <w:sz w:val="24"/>
          <w:szCs w:val="24"/>
        </w:rPr>
        <w:t xml:space="preserve">generally, </w:t>
      </w:r>
      <w:r w:rsidR="00156CFA">
        <w:rPr>
          <w:rFonts w:ascii="Times New Roman" w:hAnsi="Times New Roman"/>
          <w:sz w:val="24"/>
          <w:szCs w:val="24"/>
        </w:rPr>
        <w:t xml:space="preserve">and </w:t>
      </w:r>
      <w:r w:rsidR="009857C9">
        <w:rPr>
          <w:rFonts w:ascii="Times New Roman" w:hAnsi="Times New Roman"/>
          <w:sz w:val="24"/>
          <w:szCs w:val="24"/>
        </w:rPr>
        <w:t>higher</w:t>
      </w:r>
      <w:r w:rsidR="00156CFA">
        <w:rPr>
          <w:rFonts w:ascii="Times New Roman" w:hAnsi="Times New Roman"/>
          <w:sz w:val="24"/>
          <w:szCs w:val="24"/>
        </w:rPr>
        <w:t xml:space="preserve"> </w:t>
      </w:r>
      <w:r w:rsidR="0035622B">
        <w:rPr>
          <w:rFonts w:ascii="Times New Roman" w:hAnsi="Times New Roman"/>
          <w:sz w:val="24"/>
          <w:szCs w:val="24"/>
        </w:rPr>
        <w:t>where there was a record of</w:t>
      </w:r>
      <w:r w:rsidR="00223E77">
        <w:rPr>
          <w:rFonts w:ascii="Times New Roman" w:hAnsi="Times New Roman"/>
          <w:sz w:val="24"/>
          <w:szCs w:val="24"/>
        </w:rPr>
        <w:t xml:space="preserve"> blindness or partial sight (OR 1.</w:t>
      </w:r>
      <w:r w:rsidR="00C510B1">
        <w:rPr>
          <w:rFonts w:ascii="Times New Roman" w:hAnsi="Times New Roman"/>
          <w:sz w:val="24"/>
          <w:szCs w:val="24"/>
        </w:rPr>
        <w:t>9</w:t>
      </w:r>
      <w:r w:rsidR="00362AB8">
        <w:rPr>
          <w:rFonts w:ascii="Times New Roman" w:hAnsi="Times New Roman"/>
          <w:sz w:val="24"/>
          <w:szCs w:val="24"/>
        </w:rPr>
        <w:t>0</w:t>
      </w:r>
      <w:r w:rsidR="00223E77">
        <w:rPr>
          <w:rFonts w:ascii="Times New Roman" w:hAnsi="Times New Roman"/>
          <w:sz w:val="24"/>
          <w:szCs w:val="24"/>
        </w:rPr>
        <w:t xml:space="preserve">, </w:t>
      </w:r>
      <w:r w:rsidR="00914CA7">
        <w:rPr>
          <w:rFonts w:ascii="Times New Roman" w:hAnsi="Times New Roman"/>
          <w:sz w:val="24"/>
          <w:szCs w:val="24"/>
        </w:rPr>
        <w:t xml:space="preserve">95%CI </w:t>
      </w:r>
      <w:r w:rsidR="007C216A">
        <w:rPr>
          <w:rFonts w:ascii="Times New Roman" w:hAnsi="Times New Roman"/>
          <w:sz w:val="24"/>
          <w:szCs w:val="24"/>
        </w:rPr>
        <w:t>1.05-3.</w:t>
      </w:r>
      <w:r w:rsidR="00362AB8">
        <w:rPr>
          <w:rFonts w:ascii="Times New Roman" w:hAnsi="Times New Roman"/>
          <w:sz w:val="24"/>
          <w:szCs w:val="24"/>
        </w:rPr>
        <w:t>44</w:t>
      </w:r>
      <w:r w:rsidR="00223E77">
        <w:rPr>
          <w:rFonts w:ascii="Times New Roman" w:hAnsi="Times New Roman"/>
          <w:sz w:val="24"/>
          <w:szCs w:val="24"/>
        </w:rPr>
        <w:t>)</w:t>
      </w:r>
      <w:r w:rsidR="003330BC">
        <w:rPr>
          <w:rFonts w:ascii="Times New Roman" w:hAnsi="Times New Roman"/>
          <w:sz w:val="24"/>
          <w:szCs w:val="24"/>
        </w:rPr>
        <w:t xml:space="preserve"> or</w:t>
      </w:r>
      <w:r w:rsidR="00223E77">
        <w:rPr>
          <w:rFonts w:ascii="Times New Roman" w:hAnsi="Times New Roman"/>
          <w:sz w:val="24"/>
          <w:szCs w:val="24"/>
        </w:rPr>
        <w:t xml:space="preserve"> non-acute otitis media (OR </w:t>
      </w:r>
      <w:r w:rsidR="00156CFA">
        <w:rPr>
          <w:rFonts w:ascii="Times New Roman" w:hAnsi="Times New Roman"/>
          <w:sz w:val="24"/>
          <w:szCs w:val="24"/>
        </w:rPr>
        <w:t>2.</w:t>
      </w:r>
      <w:r w:rsidR="00362AB8">
        <w:rPr>
          <w:rFonts w:ascii="Times New Roman" w:hAnsi="Times New Roman"/>
          <w:sz w:val="24"/>
          <w:szCs w:val="24"/>
        </w:rPr>
        <w:t>04</w:t>
      </w:r>
      <w:r w:rsidR="00223E77">
        <w:rPr>
          <w:rFonts w:ascii="Times New Roman" w:hAnsi="Times New Roman"/>
          <w:sz w:val="24"/>
          <w:szCs w:val="24"/>
        </w:rPr>
        <w:t xml:space="preserve">, </w:t>
      </w:r>
      <w:r w:rsidR="00914CA7">
        <w:rPr>
          <w:rFonts w:ascii="Times New Roman" w:hAnsi="Times New Roman"/>
          <w:sz w:val="24"/>
          <w:szCs w:val="24"/>
        </w:rPr>
        <w:t xml:space="preserve">95%CI </w:t>
      </w:r>
      <w:r w:rsidR="007C216A">
        <w:rPr>
          <w:rFonts w:ascii="Times New Roman" w:hAnsi="Times New Roman"/>
          <w:sz w:val="24"/>
          <w:szCs w:val="24"/>
        </w:rPr>
        <w:t>1.</w:t>
      </w:r>
      <w:r w:rsidR="00362AB8">
        <w:rPr>
          <w:rFonts w:ascii="Times New Roman" w:hAnsi="Times New Roman"/>
          <w:sz w:val="24"/>
          <w:szCs w:val="24"/>
        </w:rPr>
        <w:t>64</w:t>
      </w:r>
      <w:r w:rsidR="007C216A">
        <w:rPr>
          <w:rFonts w:ascii="Times New Roman" w:hAnsi="Times New Roman"/>
          <w:sz w:val="24"/>
          <w:szCs w:val="24"/>
        </w:rPr>
        <w:t>-2.</w:t>
      </w:r>
      <w:r w:rsidR="00362AB8">
        <w:rPr>
          <w:rFonts w:ascii="Times New Roman" w:hAnsi="Times New Roman"/>
          <w:sz w:val="24"/>
          <w:szCs w:val="24"/>
        </w:rPr>
        <w:t>54</w:t>
      </w:r>
      <w:r w:rsidR="00223E77">
        <w:rPr>
          <w:rFonts w:ascii="Times New Roman" w:hAnsi="Times New Roman"/>
          <w:sz w:val="24"/>
          <w:szCs w:val="24"/>
        </w:rPr>
        <w:t>)</w:t>
      </w:r>
      <w:r w:rsidR="0035622B">
        <w:rPr>
          <w:rFonts w:ascii="Times New Roman" w:hAnsi="Times New Roman"/>
          <w:sz w:val="24"/>
          <w:szCs w:val="24"/>
        </w:rPr>
        <w:t xml:space="preserve">. </w:t>
      </w:r>
      <w:r w:rsidR="00156CFA">
        <w:rPr>
          <w:rFonts w:ascii="Times New Roman" w:hAnsi="Times New Roman"/>
          <w:sz w:val="24"/>
          <w:szCs w:val="24"/>
        </w:rPr>
        <w:t>R</w:t>
      </w:r>
      <w:r w:rsidR="0035622B">
        <w:rPr>
          <w:rFonts w:ascii="Times New Roman" w:hAnsi="Times New Roman"/>
          <w:sz w:val="24"/>
          <w:szCs w:val="24"/>
        </w:rPr>
        <w:t xml:space="preserve">isks </w:t>
      </w:r>
      <w:r w:rsidR="00156CFA">
        <w:rPr>
          <w:rFonts w:ascii="Times New Roman" w:hAnsi="Times New Roman"/>
          <w:sz w:val="24"/>
          <w:szCs w:val="24"/>
        </w:rPr>
        <w:t xml:space="preserve">for </w:t>
      </w:r>
      <w:r w:rsidR="003330BC">
        <w:rPr>
          <w:rFonts w:ascii="Times New Roman" w:hAnsi="Times New Roman"/>
          <w:sz w:val="24"/>
          <w:szCs w:val="24"/>
        </w:rPr>
        <w:t>non-acute otitis media and for disorders of balance</w:t>
      </w:r>
      <w:r w:rsidR="00156CFA">
        <w:rPr>
          <w:rFonts w:ascii="Times New Roman" w:hAnsi="Times New Roman"/>
          <w:sz w:val="24"/>
          <w:szCs w:val="24"/>
        </w:rPr>
        <w:t xml:space="preserve"> </w:t>
      </w:r>
      <w:r w:rsidR="0035622B">
        <w:rPr>
          <w:rFonts w:ascii="Times New Roman" w:hAnsi="Times New Roman"/>
          <w:sz w:val="24"/>
          <w:szCs w:val="24"/>
        </w:rPr>
        <w:t xml:space="preserve">were </w:t>
      </w:r>
      <w:r w:rsidR="009857C9">
        <w:rPr>
          <w:rFonts w:ascii="Times New Roman" w:hAnsi="Times New Roman"/>
          <w:sz w:val="24"/>
          <w:szCs w:val="24"/>
        </w:rPr>
        <w:t xml:space="preserve">particularly </w:t>
      </w:r>
      <w:r w:rsidR="00156CFA">
        <w:rPr>
          <w:rFonts w:ascii="Times New Roman" w:hAnsi="Times New Roman"/>
          <w:sz w:val="24"/>
          <w:szCs w:val="24"/>
        </w:rPr>
        <w:t>elevated</w:t>
      </w:r>
      <w:r w:rsidR="0035622B">
        <w:rPr>
          <w:rFonts w:ascii="Times New Roman" w:hAnsi="Times New Roman"/>
          <w:sz w:val="24"/>
          <w:szCs w:val="24"/>
        </w:rPr>
        <w:t xml:space="preserve"> </w:t>
      </w:r>
      <w:r w:rsidR="00156CFA">
        <w:rPr>
          <w:rFonts w:ascii="Times New Roman" w:hAnsi="Times New Roman"/>
          <w:sz w:val="24"/>
          <w:szCs w:val="24"/>
        </w:rPr>
        <w:t>for</w:t>
      </w:r>
      <w:r w:rsidR="0035622B">
        <w:rPr>
          <w:rFonts w:ascii="Times New Roman" w:hAnsi="Times New Roman"/>
          <w:sz w:val="24"/>
          <w:szCs w:val="24"/>
        </w:rPr>
        <w:t xml:space="preserve"> consultations</w:t>
      </w:r>
      <w:r w:rsidR="00156CFA">
        <w:rPr>
          <w:rFonts w:ascii="Times New Roman" w:hAnsi="Times New Roman"/>
          <w:sz w:val="24"/>
          <w:szCs w:val="24"/>
        </w:rPr>
        <w:t xml:space="preserve"> </w:t>
      </w:r>
      <w:r w:rsidR="0035622B">
        <w:rPr>
          <w:rFonts w:ascii="Times New Roman" w:hAnsi="Times New Roman"/>
          <w:sz w:val="24"/>
          <w:szCs w:val="24"/>
        </w:rPr>
        <w:t>in the</w:t>
      </w:r>
      <w:r w:rsidR="0035622B" w:rsidRPr="0035622B">
        <w:rPr>
          <w:rFonts w:ascii="Times New Roman" w:hAnsi="Times New Roman"/>
          <w:sz w:val="24"/>
          <w:szCs w:val="24"/>
        </w:rPr>
        <w:t xml:space="preserve"> </w:t>
      </w:r>
      <w:r w:rsidR="0035622B">
        <w:rPr>
          <w:rFonts w:ascii="Times New Roman" w:hAnsi="Times New Roman"/>
          <w:sz w:val="24"/>
          <w:szCs w:val="24"/>
        </w:rPr>
        <w:t>12 months pre</w:t>
      </w:r>
      <w:r w:rsidR="006A60E7">
        <w:rPr>
          <w:rFonts w:ascii="Times New Roman" w:hAnsi="Times New Roman"/>
          <w:sz w:val="24"/>
          <w:szCs w:val="24"/>
        </w:rPr>
        <w:t xml:space="preserve">ceding injury consultation (OR </w:t>
      </w:r>
      <w:r w:rsidR="0035622B">
        <w:rPr>
          <w:rFonts w:ascii="Times New Roman" w:hAnsi="Times New Roman"/>
          <w:sz w:val="24"/>
          <w:szCs w:val="24"/>
        </w:rPr>
        <w:t>2.70</w:t>
      </w:r>
      <w:r w:rsidR="006A60E7">
        <w:rPr>
          <w:rFonts w:ascii="Times New Roman" w:hAnsi="Times New Roman"/>
          <w:sz w:val="24"/>
          <w:szCs w:val="24"/>
        </w:rPr>
        <w:t>, 95%CI</w:t>
      </w:r>
      <w:r w:rsidR="0035622B">
        <w:rPr>
          <w:rFonts w:ascii="Times New Roman" w:hAnsi="Times New Roman"/>
          <w:sz w:val="24"/>
          <w:szCs w:val="24"/>
        </w:rPr>
        <w:t xml:space="preserve"> </w:t>
      </w:r>
      <w:r w:rsidR="00156CFA" w:rsidRPr="00B56863">
        <w:rPr>
          <w:rFonts w:ascii="Times New Roman" w:hAnsi="Times New Roman"/>
          <w:sz w:val="24"/>
          <w:szCs w:val="24"/>
        </w:rPr>
        <w:t>1.</w:t>
      </w:r>
      <w:r w:rsidR="00E33EA6">
        <w:rPr>
          <w:rFonts w:ascii="Times New Roman" w:hAnsi="Times New Roman"/>
          <w:sz w:val="24"/>
          <w:szCs w:val="24"/>
        </w:rPr>
        <w:t>58</w:t>
      </w:r>
      <w:r w:rsidR="00156CFA" w:rsidRPr="00B56863">
        <w:rPr>
          <w:rFonts w:ascii="Times New Roman" w:hAnsi="Times New Roman"/>
          <w:sz w:val="24"/>
          <w:szCs w:val="24"/>
        </w:rPr>
        <w:t>-4.62</w:t>
      </w:r>
      <w:r w:rsidR="006A60E7">
        <w:rPr>
          <w:rFonts w:ascii="Times New Roman" w:hAnsi="Times New Roman"/>
          <w:sz w:val="24"/>
          <w:szCs w:val="24"/>
        </w:rPr>
        <w:t xml:space="preserve"> and 1.</w:t>
      </w:r>
      <w:r w:rsidR="00362AB8">
        <w:rPr>
          <w:rFonts w:ascii="Times New Roman" w:hAnsi="Times New Roman"/>
          <w:sz w:val="24"/>
          <w:szCs w:val="24"/>
        </w:rPr>
        <w:t>77</w:t>
      </w:r>
      <w:r w:rsidR="00156CFA">
        <w:rPr>
          <w:rFonts w:ascii="Times New Roman" w:hAnsi="Times New Roman"/>
          <w:sz w:val="24"/>
          <w:szCs w:val="24"/>
        </w:rPr>
        <w:t>, 95%CI</w:t>
      </w:r>
      <w:r w:rsidR="0035622B">
        <w:rPr>
          <w:rFonts w:ascii="Times New Roman" w:hAnsi="Times New Roman"/>
          <w:sz w:val="24"/>
          <w:szCs w:val="24"/>
        </w:rPr>
        <w:t xml:space="preserve"> </w:t>
      </w:r>
      <w:r w:rsidR="00156CFA" w:rsidRPr="00DE13D2">
        <w:rPr>
          <w:rFonts w:ascii="Times New Roman" w:hAnsi="Times New Roman"/>
          <w:sz w:val="24"/>
          <w:szCs w:val="24"/>
        </w:rPr>
        <w:t>1.</w:t>
      </w:r>
      <w:r w:rsidR="00362AB8" w:rsidRPr="00DE13D2">
        <w:rPr>
          <w:rFonts w:ascii="Times New Roman" w:hAnsi="Times New Roman"/>
          <w:sz w:val="24"/>
          <w:szCs w:val="24"/>
        </w:rPr>
        <w:t>0</w:t>
      </w:r>
      <w:r w:rsidR="00362AB8">
        <w:rPr>
          <w:rFonts w:ascii="Times New Roman" w:hAnsi="Times New Roman"/>
          <w:sz w:val="24"/>
          <w:szCs w:val="24"/>
        </w:rPr>
        <w:t>1</w:t>
      </w:r>
      <w:r w:rsidR="00156CFA" w:rsidRPr="00DE13D2">
        <w:rPr>
          <w:rFonts w:ascii="Times New Roman" w:hAnsi="Times New Roman"/>
          <w:sz w:val="24"/>
          <w:szCs w:val="24"/>
        </w:rPr>
        <w:t>-3.</w:t>
      </w:r>
      <w:r w:rsidR="00362AB8" w:rsidRPr="00DE13D2">
        <w:rPr>
          <w:rFonts w:ascii="Times New Roman" w:hAnsi="Times New Roman"/>
          <w:sz w:val="24"/>
          <w:szCs w:val="24"/>
        </w:rPr>
        <w:t>1</w:t>
      </w:r>
      <w:r w:rsidR="00362AB8">
        <w:rPr>
          <w:rFonts w:ascii="Times New Roman" w:hAnsi="Times New Roman"/>
          <w:sz w:val="24"/>
          <w:szCs w:val="24"/>
        </w:rPr>
        <w:t xml:space="preserve">1 </w:t>
      </w:r>
      <w:r w:rsidR="0035622B">
        <w:rPr>
          <w:rFonts w:ascii="Times New Roman" w:hAnsi="Times New Roman"/>
          <w:sz w:val="24"/>
          <w:szCs w:val="24"/>
        </w:rPr>
        <w:t>respectively).</w:t>
      </w:r>
    </w:p>
    <w:p w:rsidR="00F421E5" w:rsidRDefault="00F421E5" w:rsidP="00784848">
      <w:pPr>
        <w:widowControl w:val="0"/>
        <w:jc w:val="both"/>
        <w:rPr>
          <w:rFonts w:ascii="Times New Roman" w:hAnsi="Times New Roman" w:cs="Times New Roman"/>
          <w:sz w:val="24"/>
          <w:szCs w:val="24"/>
        </w:rPr>
      </w:pPr>
    </w:p>
    <w:p w:rsidR="00BC704B" w:rsidRPr="00DE39D6" w:rsidRDefault="00BC704B" w:rsidP="00784848">
      <w:pPr>
        <w:jc w:val="both"/>
        <w:rPr>
          <w:rFonts w:ascii="Times New Roman" w:hAnsi="Times New Roman" w:cs="Times New Roman"/>
          <w:b/>
          <w:sz w:val="24"/>
          <w:szCs w:val="24"/>
        </w:rPr>
      </w:pPr>
      <w:r w:rsidRPr="00DE39D6">
        <w:rPr>
          <w:rFonts w:ascii="Times New Roman" w:hAnsi="Times New Roman" w:cs="Times New Roman"/>
          <w:b/>
          <w:sz w:val="24"/>
          <w:szCs w:val="24"/>
        </w:rPr>
        <w:t>Conclusions</w:t>
      </w:r>
    </w:p>
    <w:p w:rsidR="00BC704B" w:rsidRDefault="00223E77" w:rsidP="00784848">
      <w:pPr>
        <w:jc w:val="both"/>
        <w:rPr>
          <w:rFonts w:ascii="Times New Roman" w:hAnsi="Times New Roman" w:cs="Times New Roman"/>
          <w:sz w:val="24"/>
          <w:szCs w:val="24"/>
        </w:rPr>
      </w:pPr>
      <w:r>
        <w:rPr>
          <w:rFonts w:ascii="Times New Roman" w:hAnsi="Times New Roman"/>
          <w:sz w:val="24"/>
          <w:szCs w:val="24"/>
        </w:rPr>
        <w:t xml:space="preserve">Problems of vision, impairments of hearing, and disorders of balance </w:t>
      </w:r>
      <w:r w:rsidR="003330BC">
        <w:rPr>
          <w:rFonts w:ascii="Times New Roman" w:hAnsi="Times New Roman"/>
          <w:sz w:val="24"/>
          <w:szCs w:val="24"/>
        </w:rPr>
        <w:t xml:space="preserve">all </w:t>
      </w:r>
      <w:r w:rsidR="00FE2D2C">
        <w:rPr>
          <w:rFonts w:ascii="Times New Roman" w:hAnsi="Times New Roman"/>
          <w:sz w:val="24"/>
          <w:szCs w:val="24"/>
        </w:rPr>
        <w:t xml:space="preserve">may carry moderately </w:t>
      </w:r>
      <w:r>
        <w:rPr>
          <w:rFonts w:ascii="Times New Roman" w:hAnsi="Times New Roman"/>
          <w:sz w:val="24"/>
          <w:szCs w:val="24"/>
        </w:rPr>
        <w:t>increase</w:t>
      </w:r>
      <w:r w:rsidR="00FE2D2C">
        <w:rPr>
          <w:rFonts w:ascii="Times New Roman" w:hAnsi="Times New Roman"/>
          <w:sz w:val="24"/>
          <w:szCs w:val="24"/>
        </w:rPr>
        <w:t>d</w:t>
      </w:r>
      <w:r>
        <w:rPr>
          <w:rFonts w:ascii="Times New Roman" w:hAnsi="Times New Roman"/>
          <w:sz w:val="24"/>
          <w:szCs w:val="24"/>
        </w:rPr>
        <w:t xml:space="preserve"> risks of occupational injury.</w:t>
      </w:r>
    </w:p>
    <w:p w:rsidR="00946A81" w:rsidRDefault="00946A81">
      <w:pPr>
        <w:rPr>
          <w:rFonts w:ascii="Times New Roman" w:hAnsi="Times New Roman" w:cs="Times New Roman"/>
          <w:b/>
          <w:sz w:val="24"/>
          <w:szCs w:val="24"/>
        </w:rPr>
      </w:pPr>
      <w:r>
        <w:rPr>
          <w:rFonts w:ascii="Times New Roman" w:hAnsi="Times New Roman" w:cs="Times New Roman"/>
          <w:b/>
          <w:sz w:val="24"/>
          <w:szCs w:val="24"/>
        </w:rPr>
        <w:br w:type="page"/>
      </w:r>
    </w:p>
    <w:p w:rsidR="001F3B3A" w:rsidRDefault="001F3B3A">
      <w:pPr>
        <w:rPr>
          <w:rFonts w:ascii="Times New Roman" w:hAnsi="Times New Roman" w:cs="Times New Roman"/>
          <w:b/>
          <w:sz w:val="24"/>
          <w:szCs w:val="24"/>
        </w:rPr>
      </w:pPr>
      <w:r>
        <w:rPr>
          <w:rFonts w:ascii="Times New Roman" w:hAnsi="Times New Roman" w:cs="Times New Roman"/>
          <w:b/>
          <w:sz w:val="24"/>
          <w:szCs w:val="24"/>
        </w:rPr>
        <w:lastRenderedPageBreak/>
        <w:t>What is known</w:t>
      </w:r>
      <w:r w:rsidR="00637709">
        <w:rPr>
          <w:rFonts w:ascii="Times New Roman" w:hAnsi="Times New Roman" w:cs="Times New Roman"/>
          <w:b/>
          <w:sz w:val="24"/>
          <w:szCs w:val="24"/>
        </w:rPr>
        <w:t>:</w:t>
      </w:r>
    </w:p>
    <w:p w:rsidR="00637709" w:rsidRDefault="00637709" w:rsidP="00637709">
      <w:pPr>
        <w:rPr>
          <w:rFonts w:ascii="Times New Roman" w:hAnsi="Times New Roman" w:cs="Times New Roman"/>
          <w:sz w:val="24"/>
          <w:szCs w:val="24"/>
        </w:rPr>
      </w:pPr>
      <w:r>
        <w:rPr>
          <w:rFonts w:ascii="Times New Roman" w:hAnsi="Times New Roman" w:cs="Times New Roman"/>
          <w:sz w:val="24"/>
          <w:szCs w:val="24"/>
        </w:rPr>
        <w:t>Sensory impairments</w:t>
      </w:r>
      <w:r w:rsidRPr="00496F2A">
        <w:rPr>
          <w:rFonts w:ascii="Times New Roman" w:hAnsi="Times New Roman" w:cs="Times New Roman"/>
          <w:sz w:val="24"/>
          <w:szCs w:val="24"/>
        </w:rPr>
        <w:t xml:space="preserve"> </w:t>
      </w:r>
      <w:r>
        <w:rPr>
          <w:rFonts w:ascii="Times New Roman" w:hAnsi="Times New Roman" w:cs="Times New Roman"/>
          <w:sz w:val="24"/>
          <w:szCs w:val="24"/>
        </w:rPr>
        <w:t>have been linked with occupational</w:t>
      </w:r>
      <w:r w:rsidRPr="00496F2A">
        <w:rPr>
          <w:rFonts w:ascii="Times New Roman" w:hAnsi="Times New Roman" w:cs="Times New Roman"/>
          <w:sz w:val="24"/>
          <w:szCs w:val="24"/>
        </w:rPr>
        <w:t xml:space="preserve"> injury</w:t>
      </w:r>
      <w:r w:rsidRPr="00293DE2">
        <w:rPr>
          <w:rFonts w:ascii="Times New Roman" w:hAnsi="Times New Roman" w:cs="Times New Roman"/>
          <w:sz w:val="24"/>
          <w:szCs w:val="24"/>
        </w:rPr>
        <w:t xml:space="preserve"> </w:t>
      </w:r>
      <w:r>
        <w:rPr>
          <w:rFonts w:ascii="Times New Roman" w:hAnsi="Times New Roman" w:cs="Times New Roman"/>
          <w:sz w:val="24"/>
          <w:szCs w:val="24"/>
        </w:rPr>
        <w:t>in earlier studies</w:t>
      </w:r>
      <w:r w:rsidRPr="00496F2A">
        <w:rPr>
          <w:rFonts w:ascii="Times New Roman" w:hAnsi="Times New Roman" w:cs="Times New Roman"/>
          <w:sz w:val="24"/>
          <w:szCs w:val="24"/>
        </w:rPr>
        <w:t xml:space="preserve">, </w:t>
      </w:r>
      <w:r>
        <w:rPr>
          <w:rFonts w:ascii="Times New Roman" w:hAnsi="Times New Roman" w:cs="Times New Roman"/>
          <w:sz w:val="24"/>
          <w:szCs w:val="24"/>
        </w:rPr>
        <w:t>but</w:t>
      </w:r>
      <w:r w:rsidRPr="00496F2A">
        <w:rPr>
          <w:rFonts w:ascii="Times New Roman" w:hAnsi="Times New Roman" w:cs="Times New Roman"/>
          <w:sz w:val="24"/>
          <w:szCs w:val="24"/>
        </w:rPr>
        <w:t xml:space="preserve"> </w:t>
      </w:r>
      <w:r>
        <w:rPr>
          <w:rFonts w:ascii="Times New Roman" w:hAnsi="Times New Roman" w:cs="Times New Roman"/>
          <w:sz w:val="24"/>
          <w:szCs w:val="24"/>
        </w:rPr>
        <w:t>failure to</w:t>
      </w:r>
      <w:r w:rsidRPr="00496F2A">
        <w:rPr>
          <w:rFonts w:ascii="Times New Roman" w:hAnsi="Times New Roman" w:cs="Times New Roman"/>
          <w:sz w:val="24"/>
          <w:szCs w:val="24"/>
        </w:rPr>
        <w:t xml:space="preserve"> measure exposures and outcomes independently</w:t>
      </w:r>
      <w:r>
        <w:rPr>
          <w:rFonts w:ascii="Times New Roman" w:hAnsi="Times New Roman" w:cs="Times New Roman"/>
          <w:sz w:val="24"/>
          <w:szCs w:val="24"/>
        </w:rPr>
        <w:t>, or to establish their relative timings, may have led to risks being over-estimated; little is known about problems of balance and occupational</w:t>
      </w:r>
      <w:r w:rsidRPr="00496F2A">
        <w:rPr>
          <w:rFonts w:ascii="Times New Roman" w:hAnsi="Times New Roman" w:cs="Times New Roman"/>
          <w:sz w:val="24"/>
          <w:szCs w:val="24"/>
        </w:rPr>
        <w:t xml:space="preserve"> injury</w:t>
      </w:r>
      <w:r>
        <w:rPr>
          <w:rFonts w:ascii="Times New Roman" w:hAnsi="Times New Roman" w:cs="Times New Roman"/>
          <w:sz w:val="24"/>
          <w:szCs w:val="24"/>
        </w:rPr>
        <w:t xml:space="preserve"> risk.</w:t>
      </w:r>
    </w:p>
    <w:p w:rsidR="00637709" w:rsidRDefault="00637709" w:rsidP="00637709">
      <w:pPr>
        <w:rPr>
          <w:rFonts w:ascii="Times New Roman" w:hAnsi="Times New Roman" w:cs="Times New Roman"/>
          <w:sz w:val="24"/>
          <w:szCs w:val="24"/>
        </w:rPr>
      </w:pPr>
    </w:p>
    <w:p w:rsidR="00637709" w:rsidRDefault="00637709" w:rsidP="00637709">
      <w:pPr>
        <w:rPr>
          <w:rFonts w:ascii="Times New Roman" w:hAnsi="Times New Roman" w:cs="Times New Roman"/>
          <w:sz w:val="24"/>
          <w:szCs w:val="24"/>
        </w:rPr>
      </w:pPr>
      <w:r w:rsidRPr="00293DE2">
        <w:rPr>
          <w:rFonts w:ascii="Times New Roman" w:hAnsi="Times New Roman" w:cs="Times New Roman"/>
          <w:b/>
          <w:sz w:val="24"/>
          <w:szCs w:val="24"/>
        </w:rPr>
        <w:t>What this study adds</w:t>
      </w:r>
      <w:r>
        <w:rPr>
          <w:rFonts w:ascii="Times New Roman" w:hAnsi="Times New Roman" w:cs="Times New Roman"/>
          <w:sz w:val="24"/>
          <w:szCs w:val="24"/>
        </w:rPr>
        <w:t>:</w:t>
      </w:r>
    </w:p>
    <w:p w:rsidR="00637709" w:rsidRDefault="00637709" w:rsidP="00637709">
      <w:pPr>
        <w:rPr>
          <w:rFonts w:ascii="Times New Roman" w:hAnsi="Times New Roman" w:cs="Times New Roman"/>
          <w:sz w:val="24"/>
          <w:szCs w:val="24"/>
        </w:rPr>
      </w:pPr>
      <w:r>
        <w:rPr>
          <w:rFonts w:ascii="Times New Roman" w:hAnsi="Times New Roman" w:cs="Times New Roman"/>
          <w:sz w:val="24"/>
          <w:szCs w:val="24"/>
        </w:rPr>
        <w:t xml:space="preserve">Using a database that overcame these problems by focussing on events that preceded medical injury consultation, we found that </w:t>
      </w:r>
      <w:r>
        <w:rPr>
          <w:rFonts w:ascii="Times New Roman" w:hAnsi="Times New Roman"/>
          <w:sz w:val="24"/>
          <w:szCs w:val="24"/>
        </w:rPr>
        <w:t>problems of vision, impairments of hearing, and disorders of balance all appear to carry moderately increased risks of occupational injury.</w:t>
      </w:r>
    </w:p>
    <w:p w:rsidR="00637709" w:rsidRDefault="00637709" w:rsidP="00637709">
      <w:pPr>
        <w:rPr>
          <w:rFonts w:ascii="Times New Roman" w:hAnsi="Times New Roman" w:cs="Times New Roman"/>
          <w:sz w:val="24"/>
          <w:szCs w:val="24"/>
        </w:rPr>
      </w:pPr>
    </w:p>
    <w:p w:rsidR="00BC704B" w:rsidRDefault="00BC704B">
      <w:pPr>
        <w:rPr>
          <w:rFonts w:ascii="Times New Roman" w:hAnsi="Times New Roman" w:cs="Times New Roman"/>
          <w:b/>
          <w:sz w:val="24"/>
          <w:szCs w:val="24"/>
        </w:rPr>
      </w:pPr>
      <w:r>
        <w:rPr>
          <w:rFonts w:ascii="Times New Roman" w:hAnsi="Times New Roman" w:cs="Times New Roman"/>
          <w:b/>
          <w:sz w:val="24"/>
          <w:szCs w:val="24"/>
        </w:rPr>
        <w:br w:type="page"/>
      </w:r>
    </w:p>
    <w:p w:rsidR="006076FE" w:rsidRPr="00F44E44" w:rsidRDefault="006076FE" w:rsidP="006076FE">
      <w:pPr>
        <w:autoSpaceDE w:val="0"/>
        <w:autoSpaceDN w:val="0"/>
        <w:adjustRightInd w:val="0"/>
        <w:rPr>
          <w:rFonts w:ascii="Times New Roman" w:hAnsi="Times New Roman" w:cs="Times New Roman"/>
          <w:b/>
          <w:sz w:val="24"/>
          <w:szCs w:val="24"/>
        </w:rPr>
      </w:pPr>
      <w:r w:rsidRPr="00F44E44">
        <w:rPr>
          <w:rFonts w:ascii="Times New Roman" w:hAnsi="Times New Roman" w:cs="Times New Roman"/>
          <w:b/>
          <w:sz w:val="24"/>
          <w:szCs w:val="24"/>
        </w:rPr>
        <w:lastRenderedPageBreak/>
        <w:t>Background</w:t>
      </w:r>
    </w:p>
    <w:p w:rsidR="006076FE" w:rsidRPr="00F44E44" w:rsidRDefault="00DA46B8" w:rsidP="00F44E44">
      <w:pPr>
        <w:jc w:val="both"/>
        <w:rPr>
          <w:rFonts w:ascii="Times New Roman" w:hAnsi="Times New Roman" w:cs="Times New Roman"/>
          <w:sz w:val="24"/>
          <w:szCs w:val="24"/>
        </w:rPr>
      </w:pPr>
      <w:r w:rsidRPr="00F44E44">
        <w:rPr>
          <w:rFonts w:ascii="Times New Roman" w:hAnsi="Times New Roman" w:cs="Times New Roman"/>
          <w:sz w:val="24"/>
          <w:szCs w:val="24"/>
        </w:rPr>
        <w:t>About 2.5% of the UK</w:t>
      </w:r>
      <w:r w:rsidR="003936B5">
        <w:rPr>
          <w:rFonts w:ascii="Times New Roman" w:hAnsi="Times New Roman" w:cs="Times New Roman"/>
          <w:sz w:val="24"/>
          <w:szCs w:val="24"/>
        </w:rPr>
        <w:t>’s</w:t>
      </w:r>
      <w:r w:rsidRPr="00F44E44">
        <w:rPr>
          <w:rFonts w:ascii="Times New Roman" w:hAnsi="Times New Roman" w:cs="Times New Roman"/>
          <w:sz w:val="24"/>
          <w:szCs w:val="24"/>
        </w:rPr>
        <w:t xml:space="preserve"> population ha</w:t>
      </w:r>
      <w:r w:rsidR="00BC3A84">
        <w:rPr>
          <w:rFonts w:ascii="Times New Roman" w:hAnsi="Times New Roman" w:cs="Times New Roman"/>
          <w:sz w:val="24"/>
          <w:szCs w:val="24"/>
        </w:rPr>
        <w:t>s</w:t>
      </w:r>
      <w:r w:rsidRPr="00F44E44">
        <w:rPr>
          <w:rFonts w:ascii="Times New Roman" w:hAnsi="Times New Roman" w:cs="Times New Roman"/>
          <w:sz w:val="24"/>
          <w:szCs w:val="24"/>
        </w:rPr>
        <w:t xml:space="preserve"> some degree of visual impairment that is not correctable by refraction</w:t>
      </w:r>
      <w:r w:rsidR="00AB5096" w:rsidRPr="00F44E44">
        <w:rPr>
          <w:rFonts w:ascii="Times New Roman" w:hAnsi="Times New Roman" w:cs="Times New Roman"/>
          <w:sz w:val="24"/>
          <w:szCs w:val="24"/>
        </w:rPr>
        <w:t>,</w:t>
      </w:r>
      <w:r w:rsidRPr="00F44E44">
        <w:rPr>
          <w:rFonts w:ascii="Times New Roman" w:hAnsi="Times New Roman" w:cs="Times New Roman"/>
          <w:sz w:val="24"/>
          <w:szCs w:val="24"/>
        </w:rPr>
        <w:t xml:space="preserve"> </w:t>
      </w:r>
      <w:r w:rsidR="00492E29" w:rsidRPr="00F44E44">
        <w:rPr>
          <w:rFonts w:ascii="Times New Roman" w:hAnsi="Times New Roman" w:cs="Times New Roman"/>
          <w:sz w:val="24"/>
          <w:szCs w:val="24"/>
        </w:rPr>
        <w:t xml:space="preserve">of </w:t>
      </w:r>
      <w:r w:rsidR="004C7769">
        <w:rPr>
          <w:rFonts w:ascii="Times New Roman" w:hAnsi="Times New Roman" w:cs="Times New Roman"/>
          <w:sz w:val="24"/>
          <w:szCs w:val="24"/>
        </w:rPr>
        <w:t>which</w:t>
      </w:r>
      <w:r w:rsidR="00492E29" w:rsidRPr="00F44E44">
        <w:rPr>
          <w:rFonts w:ascii="Times New Roman" w:hAnsi="Times New Roman" w:cs="Times New Roman"/>
          <w:sz w:val="24"/>
          <w:szCs w:val="24"/>
        </w:rPr>
        <w:t xml:space="preserve"> </w:t>
      </w:r>
      <w:r w:rsidRPr="00F44E44">
        <w:rPr>
          <w:rFonts w:ascii="Times New Roman" w:hAnsi="Times New Roman" w:cs="Times New Roman"/>
          <w:sz w:val="24"/>
          <w:szCs w:val="24"/>
        </w:rPr>
        <w:t xml:space="preserve">two-thirds </w:t>
      </w:r>
      <w:r w:rsidR="004C7769">
        <w:rPr>
          <w:rFonts w:ascii="Times New Roman" w:hAnsi="Times New Roman" w:cs="Times New Roman"/>
          <w:sz w:val="24"/>
          <w:szCs w:val="24"/>
        </w:rPr>
        <w:t>is sufficiently</w:t>
      </w:r>
      <w:r w:rsidRPr="00F44E44">
        <w:rPr>
          <w:rFonts w:ascii="Times New Roman" w:hAnsi="Times New Roman" w:cs="Times New Roman"/>
          <w:sz w:val="24"/>
          <w:szCs w:val="24"/>
        </w:rPr>
        <w:t xml:space="preserve"> severe to qualify for </w:t>
      </w:r>
      <w:r w:rsidR="006076FE" w:rsidRPr="00F44E44">
        <w:rPr>
          <w:rFonts w:ascii="Times New Roman" w:hAnsi="Times New Roman" w:cs="Times New Roman"/>
          <w:sz w:val="24"/>
          <w:szCs w:val="24"/>
        </w:rPr>
        <w:t xml:space="preserve">legal registration as </w:t>
      </w:r>
      <w:r w:rsidR="00492E29" w:rsidRPr="00F44E44">
        <w:rPr>
          <w:rFonts w:ascii="Times New Roman" w:hAnsi="Times New Roman" w:cs="Times New Roman"/>
          <w:sz w:val="24"/>
          <w:szCs w:val="24"/>
        </w:rPr>
        <w:t>‘</w:t>
      </w:r>
      <w:r w:rsidR="006076FE" w:rsidRPr="00F44E44">
        <w:rPr>
          <w:rFonts w:ascii="Times New Roman" w:hAnsi="Times New Roman" w:cs="Times New Roman"/>
          <w:sz w:val="24"/>
          <w:szCs w:val="24"/>
        </w:rPr>
        <w:t>severely sight impaired</w:t>
      </w:r>
      <w:r w:rsidR="00492E29" w:rsidRPr="00F44E44">
        <w:rPr>
          <w:rFonts w:ascii="Times New Roman" w:hAnsi="Times New Roman" w:cs="Times New Roman"/>
          <w:sz w:val="24"/>
          <w:szCs w:val="24"/>
        </w:rPr>
        <w:t>’</w:t>
      </w:r>
      <w:r w:rsidR="006076FE" w:rsidRPr="00F44E44">
        <w:rPr>
          <w:rFonts w:ascii="Times New Roman" w:hAnsi="Times New Roman" w:cs="Times New Roman"/>
          <w:sz w:val="24"/>
          <w:szCs w:val="24"/>
        </w:rPr>
        <w:t xml:space="preserve"> (blind) or </w:t>
      </w:r>
      <w:r w:rsidR="00492E29" w:rsidRPr="00F44E44">
        <w:rPr>
          <w:rFonts w:ascii="Times New Roman" w:hAnsi="Times New Roman" w:cs="Times New Roman"/>
          <w:sz w:val="24"/>
          <w:szCs w:val="24"/>
        </w:rPr>
        <w:t>‘</w:t>
      </w:r>
      <w:r w:rsidR="006076FE" w:rsidRPr="00F44E44">
        <w:rPr>
          <w:rFonts w:ascii="Times New Roman" w:hAnsi="Times New Roman" w:cs="Times New Roman"/>
          <w:sz w:val="24"/>
          <w:szCs w:val="24"/>
        </w:rPr>
        <w:t>sight impaired</w:t>
      </w:r>
      <w:r w:rsidR="00492E29" w:rsidRPr="00F44E44">
        <w:rPr>
          <w:rFonts w:ascii="Times New Roman" w:hAnsi="Times New Roman" w:cs="Times New Roman"/>
          <w:sz w:val="24"/>
          <w:szCs w:val="24"/>
        </w:rPr>
        <w:t>’</w:t>
      </w:r>
      <w:r w:rsidR="006076FE" w:rsidRPr="00F44E44">
        <w:rPr>
          <w:rFonts w:ascii="Times New Roman" w:hAnsi="Times New Roman" w:cs="Times New Roman"/>
          <w:sz w:val="24"/>
          <w:szCs w:val="24"/>
        </w:rPr>
        <w:t xml:space="preserve"> (partially sighted) </w:t>
      </w:r>
      <w:r w:rsidRPr="00F44E44">
        <w:rPr>
          <w:rFonts w:ascii="Times New Roman" w:hAnsi="Times New Roman" w:cs="Times New Roman"/>
          <w:sz w:val="24"/>
          <w:szCs w:val="24"/>
        </w:rPr>
        <w:t xml:space="preserve">[1]. </w:t>
      </w:r>
      <w:r w:rsidR="00AB5096" w:rsidRPr="00F44E44">
        <w:rPr>
          <w:rFonts w:ascii="Times New Roman" w:hAnsi="Times New Roman" w:cs="Times New Roman"/>
          <w:sz w:val="24"/>
          <w:szCs w:val="24"/>
        </w:rPr>
        <w:t>In</w:t>
      </w:r>
      <w:r w:rsidRPr="00F44E44">
        <w:rPr>
          <w:rFonts w:ascii="Times New Roman" w:hAnsi="Times New Roman" w:cs="Times New Roman"/>
          <w:sz w:val="24"/>
          <w:szCs w:val="24"/>
        </w:rPr>
        <w:t xml:space="preserve"> 2006, over 364,000 people were</w:t>
      </w:r>
      <w:r w:rsidR="006076FE" w:rsidRPr="00F44E44">
        <w:rPr>
          <w:rFonts w:ascii="Times New Roman" w:hAnsi="Times New Roman" w:cs="Times New Roman"/>
          <w:sz w:val="24"/>
          <w:szCs w:val="24"/>
        </w:rPr>
        <w:t xml:space="preserve"> registered</w:t>
      </w:r>
      <w:r w:rsidR="00492E29" w:rsidRPr="00F44E44">
        <w:rPr>
          <w:rFonts w:ascii="Times New Roman" w:hAnsi="Times New Roman" w:cs="Times New Roman"/>
          <w:sz w:val="24"/>
          <w:szCs w:val="24"/>
        </w:rPr>
        <w:t xml:space="preserve"> in this way</w:t>
      </w:r>
      <w:r w:rsidR="004B5DCC" w:rsidRPr="00F44E44">
        <w:rPr>
          <w:rFonts w:ascii="Times New Roman" w:hAnsi="Times New Roman" w:cs="Times New Roman"/>
          <w:sz w:val="24"/>
          <w:szCs w:val="24"/>
        </w:rPr>
        <w:t xml:space="preserve">, while as many as 2 million people were </w:t>
      </w:r>
      <w:r w:rsidR="00492E29" w:rsidRPr="00F44E44">
        <w:rPr>
          <w:rFonts w:ascii="Times New Roman" w:hAnsi="Times New Roman" w:cs="Times New Roman"/>
          <w:sz w:val="24"/>
          <w:szCs w:val="24"/>
        </w:rPr>
        <w:t>believed</w:t>
      </w:r>
      <w:r w:rsidR="004B5DCC" w:rsidRPr="00F44E44">
        <w:rPr>
          <w:rFonts w:ascii="Times New Roman" w:hAnsi="Times New Roman" w:cs="Times New Roman"/>
          <w:sz w:val="24"/>
          <w:szCs w:val="24"/>
        </w:rPr>
        <w:t xml:space="preserve"> to be living with some degree of visual impairment</w:t>
      </w:r>
      <w:r w:rsidR="00AB5096" w:rsidRPr="00F44E44">
        <w:rPr>
          <w:rFonts w:ascii="Times New Roman" w:hAnsi="Times New Roman" w:cs="Times New Roman"/>
          <w:sz w:val="24"/>
          <w:szCs w:val="24"/>
        </w:rPr>
        <w:t xml:space="preserve"> [2]</w:t>
      </w:r>
      <w:r w:rsidR="004B5DCC" w:rsidRPr="00F44E44">
        <w:rPr>
          <w:rFonts w:ascii="Times New Roman" w:hAnsi="Times New Roman" w:cs="Times New Roman"/>
          <w:sz w:val="24"/>
          <w:szCs w:val="24"/>
        </w:rPr>
        <w:t xml:space="preserve">. </w:t>
      </w:r>
      <w:r w:rsidRPr="00F44E44">
        <w:rPr>
          <w:rFonts w:ascii="Times New Roman" w:hAnsi="Times New Roman" w:cs="Times New Roman"/>
          <w:sz w:val="24"/>
          <w:szCs w:val="24"/>
        </w:rPr>
        <w:t xml:space="preserve">The vast majority of affected people </w:t>
      </w:r>
      <w:r w:rsidR="004B5DCC" w:rsidRPr="00F44E44">
        <w:rPr>
          <w:rFonts w:ascii="Times New Roman" w:hAnsi="Times New Roman" w:cs="Times New Roman"/>
          <w:sz w:val="24"/>
          <w:szCs w:val="24"/>
        </w:rPr>
        <w:t>were</w:t>
      </w:r>
      <w:r w:rsidRPr="00F44E44">
        <w:rPr>
          <w:rFonts w:ascii="Times New Roman" w:hAnsi="Times New Roman" w:cs="Times New Roman"/>
          <w:sz w:val="24"/>
          <w:szCs w:val="24"/>
        </w:rPr>
        <w:t xml:space="preserve"> </w:t>
      </w:r>
      <w:r w:rsidR="00492E29" w:rsidRPr="00F44E44">
        <w:rPr>
          <w:rFonts w:ascii="Times New Roman" w:hAnsi="Times New Roman" w:cs="Times New Roman"/>
          <w:sz w:val="24"/>
          <w:szCs w:val="24"/>
        </w:rPr>
        <w:t>elderly</w:t>
      </w:r>
      <w:r w:rsidRPr="00F44E44">
        <w:rPr>
          <w:rFonts w:ascii="Times New Roman" w:hAnsi="Times New Roman" w:cs="Times New Roman"/>
          <w:sz w:val="24"/>
          <w:szCs w:val="24"/>
        </w:rPr>
        <w:t xml:space="preserve">, but </w:t>
      </w:r>
      <w:r w:rsidR="006076FE" w:rsidRPr="00F44E44">
        <w:rPr>
          <w:rFonts w:ascii="Times New Roman" w:hAnsi="Times New Roman" w:cs="Times New Roman"/>
          <w:sz w:val="24"/>
          <w:szCs w:val="24"/>
        </w:rPr>
        <w:t xml:space="preserve">in England and Wales </w:t>
      </w:r>
      <w:r w:rsidRPr="00F44E44">
        <w:rPr>
          <w:rFonts w:ascii="Times New Roman" w:hAnsi="Times New Roman" w:cs="Times New Roman"/>
          <w:sz w:val="24"/>
          <w:szCs w:val="24"/>
        </w:rPr>
        <w:t>some 80,000 people</w:t>
      </w:r>
      <w:r w:rsidR="004B5DCC" w:rsidRPr="00F44E44">
        <w:rPr>
          <w:rFonts w:ascii="Times New Roman" w:hAnsi="Times New Roman" w:cs="Times New Roman"/>
          <w:sz w:val="24"/>
          <w:szCs w:val="24"/>
        </w:rPr>
        <w:t xml:space="preserve"> of working age </w:t>
      </w:r>
      <w:r w:rsidR="00492E29" w:rsidRPr="00F44E44">
        <w:rPr>
          <w:rFonts w:ascii="Times New Roman" w:hAnsi="Times New Roman" w:cs="Times New Roman"/>
          <w:sz w:val="24"/>
          <w:szCs w:val="24"/>
        </w:rPr>
        <w:t>have visual impairment</w:t>
      </w:r>
      <w:r w:rsidR="004B5DCC" w:rsidRPr="00F44E44">
        <w:rPr>
          <w:rFonts w:ascii="Times New Roman" w:hAnsi="Times New Roman" w:cs="Times New Roman"/>
          <w:sz w:val="24"/>
          <w:szCs w:val="24"/>
        </w:rPr>
        <w:t xml:space="preserve"> and </w:t>
      </w:r>
      <w:r w:rsidR="00492E29" w:rsidRPr="00F44E44">
        <w:rPr>
          <w:rFonts w:ascii="Times New Roman" w:hAnsi="Times New Roman" w:cs="Times New Roman"/>
          <w:sz w:val="24"/>
          <w:szCs w:val="24"/>
        </w:rPr>
        <w:t>over</w:t>
      </w:r>
      <w:r w:rsidR="004B5DCC" w:rsidRPr="00F44E44">
        <w:rPr>
          <w:rFonts w:ascii="Times New Roman" w:hAnsi="Times New Roman" w:cs="Times New Roman"/>
          <w:sz w:val="24"/>
          <w:szCs w:val="24"/>
        </w:rPr>
        <w:t xml:space="preserve"> 4,800 </w:t>
      </w:r>
      <w:r w:rsidR="00BC3A84">
        <w:rPr>
          <w:rFonts w:ascii="Times New Roman" w:hAnsi="Times New Roman" w:cs="Times New Roman"/>
          <w:sz w:val="24"/>
          <w:szCs w:val="24"/>
        </w:rPr>
        <w:t>under 65-</w:t>
      </w:r>
      <w:r w:rsidR="004C7769">
        <w:rPr>
          <w:rFonts w:ascii="Times New Roman" w:hAnsi="Times New Roman" w:cs="Times New Roman"/>
          <w:sz w:val="24"/>
          <w:szCs w:val="24"/>
        </w:rPr>
        <w:t>year</w:t>
      </w:r>
      <w:r w:rsidR="00BC3A84">
        <w:rPr>
          <w:rFonts w:ascii="Times New Roman" w:hAnsi="Times New Roman" w:cs="Times New Roman"/>
          <w:sz w:val="24"/>
          <w:szCs w:val="24"/>
        </w:rPr>
        <w:t xml:space="preserve"> olds</w:t>
      </w:r>
      <w:r w:rsidR="004B5DCC" w:rsidRPr="00F44E44">
        <w:rPr>
          <w:rFonts w:ascii="Times New Roman" w:hAnsi="Times New Roman" w:cs="Times New Roman"/>
          <w:sz w:val="24"/>
          <w:szCs w:val="24"/>
        </w:rPr>
        <w:t xml:space="preserve"> </w:t>
      </w:r>
      <w:r w:rsidR="00E4769D">
        <w:rPr>
          <w:rFonts w:ascii="Times New Roman" w:hAnsi="Times New Roman" w:cs="Times New Roman"/>
          <w:sz w:val="24"/>
          <w:szCs w:val="24"/>
        </w:rPr>
        <w:t>are registered as blind or partially sighted</w:t>
      </w:r>
      <w:r w:rsidR="004B5DCC" w:rsidRPr="00F44E44">
        <w:rPr>
          <w:rFonts w:ascii="Times New Roman" w:hAnsi="Times New Roman" w:cs="Times New Roman"/>
          <w:sz w:val="24"/>
          <w:szCs w:val="24"/>
        </w:rPr>
        <w:t xml:space="preserve"> [</w:t>
      </w:r>
      <w:r w:rsidR="00AB5096" w:rsidRPr="00F44E44">
        <w:rPr>
          <w:rFonts w:ascii="Times New Roman" w:hAnsi="Times New Roman" w:cs="Times New Roman"/>
          <w:sz w:val="24"/>
          <w:szCs w:val="24"/>
        </w:rPr>
        <w:t>3</w:t>
      </w:r>
      <w:r w:rsidR="00806D11">
        <w:rPr>
          <w:rFonts w:ascii="Times New Roman" w:hAnsi="Times New Roman" w:cs="Times New Roman"/>
          <w:sz w:val="24"/>
          <w:szCs w:val="24"/>
        </w:rPr>
        <w:t>].</w:t>
      </w:r>
      <w:r w:rsidR="007416E1" w:rsidRPr="007416E1">
        <w:rPr>
          <w:rFonts w:ascii="Times New Roman" w:hAnsi="Times New Roman" w:cs="Times New Roman"/>
          <w:sz w:val="24"/>
          <w:szCs w:val="24"/>
        </w:rPr>
        <w:t xml:space="preserve"> </w:t>
      </w:r>
      <w:r w:rsidR="007416E1">
        <w:rPr>
          <w:rFonts w:ascii="Times New Roman" w:hAnsi="Times New Roman" w:cs="Times New Roman"/>
          <w:sz w:val="24"/>
          <w:szCs w:val="24"/>
        </w:rPr>
        <w:t xml:space="preserve">Across the European </w:t>
      </w:r>
      <w:r w:rsidR="00325AE3">
        <w:rPr>
          <w:rFonts w:ascii="Times New Roman" w:hAnsi="Times New Roman" w:cs="Times New Roman"/>
          <w:sz w:val="24"/>
          <w:szCs w:val="24"/>
        </w:rPr>
        <w:t xml:space="preserve">Union the number of </w:t>
      </w:r>
      <w:r w:rsidR="00325AE3" w:rsidRPr="007416E1">
        <w:rPr>
          <w:rFonts w:ascii="Times New Roman" w:hAnsi="Times New Roman" w:cs="Times New Roman"/>
          <w:sz w:val="24"/>
          <w:szCs w:val="24"/>
        </w:rPr>
        <w:t>blind and partially sighted people</w:t>
      </w:r>
      <w:r w:rsidR="00325AE3">
        <w:rPr>
          <w:rFonts w:ascii="Times New Roman" w:hAnsi="Times New Roman" w:cs="Times New Roman"/>
          <w:sz w:val="24"/>
          <w:szCs w:val="24"/>
        </w:rPr>
        <w:t xml:space="preserve"> </w:t>
      </w:r>
      <w:r w:rsidR="00325AE3" w:rsidRPr="007416E1">
        <w:rPr>
          <w:rFonts w:ascii="Times New Roman" w:hAnsi="Times New Roman" w:cs="Times New Roman"/>
          <w:sz w:val="24"/>
          <w:szCs w:val="24"/>
        </w:rPr>
        <w:t>of working age</w:t>
      </w:r>
      <w:r w:rsidR="00325AE3">
        <w:rPr>
          <w:rFonts w:ascii="Times New Roman" w:hAnsi="Times New Roman" w:cs="Times New Roman"/>
          <w:sz w:val="24"/>
          <w:szCs w:val="24"/>
        </w:rPr>
        <w:t xml:space="preserve"> has been put at over 430,000 [4].</w:t>
      </w:r>
      <w:r w:rsidR="007416E1">
        <w:rPr>
          <w:rFonts w:ascii="Times New Roman" w:hAnsi="Times New Roman" w:cs="Times New Roman"/>
          <w:sz w:val="24"/>
          <w:szCs w:val="24"/>
        </w:rPr>
        <w:t xml:space="preserve">  </w:t>
      </w:r>
    </w:p>
    <w:p w:rsidR="006076FE" w:rsidRPr="00F44E44" w:rsidRDefault="006076FE" w:rsidP="00F44E44">
      <w:pPr>
        <w:jc w:val="both"/>
        <w:rPr>
          <w:rFonts w:ascii="Times New Roman" w:hAnsi="Times New Roman" w:cs="Times New Roman"/>
          <w:sz w:val="24"/>
          <w:szCs w:val="24"/>
        </w:rPr>
      </w:pPr>
    </w:p>
    <w:p w:rsidR="00AB5096" w:rsidRPr="00F44E44" w:rsidRDefault="004B5DCC" w:rsidP="00F44E44">
      <w:pPr>
        <w:jc w:val="both"/>
        <w:rPr>
          <w:rFonts w:ascii="Times New Roman" w:hAnsi="Times New Roman" w:cs="Times New Roman"/>
          <w:sz w:val="24"/>
          <w:szCs w:val="24"/>
        </w:rPr>
      </w:pPr>
      <w:r w:rsidRPr="00F44E44">
        <w:rPr>
          <w:rFonts w:ascii="Times New Roman" w:hAnsi="Times New Roman" w:cs="Times New Roman"/>
          <w:sz w:val="24"/>
          <w:szCs w:val="24"/>
        </w:rPr>
        <w:t xml:space="preserve">Rates of many common eye diseases </w:t>
      </w:r>
      <w:r w:rsidR="00492E29" w:rsidRPr="00F44E44">
        <w:rPr>
          <w:rFonts w:ascii="Times New Roman" w:hAnsi="Times New Roman" w:cs="Times New Roman"/>
          <w:sz w:val="24"/>
          <w:szCs w:val="24"/>
        </w:rPr>
        <w:t>increase</w:t>
      </w:r>
      <w:r w:rsidR="004C7769">
        <w:rPr>
          <w:rFonts w:ascii="Times New Roman" w:hAnsi="Times New Roman" w:cs="Times New Roman"/>
          <w:sz w:val="24"/>
          <w:szCs w:val="24"/>
        </w:rPr>
        <w:t xml:space="preserve"> with age. For example,</w:t>
      </w:r>
      <w:r w:rsidRPr="00F44E44">
        <w:rPr>
          <w:rFonts w:ascii="Times New Roman" w:hAnsi="Times New Roman" w:cs="Times New Roman"/>
          <w:sz w:val="24"/>
          <w:szCs w:val="24"/>
        </w:rPr>
        <w:t xml:space="preserve"> </w:t>
      </w:r>
      <w:r w:rsidR="00E92E3B">
        <w:rPr>
          <w:rFonts w:ascii="Times New Roman" w:hAnsi="Times New Roman" w:cs="Times New Roman"/>
          <w:sz w:val="24"/>
          <w:szCs w:val="24"/>
        </w:rPr>
        <w:t>registration</w:t>
      </w:r>
      <w:r w:rsidR="00E92E3B" w:rsidRPr="00F44E44">
        <w:rPr>
          <w:rFonts w:ascii="Times New Roman" w:hAnsi="Times New Roman" w:cs="Times New Roman"/>
          <w:sz w:val="24"/>
          <w:szCs w:val="24"/>
        </w:rPr>
        <w:t xml:space="preserve"> </w:t>
      </w:r>
      <w:r w:rsidR="00AB5096" w:rsidRPr="00F44E44">
        <w:rPr>
          <w:rFonts w:ascii="Times New Roman" w:hAnsi="Times New Roman" w:cs="Times New Roman"/>
          <w:sz w:val="24"/>
          <w:szCs w:val="24"/>
        </w:rPr>
        <w:t xml:space="preserve">with </w:t>
      </w:r>
      <w:r w:rsidRPr="00F44E44">
        <w:rPr>
          <w:rFonts w:ascii="Times New Roman" w:hAnsi="Times New Roman" w:cs="Times New Roman"/>
          <w:sz w:val="24"/>
          <w:szCs w:val="24"/>
        </w:rPr>
        <w:t xml:space="preserve">diabetic retinopathy is over </w:t>
      </w:r>
      <w:r w:rsidR="00103113">
        <w:rPr>
          <w:rFonts w:ascii="Times New Roman" w:hAnsi="Times New Roman" w:cs="Times New Roman"/>
          <w:sz w:val="24"/>
          <w:szCs w:val="24"/>
        </w:rPr>
        <w:t>seven</w:t>
      </w:r>
      <w:r w:rsidR="00492E29" w:rsidRPr="00F44E44">
        <w:rPr>
          <w:rFonts w:ascii="Times New Roman" w:hAnsi="Times New Roman" w:cs="Times New Roman"/>
          <w:sz w:val="24"/>
          <w:szCs w:val="24"/>
        </w:rPr>
        <w:t xml:space="preserve"> </w:t>
      </w:r>
      <w:r w:rsidRPr="00F44E44">
        <w:rPr>
          <w:rFonts w:ascii="Times New Roman" w:hAnsi="Times New Roman" w:cs="Times New Roman"/>
          <w:sz w:val="24"/>
          <w:szCs w:val="24"/>
        </w:rPr>
        <w:t xml:space="preserve">times more </w:t>
      </w:r>
      <w:r w:rsidR="00AB5096" w:rsidRPr="00F44E44">
        <w:rPr>
          <w:rFonts w:ascii="Times New Roman" w:hAnsi="Times New Roman" w:cs="Times New Roman"/>
          <w:sz w:val="24"/>
          <w:szCs w:val="24"/>
        </w:rPr>
        <w:t>frequent</w:t>
      </w:r>
      <w:r w:rsidRPr="00F44E44">
        <w:rPr>
          <w:rFonts w:ascii="Times New Roman" w:hAnsi="Times New Roman" w:cs="Times New Roman"/>
          <w:sz w:val="24"/>
          <w:szCs w:val="24"/>
        </w:rPr>
        <w:t xml:space="preserve"> between ages 65 and 74 years than in 16 to 64 year-olds, </w:t>
      </w:r>
      <w:r w:rsidR="00AB5096" w:rsidRPr="00F44E44">
        <w:rPr>
          <w:rFonts w:ascii="Times New Roman" w:hAnsi="Times New Roman" w:cs="Times New Roman"/>
          <w:sz w:val="24"/>
          <w:szCs w:val="24"/>
        </w:rPr>
        <w:t xml:space="preserve">while </w:t>
      </w:r>
      <w:r w:rsidR="006076FE" w:rsidRPr="00F44E44">
        <w:rPr>
          <w:rFonts w:ascii="Times New Roman" w:hAnsi="Times New Roman" w:cs="Times New Roman"/>
          <w:sz w:val="24"/>
          <w:szCs w:val="24"/>
        </w:rPr>
        <w:t>for</w:t>
      </w:r>
      <w:r w:rsidR="00AB5096" w:rsidRPr="00F44E44">
        <w:rPr>
          <w:rFonts w:ascii="Times New Roman" w:hAnsi="Times New Roman" w:cs="Times New Roman"/>
          <w:sz w:val="24"/>
          <w:szCs w:val="24"/>
        </w:rPr>
        <w:t xml:space="preserve"> </w:t>
      </w:r>
      <w:r w:rsidRPr="00F44E44">
        <w:rPr>
          <w:rFonts w:ascii="Times New Roman" w:hAnsi="Times New Roman" w:cs="Times New Roman"/>
          <w:sz w:val="24"/>
          <w:szCs w:val="24"/>
        </w:rPr>
        <w:t xml:space="preserve">macular degeneration </w:t>
      </w:r>
      <w:r w:rsidR="00AB5096" w:rsidRPr="00F44E44">
        <w:rPr>
          <w:rFonts w:ascii="Times New Roman" w:hAnsi="Times New Roman" w:cs="Times New Roman"/>
          <w:sz w:val="24"/>
          <w:szCs w:val="24"/>
        </w:rPr>
        <w:t xml:space="preserve">and glaucoma </w:t>
      </w:r>
      <w:r w:rsidR="004C7769">
        <w:rPr>
          <w:rFonts w:ascii="Times New Roman" w:hAnsi="Times New Roman" w:cs="Times New Roman"/>
          <w:sz w:val="24"/>
          <w:szCs w:val="24"/>
        </w:rPr>
        <w:t xml:space="preserve">the corresponding ratios </w:t>
      </w:r>
      <w:r w:rsidR="00AB5096" w:rsidRPr="00F44E44">
        <w:rPr>
          <w:rFonts w:ascii="Times New Roman" w:hAnsi="Times New Roman" w:cs="Times New Roman"/>
          <w:sz w:val="24"/>
          <w:szCs w:val="24"/>
        </w:rPr>
        <w:t xml:space="preserve">are </w:t>
      </w:r>
      <w:r w:rsidR="004C7769">
        <w:rPr>
          <w:rFonts w:ascii="Times New Roman" w:hAnsi="Times New Roman" w:cs="Times New Roman"/>
          <w:sz w:val="24"/>
          <w:szCs w:val="24"/>
        </w:rPr>
        <w:t>39 and 18 respectively</w:t>
      </w:r>
      <w:r w:rsidR="006076FE" w:rsidRPr="00F44E44">
        <w:rPr>
          <w:rFonts w:ascii="Times New Roman" w:hAnsi="Times New Roman" w:cs="Times New Roman"/>
          <w:sz w:val="24"/>
          <w:szCs w:val="24"/>
        </w:rPr>
        <w:t xml:space="preserve"> </w:t>
      </w:r>
      <w:r w:rsidR="00AB5096" w:rsidRPr="00F44E44">
        <w:rPr>
          <w:rFonts w:ascii="Times New Roman" w:hAnsi="Times New Roman" w:cs="Times New Roman"/>
          <w:sz w:val="24"/>
          <w:szCs w:val="24"/>
        </w:rPr>
        <w:t xml:space="preserve">[3]. Thus, </w:t>
      </w:r>
      <w:r w:rsidR="00492E29" w:rsidRPr="00F44E44">
        <w:rPr>
          <w:rFonts w:ascii="Times New Roman" w:hAnsi="Times New Roman" w:cs="Times New Roman"/>
          <w:sz w:val="24"/>
          <w:szCs w:val="24"/>
        </w:rPr>
        <w:t>the</w:t>
      </w:r>
      <w:r w:rsidR="006076FE" w:rsidRPr="00F44E44">
        <w:rPr>
          <w:rFonts w:ascii="Times New Roman" w:hAnsi="Times New Roman" w:cs="Times New Roman"/>
          <w:sz w:val="24"/>
          <w:szCs w:val="24"/>
        </w:rPr>
        <w:t xml:space="preserve"> </w:t>
      </w:r>
      <w:r w:rsidR="00AB5096" w:rsidRPr="00F44E44">
        <w:rPr>
          <w:rFonts w:ascii="Times New Roman" w:hAnsi="Times New Roman" w:cs="Times New Roman"/>
          <w:sz w:val="24"/>
          <w:szCs w:val="24"/>
        </w:rPr>
        <w:t xml:space="preserve">current trend to </w:t>
      </w:r>
      <w:r w:rsidR="00406FAF" w:rsidRPr="00F44E44">
        <w:rPr>
          <w:rFonts w:ascii="Times New Roman" w:hAnsi="Times New Roman" w:cs="Times New Roman"/>
          <w:sz w:val="24"/>
          <w:szCs w:val="24"/>
        </w:rPr>
        <w:t xml:space="preserve">work </w:t>
      </w:r>
      <w:r w:rsidR="006076FE" w:rsidRPr="00F44E44">
        <w:rPr>
          <w:rFonts w:ascii="Times New Roman" w:hAnsi="Times New Roman" w:cs="Times New Roman"/>
          <w:sz w:val="24"/>
          <w:szCs w:val="24"/>
        </w:rPr>
        <w:t>beyond</w:t>
      </w:r>
      <w:r w:rsidR="00AB5096" w:rsidRPr="00F44E44">
        <w:rPr>
          <w:rFonts w:ascii="Times New Roman" w:hAnsi="Times New Roman" w:cs="Times New Roman"/>
          <w:sz w:val="24"/>
          <w:szCs w:val="24"/>
        </w:rPr>
        <w:t xml:space="preserve"> the traditional retirement </w:t>
      </w:r>
      <w:r w:rsidR="00AB5096" w:rsidRPr="007843CD">
        <w:rPr>
          <w:rFonts w:ascii="Times New Roman" w:hAnsi="Times New Roman" w:cs="Times New Roman"/>
          <w:sz w:val="24"/>
          <w:szCs w:val="24"/>
        </w:rPr>
        <w:t>age</w:t>
      </w:r>
      <w:r w:rsidR="000F7246" w:rsidRPr="007843CD">
        <w:rPr>
          <w:rFonts w:ascii="Times New Roman" w:hAnsi="Times New Roman" w:cs="Times New Roman"/>
          <w:sz w:val="24"/>
          <w:szCs w:val="24"/>
        </w:rPr>
        <w:t xml:space="preserve"> in</w:t>
      </w:r>
      <w:r w:rsidR="001A191C" w:rsidRPr="007843CD">
        <w:rPr>
          <w:rFonts w:ascii="Times New Roman" w:hAnsi="Times New Roman" w:cs="Times New Roman"/>
          <w:sz w:val="24"/>
          <w:szCs w:val="24"/>
        </w:rPr>
        <w:t xml:space="preserve"> the UK and other</w:t>
      </w:r>
      <w:r w:rsidR="000F7246" w:rsidRPr="007843CD">
        <w:rPr>
          <w:rFonts w:ascii="Times New Roman" w:hAnsi="Times New Roman" w:cs="Times New Roman"/>
          <w:sz w:val="24"/>
          <w:szCs w:val="24"/>
        </w:rPr>
        <w:t xml:space="preserve"> Western countries</w:t>
      </w:r>
      <w:r w:rsidR="00492E29" w:rsidRPr="007843CD">
        <w:rPr>
          <w:rFonts w:ascii="Times New Roman" w:hAnsi="Times New Roman" w:cs="Times New Roman"/>
          <w:sz w:val="24"/>
          <w:szCs w:val="24"/>
        </w:rPr>
        <w:t xml:space="preserve"> </w:t>
      </w:r>
      <w:r w:rsidR="00AB5096" w:rsidRPr="007843CD">
        <w:rPr>
          <w:rFonts w:ascii="Times New Roman" w:hAnsi="Times New Roman" w:cs="Times New Roman"/>
          <w:sz w:val="24"/>
          <w:szCs w:val="24"/>
        </w:rPr>
        <w:t>[</w:t>
      </w:r>
      <w:r w:rsidR="00BC3A84">
        <w:rPr>
          <w:rFonts w:ascii="Times New Roman" w:hAnsi="Times New Roman" w:cs="Times New Roman"/>
          <w:sz w:val="24"/>
          <w:szCs w:val="24"/>
        </w:rPr>
        <w:t>5</w:t>
      </w:r>
      <w:r w:rsidR="00AB5096" w:rsidRPr="007843CD">
        <w:rPr>
          <w:rFonts w:ascii="Times New Roman" w:hAnsi="Times New Roman" w:cs="Times New Roman"/>
          <w:sz w:val="24"/>
          <w:szCs w:val="24"/>
        </w:rPr>
        <w:t>]</w:t>
      </w:r>
      <w:r w:rsidR="008825A7" w:rsidRPr="007843CD">
        <w:rPr>
          <w:rFonts w:ascii="Times New Roman" w:hAnsi="Times New Roman" w:cs="Times New Roman"/>
          <w:sz w:val="24"/>
          <w:szCs w:val="24"/>
        </w:rPr>
        <w:t>,</w:t>
      </w:r>
      <w:r w:rsidR="00AB5096" w:rsidRPr="007843CD">
        <w:rPr>
          <w:rFonts w:ascii="Times New Roman" w:hAnsi="Times New Roman" w:cs="Times New Roman"/>
          <w:sz w:val="24"/>
          <w:szCs w:val="24"/>
        </w:rPr>
        <w:t xml:space="preserve"> </w:t>
      </w:r>
      <w:r w:rsidR="008825A7" w:rsidRPr="007843CD">
        <w:rPr>
          <w:rFonts w:ascii="Times New Roman" w:hAnsi="Times New Roman" w:cs="Times New Roman"/>
          <w:sz w:val="24"/>
          <w:szCs w:val="24"/>
        </w:rPr>
        <w:t>when allied with</w:t>
      </w:r>
      <w:r w:rsidR="00AB5096" w:rsidRPr="007843CD">
        <w:rPr>
          <w:rFonts w:ascii="Times New Roman" w:hAnsi="Times New Roman" w:cs="Times New Roman"/>
          <w:sz w:val="24"/>
          <w:szCs w:val="24"/>
        </w:rPr>
        <w:t xml:space="preserve"> increasingly stringent</w:t>
      </w:r>
      <w:r w:rsidR="00806D11" w:rsidRPr="007843CD">
        <w:rPr>
          <w:rFonts w:ascii="Times New Roman" w:hAnsi="Times New Roman" w:cs="Times New Roman"/>
          <w:sz w:val="24"/>
          <w:szCs w:val="24"/>
        </w:rPr>
        <w:t xml:space="preserve"> </w:t>
      </w:r>
      <w:r w:rsidR="004C7769" w:rsidRPr="007843CD">
        <w:rPr>
          <w:rFonts w:ascii="Times New Roman" w:hAnsi="Times New Roman" w:cs="Times New Roman"/>
          <w:sz w:val="24"/>
          <w:szCs w:val="24"/>
        </w:rPr>
        <w:t>laws</w:t>
      </w:r>
      <w:r w:rsidR="004C7769">
        <w:rPr>
          <w:rFonts w:ascii="Times New Roman" w:hAnsi="Times New Roman" w:cs="Times New Roman"/>
          <w:sz w:val="24"/>
          <w:szCs w:val="24"/>
        </w:rPr>
        <w:t xml:space="preserve"> on </w:t>
      </w:r>
      <w:r w:rsidR="006076FE" w:rsidRPr="00F44E44">
        <w:rPr>
          <w:rFonts w:ascii="Times New Roman" w:hAnsi="Times New Roman" w:cs="Times New Roman"/>
          <w:sz w:val="24"/>
          <w:szCs w:val="24"/>
        </w:rPr>
        <w:t>age</w:t>
      </w:r>
      <w:r w:rsidR="004C7769">
        <w:rPr>
          <w:rFonts w:ascii="Times New Roman" w:hAnsi="Times New Roman" w:cs="Times New Roman"/>
          <w:sz w:val="24"/>
          <w:szCs w:val="24"/>
        </w:rPr>
        <w:t xml:space="preserve"> and disability discrimination</w:t>
      </w:r>
      <w:r w:rsidR="008825A7" w:rsidRPr="00F44E44">
        <w:rPr>
          <w:rFonts w:ascii="Times New Roman" w:hAnsi="Times New Roman" w:cs="Times New Roman"/>
          <w:sz w:val="24"/>
          <w:szCs w:val="24"/>
        </w:rPr>
        <w:t>,</w:t>
      </w:r>
      <w:r w:rsidR="006076FE" w:rsidRPr="00F44E44">
        <w:rPr>
          <w:rFonts w:ascii="Times New Roman" w:hAnsi="Times New Roman" w:cs="Times New Roman"/>
          <w:sz w:val="24"/>
          <w:szCs w:val="24"/>
        </w:rPr>
        <w:t xml:space="preserve"> may </w:t>
      </w:r>
      <w:r w:rsidR="008825A7" w:rsidRPr="00F44E44">
        <w:rPr>
          <w:rFonts w:ascii="Times New Roman" w:hAnsi="Times New Roman" w:cs="Times New Roman"/>
          <w:sz w:val="24"/>
          <w:szCs w:val="24"/>
        </w:rPr>
        <w:t xml:space="preserve">result </w:t>
      </w:r>
      <w:r w:rsidR="00492E29" w:rsidRPr="00F44E44">
        <w:rPr>
          <w:rFonts w:ascii="Times New Roman" w:hAnsi="Times New Roman" w:cs="Times New Roman"/>
          <w:sz w:val="24"/>
          <w:szCs w:val="24"/>
        </w:rPr>
        <w:t>in more</w:t>
      </w:r>
      <w:r w:rsidR="008825A7" w:rsidRPr="00F44E44">
        <w:rPr>
          <w:rFonts w:ascii="Times New Roman" w:hAnsi="Times New Roman" w:cs="Times New Roman"/>
          <w:sz w:val="24"/>
          <w:szCs w:val="24"/>
        </w:rPr>
        <w:t xml:space="preserve"> </w:t>
      </w:r>
      <w:r w:rsidR="006076FE" w:rsidRPr="00F44E44">
        <w:rPr>
          <w:rFonts w:ascii="Times New Roman" w:hAnsi="Times New Roman" w:cs="Times New Roman"/>
          <w:sz w:val="24"/>
          <w:szCs w:val="24"/>
        </w:rPr>
        <w:t>visual</w:t>
      </w:r>
      <w:r w:rsidR="008825A7" w:rsidRPr="00F44E44">
        <w:rPr>
          <w:rFonts w:ascii="Times New Roman" w:hAnsi="Times New Roman" w:cs="Times New Roman"/>
          <w:sz w:val="24"/>
          <w:szCs w:val="24"/>
        </w:rPr>
        <w:t xml:space="preserve">ly impaired </w:t>
      </w:r>
      <w:r w:rsidR="00492E29" w:rsidRPr="00F44E44">
        <w:rPr>
          <w:rFonts w:ascii="Times New Roman" w:hAnsi="Times New Roman" w:cs="Times New Roman"/>
          <w:sz w:val="24"/>
          <w:szCs w:val="24"/>
        </w:rPr>
        <w:t>workers</w:t>
      </w:r>
      <w:r w:rsidR="006076FE" w:rsidRPr="00F44E44">
        <w:rPr>
          <w:rFonts w:ascii="Times New Roman" w:hAnsi="Times New Roman" w:cs="Times New Roman"/>
          <w:sz w:val="24"/>
          <w:szCs w:val="24"/>
        </w:rPr>
        <w:t xml:space="preserve"> in modern work</w:t>
      </w:r>
      <w:r w:rsidR="00406FAF" w:rsidRPr="00F44E44">
        <w:rPr>
          <w:rFonts w:ascii="Times New Roman" w:hAnsi="Times New Roman" w:cs="Times New Roman"/>
          <w:sz w:val="24"/>
          <w:szCs w:val="24"/>
        </w:rPr>
        <w:t>plac</w:t>
      </w:r>
      <w:r w:rsidR="006076FE" w:rsidRPr="00F44E44">
        <w:rPr>
          <w:rFonts w:ascii="Times New Roman" w:hAnsi="Times New Roman" w:cs="Times New Roman"/>
          <w:sz w:val="24"/>
          <w:szCs w:val="24"/>
        </w:rPr>
        <w:t xml:space="preserve">es. </w:t>
      </w:r>
      <w:r w:rsidR="004C7769">
        <w:rPr>
          <w:rFonts w:ascii="Times New Roman" w:hAnsi="Times New Roman" w:cs="Times New Roman"/>
          <w:sz w:val="24"/>
          <w:szCs w:val="24"/>
        </w:rPr>
        <w:t>Moreover,</w:t>
      </w:r>
      <w:r w:rsidR="006076FE" w:rsidRPr="00F44E44">
        <w:rPr>
          <w:rFonts w:ascii="Times New Roman" w:hAnsi="Times New Roman" w:cs="Times New Roman"/>
          <w:sz w:val="24"/>
          <w:szCs w:val="24"/>
        </w:rPr>
        <w:t xml:space="preserve"> </w:t>
      </w:r>
      <w:r w:rsidR="00492E29" w:rsidRPr="00F44E44">
        <w:rPr>
          <w:rFonts w:ascii="Times New Roman" w:hAnsi="Times New Roman" w:cs="Times New Roman"/>
          <w:sz w:val="24"/>
          <w:szCs w:val="24"/>
        </w:rPr>
        <w:t xml:space="preserve">some </w:t>
      </w:r>
      <w:r w:rsidR="006076FE" w:rsidRPr="00F44E44">
        <w:rPr>
          <w:rFonts w:ascii="Times New Roman" w:hAnsi="Times New Roman" w:cs="Times New Roman"/>
          <w:sz w:val="24"/>
          <w:szCs w:val="24"/>
        </w:rPr>
        <w:t xml:space="preserve">major </w:t>
      </w:r>
      <w:r w:rsidR="004C7769">
        <w:rPr>
          <w:rFonts w:ascii="Times New Roman" w:hAnsi="Times New Roman" w:cs="Times New Roman"/>
          <w:sz w:val="24"/>
          <w:szCs w:val="24"/>
        </w:rPr>
        <w:t>causes of</w:t>
      </w:r>
      <w:r w:rsidR="006076FE" w:rsidRPr="00F44E44">
        <w:rPr>
          <w:rFonts w:ascii="Times New Roman" w:hAnsi="Times New Roman" w:cs="Times New Roman"/>
          <w:sz w:val="24"/>
          <w:szCs w:val="24"/>
        </w:rPr>
        <w:t xml:space="preserve"> visual impairment, such as diabetes</w:t>
      </w:r>
      <w:r w:rsidR="008825A7" w:rsidRPr="00F44E44">
        <w:rPr>
          <w:rFonts w:ascii="Times New Roman" w:hAnsi="Times New Roman" w:cs="Times New Roman"/>
          <w:sz w:val="24"/>
          <w:szCs w:val="24"/>
        </w:rPr>
        <w:t xml:space="preserve"> mellitus</w:t>
      </w:r>
      <w:r w:rsidR="006076FE" w:rsidRPr="00F44E44">
        <w:rPr>
          <w:rFonts w:ascii="Times New Roman" w:hAnsi="Times New Roman" w:cs="Times New Roman"/>
          <w:sz w:val="24"/>
          <w:szCs w:val="24"/>
        </w:rPr>
        <w:t>, are on the rise</w:t>
      </w:r>
      <w:r w:rsidR="004C7769">
        <w:rPr>
          <w:rFonts w:ascii="Times New Roman" w:hAnsi="Times New Roman" w:cs="Times New Roman"/>
          <w:sz w:val="24"/>
          <w:szCs w:val="24"/>
        </w:rPr>
        <w:t xml:space="preserve">. </w:t>
      </w:r>
      <w:r w:rsidR="00E4769D" w:rsidRPr="00156CFA">
        <w:rPr>
          <w:rFonts w:ascii="Times New Roman" w:hAnsi="Times New Roman" w:cs="Times New Roman"/>
          <w:sz w:val="24"/>
          <w:szCs w:val="24"/>
        </w:rPr>
        <w:t>Age</w:t>
      </w:r>
      <w:r w:rsidR="00E4769D">
        <w:rPr>
          <w:rFonts w:ascii="Times New Roman" w:hAnsi="Times New Roman" w:cs="Times New Roman"/>
          <w:sz w:val="24"/>
          <w:szCs w:val="24"/>
        </w:rPr>
        <w:t>-</w:t>
      </w:r>
      <w:r w:rsidR="00156CFA" w:rsidRPr="00156CFA">
        <w:rPr>
          <w:rFonts w:ascii="Times New Roman" w:hAnsi="Times New Roman" w:cs="Times New Roman"/>
          <w:sz w:val="24"/>
          <w:szCs w:val="24"/>
        </w:rPr>
        <w:t>specific c</w:t>
      </w:r>
      <w:r w:rsidR="006076FE" w:rsidRPr="00156CFA">
        <w:rPr>
          <w:rFonts w:ascii="Times New Roman" w:hAnsi="Times New Roman" w:cs="Times New Roman"/>
          <w:sz w:val="24"/>
          <w:szCs w:val="24"/>
        </w:rPr>
        <w:t xml:space="preserve">ertification rates </w:t>
      </w:r>
      <w:r w:rsidR="008825A7" w:rsidRPr="00156CFA">
        <w:rPr>
          <w:rFonts w:ascii="Times New Roman" w:hAnsi="Times New Roman" w:cs="Times New Roman"/>
          <w:sz w:val="24"/>
          <w:szCs w:val="24"/>
        </w:rPr>
        <w:t>for</w:t>
      </w:r>
      <w:r w:rsidR="006076FE" w:rsidRPr="00156CFA">
        <w:rPr>
          <w:rFonts w:ascii="Times New Roman" w:hAnsi="Times New Roman" w:cs="Times New Roman"/>
          <w:sz w:val="24"/>
          <w:szCs w:val="24"/>
        </w:rPr>
        <w:t xml:space="preserve"> diabetic retinopathy in England and Wales rose 63% </w:t>
      </w:r>
      <w:r w:rsidR="008825A7" w:rsidRPr="00156CFA">
        <w:rPr>
          <w:rFonts w:ascii="Times New Roman" w:hAnsi="Times New Roman" w:cs="Times New Roman"/>
          <w:sz w:val="24"/>
          <w:szCs w:val="24"/>
        </w:rPr>
        <w:t>over</w:t>
      </w:r>
      <w:r w:rsidR="006076FE" w:rsidRPr="00156CFA">
        <w:rPr>
          <w:rFonts w:ascii="Times New Roman" w:hAnsi="Times New Roman" w:cs="Times New Roman"/>
          <w:sz w:val="24"/>
          <w:szCs w:val="24"/>
        </w:rPr>
        <w:t xml:space="preserve"> the decade </w:t>
      </w:r>
      <w:r w:rsidR="008825A7" w:rsidRPr="00156CFA">
        <w:rPr>
          <w:rFonts w:ascii="Times New Roman" w:hAnsi="Times New Roman" w:cs="Times New Roman"/>
          <w:sz w:val="24"/>
          <w:szCs w:val="24"/>
        </w:rPr>
        <w:t>from 1990-1 to</w:t>
      </w:r>
      <w:r w:rsidR="006076FE" w:rsidRPr="00156CFA">
        <w:rPr>
          <w:rFonts w:ascii="Times New Roman" w:hAnsi="Times New Roman" w:cs="Times New Roman"/>
          <w:sz w:val="24"/>
          <w:szCs w:val="24"/>
        </w:rPr>
        <w:t xml:space="preserve"> 1999-2000</w:t>
      </w:r>
      <w:r w:rsidR="006076FE" w:rsidRPr="00F44E44">
        <w:rPr>
          <w:rFonts w:ascii="Times New Roman" w:hAnsi="Times New Roman" w:cs="Times New Roman"/>
          <w:sz w:val="24"/>
          <w:szCs w:val="24"/>
        </w:rPr>
        <w:t xml:space="preserve"> [3].</w:t>
      </w:r>
    </w:p>
    <w:p w:rsidR="00AB5096" w:rsidRPr="00F44E44" w:rsidRDefault="00AB5096" w:rsidP="00F44E44">
      <w:pPr>
        <w:jc w:val="both"/>
        <w:rPr>
          <w:rFonts w:ascii="Times New Roman" w:hAnsi="Times New Roman" w:cs="Times New Roman"/>
          <w:sz w:val="24"/>
          <w:szCs w:val="24"/>
        </w:rPr>
      </w:pPr>
    </w:p>
    <w:p w:rsidR="00400C7F" w:rsidRPr="00F44E44" w:rsidRDefault="00434E99" w:rsidP="00F44E44">
      <w:pPr>
        <w:jc w:val="both"/>
        <w:rPr>
          <w:rFonts w:ascii="Times New Roman" w:hAnsi="Times New Roman" w:cs="Times New Roman"/>
          <w:sz w:val="24"/>
          <w:szCs w:val="24"/>
        </w:rPr>
      </w:pPr>
      <w:r w:rsidRPr="00F44E44">
        <w:rPr>
          <w:rFonts w:ascii="Times New Roman" w:hAnsi="Times New Roman" w:cs="Times New Roman"/>
          <w:sz w:val="24"/>
          <w:szCs w:val="24"/>
        </w:rPr>
        <w:t>Visual impairment</w:t>
      </w:r>
      <w:r w:rsidR="00406FAF" w:rsidRPr="00F44E44">
        <w:rPr>
          <w:rFonts w:ascii="Times New Roman" w:hAnsi="Times New Roman" w:cs="Times New Roman"/>
          <w:sz w:val="24"/>
          <w:szCs w:val="24"/>
        </w:rPr>
        <w:t xml:space="preserve"> can increase </w:t>
      </w:r>
      <w:r w:rsidRPr="00F44E44">
        <w:rPr>
          <w:rFonts w:ascii="Times New Roman" w:hAnsi="Times New Roman" w:cs="Times New Roman"/>
          <w:sz w:val="24"/>
          <w:szCs w:val="24"/>
        </w:rPr>
        <w:t xml:space="preserve">the </w:t>
      </w:r>
      <w:r w:rsidR="008F6E43" w:rsidRPr="00F44E44">
        <w:rPr>
          <w:rFonts w:ascii="Times New Roman" w:hAnsi="Times New Roman" w:cs="Times New Roman"/>
          <w:sz w:val="24"/>
          <w:szCs w:val="24"/>
        </w:rPr>
        <w:t>risk of road traffic accidents (</w:t>
      </w:r>
      <w:r w:rsidR="007D20D9" w:rsidRPr="00F44E44">
        <w:rPr>
          <w:rFonts w:ascii="Times New Roman" w:hAnsi="Times New Roman" w:cs="Times New Roman"/>
          <w:sz w:val="24"/>
          <w:szCs w:val="24"/>
        </w:rPr>
        <w:t>notably</w:t>
      </w:r>
      <w:r w:rsidRPr="00F44E44">
        <w:rPr>
          <w:rFonts w:ascii="Times New Roman" w:hAnsi="Times New Roman" w:cs="Times New Roman"/>
          <w:sz w:val="24"/>
          <w:szCs w:val="24"/>
        </w:rPr>
        <w:t xml:space="preserve"> in d</w:t>
      </w:r>
      <w:r w:rsidR="00492E29" w:rsidRPr="00F44E44">
        <w:rPr>
          <w:rFonts w:ascii="Times New Roman" w:hAnsi="Times New Roman" w:cs="Times New Roman"/>
          <w:sz w:val="24"/>
          <w:szCs w:val="24"/>
        </w:rPr>
        <w:t xml:space="preserve">rivers </w:t>
      </w:r>
      <w:r w:rsidR="008F6E43" w:rsidRPr="00F44E44">
        <w:rPr>
          <w:rFonts w:ascii="Times New Roman" w:hAnsi="Times New Roman" w:cs="Times New Roman"/>
          <w:sz w:val="24"/>
          <w:szCs w:val="24"/>
        </w:rPr>
        <w:t xml:space="preserve">with </w:t>
      </w:r>
      <w:r w:rsidR="00406FAF" w:rsidRPr="00F44E44">
        <w:rPr>
          <w:rFonts w:ascii="Times New Roman" w:hAnsi="Times New Roman" w:cs="Times New Roman"/>
          <w:sz w:val="24"/>
          <w:szCs w:val="24"/>
        </w:rPr>
        <w:t>reduced field of vision</w:t>
      </w:r>
      <w:r w:rsidR="008F6E43" w:rsidRPr="00F44E44">
        <w:rPr>
          <w:rFonts w:ascii="Times New Roman" w:hAnsi="Times New Roman" w:cs="Times New Roman"/>
          <w:sz w:val="24"/>
          <w:szCs w:val="24"/>
        </w:rPr>
        <w:t>)</w:t>
      </w:r>
      <w:r w:rsidR="00492E29" w:rsidRPr="00F44E44">
        <w:rPr>
          <w:rFonts w:ascii="Times New Roman" w:hAnsi="Times New Roman" w:cs="Times New Roman"/>
          <w:sz w:val="24"/>
          <w:szCs w:val="24"/>
        </w:rPr>
        <w:t xml:space="preserve"> [</w:t>
      </w:r>
      <w:r w:rsidR="00BC3A84">
        <w:rPr>
          <w:rFonts w:ascii="Times New Roman" w:hAnsi="Times New Roman" w:cs="Times New Roman"/>
          <w:sz w:val="24"/>
          <w:szCs w:val="24"/>
        </w:rPr>
        <w:t>6</w:t>
      </w:r>
      <w:r w:rsidRPr="00F44E44">
        <w:rPr>
          <w:rFonts w:ascii="Times New Roman" w:hAnsi="Times New Roman" w:cs="Times New Roman"/>
          <w:sz w:val="24"/>
          <w:szCs w:val="24"/>
        </w:rPr>
        <w:t>]</w:t>
      </w:r>
      <w:r w:rsidR="00400C7F" w:rsidRPr="00F44E44">
        <w:rPr>
          <w:rFonts w:ascii="Times New Roman" w:hAnsi="Times New Roman" w:cs="Times New Roman"/>
          <w:sz w:val="24"/>
          <w:szCs w:val="24"/>
        </w:rPr>
        <w:t>,</w:t>
      </w:r>
      <w:r w:rsidRPr="00F44E44">
        <w:rPr>
          <w:rFonts w:ascii="Times New Roman" w:hAnsi="Times New Roman" w:cs="Times New Roman"/>
          <w:sz w:val="24"/>
          <w:szCs w:val="24"/>
        </w:rPr>
        <w:t xml:space="preserve"> </w:t>
      </w:r>
      <w:r w:rsidR="00400C7F" w:rsidRPr="00F44E44">
        <w:rPr>
          <w:rFonts w:ascii="Times New Roman" w:hAnsi="Times New Roman" w:cs="Times New Roman"/>
          <w:sz w:val="24"/>
          <w:szCs w:val="24"/>
        </w:rPr>
        <w:t>a</w:t>
      </w:r>
      <w:r w:rsidR="008F6E43" w:rsidRPr="00F44E44">
        <w:rPr>
          <w:rFonts w:ascii="Times New Roman" w:hAnsi="Times New Roman" w:cs="Times New Roman"/>
          <w:sz w:val="24"/>
          <w:szCs w:val="24"/>
        </w:rPr>
        <w:t xml:space="preserve"> concern </w:t>
      </w:r>
      <w:r w:rsidRPr="00F44E44">
        <w:rPr>
          <w:rFonts w:ascii="Times New Roman" w:hAnsi="Times New Roman" w:cs="Times New Roman"/>
          <w:sz w:val="24"/>
          <w:szCs w:val="24"/>
        </w:rPr>
        <w:t>reflected in tighter licensing and review arrangemen</w:t>
      </w:r>
      <w:r w:rsidR="00492E29" w:rsidRPr="00F44E44">
        <w:rPr>
          <w:rFonts w:ascii="Times New Roman" w:hAnsi="Times New Roman" w:cs="Times New Roman"/>
          <w:sz w:val="24"/>
          <w:szCs w:val="24"/>
        </w:rPr>
        <w:t>ts for older drivers</w:t>
      </w:r>
      <w:r w:rsidR="00400C7F" w:rsidRPr="00F44E44">
        <w:rPr>
          <w:rFonts w:ascii="Times New Roman" w:hAnsi="Times New Roman" w:cs="Times New Roman"/>
          <w:sz w:val="24"/>
          <w:szCs w:val="24"/>
        </w:rPr>
        <w:t xml:space="preserve">, </w:t>
      </w:r>
      <w:r w:rsidR="004C7769">
        <w:rPr>
          <w:rFonts w:ascii="Times New Roman" w:hAnsi="Times New Roman" w:cs="Times New Roman"/>
          <w:sz w:val="24"/>
          <w:szCs w:val="24"/>
        </w:rPr>
        <w:t>and among</w:t>
      </w:r>
      <w:r w:rsidRPr="00F44E44">
        <w:rPr>
          <w:rFonts w:ascii="Times New Roman" w:hAnsi="Times New Roman" w:cs="Times New Roman"/>
          <w:sz w:val="24"/>
          <w:szCs w:val="24"/>
        </w:rPr>
        <w:t xml:space="preserve"> older people,</w:t>
      </w:r>
      <w:r w:rsidR="008F6E43" w:rsidRPr="00F44E44">
        <w:rPr>
          <w:rFonts w:ascii="Times New Roman" w:hAnsi="Times New Roman" w:cs="Times New Roman"/>
          <w:sz w:val="24"/>
          <w:szCs w:val="24"/>
        </w:rPr>
        <w:t xml:space="preserve"> </w:t>
      </w:r>
      <w:r w:rsidR="004C7769">
        <w:rPr>
          <w:rFonts w:ascii="Times New Roman" w:hAnsi="Times New Roman" w:cs="Times New Roman"/>
          <w:sz w:val="24"/>
          <w:szCs w:val="24"/>
        </w:rPr>
        <w:t xml:space="preserve">those </w:t>
      </w:r>
      <w:r w:rsidR="008F6E43" w:rsidRPr="00F44E44">
        <w:rPr>
          <w:rFonts w:ascii="Times New Roman" w:hAnsi="Times New Roman" w:cs="Times New Roman"/>
          <w:sz w:val="24"/>
          <w:szCs w:val="24"/>
        </w:rPr>
        <w:t>with</w:t>
      </w:r>
      <w:r w:rsidRPr="00F44E44">
        <w:rPr>
          <w:rFonts w:ascii="Times New Roman" w:hAnsi="Times New Roman" w:cs="Times New Roman"/>
          <w:sz w:val="24"/>
          <w:szCs w:val="24"/>
        </w:rPr>
        <w:t xml:space="preserve"> visual impairment </w:t>
      </w:r>
      <w:r w:rsidR="00400C7F" w:rsidRPr="00F44E44">
        <w:rPr>
          <w:rFonts w:ascii="Times New Roman" w:hAnsi="Times New Roman" w:cs="Times New Roman"/>
          <w:sz w:val="24"/>
          <w:szCs w:val="24"/>
        </w:rPr>
        <w:t>have more</w:t>
      </w:r>
      <w:r w:rsidRPr="00F44E44">
        <w:rPr>
          <w:rFonts w:ascii="Times New Roman" w:hAnsi="Times New Roman" w:cs="Times New Roman"/>
          <w:sz w:val="24"/>
          <w:szCs w:val="24"/>
        </w:rPr>
        <w:t xml:space="preserve"> falls </w:t>
      </w:r>
      <w:r w:rsidR="00400C7F" w:rsidRPr="00F44E44">
        <w:rPr>
          <w:rFonts w:ascii="Times New Roman" w:hAnsi="Times New Roman" w:cs="Times New Roman"/>
          <w:sz w:val="24"/>
          <w:szCs w:val="24"/>
        </w:rPr>
        <w:t xml:space="preserve">in the home </w:t>
      </w:r>
      <w:r w:rsidRPr="00F44E44">
        <w:rPr>
          <w:rFonts w:ascii="Times New Roman" w:hAnsi="Times New Roman" w:cs="Times New Roman"/>
          <w:sz w:val="24"/>
          <w:szCs w:val="24"/>
        </w:rPr>
        <w:t>[</w:t>
      </w:r>
      <w:r w:rsidR="00406FAF" w:rsidRPr="00F44E44">
        <w:rPr>
          <w:rFonts w:ascii="Times New Roman" w:hAnsi="Times New Roman" w:cs="Times New Roman"/>
          <w:sz w:val="24"/>
          <w:szCs w:val="24"/>
        </w:rPr>
        <w:t>7</w:t>
      </w:r>
      <w:r w:rsidR="00400C7F" w:rsidRPr="00F44E44">
        <w:rPr>
          <w:rFonts w:ascii="Times New Roman" w:hAnsi="Times New Roman" w:cs="Times New Roman"/>
          <w:sz w:val="24"/>
          <w:szCs w:val="24"/>
        </w:rPr>
        <w:t xml:space="preserve">]. </w:t>
      </w:r>
      <w:r w:rsidR="004C7769">
        <w:rPr>
          <w:rFonts w:ascii="Times New Roman" w:hAnsi="Times New Roman" w:cs="Times New Roman"/>
          <w:sz w:val="24"/>
          <w:szCs w:val="24"/>
        </w:rPr>
        <w:t xml:space="preserve">This raises the possibility that visual difficulties might also predispose to accidents at work. </w:t>
      </w:r>
      <w:r w:rsidR="00400C7F" w:rsidRPr="00F44E44">
        <w:rPr>
          <w:rFonts w:ascii="Times New Roman" w:hAnsi="Times New Roman" w:cs="Times New Roman"/>
          <w:sz w:val="24"/>
          <w:szCs w:val="24"/>
        </w:rPr>
        <w:t>Risk of occupational injury</w:t>
      </w:r>
      <w:r w:rsidR="008F6E43" w:rsidRPr="00F44E44">
        <w:rPr>
          <w:rFonts w:ascii="Times New Roman" w:hAnsi="Times New Roman" w:cs="Times New Roman"/>
          <w:sz w:val="24"/>
          <w:szCs w:val="24"/>
        </w:rPr>
        <w:t xml:space="preserve"> and poor sight</w:t>
      </w:r>
      <w:r w:rsidR="00400C7F" w:rsidRPr="00F44E44">
        <w:rPr>
          <w:rFonts w:ascii="Times New Roman" w:hAnsi="Times New Roman" w:cs="Times New Roman"/>
          <w:sz w:val="24"/>
          <w:szCs w:val="24"/>
        </w:rPr>
        <w:t xml:space="preserve"> </w:t>
      </w:r>
      <w:r w:rsidR="008F6E43" w:rsidRPr="00F44E44">
        <w:rPr>
          <w:rFonts w:ascii="Times New Roman" w:hAnsi="Times New Roman" w:cs="Times New Roman"/>
          <w:sz w:val="24"/>
          <w:szCs w:val="24"/>
        </w:rPr>
        <w:t>have</w:t>
      </w:r>
      <w:r w:rsidR="00400C7F" w:rsidRPr="00F44E44">
        <w:rPr>
          <w:rFonts w:ascii="Times New Roman" w:hAnsi="Times New Roman" w:cs="Times New Roman"/>
          <w:sz w:val="24"/>
          <w:szCs w:val="24"/>
        </w:rPr>
        <w:t xml:space="preserve"> been the subject of several previous investigations</w:t>
      </w:r>
      <w:r w:rsidR="00103113">
        <w:rPr>
          <w:rFonts w:ascii="Times New Roman" w:hAnsi="Times New Roman" w:cs="Times New Roman"/>
          <w:sz w:val="24"/>
          <w:szCs w:val="24"/>
        </w:rPr>
        <w:t xml:space="preserve"> [8-18</w:t>
      </w:r>
      <w:r w:rsidR="00CA402C">
        <w:rPr>
          <w:rFonts w:ascii="Times New Roman" w:hAnsi="Times New Roman" w:cs="Times New Roman"/>
          <w:sz w:val="24"/>
          <w:szCs w:val="24"/>
        </w:rPr>
        <w:t>,25-28</w:t>
      </w:r>
      <w:r w:rsidR="00230F25" w:rsidRPr="00F44E44">
        <w:rPr>
          <w:rFonts w:ascii="Times New Roman" w:hAnsi="Times New Roman" w:cs="Times New Roman"/>
          <w:sz w:val="24"/>
          <w:szCs w:val="24"/>
        </w:rPr>
        <w:t>]:</w:t>
      </w:r>
      <w:r w:rsidR="00400C7F" w:rsidRPr="00F44E44">
        <w:rPr>
          <w:rFonts w:ascii="Times New Roman" w:hAnsi="Times New Roman" w:cs="Times New Roman"/>
          <w:sz w:val="24"/>
          <w:szCs w:val="24"/>
        </w:rPr>
        <w:t xml:space="preserve"> self-reported visual impairment [</w:t>
      </w:r>
      <w:r w:rsidR="00AB482F" w:rsidRPr="00F44E44">
        <w:rPr>
          <w:rFonts w:ascii="Times New Roman" w:hAnsi="Times New Roman" w:cs="Times New Roman"/>
          <w:sz w:val="24"/>
          <w:szCs w:val="24"/>
        </w:rPr>
        <w:t>8,12,17</w:t>
      </w:r>
      <w:r w:rsidR="00F80C8F">
        <w:rPr>
          <w:rFonts w:ascii="Times New Roman" w:hAnsi="Times New Roman" w:cs="Times New Roman"/>
          <w:sz w:val="24"/>
          <w:szCs w:val="24"/>
        </w:rPr>
        <w:t>,18</w:t>
      </w:r>
      <w:r w:rsidR="00400C7F" w:rsidRPr="00F44E44">
        <w:rPr>
          <w:rFonts w:ascii="Times New Roman" w:hAnsi="Times New Roman" w:cs="Times New Roman"/>
          <w:sz w:val="24"/>
          <w:szCs w:val="24"/>
        </w:rPr>
        <w:t xml:space="preserve">], </w:t>
      </w:r>
      <w:r w:rsidR="008F6E43" w:rsidRPr="00F44E44">
        <w:rPr>
          <w:rFonts w:ascii="Times New Roman" w:hAnsi="Times New Roman" w:cs="Times New Roman"/>
          <w:sz w:val="24"/>
          <w:szCs w:val="24"/>
        </w:rPr>
        <w:t>poor vision with glasses [10</w:t>
      </w:r>
      <w:r w:rsidR="00AB482F" w:rsidRPr="00F44E44">
        <w:rPr>
          <w:rFonts w:ascii="Times New Roman" w:hAnsi="Times New Roman" w:cs="Times New Roman"/>
          <w:sz w:val="24"/>
          <w:szCs w:val="24"/>
        </w:rPr>
        <w:t>,11</w:t>
      </w:r>
      <w:r w:rsidR="00F80C8F">
        <w:rPr>
          <w:rFonts w:ascii="Times New Roman" w:hAnsi="Times New Roman" w:cs="Times New Roman"/>
          <w:sz w:val="24"/>
          <w:szCs w:val="24"/>
        </w:rPr>
        <w:t>,18</w:t>
      </w:r>
      <w:r w:rsidR="008F6E43" w:rsidRPr="00F44E44">
        <w:rPr>
          <w:rFonts w:ascii="Times New Roman" w:hAnsi="Times New Roman" w:cs="Times New Roman"/>
          <w:sz w:val="24"/>
          <w:szCs w:val="24"/>
        </w:rPr>
        <w:t xml:space="preserve">], </w:t>
      </w:r>
      <w:r w:rsidR="00400C7F" w:rsidRPr="00F44E44">
        <w:rPr>
          <w:rFonts w:ascii="Times New Roman" w:hAnsi="Times New Roman" w:cs="Times New Roman"/>
          <w:sz w:val="24"/>
          <w:szCs w:val="24"/>
        </w:rPr>
        <w:t>interviewer-assessed blindness</w:t>
      </w:r>
      <w:r w:rsidR="00AB482F" w:rsidRPr="00F44E44">
        <w:rPr>
          <w:rFonts w:ascii="Times New Roman" w:hAnsi="Times New Roman" w:cs="Times New Roman"/>
          <w:sz w:val="24"/>
          <w:szCs w:val="24"/>
        </w:rPr>
        <w:t xml:space="preserve"> [12</w:t>
      </w:r>
      <w:r w:rsidR="00400C7F" w:rsidRPr="00F44E44">
        <w:rPr>
          <w:rFonts w:ascii="Times New Roman" w:hAnsi="Times New Roman" w:cs="Times New Roman"/>
          <w:sz w:val="24"/>
          <w:szCs w:val="24"/>
        </w:rPr>
        <w:t>] and, to a lesser extent, medically diagnosed eye disorder [15</w:t>
      </w:r>
      <w:r w:rsidR="00F80C8F">
        <w:rPr>
          <w:rFonts w:ascii="Times New Roman" w:hAnsi="Times New Roman" w:cs="Times New Roman"/>
          <w:sz w:val="24"/>
          <w:szCs w:val="24"/>
        </w:rPr>
        <w:t>,18</w:t>
      </w:r>
      <w:r w:rsidR="00400C7F" w:rsidRPr="00F44E44">
        <w:rPr>
          <w:rFonts w:ascii="Times New Roman" w:hAnsi="Times New Roman" w:cs="Times New Roman"/>
          <w:sz w:val="24"/>
          <w:szCs w:val="24"/>
        </w:rPr>
        <w:t>]</w:t>
      </w:r>
      <w:r w:rsidR="008F6E43" w:rsidRPr="00F44E44">
        <w:rPr>
          <w:rFonts w:ascii="Times New Roman" w:hAnsi="Times New Roman" w:cs="Times New Roman"/>
          <w:sz w:val="24"/>
          <w:szCs w:val="24"/>
        </w:rPr>
        <w:t>,</w:t>
      </w:r>
      <w:r w:rsidR="00400C7F" w:rsidRPr="00F44E44">
        <w:rPr>
          <w:rFonts w:ascii="Times New Roman" w:hAnsi="Times New Roman" w:cs="Times New Roman"/>
          <w:sz w:val="24"/>
          <w:szCs w:val="24"/>
        </w:rPr>
        <w:t xml:space="preserve"> have all been linked with moderate elevation</w:t>
      </w:r>
      <w:r w:rsidR="00230F25" w:rsidRPr="00F44E44">
        <w:rPr>
          <w:rFonts w:ascii="Times New Roman" w:hAnsi="Times New Roman" w:cs="Times New Roman"/>
          <w:sz w:val="24"/>
          <w:szCs w:val="24"/>
        </w:rPr>
        <w:t>s</w:t>
      </w:r>
      <w:r w:rsidR="00400C7F" w:rsidRPr="00F44E44">
        <w:rPr>
          <w:rFonts w:ascii="Times New Roman" w:hAnsi="Times New Roman" w:cs="Times New Roman"/>
          <w:sz w:val="24"/>
          <w:szCs w:val="24"/>
        </w:rPr>
        <w:t xml:space="preserve"> in</w:t>
      </w:r>
      <w:r w:rsidR="004C7769">
        <w:rPr>
          <w:rFonts w:ascii="Times New Roman" w:hAnsi="Times New Roman" w:cs="Times New Roman"/>
          <w:sz w:val="24"/>
          <w:szCs w:val="24"/>
        </w:rPr>
        <w:t xml:space="preserve"> risk of</w:t>
      </w:r>
      <w:r w:rsidR="00400C7F" w:rsidRPr="00F44E44">
        <w:rPr>
          <w:rFonts w:ascii="Times New Roman" w:hAnsi="Times New Roman" w:cs="Times New Roman"/>
          <w:sz w:val="24"/>
          <w:szCs w:val="24"/>
        </w:rPr>
        <w:t xml:space="preserve"> injury</w:t>
      </w:r>
      <w:r w:rsidR="00CA402C">
        <w:rPr>
          <w:rFonts w:ascii="Times New Roman" w:hAnsi="Times New Roman" w:cs="Times New Roman"/>
          <w:sz w:val="24"/>
          <w:szCs w:val="24"/>
        </w:rPr>
        <w:t>.</w:t>
      </w:r>
    </w:p>
    <w:p w:rsidR="00400C7F" w:rsidRPr="00F44E44" w:rsidRDefault="00400C7F" w:rsidP="00F44E44">
      <w:pPr>
        <w:jc w:val="both"/>
        <w:rPr>
          <w:rFonts w:ascii="Times New Roman" w:hAnsi="Times New Roman" w:cs="Times New Roman"/>
          <w:sz w:val="24"/>
          <w:szCs w:val="24"/>
        </w:rPr>
      </w:pPr>
    </w:p>
    <w:p w:rsidR="00230F25" w:rsidRPr="00F44E44" w:rsidRDefault="007D20D9" w:rsidP="00F44E44">
      <w:pPr>
        <w:jc w:val="both"/>
        <w:rPr>
          <w:rFonts w:ascii="Times New Roman" w:hAnsi="Times New Roman" w:cs="Times New Roman"/>
          <w:sz w:val="24"/>
          <w:szCs w:val="24"/>
        </w:rPr>
      </w:pPr>
      <w:r w:rsidRPr="00F44E44">
        <w:rPr>
          <w:rFonts w:ascii="Times New Roman" w:hAnsi="Times New Roman" w:cs="Times New Roman"/>
          <w:sz w:val="24"/>
          <w:szCs w:val="24"/>
        </w:rPr>
        <w:t xml:space="preserve">Hearing </w:t>
      </w:r>
      <w:r w:rsidR="00230F25" w:rsidRPr="00F44E44">
        <w:rPr>
          <w:rFonts w:ascii="Times New Roman" w:hAnsi="Times New Roman" w:cs="Times New Roman"/>
          <w:sz w:val="24"/>
          <w:szCs w:val="24"/>
        </w:rPr>
        <w:t>impairment</w:t>
      </w:r>
      <w:r w:rsidRPr="00F44E44">
        <w:rPr>
          <w:rFonts w:ascii="Times New Roman" w:hAnsi="Times New Roman" w:cs="Times New Roman"/>
          <w:sz w:val="24"/>
          <w:szCs w:val="24"/>
        </w:rPr>
        <w:t xml:space="preserve"> is</w:t>
      </w:r>
      <w:r w:rsidR="00230F25" w:rsidRPr="00F44E44">
        <w:rPr>
          <w:rFonts w:ascii="Times New Roman" w:hAnsi="Times New Roman" w:cs="Times New Roman"/>
          <w:sz w:val="24"/>
          <w:szCs w:val="24"/>
        </w:rPr>
        <w:t xml:space="preserve"> likewise</w:t>
      </w:r>
      <w:r w:rsidRPr="00F44E44">
        <w:rPr>
          <w:rFonts w:ascii="Times New Roman" w:hAnsi="Times New Roman" w:cs="Times New Roman"/>
          <w:sz w:val="24"/>
          <w:szCs w:val="24"/>
        </w:rPr>
        <w:t xml:space="preserve"> common in the general population and of increasing </w:t>
      </w:r>
      <w:r w:rsidR="004C7769">
        <w:rPr>
          <w:rFonts w:ascii="Times New Roman" w:hAnsi="Times New Roman" w:cs="Times New Roman"/>
          <w:sz w:val="24"/>
          <w:szCs w:val="24"/>
        </w:rPr>
        <w:t>prevalence in</w:t>
      </w:r>
      <w:r w:rsidRPr="00F44E44">
        <w:rPr>
          <w:rFonts w:ascii="Times New Roman" w:hAnsi="Times New Roman" w:cs="Times New Roman"/>
          <w:sz w:val="24"/>
          <w:szCs w:val="24"/>
        </w:rPr>
        <w:t xml:space="preserve"> ageing workforce</w:t>
      </w:r>
      <w:r w:rsidR="003936B5">
        <w:rPr>
          <w:rFonts w:ascii="Times New Roman" w:hAnsi="Times New Roman" w:cs="Times New Roman"/>
          <w:sz w:val="24"/>
          <w:szCs w:val="24"/>
        </w:rPr>
        <w:t>s</w:t>
      </w:r>
      <w:r w:rsidRPr="00F44E44">
        <w:rPr>
          <w:rFonts w:ascii="Times New Roman" w:hAnsi="Times New Roman" w:cs="Times New Roman"/>
          <w:sz w:val="24"/>
          <w:szCs w:val="24"/>
        </w:rPr>
        <w:t>.</w:t>
      </w:r>
      <w:r w:rsidR="008F6E43" w:rsidRPr="00F44E44">
        <w:rPr>
          <w:rFonts w:ascii="Times New Roman" w:hAnsi="Times New Roman" w:cs="Times New Roman"/>
          <w:sz w:val="24"/>
          <w:szCs w:val="24"/>
        </w:rPr>
        <w:t xml:space="preserve"> In one national survey, 2% of men and women of working age</w:t>
      </w:r>
      <w:r w:rsidR="004C7769">
        <w:rPr>
          <w:rFonts w:ascii="Times New Roman" w:hAnsi="Times New Roman" w:cs="Times New Roman"/>
          <w:sz w:val="24"/>
          <w:szCs w:val="24"/>
        </w:rPr>
        <w:t xml:space="preserve"> in Britain</w:t>
      </w:r>
      <w:r w:rsidR="008F6E43" w:rsidRPr="00F44E44">
        <w:rPr>
          <w:rFonts w:ascii="Times New Roman" w:hAnsi="Times New Roman" w:cs="Times New Roman"/>
          <w:sz w:val="24"/>
          <w:szCs w:val="24"/>
        </w:rPr>
        <w:t xml:space="preserve"> had severe difficulty in hearing [1</w:t>
      </w:r>
      <w:r w:rsidR="00F80C8F">
        <w:rPr>
          <w:rFonts w:ascii="Times New Roman" w:hAnsi="Times New Roman" w:cs="Times New Roman"/>
          <w:sz w:val="24"/>
          <w:szCs w:val="24"/>
        </w:rPr>
        <w:t>9</w:t>
      </w:r>
      <w:r w:rsidR="008F6E43" w:rsidRPr="00F44E44">
        <w:rPr>
          <w:rFonts w:ascii="Times New Roman" w:hAnsi="Times New Roman" w:cs="Times New Roman"/>
          <w:sz w:val="24"/>
          <w:szCs w:val="24"/>
        </w:rPr>
        <w:t xml:space="preserve">], and in another, 8% of 51–60 year-olds </w:t>
      </w:r>
      <w:r w:rsidR="008F6E43" w:rsidRPr="00F44E44">
        <w:rPr>
          <w:rFonts w:ascii="Times New Roman" w:hAnsi="Times New Roman" w:cs="Times New Roman"/>
          <w:sz w:val="24"/>
          <w:szCs w:val="24"/>
        </w:rPr>
        <w:lastRenderedPageBreak/>
        <w:t xml:space="preserve">had bilateral hearing impairment of 35–45 dB HL and 5% </w:t>
      </w:r>
      <w:r w:rsidR="004C7769">
        <w:rPr>
          <w:rFonts w:ascii="Times New Roman" w:hAnsi="Times New Roman" w:cs="Times New Roman"/>
          <w:sz w:val="24"/>
          <w:szCs w:val="24"/>
        </w:rPr>
        <w:t>an even</w:t>
      </w:r>
      <w:r w:rsidR="008F6E43" w:rsidRPr="00F44E44">
        <w:rPr>
          <w:rFonts w:ascii="Times New Roman" w:hAnsi="Times New Roman" w:cs="Times New Roman"/>
          <w:sz w:val="24"/>
          <w:szCs w:val="24"/>
        </w:rPr>
        <w:t xml:space="preserve"> greater deficit [</w:t>
      </w:r>
      <w:r w:rsidR="00F80C8F">
        <w:rPr>
          <w:rFonts w:ascii="Times New Roman" w:hAnsi="Times New Roman" w:cs="Times New Roman"/>
          <w:sz w:val="24"/>
          <w:szCs w:val="24"/>
        </w:rPr>
        <w:t>20</w:t>
      </w:r>
      <w:r w:rsidR="008F6E43" w:rsidRPr="00F44E44">
        <w:rPr>
          <w:rFonts w:ascii="Times New Roman" w:hAnsi="Times New Roman" w:cs="Times New Roman"/>
          <w:sz w:val="24"/>
          <w:szCs w:val="24"/>
        </w:rPr>
        <w:t xml:space="preserve">]. </w:t>
      </w:r>
      <w:r w:rsidR="00D849B7" w:rsidRPr="00F44E44">
        <w:rPr>
          <w:rFonts w:ascii="Times New Roman" w:hAnsi="Times New Roman" w:cs="Times New Roman"/>
          <w:sz w:val="24"/>
          <w:szCs w:val="24"/>
        </w:rPr>
        <w:t xml:space="preserve">Impaired hearing and deafness can result in relative isolation from noisy hazards in the work environment, a failure to recognise auditory warning signals, and perhaps more chance of missing or misunderstanding important safety instructions. </w:t>
      </w:r>
      <w:r w:rsidR="00230F25" w:rsidRPr="00F44E44">
        <w:rPr>
          <w:rFonts w:ascii="Times New Roman" w:hAnsi="Times New Roman" w:cs="Times New Roman"/>
          <w:sz w:val="24"/>
          <w:szCs w:val="24"/>
        </w:rPr>
        <w:t xml:space="preserve">In keeping with this, </w:t>
      </w:r>
      <w:r w:rsidR="00230F25" w:rsidRPr="00F44E44">
        <w:rPr>
          <w:rFonts w:ascii="Times New Roman" w:eastAsia="Calibri" w:hAnsi="Times New Roman" w:cs="Times New Roman"/>
          <w:sz w:val="24"/>
          <w:szCs w:val="24"/>
        </w:rPr>
        <w:t xml:space="preserve">most </w:t>
      </w:r>
      <w:r w:rsidR="00230F25" w:rsidRPr="00F44E44">
        <w:rPr>
          <w:rFonts w:ascii="Times New Roman" w:hAnsi="Times New Roman" w:cs="Times New Roman"/>
          <w:sz w:val="24"/>
          <w:szCs w:val="24"/>
        </w:rPr>
        <w:t>of 1</w:t>
      </w:r>
      <w:r w:rsidR="00CA402C">
        <w:rPr>
          <w:rFonts w:ascii="Times New Roman" w:hAnsi="Times New Roman" w:cs="Times New Roman"/>
          <w:sz w:val="24"/>
          <w:szCs w:val="24"/>
        </w:rPr>
        <w:t>6</w:t>
      </w:r>
      <w:r w:rsidR="00230F25" w:rsidRPr="00F44E44">
        <w:rPr>
          <w:rFonts w:ascii="Times New Roman" w:hAnsi="Times New Roman" w:cs="Times New Roman"/>
          <w:sz w:val="24"/>
          <w:szCs w:val="24"/>
        </w:rPr>
        <w:t xml:space="preserve"> recently reviewed </w:t>
      </w:r>
      <w:r w:rsidR="000F2C68" w:rsidRPr="00F44E44">
        <w:rPr>
          <w:rFonts w:ascii="Times New Roman" w:hAnsi="Times New Roman" w:cs="Times New Roman"/>
          <w:sz w:val="24"/>
          <w:szCs w:val="24"/>
        </w:rPr>
        <w:t>studies</w:t>
      </w:r>
      <w:r w:rsidR="00230F25" w:rsidRPr="00F44E44">
        <w:rPr>
          <w:rFonts w:ascii="Times New Roman" w:hAnsi="Times New Roman" w:cs="Times New Roman"/>
          <w:sz w:val="24"/>
          <w:szCs w:val="24"/>
        </w:rPr>
        <w:t xml:space="preserve"> of hearing impairmen</w:t>
      </w:r>
      <w:r w:rsidR="008F6E43" w:rsidRPr="00F44E44">
        <w:rPr>
          <w:rFonts w:ascii="Times New Roman" w:hAnsi="Times New Roman" w:cs="Times New Roman"/>
          <w:sz w:val="24"/>
          <w:szCs w:val="24"/>
        </w:rPr>
        <w:t>t and workplace injury [</w:t>
      </w:r>
      <w:r w:rsidR="000F2C68" w:rsidRPr="00F44E44">
        <w:rPr>
          <w:rFonts w:ascii="Times New Roman" w:hAnsi="Times New Roman" w:cs="Times New Roman"/>
          <w:sz w:val="24"/>
          <w:szCs w:val="24"/>
        </w:rPr>
        <w:t>8-14,16,</w:t>
      </w:r>
      <w:r w:rsidR="00125385" w:rsidRPr="00F44E44">
        <w:rPr>
          <w:rFonts w:ascii="Times New Roman" w:hAnsi="Times New Roman" w:cs="Times New Roman"/>
          <w:sz w:val="24"/>
          <w:szCs w:val="24"/>
        </w:rPr>
        <w:t>17,</w:t>
      </w:r>
      <w:r w:rsidR="000F2C68" w:rsidRPr="00F44E44">
        <w:rPr>
          <w:rFonts w:ascii="Times New Roman" w:hAnsi="Times New Roman" w:cs="Times New Roman"/>
          <w:sz w:val="24"/>
          <w:szCs w:val="24"/>
        </w:rPr>
        <w:t>2</w:t>
      </w:r>
      <w:r w:rsidR="00F80C8F">
        <w:rPr>
          <w:rFonts w:ascii="Times New Roman" w:hAnsi="Times New Roman" w:cs="Times New Roman"/>
          <w:sz w:val="24"/>
          <w:szCs w:val="24"/>
        </w:rPr>
        <w:t>1</w:t>
      </w:r>
      <w:r w:rsidR="000F2C68" w:rsidRPr="00F44E44">
        <w:rPr>
          <w:rFonts w:ascii="Times New Roman" w:hAnsi="Times New Roman" w:cs="Times New Roman"/>
          <w:sz w:val="24"/>
          <w:szCs w:val="24"/>
        </w:rPr>
        <w:t>-</w:t>
      </w:r>
      <w:r w:rsidR="00077E17">
        <w:rPr>
          <w:rFonts w:ascii="Times New Roman" w:hAnsi="Times New Roman" w:cs="Times New Roman"/>
          <w:sz w:val="24"/>
          <w:szCs w:val="24"/>
        </w:rPr>
        <w:t>31</w:t>
      </w:r>
      <w:r w:rsidR="00230F25" w:rsidRPr="00F44E44">
        <w:rPr>
          <w:rFonts w:ascii="Times New Roman" w:hAnsi="Times New Roman" w:cs="Times New Roman"/>
          <w:sz w:val="24"/>
          <w:szCs w:val="24"/>
        </w:rPr>
        <w:t xml:space="preserve">] </w:t>
      </w:r>
      <w:r w:rsidR="004C7769">
        <w:rPr>
          <w:rFonts w:ascii="Times New Roman" w:hAnsi="Times New Roman" w:cs="Times New Roman"/>
          <w:sz w:val="24"/>
          <w:szCs w:val="24"/>
        </w:rPr>
        <w:t>found</w:t>
      </w:r>
      <w:r w:rsidR="00230F25" w:rsidRPr="00F44E44">
        <w:rPr>
          <w:rFonts w:ascii="Times New Roman" w:eastAsia="Calibri" w:hAnsi="Times New Roman" w:cs="Times New Roman"/>
          <w:sz w:val="24"/>
          <w:szCs w:val="24"/>
        </w:rPr>
        <w:t xml:space="preserve"> moderately positive associations </w:t>
      </w:r>
      <w:r w:rsidR="004C7769">
        <w:rPr>
          <w:rFonts w:ascii="Times New Roman" w:hAnsi="Times New Roman" w:cs="Times New Roman"/>
          <w:sz w:val="24"/>
          <w:szCs w:val="24"/>
        </w:rPr>
        <w:t>(o</w:t>
      </w:r>
      <w:r w:rsidR="00230F25" w:rsidRPr="00F44E44">
        <w:rPr>
          <w:rFonts w:ascii="Times New Roman" w:hAnsi="Times New Roman" w:cs="Times New Roman"/>
          <w:sz w:val="24"/>
          <w:szCs w:val="24"/>
        </w:rPr>
        <w:t xml:space="preserve">dds </w:t>
      </w:r>
      <w:r w:rsidR="004C7769">
        <w:rPr>
          <w:rFonts w:ascii="Times New Roman" w:eastAsia="Calibri" w:hAnsi="Times New Roman" w:cs="Times New Roman"/>
          <w:sz w:val="24"/>
          <w:szCs w:val="24"/>
        </w:rPr>
        <w:t>r</w:t>
      </w:r>
      <w:r w:rsidR="00230F25" w:rsidRPr="00F44E44">
        <w:rPr>
          <w:rFonts w:ascii="Times New Roman" w:hAnsi="Times New Roman" w:cs="Times New Roman"/>
          <w:sz w:val="24"/>
          <w:szCs w:val="24"/>
        </w:rPr>
        <w:t>atio</w:t>
      </w:r>
      <w:r w:rsidR="00AB482F" w:rsidRPr="00F44E44">
        <w:rPr>
          <w:rFonts w:ascii="Times New Roman" w:hAnsi="Times New Roman" w:cs="Times New Roman"/>
          <w:sz w:val="24"/>
          <w:szCs w:val="24"/>
        </w:rPr>
        <w:t>s</w:t>
      </w:r>
      <w:r w:rsidR="004C7769">
        <w:rPr>
          <w:rFonts w:ascii="Times New Roman" w:hAnsi="Times New Roman" w:cs="Times New Roman"/>
          <w:sz w:val="24"/>
          <w:szCs w:val="24"/>
        </w:rPr>
        <w:t xml:space="preserve"> (ORs)</w:t>
      </w:r>
      <w:r w:rsidR="00230F25" w:rsidRPr="00F44E44">
        <w:rPr>
          <w:rFonts w:ascii="Times New Roman" w:eastAsia="Calibri" w:hAnsi="Times New Roman" w:cs="Times New Roman"/>
          <w:sz w:val="24"/>
          <w:szCs w:val="24"/>
        </w:rPr>
        <w:t xml:space="preserve"> &gt;</w:t>
      </w:r>
      <w:r w:rsidR="00230F25" w:rsidRPr="00F44E44">
        <w:rPr>
          <w:rFonts w:ascii="Times New Roman" w:hAnsi="Times New Roman" w:cs="Times New Roman"/>
          <w:sz w:val="24"/>
          <w:szCs w:val="24"/>
        </w:rPr>
        <w:t>1.5) with relative risks</w:t>
      </w:r>
      <w:r w:rsidR="00230F25" w:rsidRPr="00F44E44">
        <w:rPr>
          <w:rFonts w:ascii="Times New Roman" w:eastAsia="Calibri" w:hAnsi="Times New Roman" w:cs="Times New Roman"/>
          <w:sz w:val="24"/>
          <w:szCs w:val="24"/>
        </w:rPr>
        <w:t xml:space="preserve"> sometimes </w:t>
      </w:r>
      <w:r w:rsidR="00230F25" w:rsidRPr="00F44E44">
        <w:rPr>
          <w:rFonts w:ascii="Times New Roman" w:hAnsi="Times New Roman" w:cs="Times New Roman"/>
          <w:sz w:val="24"/>
          <w:szCs w:val="24"/>
        </w:rPr>
        <w:t>more than doubled.</w:t>
      </w:r>
      <w:r w:rsidR="000D77E4" w:rsidRPr="000D77E4">
        <w:rPr>
          <w:rFonts w:ascii="Times New Roman" w:hAnsi="Times New Roman" w:cs="Times New Roman"/>
          <w:sz w:val="24"/>
          <w:szCs w:val="24"/>
        </w:rPr>
        <w:t xml:space="preserve"> </w:t>
      </w:r>
    </w:p>
    <w:p w:rsidR="00925546" w:rsidRPr="00F44E44" w:rsidRDefault="00925546" w:rsidP="00F44E44">
      <w:pPr>
        <w:jc w:val="both"/>
        <w:rPr>
          <w:rFonts w:ascii="Times New Roman" w:hAnsi="Times New Roman" w:cs="Times New Roman"/>
          <w:sz w:val="24"/>
          <w:szCs w:val="24"/>
        </w:rPr>
      </w:pPr>
    </w:p>
    <w:p w:rsidR="00925546" w:rsidRPr="00F44E44" w:rsidRDefault="003936B5" w:rsidP="00F44E44">
      <w:pPr>
        <w:jc w:val="both"/>
        <w:rPr>
          <w:rFonts w:ascii="Times New Roman" w:hAnsi="Times New Roman" w:cs="Times New Roman"/>
          <w:sz w:val="24"/>
          <w:szCs w:val="24"/>
        </w:rPr>
      </w:pPr>
      <w:r>
        <w:rPr>
          <w:rFonts w:ascii="Times New Roman" w:hAnsi="Times New Roman" w:cs="Times New Roman"/>
          <w:sz w:val="24"/>
          <w:szCs w:val="24"/>
        </w:rPr>
        <w:t>H</w:t>
      </w:r>
      <w:r w:rsidRPr="00F44E44">
        <w:rPr>
          <w:rFonts w:ascii="Times New Roman" w:hAnsi="Times New Roman" w:cs="Times New Roman"/>
          <w:sz w:val="24"/>
          <w:szCs w:val="24"/>
        </w:rPr>
        <w:t xml:space="preserve">owever, </w:t>
      </w:r>
      <w:r>
        <w:rPr>
          <w:rFonts w:ascii="Times New Roman" w:hAnsi="Times New Roman" w:cs="Times New Roman"/>
          <w:sz w:val="24"/>
          <w:szCs w:val="24"/>
        </w:rPr>
        <w:t>a</w:t>
      </w:r>
      <w:r w:rsidR="00925546" w:rsidRPr="00F44E44">
        <w:rPr>
          <w:rFonts w:ascii="Times New Roman" w:hAnsi="Times New Roman" w:cs="Times New Roman"/>
          <w:sz w:val="24"/>
          <w:szCs w:val="24"/>
        </w:rPr>
        <w:t>s has been pointed out elsewhere [</w:t>
      </w:r>
      <w:r w:rsidR="00125385" w:rsidRPr="00F44E44">
        <w:rPr>
          <w:rFonts w:ascii="Times New Roman" w:hAnsi="Times New Roman" w:cs="Times New Roman"/>
          <w:sz w:val="24"/>
          <w:szCs w:val="24"/>
        </w:rPr>
        <w:t>3</w:t>
      </w:r>
      <w:r w:rsidR="00077E17">
        <w:rPr>
          <w:rFonts w:ascii="Times New Roman" w:hAnsi="Times New Roman" w:cs="Times New Roman"/>
          <w:sz w:val="24"/>
          <w:szCs w:val="24"/>
        </w:rPr>
        <w:t>2</w:t>
      </w:r>
      <w:r w:rsidR="00925546" w:rsidRPr="00F44E44">
        <w:rPr>
          <w:rFonts w:ascii="Times New Roman" w:hAnsi="Times New Roman" w:cs="Times New Roman"/>
          <w:sz w:val="24"/>
          <w:szCs w:val="24"/>
        </w:rPr>
        <w:t xml:space="preserve">], </w:t>
      </w:r>
      <w:r w:rsidR="000D725B" w:rsidRPr="00F44E44">
        <w:rPr>
          <w:rFonts w:ascii="Times New Roman" w:hAnsi="Times New Roman" w:cs="Times New Roman"/>
          <w:sz w:val="24"/>
          <w:szCs w:val="24"/>
        </w:rPr>
        <w:t xml:space="preserve">most </w:t>
      </w:r>
      <w:r w:rsidR="00E4769D">
        <w:rPr>
          <w:rFonts w:ascii="Times New Roman" w:hAnsi="Times New Roman" w:cs="Times New Roman"/>
          <w:sz w:val="24"/>
          <w:szCs w:val="24"/>
        </w:rPr>
        <w:t>studie</w:t>
      </w:r>
      <w:r w:rsidR="00E4769D" w:rsidRPr="00F44E44">
        <w:rPr>
          <w:rFonts w:ascii="Times New Roman" w:hAnsi="Times New Roman" w:cs="Times New Roman"/>
          <w:sz w:val="24"/>
          <w:szCs w:val="24"/>
        </w:rPr>
        <w:t>s o</w:t>
      </w:r>
      <w:r w:rsidR="00E4769D">
        <w:rPr>
          <w:rFonts w:ascii="Times New Roman" w:hAnsi="Times New Roman" w:cs="Times New Roman"/>
          <w:sz w:val="24"/>
          <w:szCs w:val="24"/>
        </w:rPr>
        <w:t>f</w:t>
      </w:r>
      <w:r w:rsidR="00E4769D" w:rsidRPr="00F44E44">
        <w:rPr>
          <w:rFonts w:ascii="Times New Roman" w:hAnsi="Times New Roman" w:cs="Times New Roman"/>
          <w:sz w:val="24"/>
          <w:szCs w:val="24"/>
        </w:rPr>
        <w:t xml:space="preserve"> </w:t>
      </w:r>
      <w:r w:rsidR="000D725B" w:rsidRPr="00F44E44">
        <w:rPr>
          <w:rFonts w:ascii="Times New Roman" w:hAnsi="Times New Roman" w:cs="Times New Roman"/>
          <w:sz w:val="24"/>
          <w:szCs w:val="24"/>
        </w:rPr>
        <w:t xml:space="preserve">sensory impairment and </w:t>
      </w:r>
      <w:r w:rsidR="004C7769" w:rsidRPr="00F44E44">
        <w:rPr>
          <w:rFonts w:ascii="Times New Roman" w:hAnsi="Times New Roman" w:cs="Times New Roman"/>
          <w:sz w:val="24"/>
          <w:szCs w:val="24"/>
        </w:rPr>
        <w:t>risk</w:t>
      </w:r>
      <w:r w:rsidR="004C7769">
        <w:rPr>
          <w:rFonts w:ascii="Times New Roman" w:hAnsi="Times New Roman" w:cs="Times New Roman"/>
          <w:sz w:val="24"/>
          <w:szCs w:val="24"/>
        </w:rPr>
        <w:t xml:space="preserve"> of injury</w:t>
      </w:r>
      <w:r w:rsidR="004C7769" w:rsidRPr="00F44E44">
        <w:rPr>
          <w:rFonts w:ascii="Times New Roman" w:hAnsi="Times New Roman" w:cs="Times New Roman"/>
          <w:sz w:val="24"/>
          <w:szCs w:val="24"/>
        </w:rPr>
        <w:t xml:space="preserve"> </w:t>
      </w:r>
      <w:r w:rsidR="004C7769">
        <w:rPr>
          <w:rFonts w:ascii="Times New Roman" w:hAnsi="Times New Roman" w:cs="Times New Roman"/>
          <w:sz w:val="24"/>
          <w:szCs w:val="24"/>
        </w:rPr>
        <w:t xml:space="preserve">in the </w:t>
      </w:r>
      <w:r w:rsidR="000D725B" w:rsidRPr="00F44E44">
        <w:rPr>
          <w:rFonts w:ascii="Times New Roman" w:hAnsi="Times New Roman" w:cs="Times New Roman"/>
          <w:sz w:val="24"/>
          <w:szCs w:val="24"/>
        </w:rPr>
        <w:t xml:space="preserve">workplace have relied on </w:t>
      </w:r>
      <w:r w:rsidR="000D725B" w:rsidRPr="004C7769">
        <w:rPr>
          <w:rFonts w:ascii="Times New Roman" w:hAnsi="Times New Roman" w:cs="Times New Roman"/>
          <w:sz w:val="24"/>
          <w:szCs w:val="24"/>
        </w:rPr>
        <w:t xml:space="preserve">self-report, both </w:t>
      </w:r>
      <w:r w:rsidR="006F61EE" w:rsidRPr="004C7769">
        <w:rPr>
          <w:rFonts w:ascii="Times New Roman" w:hAnsi="Times New Roman" w:cs="Times New Roman"/>
          <w:sz w:val="24"/>
          <w:szCs w:val="24"/>
        </w:rPr>
        <w:t>of</w:t>
      </w:r>
      <w:r w:rsidR="000D725B" w:rsidRPr="004C7769">
        <w:rPr>
          <w:rFonts w:ascii="Times New Roman" w:hAnsi="Times New Roman" w:cs="Times New Roman"/>
          <w:sz w:val="24"/>
          <w:szCs w:val="24"/>
        </w:rPr>
        <w:t xml:space="preserve"> injury and </w:t>
      </w:r>
      <w:r w:rsidR="006F61EE" w:rsidRPr="004C7769">
        <w:rPr>
          <w:rFonts w:ascii="Times New Roman" w:hAnsi="Times New Roman" w:cs="Times New Roman"/>
          <w:sz w:val="24"/>
          <w:szCs w:val="24"/>
        </w:rPr>
        <w:t>of</w:t>
      </w:r>
      <w:r w:rsidR="000D725B" w:rsidRPr="004C7769">
        <w:rPr>
          <w:rFonts w:ascii="Times New Roman" w:hAnsi="Times New Roman" w:cs="Times New Roman"/>
          <w:sz w:val="24"/>
          <w:szCs w:val="24"/>
        </w:rPr>
        <w:t xml:space="preserve"> health impairment (with the possibility that those with an injury record were more likely to notice and report</w:t>
      </w:r>
      <w:r w:rsidR="000E4256" w:rsidRPr="004C7769">
        <w:rPr>
          <w:rFonts w:ascii="Times New Roman" w:hAnsi="Times New Roman" w:cs="Times New Roman"/>
          <w:sz w:val="24"/>
          <w:szCs w:val="24"/>
        </w:rPr>
        <w:t xml:space="preserve"> </w:t>
      </w:r>
      <w:r w:rsidR="000D725B" w:rsidRPr="004C7769">
        <w:rPr>
          <w:rFonts w:ascii="Times New Roman" w:hAnsi="Times New Roman" w:cs="Times New Roman"/>
          <w:sz w:val="24"/>
          <w:szCs w:val="24"/>
        </w:rPr>
        <w:t>sensory limitations than people without accidents – reporting bias), and have been retrospective in</w:t>
      </w:r>
      <w:r w:rsidR="000D725B" w:rsidRPr="00F44E44">
        <w:rPr>
          <w:rFonts w:ascii="Times New Roman" w:hAnsi="Times New Roman" w:cs="Times New Roman"/>
          <w:sz w:val="24"/>
          <w:szCs w:val="24"/>
        </w:rPr>
        <w:t xml:space="preserve"> design (with the possibility that some people’s sensory impairments were discovered</w:t>
      </w:r>
      <w:r w:rsidR="004C7769">
        <w:rPr>
          <w:rFonts w:ascii="Times New Roman" w:hAnsi="Times New Roman" w:cs="Times New Roman"/>
          <w:sz w:val="24"/>
          <w:szCs w:val="24"/>
        </w:rPr>
        <w:t xml:space="preserve"> as a consequence of</w:t>
      </w:r>
      <w:r w:rsidR="000D725B" w:rsidRPr="00F44E44">
        <w:rPr>
          <w:rFonts w:ascii="Times New Roman" w:hAnsi="Times New Roman" w:cs="Times New Roman"/>
          <w:sz w:val="24"/>
          <w:szCs w:val="24"/>
        </w:rPr>
        <w:t xml:space="preserve"> their injury – bias from reverse causation). In relatively few studies have injury and health impairment</w:t>
      </w:r>
      <w:r>
        <w:rPr>
          <w:rFonts w:ascii="Times New Roman" w:hAnsi="Times New Roman" w:cs="Times New Roman"/>
          <w:sz w:val="24"/>
          <w:szCs w:val="24"/>
        </w:rPr>
        <w:t xml:space="preserve"> been independently established</w:t>
      </w:r>
      <w:r w:rsidR="000D725B" w:rsidRPr="00F44E44">
        <w:rPr>
          <w:rFonts w:ascii="Times New Roman" w:hAnsi="Times New Roman" w:cs="Times New Roman"/>
          <w:sz w:val="24"/>
          <w:szCs w:val="24"/>
        </w:rPr>
        <w:t xml:space="preserve"> through records or third party information</w:t>
      </w:r>
      <w:r w:rsidR="006F61EE" w:rsidRPr="00F44E44">
        <w:rPr>
          <w:rFonts w:ascii="Times New Roman" w:hAnsi="Times New Roman" w:cs="Times New Roman"/>
          <w:sz w:val="24"/>
          <w:szCs w:val="24"/>
        </w:rPr>
        <w:t xml:space="preserve"> [13</w:t>
      </w:r>
      <w:r w:rsidR="00125385" w:rsidRPr="00F44E44">
        <w:rPr>
          <w:rFonts w:ascii="Times New Roman" w:hAnsi="Times New Roman" w:cs="Times New Roman"/>
          <w:sz w:val="24"/>
          <w:szCs w:val="24"/>
        </w:rPr>
        <w:t>,15</w:t>
      </w:r>
      <w:r w:rsidR="00077E17">
        <w:rPr>
          <w:rFonts w:ascii="Times New Roman" w:hAnsi="Times New Roman" w:cs="Times New Roman"/>
          <w:sz w:val="24"/>
          <w:szCs w:val="24"/>
        </w:rPr>
        <w:t>,31</w:t>
      </w:r>
      <w:r>
        <w:rPr>
          <w:rFonts w:ascii="Times New Roman" w:hAnsi="Times New Roman" w:cs="Times New Roman"/>
          <w:sz w:val="24"/>
          <w:szCs w:val="24"/>
        </w:rPr>
        <w:t>]</w:t>
      </w:r>
      <w:r w:rsidR="007E5D5D">
        <w:rPr>
          <w:rFonts w:ascii="Times New Roman" w:hAnsi="Times New Roman" w:cs="Times New Roman"/>
          <w:sz w:val="24"/>
          <w:szCs w:val="24"/>
        </w:rPr>
        <w:t xml:space="preserve"> and few studies have been</w:t>
      </w:r>
      <w:r w:rsidR="000D725B" w:rsidRPr="00F44E44">
        <w:rPr>
          <w:rFonts w:ascii="Times New Roman" w:hAnsi="Times New Roman" w:cs="Times New Roman"/>
          <w:sz w:val="24"/>
          <w:szCs w:val="24"/>
        </w:rPr>
        <w:t xml:space="preserve"> prospective</w:t>
      </w:r>
      <w:r w:rsidR="006F61EE" w:rsidRPr="00F44E44">
        <w:rPr>
          <w:rFonts w:ascii="Times New Roman" w:hAnsi="Times New Roman" w:cs="Times New Roman"/>
          <w:sz w:val="24"/>
          <w:szCs w:val="24"/>
        </w:rPr>
        <w:t xml:space="preserve"> [16,17,</w:t>
      </w:r>
      <w:r w:rsidR="00F80C8F">
        <w:rPr>
          <w:rFonts w:ascii="Times New Roman" w:hAnsi="Times New Roman" w:cs="Times New Roman"/>
          <w:sz w:val="24"/>
          <w:szCs w:val="24"/>
        </w:rPr>
        <w:t>30</w:t>
      </w:r>
      <w:r w:rsidR="006F61EE" w:rsidRPr="00F44E44">
        <w:rPr>
          <w:rFonts w:ascii="Times New Roman" w:hAnsi="Times New Roman" w:cs="Times New Roman"/>
          <w:sz w:val="24"/>
          <w:szCs w:val="24"/>
        </w:rPr>
        <w:t>]</w:t>
      </w:r>
      <w:r w:rsidR="00084106">
        <w:rPr>
          <w:rFonts w:ascii="Times New Roman" w:hAnsi="Times New Roman" w:cs="Times New Roman"/>
          <w:sz w:val="24"/>
          <w:szCs w:val="24"/>
        </w:rPr>
        <w:t>,</w:t>
      </w:r>
      <w:r w:rsidR="000D725B" w:rsidRPr="00F44E44">
        <w:rPr>
          <w:rFonts w:ascii="Times New Roman" w:hAnsi="Times New Roman" w:cs="Times New Roman"/>
          <w:sz w:val="24"/>
          <w:szCs w:val="24"/>
        </w:rPr>
        <w:t xml:space="preserve"> or accurate</w:t>
      </w:r>
      <w:r w:rsidR="004C7769">
        <w:rPr>
          <w:rFonts w:ascii="Times New Roman" w:hAnsi="Times New Roman" w:cs="Times New Roman"/>
          <w:sz w:val="24"/>
          <w:szCs w:val="24"/>
        </w:rPr>
        <w:t>ly established the</w:t>
      </w:r>
      <w:r w:rsidR="000D725B" w:rsidRPr="00F44E44">
        <w:rPr>
          <w:rFonts w:ascii="Times New Roman" w:hAnsi="Times New Roman" w:cs="Times New Roman"/>
          <w:sz w:val="24"/>
          <w:szCs w:val="24"/>
        </w:rPr>
        <w:t xml:space="preserve"> </w:t>
      </w:r>
      <w:r w:rsidR="004C7769" w:rsidRPr="00F44E44">
        <w:rPr>
          <w:rFonts w:ascii="Times New Roman" w:hAnsi="Times New Roman" w:cs="Times New Roman"/>
          <w:sz w:val="24"/>
          <w:szCs w:val="24"/>
        </w:rPr>
        <w:t>timing</w:t>
      </w:r>
      <w:r w:rsidR="004C7769">
        <w:rPr>
          <w:rFonts w:ascii="Times New Roman" w:hAnsi="Times New Roman" w:cs="Times New Roman"/>
          <w:sz w:val="24"/>
          <w:szCs w:val="24"/>
        </w:rPr>
        <w:t xml:space="preserve"> of</w:t>
      </w:r>
      <w:r w:rsidR="004C7769" w:rsidRPr="00F44E44">
        <w:rPr>
          <w:rFonts w:ascii="Times New Roman" w:hAnsi="Times New Roman" w:cs="Times New Roman"/>
          <w:sz w:val="24"/>
          <w:szCs w:val="24"/>
        </w:rPr>
        <w:t xml:space="preserve"> </w:t>
      </w:r>
      <w:r w:rsidR="004C7769">
        <w:rPr>
          <w:rFonts w:ascii="Times New Roman" w:hAnsi="Times New Roman" w:cs="Times New Roman"/>
          <w:sz w:val="24"/>
          <w:szCs w:val="24"/>
        </w:rPr>
        <w:t xml:space="preserve">events </w:t>
      </w:r>
      <w:r w:rsidR="006F61EE" w:rsidRPr="00F44E44">
        <w:rPr>
          <w:rFonts w:ascii="Times New Roman" w:hAnsi="Times New Roman" w:cs="Times New Roman"/>
          <w:sz w:val="24"/>
          <w:szCs w:val="24"/>
        </w:rPr>
        <w:t>[15</w:t>
      </w:r>
      <w:r w:rsidR="00077E17">
        <w:rPr>
          <w:rFonts w:ascii="Times New Roman" w:hAnsi="Times New Roman" w:cs="Times New Roman"/>
          <w:sz w:val="24"/>
          <w:szCs w:val="24"/>
        </w:rPr>
        <w:t>,31</w:t>
      </w:r>
      <w:r w:rsidR="00BF6288">
        <w:rPr>
          <w:rFonts w:ascii="Times New Roman" w:hAnsi="Times New Roman" w:cs="Times New Roman"/>
          <w:sz w:val="24"/>
          <w:szCs w:val="24"/>
        </w:rPr>
        <w:t>]</w:t>
      </w:r>
      <w:r w:rsidR="000D725B" w:rsidRPr="00F44E44">
        <w:rPr>
          <w:rFonts w:ascii="Times New Roman" w:hAnsi="Times New Roman" w:cs="Times New Roman"/>
          <w:sz w:val="24"/>
          <w:szCs w:val="24"/>
        </w:rPr>
        <w:t xml:space="preserve"> to ensure that the </w:t>
      </w:r>
      <w:r w:rsidR="004C7769">
        <w:rPr>
          <w:rFonts w:ascii="Times New Roman" w:hAnsi="Times New Roman" w:cs="Times New Roman"/>
          <w:sz w:val="24"/>
          <w:szCs w:val="24"/>
        </w:rPr>
        <w:t>sensory limitation</w:t>
      </w:r>
      <w:r w:rsidR="000D725B" w:rsidRPr="00F44E44">
        <w:rPr>
          <w:rFonts w:ascii="Times New Roman" w:hAnsi="Times New Roman" w:cs="Times New Roman"/>
          <w:sz w:val="24"/>
          <w:szCs w:val="24"/>
        </w:rPr>
        <w:t xml:space="preserve"> preceded the accident. In principle, </w:t>
      </w:r>
      <w:r w:rsidR="002A04ED" w:rsidRPr="00F44E44">
        <w:rPr>
          <w:rFonts w:ascii="Times New Roman" w:hAnsi="Times New Roman" w:cs="Times New Roman"/>
          <w:sz w:val="24"/>
          <w:szCs w:val="24"/>
        </w:rPr>
        <w:t>the</w:t>
      </w:r>
      <w:r w:rsidR="002A04ED">
        <w:rPr>
          <w:rFonts w:ascii="Times New Roman" w:hAnsi="Times New Roman" w:cs="Times New Roman"/>
          <w:sz w:val="24"/>
          <w:szCs w:val="24"/>
        </w:rPr>
        <w:t>refore</w:t>
      </w:r>
      <w:r w:rsidR="000D725B" w:rsidRPr="00F44E44">
        <w:rPr>
          <w:rFonts w:ascii="Times New Roman" w:hAnsi="Times New Roman" w:cs="Times New Roman"/>
          <w:sz w:val="24"/>
          <w:szCs w:val="24"/>
        </w:rPr>
        <w:t xml:space="preserve">, risks </w:t>
      </w:r>
      <w:r w:rsidR="004C7769">
        <w:rPr>
          <w:rFonts w:ascii="Times New Roman" w:hAnsi="Times New Roman" w:cs="Times New Roman"/>
          <w:sz w:val="24"/>
          <w:szCs w:val="24"/>
        </w:rPr>
        <w:t xml:space="preserve">of </w:t>
      </w:r>
      <w:r w:rsidR="004C7769" w:rsidRPr="00F44E44">
        <w:rPr>
          <w:rFonts w:ascii="Times New Roman" w:hAnsi="Times New Roman" w:cs="Times New Roman"/>
          <w:sz w:val="24"/>
          <w:szCs w:val="24"/>
        </w:rPr>
        <w:t xml:space="preserve">injury </w:t>
      </w:r>
      <w:r w:rsidR="000D725B" w:rsidRPr="00F44E44">
        <w:rPr>
          <w:rFonts w:ascii="Times New Roman" w:hAnsi="Times New Roman" w:cs="Times New Roman"/>
          <w:sz w:val="24"/>
          <w:szCs w:val="24"/>
        </w:rPr>
        <w:t>could have been over-estimated.</w:t>
      </w:r>
    </w:p>
    <w:p w:rsidR="00230F25" w:rsidRPr="00F44E44" w:rsidRDefault="00230F25" w:rsidP="00F44E44">
      <w:pPr>
        <w:jc w:val="both"/>
        <w:rPr>
          <w:rFonts w:ascii="Times New Roman" w:hAnsi="Times New Roman" w:cs="Times New Roman"/>
          <w:sz w:val="24"/>
          <w:szCs w:val="24"/>
        </w:rPr>
      </w:pPr>
    </w:p>
    <w:p w:rsidR="00406FAF" w:rsidRDefault="006F61EE" w:rsidP="00F44E44">
      <w:pPr>
        <w:jc w:val="both"/>
        <w:rPr>
          <w:rFonts w:ascii="Times New Roman" w:hAnsi="Times New Roman" w:cs="Times New Roman"/>
          <w:sz w:val="24"/>
          <w:szCs w:val="24"/>
        </w:rPr>
      </w:pPr>
      <w:r w:rsidRPr="00F44E44">
        <w:rPr>
          <w:rFonts w:ascii="Times New Roman" w:hAnsi="Times New Roman" w:cs="Times New Roman"/>
          <w:sz w:val="24"/>
          <w:szCs w:val="24"/>
        </w:rPr>
        <w:t xml:space="preserve">To explore </w:t>
      </w:r>
      <w:r w:rsidR="002A4AF3" w:rsidRPr="00F44E44">
        <w:rPr>
          <w:rFonts w:ascii="Times New Roman" w:hAnsi="Times New Roman" w:cs="Times New Roman"/>
          <w:sz w:val="24"/>
          <w:szCs w:val="24"/>
        </w:rPr>
        <w:t>this</w:t>
      </w:r>
      <w:r w:rsidRPr="00F44E44">
        <w:rPr>
          <w:rFonts w:ascii="Times New Roman" w:hAnsi="Times New Roman" w:cs="Times New Roman"/>
          <w:sz w:val="24"/>
          <w:szCs w:val="24"/>
        </w:rPr>
        <w:t xml:space="preserve"> </w:t>
      </w:r>
      <w:r w:rsidR="004C7769">
        <w:rPr>
          <w:rFonts w:ascii="Times New Roman" w:hAnsi="Times New Roman" w:cs="Times New Roman"/>
          <w:sz w:val="24"/>
          <w:szCs w:val="24"/>
        </w:rPr>
        <w:t>possibility</w:t>
      </w:r>
      <w:r w:rsidRPr="00F44E44">
        <w:rPr>
          <w:rFonts w:ascii="Times New Roman" w:hAnsi="Times New Roman" w:cs="Times New Roman"/>
          <w:sz w:val="24"/>
          <w:szCs w:val="24"/>
        </w:rPr>
        <w:t xml:space="preserve">, </w:t>
      </w:r>
      <w:r w:rsidR="004C7769">
        <w:rPr>
          <w:rFonts w:ascii="Times New Roman" w:hAnsi="Times New Roman" w:cs="Times New Roman"/>
          <w:sz w:val="24"/>
          <w:szCs w:val="24"/>
        </w:rPr>
        <w:t xml:space="preserve">we </w:t>
      </w:r>
      <w:r w:rsidRPr="00F44E44">
        <w:rPr>
          <w:rFonts w:ascii="Times New Roman" w:hAnsi="Times New Roman" w:cs="Times New Roman"/>
          <w:sz w:val="24"/>
          <w:szCs w:val="24"/>
        </w:rPr>
        <w:t>exploit</w:t>
      </w:r>
      <w:r w:rsidR="004C7769">
        <w:rPr>
          <w:rFonts w:ascii="Times New Roman" w:hAnsi="Times New Roman" w:cs="Times New Roman"/>
          <w:sz w:val="24"/>
          <w:szCs w:val="24"/>
        </w:rPr>
        <w:t>ed</w:t>
      </w:r>
      <w:r w:rsidRPr="00F44E44">
        <w:rPr>
          <w:rFonts w:ascii="Times New Roman" w:hAnsi="Times New Roman" w:cs="Times New Roman"/>
          <w:sz w:val="24"/>
          <w:szCs w:val="24"/>
        </w:rPr>
        <w:t xml:space="preserve"> a </w:t>
      </w:r>
      <w:r w:rsidR="003936B5">
        <w:rPr>
          <w:rFonts w:ascii="Times New Roman" w:hAnsi="Times New Roman" w:cs="Times New Roman"/>
          <w:sz w:val="24"/>
          <w:szCs w:val="24"/>
        </w:rPr>
        <w:t>primary care</w:t>
      </w:r>
      <w:r w:rsidRPr="00F44E44">
        <w:rPr>
          <w:rFonts w:ascii="Times New Roman" w:hAnsi="Times New Roman" w:cs="Times New Roman"/>
          <w:sz w:val="24"/>
          <w:szCs w:val="24"/>
        </w:rPr>
        <w:t xml:space="preserve"> database</w:t>
      </w:r>
      <w:r w:rsidR="00F30E76">
        <w:rPr>
          <w:rFonts w:ascii="Times New Roman" w:hAnsi="Times New Roman" w:cs="Times New Roman"/>
          <w:sz w:val="24"/>
          <w:szCs w:val="24"/>
        </w:rPr>
        <w:t xml:space="preserve"> that </w:t>
      </w:r>
      <w:r w:rsidR="002A04ED">
        <w:rPr>
          <w:rFonts w:ascii="Times New Roman" w:hAnsi="Times New Roman" w:cs="Times New Roman"/>
          <w:sz w:val="24"/>
          <w:szCs w:val="24"/>
        </w:rPr>
        <w:t xml:space="preserve">documented </w:t>
      </w:r>
      <w:r w:rsidR="00F30E76">
        <w:rPr>
          <w:rFonts w:ascii="Times New Roman" w:hAnsi="Times New Roman" w:cs="Times New Roman"/>
          <w:sz w:val="24"/>
          <w:szCs w:val="24"/>
        </w:rPr>
        <w:t>the dates</w:t>
      </w:r>
      <w:r w:rsidRPr="00F44E44">
        <w:rPr>
          <w:rFonts w:ascii="Times New Roman" w:hAnsi="Times New Roman" w:cs="Times New Roman"/>
          <w:sz w:val="24"/>
          <w:szCs w:val="24"/>
        </w:rPr>
        <w:t xml:space="preserve"> </w:t>
      </w:r>
      <w:r w:rsidR="00F30E76">
        <w:rPr>
          <w:rFonts w:ascii="Times New Roman" w:hAnsi="Times New Roman" w:cs="Times New Roman"/>
          <w:sz w:val="24"/>
          <w:szCs w:val="24"/>
        </w:rPr>
        <w:t>of</w:t>
      </w:r>
      <w:r w:rsidR="002A4AF3" w:rsidRPr="00F44E44">
        <w:rPr>
          <w:rFonts w:ascii="Times New Roman" w:hAnsi="Times New Roman" w:cs="Times New Roman"/>
          <w:sz w:val="24"/>
          <w:szCs w:val="24"/>
        </w:rPr>
        <w:t xml:space="preserve"> </w:t>
      </w:r>
      <w:r w:rsidRPr="00F44E44">
        <w:rPr>
          <w:rFonts w:ascii="Times New Roman" w:hAnsi="Times New Roman" w:cs="Times New Roman"/>
          <w:sz w:val="24"/>
          <w:szCs w:val="24"/>
        </w:rPr>
        <w:t>diagnoses</w:t>
      </w:r>
      <w:r w:rsidR="002A4AF3" w:rsidRPr="00F44E44">
        <w:rPr>
          <w:rFonts w:ascii="Times New Roman" w:hAnsi="Times New Roman" w:cs="Times New Roman"/>
          <w:sz w:val="24"/>
          <w:szCs w:val="24"/>
        </w:rPr>
        <w:t xml:space="preserve"> of sensory impairment</w:t>
      </w:r>
      <w:r w:rsidRPr="00F44E44">
        <w:rPr>
          <w:rFonts w:ascii="Times New Roman" w:hAnsi="Times New Roman" w:cs="Times New Roman"/>
          <w:sz w:val="24"/>
          <w:szCs w:val="24"/>
        </w:rPr>
        <w:t xml:space="preserve"> and workplace injury consultations, </w:t>
      </w:r>
      <w:r w:rsidR="00F30E76">
        <w:rPr>
          <w:rFonts w:ascii="Times New Roman" w:hAnsi="Times New Roman" w:cs="Times New Roman"/>
          <w:sz w:val="24"/>
          <w:szCs w:val="24"/>
        </w:rPr>
        <w:t>to carry out</w:t>
      </w:r>
      <w:r w:rsidRPr="00F44E44">
        <w:rPr>
          <w:rFonts w:ascii="Times New Roman" w:hAnsi="Times New Roman" w:cs="Times New Roman"/>
          <w:sz w:val="24"/>
          <w:szCs w:val="24"/>
        </w:rPr>
        <w:t xml:space="preserve"> a nested case-control analysis. </w:t>
      </w:r>
      <w:r w:rsidR="00695677">
        <w:rPr>
          <w:rFonts w:ascii="Times New Roman" w:hAnsi="Times New Roman" w:cs="Times New Roman"/>
          <w:sz w:val="24"/>
          <w:szCs w:val="24"/>
        </w:rPr>
        <w:t>P</w:t>
      </w:r>
      <w:r w:rsidR="002A4AF3" w:rsidRPr="00F44E44">
        <w:rPr>
          <w:rFonts w:ascii="Times New Roman" w:hAnsi="Times New Roman" w:cs="Times New Roman"/>
          <w:sz w:val="24"/>
          <w:szCs w:val="24"/>
        </w:rPr>
        <w:t>roblems of hearing are sometimes linked with disorders of balance and symptoms of dizziness</w:t>
      </w:r>
      <w:r w:rsidR="00695677">
        <w:rPr>
          <w:rFonts w:ascii="Times New Roman" w:hAnsi="Times New Roman" w:cs="Times New Roman"/>
          <w:sz w:val="24"/>
          <w:szCs w:val="24"/>
        </w:rPr>
        <w:t>. These too might affect risks of occupational injury</w:t>
      </w:r>
      <w:r w:rsidR="002A4AF3" w:rsidRPr="00F44E44">
        <w:rPr>
          <w:rFonts w:ascii="Times New Roman" w:hAnsi="Times New Roman" w:cs="Times New Roman"/>
          <w:sz w:val="24"/>
          <w:szCs w:val="24"/>
        </w:rPr>
        <w:t xml:space="preserve"> </w:t>
      </w:r>
      <w:r w:rsidR="001A1A17">
        <w:rPr>
          <w:rFonts w:ascii="Times New Roman" w:hAnsi="Times New Roman" w:cs="Times New Roman"/>
          <w:sz w:val="24"/>
          <w:szCs w:val="24"/>
        </w:rPr>
        <w:t xml:space="preserve">(although </w:t>
      </w:r>
      <w:r w:rsidR="00695677">
        <w:rPr>
          <w:rFonts w:ascii="Times New Roman" w:hAnsi="Times New Roman" w:cs="Times New Roman"/>
          <w:sz w:val="24"/>
          <w:szCs w:val="24"/>
        </w:rPr>
        <w:t>this has seldom been</w:t>
      </w:r>
      <w:r w:rsidR="001A1A17">
        <w:rPr>
          <w:rFonts w:ascii="Times New Roman" w:hAnsi="Times New Roman" w:cs="Times New Roman"/>
          <w:sz w:val="24"/>
          <w:szCs w:val="24"/>
        </w:rPr>
        <w:t xml:space="preserve"> studied [33])</w:t>
      </w:r>
      <w:r w:rsidR="00695677">
        <w:rPr>
          <w:rFonts w:ascii="Times New Roman" w:hAnsi="Times New Roman" w:cs="Times New Roman"/>
          <w:sz w:val="24"/>
          <w:szCs w:val="24"/>
        </w:rPr>
        <w:t>. O</w:t>
      </w:r>
      <w:r w:rsidR="002A4AF3" w:rsidRPr="00F44E44">
        <w:rPr>
          <w:rFonts w:ascii="Times New Roman" w:hAnsi="Times New Roman" w:cs="Times New Roman"/>
          <w:sz w:val="24"/>
          <w:szCs w:val="24"/>
        </w:rPr>
        <w:t xml:space="preserve">pportunity was </w:t>
      </w:r>
      <w:r w:rsidR="00695677">
        <w:rPr>
          <w:rFonts w:ascii="Times New Roman" w:hAnsi="Times New Roman" w:cs="Times New Roman"/>
          <w:sz w:val="24"/>
          <w:szCs w:val="24"/>
        </w:rPr>
        <w:t xml:space="preserve">therefore </w:t>
      </w:r>
      <w:r w:rsidR="002A4AF3" w:rsidRPr="00F44E44">
        <w:rPr>
          <w:rFonts w:ascii="Times New Roman" w:hAnsi="Times New Roman" w:cs="Times New Roman"/>
          <w:sz w:val="24"/>
          <w:szCs w:val="24"/>
        </w:rPr>
        <w:t xml:space="preserve">taken </w:t>
      </w:r>
      <w:r w:rsidR="00695677">
        <w:rPr>
          <w:rFonts w:ascii="Times New Roman" w:hAnsi="Times New Roman" w:cs="Times New Roman"/>
          <w:sz w:val="24"/>
          <w:szCs w:val="24"/>
        </w:rPr>
        <w:t>additionally</w:t>
      </w:r>
      <w:r w:rsidR="00695677" w:rsidRPr="00F44E44">
        <w:rPr>
          <w:rFonts w:ascii="Times New Roman" w:hAnsi="Times New Roman" w:cs="Times New Roman"/>
          <w:sz w:val="24"/>
          <w:szCs w:val="24"/>
        </w:rPr>
        <w:t xml:space="preserve"> </w:t>
      </w:r>
      <w:r w:rsidR="002A4AF3" w:rsidRPr="00F44E44">
        <w:rPr>
          <w:rFonts w:ascii="Times New Roman" w:hAnsi="Times New Roman" w:cs="Times New Roman"/>
          <w:sz w:val="24"/>
          <w:szCs w:val="24"/>
        </w:rPr>
        <w:t>to assess these risk factors.</w:t>
      </w:r>
    </w:p>
    <w:p w:rsidR="002045DB" w:rsidRDefault="002045DB" w:rsidP="002045DB">
      <w:pPr>
        <w:rPr>
          <w:rFonts w:ascii="Times New Roman" w:hAnsi="Times New Roman" w:cs="Times New Roman"/>
          <w:b/>
          <w:sz w:val="24"/>
          <w:szCs w:val="24"/>
        </w:rPr>
      </w:pPr>
    </w:p>
    <w:p w:rsidR="002045DB" w:rsidRPr="00F44E44" w:rsidRDefault="002045DB" w:rsidP="002045DB">
      <w:pPr>
        <w:rPr>
          <w:rFonts w:ascii="Times New Roman" w:hAnsi="Times New Roman" w:cs="Times New Roman"/>
          <w:b/>
          <w:sz w:val="24"/>
          <w:szCs w:val="24"/>
        </w:rPr>
      </w:pPr>
      <w:r w:rsidRPr="00F44E44">
        <w:rPr>
          <w:rFonts w:ascii="Times New Roman" w:hAnsi="Times New Roman" w:cs="Times New Roman"/>
          <w:b/>
          <w:sz w:val="24"/>
          <w:szCs w:val="24"/>
        </w:rPr>
        <w:t>Methods</w:t>
      </w:r>
    </w:p>
    <w:p w:rsidR="002045DB" w:rsidRPr="00F44E44" w:rsidRDefault="000F7246" w:rsidP="002045DB">
      <w:pPr>
        <w:widowControl w:val="0"/>
        <w:jc w:val="both"/>
        <w:rPr>
          <w:rFonts w:ascii="Times New Roman" w:hAnsi="Times New Roman"/>
          <w:sz w:val="24"/>
          <w:szCs w:val="24"/>
        </w:rPr>
      </w:pPr>
      <w:r w:rsidRPr="007843CD">
        <w:rPr>
          <w:rFonts w:ascii="Times New Roman" w:hAnsi="Times New Roman" w:cs="Times New Roman"/>
          <w:sz w:val="24"/>
          <w:szCs w:val="24"/>
        </w:rPr>
        <w:t xml:space="preserve">Almost everyone in Britain registers with a family doctor for medical services that are free at the point of delivery. </w:t>
      </w:r>
      <w:r w:rsidR="006A60E7" w:rsidRPr="007843CD">
        <w:rPr>
          <w:rFonts w:ascii="Times New Roman" w:hAnsi="Times New Roman"/>
          <w:sz w:val="24"/>
          <w:szCs w:val="24"/>
        </w:rPr>
        <w:t>T</w:t>
      </w:r>
      <w:r w:rsidR="002045DB" w:rsidRPr="007843CD">
        <w:rPr>
          <w:rFonts w:ascii="Times New Roman" w:hAnsi="Times New Roman"/>
          <w:sz w:val="24"/>
          <w:szCs w:val="24"/>
        </w:rPr>
        <w:t xml:space="preserve">he </w:t>
      </w:r>
      <w:r w:rsidR="00F30E76" w:rsidRPr="007843CD">
        <w:rPr>
          <w:rFonts w:ascii="Times New Roman" w:hAnsi="Times New Roman"/>
          <w:sz w:val="24"/>
          <w:szCs w:val="24"/>
        </w:rPr>
        <w:t>Clinical</w:t>
      </w:r>
      <w:r w:rsidR="002045DB" w:rsidRPr="007843CD">
        <w:rPr>
          <w:rFonts w:ascii="Times New Roman" w:hAnsi="Times New Roman"/>
          <w:sz w:val="24"/>
          <w:szCs w:val="24"/>
        </w:rPr>
        <w:t xml:space="preserve"> Practice Research Data</w:t>
      </w:r>
      <w:r w:rsidR="00F30E76" w:rsidRPr="007843CD">
        <w:rPr>
          <w:rFonts w:ascii="Times New Roman" w:hAnsi="Times New Roman"/>
          <w:sz w:val="24"/>
          <w:szCs w:val="24"/>
        </w:rPr>
        <w:t>link</w:t>
      </w:r>
      <w:r w:rsidR="002045DB" w:rsidRPr="007843CD">
        <w:rPr>
          <w:rFonts w:ascii="Times New Roman" w:hAnsi="Times New Roman"/>
          <w:sz w:val="24"/>
          <w:szCs w:val="24"/>
        </w:rPr>
        <w:t xml:space="preserve"> (</w:t>
      </w:r>
      <w:r w:rsidR="00F30E76" w:rsidRPr="007843CD">
        <w:rPr>
          <w:rFonts w:ascii="Times New Roman" w:hAnsi="Times New Roman"/>
          <w:sz w:val="24"/>
          <w:szCs w:val="24"/>
        </w:rPr>
        <w:t>C</w:t>
      </w:r>
      <w:r w:rsidR="002045DB" w:rsidRPr="007843CD">
        <w:rPr>
          <w:rFonts w:ascii="Times New Roman" w:hAnsi="Times New Roman"/>
          <w:sz w:val="24"/>
          <w:szCs w:val="24"/>
        </w:rPr>
        <w:t>PRD), which is maintained b</w:t>
      </w:r>
      <w:r w:rsidR="003330BC" w:rsidRPr="007843CD">
        <w:rPr>
          <w:rFonts w:ascii="Times New Roman" w:hAnsi="Times New Roman"/>
          <w:sz w:val="24"/>
          <w:szCs w:val="24"/>
        </w:rPr>
        <w:t>y the Medicines and Healthcare P</w:t>
      </w:r>
      <w:r w:rsidR="002045DB" w:rsidRPr="007843CD">
        <w:rPr>
          <w:rFonts w:ascii="Times New Roman" w:hAnsi="Times New Roman"/>
          <w:sz w:val="24"/>
          <w:szCs w:val="24"/>
        </w:rPr>
        <w:t>roducts Regulatory Agency</w:t>
      </w:r>
      <w:r w:rsidR="006A60E7" w:rsidRPr="007843CD">
        <w:rPr>
          <w:rFonts w:ascii="Times New Roman" w:hAnsi="Times New Roman"/>
          <w:sz w:val="24"/>
          <w:szCs w:val="24"/>
        </w:rPr>
        <w:t xml:space="preserve"> of the </w:t>
      </w:r>
      <w:r w:rsidR="006A60E7" w:rsidRPr="007843CD">
        <w:rPr>
          <w:rFonts w:ascii="Times New Roman" w:hAnsi="Times New Roman" w:cs="Times New Roman"/>
          <w:sz w:val="24"/>
          <w:szCs w:val="24"/>
        </w:rPr>
        <w:t>English Department of Health</w:t>
      </w:r>
      <w:r w:rsidR="002045DB" w:rsidRPr="007843CD">
        <w:rPr>
          <w:rFonts w:ascii="Times New Roman" w:hAnsi="Times New Roman"/>
          <w:sz w:val="24"/>
          <w:szCs w:val="24"/>
        </w:rPr>
        <w:t xml:space="preserve"> (MHRA), logs the entire medical records of some 5 million patients from 590</w:t>
      </w:r>
      <w:r w:rsidRPr="007843CD">
        <w:rPr>
          <w:rFonts w:ascii="Times New Roman" w:hAnsi="Times New Roman"/>
          <w:sz w:val="24"/>
          <w:szCs w:val="24"/>
        </w:rPr>
        <w:t xml:space="preserve"> such</w:t>
      </w:r>
      <w:r w:rsidR="002045DB" w:rsidRPr="00F44E44">
        <w:rPr>
          <w:rFonts w:ascii="Times New Roman" w:hAnsi="Times New Roman"/>
          <w:sz w:val="24"/>
          <w:szCs w:val="24"/>
        </w:rPr>
        <w:t xml:space="preserve"> gene</w:t>
      </w:r>
      <w:r w:rsidR="002C4524">
        <w:rPr>
          <w:rFonts w:ascii="Times New Roman" w:hAnsi="Times New Roman"/>
          <w:sz w:val="24"/>
          <w:szCs w:val="24"/>
        </w:rPr>
        <w:t>ral practices throughout the UK</w:t>
      </w:r>
      <w:r w:rsidR="00AF00E5">
        <w:rPr>
          <w:rFonts w:ascii="Times New Roman" w:hAnsi="Times New Roman"/>
          <w:sz w:val="24"/>
          <w:szCs w:val="24"/>
        </w:rPr>
        <w:t xml:space="preserve"> [34]</w:t>
      </w:r>
      <w:r w:rsidR="002045DB" w:rsidRPr="00F44E44">
        <w:rPr>
          <w:rFonts w:ascii="Times New Roman" w:hAnsi="Times New Roman"/>
          <w:sz w:val="24"/>
          <w:szCs w:val="24"/>
        </w:rPr>
        <w:t xml:space="preserve">. </w:t>
      </w:r>
      <w:r w:rsidR="00AF00E5">
        <w:rPr>
          <w:rFonts w:ascii="Times New Roman" w:hAnsi="Times New Roman"/>
          <w:sz w:val="24"/>
          <w:szCs w:val="24"/>
        </w:rPr>
        <w:t xml:space="preserve">Data are uploaded regularly, and checked for completeness and validity (deemed high for many outcomes in external audit [35]). </w:t>
      </w:r>
      <w:r w:rsidR="002045DB" w:rsidRPr="00F44E44">
        <w:rPr>
          <w:rFonts w:ascii="Times New Roman" w:hAnsi="Times New Roman"/>
          <w:sz w:val="24"/>
          <w:szCs w:val="24"/>
        </w:rPr>
        <w:t xml:space="preserve">In 2010, the MHRA supplied us with an anonymised dataset containing the full medical records of </w:t>
      </w:r>
      <w:r w:rsidR="00156CFA">
        <w:rPr>
          <w:rFonts w:ascii="Times New Roman" w:hAnsi="Times New Roman" w:cs="Times New Roman"/>
          <w:sz w:val="24"/>
          <w:szCs w:val="24"/>
        </w:rPr>
        <w:lastRenderedPageBreak/>
        <w:t>1,602</w:t>
      </w:r>
      <w:r w:rsidR="00156CFA" w:rsidRPr="001C1559">
        <w:rPr>
          <w:rFonts w:ascii="Times New Roman" w:hAnsi="Times New Roman" w:cs="Times New Roman"/>
          <w:sz w:val="24"/>
          <w:szCs w:val="24"/>
        </w:rPr>
        <w:t xml:space="preserve"> </w:t>
      </w:r>
      <w:r w:rsidR="002045DB" w:rsidRPr="00F44E44">
        <w:rPr>
          <w:rFonts w:ascii="Times New Roman" w:hAnsi="Times New Roman"/>
          <w:sz w:val="24"/>
          <w:szCs w:val="24"/>
        </w:rPr>
        <w:t xml:space="preserve">patients who had consulted their </w:t>
      </w:r>
      <w:r w:rsidR="006A60E7">
        <w:rPr>
          <w:rFonts w:ascii="Times New Roman" w:hAnsi="Times New Roman"/>
          <w:sz w:val="24"/>
          <w:szCs w:val="24"/>
        </w:rPr>
        <w:t>family doctor</w:t>
      </w:r>
      <w:r w:rsidR="002045DB" w:rsidRPr="00F44E44">
        <w:rPr>
          <w:rFonts w:ascii="Times New Roman" w:hAnsi="Times New Roman"/>
          <w:sz w:val="24"/>
          <w:szCs w:val="24"/>
        </w:rPr>
        <w:t xml:space="preserve"> or been seen in hospital with a workplace injury (cases) between 1/1/1987 and 31/12/2009, together with </w:t>
      </w:r>
      <w:r w:rsidR="00156CFA">
        <w:rPr>
          <w:rFonts w:ascii="Times New Roman" w:hAnsi="Times New Roman" w:cs="Times New Roman"/>
          <w:sz w:val="24"/>
          <w:szCs w:val="24"/>
        </w:rPr>
        <w:t>8,010</w:t>
      </w:r>
      <w:r w:rsidR="00156CFA" w:rsidRPr="001C1559">
        <w:rPr>
          <w:rFonts w:ascii="Times New Roman" w:hAnsi="Times New Roman" w:cs="Times New Roman"/>
          <w:sz w:val="24"/>
          <w:szCs w:val="24"/>
        </w:rPr>
        <w:t xml:space="preserve"> </w:t>
      </w:r>
      <w:r w:rsidR="002045DB" w:rsidRPr="00F44E44">
        <w:rPr>
          <w:rFonts w:ascii="Times New Roman" w:hAnsi="Times New Roman"/>
          <w:sz w:val="24"/>
          <w:szCs w:val="24"/>
        </w:rPr>
        <w:t>other patients</w:t>
      </w:r>
      <w:r w:rsidR="001768D8">
        <w:rPr>
          <w:rFonts w:ascii="Times New Roman" w:hAnsi="Times New Roman"/>
          <w:sz w:val="24"/>
          <w:szCs w:val="24"/>
        </w:rPr>
        <w:t xml:space="preserve"> (five per case)</w:t>
      </w:r>
      <w:r w:rsidR="006A60E7">
        <w:rPr>
          <w:rFonts w:ascii="Times New Roman" w:hAnsi="Times New Roman"/>
          <w:sz w:val="24"/>
          <w:szCs w:val="24"/>
        </w:rPr>
        <w:t>,</w:t>
      </w:r>
      <w:r w:rsidR="00F30E76">
        <w:rPr>
          <w:rFonts w:ascii="Times New Roman" w:hAnsi="Times New Roman"/>
          <w:sz w:val="24"/>
          <w:szCs w:val="24"/>
        </w:rPr>
        <w:t xml:space="preserve"> individually</w:t>
      </w:r>
      <w:r w:rsidR="002045DB" w:rsidRPr="00F44E44">
        <w:rPr>
          <w:rFonts w:ascii="Times New Roman" w:hAnsi="Times New Roman"/>
          <w:sz w:val="24"/>
          <w:szCs w:val="24"/>
        </w:rPr>
        <w:t xml:space="preserve"> matched</w:t>
      </w:r>
      <w:r w:rsidR="00F30E76">
        <w:rPr>
          <w:rFonts w:ascii="Times New Roman" w:hAnsi="Times New Roman"/>
          <w:sz w:val="24"/>
          <w:szCs w:val="24"/>
        </w:rPr>
        <w:t xml:space="preserve"> to the cases</w:t>
      </w:r>
      <w:r w:rsidR="002045DB" w:rsidRPr="00F44E44">
        <w:rPr>
          <w:rFonts w:ascii="Times New Roman" w:hAnsi="Times New Roman"/>
          <w:sz w:val="24"/>
          <w:szCs w:val="24"/>
        </w:rPr>
        <w:t xml:space="preserve"> </w:t>
      </w:r>
      <w:r w:rsidR="00F30E76">
        <w:rPr>
          <w:rFonts w:ascii="Times New Roman" w:hAnsi="Times New Roman"/>
          <w:sz w:val="24"/>
          <w:szCs w:val="24"/>
        </w:rPr>
        <w:t>for</w:t>
      </w:r>
      <w:r w:rsidR="002045DB" w:rsidRPr="00F44E44">
        <w:rPr>
          <w:rFonts w:ascii="Times New Roman" w:hAnsi="Times New Roman"/>
          <w:sz w:val="24"/>
          <w:szCs w:val="24"/>
        </w:rPr>
        <w:t xml:space="preserve"> sex, </w:t>
      </w:r>
      <w:r w:rsidR="00F30E76" w:rsidRPr="00F44E44">
        <w:rPr>
          <w:rFonts w:ascii="Times New Roman" w:hAnsi="Times New Roman"/>
          <w:sz w:val="24"/>
          <w:szCs w:val="24"/>
        </w:rPr>
        <w:t>general practice and</w:t>
      </w:r>
      <w:r w:rsidR="00F30E76">
        <w:rPr>
          <w:rFonts w:ascii="Times New Roman" w:hAnsi="Times New Roman"/>
          <w:sz w:val="24"/>
          <w:szCs w:val="24"/>
        </w:rPr>
        <w:t xml:space="preserve"> closest date of birth</w:t>
      </w:r>
      <w:r w:rsidR="002045DB" w:rsidRPr="00F44E44">
        <w:rPr>
          <w:rFonts w:ascii="Times New Roman" w:hAnsi="Times New Roman"/>
          <w:sz w:val="24"/>
          <w:szCs w:val="24"/>
        </w:rPr>
        <w:t xml:space="preserve"> (controls). After excluding 1,476 subjects aged </w:t>
      </w:r>
      <w:r w:rsidR="002045DB" w:rsidRPr="00F44E44">
        <w:rPr>
          <w:rFonts w:ascii="Times New Roman" w:hAnsi="Times New Roman"/>
          <w:sz w:val="24"/>
          <w:szCs w:val="24"/>
          <w:u w:val="single"/>
        </w:rPr>
        <w:t>&gt;</w:t>
      </w:r>
      <w:r w:rsidR="002045DB" w:rsidRPr="00F44E44">
        <w:rPr>
          <w:rFonts w:ascii="Times New Roman" w:hAnsi="Times New Roman"/>
          <w:sz w:val="24"/>
          <w:szCs w:val="24"/>
        </w:rPr>
        <w:t xml:space="preserve">65 years at the ‘index’ date (date of injury </w:t>
      </w:r>
      <w:r w:rsidR="00F30E76">
        <w:rPr>
          <w:rFonts w:ascii="Times New Roman" w:hAnsi="Times New Roman"/>
          <w:sz w:val="24"/>
          <w:szCs w:val="24"/>
        </w:rPr>
        <w:t>consultation, or</w:t>
      </w:r>
      <w:r w:rsidR="002045DB" w:rsidRPr="00F44E44">
        <w:rPr>
          <w:rFonts w:ascii="Times New Roman" w:hAnsi="Times New Roman"/>
          <w:sz w:val="24"/>
          <w:szCs w:val="24"/>
        </w:rPr>
        <w:t xml:space="preserve"> for </w:t>
      </w:r>
      <w:r w:rsidR="00F30E76">
        <w:rPr>
          <w:rFonts w:ascii="Times New Roman" w:hAnsi="Times New Roman"/>
          <w:sz w:val="24"/>
          <w:szCs w:val="24"/>
        </w:rPr>
        <w:t>controls, that of</w:t>
      </w:r>
      <w:r w:rsidR="002045DB" w:rsidRPr="00F44E44">
        <w:rPr>
          <w:rFonts w:ascii="Times New Roman" w:hAnsi="Times New Roman"/>
          <w:sz w:val="24"/>
          <w:szCs w:val="24"/>
        </w:rPr>
        <w:t xml:space="preserve"> the matched case) and </w:t>
      </w:r>
      <w:r w:rsidR="002045DB" w:rsidRPr="00AF00E5">
        <w:rPr>
          <w:rFonts w:ascii="Times New Roman" w:hAnsi="Times New Roman"/>
          <w:sz w:val="24"/>
          <w:szCs w:val="24"/>
        </w:rPr>
        <w:t xml:space="preserve">applying a few other exclusions </w:t>
      </w:r>
      <w:r w:rsidR="00156CFA" w:rsidRPr="00AF00E5">
        <w:rPr>
          <w:rFonts w:ascii="Times New Roman" w:hAnsi="Times New Roman"/>
          <w:sz w:val="24"/>
          <w:szCs w:val="24"/>
        </w:rPr>
        <w:t>(</w:t>
      </w:r>
      <w:r w:rsidR="00156CFA" w:rsidRPr="00AF00E5">
        <w:rPr>
          <w:rFonts w:ascii="Times New Roman" w:hAnsi="Times New Roman" w:cs="Times New Roman"/>
          <w:sz w:val="24"/>
          <w:szCs w:val="24"/>
        </w:rPr>
        <w:t>controls already matched to another case, n=69; cases</w:t>
      </w:r>
      <w:r w:rsidR="00156CFA" w:rsidRPr="001C1559">
        <w:rPr>
          <w:rFonts w:ascii="Times New Roman" w:hAnsi="Times New Roman" w:cs="Times New Roman"/>
          <w:sz w:val="24"/>
          <w:szCs w:val="24"/>
        </w:rPr>
        <w:t xml:space="preserve"> and matched controls where the underlying injury proved to be non-a</w:t>
      </w:r>
      <w:r w:rsidR="00AF00E5">
        <w:rPr>
          <w:rFonts w:ascii="Times New Roman" w:hAnsi="Times New Roman" w:cs="Times New Roman"/>
          <w:sz w:val="24"/>
          <w:szCs w:val="24"/>
        </w:rPr>
        <w:t xml:space="preserve">ccidental, </w:t>
      </w:r>
      <w:r w:rsidR="00156CFA" w:rsidRPr="001C1559">
        <w:rPr>
          <w:rFonts w:ascii="Times New Roman" w:hAnsi="Times New Roman" w:cs="Times New Roman"/>
          <w:sz w:val="24"/>
          <w:szCs w:val="24"/>
        </w:rPr>
        <w:t>n=67</w:t>
      </w:r>
      <w:r w:rsidR="00AF00E5">
        <w:rPr>
          <w:rFonts w:ascii="Times New Roman" w:hAnsi="Times New Roman" w:cs="Times New Roman"/>
          <w:sz w:val="24"/>
          <w:szCs w:val="24"/>
        </w:rPr>
        <w:t>)</w:t>
      </w:r>
      <w:r w:rsidR="002045DB" w:rsidRPr="00F44E44">
        <w:rPr>
          <w:rFonts w:ascii="Times New Roman" w:hAnsi="Times New Roman"/>
          <w:sz w:val="24"/>
          <w:szCs w:val="24"/>
        </w:rPr>
        <w:t xml:space="preserve"> 8</w:t>
      </w:r>
      <w:r w:rsidR="00F30E76">
        <w:rPr>
          <w:rFonts w:ascii="Times New Roman" w:hAnsi="Times New Roman"/>
          <w:sz w:val="24"/>
          <w:szCs w:val="24"/>
        </w:rPr>
        <w:t>,</w:t>
      </w:r>
      <w:r w:rsidR="002045DB" w:rsidRPr="00F44E44">
        <w:rPr>
          <w:rFonts w:ascii="Times New Roman" w:hAnsi="Times New Roman"/>
          <w:sz w:val="24"/>
          <w:szCs w:val="24"/>
        </w:rPr>
        <w:t>000 subjects were finally available for analysis.</w:t>
      </w:r>
    </w:p>
    <w:p w:rsidR="002045DB" w:rsidRDefault="002045DB" w:rsidP="00F44E44">
      <w:pPr>
        <w:jc w:val="both"/>
        <w:rPr>
          <w:rFonts w:ascii="Times New Roman" w:hAnsi="Times New Roman" w:cs="Times New Roman"/>
          <w:sz w:val="24"/>
          <w:szCs w:val="24"/>
        </w:rPr>
      </w:pPr>
    </w:p>
    <w:p w:rsidR="001865AF" w:rsidRPr="00F44E44" w:rsidRDefault="002045DB" w:rsidP="00F44E44">
      <w:pPr>
        <w:jc w:val="both"/>
        <w:rPr>
          <w:rFonts w:ascii="Times New Roman" w:hAnsi="Times New Roman"/>
          <w:sz w:val="24"/>
          <w:szCs w:val="24"/>
        </w:rPr>
      </w:pPr>
      <w:r w:rsidRPr="00F44E44">
        <w:rPr>
          <w:rFonts w:ascii="Times New Roman" w:hAnsi="Times New Roman"/>
          <w:sz w:val="24"/>
          <w:szCs w:val="24"/>
        </w:rPr>
        <w:t>Medical consultations are classified by the Read system, which employs many thousands of d</w:t>
      </w:r>
      <w:r w:rsidR="00F30E76">
        <w:rPr>
          <w:rFonts w:ascii="Times New Roman" w:hAnsi="Times New Roman"/>
          <w:sz w:val="24"/>
          <w:szCs w:val="24"/>
        </w:rPr>
        <w:t>iagnostic codes and descriptors that were</w:t>
      </w:r>
      <w:r w:rsidRPr="00F44E44">
        <w:rPr>
          <w:rFonts w:ascii="Times New Roman" w:hAnsi="Times New Roman"/>
          <w:sz w:val="24"/>
          <w:szCs w:val="24"/>
        </w:rPr>
        <w:t xml:space="preserve"> supplied </w:t>
      </w:r>
      <w:r w:rsidR="00CA402C">
        <w:rPr>
          <w:rFonts w:ascii="Times New Roman" w:hAnsi="Times New Roman"/>
          <w:sz w:val="24"/>
          <w:szCs w:val="24"/>
        </w:rPr>
        <w:t xml:space="preserve">to </w:t>
      </w:r>
      <w:r w:rsidRPr="00F44E44">
        <w:rPr>
          <w:rFonts w:ascii="Times New Roman" w:hAnsi="Times New Roman"/>
          <w:sz w:val="24"/>
          <w:szCs w:val="24"/>
        </w:rPr>
        <w:t>us by MHRA on a ‘look-up’ CD-ROM. For this analysis, we searched</w:t>
      </w:r>
      <w:r w:rsidR="00084106">
        <w:rPr>
          <w:rFonts w:ascii="Times New Roman" w:hAnsi="Times New Roman"/>
          <w:sz w:val="24"/>
          <w:szCs w:val="24"/>
        </w:rPr>
        <w:t xml:space="preserve"> systematically</w:t>
      </w:r>
      <w:r w:rsidRPr="00F44E44">
        <w:rPr>
          <w:rFonts w:ascii="Times New Roman" w:hAnsi="Times New Roman"/>
          <w:sz w:val="24"/>
          <w:szCs w:val="24"/>
        </w:rPr>
        <w:t xml:space="preserve"> for codes relating to impairments of vision</w:t>
      </w:r>
      <w:r w:rsidR="00836326">
        <w:rPr>
          <w:rFonts w:ascii="Times New Roman" w:hAnsi="Times New Roman"/>
          <w:sz w:val="24"/>
          <w:szCs w:val="24"/>
        </w:rPr>
        <w:t>,</w:t>
      </w:r>
      <w:r w:rsidRPr="00F44E44">
        <w:rPr>
          <w:rFonts w:ascii="Times New Roman" w:hAnsi="Times New Roman"/>
          <w:sz w:val="24"/>
          <w:szCs w:val="24"/>
        </w:rPr>
        <w:t xml:space="preserve"> hearing</w:t>
      </w:r>
      <w:r w:rsidR="00836326" w:rsidRPr="00836326">
        <w:rPr>
          <w:rFonts w:ascii="Times New Roman" w:hAnsi="Times New Roman"/>
          <w:sz w:val="24"/>
          <w:szCs w:val="24"/>
        </w:rPr>
        <w:t xml:space="preserve"> </w:t>
      </w:r>
      <w:r w:rsidR="00836326" w:rsidRPr="00F44E44">
        <w:rPr>
          <w:rFonts w:ascii="Times New Roman" w:hAnsi="Times New Roman"/>
          <w:sz w:val="24"/>
          <w:szCs w:val="24"/>
        </w:rPr>
        <w:t>and</w:t>
      </w:r>
      <w:r w:rsidR="00836326">
        <w:rPr>
          <w:rFonts w:ascii="Times New Roman" w:hAnsi="Times New Roman"/>
          <w:sz w:val="24"/>
          <w:szCs w:val="24"/>
        </w:rPr>
        <w:t xml:space="preserve"> balance</w:t>
      </w:r>
      <w:r w:rsidR="00CB66A9" w:rsidRPr="00F44E44">
        <w:rPr>
          <w:rFonts w:ascii="Times New Roman" w:hAnsi="Times New Roman"/>
          <w:sz w:val="24"/>
          <w:szCs w:val="24"/>
        </w:rPr>
        <w:t>. Specifically, we looked for terms relating to (1) visual loss, visual impairment,</w:t>
      </w:r>
      <w:r w:rsidR="00CB66A9" w:rsidRPr="00CB66A9">
        <w:rPr>
          <w:rFonts w:ascii="Times New Roman" w:hAnsi="Times New Roman"/>
          <w:sz w:val="24"/>
          <w:szCs w:val="24"/>
        </w:rPr>
        <w:t xml:space="preserve"> </w:t>
      </w:r>
      <w:r w:rsidR="00CB66A9" w:rsidRPr="00F44E44">
        <w:rPr>
          <w:rFonts w:ascii="Times New Roman" w:hAnsi="Times New Roman"/>
          <w:sz w:val="24"/>
          <w:szCs w:val="24"/>
        </w:rPr>
        <w:t>blindness, and low visual acuity; (2) three common categories of eye disease</w:t>
      </w:r>
      <w:r w:rsidR="006A60E7">
        <w:rPr>
          <w:rFonts w:ascii="Times New Roman" w:hAnsi="Times New Roman"/>
          <w:sz w:val="24"/>
          <w:szCs w:val="24"/>
        </w:rPr>
        <w:t>,</w:t>
      </w:r>
      <w:r w:rsidR="00CB66A9" w:rsidRPr="00F44E44">
        <w:rPr>
          <w:rFonts w:ascii="Times New Roman" w:hAnsi="Times New Roman"/>
          <w:sz w:val="24"/>
          <w:szCs w:val="24"/>
        </w:rPr>
        <w:t xml:space="preserve"> </w:t>
      </w:r>
      <w:r w:rsidR="006A60E7">
        <w:rPr>
          <w:rFonts w:ascii="Times New Roman" w:hAnsi="Times New Roman"/>
          <w:sz w:val="24"/>
          <w:szCs w:val="24"/>
        </w:rPr>
        <w:t xml:space="preserve">as judged </w:t>
      </w:r>
      <w:r w:rsidR="00AE6281">
        <w:rPr>
          <w:rFonts w:ascii="Times New Roman" w:hAnsi="Times New Roman"/>
          <w:sz w:val="24"/>
          <w:szCs w:val="24"/>
        </w:rPr>
        <w:t xml:space="preserve">from </w:t>
      </w:r>
      <w:r w:rsidR="00CB66A9" w:rsidRPr="00F44E44">
        <w:rPr>
          <w:rFonts w:ascii="Times New Roman" w:hAnsi="Times New Roman"/>
          <w:sz w:val="24"/>
          <w:szCs w:val="24"/>
        </w:rPr>
        <w:t xml:space="preserve">Hospital Episode Statistics England  – glaucoma, cataract and retinal </w:t>
      </w:r>
      <w:r w:rsidR="00E92E3B">
        <w:rPr>
          <w:rFonts w:ascii="Times New Roman" w:hAnsi="Times New Roman"/>
          <w:sz w:val="24"/>
          <w:szCs w:val="24"/>
        </w:rPr>
        <w:t>disease</w:t>
      </w:r>
      <w:r w:rsidR="00E92E3B" w:rsidRPr="00F44E44">
        <w:rPr>
          <w:rFonts w:ascii="Times New Roman" w:hAnsi="Times New Roman"/>
          <w:sz w:val="24"/>
          <w:szCs w:val="24"/>
        </w:rPr>
        <w:t xml:space="preserve"> </w:t>
      </w:r>
      <w:r w:rsidR="00CB66A9" w:rsidRPr="00F44E44">
        <w:rPr>
          <w:rFonts w:ascii="Times New Roman" w:hAnsi="Times New Roman"/>
          <w:sz w:val="24"/>
          <w:szCs w:val="24"/>
        </w:rPr>
        <w:t xml:space="preserve">(e.g. retinopathy, retinal </w:t>
      </w:r>
      <w:r w:rsidR="001865AF" w:rsidRPr="00F44E44">
        <w:rPr>
          <w:rFonts w:ascii="Times New Roman" w:hAnsi="Times New Roman"/>
          <w:sz w:val="24"/>
          <w:szCs w:val="24"/>
        </w:rPr>
        <w:t>detachment, retinal vein thrombosis, optic neuritis</w:t>
      </w:r>
      <w:r w:rsidR="00E23AE9" w:rsidRPr="00F44E44">
        <w:rPr>
          <w:rFonts w:ascii="Times New Roman" w:hAnsi="Times New Roman"/>
          <w:sz w:val="24"/>
          <w:szCs w:val="24"/>
        </w:rPr>
        <w:t>, macular degeneration</w:t>
      </w:r>
      <w:r w:rsidR="001865AF" w:rsidRPr="00F44E44">
        <w:rPr>
          <w:rFonts w:ascii="Times New Roman" w:hAnsi="Times New Roman"/>
          <w:sz w:val="24"/>
          <w:szCs w:val="24"/>
        </w:rPr>
        <w:t>); (</w:t>
      </w:r>
      <w:r w:rsidR="005816C2" w:rsidRPr="00F44E44">
        <w:rPr>
          <w:rFonts w:ascii="Times New Roman" w:hAnsi="Times New Roman"/>
          <w:sz w:val="24"/>
          <w:szCs w:val="24"/>
        </w:rPr>
        <w:t>3</w:t>
      </w:r>
      <w:r w:rsidR="001865AF" w:rsidRPr="00F44E44">
        <w:rPr>
          <w:rFonts w:ascii="Times New Roman" w:hAnsi="Times New Roman"/>
          <w:sz w:val="24"/>
          <w:szCs w:val="24"/>
        </w:rPr>
        <w:t>)</w:t>
      </w:r>
      <w:r w:rsidR="008A4BD5" w:rsidRPr="00F44E44">
        <w:rPr>
          <w:rFonts w:ascii="Times New Roman" w:hAnsi="Times New Roman"/>
          <w:sz w:val="24"/>
          <w:szCs w:val="24"/>
        </w:rPr>
        <w:t xml:space="preserve"> hearing loss, hearing impairment, hearing difficulty, deafness, and use of a hearing aid or appliance; (</w:t>
      </w:r>
      <w:r w:rsidR="005816C2" w:rsidRPr="00F44E44">
        <w:rPr>
          <w:rFonts w:ascii="Times New Roman" w:hAnsi="Times New Roman"/>
          <w:sz w:val="24"/>
          <w:szCs w:val="24"/>
        </w:rPr>
        <w:t>4</w:t>
      </w:r>
      <w:r w:rsidR="008A4BD5" w:rsidRPr="00F44E44">
        <w:rPr>
          <w:rFonts w:ascii="Times New Roman" w:hAnsi="Times New Roman"/>
          <w:sz w:val="24"/>
          <w:szCs w:val="24"/>
        </w:rPr>
        <w:t>) perforations of the ear drum; (</w:t>
      </w:r>
      <w:r w:rsidR="005816C2" w:rsidRPr="00F44E44">
        <w:rPr>
          <w:rFonts w:ascii="Times New Roman" w:hAnsi="Times New Roman"/>
          <w:sz w:val="24"/>
          <w:szCs w:val="24"/>
        </w:rPr>
        <w:t>5</w:t>
      </w:r>
      <w:r w:rsidR="008A4BD5" w:rsidRPr="00F44E44">
        <w:rPr>
          <w:rFonts w:ascii="Times New Roman" w:hAnsi="Times New Roman"/>
          <w:sz w:val="24"/>
          <w:szCs w:val="24"/>
        </w:rPr>
        <w:t xml:space="preserve">) non-acute otitis media; </w:t>
      </w:r>
      <w:r w:rsidR="00182753">
        <w:rPr>
          <w:rFonts w:ascii="Times New Roman" w:hAnsi="Times New Roman"/>
          <w:sz w:val="24"/>
          <w:szCs w:val="24"/>
        </w:rPr>
        <w:t xml:space="preserve">and </w:t>
      </w:r>
      <w:r w:rsidR="008A4BD5" w:rsidRPr="00F44E44">
        <w:rPr>
          <w:rFonts w:ascii="Times New Roman" w:hAnsi="Times New Roman"/>
          <w:sz w:val="24"/>
          <w:szCs w:val="24"/>
        </w:rPr>
        <w:t>(</w:t>
      </w:r>
      <w:r w:rsidR="005816C2" w:rsidRPr="00F44E44">
        <w:rPr>
          <w:rFonts w:ascii="Times New Roman" w:hAnsi="Times New Roman"/>
          <w:sz w:val="24"/>
          <w:szCs w:val="24"/>
        </w:rPr>
        <w:t>6</w:t>
      </w:r>
      <w:r w:rsidR="008A4BD5" w:rsidRPr="00F44E44">
        <w:rPr>
          <w:rFonts w:ascii="Times New Roman" w:hAnsi="Times New Roman"/>
          <w:sz w:val="24"/>
          <w:szCs w:val="24"/>
        </w:rPr>
        <w:t xml:space="preserve">) terms </w:t>
      </w:r>
      <w:r w:rsidR="005816C2" w:rsidRPr="00F44E44">
        <w:rPr>
          <w:rFonts w:ascii="Times New Roman" w:hAnsi="Times New Roman"/>
          <w:sz w:val="24"/>
          <w:szCs w:val="24"/>
        </w:rPr>
        <w:t>that might indicate impaired balance – vertigo, Meniere’s disease, labyrin</w:t>
      </w:r>
      <w:r w:rsidR="00F30E76">
        <w:rPr>
          <w:rFonts w:ascii="Times New Roman" w:hAnsi="Times New Roman"/>
          <w:sz w:val="24"/>
          <w:szCs w:val="24"/>
        </w:rPr>
        <w:t>thine and vestibular disorders</w:t>
      </w:r>
      <w:r w:rsidR="005816C2" w:rsidRPr="00F44E44">
        <w:rPr>
          <w:rFonts w:ascii="Times New Roman" w:hAnsi="Times New Roman"/>
          <w:sz w:val="24"/>
          <w:szCs w:val="24"/>
        </w:rPr>
        <w:t xml:space="preserve">. </w:t>
      </w:r>
      <w:r w:rsidR="00F30E76" w:rsidRPr="00F44E44">
        <w:rPr>
          <w:rFonts w:ascii="Times New Roman" w:hAnsi="Times New Roman"/>
          <w:sz w:val="24"/>
          <w:szCs w:val="24"/>
        </w:rPr>
        <w:t>(</w:t>
      </w:r>
      <w:r w:rsidR="00F30E76" w:rsidRPr="006A60E7">
        <w:rPr>
          <w:rFonts w:ascii="Times New Roman" w:hAnsi="Times New Roman"/>
          <w:sz w:val="24"/>
          <w:szCs w:val="24"/>
        </w:rPr>
        <w:t>An online Appendix provides details of coding.</w:t>
      </w:r>
      <w:r w:rsidR="00F30E76" w:rsidRPr="00F44E44">
        <w:rPr>
          <w:rFonts w:ascii="Times New Roman" w:hAnsi="Times New Roman"/>
          <w:sz w:val="24"/>
          <w:szCs w:val="24"/>
        </w:rPr>
        <w:t>)</w:t>
      </w:r>
      <w:r w:rsidR="00F30E76">
        <w:rPr>
          <w:rFonts w:ascii="Times New Roman" w:hAnsi="Times New Roman"/>
          <w:sz w:val="24"/>
          <w:szCs w:val="24"/>
        </w:rPr>
        <w:t xml:space="preserve"> </w:t>
      </w:r>
      <w:r w:rsidR="005816C2" w:rsidRPr="00842AFF">
        <w:rPr>
          <w:rFonts w:ascii="Times New Roman" w:hAnsi="Times New Roman"/>
          <w:sz w:val="24"/>
          <w:szCs w:val="24"/>
        </w:rPr>
        <w:t xml:space="preserve">In all we identified </w:t>
      </w:r>
      <w:r w:rsidR="001B63FE" w:rsidRPr="00842AFF">
        <w:rPr>
          <w:rFonts w:ascii="Times New Roman" w:hAnsi="Times New Roman"/>
          <w:sz w:val="24"/>
          <w:szCs w:val="24"/>
        </w:rPr>
        <w:t>9</w:t>
      </w:r>
      <w:r w:rsidR="00842AFF" w:rsidRPr="00842AFF">
        <w:rPr>
          <w:rFonts w:ascii="Times New Roman" w:hAnsi="Times New Roman"/>
          <w:sz w:val="24"/>
          <w:szCs w:val="24"/>
        </w:rPr>
        <w:t>0</w:t>
      </w:r>
      <w:r w:rsidR="005816C2" w:rsidRPr="00842AFF">
        <w:rPr>
          <w:rFonts w:ascii="Times New Roman" w:hAnsi="Times New Roman"/>
          <w:sz w:val="24"/>
          <w:szCs w:val="24"/>
        </w:rPr>
        <w:t xml:space="preserve"> codes relating to poor vision or blindness; </w:t>
      </w:r>
      <w:r w:rsidR="00182753" w:rsidRPr="00842AFF">
        <w:rPr>
          <w:rFonts w:ascii="Times New Roman" w:hAnsi="Times New Roman"/>
          <w:sz w:val="24"/>
          <w:szCs w:val="24"/>
        </w:rPr>
        <w:t>6</w:t>
      </w:r>
      <w:r w:rsidR="005816C2" w:rsidRPr="00842AFF">
        <w:rPr>
          <w:rFonts w:ascii="Times New Roman" w:hAnsi="Times New Roman"/>
          <w:sz w:val="24"/>
          <w:szCs w:val="24"/>
        </w:rPr>
        <w:t xml:space="preserve">, </w:t>
      </w:r>
      <w:r w:rsidR="001B63FE" w:rsidRPr="00842AFF">
        <w:rPr>
          <w:rFonts w:ascii="Times New Roman" w:hAnsi="Times New Roman"/>
          <w:sz w:val="24"/>
          <w:szCs w:val="24"/>
        </w:rPr>
        <w:t>12</w:t>
      </w:r>
      <w:r w:rsidR="005816C2" w:rsidRPr="00842AFF">
        <w:rPr>
          <w:rFonts w:ascii="Times New Roman" w:hAnsi="Times New Roman"/>
          <w:sz w:val="24"/>
          <w:szCs w:val="24"/>
        </w:rPr>
        <w:t xml:space="preserve"> and </w:t>
      </w:r>
      <w:r w:rsidR="001B63FE" w:rsidRPr="00842AFF">
        <w:rPr>
          <w:rFonts w:ascii="Times New Roman" w:hAnsi="Times New Roman"/>
          <w:sz w:val="24"/>
          <w:szCs w:val="24"/>
        </w:rPr>
        <w:t>27</w:t>
      </w:r>
      <w:r w:rsidR="005816C2" w:rsidRPr="00842AFF">
        <w:rPr>
          <w:rFonts w:ascii="Times New Roman" w:hAnsi="Times New Roman"/>
          <w:sz w:val="24"/>
          <w:szCs w:val="24"/>
        </w:rPr>
        <w:t xml:space="preserve"> each for glaucoma, cataract and retinal </w:t>
      </w:r>
      <w:r w:rsidR="00E92E3B" w:rsidRPr="00842AFF">
        <w:rPr>
          <w:rFonts w:ascii="Times New Roman" w:hAnsi="Times New Roman"/>
          <w:sz w:val="24"/>
          <w:szCs w:val="24"/>
        </w:rPr>
        <w:t>disease</w:t>
      </w:r>
      <w:r w:rsidR="005816C2" w:rsidRPr="00842AFF">
        <w:rPr>
          <w:rFonts w:ascii="Times New Roman" w:hAnsi="Times New Roman"/>
          <w:sz w:val="24"/>
          <w:szCs w:val="24"/>
        </w:rPr>
        <w:t xml:space="preserve">; </w:t>
      </w:r>
      <w:r w:rsidR="001B63FE" w:rsidRPr="00842AFF">
        <w:rPr>
          <w:rFonts w:ascii="Times New Roman" w:hAnsi="Times New Roman"/>
          <w:sz w:val="24"/>
          <w:szCs w:val="24"/>
        </w:rPr>
        <w:t>9</w:t>
      </w:r>
      <w:r w:rsidR="00842AFF" w:rsidRPr="00842AFF">
        <w:rPr>
          <w:rFonts w:ascii="Times New Roman" w:hAnsi="Times New Roman"/>
          <w:sz w:val="24"/>
          <w:szCs w:val="24"/>
        </w:rPr>
        <w:t>2</w:t>
      </w:r>
      <w:r w:rsidR="005816C2" w:rsidRPr="00842AFF">
        <w:rPr>
          <w:rFonts w:ascii="Times New Roman" w:hAnsi="Times New Roman"/>
          <w:sz w:val="24"/>
          <w:szCs w:val="24"/>
        </w:rPr>
        <w:t xml:space="preserve"> codes for hearing loss or deafness; </w:t>
      </w:r>
      <w:r w:rsidR="001B63FE" w:rsidRPr="00842AFF">
        <w:rPr>
          <w:rFonts w:ascii="Times New Roman" w:hAnsi="Times New Roman"/>
          <w:sz w:val="24"/>
          <w:szCs w:val="24"/>
        </w:rPr>
        <w:t>11</w:t>
      </w:r>
      <w:r w:rsidR="005816C2" w:rsidRPr="00842AFF">
        <w:rPr>
          <w:rFonts w:ascii="Times New Roman" w:hAnsi="Times New Roman"/>
          <w:sz w:val="24"/>
          <w:szCs w:val="24"/>
        </w:rPr>
        <w:t xml:space="preserve"> for perforated ear drum; </w:t>
      </w:r>
      <w:r w:rsidR="001B63FE" w:rsidRPr="00842AFF">
        <w:rPr>
          <w:rFonts w:ascii="Times New Roman" w:hAnsi="Times New Roman"/>
          <w:sz w:val="24"/>
          <w:szCs w:val="24"/>
        </w:rPr>
        <w:t>3</w:t>
      </w:r>
      <w:r w:rsidR="00337EF6" w:rsidRPr="00842AFF">
        <w:rPr>
          <w:rFonts w:ascii="Times New Roman" w:hAnsi="Times New Roman"/>
          <w:sz w:val="24"/>
          <w:szCs w:val="24"/>
        </w:rPr>
        <w:t>2</w:t>
      </w:r>
      <w:r w:rsidR="005816C2" w:rsidRPr="00842AFF">
        <w:rPr>
          <w:rFonts w:ascii="Times New Roman" w:hAnsi="Times New Roman"/>
          <w:sz w:val="24"/>
          <w:szCs w:val="24"/>
        </w:rPr>
        <w:t xml:space="preserve"> for non-acute otitis media; and </w:t>
      </w:r>
      <w:r w:rsidR="00CA402C" w:rsidRPr="00842AFF">
        <w:rPr>
          <w:rFonts w:ascii="Times New Roman" w:hAnsi="Times New Roman"/>
          <w:sz w:val="24"/>
          <w:szCs w:val="24"/>
        </w:rPr>
        <w:t>49</w:t>
      </w:r>
      <w:r w:rsidR="005816C2" w:rsidRPr="00842AFF">
        <w:rPr>
          <w:rFonts w:ascii="Times New Roman" w:hAnsi="Times New Roman"/>
          <w:sz w:val="24"/>
          <w:szCs w:val="24"/>
        </w:rPr>
        <w:t xml:space="preserve"> for disorders of balance. De</w:t>
      </w:r>
      <w:r w:rsidR="005816C2" w:rsidRPr="00F44E44">
        <w:rPr>
          <w:rFonts w:ascii="Times New Roman" w:hAnsi="Times New Roman"/>
          <w:sz w:val="24"/>
          <w:szCs w:val="24"/>
        </w:rPr>
        <w:t xml:space="preserve">cisions about which codes to include were taken by two of us independently, </w:t>
      </w:r>
      <w:r w:rsidR="002A04ED" w:rsidRPr="00F44E44">
        <w:rPr>
          <w:rFonts w:ascii="Times New Roman" w:hAnsi="Times New Roman"/>
          <w:sz w:val="24"/>
          <w:szCs w:val="24"/>
        </w:rPr>
        <w:t>blinded to information on the case-control status of individuals</w:t>
      </w:r>
      <w:r w:rsidR="002A04ED">
        <w:rPr>
          <w:rFonts w:ascii="Times New Roman" w:hAnsi="Times New Roman"/>
          <w:sz w:val="24"/>
          <w:szCs w:val="24"/>
        </w:rPr>
        <w:t>, and</w:t>
      </w:r>
      <w:r w:rsidR="002A04ED" w:rsidRPr="00F44E44">
        <w:rPr>
          <w:rFonts w:ascii="Times New Roman" w:hAnsi="Times New Roman"/>
          <w:sz w:val="24"/>
          <w:szCs w:val="24"/>
        </w:rPr>
        <w:t xml:space="preserve"> </w:t>
      </w:r>
      <w:r w:rsidR="005816C2" w:rsidRPr="00F44E44">
        <w:rPr>
          <w:rFonts w:ascii="Times New Roman" w:hAnsi="Times New Roman"/>
          <w:sz w:val="24"/>
          <w:szCs w:val="24"/>
        </w:rPr>
        <w:t xml:space="preserve">differences </w:t>
      </w:r>
      <w:r w:rsidR="002A04ED">
        <w:rPr>
          <w:rFonts w:ascii="Times New Roman" w:hAnsi="Times New Roman"/>
          <w:sz w:val="24"/>
          <w:szCs w:val="24"/>
        </w:rPr>
        <w:t xml:space="preserve">were </w:t>
      </w:r>
      <w:r w:rsidR="005816C2" w:rsidRPr="00F44E44">
        <w:rPr>
          <w:rFonts w:ascii="Times New Roman" w:hAnsi="Times New Roman"/>
          <w:sz w:val="24"/>
          <w:szCs w:val="24"/>
        </w:rPr>
        <w:t>resol</w:t>
      </w:r>
      <w:r w:rsidR="004847EF">
        <w:rPr>
          <w:rFonts w:ascii="Times New Roman" w:hAnsi="Times New Roman"/>
          <w:sz w:val="24"/>
          <w:szCs w:val="24"/>
        </w:rPr>
        <w:t>ved by discussion</w:t>
      </w:r>
      <w:r w:rsidR="002A04ED">
        <w:rPr>
          <w:rFonts w:ascii="Times New Roman" w:hAnsi="Times New Roman"/>
          <w:sz w:val="24"/>
          <w:szCs w:val="24"/>
        </w:rPr>
        <w:t>.</w:t>
      </w:r>
    </w:p>
    <w:p w:rsidR="001865AF" w:rsidRPr="00F44E44" w:rsidRDefault="001865AF" w:rsidP="00552DD7">
      <w:pPr>
        <w:rPr>
          <w:rFonts w:ascii="Times New Roman" w:hAnsi="Times New Roman"/>
          <w:sz w:val="24"/>
          <w:szCs w:val="24"/>
        </w:rPr>
      </w:pPr>
    </w:p>
    <w:p w:rsidR="006629E3" w:rsidRDefault="00C758D8" w:rsidP="00E307F9">
      <w:pPr>
        <w:widowControl w:val="0"/>
        <w:jc w:val="both"/>
        <w:rPr>
          <w:rFonts w:ascii="Times New Roman" w:hAnsi="Times New Roman"/>
          <w:sz w:val="24"/>
          <w:szCs w:val="24"/>
        </w:rPr>
      </w:pPr>
      <w:r w:rsidRPr="00F44E44">
        <w:rPr>
          <w:rFonts w:ascii="Times New Roman" w:hAnsi="Times New Roman"/>
          <w:sz w:val="24"/>
          <w:szCs w:val="24"/>
        </w:rPr>
        <w:t xml:space="preserve">We assessed the association between injury consultation and prior </w:t>
      </w:r>
      <w:r w:rsidR="005816C2" w:rsidRPr="00F44E44">
        <w:rPr>
          <w:rFonts w:ascii="Times New Roman" w:hAnsi="Times New Roman"/>
          <w:sz w:val="24"/>
          <w:szCs w:val="24"/>
        </w:rPr>
        <w:t>sensory impairment</w:t>
      </w:r>
      <w:r w:rsidRPr="00F44E44">
        <w:rPr>
          <w:rFonts w:ascii="Times New Roman" w:hAnsi="Times New Roman"/>
          <w:sz w:val="24"/>
          <w:szCs w:val="24"/>
        </w:rPr>
        <w:t xml:space="preserve"> using conditional logistic regression, with findings expressed as </w:t>
      </w:r>
      <w:r w:rsidR="00F30E5E">
        <w:rPr>
          <w:rFonts w:ascii="Times New Roman" w:hAnsi="Times New Roman"/>
          <w:sz w:val="24"/>
          <w:szCs w:val="24"/>
        </w:rPr>
        <w:t>odds ratios (</w:t>
      </w:r>
      <w:r w:rsidRPr="00F44E44">
        <w:rPr>
          <w:rFonts w:ascii="Times New Roman" w:hAnsi="Times New Roman"/>
          <w:sz w:val="24"/>
          <w:szCs w:val="24"/>
        </w:rPr>
        <w:t>ORs</w:t>
      </w:r>
      <w:r w:rsidR="00F30E5E">
        <w:rPr>
          <w:rFonts w:ascii="Times New Roman" w:hAnsi="Times New Roman"/>
          <w:sz w:val="24"/>
          <w:szCs w:val="24"/>
        </w:rPr>
        <w:t>)</w:t>
      </w:r>
      <w:r w:rsidRPr="00F44E44">
        <w:rPr>
          <w:rFonts w:ascii="Times New Roman" w:hAnsi="Times New Roman"/>
          <w:sz w:val="24"/>
          <w:szCs w:val="24"/>
        </w:rPr>
        <w:t xml:space="preserve"> and associated 95% confidence intervals (95%CI).</w:t>
      </w:r>
      <w:r w:rsidR="005816C2" w:rsidRPr="00F44E44">
        <w:rPr>
          <w:rFonts w:ascii="Times New Roman" w:hAnsi="Times New Roman"/>
          <w:sz w:val="24"/>
          <w:szCs w:val="24"/>
        </w:rPr>
        <w:t xml:space="preserve"> </w:t>
      </w:r>
      <w:r w:rsidR="005816C2" w:rsidRPr="006629E3">
        <w:rPr>
          <w:rFonts w:ascii="Times New Roman" w:hAnsi="Times New Roman"/>
          <w:sz w:val="24"/>
          <w:szCs w:val="24"/>
        </w:rPr>
        <w:t xml:space="preserve">For </w:t>
      </w:r>
      <w:r w:rsidR="006629E3" w:rsidRPr="006629E3">
        <w:rPr>
          <w:rFonts w:ascii="Times New Roman" w:hAnsi="Times New Roman"/>
          <w:sz w:val="24"/>
          <w:szCs w:val="24"/>
        </w:rPr>
        <w:t>problems of the eye, ear</w:t>
      </w:r>
      <w:r w:rsidR="00F30E76">
        <w:rPr>
          <w:rFonts w:ascii="Times New Roman" w:hAnsi="Times New Roman"/>
          <w:sz w:val="24"/>
          <w:szCs w:val="24"/>
        </w:rPr>
        <w:t>,</w:t>
      </w:r>
      <w:r w:rsidR="006629E3" w:rsidRPr="006629E3">
        <w:rPr>
          <w:rFonts w:ascii="Times New Roman" w:hAnsi="Times New Roman"/>
          <w:sz w:val="24"/>
          <w:szCs w:val="24"/>
        </w:rPr>
        <w:t xml:space="preserve"> and balance</w:t>
      </w:r>
      <w:r w:rsidR="002A04ED">
        <w:rPr>
          <w:rFonts w:ascii="Times New Roman" w:hAnsi="Times New Roman"/>
          <w:sz w:val="24"/>
          <w:szCs w:val="24"/>
        </w:rPr>
        <w:t>,</w:t>
      </w:r>
      <w:r w:rsidR="006629E3" w:rsidRPr="006629E3">
        <w:rPr>
          <w:rFonts w:ascii="Times New Roman" w:hAnsi="Times New Roman"/>
          <w:sz w:val="24"/>
          <w:szCs w:val="24"/>
        </w:rPr>
        <w:t xml:space="preserve"> </w:t>
      </w:r>
      <w:r w:rsidR="005816C2" w:rsidRPr="006629E3">
        <w:rPr>
          <w:rFonts w:ascii="Times New Roman" w:hAnsi="Times New Roman"/>
          <w:sz w:val="24"/>
          <w:szCs w:val="24"/>
        </w:rPr>
        <w:t>w</w:t>
      </w:r>
      <w:r w:rsidR="005816C2" w:rsidRPr="00F44E44">
        <w:rPr>
          <w:rFonts w:ascii="Times New Roman" w:hAnsi="Times New Roman"/>
          <w:sz w:val="24"/>
          <w:szCs w:val="24"/>
        </w:rPr>
        <w:t>e analysed risks according to any medical record</w:t>
      </w:r>
      <w:r w:rsidR="006A60E7">
        <w:rPr>
          <w:rFonts w:ascii="Times New Roman" w:hAnsi="Times New Roman"/>
          <w:sz w:val="24"/>
          <w:szCs w:val="24"/>
        </w:rPr>
        <w:t xml:space="preserve"> of a relevant code</w:t>
      </w:r>
      <w:r w:rsidR="005816C2" w:rsidRPr="00F44E44">
        <w:rPr>
          <w:rFonts w:ascii="Times New Roman" w:hAnsi="Times New Roman"/>
          <w:sz w:val="24"/>
          <w:szCs w:val="24"/>
        </w:rPr>
        <w:t xml:space="preserve"> before the index date for injury consultation</w:t>
      </w:r>
      <w:r w:rsidR="006629E3">
        <w:rPr>
          <w:rFonts w:ascii="Times New Roman" w:hAnsi="Times New Roman"/>
          <w:sz w:val="24"/>
          <w:szCs w:val="24"/>
        </w:rPr>
        <w:t>;</w:t>
      </w:r>
      <w:r w:rsidR="005816C2" w:rsidRPr="00F44E44">
        <w:rPr>
          <w:rFonts w:ascii="Times New Roman" w:hAnsi="Times New Roman"/>
          <w:sz w:val="24"/>
          <w:szCs w:val="24"/>
        </w:rPr>
        <w:t xml:space="preserve"> and </w:t>
      </w:r>
      <w:r w:rsidR="006629E3">
        <w:rPr>
          <w:rFonts w:ascii="Times New Roman" w:hAnsi="Times New Roman"/>
          <w:sz w:val="24"/>
          <w:szCs w:val="24"/>
        </w:rPr>
        <w:t>additionally, in the case of otitis media and of balance disorders (two health problems with potentially acute effects)</w:t>
      </w:r>
      <w:r w:rsidR="003330BC">
        <w:rPr>
          <w:rFonts w:ascii="Times New Roman" w:hAnsi="Times New Roman"/>
          <w:sz w:val="24"/>
          <w:szCs w:val="24"/>
        </w:rPr>
        <w:t>,</w:t>
      </w:r>
      <w:r w:rsidR="006629E3">
        <w:rPr>
          <w:rFonts w:ascii="Times New Roman" w:hAnsi="Times New Roman"/>
          <w:sz w:val="24"/>
          <w:szCs w:val="24"/>
        </w:rPr>
        <w:t xml:space="preserve"> we separately estimated risks </w:t>
      </w:r>
      <w:r w:rsidR="006A60E7">
        <w:rPr>
          <w:rFonts w:ascii="Times New Roman" w:hAnsi="Times New Roman"/>
          <w:sz w:val="24"/>
          <w:szCs w:val="24"/>
        </w:rPr>
        <w:t>associated with</w:t>
      </w:r>
      <w:r w:rsidR="006629E3">
        <w:rPr>
          <w:rFonts w:ascii="Times New Roman" w:hAnsi="Times New Roman"/>
          <w:sz w:val="24"/>
          <w:szCs w:val="24"/>
        </w:rPr>
        <w:t xml:space="preserve"> a last relevant consultation within the 12 months immediately preceding the injury consultation.</w:t>
      </w:r>
      <w:r w:rsidR="00C31405" w:rsidRPr="00C31405">
        <w:t xml:space="preserve"> </w:t>
      </w:r>
      <w:r w:rsidR="00205638">
        <w:rPr>
          <w:rFonts w:ascii="Times New Roman" w:hAnsi="Times New Roman"/>
          <w:sz w:val="24"/>
          <w:szCs w:val="24"/>
        </w:rPr>
        <w:t>A</w:t>
      </w:r>
      <w:r w:rsidR="00C31405" w:rsidRPr="00C31405">
        <w:rPr>
          <w:rFonts w:ascii="Times New Roman" w:hAnsi="Times New Roman"/>
          <w:sz w:val="24"/>
          <w:szCs w:val="24"/>
        </w:rPr>
        <w:t>nalysis adjusted for</w:t>
      </w:r>
      <w:r w:rsidR="00C31405">
        <w:rPr>
          <w:rFonts w:ascii="Times New Roman" w:hAnsi="Times New Roman"/>
          <w:sz w:val="24"/>
          <w:szCs w:val="24"/>
        </w:rPr>
        <w:t xml:space="preserve"> a history of problem drinking</w:t>
      </w:r>
      <w:r w:rsidR="008123D8">
        <w:rPr>
          <w:rFonts w:ascii="Times New Roman" w:hAnsi="Times New Roman"/>
          <w:sz w:val="24"/>
          <w:szCs w:val="24"/>
        </w:rPr>
        <w:t>,</w:t>
      </w:r>
      <w:r w:rsidR="00C31405">
        <w:rPr>
          <w:rFonts w:ascii="Times New Roman" w:hAnsi="Times New Roman"/>
          <w:sz w:val="24"/>
          <w:szCs w:val="24"/>
        </w:rPr>
        <w:t xml:space="preserve"> </w:t>
      </w:r>
      <w:r w:rsidR="00C31405" w:rsidRPr="00C31405">
        <w:rPr>
          <w:rFonts w:ascii="Times New Roman" w:hAnsi="Times New Roman"/>
          <w:sz w:val="24"/>
          <w:szCs w:val="24"/>
        </w:rPr>
        <w:t xml:space="preserve">identified through a search for codes </w:t>
      </w:r>
      <w:r w:rsidR="00C31405" w:rsidRPr="00C31405">
        <w:rPr>
          <w:rFonts w:ascii="Times New Roman" w:hAnsi="Times New Roman"/>
          <w:sz w:val="24"/>
          <w:szCs w:val="24"/>
        </w:rPr>
        <w:lastRenderedPageBreak/>
        <w:t>relating to alcohol misuse, alcoholic medical complications and high weekly intake</w:t>
      </w:r>
      <w:r w:rsidR="00C31405">
        <w:rPr>
          <w:rFonts w:ascii="Times New Roman" w:hAnsi="Times New Roman"/>
          <w:sz w:val="24"/>
          <w:szCs w:val="24"/>
        </w:rPr>
        <w:t xml:space="preserve"> of alcohol</w:t>
      </w:r>
      <w:r w:rsidR="00C31405" w:rsidRPr="00C31405">
        <w:rPr>
          <w:rFonts w:ascii="Times New Roman" w:hAnsi="Times New Roman"/>
          <w:sz w:val="24"/>
          <w:szCs w:val="24"/>
        </w:rPr>
        <w:t>.</w:t>
      </w:r>
      <w:r w:rsidR="00362AB8" w:rsidRPr="00362AB8">
        <w:rPr>
          <w:rFonts w:ascii="Times New Roman" w:hAnsi="Times New Roman" w:cs="Times New Roman"/>
          <w:sz w:val="24"/>
          <w:szCs w:val="24"/>
        </w:rPr>
        <w:t xml:space="preserve"> </w:t>
      </w:r>
      <w:r w:rsidR="00362AB8">
        <w:rPr>
          <w:rFonts w:ascii="Times New Roman" w:hAnsi="Times New Roman" w:cs="Times New Roman"/>
          <w:sz w:val="24"/>
          <w:szCs w:val="24"/>
        </w:rPr>
        <w:t xml:space="preserve">Finally, </w:t>
      </w:r>
      <w:r w:rsidR="00872000">
        <w:rPr>
          <w:rFonts w:ascii="Times New Roman" w:hAnsi="Times New Roman" w:cs="Times New Roman"/>
          <w:sz w:val="24"/>
          <w:szCs w:val="24"/>
        </w:rPr>
        <w:t xml:space="preserve">to allow for a possible bias arising from </w:t>
      </w:r>
      <w:r w:rsidR="008123D8">
        <w:rPr>
          <w:rFonts w:ascii="Times New Roman" w:hAnsi="Times New Roman" w:cs="Times New Roman"/>
          <w:sz w:val="24"/>
          <w:szCs w:val="24"/>
        </w:rPr>
        <w:t xml:space="preserve">a </w:t>
      </w:r>
      <w:r w:rsidR="00872000">
        <w:rPr>
          <w:rFonts w:ascii="Times New Roman" w:hAnsi="Times New Roman" w:cs="Times New Roman"/>
          <w:sz w:val="24"/>
          <w:szCs w:val="24"/>
        </w:rPr>
        <w:t xml:space="preserve">non-specific tendency to use medical services, </w:t>
      </w:r>
      <w:r w:rsidR="00362AB8">
        <w:rPr>
          <w:rFonts w:ascii="Times New Roman" w:hAnsi="Times New Roman" w:cs="Times New Roman"/>
          <w:sz w:val="24"/>
          <w:szCs w:val="24"/>
        </w:rPr>
        <w:t xml:space="preserve">we adjusted for the number of consultations (0, 1, </w:t>
      </w:r>
      <w:r w:rsidR="00362AB8" w:rsidRPr="00362AB8">
        <w:rPr>
          <w:rFonts w:ascii="Times New Roman" w:hAnsi="Times New Roman" w:cs="Times New Roman"/>
          <w:sz w:val="24"/>
          <w:szCs w:val="24"/>
          <w:u w:val="single"/>
        </w:rPr>
        <w:t>&gt;</w:t>
      </w:r>
      <w:r w:rsidR="00362AB8">
        <w:rPr>
          <w:rFonts w:ascii="Times New Roman" w:hAnsi="Times New Roman" w:cs="Times New Roman"/>
          <w:sz w:val="24"/>
          <w:szCs w:val="24"/>
        </w:rPr>
        <w:t>2) in the previous 12 months for</w:t>
      </w:r>
      <w:r w:rsidR="00362AB8" w:rsidRPr="00362AB8">
        <w:rPr>
          <w:rFonts w:ascii="Times New Roman" w:hAnsi="Times New Roman" w:cs="Times New Roman"/>
          <w:sz w:val="24"/>
          <w:szCs w:val="24"/>
        </w:rPr>
        <w:t xml:space="preserve"> any of </w:t>
      </w:r>
      <w:r w:rsidR="00362AB8">
        <w:rPr>
          <w:rFonts w:ascii="Times New Roman" w:hAnsi="Times New Roman" w:cs="Times New Roman"/>
          <w:sz w:val="24"/>
          <w:szCs w:val="24"/>
        </w:rPr>
        <w:t>seven common medical reasons for consultation in the database</w:t>
      </w:r>
      <w:r w:rsidR="00362AB8" w:rsidRPr="00362AB8">
        <w:rPr>
          <w:rFonts w:ascii="Times New Roman" w:hAnsi="Times New Roman" w:cs="Times New Roman"/>
          <w:sz w:val="24"/>
          <w:szCs w:val="24"/>
        </w:rPr>
        <w:t xml:space="preserve"> </w:t>
      </w:r>
      <w:r w:rsidR="00362AB8">
        <w:rPr>
          <w:rFonts w:ascii="Times New Roman" w:hAnsi="Times New Roman" w:cs="Times New Roman"/>
          <w:sz w:val="24"/>
          <w:szCs w:val="24"/>
        </w:rPr>
        <w:t>(</w:t>
      </w:r>
      <w:r w:rsidR="00362AB8" w:rsidRPr="00362AB8">
        <w:rPr>
          <w:rFonts w:ascii="Times New Roman" w:hAnsi="Times New Roman" w:cs="Times New Roman"/>
          <w:sz w:val="24"/>
          <w:szCs w:val="24"/>
        </w:rPr>
        <w:t>cough</w:t>
      </w:r>
      <w:r w:rsidR="00362AB8">
        <w:rPr>
          <w:rFonts w:ascii="Times New Roman" w:hAnsi="Times New Roman" w:cs="Times New Roman"/>
          <w:sz w:val="24"/>
          <w:szCs w:val="24"/>
        </w:rPr>
        <w:t>,</w:t>
      </w:r>
      <w:r w:rsidR="00362AB8" w:rsidRPr="00362AB8">
        <w:rPr>
          <w:rFonts w:ascii="Times New Roman" w:hAnsi="Times New Roman" w:cs="Times New Roman"/>
          <w:sz w:val="24"/>
          <w:szCs w:val="24"/>
        </w:rPr>
        <w:t xml:space="preserve"> </w:t>
      </w:r>
      <w:r w:rsidR="00362AB8">
        <w:rPr>
          <w:rFonts w:ascii="Times New Roman" w:hAnsi="Times New Roman" w:cs="Times New Roman"/>
          <w:sz w:val="24"/>
          <w:szCs w:val="24"/>
        </w:rPr>
        <w:t>respiratory tract</w:t>
      </w:r>
      <w:r w:rsidR="00362AB8" w:rsidRPr="00362AB8">
        <w:rPr>
          <w:rFonts w:ascii="Times New Roman" w:hAnsi="Times New Roman" w:cs="Times New Roman"/>
          <w:sz w:val="24"/>
          <w:szCs w:val="24"/>
        </w:rPr>
        <w:t xml:space="preserve"> infection, depressive disorder, anxi</w:t>
      </w:r>
      <w:r w:rsidR="00362AB8">
        <w:rPr>
          <w:rFonts w:ascii="Times New Roman" w:hAnsi="Times New Roman" w:cs="Times New Roman"/>
          <w:sz w:val="24"/>
          <w:szCs w:val="24"/>
        </w:rPr>
        <w:t>ety state, dyspepsia, diarrhoea and vomiting) (various codes).</w:t>
      </w:r>
      <w:r w:rsidR="00362AB8" w:rsidRPr="00362AB8">
        <w:rPr>
          <w:rFonts w:ascii="Times New Roman" w:hAnsi="Times New Roman" w:cs="Times New Roman"/>
          <w:sz w:val="24"/>
          <w:szCs w:val="24"/>
        </w:rPr>
        <w:t xml:space="preserve"> </w:t>
      </w:r>
    </w:p>
    <w:p w:rsidR="001E26AB" w:rsidRDefault="001E26AB" w:rsidP="00C758D8">
      <w:pPr>
        <w:widowControl w:val="0"/>
        <w:rPr>
          <w:rFonts w:ascii="Times New Roman" w:hAnsi="Times New Roman"/>
          <w:b/>
          <w:sz w:val="24"/>
          <w:szCs w:val="24"/>
        </w:rPr>
      </w:pPr>
    </w:p>
    <w:p w:rsidR="001E26AB" w:rsidRDefault="001E26AB" w:rsidP="00C758D8">
      <w:pPr>
        <w:widowControl w:val="0"/>
        <w:rPr>
          <w:rFonts w:ascii="Times New Roman" w:hAnsi="Times New Roman"/>
          <w:b/>
          <w:sz w:val="24"/>
          <w:szCs w:val="24"/>
        </w:rPr>
      </w:pPr>
    </w:p>
    <w:p w:rsidR="00125385" w:rsidRPr="00F44E44" w:rsidRDefault="00125385" w:rsidP="00C758D8">
      <w:pPr>
        <w:widowControl w:val="0"/>
        <w:rPr>
          <w:rFonts w:ascii="Times New Roman" w:hAnsi="Times New Roman"/>
          <w:b/>
          <w:sz w:val="24"/>
          <w:szCs w:val="24"/>
        </w:rPr>
      </w:pPr>
      <w:r w:rsidRPr="00F44E44">
        <w:rPr>
          <w:rFonts w:ascii="Times New Roman" w:hAnsi="Times New Roman"/>
          <w:b/>
          <w:sz w:val="24"/>
          <w:szCs w:val="24"/>
        </w:rPr>
        <w:t>Results</w:t>
      </w:r>
    </w:p>
    <w:p w:rsidR="00205638" w:rsidRDefault="00205638" w:rsidP="00E307F9">
      <w:pPr>
        <w:widowControl w:val="0"/>
        <w:jc w:val="both"/>
        <w:rPr>
          <w:rFonts w:ascii="Times New Roman" w:hAnsi="Times New Roman"/>
          <w:sz w:val="24"/>
          <w:szCs w:val="24"/>
        </w:rPr>
      </w:pPr>
      <w:r w:rsidRPr="00205638">
        <w:rPr>
          <w:rFonts w:ascii="Times New Roman" w:hAnsi="Times New Roman"/>
          <w:sz w:val="24"/>
          <w:szCs w:val="24"/>
        </w:rPr>
        <w:t>The sample had a mean age of 39.9 years</w:t>
      </w:r>
      <w:r w:rsidR="001E26AB">
        <w:rPr>
          <w:rFonts w:ascii="Times New Roman" w:hAnsi="Times New Roman"/>
          <w:sz w:val="24"/>
          <w:szCs w:val="24"/>
        </w:rPr>
        <w:t xml:space="preserve"> (SD 12.7 years)</w:t>
      </w:r>
      <w:r w:rsidRPr="00205638">
        <w:rPr>
          <w:rFonts w:ascii="Times New Roman" w:hAnsi="Times New Roman"/>
          <w:sz w:val="24"/>
          <w:szCs w:val="24"/>
        </w:rPr>
        <w:t xml:space="preserve"> and included 5,915 men. </w:t>
      </w:r>
      <w:r w:rsidR="00885C4D">
        <w:rPr>
          <w:rFonts w:ascii="Times New Roman" w:hAnsi="Times New Roman"/>
          <w:sz w:val="24"/>
          <w:szCs w:val="24"/>
        </w:rPr>
        <w:t xml:space="preserve">In all 1,386 occupational injuries were identified (in 1,348 cases) </w:t>
      </w:r>
      <w:r w:rsidR="008123D8">
        <w:rPr>
          <w:rFonts w:ascii="Times New Roman" w:hAnsi="Times New Roman"/>
          <w:sz w:val="24"/>
          <w:szCs w:val="24"/>
        </w:rPr>
        <w:t>and ascribed 1,349 causes. The n</w:t>
      </w:r>
      <w:r w:rsidR="00885C4D">
        <w:rPr>
          <w:rFonts w:ascii="Times New Roman" w:hAnsi="Times New Roman"/>
          <w:sz w:val="24"/>
          <w:szCs w:val="24"/>
        </w:rPr>
        <w:t xml:space="preserve">ature of injury and causal circumstances were often unrecorded (58% and 51% of the time respectively). </w:t>
      </w:r>
      <w:r>
        <w:rPr>
          <w:rFonts w:ascii="Times New Roman" w:hAnsi="Times New Roman"/>
          <w:sz w:val="24"/>
          <w:szCs w:val="24"/>
        </w:rPr>
        <w:t>W</w:t>
      </w:r>
      <w:r w:rsidRPr="00205638">
        <w:rPr>
          <w:rFonts w:ascii="Times New Roman" w:hAnsi="Times New Roman"/>
          <w:sz w:val="24"/>
          <w:szCs w:val="24"/>
        </w:rPr>
        <w:t xml:space="preserve">here coded, injuries most </w:t>
      </w:r>
      <w:r w:rsidR="00885C4D">
        <w:rPr>
          <w:rFonts w:ascii="Times New Roman" w:hAnsi="Times New Roman"/>
          <w:sz w:val="24"/>
          <w:szCs w:val="24"/>
        </w:rPr>
        <w:t>often</w:t>
      </w:r>
      <w:r w:rsidRPr="00205638">
        <w:rPr>
          <w:rFonts w:ascii="Times New Roman" w:hAnsi="Times New Roman"/>
          <w:sz w:val="24"/>
          <w:szCs w:val="24"/>
        </w:rPr>
        <w:t xml:space="preserve"> involved power machinery or tools (192 </w:t>
      </w:r>
      <w:r>
        <w:rPr>
          <w:rFonts w:ascii="Times New Roman" w:hAnsi="Times New Roman"/>
          <w:sz w:val="24"/>
          <w:szCs w:val="24"/>
        </w:rPr>
        <w:t>cases</w:t>
      </w:r>
      <w:r w:rsidRPr="00205638">
        <w:rPr>
          <w:rFonts w:ascii="Times New Roman" w:hAnsi="Times New Roman"/>
          <w:sz w:val="24"/>
          <w:szCs w:val="24"/>
        </w:rPr>
        <w:t xml:space="preserve">), </w:t>
      </w:r>
      <w:r>
        <w:rPr>
          <w:rFonts w:ascii="Times New Roman" w:hAnsi="Times New Roman"/>
          <w:sz w:val="24"/>
          <w:szCs w:val="24"/>
        </w:rPr>
        <w:t>burns</w:t>
      </w:r>
      <w:r w:rsidRPr="00205638">
        <w:rPr>
          <w:rFonts w:ascii="Times New Roman" w:hAnsi="Times New Roman"/>
          <w:sz w:val="24"/>
          <w:szCs w:val="24"/>
        </w:rPr>
        <w:t xml:space="preserve"> (154)</w:t>
      </w:r>
      <w:r>
        <w:rPr>
          <w:rFonts w:ascii="Times New Roman" w:hAnsi="Times New Roman"/>
          <w:sz w:val="24"/>
          <w:szCs w:val="24"/>
        </w:rPr>
        <w:t>,</w:t>
      </w:r>
      <w:r w:rsidRPr="00205638">
        <w:rPr>
          <w:rFonts w:ascii="Times New Roman" w:hAnsi="Times New Roman"/>
          <w:sz w:val="24"/>
          <w:szCs w:val="24"/>
        </w:rPr>
        <w:t xml:space="preserve"> and poisonings or inhalation events (146). </w:t>
      </w:r>
      <w:r>
        <w:rPr>
          <w:rFonts w:ascii="Times New Roman" w:hAnsi="Times New Roman"/>
          <w:sz w:val="24"/>
          <w:szCs w:val="24"/>
        </w:rPr>
        <w:t>The commonest category of injury was that involving</w:t>
      </w:r>
      <w:r w:rsidRPr="00205638">
        <w:rPr>
          <w:rFonts w:ascii="Times New Roman" w:hAnsi="Times New Roman"/>
          <w:sz w:val="24"/>
          <w:szCs w:val="24"/>
        </w:rPr>
        <w:t xml:space="preserve"> </w:t>
      </w:r>
      <w:r>
        <w:rPr>
          <w:rFonts w:ascii="Times New Roman" w:hAnsi="Times New Roman"/>
          <w:sz w:val="24"/>
          <w:szCs w:val="24"/>
        </w:rPr>
        <w:t xml:space="preserve">minor </w:t>
      </w:r>
      <w:r w:rsidRPr="00205638">
        <w:rPr>
          <w:rFonts w:ascii="Times New Roman" w:hAnsi="Times New Roman"/>
          <w:sz w:val="24"/>
          <w:szCs w:val="24"/>
        </w:rPr>
        <w:t xml:space="preserve">soft tissue trauma </w:t>
      </w:r>
      <w:r>
        <w:rPr>
          <w:rFonts w:ascii="Times New Roman" w:hAnsi="Times New Roman"/>
          <w:sz w:val="24"/>
          <w:szCs w:val="24"/>
        </w:rPr>
        <w:t>or</w:t>
      </w:r>
      <w:r w:rsidRPr="00205638">
        <w:rPr>
          <w:rFonts w:ascii="Times New Roman" w:hAnsi="Times New Roman"/>
          <w:sz w:val="24"/>
          <w:szCs w:val="24"/>
        </w:rPr>
        <w:t xml:space="preserve"> sprains (280), </w:t>
      </w:r>
      <w:r>
        <w:rPr>
          <w:rFonts w:ascii="Times New Roman" w:hAnsi="Times New Roman"/>
          <w:sz w:val="24"/>
          <w:szCs w:val="24"/>
        </w:rPr>
        <w:t xml:space="preserve">other common events being </w:t>
      </w:r>
      <w:r w:rsidRPr="00205638">
        <w:rPr>
          <w:rFonts w:ascii="Times New Roman" w:hAnsi="Times New Roman"/>
          <w:sz w:val="24"/>
          <w:szCs w:val="24"/>
        </w:rPr>
        <w:t xml:space="preserve">lacerations </w:t>
      </w:r>
      <w:r>
        <w:rPr>
          <w:rFonts w:ascii="Times New Roman" w:hAnsi="Times New Roman"/>
          <w:sz w:val="24"/>
          <w:szCs w:val="24"/>
        </w:rPr>
        <w:t>and</w:t>
      </w:r>
      <w:r w:rsidRPr="00205638">
        <w:rPr>
          <w:rFonts w:ascii="Times New Roman" w:hAnsi="Times New Roman"/>
          <w:sz w:val="24"/>
          <w:szCs w:val="24"/>
        </w:rPr>
        <w:t xml:space="preserve"> open wounds (123), haematomas </w:t>
      </w:r>
      <w:r>
        <w:rPr>
          <w:rFonts w:ascii="Times New Roman" w:hAnsi="Times New Roman"/>
          <w:sz w:val="24"/>
          <w:szCs w:val="24"/>
        </w:rPr>
        <w:t>and</w:t>
      </w:r>
      <w:r w:rsidRPr="00205638">
        <w:rPr>
          <w:rFonts w:ascii="Times New Roman" w:hAnsi="Times New Roman"/>
          <w:sz w:val="24"/>
          <w:szCs w:val="24"/>
        </w:rPr>
        <w:t xml:space="preserve"> crush injuries (78), and fractures (50). </w:t>
      </w:r>
      <w:r>
        <w:rPr>
          <w:rFonts w:ascii="Times New Roman" w:hAnsi="Times New Roman"/>
          <w:sz w:val="24"/>
          <w:szCs w:val="24"/>
        </w:rPr>
        <w:t xml:space="preserve"> One hundred and fifty-nine</w:t>
      </w:r>
      <w:r w:rsidRPr="00205638">
        <w:rPr>
          <w:rFonts w:ascii="Times New Roman" w:hAnsi="Times New Roman"/>
          <w:sz w:val="24"/>
          <w:szCs w:val="24"/>
        </w:rPr>
        <w:t xml:space="preserve"> cases had </w:t>
      </w:r>
      <w:r>
        <w:rPr>
          <w:rFonts w:ascii="Times New Roman" w:hAnsi="Times New Roman"/>
          <w:sz w:val="24"/>
          <w:szCs w:val="24"/>
        </w:rPr>
        <w:t>attended</w:t>
      </w:r>
      <w:r w:rsidRPr="00205638">
        <w:rPr>
          <w:rFonts w:ascii="Times New Roman" w:hAnsi="Times New Roman"/>
          <w:sz w:val="24"/>
          <w:szCs w:val="24"/>
        </w:rPr>
        <w:t xml:space="preserve"> hospital and 230 had </w:t>
      </w:r>
      <w:r>
        <w:rPr>
          <w:rFonts w:ascii="Times New Roman" w:hAnsi="Times New Roman"/>
          <w:sz w:val="24"/>
          <w:szCs w:val="24"/>
        </w:rPr>
        <w:t>been issued with</w:t>
      </w:r>
      <w:r w:rsidRPr="00205638">
        <w:rPr>
          <w:rFonts w:ascii="Times New Roman" w:hAnsi="Times New Roman"/>
          <w:sz w:val="24"/>
          <w:szCs w:val="24"/>
        </w:rPr>
        <w:t xml:space="preserve"> a sick </w:t>
      </w:r>
      <w:r>
        <w:rPr>
          <w:rFonts w:ascii="Times New Roman" w:hAnsi="Times New Roman"/>
          <w:sz w:val="24"/>
          <w:szCs w:val="24"/>
        </w:rPr>
        <w:t>note</w:t>
      </w:r>
      <w:r w:rsidR="00A41C6B">
        <w:rPr>
          <w:rFonts w:ascii="Times New Roman" w:hAnsi="Times New Roman"/>
          <w:sz w:val="24"/>
          <w:szCs w:val="24"/>
        </w:rPr>
        <w:t>.</w:t>
      </w:r>
      <w:r>
        <w:rPr>
          <w:rFonts w:ascii="Times New Roman" w:hAnsi="Times New Roman"/>
          <w:sz w:val="24"/>
          <w:szCs w:val="24"/>
        </w:rPr>
        <w:t xml:space="preserve"> Further details have been published elsewhere [36,37]</w:t>
      </w:r>
      <w:r w:rsidRPr="00205638">
        <w:rPr>
          <w:rFonts w:ascii="Times New Roman" w:hAnsi="Times New Roman"/>
          <w:sz w:val="24"/>
          <w:szCs w:val="24"/>
        </w:rPr>
        <w:t xml:space="preserve">. </w:t>
      </w:r>
    </w:p>
    <w:p w:rsidR="00205638" w:rsidRDefault="00205638" w:rsidP="00E307F9">
      <w:pPr>
        <w:widowControl w:val="0"/>
        <w:jc w:val="both"/>
        <w:rPr>
          <w:rFonts w:ascii="Times New Roman" w:hAnsi="Times New Roman"/>
          <w:sz w:val="24"/>
          <w:szCs w:val="24"/>
        </w:rPr>
      </w:pPr>
    </w:p>
    <w:p w:rsidR="00125385" w:rsidRDefault="00F44E44" w:rsidP="00E307F9">
      <w:pPr>
        <w:widowControl w:val="0"/>
        <w:jc w:val="both"/>
        <w:rPr>
          <w:rFonts w:ascii="Times New Roman" w:hAnsi="Times New Roman"/>
          <w:sz w:val="24"/>
          <w:szCs w:val="24"/>
        </w:rPr>
      </w:pPr>
      <w:r w:rsidRPr="00F44E44">
        <w:rPr>
          <w:rFonts w:ascii="Times New Roman" w:hAnsi="Times New Roman"/>
          <w:sz w:val="24"/>
          <w:szCs w:val="24"/>
        </w:rPr>
        <w:t>Among the 8,000 eligible subjects</w:t>
      </w:r>
      <w:r w:rsidR="002A04ED">
        <w:rPr>
          <w:rFonts w:ascii="Times New Roman" w:hAnsi="Times New Roman"/>
          <w:sz w:val="24"/>
          <w:szCs w:val="24"/>
        </w:rPr>
        <w:t>,</w:t>
      </w:r>
      <w:r w:rsidRPr="00F44E44">
        <w:rPr>
          <w:rFonts w:ascii="Times New Roman" w:hAnsi="Times New Roman"/>
          <w:sz w:val="24"/>
          <w:szCs w:val="24"/>
        </w:rPr>
        <w:t xml:space="preserve"> </w:t>
      </w:r>
      <w:r w:rsidR="007A024F">
        <w:rPr>
          <w:rFonts w:ascii="Times New Roman" w:hAnsi="Times New Roman"/>
          <w:sz w:val="24"/>
          <w:szCs w:val="24"/>
        </w:rPr>
        <w:t>173</w:t>
      </w:r>
      <w:r w:rsidRPr="00F44E44">
        <w:rPr>
          <w:rFonts w:ascii="Times New Roman" w:hAnsi="Times New Roman"/>
          <w:sz w:val="24"/>
          <w:szCs w:val="24"/>
        </w:rPr>
        <w:t xml:space="preserve"> (</w:t>
      </w:r>
      <w:r w:rsidR="007A024F">
        <w:rPr>
          <w:rFonts w:ascii="Times New Roman" w:hAnsi="Times New Roman"/>
          <w:sz w:val="24"/>
          <w:szCs w:val="24"/>
        </w:rPr>
        <w:t>2.2</w:t>
      </w:r>
      <w:r w:rsidRPr="00F44E44">
        <w:rPr>
          <w:rFonts w:ascii="Times New Roman" w:hAnsi="Times New Roman"/>
          <w:sz w:val="24"/>
          <w:szCs w:val="24"/>
        </w:rPr>
        <w:t xml:space="preserve">%) </w:t>
      </w:r>
      <w:r w:rsidR="002A04ED">
        <w:rPr>
          <w:rFonts w:ascii="Times New Roman" w:hAnsi="Times New Roman"/>
          <w:sz w:val="24"/>
          <w:szCs w:val="24"/>
        </w:rPr>
        <w:t xml:space="preserve">were </w:t>
      </w:r>
      <w:r w:rsidRPr="00F44E44">
        <w:rPr>
          <w:rFonts w:ascii="Times New Roman" w:hAnsi="Times New Roman"/>
          <w:sz w:val="24"/>
          <w:szCs w:val="24"/>
        </w:rPr>
        <w:t xml:space="preserve">classed as having </w:t>
      </w:r>
      <w:r w:rsidR="00F65E03">
        <w:rPr>
          <w:rFonts w:ascii="Times New Roman" w:hAnsi="Times New Roman"/>
          <w:sz w:val="24"/>
          <w:szCs w:val="24"/>
        </w:rPr>
        <w:t>an eye problem</w:t>
      </w:r>
      <w:r w:rsidRPr="00F44E44">
        <w:rPr>
          <w:rFonts w:ascii="Times New Roman" w:hAnsi="Times New Roman"/>
          <w:sz w:val="24"/>
          <w:szCs w:val="24"/>
        </w:rPr>
        <w:t xml:space="preserve"> before the index date</w:t>
      </w:r>
      <w:r w:rsidR="00F65E03">
        <w:rPr>
          <w:rFonts w:ascii="Times New Roman" w:hAnsi="Times New Roman"/>
          <w:sz w:val="24"/>
          <w:szCs w:val="24"/>
        </w:rPr>
        <w:t>,</w:t>
      </w:r>
      <w:r w:rsidRPr="00F44E44">
        <w:rPr>
          <w:rFonts w:ascii="Times New Roman" w:hAnsi="Times New Roman"/>
          <w:sz w:val="24"/>
          <w:szCs w:val="24"/>
        </w:rPr>
        <w:t xml:space="preserve"> </w:t>
      </w:r>
      <w:r w:rsidR="00031D93">
        <w:rPr>
          <w:rFonts w:ascii="Times New Roman" w:hAnsi="Times New Roman"/>
          <w:sz w:val="24"/>
          <w:szCs w:val="24"/>
        </w:rPr>
        <w:t xml:space="preserve">792 </w:t>
      </w:r>
      <w:r w:rsidR="007A024F">
        <w:rPr>
          <w:rFonts w:ascii="Times New Roman" w:hAnsi="Times New Roman"/>
          <w:sz w:val="24"/>
          <w:szCs w:val="24"/>
        </w:rPr>
        <w:t>an ear problem</w:t>
      </w:r>
      <w:r w:rsidRPr="00F44E44">
        <w:rPr>
          <w:rFonts w:ascii="Times New Roman" w:hAnsi="Times New Roman"/>
          <w:sz w:val="24"/>
          <w:szCs w:val="24"/>
        </w:rPr>
        <w:t xml:space="preserve"> (</w:t>
      </w:r>
      <w:r w:rsidR="007A024F">
        <w:rPr>
          <w:rFonts w:ascii="Times New Roman" w:hAnsi="Times New Roman"/>
          <w:sz w:val="24"/>
          <w:szCs w:val="24"/>
        </w:rPr>
        <w:t>9.9%, including 336 with deafness or impaired hearing and 48</w:t>
      </w:r>
      <w:r w:rsidR="003330BC">
        <w:rPr>
          <w:rFonts w:ascii="Times New Roman" w:hAnsi="Times New Roman"/>
          <w:sz w:val="24"/>
          <w:szCs w:val="24"/>
        </w:rPr>
        <w:t>2</w:t>
      </w:r>
      <w:r w:rsidR="007A024F">
        <w:rPr>
          <w:rFonts w:ascii="Times New Roman" w:hAnsi="Times New Roman"/>
          <w:sz w:val="24"/>
          <w:szCs w:val="24"/>
        </w:rPr>
        <w:t xml:space="preserve"> with a non-acute otitis media)</w:t>
      </w:r>
      <w:r w:rsidR="00F65E03">
        <w:rPr>
          <w:rFonts w:ascii="Times New Roman" w:hAnsi="Times New Roman"/>
          <w:sz w:val="24"/>
          <w:szCs w:val="24"/>
        </w:rPr>
        <w:t>,</w:t>
      </w:r>
      <w:r w:rsidRPr="00F44E44">
        <w:rPr>
          <w:rFonts w:ascii="Times New Roman" w:hAnsi="Times New Roman"/>
          <w:sz w:val="24"/>
          <w:szCs w:val="24"/>
        </w:rPr>
        <w:t xml:space="preserve"> </w:t>
      </w:r>
      <w:r w:rsidR="007A024F" w:rsidRPr="00F44E44">
        <w:rPr>
          <w:rFonts w:ascii="Times New Roman" w:hAnsi="Times New Roman"/>
          <w:sz w:val="24"/>
          <w:szCs w:val="24"/>
        </w:rPr>
        <w:t xml:space="preserve">and </w:t>
      </w:r>
      <w:r w:rsidR="007A024F">
        <w:rPr>
          <w:rFonts w:ascii="Times New Roman" w:hAnsi="Times New Roman"/>
          <w:sz w:val="24"/>
          <w:szCs w:val="24"/>
        </w:rPr>
        <w:t>266 (3.3%) a problem</w:t>
      </w:r>
      <w:r w:rsidRPr="00F44E44">
        <w:rPr>
          <w:rFonts w:ascii="Times New Roman" w:hAnsi="Times New Roman"/>
          <w:sz w:val="24"/>
          <w:szCs w:val="24"/>
        </w:rPr>
        <w:t xml:space="preserve"> of </w:t>
      </w:r>
      <w:r w:rsidR="007A024F">
        <w:rPr>
          <w:rFonts w:ascii="Times New Roman" w:hAnsi="Times New Roman"/>
          <w:sz w:val="24"/>
          <w:szCs w:val="24"/>
        </w:rPr>
        <w:t>balance</w:t>
      </w:r>
      <w:r w:rsidRPr="00F44E44">
        <w:rPr>
          <w:rFonts w:ascii="Times New Roman" w:hAnsi="Times New Roman"/>
          <w:sz w:val="24"/>
          <w:szCs w:val="24"/>
        </w:rPr>
        <w:t>. Table</w:t>
      </w:r>
      <w:r w:rsidR="007A024F">
        <w:rPr>
          <w:rFonts w:ascii="Times New Roman" w:hAnsi="Times New Roman"/>
          <w:sz w:val="24"/>
          <w:szCs w:val="24"/>
        </w:rPr>
        <w:t>s</w:t>
      </w:r>
      <w:r w:rsidRPr="00F44E44">
        <w:rPr>
          <w:rFonts w:ascii="Times New Roman" w:hAnsi="Times New Roman"/>
          <w:sz w:val="24"/>
          <w:szCs w:val="24"/>
        </w:rPr>
        <w:t xml:space="preserve"> </w:t>
      </w:r>
      <w:r w:rsidR="00BF6288">
        <w:rPr>
          <w:rFonts w:ascii="Times New Roman" w:hAnsi="Times New Roman"/>
          <w:sz w:val="24"/>
          <w:szCs w:val="24"/>
        </w:rPr>
        <w:t xml:space="preserve">1 to </w:t>
      </w:r>
      <w:r w:rsidR="00F30E76">
        <w:rPr>
          <w:rFonts w:ascii="Times New Roman" w:hAnsi="Times New Roman"/>
          <w:sz w:val="24"/>
          <w:szCs w:val="24"/>
        </w:rPr>
        <w:t>3</w:t>
      </w:r>
      <w:r w:rsidR="007A024F">
        <w:rPr>
          <w:rFonts w:ascii="Times New Roman" w:hAnsi="Times New Roman"/>
          <w:sz w:val="24"/>
          <w:szCs w:val="24"/>
        </w:rPr>
        <w:t xml:space="preserve"> provide</w:t>
      </w:r>
      <w:r w:rsidRPr="00F44E44">
        <w:rPr>
          <w:rFonts w:ascii="Times New Roman" w:hAnsi="Times New Roman"/>
          <w:sz w:val="24"/>
          <w:szCs w:val="24"/>
        </w:rPr>
        <w:t xml:space="preserve"> </w:t>
      </w:r>
      <w:r w:rsidR="00D12A13">
        <w:rPr>
          <w:rFonts w:ascii="Times New Roman" w:hAnsi="Times New Roman"/>
          <w:sz w:val="24"/>
          <w:szCs w:val="24"/>
        </w:rPr>
        <w:t xml:space="preserve">adjusted </w:t>
      </w:r>
      <w:r w:rsidRPr="004A706D">
        <w:rPr>
          <w:rFonts w:ascii="Times New Roman" w:hAnsi="Times New Roman"/>
          <w:sz w:val="24"/>
          <w:szCs w:val="24"/>
        </w:rPr>
        <w:t xml:space="preserve">risk estimates in relation to </w:t>
      </w:r>
      <w:r w:rsidR="00F65E03">
        <w:rPr>
          <w:rFonts w:ascii="Times New Roman" w:hAnsi="Times New Roman"/>
          <w:sz w:val="24"/>
          <w:szCs w:val="24"/>
        </w:rPr>
        <w:t>these impairments and diagnoses</w:t>
      </w:r>
      <w:r w:rsidRPr="004A706D">
        <w:rPr>
          <w:rFonts w:ascii="Times New Roman" w:hAnsi="Times New Roman"/>
          <w:sz w:val="24"/>
          <w:szCs w:val="24"/>
        </w:rPr>
        <w:t xml:space="preserve"> before the index dat</w:t>
      </w:r>
      <w:r w:rsidR="004A706D">
        <w:rPr>
          <w:rFonts w:ascii="Times New Roman" w:hAnsi="Times New Roman"/>
          <w:sz w:val="24"/>
          <w:szCs w:val="24"/>
        </w:rPr>
        <w:t>e for injury consultation.</w:t>
      </w:r>
    </w:p>
    <w:p w:rsidR="00F65E03" w:rsidRDefault="00F65E03" w:rsidP="00E307F9">
      <w:pPr>
        <w:widowControl w:val="0"/>
        <w:jc w:val="both"/>
        <w:rPr>
          <w:rFonts w:ascii="Times New Roman" w:hAnsi="Times New Roman"/>
          <w:sz w:val="24"/>
          <w:szCs w:val="24"/>
        </w:rPr>
      </w:pPr>
    </w:p>
    <w:p w:rsidR="00F65E03" w:rsidRDefault="00F65E03" w:rsidP="00E307F9">
      <w:pPr>
        <w:widowControl w:val="0"/>
        <w:jc w:val="both"/>
        <w:rPr>
          <w:rFonts w:ascii="Times New Roman" w:hAnsi="Times New Roman"/>
          <w:sz w:val="24"/>
          <w:szCs w:val="24"/>
        </w:rPr>
      </w:pPr>
      <w:r>
        <w:rPr>
          <w:rFonts w:ascii="Times New Roman" w:hAnsi="Times New Roman"/>
          <w:sz w:val="24"/>
          <w:szCs w:val="24"/>
        </w:rPr>
        <w:t xml:space="preserve">Having an eye problem </w:t>
      </w:r>
      <w:r w:rsidR="00C552A6">
        <w:rPr>
          <w:rFonts w:ascii="Times New Roman" w:hAnsi="Times New Roman"/>
          <w:sz w:val="24"/>
          <w:szCs w:val="24"/>
        </w:rPr>
        <w:t xml:space="preserve">was associated with a </w:t>
      </w:r>
      <w:r>
        <w:rPr>
          <w:rFonts w:ascii="Times New Roman" w:hAnsi="Times New Roman"/>
          <w:sz w:val="24"/>
          <w:szCs w:val="24"/>
        </w:rPr>
        <w:t>moderately increased risk of injury consultation (</w:t>
      </w:r>
      <w:r w:rsidR="006A60E7">
        <w:rPr>
          <w:rFonts w:ascii="Times New Roman" w:hAnsi="Times New Roman"/>
          <w:sz w:val="24"/>
          <w:szCs w:val="24"/>
        </w:rPr>
        <w:t>OR 1.</w:t>
      </w:r>
      <w:r w:rsidR="00362AB8">
        <w:rPr>
          <w:rFonts w:ascii="Times New Roman" w:hAnsi="Times New Roman"/>
          <w:sz w:val="24"/>
          <w:szCs w:val="24"/>
        </w:rPr>
        <w:t>33</w:t>
      </w:r>
      <w:r w:rsidR="006A60E7">
        <w:rPr>
          <w:rFonts w:ascii="Times New Roman" w:hAnsi="Times New Roman"/>
          <w:sz w:val="24"/>
          <w:szCs w:val="24"/>
        </w:rPr>
        <w:t>),</w:t>
      </w:r>
      <w:r>
        <w:rPr>
          <w:rFonts w:ascii="Times New Roman" w:hAnsi="Times New Roman"/>
          <w:sz w:val="24"/>
          <w:szCs w:val="24"/>
        </w:rPr>
        <w:t xml:space="preserve"> but </w:t>
      </w:r>
      <w:r w:rsidR="00C552A6">
        <w:rPr>
          <w:rFonts w:ascii="Times New Roman" w:hAnsi="Times New Roman"/>
          <w:sz w:val="24"/>
          <w:szCs w:val="24"/>
        </w:rPr>
        <w:t>this was</w:t>
      </w:r>
      <w:r>
        <w:rPr>
          <w:rFonts w:ascii="Times New Roman" w:hAnsi="Times New Roman"/>
          <w:sz w:val="24"/>
          <w:szCs w:val="24"/>
        </w:rPr>
        <w:t xml:space="preserve"> not statistically significant, and risks associated with specific eye diseases (glaucoma, cataract and disorders of the retina) were less clearly elevated</w:t>
      </w:r>
      <w:r w:rsidR="006A60E7">
        <w:rPr>
          <w:rFonts w:ascii="Times New Roman" w:hAnsi="Times New Roman"/>
          <w:sz w:val="24"/>
          <w:szCs w:val="24"/>
        </w:rPr>
        <w:t xml:space="preserve"> (Table 1)</w:t>
      </w:r>
      <w:r>
        <w:rPr>
          <w:rFonts w:ascii="Times New Roman" w:hAnsi="Times New Roman"/>
          <w:sz w:val="24"/>
          <w:szCs w:val="24"/>
        </w:rPr>
        <w:t xml:space="preserve">. However, where there was a medical record of blindness, partial blindness, visual impairment, poor sight, or loss of field of vision, the </w:t>
      </w:r>
      <w:r w:rsidR="006A60E7">
        <w:rPr>
          <w:rFonts w:ascii="Times New Roman" w:hAnsi="Times New Roman"/>
          <w:sz w:val="24"/>
          <w:szCs w:val="24"/>
        </w:rPr>
        <w:t>OR for</w:t>
      </w:r>
      <w:r>
        <w:rPr>
          <w:rFonts w:ascii="Times New Roman" w:hAnsi="Times New Roman"/>
          <w:sz w:val="24"/>
          <w:szCs w:val="24"/>
        </w:rPr>
        <w:t xml:space="preserve"> an ensuing injury consultation </w:t>
      </w:r>
      <w:r w:rsidR="006A60E7">
        <w:rPr>
          <w:rFonts w:ascii="Times New Roman" w:hAnsi="Times New Roman"/>
          <w:sz w:val="24"/>
          <w:szCs w:val="24"/>
        </w:rPr>
        <w:t>was 1.</w:t>
      </w:r>
      <w:r w:rsidR="00362AB8">
        <w:rPr>
          <w:rFonts w:ascii="Times New Roman" w:hAnsi="Times New Roman"/>
          <w:sz w:val="24"/>
          <w:szCs w:val="24"/>
        </w:rPr>
        <w:t xml:space="preserve">90 </w:t>
      </w:r>
      <w:r w:rsidR="006A60E7">
        <w:rPr>
          <w:rFonts w:ascii="Times New Roman" w:hAnsi="Times New Roman"/>
          <w:sz w:val="24"/>
          <w:szCs w:val="24"/>
        </w:rPr>
        <w:t>(95%CI 1.05-3.</w:t>
      </w:r>
      <w:r w:rsidR="00362AB8">
        <w:rPr>
          <w:rFonts w:ascii="Times New Roman" w:hAnsi="Times New Roman"/>
          <w:sz w:val="24"/>
          <w:szCs w:val="24"/>
        </w:rPr>
        <w:t>44</w:t>
      </w:r>
      <w:r w:rsidR="006A60E7">
        <w:rPr>
          <w:rFonts w:ascii="Times New Roman" w:hAnsi="Times New Roman"/>
          <w:sz w:val="24"/>
          <w:szCs w:val="24"/>
        </w:rPr>
        <w:t>)</w:t>
      </w:r>
      <w:r>
        <w:rPr>
          <w:rFonts w:ascii="Times New Roman" w:hAnsi="Times New Roman"/>
          <w:sz w:val="24"/>
          <w:szCs w:val="24"/>
        </w:rPr>
        <w:t>.</w:t>
      </w:r>
    </w:p>
    <w:p w:rsidR="00F65E03" w:rsidRDefault="00F65E03" w:rsidP="00E307F9">
      <w:pPr>
        <w:widowControl w:val="0"/>
        <w:jc w:val="both"/>
        <w:rPr>
          <w:rFonts w:ascii="Times New Roman" w:hAnsi="Times New Roman"/>
          <w:sz w:val="24"/>
          <w:szCs w:val="24"/>
        </w:rPr>
      </w:pPr>
    </w:p>
    <w:p w:rsidR="00BC1803" w:rsidRDefault="00F65E03" w:rsidP="00BC1803">
      <w:pPr>
        <w:jc w:val="both"/>
        <w:rPr>
          <w:rFonts w:ascii="Times New Roman" w:hAnsi="Times New Roman"/>
          <w:sz w:val="24"/>
          <w:szCs w:val="24"/>
        </w:rPr>
      </w:pPr>
      <w:r>
        <w:rPr>
          <w:rFonts w:ascii="Times New Roman" w:hAnsi="Times New Roman"/>
          <w:sz w:val="24"/>
          <w:szCs w:val="24"/>
        </w:rPr>
        <w:t>Having an ear problem was significantly associated with injury consultation (</w:t>
      </w:r>
      <w:r w:rsidR="006A60E7">
        <w:rPr>
          <w:rFonts w:ascii="Times New Roman" w:hAnsi="Times New Roman"/>
          <w:sz w:val="24"/>
          <w:szCs w:val="24"/>
        </w:rPr>
        <w:t>OR 1.6</w:t>
      </w:r>
      <w:r w:rsidR="00C947C1">
        <w:rPr>
          <w:rFonts w:ascii="Times New Roman" w:hAnsi="Times New Roman"/>
          <w:sz w:val="24"/>
          <w:szCs w:val="24"/>
        </w:rPr>
        <w:t>3</w:t>
      </w:r>
      <w:r w:rsidR="006A60E7">
        <w:rPr>
          <w:rFonts w:ascii="Times New Roman" w:hAnsi="Times New Roman"/>
          <w:sz w:val="24"/>
          <w:szCs w:val="24"/>
        </w:rPr>
        <w:t xml:space="preserve">, </w:t>
      </w:r>
      <w:r w:rsidR="00C552A6">
        <w:rPr>
          <w:rFonts w:ascii="Times New Roman" w:hAnsi="Times New Roman"/>
          <w:sz w:val="24"/>
          <w:szCs w:val="24"/>
        </w:rPr>
        <w:t xml:space="preserve">95%CI </w:t>
      </w:r>
      <w:r w:rsidR="00784848">
        <w:rPr>
          <w:rFonts w:ascii="Times New Roman" w:hAnsi="Times New Roman"/>
          <w:sz w:val="24"/>
          <w:szCs w:val="24"/>
        </w:rPr>
        <w:t>1.</w:t>
      </w:r>
      <w:r w:rsidR="0054411F">
        <w:rPr>
          <w:rFonts w:ascii="Times New Roman" w:hAnsi="Times New Roman"/>
          <w:sz w:val="24"/>
          <w:szCs w:val="24"/>
        </w:rPr>
        <w:t>36</w:t>
      </w:r>
      <w:r w:rsidR="00784848">
        <w:rPr>
          <w:rFonts w:ascii="Times New Roman" w:hAnsi="Times New Roman"/>
          <w:sz w:val="24"/>
          <w:szCs w:val="24"/>
        </w:rPr>
        <w:t>-1.</w:t>
      </w:r>
      <w:r w:rsidR="0054411F">
        <w:rPr>
          <w:rFonts w:ascii="Times New Roman" w:hAnsi="Times New Roman"/>
          <w:sz w:val="24"/>
          <w:szCs w:val="24"/>
        </w:rPr>
        <w:t>95</w:t>
      </w:r>
      <w:r w:rsidR="006A60E7">
        <w:rPr>
          <w:rFonts w:ascii="Times New Roman" w:hAnsi="Times New Roman"/>
          <w:sz w:val="24"/>
          <w:szCs w:val="24"/>
        </w:rPr>
        <w:t>)</w:t>
      </w:r>
      <w:r>
        <w:rPr>
          <w:rFonts w:ascii="Times New Roman" w:hAnsi="Times New Roman"/>
          <w:sz w:val="24"/>
          <w:szCs w:val="24"/>
        </w:rPr>
        <w:t xml:space="preserve"> </w:t>
      </w:r>
      <w:r w:rsidR="006A60E7">
        <w:rPr>
          <w:rFonts w:ascii="Times New Roman" w:hAnsi="Times New Roman"/>
          <w:sz w:val="24"/>
          <w:szCs w:val="24"/>
        </w:rPr>
        <w:t>(</w:t>
      </w:r>
      <w:r>
        <w:rPr>
          <w:rFonts w:ascii="Times New Roman" w:hAnsi="Times New Roman"/>
          <w:sz w:val="24"/>
          <w:szCs w:val="24"/>
        </w:rPr>
        <w:t>Table</w:t>
      </w:r>
      <w:r w:rsidR="002045DB">
        <w:rPr>
          <w:rFonts w:ascii="Times New Roman" w:hAnsi="Times New Roman"/>
          <w:sz w:val="24"/>
          <w:szCs w:val="24"/>
        </w:rPr>
        <w:t xml:space="preserve"> </w:t>
      </w:r>
      <w:r w:rsidR="00F30E76">
        <w:rPr>
          <w:rFonts w:ascii="Times New Roman" w:hAnsi="Times New Roman"/>
          <w:sz w:val="24"/>
          <w:szCs w:val="24"/>
        </w:rPr>
        <w:t>2)</w:t>
      </w:r>
      <w:r>
        <w:rPr>
          <w:rFonts w:ascii="Times New Roman" w:hAnsi="Times New Roman"/>
          <w:sz w:val="24"/>
          <w:szCs w:val="24"/>
        </w:rPr>
        <w:t xml:space="preserve">, but much of this risk emanated from </w:t>
      </w:r>
      <w:r w:rsidR="00C552A6">
        <w:rPr>
          <w:rFonts w:ascii="Times New Roman" w:hAnsi="Times New Roman"/>
          <w:sz w:val="24"/>
          <w:szCs w:val="24"/>
        </w:rPr>
        <w:t xml:space="preserve">a </w:t>
      </w:r>
      <w:r>
        <w:rPr>
          <w:rFonts w:ascii="Times New Roman" w:hAnsi="Times New Roman"/>
          <w:sz w:val="24"/>
          <w:szCs w:val="24"/>
        </w:rPr>
        <w:t xml:space="preserve">strong association with </w:t>
      </w:r>
      <w:r>
        <w:rPr>
          <w:rFonts w:ascii="Times New Roman" w:hAnsi="Times New Roman"/>
          <w:sz w:val="24"/>
          <w:szCs w:val="24"/>
        </w:rPr>
        <w:lastRenderedPageBreak/>
        <w:t xml:space="preserve">history of non-acute otitis media </w:t>
      </w:r>
      <w:r w:rsidR="00BC1803">
        <w:rPr>
          <w:rFonts w:ascii="Times New Roman" w:hAnsi="Times New Roman"/>
          <w:sz w:val="24"/>
          <w:szCs w:val="24"/>
        </w:rPr>
        <w:t xml:space="preserve">(OR </w:t>
      </w:r>
      <w:r w:rsidR="006A60E7">
        <w:rPr>
          <w:rFonts w:ascii="Times New Roman" w:hAnsi="Times New Roman"/>
          <w:sz w:val="24"/>
          <w:szCs w:val="24"/>
        </w:rPr>
        <w:t>2.</w:t>
      </w:r>
      <w:r w:rsidR="00362AB8">
        <w:rPr>
          <w:rFonts w:ascii="Times New Roman" w:hAnsi="Times New Roman"/>
          <w:sz w:val="24"/>
          <w:szCs w:val="24"/>
        </w:rPr>
        <w:t>04</w:t>
      </w:r>
      <w:r w:rsidR="006A60E7">
        <w:rPr>
          <w:rFonts w:ascii="Times New Roman" w:hAnsi="Times New Roman"/>
          <w:sz w:val="24"/>
          <w:szCs w:val="24"/>
        </w:rPr>
        <w:t>, 95%CI 1.</w:t>
      </w:r>
      <w:r w:rsidR="00362AB8">
        <w:rPr>
          <w:rFonts w:ascii="Times New Roman" w:hAnsi="Times New Roman"/>
          <w:sz w:val="24"/>
          <w:szCs w:val="24"/>
        </w:rPr>
        <w:t>64</w:t>
      </w:r>
      <w:r w:rsidR="006A60E7">
        <w:rPr>
          <w:rFonts w:ascii="Times New Roman" w:hAnsi="Times New Roman"/>
          <w:sz w:val="24"/>
          <w:szCs w:val="24"/>
        </w:rPr>
        <w:t>-2.</w:t>
      </w:r>
      <w:r w:rsidR="00362AB8">
        <w:rPr>
          <w:rFonts w:ascii="Times New Roman" w:hAnsi="Times New Roman"/>
          <w:sz w:val="24"/>
          <w:szCs w:val="24"/>
        </w:rPr>
        <w:t>54</w:t>
      </w:r>
      <w:r w:rsidR="00BC1803">
        <w:rPr>
          <w:rFonts w:ascii="Times New Roman" w:hAnsi="Times New Roman"/>
          <w:sz w:val="24"/>
          <w:szCs w:val="24"/>
        </w:rPr>
        <w:t>); and risks associated with deafness, hearing impairment, and perforated ear drum were less strongly elevated (</w:t>
      </w:r>
      <w:r w:rsidR="002C4524">
        <w:rPr>
          <w:rFonts w:ascii="Times New Roman" w:hAnsi="Times New Roman"/>
          <w:sz w:val="24"/>
          <w:szCs w:val="24"/>
        </w:rPr>
        <w:t>OR 1.27 to 1.32</w:t>
      </w:r>
      <w:r w:rsidR="00BC1803">
        <w:rPr>
          <w:rFonts w:ascii="Times New Roman" w:hAnsi="Times New Roman"/>
          <w:sz w:val="24"/>
          <w:szCs w:val="24"/>
        </w:rPr>
        <w:t xml:space="preserve">) and not statistically significant. For non-acute otitis media, risks were </w:t>
      </w:r>
      <w:r w:rsidR="00C552A6">
        <w:rPr>
          <w:rFonts w:ascii="Times New Roman" w:hAnsi="Times New Roman"/>
          <w:sz w:val="24"/>
          <w:szCs w:val="24"/>
        </w:rPr>
        <w:t xml:space="preserve">somewhat </w:t>
      </w:r>
      <w:r w:rsidR="00BC1803">
        <w:rPr>
          <w:rFonts w:ascii="Times New Roman" w:hAnsi="Times New Roman"/>
          <w:sz w:val="24"/>
          <w:szCs w:val="24"/>
        </w:rPr>
        <w:t xml:space="preserve">higher if the last relevant consultation was in the 12 months prior to injury (OR 2.70, 95%CI </w:t>
      </w:r>
      <w:r w:rsidR="00BC1803" w:rsidRPr="00B56863">
        <w:rPr>
          <w:rFonts w:ascii="Times New Roman" w:hAnsi="Times New Roman"/>
          <w:sz w:val="24"/>
          <w:szCs w:val="24"/>
        </w:rPr>
        <w:t>1.58-4.62</w:t>
      </w:r>
      <w:r w:rsidR="00BC1803">
        <w:rPr>
          <w:rFonts w:ascii="Times New Roman" w:hAnsi="Times New Roman"/>
          <w:sz w:val="24"/>
          <w:szCs w:val="24"/>
        </w:rPr>
        <w:t xml:space="preserve">) than &gt;12 months previously </w:t>
      </w:r>
      <w:r w:rsidR="00BC1803" w:rsidRPr="00784848">
        <w:rPr>
          <w:rFonts w:ascii="Times New Roman" w:hAnsi="Times New Roman"/>
          <w:sz w:val="24"/>
          <w:szCs w:val="24"/>
        </w:rPr>
        <w:t>(OR 1.</w:t>
      </w:r>
      <w:r w:rsidR="00E33EA6">
        <w:rPr>
          <w:rFonts w:ascii="Times New Roman" w:hAnsi="Times New Roman"/>
          <w:sz w:val="24"/>
          <w:szCs w:val="24"/>
        </w:rPr>
        <w:t>97</w:t>
      </w:r>
      <w:r w:rsidR="00BC1803" w:rsidRPr="00784848">
        <w:rPr>
          <w:rFonts w:ascii="Times New Roman" w:hAnsi="Times New Roman"/>
          <w:sz w:val="24"/>
          <w:szCs w:val="24"/>
        </w:rPr>
        <w:t xml:space="preserve">, </w:t>
      </w:r>
      <w:r w:rsidR="00C552A6" w:rsidRPr="00784848">
        <w:rPr>
          <w:rFonts w:ascii="Times New Roman" w:hAnsi="Times New Roman"/>
          <w:sz w:val="24"/>
          <w:szCs w:val="24"/>
        </w:rPr>
        <w:t xml:space="preserve">95%CI </w:t>
      </w:r>
      <w:r w:rsidR="00784848" w:rsidRPr="00784848">
        <w:rPr>
          <w:rFonts w:ascii="Times New Roman" w:hAnsi="Times New Roman"/>
          <w:sz w:val="24"/>
          <w:szCs w:val="24"/>
        </w:rPr>
        <w:t>1.</w:t>
      </w:r>
      <w:r w:rsidR="00E33EA6" w:rsidRPr="00784848">
        <w:rPr>
          <w:rFonts w:ascii="Times New Roman" w:hAnsi="Times New Roman"/>
          <w:sz w:val="24"/>
          <w:szCs w:val="24"/>
        </w:rPr>
        <w:t>5</w:t>
      </w:r>
      <w:r w:rsidR="00E33EA6">
        <w:rPr>
          <w:rFonts w:ascii="Times New Roman" w:hAnsi="Times New Roman"/>
          <w:sz w:val="24"/>
          <w:szCs w:val="24"/>
        </w:rPr>
        <w:t>5</w:t>
      </w:r>
      <w:r w:rsidR="00AA3D55" w:rsidRPr="00784848">
        <w:rPr>
          <w:rFonts w:ascii="Times New Roman" w:hAnsi="Times New Roman"/>
          <w:sz w:val="24"/>
          <w:szCs w:val="24"/>
        </w:rPr>
        <w:t>-</w:t>
      </w:r>
      <w:r w:rsidR="00784848" w:rsidRPr="00784848">
        <w:rPr>
          <w:rFonts w:ascii="Times New Roman" w:hAnsi="Times New Roman"/>
          <w:sz w:val="24"/>
          <w:szCs w:val="24"/>
        </w:rPr>
        <w:t>2.</w:t>
      </w:r>
      <w:r w:rsidR="00E33EA6">
        <w:rPr>
          <w:rFonts w:ascii="Times New Roman" w:hAnsi="Times New Roman"/>
          <w:sz w:val="24"/>
          <w:szCs w:val="24"/>
        </w:rPr>
        <w:t>50</w:t>
      </w:r>
      <w:r w:rsidR="00BC1803" w:rsidRPr="00784848">
        <w:rPr>
          <w:rFonts w:ascii="Times New Roman" w:hAnsi="Times New Roman"/>
          <w:sz w:val="24"/>
          <w:szCs w:val="24"/>
        </w:rPr>
        <w:t>).</w:t>
      </w:r>
    </w:p>
    <w:p w:rsidR="00BC1803" w:rsidRDefault="00BC1803" w:rsidP="00BC1803">
      <w:pPr>
        <w:jc w:val="both"/>
        <w:rPr>
          <w:rFonts w:ascii="Times New Roman" w:hAnsi="Times New Roman"/>
          <w:sz w:val="24"/>
          <w:szCs w:val="24"/>
        </w:rPr>
      </w:pPr>
    </w:p>
    <w:p w:rsidR="00BC1803" w:rsidRDefault="00BC1803" w:rsidP="00BC1803">
      <w:pPr>
        <w:jc w:val="both"/>
        <w:rPr>
          <w:rFonts w:ascii="Times New Roman" w:hAnsi="Times New Roman"/>
          <w:sz w:val="24"/>
          <w:szCs w:val="24"/>
        </w:rPr>
      </w:pPr>
      <w:r>
        <w:rPr>
          <w:rFonts w:ascii="Times New Roman" w:hAnsi="Times New Roman"/>
          <w:sz w:val="24"/>
          <w:szCs w:val="24"/>
        </w:rPr>
        <w:t xml:space="preserve">Table 3 presents risk estimates in relation to disorders of balance. Overall, risk was elevated </w:t>
      </w:r>
      <w:r w:rsidR="006A60E7">
        <w:rPr>
          <w:rFonts w:ascii="Times New Roman" w:hAnsi="Times New Roman"/>
          <w:sz w:val="24"/>
          <w:szCs w:val="24"/>
        </w:rPr>
        <w:t>moderately,</w:t>
      </w:r>
      <w:r>
        <w:rPr>
          <w:rFonts w:ascii="Times New Roman" w:hAnsi="Times New Roman"/>
          <w:sz w:val="24"/>
          <w:szCs w:val="24"/>
        </w:rPr>
        <w:t xml:space="preserve"> findings falling just short of </w:t>
      </w:r>
      <w:r w:rsidR="006A60E7">
        <w:rPr>
          <w:rFonts w:ascii="Times New Roman" w:hAnsi="Times New Roman"/>
          <w:sz w:val="24"/>
          <w:szCs w:val="24"/>
        </w:rPr>
        <w:t>statistical significance</w:t>
      </w:r>
      <w:r>
        <w:rPr>
          <w:rFonts w:ascii="Times New Roman" w:hAnsi="Times New Roman"/>
          <w:sz w:val="24"/>
          <w:szCs w:val="24"/>
        </w:rPr>
        <w:t xml:space="preserve"> at the 5% level</w:t>
      </w:r>
      <w:r w:rsidR="006A60E7">
        <w:rPr>
          <w:rFonts w:ascii="Times New Roman" w:hAnsi="Times New Roman"/>
          <w:sz w:val="24"/>
          <w:szCs w:val="24"/>
        </w:rPr>
        <w:t xml:space="preserve"> (OR 1.</w:t>
      </w:r>
      <w:r w:rsidR="00362AB8">
        <w:rPr>
          <w:rFonts w:ascii="Times New Roman" w:hAnsi="Times New Roman"/>
          <w:sz w:val="24"/>
          <w:szCs w:val="24"/>
        </w:rPr>
        <w:t>30</w:t>
      </w:r>
      <w:r w:rsidR="006A60E7">
        <w:rPr>
          <w:rFonts w:ascii="Times New Roman" w:hAnsi="Times New Roman"/>
          <w:sz w:val="24"/>
          <w:szCs w:val="24"/>
        </w:rPr>
        <w:t>, 95%CI 0.</w:t>
      </w:r>
      <w:r w:rsidR="00362AB8">
        <w:rPr>
          <w:rFonts w:ascii="Times New Roman" w:hAnsi="Times New Roman"/>
          <w:sz w:val="24"/>
          <w:szCs w:val="24"/>
        </w:rPr>
        <w:t>95</w:t>
      </w:r>
      <w:r w:rsidR="006A60E7">
        <w:rPr>
          <w:rFonts w:ascii="Times New Roman" w:hAnsi="Times New Roman"/>
          <w:sz w:val="24"/>
          <w:szCs w:val="24"/>
        </w:rPr>
        <w:t>-1.</w:t>
      </w:r>
      <w:r w:rsidR="00362AB8">
        <w:rPr>
          <w:rFonts w:ascii="Times New Roman" w:hAnsi="Times New Roman"/>
          <w:sz w:val="24"/>
          <w:szCs w:val="24"/>
        </w:rPr>
        <w:t>76</w:t>
      </w:r>
      <w:r w:rsidR="006A60E7">
        <w:rPr>
          <w:rFonts w:ascii="Times New Roman" w:hAnsi="Times New Roman"/>
          <w:sz w:val="24"/>
          <w:szCs w:val="24"/>
        </w:rPr>
        <w:t>)</w:t>
      </w:r>
      <w:r>
        <w:rPr>
          <w:rFonts w:ascii="Times New Roman" w:hAnsi="Times New Roman"/>
          <w:sz w:val="24"/>
          <w:szCs w:val="24"/>
        </w:rPr>
        <w:t>. Risks were higher</w:t>
      </w:r>
      <w:r w:rsidR="00BF6288">
        <w:rPr>
          <w:rFonts w:ascii="Times New Roman" w:hAnsi="Times New Roman"/>
          <w:sz w:val="24"/>
          <w:szCs w:val="24"/>
        </w:rPr>
        <w:t>,</w:t>
      </w:r>
      <w:r>
        <w:rPr>
          <w:rFonts w:ascii="Times New Roman" w:hAnsi="Times New Roman"/>
          <w:sz w:val="24"/>
          <w:szCs w:val="24"/>
        </w:rPr>
        <w:t xml:space="preserve"> however</w:t>
      </w:r>
      <w:r w:rsidR="00BF6288">
        <w:rPr>
          <w:rFonts w:ascii="Times New Roman" w:hAnsi="Times New Roman"/>
          <w:sz w:val="24"/>
          <w:szCs w:val="24"/>
        </w:rPr>
        <w:t>,</w:t>
      </w:r>
      <w:r>
        <w:rPr>
          <w:rFonts w:ascii="Times New Roman" w:hAnsi="Times New Roman"/>
          <w:sz w:val="24"/>
          <w:szCs w:val="24"/>
        </w:rPr>
        <w:t xml:space="preserve"> and statistically significant where the </w:t>
      </w:r>
      <w:r w:rsidR="00B82A57">
        <w:rPr>
          <w:rFonts w:ascii="Times New Roman" w:hAnsi="Times New Roman"/>
          <w:sz w:val="24"/>
          <w:szCs w:val="24"/>
        </w:rPr>
        <w:t xml:space="preserve">last </w:t>
      </w:r>
      <w:r>
        <w:rPr>
          <w:rFonts w:ascii="Times New Roman" w:hAnsi="Times New Roman"/>
          <w:sz w:val="24"/>
          <w:szCs w:val="24"/>
        </w:rPr>
        <w:t>consultation was in the 12 months prior to injury</w:t>
      </w:r>
      <w:r w:rsidR="006A60E7">
        <w:rPr>
          <w:rFonts w:ascii="Times New Roman" w:hAnsi="Times New Roman"/>
          <w:sz w:val="24"/>
          <w:szCs w:val="24"/>
        </w:rPr>
        <w:t xml:space="preserve"> (OR 1.</w:t>
      </w:r>
      <w:r w:rsidR="00362AB8">
        <w:rPr>
          <w:rFonts w:ascii="Times New Roman" w:hAnsi="Times New Roman"/>
          <w:sz w:val="24"/>
          <w:szCs w:val="24"/>
        </w:rPr>
        <w:t>77</w:t>
      </w:r>
      <w:r w:rsidR="006A60E7">
        <w:rPr>
          <w:rFonts w:ascii="Times New Roman" w:hAnsi="Times New Roman"/>
          <w:sz w:val="24"/>
          <w:szCs w:val="24"/>
        </w:rPr>
        <w:t>, 95%CI 1.</w:t>
      </w:r>
      <w:r w:rsidR="00362AB8">
        <w:rPr>
          <w:rFonts w:ascii="Times New Roman" w:hAnsi="Times New Roman"/>
          <w:sz w:val="24"/>
          <w:szCs w:val="24"/>
        </w:rPr>
        <w:t>01</w:t>
      </w:r>
      <w:r w:rsidR="006A60E7">
        <w:rPr>
          <w:rFonts w:ascii="Times New Roman" w:hAnsi="Times New Roman"/>
          <w:sz w:val="24"/>
          <w:szCs w:val="24"/>
        </w:rPr>
        <w:t>-3.</w:t>
      </w:r>
      <w:r w:rsidR="00362AB8">
        <w:rPr>
          <w:rFonts w:ascii="Times New Roman" w:hAnsi="Times New Roman"/>
          <w:sz w:val="24"/>
          <w:szCs w:val="24"/>
        </w:rPr>
        <w:t>11</w:t>
      </w:r>
      <w:r w:rsidR="006A60E7">
        <w:rPr>
          <w:rFonts w:ascii="Times New Roman" w:hAnsi="Times New Roman"/>
          <w:sz w:val="24"/>
          <w:szCs w:val="24"/>
        </w:rPr>
        <w:t>)</w:t>
      </w:r>
      <w:r>
        <w:rPr>
          <w:rFonts w:ascii="Times New Roman" w:hAnsi="Times New Roman"/>
          <w:sz w:val="24"/>
          <w:szCs w:val="24"/>
        </w:rPr>
        <w:t xml:space="preserve"> than when it was more than 12 months before this (OR 1.</w:t>
      </w:r>
      <w:r w:rsidR="00362AB8">
        <w:rPr>
          <w:rFonts w:ascii="Times New Roman" w:hAnsi="Times New Roman"/>
          <w:sz w:val="24"/>
          <w:szCs w:val="24"/>
        </w:rPr>
        <w:t>14</w:t>
      </w:r>
      <w:r>
        <w:rPr>
          <w:rFonts w:ascii="Times New Roman" w:hAnsi="Times New Roman"/>
          <w:sz w:val="24"/>
          <w:szCs w:val="24"/>
        </w:rPr>
        <w:t xml:space="preserve">, </w:t>
      </w:r>
      <w:r w:rsidR="00C552A6">
        <w:rPr>
          <w:rFonts w:ascii="Times New Roman" w:hAnsi="Times New Roman"/>
          <w:sz w:val="24"/>
          <w:szCs w:val="24"/>
        </w:rPr>
        <w:t xml:space="preserve">95%CI </w:t>
      </w:r>
      <w:r w:rsidR="00784848">
        <w:rPr>
          <w:rFonts w:ascii="Times New Roman" w:hAnsi="Times New Roman"/>
          <w:sz w:val="24"/>
          <w:szCs w:val="24"/>
        </w:rPr>
        <w:t>0.</w:t>
      </w:r>
      <w:r w:rsidR="00362AB8">
        <w:rPr>
          <w:rFonts w:ascii="Times New Roman" w:hAnsi="Times New Roman"/>
          <w:sz w:val="24"/>
          <w:szCs w:val="24"/>
        </w:rPr>
        <w:t>79</w:t>
      </w:r>
      <w:r w:rsidR="00784848">
        <w:rPr>
          <w:rFonts w:ascii="Times New Roman" w:hAnsi="Times New Roman"/>
          <w:sz w:val="24"/>
          <w:szCs w:val="24"/>
        </w:rPr>
        <w:t>-1.</w:t>
      </w:r>
      <w:r w:rsidR="00362AB8">
        <w:rPr>
          <w:rFonts w:ascii="Times New Roman" w:hAnsi="Times New Roman"/>
          <w:sz w:val="24"/>
          <w:szCs w:val="24"/>
        </w:rPr>
        <w:t>65</w:t>
      </w:r>
      <w:r>
        <w:rPr>
          <w:rFonts w:ascii="Times New Roman" w:hAnsi="Times New Roman"/>
          <w:sz w:val="24"/>
          <w:szCs w:val="24"/>
        </w:rPr>
        <w:t>).</w:t>
      </w:r>
    </w:p>
    <w:p w:rsidR="00362AB8" w:rsidRDefault="00362AB8" w:rsidP="00BC1803">
      <w:pPr>
        <w:jc w:val="both"/>
        <w:rPr>
          <w:rFonts w:ascii="Times New Roman" w:hAnsi="Times New Roman"/>
          <w:sz w:val="24"/>
          <w:szCs w:val="24"/>
        </w:rPr>
      </w:pPr>
    </w:p>
    <w:p w:rsidR="00362AB8" w:rsidRDefault="00362AB8" w:rsidP="00BC1803">
      <w:pPr>
        <w:jc w:val="both"/>
        <w:rPr>
          <w:rFonts w:ascii="Times New Roman" w:hAnsi="Times New Roman"/>
          <w:sz w:val="24"/>
          <w:szCs w:val="24"/>
        </w:rPr>
      </w:pPr>
      <w:r>
        <w:rPr>
          <w:rFonts w:ascii="Times New Roman" w:hAnsi="Times New Roman"/>
          <w:sz w:val="24"/>
          <w:szCs w:val="24"/>
        </w:rPr>
        <w:t>Findings were only slightly different when adjustment was made for frequent consulting in the past 12 months</w:t>
      </w:r>
      <w:r w:rsidR="008123D8">
        <w:rPr>
          <w:rFonts w:ascii="Times New Roman" w:hAnsi="Times New Roman"/>
          <w:sz w:val="24"/>
          <w:szCs w:val="24"/>
        </w:rPr>
        <w:t>, in addition to problem drinking</w:t>
      </w:r>
      <w:r>
        <w:rPr>
          <w:rFonts w:ascii="Times New Roman" w:hAnsi="Times New Roman"/>
          <w:sz w:val="24"/>
          <w:szCs w:val="24"/>
        </w:rPr>
        <w:t>.</w:t>
      </w:r>
    </w:p>
    <w:p w:rsidR="00BC1803" w:rsidRDefault="00BC1803" w:rsidP="00BC1803">
      <w:pPr>
        <w:rPr>
          <w:rFonts w:ascii="Times New Roman" w:hAnsi="Times New Roman"/>
          <w:sz w:val="24"/>
          <w:szCs w:val="24"/>
        </w:rPr>
      </w:pPr>
    </w:p>
    <w:p w:rsidR="00BC1803" w:rsidRDefault="00BC1803" w:rsidP="00BC1803">
      <w:pPr>
        <w:rPr>
          <w:rFonts w:ascii="Times New Roman" w:hAnsi="Times New Roman"/>
          <w:b/>
          <w:sz w:val="24"/>
          <w:szCs w:val="24"/>
        </w:rPr>
      </w:pPr>
    </w:p>
    <w:p w:rsidR="00BF6288" w:rsidRDefault="00BF6288">
      <w:pPr>
        <w:rPr>
          <w:rFonts w:ascii="Times New Roman" w:hAnsi="Times New Roman"/>
          <w:b/>
          <w:sz w:val="24"/>
          <w:szCs w:val="24"/>
        </w:rPr>
      </w:pPr>
      <w:r>
        <w:rPr>
          <w:rFonts w:ascii="Times New Roman" w:hAnsi="Times New Roman"/>
          <w:b/>
          <w:sz w:val="24"/>
          <w:szCs w:val="24"/>
        </w:rPr>
        <w:br w:type="page"/>
      </w:r>
    </w:p>
    <w:p w:rsidR="00BC1803" w:rsidRPr="00B34ECE" w:rsidRDefault="00BC1803" w:rsidP="00BC1803">
      <w:pPr>
        <w:rPr>
          <w:rFonts w:ascii="Times New Roman" w:hAnsi="Times New Roman"/>
          <w:b/>
          <w:sz w:val="24"/>
          <w:szCs w:val="24"/>
        </w:rPr>
      </w:pPr>
      <w:r w:rsidRPr="00B34ECE">
        <w:rPr>
          <w:rFonts w:ascii="Times New Roman" w:hAnsi="Times New Roman"/>
          <w:b/>
          <w:sz w:val="24"/>
          <w:szCs w:val="24"/>
        </w:rPr>
        <w:lastRenderedPageBreak/>
        <w:t>Discussion</w:t>
      </w:r>
    </w:p>
    <w:p w:rsidR="004C457A" w:rsidRDefault="004C457A" w:rsidP="00BC1803">
      <w:pPr>
        <w:jc w:val="both"/>
        <w:rPr>
          <w:rFonts w:ascii="Times New Roman" w:hAnsi="Times New Roman" w:cs="Times New Roman"/>
          <w:sz w:val="24"/>
          <w:szCs w:val="24"/>
        </w:rPr>
      </w:pPr>
      <w:r w:rsidRPr="003A01F1">
        <w:rPr>
          <w:rFonts w:ascii="Times New Roman" w:hAnsi="Times New Roman"/>
          <w:sz w:val="24"/>
          <w:szCs w:val="24"/>
        </w:rPr>
        <w:t>A</w:t>
      </w:r>
      <w:r w:rsidR="00675882" w:rsidRPr="003A01F1">
        <w:rPr>
          <w:rFonts w:ascii="Times New Roman" w:hAnsi="Times New Roman"/>
          <w:sz w:val="24"/>
          <w:szCs w:val="24"/>
        </w:rPr>
        <w:t xml:space="preserve">ssessment of the risks of occupational injury posed by </w:t>
      </w:r>
      <w:r w:rsidR="00675882" w:rsidRPr="003A01F1">
        <w:rPr>
          <w:rFonts w:ascii="Times New Roman" w:hAnsi="Times New Roman" w:cs="Times New Roman"/>
          <w:sz w:val="24"/>
          <w:szCs w:val="24"/>
        </w:rPr>
        <w:t>impairments of the senses is timely</w:t>
      </w:r>
      <w:r w:rsidR="0040261C" w:rsidRPr="003A01F1">
        <w:rPr>
          <w:rFonts w:ascii="Times New Roman" w:hAnsi="Times New Roman" w:cs="Times New Roman"/>
          <w:sz w:val="24"/>
          <w:szCs w:val="24"/>
        </w:rPr>
        <w:t>,</w:t>
      </w:r>
      <w:r w:rsidR="00675882" w:rsidRPr="003A01F1">
        <w:rPr>
          <w:rFonts w:ascii="Times New Roman" w:hAnsi="Times New Roman" w:cs="Times New Roman"/>
          <w:sz w:val="24"/>
          <w:szCs w:val="24"/>
        </w:rPr>
        <w:t xml:space="preserve"> </w:t>
      </w:r>
      <w:r w:rsidR="003A01F1" w:rsidRPr="003A01F1">
        <w:rPr>
          <w:rFonts w:ascii="Times New Roman" w:hAnsi="Times New Roman" w:cs="Times New Roman"/>
          <w:sz w:val="24"/>
          <w:szCs w:val="24"/>
        </w:rPr>
        <w:t>since</w:t>
      </w:r>
      <w:r w:rsidR="001A191C" w:rsidRPr="003A01F1">
        <w:rPr>
          <w:rFonts w:ascii="Times New Roman" w:hAnsi="Times New Roman"/>
          <w:sz w:val="24"/>
          <w:szCs w:val="24"/>
        </w:rPr>
        <w:t xml:space="preserve"> </w:t>
      </w:r>
      <w:r w:rsidR="003A01F1" w:rsidRPr="003A01F1">
        <w:rPr>
          <w:rFonts w:ascii="Times New Roman" w:hAnsi="Times New Roman"/>
          <w:sz w:val="24"/>
          <w:szCs w:val="24"/>
        </w:rPr>
        <w:t>many</w:t>
      </w:r>
      <w:r w:rsidR="007843CD" w:rsidRPr="003A01F1">
        <w:rPr>
          <w:rFonts w:ascii="Times New Roman" w:hAnsi="Times New Roman"/>
          <w:sz w:val="24"/>
          <w:szCs w:val="24"/>
        </w:rPr>
        <w:t xml:space="preserve"> citizens of</w:t>
      </w:r>
      <w:r w:rsidR="001A191C" w:rsidRPr="003A01F1">
        <w:rPr>
          <w:rFonts w:ascii="Times New Roman" w:hAnsi="Times New Roman"/>
          <w:sz w:val="24"/>
          <w:szCs w:val="24"/>
        </w:rPr>
        <w:t xml:space="preserve"> Western countries </w:t>
      </w:r>
      <w:r w:rsidR="007843CD" w:rsidRPr="003A01F1">
        <w:rPr>
          <w:rFonts w:ascii="Times New Roman" w:hAnsi="Times New Roman"/>
          <w:sz w:val="24"/>
          <w:szCs w:val="24"/>
        </w:rPr>
        <w:t>are intent</w:t>
      </w:r>
      <w:r w:rsidR="003A01F1" w:rsidRPr="003A01F1">
        <w:rPr>
          <w:rFonts w:ascii="Times New Roman" w:hAnsi="Times New Roman"/>
          <w:sz w:val="24"/>
          <w:szCs w:val="24"/>
        </w:rPr>
        <w:t xml:space="preserve"> </w:t>
      </w:r>
      <w:r w:rsidR="007843CD" w:rsidRPr="003A01F1">
        <w:rPr>
          <w:rFonts w:ascii="Times New Roman" w:hAnsi="Times New Roman"/>
          <w:sz w:val="24"/>
          <w:szCs w:val="24"/>
        </w:rPr>
        <w:t>on</w:t>
      </w:r>
      <w:r w:rsidR="003A01F1">
        <w:rPr>
          <w:rFonts w:ascii="Times New Roman" w:hAnsi="Times New Roman"/>
          <w:sz w:val="24"/>
          <w:szCs w:val="24"/>
        </w:rPr>
        <w:t xml:space="preserve"> postponing their retirement</w:t>
      </w:r>
      <w:r w:rsidR="00675882" w:rsidRPr="003A01F1">
        <w:rPr>
          <w:rFonts w:ascii="Times New Roman" w:hAnsi="Times New Roman"/>
          <w:sz w:val="24"/>
          <w:szCs w:val="24"/>
        </w:rPr>
        <w:t>.</w:t>
      </w:r>
      <w:r w:rsidR="00675882" w:rsidRPr="007843CD">
        <w:rPr>
          <w:rFonts w:ascii="Times New Roman" w:hAnsi="Times New Roman"/>
          <w:sz w:val="24"/>
          <w:szCs w:val="24"/>
        </w:rPr>
        <w:t xml:space="preserve"> </w:t>
      </w:r>
      <w:r w:rsidRPr="007843CD">
        <w:rPr>
          <w:rFonts w:ascii="Times New Roman" w:hAnsi="Times New Roman" w:cs="Times New Roman"/>
          <w:sz w:val="24"/>
          <w:szCs w:val="24"/>
        </w:rPr>
        <w:t>An evidence base is needed</w:t>
      </w:r>
      <w:r w:rsidR="001A191C" w:rsidRPr="007843CD">
        <w:rPr>
          <w:rFonts w:ascii="Times New Roman" w:hAnsi="Times New Roman" w:cs="Times New Roman"/>
          <w:sz w:val="24"/>
          <w:szCs w:val="24"/>
        </w:rPr>
        <w:t>,</w:t>
      </w:r>
      <w:r w:rsidR="00217724" w:rsidRPr="007843CD">
        <w:rPr>
          <w:rFonts w:ascii="Times New Roman" w:hAnsi="Times New Roman" w:cs="Times New Roman"/>
          <w:sz w:val="24"/>
          <w:szCs w:val="24"/>
        </w:rPr>
        <w:t xml:space="preserve"> </w:t>
      </w:r>
      <w:r w:rsidR="001A191C" w:rsidRPr="007843CD">
        <w:rPr>
          <w:rFonts w:ascii="Times New Roman" w:hAnsi="Times New Roman" w:cs="Times New Roman"/>
          <w:sz w:val="24"/>
          <w:szCs w:val="24"/>
        </w:rPr>
        <w:t xml:space="preserve">on the one hand, </w:t>
      </w:r>
      <w:r w:rsidR="00217724" w:rsidRPr="007843CD">
        <w:rPr>
          <w:rFonts w:ascii="Times New Roman" w:hAnsi="Times New Roman" w:cs="Times New Roman"/>
          <w:sz w:val="24"/>
          <w:szCs w:val="24"/>
        </w:rPr>
        <w:t>to safeguard the health of workers with impairments and those who may be affected by their work</w:t>
      </w:r>
      <w:r w:rsidRPr="007843CD">
        <w:rPr>
          <w:rFonts w:ascii="Times New Roman" w:hAnsi="Times New Roman" w:cs="Times New Roman"/>
          <w:sz w:val="24"/>
          <w:szCs w:val="24"/>
        </w:rPr>
        <w:t xml:space="preserve"> and</w:t>
      </w:r>
      <w:r w:rsidR="00217724" w:rsidRPr="007843CD">
        <w:rPr>
          <w:rFonts w:ascii="Times New Roman" w:hAnsi="Times New Roman" w:cs="Times New Roman"/>
          <w:sz w:val="24"/>
          <w:szCs w:val="24"/>
        </w:rPr>
        <w:t>,</w:t>
      </w:r>
      <w:r w:rsidRPr="007843CD">
        <w:rPr>
          <w:rFonts w:ascii="Times New Roman" w:hAnsi="Times New Roman" w:cs="Times New Roman"/>
          <w:sz w:val="24"/>
          <w:szCs w:val="24"/>
        </w:rPr>
        <w:t xml:space="preserve"> on the other</w:t>
      </w:r>
      <w:r w:rsidR="00217724" w:rsidRPr="007843CD">
        <w:rPr>
          <w:rFonts w:ascii="Times New Roman" w:hAnsi="Times New Roman" w:cs="Times New Roman"/>
          <w:sz w:val="24"/>
          <w:szCs w:val="24"/>
        </w:rPr>
        <w:t>,</w:t>
      </w:r>
      <w:r w:rsidRPr="007843CD">
        <w:rPr>
          <w:rFonts w:ascii="Times New Roman" w:hAnsi="Times New Roman" w:cs="Times New Roman"/>
          <w:sz w:val="24"/>
          <w:szCs w:val="24"/>
        </w:rPr>
        <w:t xml:space="preserve"> to avoid restriction</w:t>
      </w:r>
      <w:r w:rsidR="00675882" w:rsidRPr="007843CD">
        <w:rPr>
          <w:rFonts w:ascii="Times New Roman" w:hAnsi="Times New Roman" w:cs="Times New Roman"/>
          <w:sz w:val="24"/>
          <w:szCs w:val="24"/>
        </w:rPr>
        <w:t>s</w:t>
      </w:r>
      <w:r w:rsidRPr="007843CD">
        <w:rPr>
          <w:rFonts w:ascii="Times New Roman" w:hAnsi="Times New Roman" w:cs="Times New Roman"/>
          <w:sz w:val="24"/>
          <w:szCs w:val="24"/>
        </w:rPr>
        <w:t xml:space="preserve"> o</w:t>
      </w:r>
      <w:r w:rsidR="00675882" w:rsidRPr="007843CD">
        <w:rPr>
          <w:rFonts w:ascii="Times New Roman" w:hAnsi="Times New Roman" w:cs="Times New Roman"/>
          <w:sz w:val="24"/>
          <w:szCs w:val="24"/>
        </w:rPr>
        <w:t>n</w:t>
      </w:r>
      <w:r w:rsidRPr="007843CD">
        <w:rPr>
          <w:rFonts w:ascii="Times New Roman" w:hAnsi="Times New Roman" w:cs="Times New Roman"/>
          <w:sz w:val="24"/>
          <w:szCs w:val="24"/>
        </w:rPr>
        <w:t xml:space="preserve"> employment opportunity in circumstances of comparatively low risk.</w:t>
      </w:r>
    </w:p>
    <w:p w:rsidR="008D47F1" w:rsidRDefault="008D47F1" w:rsidP="00BC1803">
      <w:pPr>
        <w:jc w:val="both"/>
        <w:rPr>
          <w:rFonts w:ascii="Times New Roman" w:hAnsi="Times New Roman" w:cs="Times New Roman"/>
          <w:sz w:val="24"/>
          <w:szCs w:val="24"/>
        </w:rPr>
      </w:pPr>
    </w:p>
    <w:p w:rsidR="008742EA" w:rsidRPr="004E1AAC" w:rsidRDefault="00AF0C9C" w:rsidP="008742EA">
      <w:pPr>
        <w:jc w:val="both"/>
        <w:rPr>
          <w:rFonts w:ascii="Times New Roman" w:hAnsi="Times New Roman" w:cs="Times New Roman"/>
          <w:sz w:val="24"/>
          <w:szCs w:val="24"/>
        </w:rPr>
      </w:pPr>
      <w:r>
        <w:rPr>
          <w:rFonts w:ascii="Times New Roman" w:hAnsi="Times New Roman" w:cs="Times New Roman"/>
          <w:sz w:val="24"/>
          <w:szCs w:val="24"/>
        </w:rPr>
        <w:t>A</w:t>
      </w:r>
      <w:r w:rsidRPr="004E1AAC">
        <w:rPr>
          <w:rFonts w:ascii="Times New Roman" w:hAnsi="Times New Roman" w:cs="Times New Roman"/>
          <w:sz w:val="24"/>
          <w:szCs w:val="24"/>
        </w:rPr>
        <w:t xml:space="preserve">s a research tool, </w:t>
      </w:r>
      <w:r>
        <w:rPr>
          <w:rFonts w:ascii="Times New Roman" w:hAnsi="Times New Roman" w:cs="Times New Roman"/>
          <w:sz w:val="24"/>
          <w:szCs w:val="24"/>
        </w:rPr>
        <w:t>the CPRD</w:t>
      </w:r>
      <w:r w:rsidR="008D47F1" w:rsidRPr="004E1AAC">
        <w:rPr>
          <w:rFonts w:ascii="Times New Roman" w:hAnsi="Times New Roman" w:cs="Times New Roman"/>
          <w:sz w:val="24"/>
          <w:szCs w:val="24"/>
        </w:rPr>
        <w:t xml:space="preserve"> ha</w:t>
      </w:r>
      <w:r w:rsidR="004E1AAC" w:rsidRPr="004E1AAC">
        <w:rPr>
          <w:rFonts w:ascii="Times New Roman" w:hAnsi="Times New Roman" w:cs="Times New Roman"/>
          <w:sz w:val="24"/>
          <w:szCs w:val="24"/>
        </w:rPr>
        <w:t>s</w:t>
      </w:r>
      <w:r w:rsidR="008D47F1" w:rsidRPr="004E1AAC">
        <w:rPr>
          <w:rFonts w:ascii="Times New Roman" w:hAnsi="Times New Roman" w:cs="Times New Roman"/>
          <w:sz w:val="24"/>
          <w:szCs w:val="24"/>
        </w:rPr>
        <w:t xml:space="preserve"> some useful strengths and some limitations</w:t>
      </w:r>
      <w:r w:rsidR="004E1AAC" w:rsidRPr="004E1AAC">
        <w:rPr>
          <w:rFonts w:ascii="Times New Roman" w:hAnsi="Times New Roman" w:cs="Times New Roman"/>
          <w:sz w:val="24"/>
          <w:szCs w:val="24"/>
        </w:rPr>
        <w:t>,</w:t>
      </w:r>
      <w:r w:rsidR="008D47F1" w:rsidRPr="004E1AAC">
        <w:rPr>
          <w:rFonts w:ascii="Times New Roman" w:hAnsi="Times New Roman" w:cs="Times New Roman"/>
          <w:sz w:val="24"/>
          <w:szCs w:val="24"/>
        </w:rPr>
        <w:t xml:space="preserve"> </w:t>
      </w:r>
      <w:r w:rsidR="00BC3A84" w:rsidRPr="004E1AAC">
        <w:rPr>
          <w:rFonts w:ascii="Times New Roman" w:hAnsi="Times New Roman" w:cs="Times New Roman"/>
          <w:sz w:val="24"/>
          <w:szCs w:val="24"/>
        </w:rPr>
        <w:t>reviewed elsewhere [36-38]</w:t>
      </w:r>
      <w:r w:rsidR="004E1AAC" w:rsidRPr="004E1AAC">
        <w:rPr>
          <w:rFonts w:ascii="Times New Roman" w:hAnsi="Times New Roman" w:cs="Times New Roman"/>
          <w:sz w:val="24"/>
          <w:szCs w:val="24"/>
        </w:rPr>
        <w:t>. In brief, t</w:t>
      </w:r>
      <w:r w:rsidR="008D47F1" w:rsidRPr="004E1AAC">
        <w:rPr>
          <w:rFonts w:ascii="Times New Roman" w:hAnsi="Times New Roman" w:cs="Times New Roman"/>
          <w:sz w:val="24"/>
          <w:szCs w:val="24"/>
        </w:rPr>
        <w:t>he sampling frame is known to have a high degree of completeness (&gt;97%) and validity</w:t>
      </w:r>
      <w:r w:rsidR="00E02891">
        <w:rPr>
          <w:rFonts w:ascii="Times New Roman" w:hAnsi="Times New Roman" w:cs="Times New Roman"/>
          <w:sz w:val="24"/>
          <w:szCs w:val="24"/>
        </w:rPr>
        <w:t xml:space="preserve"> for many outcomes</w:t>
      </w:r>
      <w:r w:rsidR="00C63DA9" w:rsidRPr="004E1AAC">
        <w:rPr>
          <w:rFonts w:ascii="Times New Roman" w:hAnsi="Times New Roman" w:cs="Times New Roman"/>
          <w:sz w:val="24"/>
          <w:szCs w:val="24"/>
        </w:rPr>
        <w:t xml:space="preserve"> [35]</w:t>
      </w:r>
      <w:r w:rsidR="00E02891">
        <w:rPr>
          <w:rFonts w:ascii="Times New Roman" w:hAnsi="Times New Roman" w:cs="Times New Roman"/>
          <w:sz w:val="24"/>
          <w:szCs w:val="24"/>
        </w:rPr>
        <w:t>,</w:t>
      </w:r>
      <w:r w:rsidR="008D47F1" w:rsidRPr="004E1AAC">
        <w:rPr>
          <w:rFonts w:ascii="Times New Roman" w:hAnsi="Times New Roman" w:cs="Times New Roman"/>
          <w:sz w:val="24"/>
          <w:szCs w:val="24"/>
        </w:rPr>
        <w:t xml:space="preserve"> and is likely to be representative in most respects of the total population. </w:t>
      </w:r>
      <w:r w:rsidR="004A52A9" w:rsidRPr="004E1AAC">
        <w:rPr>
          <w:rFonts w:ascii="Times New Roman" w:hAnsi="Times New Roman" w:cs="Times New Roman"/>
          <w:sz w:val="24"/>
          <w:szCs w:val="24"/>
        </w:rPr>
        <w:t xml:space="preserve">A particular strength from our perspective was </w:t>
      </w:r>
      <w:r w:rsidR="004A52A9">
        <w:rPr>
          <w:rFonts w:ascii="Times New Roman" w:hAnsi="Times New Roman" w:cs="Times New Roman"/>
          <w:sz w:val="24"/>
          <w:szCs w:val="24"/>
        </w:rPr>
        <w:t>the</w:t>
      </w:r>
      <w:r w:rsidR="004A52A9" w:rsidRPr="004E1AAC">
        <w:rPr>
          <w:rFonts w:ascii="Times New Roman" w:hAnsi="Times New Roman" w:cs="Times New Roman"/>
          <w:sz w:val="24"/>
          <w:szCs w:val="24"/>
        </w:rPr>
        <w:t xml:space="preserve"> capacity</w:t>
      </w:r>
      <w:r w:rsidR="004A52A9">
        <w:rPr>
          <w:rFonts w:ascii="Times New Roman" w:hAnsi="Times New Roman" w:cs="Times New Roman"/>
          <w:sz w:val="24"/>
          <w:szCs w:val="24"/>
        </w:rPr>
        <w:t xml:space="preserve"> of the database</w:t>
      </w:r>
      <w:r w:rsidR="004A52A9" w:rsidRPr="004E1AAC">
        <w:rPr>
          <w:rFonts w:ascii="Times New Roman" w:hAnsi="Times New Roman" w:cs="Times New Roman"/>
          <w:sz w:val="24"/>
          <w:szCs w:val="24"/>
        </w:rPr>
        <w:t xml:space="preserve"> to identify a substantial sample of patients with occupational injuries, drawn from the injury experience of some 6% of the British population over two decades.</w:t>
      </w:r>
      <w:r w:rsidR="004A52A9">
        <w:rPr>
          <w:rFonts w:ascii="Times New Roman" w:hAnsi="Times New Roman" w:cs="Times New Roman"/>
          <w:sz w:val="24"/>
          <w:szCs w:val="24"/>
        </w:rPr>
        <w:t xml:space="preserve"> </w:t>
      </w:r>
      <w:r w:rsidR="008D47F1" w:rsidRPr="00B0651B">
        <w:rPr>
          <w:rFonts w:ascii="Times New Roman" w:hAnsi="Times New Roman" w:cs="Times New Roman"/>
          <w:sz w:val="24"/>
          <w:szCs w:val="24"/>
        </w:rPr>
        <w:t xml:space="preserve">On the other hand, </w:t>
      </w:r>
      <w:r w:rsidR="004E1AAC" w:rsidRPr="00B0651B">
        <w:rPr>
          <w:rFonts w:ascii="Times New Roman" w:hAnsi="Times New Roman" w:cs="Times New Roman"/>
          <w:sz w:val="24"/>
          <w:szCs w:val="24"/>
        </w:rPr>
        <w:t>injuries are only recorded</w:t>
      </w:r>
      <w:r w:rsidR="008D47F1" w:rsidRPr="00B0651B">
        <w:rPr>
          <w:rFonts w:ascii="Times New Roman" w:hAnsi="Times New Roman" w:cs="Times New Roman"/>
          <w:sz w:val="24"/>
          <w:szCs w:val="24"/>
        </w:rPr>
        <w:t xml:space="preserve"> if</w:t>
      </w:r>
      <w:r w:rsidR="004A52A9" w:rsidRPr="00B0651B">
        <w:rPr>
          <w:rFonts w:ascii="Times New Roman" w:hAnsi="Times New Roman" w:cs="Times New Roman"/>
          <w:sz w:val="24"/>
          <w:szCs w:val="24"/>
        </w:rPr>
        <w:t xml:space="preserve"> they present to medical services, and could only be included in analysis if</w:t>
      </w:r>
      <w:r w:rsidR="008D47F1" w:rsidRPr="00B0651B">
        <w:rPr>
          <w:rFonts w:ascii="Times New Roman" w:hAnsi="Times New Roman" w:cs="Times New Roman"/>
          <w:sz w:val="24"/>
          <w:szCs w:val="24"/>
        </w:rPr>
        <w:t xml:space="preserve"> </w:t>
      </w:r>
      <w:r w:rsidR="00E02891" w:rsidRPr="00B0651B">
        <w:rPr>
          <w:rFonts w:ascii="Times New Roman" w:hAnsi="Times New Roman" w:cs="Times New Roman"/>
          <w:sz w:val="24"/>
          <w:szCs w:val="24"/>
        </w:rPr>
        <w:t xml:space="preserve">coded </w:t>
      </w:r>
      <w:r w:rsidR="004A52A9" w:rsidRPr="00B0651B">
        <w:rPr>
          <w:rFonts w:ascii="Times New Roman" w:hAnsi="Times New Roman" w:cs="Times New Roman"/>
          <w:sz w:val="24"/>
          <w:szCs w:val="24"/>
        </w:rPr>
        <w:t>as occupational. U</w:t>
      </w:r>
      <w:r w:rsidR="00E02891" w:rsidRPr="00B0651B">
        <w:rPr>
          <w:rFonts w:ascii="Times New Roman" w:hAnsi="Times New Roman" w:cs="Times New Roman"/>
          <w:sz w:val="24"/>
          <w:szCs w:val="24"/>
        </w:rPr>
        <w:t>nd</w:t>
      </w:r>
      <w:r w:rsidR="00D41C13" w:rsidRPr="00B0651B">
        <w:rPr>
          <w:rFonts w:ascii="Times New Roman" w:hAnsi="Times New Roman" w:cs="Times New Roman"/>
          <w:sz w:val="24"/>
          <w:szCs w:val="24"/>
        </w:rPr>
        <w:t>er-ascertainment</w:t>
      </w:r>
      <w:r w:rsidR="00E02891" w:rsidRPr="00B0651B">
        <w:rPr>
          <w:rFonts w:ascii="Times New Roman" w:hAnsi="Times New Roman" w:cs="Times New Roman"/>
          <w:sz w:val="24"/>
          <w:szCs w:val="24"/>
        </w:rPr>
        <w:t xml:space="preserve"> of cases</w:t>
      </w:r>
      <w:r w:rsidR="00D41C13" w:rsidRPr="00B0651B">
        <w:rPr>
          <w:rFonts w:ascii="Times New Roman" w:hAnsi="Times New Roman" w:cs="Times New Roman"/>
          <w:sz w:val="24"/>
          <w:szCs w:val="24"/>
        </w:rPr>
        <w:t xml:space="preserve"> </w:t>
      </w:r>
      <w:r w:rsidR="004A52A9" w:rsidRPr="00B0651B">
        <w:rPr>
          <w:rFonts w:ascii="Times New Roman" w:hAnsi="Times New Roman" w:cs="Times New Roman"/>
          <w:sz w:val="24"/>
          <w:szCs w:val="24"/>
        </w:rPr>
        <w:t xml:space="preserve">was </w:t>
      </w:r>
      <w:r w:rsidR="00836326">
        <w:rPr>
          <w:rFonts w:ascii="Times New Roman" w:hAnsi="Times New Roman" w:cs="Times New Roman"/>
          <w:sz w:val="24"/>
          <w:szCs w:val="24"/>
        </w:rPr>
        <w:t>substantial</w:t>
      </w:r>
      <w:r w:rsidR="00D41C13" w:rsidRPr="00B0651B">
        <w:rPr>
          <w:rFonts w:ascii="Times New Roman" w:hAnsi="Times New Roman" w:cs="Times New Roman"/>
          <w:sz w:val="24"/>
          <w:szCs w:val="24"/>
        </w:rPr>
        <w:t xml:space="preserve"> </w:t>
      </w:r>
      <w:r w:rsidR="00B0651B">
        <w:rPr>
          <w:rFonts w:ascii="Times New Roman" w:hAnsi="Times New Roman" w:cs="Times New Roman"/>
          <w:sz w:val="24"/>
          <w:szCs w:val="24"/>
        </w:rPr>
        <w:t>relative to</w:t>
      </w:r>
      <w:r w:rsidR="001768D8">
        <w:rPr>
          <w:rFonts w:ascii="Times New Roman" w:hAnsi="Times New Roman" w:cs="Times New Roman"/>
          <w:sz w:val="24"/>
          <w:szCs w:val="24"/>
        </w:rPr>
        <w:t xml:space="preserve"> </w:t>
      </w:r>
      <w:r w:rsidR="00E02891" w:rsidRPr="00B0651B">
        <w:rPr>
          <w:rFonts w:ascii="Times New Roman" w:hAnsi="Times New Roman" w:cs="Times New Roman"/>
          <w:sz w:val="24"/>
          <w:szCs w:val="24"/>
        </w:rPr>
        <w:t>statutory notification</w:t>
      </w:r>
      <w:r w:rsidR="00D41C13" w:rsidRPr="00B0651B">
        <w:rPr>
          <w:rFonts w:ascii="Times New Roman" w:hAnsi="Times New Roman" w:cs="Times New Roman"/>
          <w:sz w:val="24"/>
          <w:szCs w:val="24"/>
        </w:rPr>
        <w:t xml:space="preserve"> </w:t>
      </w:r>
      <w:r w:rsidR="00836326">
        <w:rPr>
          <w:rFonts w:ascii="Times New Roman" w:hAnsi="Times New Roman" w:cs="Times New Roman"/>
          <w:sz w:val="24"/>
          <w:szCs w:val="24"/>
        </w:rPr>
        <w:t>Reporting of Injuries, Diseases and Dangerous Occurrences (RIDDOR)</w:t>
      </w:r>
      <w:r w:rsidR="00D41C13" w:rsidRPr="00B0651B">
        <w:rPr>
          <w:rFonts w:ascii="Times New Roman" w:hAnsi="Times New Roman" w:cs="Times New Roman"/>
          <w:sz w:val="24"/>
          <w:szCs w:val="24"/>
        </w:rPr>
        <w:t xml:space="preserve">) </w:t>
      </w:r>
      <w:r w:rsidR="00E02891" w:rsidRPr="00B0651B">
        <w:rPr>
          <w:rFonts w:ascii="Times New Roman" w:hAnsi="Times New Roman" w:cs="Times New Roman"/>
          <w:sz w:val="24"/>
          <w:szCs w:val="24"/>
        </w:rPr>
        <w:t>statistics over the study period</w:t>
      </w:r>
      <w:r w:rsidR="00836326">
        <w:rPr>
          <w:rFonts w:ascii="Times New Roman" w:hAnsi="Times New Roman" w:cs="Times New Roman"/>
          <w:sz w:val="24"/>
          <w:szCs w:val="24"/>
        </w:rPr>
        <w:t>. (</w:t>
      </w:r>
      <w:r w:rsidR="001768D8">
        <w:rPr>
          <w:rFonts w:ascii="Times New Roman" w:hAnsi="Times New Roman" w:cs="Times New Roman"/>
          <w:sz w:val="24"/>
          <w:szCs w:val="24"/>
        </w:rPr>
        <w:t>RIDDOR</w:t>
      </w:r>
      <w:r w:rsidR="00836326">
        <w:rPr>
          <w:rFonts w:ascii="Times New Roman" w:hAnsi="Times New Roman" w:cs="Times New Roman"/>
          <w:sz w:val="24"/>
          <w:szCs w:val="24"/>
        </w:rPr>
        <w:t xml:space="preserve"> record</w:t>
      </w:r>
      <w:r w:rsidR="001768D8">
        <w:rPr>
          <w:rFonts w:ascii="Times New Roman" w:hAnsi="Times New Roman" w:cs="Times New Roman"/>
          <w:sz w:val="24"/>
          <w:szCs w:val="24"/>
        </w:rPr>
        <w:t>s some</w:t>
      </w:r>
      <w:r w:rsidR="00836326">
        <w:rPr>
          <w:rFonts w:ascii="Times New Roman" w:hAnsi="Times New Roman" w:cs="Times New Roman"/>
          <w:sz w:val="24"/>
          <w:szCs w:val="24"/>
        </w:rPr>
        <w:t xml:space="preserve"> injuries that may not present to medical care</w:t>
      </w:r>
      <w:r w:rsidR="001768D8">
        <w:rPr>
          <w:rFonts w:ascii="Times New Roman" w:hAnsi="Times New Roman" w:cs="Times New Roman"/>
          <w:sz w:val="24"/>
          <w:szCs w:val="24"/>
        </w:rPr>
        <w:t xml:space="preserve"> (e.g. those involving</w:t>
      </w:r>
      <w:r w:rsidR="00836326">
        <w:rPr>
          <w:rFonts w:ascii="Times New Roman" w:hAnsi="Times New Roman" w:cs="Times New Roman"/>
          <w:sz w:val="24"/>
          <w:szCs w:val="24"/>
        </w:rPr>
        <w:t xml:space="preserve"> only</w:t>
      </w:r>
      <w:r w:rsidR="001768D8">
        <w:rPr>
          <w:rFonts w:ascii="Times New Roman" w:hAnsi="Times New Roman" w:cs="Times New Roman"/>
          <w:sz w:val="24"/>
          <w:szCs w:val="24"/>
        </w:rPr>
        <w:t xml:space="preserve"> a short spell</w:t>
      </w:r>
      <w:r w:rsidR="00836326">
        <w:rPr>
          <w:rFonts w:ascii="Times New Roman" w:hAnsi="Times New Roman" w:cs="Times New Roman"/>
          <w:sz w:val="24"/>
          <w:szCs w:val="24"/>
        </w:rPr>
        <w:t xml:space="preserve"> of absence</w:t>
      </w:r>
      <w:r w:rsidR="001768D8">
        <w:rPr>
          <w:rFonts w:ascii="Times New Roman" w:hAnsi="Times New Roman" w:cs="Times New Roman"/>
          <w:sz w:val="24"/>
          <w:szCs w:val="24"/>
        </w:rPr>
        <w:t>)</w:t>
      </w:r>
      <w:r w:rsidR="00836326">
        <w:rPr>
          <w:rFonts w:ascii="Times New Roman" w:hAnsi="Times New Roman" w:cs="Times New Roman"/>
          <w:sz w:val="24"/>
          <w:szCs w:val="24"/>
        </w:rPr>
        <w:t xml:space="preserve">, but many that </w:t>
      </w:r>
      <w:r w:rsidR="001768D8">
        <w:rPr>
          <w:rFonts w:ascii="Times New Roman" w:hAnsi="Times New Roman" w:cs="Times New Roman"/>
          <w:sz w:val="24"/>
          <w:szCs w:val="24"/>
        </w:rPr>
        <w:t>d</w:t>
      </w:r>
      <w:r w:rsidR="00836326">
        <w:rPr>
          <w:rFonts w:ascii="Times New Roman" w:hAnsi="Times New Roman" w:cs="Times New Roman"/>
          <w:sz w:val="24"/>
          <w:szCs w:val="24"/>
        </w:rPr>
        <w:t>o</w:t>
      </w:r>
      <w:r w:rsidR="001768D8">
        <w:rPr>
          <w:rFonts w:ascii="Times New Roman" w:hAnsi="Times New Roman" w:cs="Times New Roman"/>
          <w:sz w:val="24"/>
          <w:szCs w:val="24"/>
        </w:rPr>
        <w:t xml:space="preserve"> (e.g. involving</w:t>
      </w:r>
      <w:r w:rsidR="00836326">
        <w:rPr>
          <w:rFonts w:ascii="Times New Roman" w:hAnsi="Times New Roman" w:cs="Times New Roman"/>
          <w:sz w:val="24"/>
          <w:szCs w:val="24"/>
        </w:rPr>
        <w:t xml:space="preserve"> </w:t>
      </w:r>
      <w:r w:rsidR="001768D8">
        <w:rPr>
          <w:rFonts w:ascii="Times New Roman" w:hAnsi="Times New Roman" w:cs="Times New Roman"/>
          <w:sz w:val="24"/>
          <w:szCs w:val="24"/>
        </w:rPr>
        <w:t>sickness certification</w:t>
      </w:r>
      <w:r w:rsidR="00836326">
        <w:rPr>
          <w:rFonts w:ascii="Times New Roman" w:hAnsi="Times New Roman" w:cs="Times New Roman"/>
          <w:sz w:val="24"/>
          <w:szCs w:val="24"/>
        </w:rPr>
        <w:t xml:space="preserve"> or hospital attendance).</w:t>
      </w:r>
      <w:r w:rsidR="00E02891" w:rsidRPr="00B0651B">
        <w:rPr>
          <w:rFonts w:ascii="Times New Roman" w:hAnsi="Times New Roman" w:cs="Times New Roman"/>
          <w:sz w:val="24"/>
          <w:szCs w:val="24"/>
        </w:rPr>
        <w:t xml:space="preserve"> </w:t>
      </w:r>
      <w:r w:rsidR="001768D8">
        <w:rPr>
          <w:rFonts w:ascii="Times New Roman" w:hAnsi="Times New Roman" w:cs="Times New Roman"/>
          <w:sz w:val="24"/>
          <w:szCs w:val="24"/>
        </w:rPr>
        <w:t>P</w:t>
      </w:r>
      <w:r w:rsidR="00E02891" w:rsidRPr="00B0651B">
        <w:rPr>
          <w:rFonts w:ascii="Times New Roman" w:hAnsi="Times New Roman" w:cs="Times New Roman"/>
          <w:sz w:val="24"/>
          <w:szCs w:val="24"/>
        </w:rPr>
        <w:t>robably</w:t>
      </w:r>
      <w:r w:rsidR="001768D8">
        <w:rPr>
          <w:rFonts w:ascii="Times New Roman" w:hAnsi="Times New Roman" w:cs="Times New Roman"/>
          <w:sz w:val="24"/>
          <w:szCs w:val="24"/>
        </w:rPr>
        <w:t xml:space="preserve"> this arose</w:t>
      </w:r>
      <w:r w:rsidR="00E02891" w:rsidRPr="00B0651B">
        <w:rPr>
          <w:rFonts w:ascii="Times New Roman" w:hAnsi="Times New Roman" w:cs="Times New Roman"/>
          <w:sz w:val="24"/>
          <w:szCs w:val="24"/>
        </w:rPr>
        <w:t xml:space="preserve"> because </w:t>
      </w:r>
      <w:r w:rsidR="00836326">
        <w:rPr>
          <w:rFonts w:ascii="Times New Roman" w:hAnsi="Times New Roman" w:cs="Times New Roman"/>
          <w:sz w:val="24"/>
          <w:szCs w:val="24"/>
        </w:rPr>
        <w:t>a large number of</w:t>
      </w:r>
      <w:r w:rsidR="00836326" w:rsidRPr="00B0651B">
        <w:rPr>
          <w:rFonts w:ascii="Times New Roman" w:hAnsi="Times New Roman" w:cs="Times New Roman"/>
          <w:sz w:val="24"/>
          <w:szCs w:val="24"/>
        </w:rPr>
        <w:t xml:space="preserve"> </w:t>
      </w:r>
      <w:r w:rsidR="001768D8">
        <w:rPr>
          <w:rFonts w:ascii="Times New Roman" w:hAnsi="Times New Roman" w:cs="Times New Roman"/>
          <w:sz w:val="24"/>
          <w:szCs w:val="24"/>
        </w:rPr>
        <w:t xml:space="preserve">medically </w:t>
      </w:r>
      <w:r w:rsidR="004A52A9" w:rsidRPr="00B0651B">
        <w:rPr>
          <w:rFonts w:ascii="Times New Roman" w:hAnsi="Times New Roman" w:cs="Times New Roman"/>
          <w:sz w:val="24"/>
          <w:szCs w:val="24"/>
        </w:rPr>
        <w:t xml:space="preserve">presenting </w:t>
      </w:r>
      <w:r w:rsidR="00E02891" w:rsidRPr="00B0651B">
        <w:rPr>
          <w:rFonts w:ascii="Times New Roman" w:hAnsi="Times New Roman" w:cs="Times New Roman"/>
          <w:sz w:val="24"/>
          <w:szCs w:val="24"/>
        </w:rPr>
        <w:t>injuries</w:t>
      </w:r>
      <w:r w:rsidR="00B0651B" w:rsidRPr="00B0651B">
        <w:rPr>
          <w:rFonts w:ascii="Times New Roman" w:hAnsi="Times New Roman" w:cs="Times New Roman"/>
          <w:sz w:val="24"/>
          <w:szCs w:val="24"/>
        </w:rPr>
        <w:t xml:space="preserve"> that were</w:t>
      </w:r>
      <w:r w:rsidR="00E02891" w:rsidRPr="00B0651B">
        <w:rPr>
          <w:rFonts w:ascii="Times New Roman" w:hAnsi="Times New Roman" w:cs="Times New Roman"/>
          <w:sz w:val="24"/>
          <w:szCs w:val="24"/>
        </w:rPr>
        <w:t xml:space="preserve"> </w:t>
      </w:r>
      <w:r w:rsidR="00B0651B" w:rsidRPr="00B0651B">
        <w:rPr>
          <w:rFonts w:ascii="Times New Roman" w:hAnsi="Times New Roman" w:cs="Times New Roman"/>
          <w:sz w:val="24"/>
          <w:szCs w:val="24"/>
        </w:rPr>
        <w:t xml:space="preserve">work-related </w:t>
      </w:r>
      <w:r w:rsidR="004A52A9" w:rsidRPr="00B0651B">
        <w:rPr>
          <w:rFonts w:ascii="Times New Roman" w:hAnsi="Times New Roman" w:cs="Times New Roman"/>
          <w:sz w:val="24"/>
          <w:szCs w:val="24"/>
        </w:rPr>
        <w:t>were</w:t>
      </w:r>
      <w:r w:rsidR="00E02891" w:rsidRPr="00B0651B">
        <w:rPr>
          <w:rFonts w:ascii="Times New Roman" w:hAnsi="Times New Roman" w:cs="Times New Roman"/>
          <w:sz w:val="24"/>
          <w:szCs w:val="24"/>
        </w:rPr>
        <w:t xml:space="preserve"> </w:t>
      </w:r>
      <w:r w:rsidR="004A52A9" w:rsidRPr="00B0651B">
        <w:rPr>
          <w:rFonts w:ascii="Times New Roman" w:hAnsi="Times New Roman" w:cs="Times New Roman"/>
          <w:sz w:val="24"/>
          <w:szCs w:val="24"/>
        </w:rPr>
        <w:t xml:space="preserve">not </w:t>
      </w:r>
      <w:r w:rsidR="00B0651B" w:rsidRPr="00B0651B">
        <w:rPr>
          <w:rFonts w:ascii="Times New Roman" w:hAnsi="Times New Roman" w:cs="Times New Roman"/>
          <w:sz w:val="24"/>
          <w:szCs w:val="24"/>
        </w:rPr>
        <w:t>coded</w:t>
      </w:r>
      <w:r w:rsidR="004A52A9" w:rsidRPr="00B0651B">
        <w:rPr>
          <w:rFonts w:ascii="Times New Roman" w:hAnsi="Times New Roman" w:cs="Times New Roman"/>
          <w:sz w:val="24"/>
          <w:szCs w:val="24"/>
        </w:rPr>
        <w:t xml:space="preserve"> as</w:t>
      </w:r>
      <w:r w:rsidR="00B0651B" w:rsidRPr="00B0651B">
        <w:rPr>
          <w:rFonts w:ascii="Times New Roman" w:hAnsi="Times New Roman" w:cs="Times New Roman"/>
          <w:sz w:val="24"/>
          <w:szCs w:val="24"/>
        </w:rPr>
        <w:t xml:space="preserve"> such</w:t>
      </w:r>
      <w:r w:rsidR="00836326">
        <w:rPr>
          <w:rFonts w:ascii="Times New Roman" w:hAnsi="Times New Roman" w:cs="Times New Roman"/>
          <w:sz w:val="24"/>
          <w:szCs w:val="24"/>
        </w:rPr>
        <w:t xml:space="preserve"> </w:t>
      </w:r>
      <w:r w:rsidR="001768D8">
        <w:rPr>
          <w:rFonts w:ascii="Times New Roman" w:hAnsi="Times New Roman" w:cs="Times New Roman"/>
          <w:sz w:val="24"/>
          <w:szCs w:val="24"/>
        </w:rPr>
        <w:t>(</w:t>
      </w:r>
      <w:r w:rsidR="00836326">
        <w:rPr>
          <w:rFonts w:ascii="Times New Roman" w:hAnsi="Times New Roman" w:cs="Times New Roman"/>
          <w:sz w:val="24"/>
          <w:szCs w:val="24"/>
        </w:rPr>
        <w:t xml:space="preserve">coded </w:t>
      </w:r>
      <w:r w:rsidR="001768D8">
        <w:rPr>
          <w:rFonts w:ascii="Times New Roman" w:hAnsi="Times New Roman" w:cs="Times New Roman"/>
          <w:sz w:val="24"/>
          <w:szCs w:val="24"/>
        </w:rPr>
        <w:t>by the nature of the injury but not also its cause)</w:t>
      </w:r>
      <w:r w:rsidR="004A52A9" w:rsidRPr="00B0651B">
        <w:rPr>
          <w:rFonts w:ascii="Times New Roman" w:hAnsi="Times New Roman" w:cs="Times New Roman"/>
          <w:sz w:val="24"/>
          <w:szCs w:val="24"/>
        </w:rPr>
        <w:t>.</w:t>
      </w:r>
      <w:r w:rsidR="00B0651B" w:rsidRPr="00B0651B">
        <w:rPr>
          <w:rFonts w:ascii="Times New Roman" w:hAnsi="Times New Roman" w:cs="Times New Roman"/>
          <w:sz w:val="24"/>
          <w:szCs w:val="24"/>
        </w:rPr>
        <w:t xml:space="preserve">  However, omissions </w:t>
      </w:r>
      <w:r w:rsidR="004A52A9" w:rsidRPr="00B0651B">
        <w:rPr>
          <w:rFonts w:ascii="Times New Roman" w:hAnsi="Times New Roman" w:cs="Times New Roman"/>
          <w:sz w:val="24"/>
          <w:szCs w:val="24"/>
        </w:rPr>
        <w:t>would probably</w:t>
      </w:r>
      <w:r w:rsidR="00D41C13" w:rsidRPr="00B0651B">
        <w:rPr>
          <w:rFonts w:ascii="Times New Roman" w:hAnsi="Times New Roman" w:cs="Times New Roman"/>
          <w:sz w:val="24"/>
          <w:szCs w:val="24"/>
        </w:rPr>
        <w:t xml:space="preserve"> </w:t>
      </w:r>
      <w:r w:rsidR="00B0651B" w:rsidRPr="00B0651B">
        <w:rPr>
          <w:rFonts w:ascii="Times New Roman" w:hAnsi="Times New Roman" w:cs="Times New Roman"/>
          <w:sz w:val="24"/>
          <w:szCs w:val="24"/>
        </w:rPr>
        <w:t xml:space="preserve">have </w:t>
      </w:r>
      <w:r w:rsidR="004A52A9" w:rsidRPr="00B0651B">
        <w:rPr>
          <w:rFonts w:ascii="Times New Roman" w:hAnsi="Times New Roman" w:cs="Times New Roman"/>
          <w:sz w:val="24"/>
          <w:szCs w:val="24"/>
        </w:rPr>
        <w:t>be</w:t>
      </w:r>
      <w:r w:rsidR="00B0651B" w:rsidRPr="00B0651B">
        <w:rPr>
          <w:rFonts w:ascii="Times New Roman" w:hAnsi="Times New Roman" w:cs="Times New Roman"/>
          <w:sz w:val="24"/>
          <w:szCs w:val="24"/>
        </w:rPr>
        <w:t>en</w:t>
      </w:r>
      <w:r w:rsidRPr="00B0651B">
        <w:rPr>
          <w:rFonts w:ascii="Times New Roman" w:hAnsi="Times New Roman" w:cs="Times New Roman"/>
          <w:sz w:val="24"/>
          <w:szCs w:val="24"/>
        </w:rPr>
        <w:t xml:space="preserve"> non-differentia</w:t>
      </w:r>
      <w:r w:rsidR="00E02891" w:rsidRPr="00B0651B">
        <w:rPr>
          <w:rFonts w:ascii="Times New Roman" w:hAnsi="Times New Roman" w:cs="Times New Roman"/>
          <w:sz w:val="24"/>
          <w:szCs w:val="24"/>
        </w:rPr>
        <w:t xml:space="preserve">l </w:t>
      </w:r>
      <w:r w:rsidR="004A52A9" w:rsidRPr="00B0651B">
        <w:rPr>
          <w:rFonts w:ascii="Times New Roman" w:hAnsi="Times New Roman" w:cs="Times New Roman"/>
          <w:sz w:val="24"/>
          <w:szCs w:val="24"/>
        </w:rPr>
        <w:t>in relation</w:t>
      </w:r>
      <w:r w:rsidR="00E02891" w:rsidRPr="00B0651B">
        <w:rPr>
          <w:rFonts w:ascii="Times New Roman" w:hAnsi="Times New Roman" w:cs="Times New Roman"/>
          <w:sz w:val="24"/>
          <w:szCs w:val="24"/>
        </w:rPr>
        <w:t xml:space="preserve"> to the </w:t>
      </w:r>
      <w:r w:rsidR="00D41C13" w:rsidRPr="00B0651B">
        <w:rPr>
          <w:rFonts w:ascii="Times New Roman" w:hAnsi="Times New Roman" w:cs="Times New Roman"/>
          <w:sz w:val="24"/>
          <w:szCs w:val="24"/>
        </w:rPr>
        <w:t>associations</w:t>
      </w:r>
      <w:r w:rsidR="004A52A9" w:rsidRPr="00B0651B">
        <w:rPr>
          <w:rFonts w:ascii="Times New Roman" w:hAnsi="Times New Roman" w:cs="Times New Roman"/>
          <w:sz w:val="24"/>
          <w:szCs w:val="24"/>
        </w:rPr>
        <w:t xml:space="preserve"> we</w:t>
      </w:r>
      <w:r w:rsidR="00E02891" w:rsidRPr="00B0651B">
        <w:rPr>
          <w:rFonts w:ascii="Times New Roman" w:hAnsi="Times New Roman" w:cs="Times New Roman"/>
          <w:sz w:val="24"/>
          <w:szCs w:val="24"/>
        </w:rPr>
        <w:t xml:space="preserve"> </w:t>
      </w:r>
      <w:r w:rsidR="004A52A9" w:rsidRPr="00B0651B">
        <w:rPr>
          <w:rFonts w:ascii="Times New Roman" w:hAnsi="Times New Roman" w:cs="Times New Roman"/>
          <w:sz w:val="24"/>
          <w:szCs w:val="24"/>
        </w:rPr>
        <w:t>investigated</w:t>
      </w:r>
      <w:r w:rsidR="001768D8">
        <w:rPr>
          <w:rFonts w:ascii="Times New Roman" w:hAnsi="Times New Roman" w:cs="Times New Roman"/>
          <w:sz w:val="24"/>
          <w:szCs w:val="24"/>
        </w:rPr>
        <w:t xml:space="preserve"> (simple acts of omission)</w:t>
      </w:r>
      <w:r w:rsidR="008D47F1" w:rsidRPr="00B0651B">
        <w:rPr>
          <w:rFonts w:ascii="Times New Roman" w:hAnsi="Times New Roman" w:cs="Times New Roman"/>
          <w:sz w:val="24"/>
          <w:szCs w:val="24"/>
        </w:rPr>
        <w:t>.</w:t>
      </w:r>
      <w:r w:rsidR="008D47F1" w:rsidRPr="004E1AAC">
        <w:rPr>
          <w:rFonts w:ascii="Times New Roman" w:hAnsi="Times New Roman" w:cs="Times New Roman"/>
          <w:sz w:val="24"/>
          <w:szCs w:val="24"/>
        </w:rPr>
        <w:t xml:space="preserve"> </w:t>
      </w:r>
      <w:r w:rsidR="00E02891">
        <w:rPr>
          <w:rFonts w:ascii="Times New Roman" w:hAnsi="Times New Roman" w:cs="Times New Roman"/>
          <w:sz w:val="24"/>
          <w:szCs w:val="24"/>
        </w:rPr>
        <w:t>Additionally</w:t>
      </w:r>
      <w:r w:rsidR="00B0651B">
        <w:rPr>
          <w:rFonts w:ascii="Times New Roman" w:hAnsi="Times New Roman" w:cs="Times New Roman"/>
          <w:sz w:val="24"/>
          <w:szCs w:val="24"/>
        </w:rPr>
        <w:t xml:space="preserve">, </w:t>
      </w:r>
      <w:r w:rsidR="008D47F1" w:rsidRPr="004E1AAC">
        <w:rPr>
          <w:rFonts w:ascii="Times New Roman" w:hAnsi="Times New Roman" w:cs="Times New Roman"/>
          <w:sz w:val="24"/>
          <w:szCs w:val="24"/>
        </w:rPr>
        <w:t xml:space="preserve">patients’ occupations were </w:t>
      </w:r>
      <w:r w:rsidR="001768D8">
        <w:rPr>
          <w:rFonts w:ascii="Times New Roman" w:hAnsi="Times New Roman" w:cs="Times New Roman"/>
          <w:sz w:val="24"/>
          <w:szCs w:val="24"/>
        </w:rPr>
        <w:t>typically</w:t>
      </w:r>
      <w:r w:rsidR="001768D8" w:rsidRPr="004E1AAC">
        <w:rPr>
          <w:rFonts w:ascii="Times New Roman" w:hAnsi="Times New Roman" w:cs="Times New Roman"/>
          <w:sz w:val="24"/>
          <w:szCs w:val="24"/>
        </w:rPr>
        <w:t xml:space="preserve"> </w:t>
      </w:r>
      <w:r w:rsidR="004E1AAC" w:rsidRPr="004E1AAC">
        <w:rPr>
          <w:rFonts w:ascii="Times New Roman" w:hAnsi="Times New Roman" w:cs="Times New Roman"/>
          <w:sz w:val="24"/>
          <w:szCs w:val="24"/>
        </w:rPr>
        <w:t>missing</w:t>
      </w:r>
      <w:r w:rsidR="004A52A9">
        <w:rPr>
          <w:rFonts w:ascii="Times New Roman" w:hAnsi="Times New Roman" w:cs="Times New Roman"/>
          <w:sz w:val="24"/>
          <w:szCs w:val="24"/>
        </w:rPr>
        <w:t xml:space="preserve"> from the database</w:t>
      </w:r>
      <w:r w:rsidR="001768D8">
        <w:rPr>
          <w:rFonts w:ascii="Times New Roman" w:hAnsi="Times New Roman" w:cs="Times New Roman"/>
          <w:sz w:val="24"/>
          <w:szCs w:val="24"/>
        </w:rPr>
        <w:t xml:space="preserve"> and could not be used in this analysis</w:t>
      </w:r>
      <w:r w:rsidR="008D47F1" w:rsidRPr="004E1AAC">
        <w:rPr>
          <w:rFonts w:ascii="Times New Roman" w:hAnsi="Times New Roman" w:cs="Times New Roman"/>
          <w:sz w:val="24"/>
          <w:szCs w:val="24"/>
        </w:rPr>
        <w:t xml:space="preserve">. Thus, while cases will have </w:t>
      </w:r>
      <w:r w:rsidR="00BC3A84" w:rsidRPr="004E1AAC">
        <w:rPr>
          <w:rFonts w:ascii="Times New Roman" w:hAnsi="Times New Roman" w:cs="Times New Roman"/>
          <w:sz w:val="24"/>
          <w:szCs w:val="24"/>
        </w:rPr>
        <w:t>been employed</w:t>
      </w:r>
      <w:r w:rsidR="008D47F1" w:rsidRPr="004E1AAC">
        <w:rPr>
          <w:rFonts w:ascii="Times New Roman" w:hAnsi="Times New Roman" w:cs="Times New Roman"/>
          <w:sz w:val="24"/>
          <w:szCs w:val="24"/>
        </w:rPr>
        <w:t>, this</w:t>
      </w:r>
      <w:r w:rsidR="004E1AAC" w:rsidRPr="004E1AAC">
        <w:rPr>
          <w:rFonts w:ascii="Times New Roman" w:hAnsi="Times New Roman" w:cs="Times New Roman"/>
          <w:sz w:val="24"/>
          <w:szCs w:val="24"/>
        </w:rPr>
        <w:t xml:space="preserve"> was</w:t>
      </w:r>
      <w:r w:rsidR="008D47F1" w:rsidRPr="004E1AAC">
        <w:rPr>
          <w:rFonts w:ascii="Times New Roman" w:hAnsi="Times New Roman" w:cs="Times New Roman"/>
          <w:sz w:val="24"/>
          <w:szCs w:val="24"/>
        </w:rPr>
        <w:t xml:space="preserve"> not </w:t>
      </w:r>
      <w:r w:rsidR="004E1AAC" w:rsidRPr="004E1AAC">
        <w:rPr>
          <w:rFonts w:ascii="Times New Roman" w:hAnsi="Times New Roman" w:cs="Times New Roman"/>
          <w:sz w:val="24"/>
          <w:szCs w:val="24"/>
        </w:rPr>
        <w:t>certain for all controls. If controls thereby over-represented illness or treatment preventing work, underestimation of risks could arise (this would not explain the positive associations in this report). Conversely, overestimation of risks could</w:t>
      </w:r>
      <w:r w:rsidR="008D47F1" w:rsidRPr="004E1AAC">
        <w:rPr>
          <w:rFonts w:ascii="Times New Roman" w:hAnsi="Times New Roman" w:cs="Times New Roman"/>
          <w:sz w:val="24"/>
          <w:szCs w:val="24"/>
        </w:rPr>
        <w:t xml:space="preserve"> arise</w:t>
      </w:r>
      <w:r w:rsidR="004A52A9">
        <w:rPr>
          <w:rFonts w:ascii="Times New Roman" w:hAnsi="Times New Roman" w:cs="Times New Roman"/>
          <w:sz w:val="24"/>
          <w:szCs w:val="24"/>
        </w:rPr>
        <w:t>,</w:t>
      </w:r>
      <w:r w:rsidR="008D47F1" w:rsidRPr="004E1AAC">
        <w:rPr>
          <w:rFonts w:ascii="Times New Roman" w:hAnsi="Times New Roman" w:cs="Times New Roman"/>
          <w:sz w:val="24"/>
          <w:szCs w:val="24"/>
        </w:rPr>
        <w:t xml:space="preserve"> </w:t>
      </w:r>
      <w:r w:rsidR="004E1AAC" w:rsidRPr="004E1AAC">
        <w:rPr>
          <w:rFonts w:ascii="Times New Roman" w:hAnsi="Times New Roman" w:cs="Times New Roman"/>
          <w:sz w:val="24"/>
          <w:szCs w:val="24"/>
        </w:rPr>
        <w:t>in principle</w:t>
      </w:r>
      <w:r w:rsidR="004A52A9">
        <w:rPr>
          <w:rFonts w:ascii="Times New Roman" w:hAnsi="Times New Roman" w:cs="Times New Roman"/>
          <w:sz w:val="24"/>
          <w:szCs w:val="24"/>
        </w:rPr>
        <w:t>,</w:t>
      </w:r>
      <w:r w:rsidR="008D47F1" w:rsidRPr="004E1AAC">
        <w:rPr>
          <w:rFonts w:ascii="Times New Roman" w:hAnsi="Times New Roman" w:cs="Times New Roman"/>
          <w:sz w:val="24"/>
          <w:szCs w:val="24"/>
        </w:rPr>
        <w:t xml:space="preserve"> if such illness and treatment was more common in manual jobs</w:t>
      </w:r>
      <w:r w:rsidR="00084106">
        <w:rPr>
          <w:rFonts w:ascii="Times New Roman" w:hAnsi="Times New Roman" w:cs="Times New Roman"/>
          <w:sz w:val="24"/>
          <w:szCs w:val="24"/>
        </w:rPr>
        <w:t>.</w:t>
      </w:r>
      <w:r w:rsidR="004E1AAC" w:rsidRPr="004E1AAC">
        <w:rPr>
          <w:rFonts w:ascii="Times New Roman" w:hAnsi="Times New Roman" w:cs="Times New Roman"/>
          <w:sz w:val="24"/>
          <w:szCs w:val="24"/>
        </w:rPr>
        <w:t xml:space="preserve"> </w:t>
      </w:r>
      <w:r w:rsidR="00084106">
        <w:rPr>
          <w:rFonts w:ascii="Times New Roman" w:hAnsi="Times New Roman" w:cs="Times New Roman"/>
          <w:sz w:val="24"/>
          <w:szCs w:val="24"/>
        </w:rPr>
        <w:t>I</w:t>
      </w:r>
      <w:r w:rsidR="004E1AAC" w:rsidRPr="004E1AAC">
        <w:rPr>
          <w:rFonts w:ascii="Times New Roman" w:hAnsi="Times New Roman" w:cs="Times New Roman"/>
          <w:sz w:val="24"/>
          <w:szCs w:val="24"/>
        </w:rPr>
        <w:t>n practice these two opposing biases may co-exist,</w:t>
      </w:r>
      <w:r w:rsidR="008D47F1" w:rsidRPr="004E1AAC">
        <w:rPr>
          <w:rFonts w:ascii="Times New Roman" w:hAnsi="Times New Roman" w:cs="Times New Roman"/>
          <w:sz w:val="24"/>
          <w:szCs w:val="24"/>
        </w:rPr>
        <w:t xml:space="preserve"> </w:t>
      </w:r>
      <w:r w:rsidR="00084106">
        <w:rPr>
          <w:rFonts w:ascii="Times New Roman" w:hAnsi="Times New Roman" w:cs="Times New Roman"/>
          <w:sz w:val="24"/>
          <w:szCs w:val="24"/>
        </w:rPr>
        <w:t xml:space="preserve">and </w:t>
      </w:r>
      <w:r w:rsidR="008D47F1" w:rsidRPr="004E1AAC">
        <w:rPr>
          <w:rFonts w:ascii="Times New Roman" w:hAnsi="Times New Roman" w:cs="Times New Roman"/>
          <w:sz w:val="24"/>
          <w:szCs w:val="24"/>
        </w:rPr>
        <w:t>we have shown</w:t>
      </w:r>
      <w:r w:rsidR="002C4524">
        <w:rPr>
          <w:rFonts w:ascii="Times New Roman" w:hAnsi="Times New Roman" w:cs="Times New Roman"/>
          <w:sz w:val="24"/>
          <w:szCs w:val="24"/>
        </w:rPr>
        <w:t>,</w:t>
      </w:r>
      <w:r w:rsidR="008D47F1" w:rsidRPr="004E1AAC">
        <w:rPr>
          <w:rFonts w:ascii="Times New Roman" w:hAnsi="Times New Roman" w:cs="Times New Roman"/>
          <w:sz w:val="24"/>
          <w:szCs w:val="24"/>
        </w:rPr>
        <w:t xml:space="preserve"> </w:t>
      </w:r>
      <w:r w:rsidR="004E1AAC" w:rsidRPr="004E1AAC">
        <w:rPr>
          <w:rFonts w:ascii="Times New Roman" w:hAnsi="Times New Roman" w:cs="Times New Roman"/>
          <w:sz w:val="24"/>
          <w:szCs w:val="24"/>
        </w:rPr>
        <w:t>using externally published data,</w:t>
      </w:r>
      <w:r w:rsidR="00C63DA9" w:rsidRPr="004E1AAC">
        <w:rPr>
          <w:rFonts w:ascii="Times New Roman" w:hAnsi="Times New Roman" w:cs="Times New Roman"/>
          <w:sz w:val="24"/>
          <w:szCs w:val="24"/>
        </w:rPr>
        <w:t xml:space="preserve"> </w:t>
      </w:r>
      <w:r w:rsidR="008D47F1" w:rsidRPr="004E1AAC">
        <w:rPr>
          <w:rFonts w:ascii="Times New Roman" w:hAnsi="Times New Roman" w:cs="Times New Roman"/>
          <w:sz w:val="24"/>
          <w:szCs w:val="24"/>
        </w:rPr>
        <w:t xml:space="preserve">that the net impact </w:t>
      </w:r>
      <w:r w:rsidR="00C63DA9" w:rsidRPr="004E1AAC">
        <w:rPr>
          <w:rFonts w:ascii="Times New Roman" w:hAnsi="Times New Roman" w:cs="Times New Roman"/>
          <w:sz w:val="24"/>
          <w:szCs w:val="24"/>
        </w:rPr>
        <w:t>is likely to be small [3</w:t>
      </w:r>
      <w:r w:rsidR="00BC3A84" w:rsidRPr="004E1AAC">
        <w:rPr>
          <w:rFonts w:ascii="Times New Roman" w:hAnsi="Times New Roman" w:cs="Times New Roman"/>
          <w:sz w:val="24"/>
          <w:szCs w:val="24"/>
        </w:rPr>
        <w:t>8</w:t>
      </w:r>
      <w:r w:rsidR="00C63DA9" w:rsidRPr="004E1AAC">
        <w:rPr>
          <w:rFonts w:ascii="Times New Roman" w:hAnsi="Times New Roman" w:cs="Times New Roman"/>
          <w:sz w:val="24"/>
          <w:szCs w:val="24"/>
        </w:rPr>
        <w:t>].</w:t>
      </w:r>
      <w:r w:rsidR="008D47F1" w:rsidRPr="004E1AAC">
        <w:rPr>
          <w:rFonts w:ascii="Times New Roman" w:hAnsi="Times New Roman" w:cs="Times New Roman"/>
          <w:sz w:val="24"/>
          <w:szCs w:val="24"/>
        </w:rPr>
        <w:t xml:space="preserve"> </w:t>
      </w:r>
      <w:r w:rsidR="008742EA">
        <w:rPr>
          <w:rFonts w:ascii="Times New Roman" w:hAnsi="Times New Roman" w:cs="Times New Roman"/>
          <w:sz w:val="24"/>
          <w:szCs w:val="24"/>
        </w:rPr>
        <w:t xml:space="preserve">Finally, </w:t>
      </w:r>
      <w:r w:rsidR="00F961CB">
        <w:rPr>
          <w:rFonts w:ascii="Times New Roman" w:hAnsi="Times New Roman" w:cs="Times New Roman"/>
          <w:sz w:val="24"/>
          <w:szCs w:val="24"/>
        </w:rPr>
        <w:t>because a person has to consult in order to become a case</w:t>
      </w:r>
      <w:r w:rsidR="008742EA">
        <w:rPr>
          <w:rFonts w:ascii="Times New Roman" w:hAnsi="Times New Roman" w:cs="Times New Roman"/>
          <w:sz w:val="24"/>
          <w:szCs w:val="24"/>
        </w:rPr>
        <w:t xml:space="preserve">, associations with </w:t>
      </w:r>
      <w:r w:rsidR="00F961CB">
        <w:rPr>
          <w:rFonts w:ascii="Times New Roman" w:hAnsi="Times New Roman" w:cs="Times New Roman"/>
          <w:sz w:val="24"/>
          <w:szCs w:val="24"/>
        </w:rPr>
        <w:t>consulting</w:t>
      </w:r>
      <w:r w:rsidR="008742EA">
        <w:rPr>
          <w:rFonts w:ascii="Times New Roman" w:hAnsi="Times New Roman" w:cs="Times New Roman"/>
          <w:sz w:val="24"/>
          <w:szCs w:val="24"/>
        </w:rPr>
        <w:t xml:space="preserve"> for other </w:t>
      </w:r>
      <w:r w:rsidR="00872000">
        <w:rPr>
          <w:rFonts w:ascii="Times New Roman" w:hAnsi="Times New Roman" w:cs="Times New Roman"/>
          <w:sz w:val="24"/>
          <w:szCs w:val="24"/>
        </w:rPr>
        <w:t xml:space="preserve">medical </w:t>
      </w:r>
      <w:r w:rsidR="00F961CB">
        <w:rPr>
          <w:rFonts w:ascii="Times New Roman" w:hAnsi="Times New Roman" w:cs="Times New Roman"/>
          <w:sz w:val="24"/>
          <w:szCs w:val="24"/>
        </w:rPr>
        <w:t>complaints</w:t>
      </w:r>
      <w:r w:rsidR="008742EA">
        <w:rPr>
          <w:rFonts w:ascii="Times New Roman" w:hAnsi="Times New Roman" w:cs="Times New Roman"/>
          <w:sz w:val="24"/>
          <w:szCs w:val="24"/>
        </w:rPr>
        <w:t xml:space="preserve"> </w:t>
      </w:r>
      <w:r w:rsidR="00F961CB">
        <w:rPr>
          <w:rFonts w:ascii="Times New Roman" w:hAnsi="Times New Roman" w:cs="Times New Roman"/>
          <w:sz w:val="24"/>
          <w:szCs w:val="24"/>
        </w:rPr>
        <w:t>could arise artefactually</w:t>
      </w:r>
      <w:r w:rsidR="00872000">
        <w:rPr>
          <w:rFonts w:ascii="Times New Roman" w:hAnsi="Times New Roman" w:cs="Times New Roman"/>
          <w:sz w:val="24"/>
          <w:szCs w:val="24"/>
        </w:rPr>
        <w:t>,</w:t>
      </w:r>
      <w:r w:rsidR="008742EA">
        <w:rPr>
          <w:rFonts w:ascii="Times New Roman" w:hAnsi="Times New Roman" w:cs="Times New Roman"/>
          <w:sz w:val="24"/>
          <w:szCs w:val="24"/>
        </w:rPr>
        <w:t xml:space="preserve"> </w:t>
      </w:r>
      <w:r w:rsidR="00F961CB">
        <w:rPr>
          <w:rFonts w:ascii="Times New Roman" w:hAnsi="Times New Roman" w:cs="Times New Roman"/>
          <w:sz w:val="24"/>
          <w:szCs w:val="24"/>
        </w:rPr>
        <w:t>through</w:t>
      </w:r>
      <w:r w:rsidR="008742EA">
        <w:rPr>
          <w:rFonts w:ascii="Times New Roman" w:hAnsi="Times New Roman" w:cs="Times New Roman"/>
          <w:sz w:val="24"/>
          <w:szCs w:val="24"/>
        </w:rPr>
        <w:t xml:space="preserve"> </w:t>
      </w:r>
      <w:r w:rsidR="00872000">
        <w:rPr>
          <w:rFonts w:ascii="Times New Roman" w:hAnsi="Times New Roman" w:cs="Times New Roman"/>
          <w:sz w:val="24"/>
          <w:szCs w:val="24"/>
        </w:rPr>
        <w:t xml:space="preserve">a non-specific </w:t>
      </w:r>
      <w:r w:rsidR="008742EA">
        <w:rPr>
          <w:rFonts w:ascii="Times New Roman" w:hAnsi="Times New Roman" w:cs="Times New Roman"/>
          <w:sz w:val="24"/>
          <w:szCs w:val="24"/>
        </w:rPr>
        <w:t xml:space="preserve">propensity to be a user of medical services. </w:t>
      </w:r>
      <w:r w:rsidR="00872000">
        <w:rPr>
          <w:rFonts w:ascii="Times New Roman" w:hAnsi="Times New Roman" w:cs="Times New Roman"/>
          <w:sz w:val="24"/>
          <w:szCs w:val="24"/>
        </w:rPr>
        <w:t>We found no evidence of this after adjusting for frequent consultations in the previous 12 months for other reasons, but interpretation should consider this possibility.</w:t>
      </w:r>
    </w:p>
    <w:p w:rsidR="004C457A" w:rsidRDefault="004C457A" w:rsidP="00BC1803">
      <w:pPr>
        <w:jc w:val="both"/>
        <w:rPr>
          <w:rFonts w:ascii="Times New Roman" w:hAnsi="Times New Roman" w:cs="Times New Roman"/>
          <w:sz w:val="24"/>
          <w:szCs w:val="24"/>
        </w:rPr>
      </w:pPr>
    </w:p>
    <w:p w:rsidR="00F46062" w:rsidRDefault="00F46062" w:rsidP="00BC1803">
      <w:pPr>
        <w:jc w:val="both"/>
        <w:rPr>
          <w:rFonts w:ascii="Times New Roman" w:hAnsi="Times New Roman" w:cs="Times New Roman"/>
          <w:sz w:val="24"/>
          <w:szCs w:val="24"/>
        </w:rPr>
      </w:pPr>
    </w:p>
    <w:p w:rsidR="00BC1803" w:rsidRDefault="004C457A" w:rsidP="00BC1803">
      <w:pPr>
        <w:jc w:val="both"/>
        <w:rPr>
          <w:rFonts w:ascii="Times New Roman" w:hAnsi="Times New Roman"/>
          <w:sz w:val="24"/>
          <w:szCs w:val="24"/>
        </w:rPr>
      </w:pPr>
      <w:r>
        <w:rPr>
          <w:rFonts w:ascii="Times New Roman" w:hAnsi="Times New Roman"/>
          <w:sz w:val="24"/>
          <w:szCs w:val="24"/>
        </w:rPr>
        <w:t xml:space="preserve"> </w:t>
      </w:r>
      <w:r w:rsidR="00872000">
        <w:rPr>
          <w:rFonts w:ascii="Times New Roman" w:hAnsi="Times New Roman"/>
          <w:sz w:val="24"/>
          <w:szCs w:val="24"/>
        </w:rPr>
        <w:t>These limitations not</w:t>
      </w:r>
      <w:r w:rsidR="0071616D">
        <w:rPr>
          <w:rFonts w:ascii="Times New Roman" w:hAnsi="Times New Roman"/>
          <w:sz w:val="24"/>
          <w:szCs w:val="24"/>
        </w:rPr>
        <w:t>-</w:t>
      </w:r>
      <w:r w:rsidR="00872000">
        <w:rPr>
          <w:rFonts w:ascii="Times New Roman" w:hAnsi="Times New Roman"/>
          <w:sz w:val="24"/>
          <w:szCs w:val="24"/>
        </w:rPr>
        <w:t xml:space="preserve">withstanding, and in </w:t>
      </w:r>
      <w:r w:rsidR="00BC1803">
        <w:rPr>
          <w:rFonts w:ascii="Times New Roman" w:hAnsi="Times New Roman"/>
          <w:sz w:val="24"/>
          <w:szCs w:val="24"/>
        </w:rPr>
        <w:t xml:space="preserve">keeping with the wider research literature [8-18, 21-31], </w:t>
      </w:r>
      <w:r w:rsidR="00675882">
        <w:rPr>
          <w:rFonts w:ascii="Times New Roman" w:hAnsi="Times New Roman"/>
          <w:sz w:val="24"/>
          <w:szCs w:val="24"/>
        </w:rPr>
        <w:t>our</w:t>
      </w:r>
      <w:r w:rsidR="00BC1803">
        <w:rPr>
          <w:rFonts w:ascii="Times New Roman" w:hAnsi="Times New Roman"/>
          <w:sz w:val="24"/>
          <w:szCs w:val="24"/>
        </w:rPr>
        <w:t xml:space="preserve"> findings indicate modest elevations in risk of occupational injury in workers with problems of vision and impairments of hearing.  Our estimates of effect are similar to the median </w:t>
      </w:r>
      <w:r w:rsidR="00C552A6" w:rsidRPr="003F69AA">
        <w:rPr>
          <w:rFonts w:ascii="Times New Roman" w:hAnsi="Times New Roman"/>
          <w:sz w:val="24"/>
          <w:szCs w:val="24"/>
        </w:rPr>
        <w:t>odds ratios</w:t>
      </w:r>
      <w:r w:rsidR="00BC1803">
        <w:rPr>
          <w:rFonts w:ascii="Times New Roman" w:hAnsi="Times New Roman"/>
          <w:sz w:val="24"/>
          <w:szCs w:val="24"/>
        </w:rPr>
        <w:t xml:space="preserve"> </w:t>
      </w:r>
      <w:r w:rsidR="00C552A6">
        <w:rPr>
          <w:rFonts w:ascii="Times New Roman" w:hAnsi="Times New Roman"/>
          <w:sz w:val="24"/>
          <w:szCs w:val="24"/>
        </w:rPr>
        <w:t xml:space="preserve">in </w:t>
      </w:r>
      <w:r w:rsidR="00BC1803" w:rsidRPr="00AF00E5">
        <w:rPr>
          <w:rFonts w:ascii="Times New Roman" w:hAnsi="Times New Roman"/>
          <w:sz w:val="24"/>
          <w:szCs w:val="24"/>
        </w:rPr>
        <w:t xml:space="preserve">a systematic review </w:t>
      </w:r>
      <w:r w:rsidR="00C552A6">
        <w:rPr>
          <w:rFonts w:ascii="Times New Roman" w:hAnsi="Times New Roman"/>
          <w:sz w:val="24"/>
          <w:szCs w:val="24"/>
        </w:rPr>
        <w:t xml:space="preserve">that </w:t>
      </w:r>
      <w:r w:rsidR="00BC1803" w:rsidRPr="00AF00E5">
        <w:rPr>
          <w:rFonts w:ascii="Times New Roman" w:hAnsi="Times New Roman"/>
          <w:sz w:val="24"/>
          <w:szCs w:val="24"/>
        </w:rPr>
        <w:t>we previously conducted [</w:t>
      </w:r>
      <w:r w:rsidR="00AF00E5" w:rsidRPr="00AF00E5">
        <w:rPr>
          <w:rFonts w:ascii="Times New Roman" w:hAnsi="Times New Roman"/>
          <w:sz w:val="24"/>
          <w:szCs w:val="24"/>
        </w:rPr>
        <w:t>32</w:t>
      </w:r>
      <w:r w:rsidR="00BC1803" w:rsidRPr="00AF00E5">
        <w:rPr>
          <w:rFonts w:ascii="Times New Roman" w:hAnsi="Times New Roman"/>
          <w:sz w:val="24"/>
          <w:szCs w:val="24"/>
        </w:rPr>
        <w:t>]</w:t>
      </w:r>
      <w:r w:rsidR="00C552A6">
        <w:rPr>
          <w:rFonts w:ascii="Times New Roman" w:hAnsi="Times New Roman"/>
          <w:sz w:val="24"/>
          <w:szCs w:val="24"/>
        </w:rPr>
        <w:t>, which were</w:t>
      </w:r>
      <w:r w:rsidR="00BC1803">
        <w:rPr>
          <w:rFonts w:ascii="Times New Roman" w:hAnsi="Times New Roman"/>
          <w:sz w:val="24"/>
          <w:szCs w:val="24"/>
        </w:rPr>
        <w:t xml:space="preserve"> 1.37 (based on 37 estimates of risk)</w:t>
      </w:r>
      <w:r w:rsidR="00C552A6">
        <w:rPr>
          <w:rFonts w:ascii="Times New Roman" w:hAnsi="Times New Roman"/>
          <w:sz w:val="24"/>
          <w:szCs w:val="24"/>
        </w:rPr>
        <w:t xml:space="preserve"> for problems of vision</w:t>
      </w:r>
      <w:r w:rsidR="00BC1803">
        <w:rPr>
          <w:rFonts w:ascii="Times New Roman" w:hAnsi="Times New Roman"/>
          <w:sz w:val="24"/>
          <w:szCs w:val="24"/>
        </w:rPr>
        <w:t xml:space="preserve"> and</w:t>
      </w:r>
      <w:r w:rsidR="003330BC">
        <w:rPr>
          <w:rFonts w:ascii="Times New Roman" w:hAnsi="Times New Roman"/>
          <w:sz w:val="24"/>
          <w:szCs w:val="24"/>
        </w:rPr>
        <w:t xml:space="preserve"> 1.60 </w:t>
      </w:r>
      <w:r w:rsidR="00BC1803">
        <w:rPr>
          <w:rFonts w:ascii="Times New Roman" w:hAnsi="Times New Roman"/>
          <w:sz w:val="24"/>
          <w:szCs w:val="24"/>
        </w:rPr>
        <w:t>(based on 15 estimates of risk)</w:t>
      </w:r>
      <w:r w:rsidR="00C552A6">
        <w:rPr>
          <w:rFonts w:ascii="Times New Roman" w:hAnsi="Times New Roman"/>
          <w:sz w:val="24"/>
          <w:szCs w:val="24"/>
        </w:rPr>
        <w:t xml:space="preserve"> for problems of the ear</w:t>
      </w:r>
      <w:r w:rsidR="00BC1803">
        <w:rPr>
          <w:rFonts w:ascii="Times New Roman" w:hAnsi="Times New Roman"/>
          <w:sz w:val="24"/>
          <w:szCs w:val="24"/>
        </w:rPr>
        <w:t xml:space="preserve">.  However, the first of these estimates is likely to </w:t>
      </w:r>
      <w:r w:rsidR="001B0CBC">
        <w:rPr>
          <w:rFonts w:ascii="Times New Roman" w:hAnsi="Times New Roman"/>
          <w:sz w:val="24"/>
          <w:szCs w:val="24"/>
        </w:rPr>
        <w:t>have been reduced</w:t>
      </w:r>
      <w:r w:rsidR="00BC1803">
        <w:rPr>
          <w:rFonts w:ascii="Times New Roman" w:hAnsi="Times New Roman"/>
          <w:sz w:val="24"/>
          <w:szCs w:val="24"/>
        </w:rPr>
        <w:t xml:space="preserve"> by </w:t>
      </w:r>
      <w:r w:rsidR="001B0CBC">
        <w:rPr>
          <w:rFonts w:ascii="Times New Roman" w:hAnsi="Times New Roman"/>
          <w:sz w:val="24"/>
          <w:szCs w:val="24"/>
        </w:rPr>
        <w:t xml:space="preserve">inclusion of </w:t>
      </w:r>
      <w:r w:rsidR="00BC1803">
        <w:rPr>
          <w:rFonts w:ascii="Times New Roman" w:hAnsi="Times New Roman"/>
          <w:sz w:val="24"/>
          <w:szCs w:val="24"/>
        </w:rPr>
        <w:t xml:space="preserve">studies reporting no effect </w:t>
      </w:r>
      <w:r w:rsidR="001B0CBC">
        <w:rPr>
          <w:rFonts w:ascii="Times New Roman" w:hAnsi="Times New Roman"/>
          <w:sz w:val="24"/>
          <w:szCs w:val="24"/>
        </w:rPr>
        <w:t xml:space="preserve">simply </w:t>
      </w:r>
      <w:r w:rsidR="00BC1803">
        <w:rPr>
          <w:rFonts w:ascii="Times New Roman" w:hAnsi="Times New Roman"/>
          <w:sz w:val="24"/>
          <w:szCs w:val="24"/>
        </w:rPr>
        <w:t>from the wearing of glasses [14, 25-28</w:t>
      </w:r>
      <w:r w:rsidR="001B0CBC">
        <w:rPr>
          <w:rFonts w:ascii="Times New Roman" w:hAnsi="Times New Roman"/>
          <w:sz w:val="24"/>
          <w:szCs w:val="24"/>
        </w:rPr>
        <w:t xml:space="preserve">].  Taking </w:t>
      </w:r>
      <w:r w:rsidR="00BC1803">
        <w:rPr>
          <w:rFonts w:ascii="Times New Roman" w:hAnsi="Times New Roman"/>
          <w:sz w:val="24"/>
          <w:szCs w:val="24"/>
        </w:rPr>
        <w:t>as our exposure more severe eye problems, such as medically diagnosed blindness, partial blindness, “low vision” or visual field defects</w:t>
      </w:r>
      <w:r w:rsidR="001B0CBC">
        <w:rPr>
          <w:rFonts w:ascii="Times New Roman" w:hAnsi="Times New Roman"/>
          <w:sz w:val="24"/>
          <w:szCs w:val="24"/>
        </w:rPr>
        <w:t>,</w:t>
      </w:r>
      <w:r w:rsidR="00BC1803">
        <w:rPr>
          <w:rFonts w:ascii="Times New Roman" w:hAnsi="Times New Roman"/>
          <w:sz w:val="24"/>
          <w:szCs w:val="24"/>
        </w:rPr>
        <w:t xml:space="preserve"> resulted in a higher estimate of risk than overall</w:t>
      </w:r>
      <w:r w:rsidR="003330BC">
        <w:rPr>
          <w:rFonts w:ascii="Times New Roman" w:hAnsi="Times New Roman"/>
          <w:sz w:val="24"/>
          <w:szCs w:val="24"/>
        </w:rPr>
        <w:t>,</w:t>
      </w:r>
      <w:r w:rsidR="00BC1803">
        <w:rPr>
          <w:rFonts w:ascii="Times New Roman" w:hAnsi="Times New Roman"/>
          <w:sz w:val="24"/>
          <w:szCs w:val="24"/>
        </w:rPr>
        <w:t xml:space="preserve"> closer to the sole study</w:t>
      </w:r>
      <w:r w:rsidR="003330BC">
        <w:rPr>
          <w:rFonts w:ascii="Times New Roman" w:hAnsi="Times New Roman"/>
          <w:sz w:val="24"/>
          <w:szCs w:val="24"/>
        </w:rPr>
        <w:t xml:space="preserve"> in our review</w:t>
      </w:r>
      <w:r w:rsidR="00BC1803">
        <w:rPr>
          <w:rFonts w:ascii="Times New Roman" w:hAnsi="Times New Roman"/>
          <w:sz w:val="24"/>
          <w:szCs w:val="24"/>
        </w:rPr>
        <w:t xml:space="preserve"> that</w:t>
      </w:r>
      <w:r w:rsidR="003330BC">
        <w:rPr>
          <w:rFonts w:ascii="Times New Roman" w:hAnsi="Times New Roman"/>
          <w:sz w:val="24"/>
          <w:szCs w:val="24"/>
        </w:rPr>
        <w:t xml:space="preserve"> had</w:t>
      </w:r>
      <w:r w:rsidR="00BC1803">
        <w:rPr>
          <w:rFonts w:ascii="Times New Roman" w:hAnsi="Times New Roman"/>
          <w:sz w:val="24"/>
          <w:szCs w:val="24"/>
        </w:rPr>
        <w:t xml:space="preserve"> studied blindness as a risk factor [12].</w:t>
      </w:r>
    </w:p>
    <w:p w:rsidR="00BC1803" w:rsidRDefault="00BC1803" w:rsidP="00BC1803">
      <w:pPr>
        <w:rPr>
          <w:rFonts w:ascii="Times New Roman" w:hAnsi="Times New Roman"/>
          <w:sz w:val="24"/>
          <w:szCs w:val="24"/>
        </w:rPr>
      </w:pPr>
    </w:p>
    <w:p w:rsidR="00BC1803" w:rsidRDefault="00BC1803" w:rsidP="00BC1803">
      <w:pPr>
        <w:jc w:val="both"/>
        <w:rPr>
          <w:rFonts w:ascii="Times New Roman" w:hAnsi="Times New Roman"/>
          <w:sz w:val="24"/>
          <w:szCs w:val="24"/>
        </w:rPr>
      </w:pPr>
      <w:r>
        <w:rPr>
          <w:rFonts w:ascii="Times New Roman" w:hAnsi="Times New Roman"/>
          <w:sz w:val="24"/>
          <w:szCs w:val="24"/>
        </w:rPr>
        <w:t>We found no significant increases in risk</w:t>
      </w:r>
      <w:r w:rsidRPr="00B34ECE">
        <w:rPr>
          <w:rFonts w:ascii="Times New Roman" w:hAnsi="Times New Roman"/>
          <w:sz w:val="24"/>
          <w:szCs w:val="24"/>
        </w:rPr>
        <w:t xml:space="preserve"> </w:t>
      </w:r>
      <w:r>
        <w:rPr>
          <w:rFonts w:ascii="Times New Roman" w:hAnsi="Times New Roman"/>
          <w:sz w:val="24"/>
          <w:szCs w:val="24"/>
        </w:rPr>
        <w:t>in relation to glaucoma, cataract, and disease of the retina, nor for perforation of the ear drum.</w:t>
      </w:r>
      <w:r w:rsidRPr="00B97877">
        <w:rPr>
          <w:rFonts w:ascii="Times New Roman" w:hAnsi="Times New Roman"/>
          <w:sz w:val="24"/>
          <w:szCs w:val="24"/>
        </w:rPr>
        <w:t xml:space="preserve"> </w:t>
      </w:r>
      <w:r w:rsidR="00FF6510">
        <w:rPr>
          <w:rFonts w:ascii="Times New Roman" w:hAnsi="Times New Roman"/>
          <w:sz w:val="24"/>
          <w:szCs w:val="24"/>
        </w:rPr>
        <w:t>The three eye</w:t>
      </w:r>
      <w:r>
        <w:rPr>
          <w:rFonts w:ascii="Times New Roman" w:hAnsi="Times New Roman"/>
          <w:sz w:val="24"/>
          <w:szCs w:val="24"/>
        </w:rPr>
        <w:t xml:space="preserve"> diseases were uncommon, however, (31 to 70 people, depending on the pathology), which </w:t>
      </w:r>
      <w:r w:rsidR="00FF6510">
        <w:rPr>
          <w:rFonts w:ascii="Times New Roman" w:hAnsi="Times New Roman"/>
          <w:sz w:val="24"/>
          <w:szCs w:val="24"/>
        </w:rPr>
        <w:t xml:space="preserve">limited </w:t>
      </w:r>
      <w:r>
        <w:rPr>
          <w:rFonts w:ascii="Times New Roman" w:hAnsi="Times New Roman"/>
          <w:sz w:val="24"/>
          <w:szCs w:val="24"/>
        </w:rPr>
        <w:t xml:space="preserve">statistical power to draw strong conclusions: risks elevated by as much as 1.6 to 2.9-fold cannot be excluded, although our best estimates of effect are broadly reassuring and compatible with </w:t>
      </w:r>
      <w:r w:rsidR="00FF6510">
        <w:rPr>
          <w:rFonts w:ascii="Times New Roman" w:hAnsi="Times New Roman"/>
          <w:sz w:val="24"/>
          <w:szCs w:val="24"/>
        </w:rPr>
        <w:t xml:space="preserve">the limited previous </w:t>
      </w:r>
      <w:r w:rsidR="00BF6288">
        <w:rPr>
          <w:rFonts w:ascii="Times New Roman" w:hAnsi="Times New Roman"/>
          <w:sz w:val="24"/>
          <w:szCs w:val="24"/>
        </w:rPr>
        <w:t>data on</w:t>
      </w:r>
      <w:r>
        <w:rPr>
          <w:rFonts w:ascii="Times New Roman" w:hAnsi="Times New Roman"/>
          <w:sz w:val="24"/>
          <w:szCs w:val="24"/>
        </w:rPr>
        <w:t xml:space="preserve"> risks from medically diagnosed eye disorders [15]. Perforated ear drum</w:t>
      </w:r>
      <w:r w:rsidRPr="00B97877">
        <w:rPr>
          <w:rFonts w:ascii="Times New Roman" w:hAnsi="Times New Roman"/>
          <w:sz w:val="24"/>
          <w:szCs w:val="24"/>
        </w:rPr>
        <w:t xml:space="preserve"> </w:t>
      </w:r>
      <w:r>
        <w:rPr>
          <w:rFonts w:ascii="Times New Roman" w:hAnsi="Times New Roman"/>
          <w:sz w:val="24"/>
          <w:szCs w:val="24"/>
        </w:rPr>
        <w:t>was also uncommon</w:t>
      </w:r>
      <w:r w:rsidR="00BF6288">
        <w:rPr>
          <w:rFonts w:ascii="Times New Roman" w:hAnsi="Times New Roman"/>
          <w:sz w:val="24"/>
          <w:szCs w:val="24"/>
        </w:rPr>
        <w:t xml:space="preserve"> in our sample</w:t>
      </w:r>
      <w:r>
        <w:rPr>
          <w:rFonts w:ascii="Times New Roman" w:hAnsi="Times New Roman"/>
          <w:sz w:val="24"/>
          <w:szCs w:val="24"/>
        </w:rPr>
        <w:t xml:space="preserve">, and is, moreover, a correctable condition (either through natural healing or via surgery) that would not necessarily lead to </w:t>
      </w:r>
      <w:r w:rsidR="003330BC">
        <w:rPr>
          <w:rFonts w:ascii="Times New Roman" w:hAnsi="Times New Roman"/>
          <w:sz w:val="24"/>
          <w:szCs w:val="24"/>
        </w:rPr>
        <w:t xml:space="preserve">long-term </w:t>
      </w:r>
      <w:r>
        <w:rPr>
          <w:rFonts w:ascii="Times New Roman" w:hAnsi="Times New Roman"/>
          <w:sz w:val="24"/>
          <w:szCs w:val="24"/>
        </w:rPr>
        <w:t>hearing impairment.</w:t>
      </w:r>
    </w:p>
    <w:p w:rsidR="00BC1803" w:rsidRDefault="00BC1803" w:rsidP="00BC1803">
      <w:pPr>
        <w:jc w:val="both"/>
        <w:rPr>
          <w:rFonts w:ascii="Times New Roman" w:hAnsi="Times New Roman"/>
          <w:sz w:val="24"/>
          <w:szCs w:val="24"/>
        </w:rPr>
      </w:pPr>
    </w:p>
    <w:p w:rsidR="00BC1803" w:rsidRDefault="00BC1803" w:rsidP="00BC1803">
      <w:pPr>
        <w:jc w:val="both"/>
        <w:rPr>
          <w:rFonts w:ascii="Times New Roman" w:hAnsi="Times New Roman"/>
          <w:sz w:val="24"/>
          <w:szCs w:val="24"/>
        </w:rPr>
      </w:pPr>
      <w:r>
        <w:rPr>
          <w:rFonts w:ascii="Times New Roman" w:hAnsi="Times New Roman"/>
          <w:sz w:val="24"/>
          <w:szCs w:val="24"/>
        </w:rPr>
        <w:t xml:space="preserve">Two novel findings </w:t>
      </w:r>
      <w:r w:rsidR="00FF6510">
        <w:rPr>
          <w:rFonts w:ascii="Times New Roman" w:hAnsi="Times New Roman"/>
          <w:sz w:val="24"/>
          <w:szCs w:val="24"/>
        </w:rPr>
        <w:t>were</w:t>
      </w:r>
      <w:r>
        <w:rPr>
          <w:rFonts w:ascii="Times New Roman" w:hAnsi="Times New Roman"/>
          <w:sz w:val="24"/>
          <w:szCs w:val="24"/>
        </w:rPr>
        <w:t xml:space="preserve"> strong associations with non-acute otitis media and disorders of balance. The </w:t>
      </w:r>
      <w:r w:rsidR="00BF6288">
        <w:rPr>
          <w:rFonts w:ascii="Times New Roman" w:hAnsi="Times New Roman"/>
          <w:sz w:val="24"/>
          <w:szCs w:val="24"/>
        </w:rPr>
        <w:t xml:space="preserve">strength of the </w:t>
      </w:r>
      <w:r>
        <w:rPr>
          <w:rFonts w:ascii="Times New Roman" w:hAnsi="Times New Roman"/>
          <w:sz w:val="24"/>
          <w:szCs w:val="24"/>
        </w:rPr>
        <w:t xml:space="preserve">former </w:t>
      </w:r>
      <w:r w:rsidR="00BF6288">
        <w:rPr>
          <w:rFonts w:ascii="Times New Roman" w:hAnsi="Times New Roman"/>
          <w:sz w:val="24"/>
          <w:szCs w:val="24"/>
        </w:rPr>
        <w:t xml:space="preserve">association </w:t>
      </w:r>
      <w:r w:rsidR="00FF6510">
        <w:rPr>
          <w:rFonts w:ascii="Times New Roman" w:hAnsi="Times New Roman"/>
          <w:sz w:val="24"/>
          <w:szCs w:val="24"/>
        </w:rPr>
        <w:t xml:space="preserve">was </w:t>
      </w:r>
      <w:r>
        <w:rPr>
          <w:rFonts w:ascii="Times New Roman" w:hAnsi="Times New Roman"/>
          <w:sz w:val="24"/>
          <w:szCs w:val="24"/>
        </w:rPr>
        <w:t>somewhat unexpected while, to our knowledge, the latter has been surprisingly little studied.</w:t>
      </w:r>
      <w:r w:rsidRPr="00206FF0">
        <w:rPr>
          <w:rFonts w:ascii="Times New Roman" w:hAnsi="Times New Roman"/>
          <w:sz w:val="24"/>
          <w:szCs w:val="24"/>
        </w:rPr>
        <w:t xml:space="preserve"> </w:t>
      </w:r>
    </w:p>
    <w:p w:rsidR="00BC1803" w:rsidRDefault="00BC1803" w:rsidP="00BC1803">
      <w:pPr>
        <w:rPr>
          <w:rFonts w:ascii="Times New Roman" w:hAnsi="Times New Roman"/>
          <w:sz w:val="24"/>
          <w:szCs w:val="24"/>
        </w:rPr>
      </w:pPr>
    </w:p>
    <w:p w:rsidR="00BC1803" w:rsidRDefault="00BC1803" w:rsidP="00BC1803">
      <w:pPr>
        <w:jc w:val="both"/>
        <w:rPr>
          <w:rFonts w:ascii="Times New Roman" w:hAnsi="Times New Roman"/>
          <w:sz w:val="24"/>
          <w:szCs w:val="24"/>
        </w:rPr>
      </w:pPr>
      <w:r>
        <w:rPr>
          <w:rFonts w:ascii="Times New Roman" w:hAnsi="Times New Roman"/>
          <w:sz w:val="24"/>
          <w:szCs w:val="24"/>
        </w:rPr>
        <w:t xml:space="preserve">The category “non-acute” otitis media was chosen to exclude acute middle ear infection, a common event, especially in childhood, </w:t>
      </w:r>
      <w:r w:rsidR="0035459C">
        <w:rPr>
          <w:rFonts w:ascii="Times New Roman" w:hAnsi="Times New Roman"/>
          <w:sz w:val="24"/>
          <w:szCs w:val="24"/>
        </w:rPr>
        <w:t>that tends</w:t>
      </w:r>
      <w:r w:rsidR="00FF6510">
        <w:rPr>
          <w:rFonts w:ascii="Times New Roman" w:hAnsi="Times New Roman"/>
          <w:sz w:val="24"/>
          <w:szCs w:val="24"/>
        </w:rPr>
        <w:t xml:space="preserve"> </w:t>
      </w:r>
      <w:r>
        <w:rPr>
          <w:rFonts w:ascii="Times New Roman" w:hAnsi="Times New Roman"/>
          <w:sz w:val="24"/>
          <w:szCs w:val="24"/>
        </w:rPr>
        <w:t xml:space="preserve">to have little enduring effect; but to include chronic infections that could lead to a fluid-filled middle ear and conductive hearing loss. To focus further on ear pathology proximate in time to the injury consultation, we analysed associations with consultation for non-acute otitis media within the previous 12 months and found risks to be higher than when the most recent consultation for this </w:t>
      </w:r>
      <w:r w:rsidRPr="00756EC8">
        <w:rPr>
          <w:rFonts w:ascii="Times New Roman" w:hAnsi="Times New Roman"/>
          <w:sz w:val="24"/>
          <w:szCs w:val="24"/>
        </w:rPr>
        <w:t xml:space="preserve">ear </w:t>
      </w:r>
      <w:r w:rsidRPr="00247C9D">
        <w:rPr>
          <w:rFonts w:ascii="Times New Roman" w:hAnsi="Times New Roman"/>
          <w:sz w:val="24"/>
          <w:szCs w:val="24"/>
        </w:rPr>
        <w:t xml:space="preserve">condition was </w:t>
      </w:r>
      <w:r w:rsidRPr="009A031B">
        <w:rPr>
          <w:rFonts w:ascii="Times New Roman" w:hAnsi="Times New Roman"/>
          <w:sz w:val="24"/>
          <w:szCs w:val="24"/>
        </w:rPr>
        <w:t xml:space="preserve">more than 12 months </w:t>
      </w:r>
      <w:r w:rsidR="00FF6510">
        <w:rPr>
          <w:rFonts w:ascii="Times New Roman" w:hAnsi="Times New Roman"/>
          <w:sz w:val="24"/>
          <w:szCs w:val="24"/>
        </w:rPr>
        <w:t>earlier</w:t>
      </w:r>
      <w:r w:rsidR="00FF6510" w:rsidRPr="00247C9D">
        <w:rPr>
          <w:rFonts w:ascii="Times New Roman" w:hAnsi="Times New Roman"/>
          <w:sz w:val="24"/>
          <w:szCs w:val="24"/>
        </w:rPr>
        <w:t xml:space="preserve"> </w:t>
      </w:r>
      <w:r w:rsidRPr="00247C9D">
        <w:rPr>
          <w:rFonts w:ascii="Times New Roman" w:hAnsi="Times New Roman"/>
          <w:sz w:val="24"/>
          <w:szCs w:val="24"/>
        </w:rPr>
        <w:t xml:space="preserve">(OR 2.70 vs. </w:t>
      </w:r>
      <w:r>
        <w:rPr>
          <w:rFonts w:ascii="Times New Roman" w:hAnsi="Times New Roman"/>
          <w:sz w:val="24"/>
          <w:szCs w:val="24"/>
        </w:rPr>
        <w:t>1.</w:t>
      </w:r>
      <w:r w:rsidR="006E5F97">
        <w:rPr>
          <w:rFonts w:ascii="Times New Roman" w:hAnsi="Times New Roman"/>
          <w:sz w:val="24"/>
          <w:szCs w:val="24"/>
        </w:rPr>
        <w:t>96</w:t>
      </w:r>
      <w:r w:rsidRPr="00247C9D">
        <w:rPr>
          <w:rFonts w:ascii="Times New Roman" w:hAnsi="Times New Roman"/>
          <w:sz w:val="24"/>
          <w:szCs w:val="24"/>
        </w:rPr>
        <w:t>).</w:t>
      </w:r>
      <w:r>
        <w:rPr>
          <w:rFonts w:ascii="Times New Roman" w:hAnsi="Times New Roman"/>
          <w:sz w:val="24"/>
          <w:szCs w:val="24"/>
        </w:rPr>
        <w:t xml:space="preserve">  </w:t>
      </w:r>
      <w:r w:rsidR="00024928">
        <w:rPr>
          <w:rFonts w:ascii="Times New Roman" w:hAnsi="Times New Roman"/>
          <w:sz w:val="24"/>
          <w:szCs w:val="24"/>
        </w:rPr>
        <w:t xml:space="preserve">However, if the effect is </w:t>
      </w:r>
      <w:r w:rsidR="00024928">
        <w:rPr>
          <w:rFonts w:ascii="Times New Roman" w:hAnsi="Times New Roman"/>
          <w:sz w:val="24"/>
          <w:szCs w:val="24"/>
        </w:rPr>
        <w:lastRenderedPageBreak/>
        <w:t xml:space="preserve">mediated through hearing impairment it is surprising that risk appears substantially greater than that for deafness and hearing impairment coded </w:t>
      </w:r>
      <w:r w:rsidR="00F804CB">
        <w:rPr>
          <w:rFonts w:ascii="Times New Roman" w:hAnsi="Times New Roman"/>
          <w:sz w:val="24"/>
          <w:szCs w:val="24"/>
        </w:rPr>
        <w:t>as such</w:t>
      </w:r>
      <w:r w:rsidR="00024928">
        <w:rPr>
          <w:rFonts w:ascii="Times New Roman" w:hAnsi="Times New Roman"/>
          <w:sz w:val="24"/>
          <w:szCs w:val="24"/>
        </w:rPr>
        <w:t>.</w:t>
      </w:r>
      <w:r w:rsidR="00024928" w:rsidRPr="00024928">
        <w:rPr>
          <w:rFonts w:ascii="Times New Roman" w:hAnsi="Times New Roman"/>
          <w:sz w:val="24"/>
          <w:szCs w:val="24"/>
        </w:rPr>
        <w:t xml:space="preserve"> </w:t>
      </w:r>
      <w:r w:rsidR="00024928">
        <w:rPr>
          <w:rFonts w:ascii="Times New Roman" w:hAnsi="Times New Roman"/>
          <w:sz w:val="24"/>
          <w:szCs w:val="24"/>
        </w:rPr>
        <w:t>(Effects from the latter could be mitigated in some individuals by</w:t>
      </w:r>
      <w:r w:rsidR="00024928" w:rsidRPr="00D608B6">
        <w:rPr>
          <w:rFonts w:ascii="Times New Roman" w:hAnsi="Times New Roman"/>
          <w:sz w:val="24"/>
          <w:szCs w:val="24"/>
        </w:rPr>
        <w:t xml:space="preserve"> </w:t>
      </w:r>
      <w:r w:rsidR="00024928">
        <w:rPr>
          <w:rFonts w:ascii="Times New Roman" w:hAnsi="Times New Roman"/>
          <w:sz w:val="24"/>
          <w:szCs w:val="24"/>
        </w:rPr>
        <w:t xml:space="preserve">prescription of a well-functioning hearing aid, but </w:t>
      </w:r>
      <w:r w:rsidR="00024928" w:rsidRPr="004A7333">
        <w:rPr>
          <w:rFonts w:ascii="Times New Roman" w:hAnsi="Times New Roman"/>
          <w:sz w:val="24"/>
          <w:szCs w:val="24"/>
        </w:rPr>
        <w:t>estimates of risk from deafness and hearing impairment were little altered in a sensitivity analysis from which we omitted subjects with codes for hearing aid use</w:t>
      </w:r>
      <w:r w:rsidR="0035459C">
        <w:rPr>
          <w:rFonts w:ascii="Times New Roman" w:hAnsi="Times New Roman"/>
          <w:sz w:val="24"/>
          <w:szCs w:val="24"/>
        </w:rPr>
        <w:t>)</w:t>
      </w:r>
      <w:r w:rsidR="00024928" w:rsidRPr="004A7333">
        <w:rPr>
          <w:rFonts w:ascii="Times New Roman" w:hAnsi="Times New Roman"/>
          <w:sz w:val="24"/>
          <w:szCs w:val="24"/>
        </w:rPr>
        <w:t xml:space="preserve">. Thus, </w:t>
      </w:r>
      <w:r w:rsidR="00F804CB">
        <w:rPr>
          <w:rFonts w:ascii="Times New Roman" w:hAnsi="Times New Roman"/>
          <w:sz w:val="24"/>
          <w:szCs w:val="24"/>
        </w:rPr>
        <w:t>while it is possible</w:t>
      </w:r>
      <w:r w:rsidR="004A7333" w:rsidRPr="004A7333">
        <w:rPr>
          <w:rFonts w:ascii="Times New Roman" w:hAnsi="Times New Roman"/>
          <w:sz w:val="24"/>
          <w:szCs w:val="24"/>
        </w:rPr>
        <w:t xml:space="preserve"> that </w:t>
      </w:r>
      <w:r w:rsidR="00F804CB">
        <w:rPr>
          <w:rFonts w:ascii="Times New Roman" w:hAnsi="Times New Roman"/>
          <w:sz w:val="24"/>
          <w:szCs w:val="24"/>
        </w:rPr>
        <w:t xml:space="preserve">the </w:t>
      </w:r>
      <w:r w:rsidR="004A7333" w:rsidRPr="004A7333">
        <w:rPr>
          <w:rFonts w:ascii="Times New Roman" w:hAnsi="Times New Roman"/>
          <w:sz w:val="24"/>
          <w:szCs w:val="24"/>
        </w:rPr>
        <w:t>associations between non-acute otitis media and injury risk were</w:t>
      </w:r>
      <w:r w:rsidR="00024928" w:rsidRPr="004A7333">
        <w:rPr>
          <w:rFonts w:ascii="Times New Roman" w:hAnsi="Times New Roman"/>
          <w:sz w:val="24"/>
          <w:szCs w:val="24"/>
        </w:rPr>
        <w:t xml:space="preserve"> causal</w:t>
      </w:r>
      <w:r w:rsidR="004A7333" w:rsidRPr="004A7333">
        <w:rPr>
          <w:rFonts w:ascii="Times New Roman" w:hAnsi="Times New Roman"/>
          <w:sz w:val="24"/>
          <w:szCs w:val="24"/>
        </w:rPr>
        <w:t xml:space="preserve">, </w:t>
      </w:r>
      <w:r w:rsidR="00F804CB">
        <w:rPr>
          <w:rFonts w:ascii="Times New Roman" w:hAnsi="Times New Roman"/>
          <w:sz w:val="24"/>
          <w:szCs w:val="24"/>
        </w:rPr>
        <w:t>they could also have</w:t>
      </w:r>
      <w:r w:rsidR="004A7333" w:rsidRPr="004A7333">
        <w:rPr>
          <w:rFonts w:ascii="Times New Roman" w:hAnsi="Times New Roman"/>
          <w:sz w:val="24"/>
          <w:szCs w:val="24"/>
        </w:rPr>
        <w:t xml:space="preserve"> arise</w:t>
      </w:r>
      <w:r w:rsidR="00F804CB">
        <w:rPr>
          <w:rFonts w:ascii="Times New Roman" w:hAnsi="Times New Roman"/>
          <w:sz w:val="24"/>
          <w:szCs w:val="24"/>
        </w:rPr>
        <w:t>n</w:t>
      </w:r>
      <w:r w:rsidR="004A7333" w:rsidRPr="004A7333">
        <w:rPr>
          <w:rFonts w:ascii="Times New Roman" w:hAnsi="Times New Roman"/>
          <w:sz w:val="24"/>
          <w:szCs w:val="24"/>
        </w:rPr>
        <w:t xml:space="preserve"> by chance</w:t>
      </w:r>
      <w:r w:rsidRPr="004A7333">
        <w:rPr>
          <w:rFonts w:ascii="Times New Roman" w:hAnsi="Times New Roman"/>
          <w:sz w:val="24"/>
          <w:szCs w:val="24"/>
        </w:rPr>
        <w:t xml:space="preserve">. </w:t>
      </w:r>
      <w:r w:rsidR="00F804CB">
        <w:rPr>
          <w:rFonts w:ascii="Times New Roman" w:hAnsi="Times New Roman"/>
          <w:sz w:val="24"/>
          <w:szCs w:val="24"/>
        </w:rPr>
        <w:t>The relationship could usefully be explored furth</w:t>
      </w:r>
      <w:r w:rsidR="00E92E3B">
        <w:rPr>
          <w:rFonts w:ascii="Times New Roman" w:hAnsi="Times New Roman"/>
          <w:sz w:val="24"/>
          <w:szCs w:val="24"/>
        </w:rPr>
        <w:t>er in other independent studies</w:t>
      </w:r>
      <w:r>
        <w:rPr>
          <w:rFonts w:ascii="Times New Roman" w:hAnsi="Times New Roman"/>
          <w:sz w:val="24"/>
          <w:szCs w:val="24"/>
        </w:rPr>
        <w:t>.</w:t>
      </w:r>
    </w:p>
    <w:p w:rsidR="00BC1803" w:rsidRDefault="00BC1803" w:rsidP="00BC1803">
      <w:pPr>
        <w:jc w:val="both"/>
        <w:rPr>
          <w:rFonts w:ascii="Times New Roman" w:hAnsi="Times New Roman"/>
          <w:sz w:val="24"/>
          <w:szCs w:val="24"/>
        </w:rPr>
      </w:pPr>
    </w:p>
    <w:p w:rsidR="00BC1803" w:rsidRPr="00DE39D6" w:rsidRDefault="00BC1803" w:rsidP="00BC1803">
      <w:pPr>
        <w:widowControl w:val="0"/>
        <w:jc w:val="both"/>
        <w:rPr>
          <w:rFonts w:ascii="Times New Roman" w:hAnsi="Times New Roman" w:cs="Times New Roman"/>
          <w:sz w:val="24"/>
          <w:szCs w:val="24"/>
        </w:rPr>
      </w:pPr>
      <w:r>
        <w:rPr>
          <w:rFonts w:ascii="Times New Roman" w:hAnsi="Times New Roman"/>
          <w:sz w:val="24"/>
          <w:szCs w:val="24"/>
        </w:rPr>
        <w:t xml:space="preserve">Likewise, our finding of a link between disorders of balance and </w:t>
      </w:r>
      <w:r w:rsidR="00F804CB">
        <w:rPr>
          <w:rFonts w:ascii="Times New Roman" w:hAnsi="Times New Roman"/>
          <w:sz w:val="24"/>
          <w:szCs w:val="24"/>
        </w:rPr>
        <w:t xml:space="preserve">risk of </w:t>
      </w:r>
      <w:r>
        <w:rPr>
          <w:rFonts w:ascii="Times New Roman" w:hAnsi="Times New Roman"/>
          <w:sz w:val="24"/>
          <w:szCs w:val="24"/>
        </w:rPr>
        <w:t xml:space="preserve">injury requires corroboration. Such a relationship looks plausible </w:t>
      </w:r>
      <w:r w:rsidRPr="00ED2522">
        <w:rPr>
          <w:rFonts w:ascii="Times New Roman" w:hAnsi="Times New Roman"/>
          <w:i/>
          <w:sz w:val="24"/>
          <w:szCs w:val="24"/>
        </w:rPr>
        <w:t>a priori</w:t>
      </w:r>
      <w:r>
        <w:rPr>
          <w:rFonts w:ascii="Times New Roman" w:hAnsi="Times New Roman"/>
          <w:sz w:val="24"/>
          <w:szCs w:val="24"/>
        </w:rPr>
        <w:t xml:space="preserve"> and conviction is added by the observation that risks were about 50% higher when the consultation about problems of balance was recent (OR 1.81) than when more distant (OR 1.</w:t>
      </w:r>
      <w:r w:rsidR="0025474D">
        <w:rPr>
          <w:rFonts w:ascii="Times New Roman" w:hAnsi="Times New Roman"/>
          <w:sz w:val="24"/>
          <w:szCs w:val="24"/>
        </w:rPr>
        <w:t>15</w:t>
      </w:r>
      <w:r w:rsidR="0006615F">
        <w:rPr>
          <w:rFonts w:ascii="Times New Roman" w:hAnsi="Times New Roman"/>
          <w:sz w:val="24"/>
          <w:szCs w:val="24"/>
        </w:rPr>
        <w:t xml:space="preserve">). </w:t>
      </w:r>
      <w:r>
        <w:rPr>
          <w:rFonts w:ascii="Times New Roman" w:hAnsi="Times New Roman"/>
          <w:sz w:val="24"/>
          <w:szCs w:val="24"/>
        </w:rPr>
        <w:t>People with dizziness often compl</w:t>
      </w:r>
      <w:r w:rsidR="00AF00E5">
        <w:rPr>
          <w:rFonts w:ascii="Times New Roman" w:hAnsi="Times New Roman"/>
          <w:sz w:val="24"/>
          <w:szCs w:val="24"/>
        </w:rPr>
        <w:t>ain of difficulty in driving [3</w:t>
      </w:r>
      <w:r w:rsidR="00BC3A84">
        <w:rPr>
          <w:rFonts w:ascii="Times New Roman" w:hAnsi="Times New Roman"/>
          <w:sz w:val="24"/>
          <w:szCs w:val="24"/>
        </w:rPr>
        <w:t>9</w:t>
      </w:r>
      <w:r w:rsidR="00AF00E5">
        <w:rPr>
          <w:rFonts w:ascii="Times New Roman" w:hAnsi="Times New Roman"/>
          <w:sz w:val="24"/>
          <w:szCs w:val="24"/>
        </w:rPr>
        <w:t>,</w:t>
      </w:r>
      <w:r w:rsidR="00BC3A84">
        <w:rPr>
          <w:rFonts w:ascii="Times New Roman" w:hAnsi="Times New Roman"/>
          <w:sz w:val="24"/>
          <w:szCs w:val="24"/>
        </w:rPr>
        <w:t>40</w:t>
      </w:r>
      <w:r>
        <w:rPr>
          <w:rFonts w:ascii="Times New Roman" w:hAnsi="Times New Roman"/>
          <w:sz w:val="24"/>
          <w:szCs w:val="24"/>
        </w:rPr>
        <w:t xml:space="preserve">] and physicians sometimes express concern about the </w:t>
      </w:r>
      <w:r w:rsidR="00F804CB">
        <w:rPr>
          <w:rFonts w:ascii="Times New Roman" w:hAnsi="Times New Roman"/>
          <w:sz w:val="24"/>
          <w:szCs w:val="24"/>
        </w:rPr>
        <w:t xml:space="preserve">safety of such </w:t>
      </w:r>
      <w:r>
        <w:rPr>
          <w:rFonts w:ascii="Times New Roman" w:hAnsi="Times New Roman"/>
          <w:sz w:val="24"/>
          <w:szCs w:val="24"/>
        </w:rPr>
        <w:t>pa</w:t>
      </w:r>
      <w:r w:rsidR="00AF00E5">
        <w:rPr>
          <w:rFonts w:ascii="Times New Roman" w:hAnsi="Times New Roman"/>
          <w:sz w:val="24"/>
          <w:szCs w:val="24"/>
        </w:rPr>
        <w:t xml:space="preserve">tients </w:t>
      </w:r>
      <w:r w:rsidR="00F804CB">
        <w:rPr>
          <w:rFonts w:ascii="Times New Roman" w:hAnsi="Times New Roman"/>
          <w:sz w:val="24"/>
          <w:szCs w:val="24"/>
        </w:rPr>
        <w:t xml:space="preserve">when </w:t>
      </w:r>
      <w:r w:rsidR="00AF00E5">
        <w:rPr>
          <w:rFonts w:ascii="Times New Roman" w:hAnsi="Times New Roman"/>
          <w:sz w:val="24"/>
          <w:szCs w:val="24"/>
        </w:rPr>
        <w:t>driving [</w:t>
      </w:r>
      <w:r w:rsidR="00BC3A84">
        <w:rPr>
          <w:rFonts w:ascii="Times New Roman" w:hAnsi="Times New Roman"/>
          <w:sz w:val="24"/>
          <w:szCs w:val="24"/>
        </w:rPr>
        <w:t>41</w:t>
      </w:r>
      <w:r>
        <w:rPr>
          <w:rFonts w:ascii="Times New Roman" w:hAnsi="Times New Roman"/>
          <w:sz w:val="24"/>
          <w:szCs w:val="24"/>
        </w:rPr>
        <w:t xml:space="preserve">]. Thus, for example, Cohen </w:t>
      </w:r>
      <w:r w:rsidRPr="00ED2522">
        <w:rPr>
          <w:rFonts w:ascii="Times New Roman" w:hAnsi="Times New Roman"/>
          <w:i/>
          <w:sz w:val="24"/>
          <w:szCs w:val="24"/>
        </w:rPr>
        <w:t>et al</w:t>
      </w:r>
      <w:r>
        <w:rPr>
          <w:rFonts w:ascii="Times New Roman" w:hAnsi="Times New Roman"/>
          <w:sz w:val="24"/>
          <w:szCs w:val="24"/>
        </w:rPr>
        <w:t xml:space="preserve"> have found that, although self-reported crash rates did not differ, subjects with vestibular disorders tended to </w:t>
      </w:r>
      <w:r w:rsidRPr="00296798">
        <w:rPr>
          <w:rFonts w:ascii="Times New Roman" w:hAnsi="Times New Roman"/>
          <w:sz w:val="24"/>
          <w:szCs w:val="24"/>
        </w:rPr>
        <w:t xml:space="preserve">report </w:t>
      </w:r>
      <w:r>
        <w:rPr>
          <w:rFonts w:ascii="Times New Roman" w:hAnsi="Times New Roman"/>
          <w:sz w:val="24"/>
          <w:szCs w:val="24"/>
        </w:rPr>
        <w:t>impairment of</w:t>
      </w:r>
      <w:r w:rsidRPr="00296798">
        <w:rPr>
          <w:rFonts w:ascii="Times New Roman" w:hAnsi="Times New Roman"/>
          <w:sz w:val="24"/>
          <w:szCs w:val="24"/>
        </w:rPr>
        <w:t xml:space="preserve"> driving skills, </w:t>
      </w:r>
      <w:r>
        <w:rPr>
          <w:rFonts w:ascii="Times New Roman" w:hAnsi="Times New Roman"/>
          <w:sz w:val="24"/>
          <w:szCs w:val="24"/>
        </w:rPr>
        <w:t>“</w:t>
      </w:r>
      <w:r w:rsidRPr="00296798">
        <w:rPr>
          <w:rFonts w:ascii="Times New Roman" w:hAnsi="Times New Roman"/>
          <w:sz w:val="24"/>
          <w:szCs w:val="24"/>
        </w:rPr>
        <w:t>particularly in situations when visual inf</w:t>
      </w:r>
      <w:r>
        <w:rPr>
          <w:rFonts w:ascii="Times New Roman" w:hAnsi="Times New Roman"/>
          <w:sz w:val="24"/>
          <w:szCs w:val="24"/>
        </w:rPr>
        <w:t xml:space="preserve">ormation is reduced, rapid head </w:t>
      </w:r>
      <w:r w:rsidRPr="00296798">
        <w:rPr>
          <w:rFonts w:ascii="Times New Roman" w:hAnsi="Times New Roman"/>
          <w:sz w:val="24"/>
          <w:szCs w:val="24"/>
        </w:rPr>
        <w:t>movements are used, and specific path integration or spatial navigation skills are needed</w:t>
      </w:r>
      <w:r>
        <w:rPr>
          <w:rFonts w:ascii="Times New Roman" w:hAnsi="Times New Roman"/>
          <w:sz w:val="24"/>
          <w:szCs w:val="24"/>
        </w:rPr>
        <w:t xml:space="preserve">” [33]. However, this putative risk factor has rarely been studied in </w:t>
      </w:r>
      <w:r w:rsidR="00717987">
        <w:rPr>
          <w:rFonts w:ascii="Times New Roman" w:hAnsi="Times New Roman"/>
          <w:sz w:val="24"/>
          <w:szCs w:val="24"/>
        </w:rPr>
        <w:t xml:space="preserve">an </w:t>
      </w:r>
      <w:r>
        <w:rPr>
          <w:rFonts w:ascii="Times New Roman" w:hAnsi="Times New Roman"/>
          <w:sz w:val="24"/>
          <w:szCs w:val="24"/>
        </w:rPr>
        <w:t xml:space="preserve">occupational setting, and our earlier systematic review of chronic health problems and risk of accidental injury in the workplace [32] found no relevant primary reports estimating injury risks in relation to </w:t>
      </w:r>
      <w:r w:rsidRPr="007F586C">
        <w:rPr>
          <w:rFonts w:ascii="Times New Roman" w:hAnsi="Times New Roman"/>
          <w:sz w:val="24"/>
          <w:szCs w:val="24"/>
        </w:rPr>
        <w:t>vestibular disorder</w:t>
      </w:r>
      <w:r>
        <w:rPr>
          <w:rFonts w:ascii="Times New Roman" w:hAnsi="Times New Roman"/>
          <w:sz w:val="24"/>
          <w:szCs w:val="24"/>
        </w:rPr>
        <w:t>s</w:t>
      </w:r>
      <w:r w:rsidRPr="007F586C">
        <w:rPr>
          <w:rFonts w:ascii="Times New Roman" w:hAnsi="Times New Roman"/>
          <w:sz w:val="24"/>
          <w:szCs w:val="24"/>
        </w:rPr>
        <w:t xml:space="preserve">, vertigo, </w:t>
      </w:r>
      <w:r>
        <w:rPr>
          <w:rFonts w:ascii="Times New Roman" w:hAnsi="Times New Roman"/>
          <w:sz w:val="24"/>
          <w:szCs w:val="24"/>
        </w:rPr>
        <w:t xml:space="preserve">or </w:t>
      </w:r>
      <w:r w:rsidRPr="007F586C">
        <w:rPr>
          <w:rFonts w:ascii="Times New Roman" w:hAnsi="Times New Roman"/>
          <w:sz w:val="24"/>
          <w:szCs w:val="24"/>
        </w:rPr>
        <w:t>labyrinth</w:t>
      </w:r>
      <w:r>
        <w:rPr>
          <w:rFonts w:ascii="Times New Roman" w:hAnsi="Times New Roman"/>
          <w:sz w:val="24"/>
          <w:szCs w:val="24"/>
        </w:rPr>
        <w:t xml:space="preserve"> disorders. There is a </w:t>
      </w:r>
      <w:r w:rsidR="00717987">
        <w:rPr>
          <w:rFonts w:ascii="Times New Roman" w:hAnsi="Times New Roman"/>
          <w:sz w:val="24"/>
          <w:szCs w:val="24"/>
        </w:rPr>
        <w:t xml:space="preserve">requirement </w:t>
      </w:r>
      <w:r>
        <w:rPr>
          <w:rFonts w:ascii="Times New Roman" w:hAnsi="Times New Roman"/>
          <w:sz w:val="24"/>
          <w:szCs w:val="24"/>
        </w:rPr>
        <w:t xml:space="preserve">for further research on this </w:t>
      </w:r>
      <w:r w:rsidR="00717987">
        <w:rPr>
          <w:rFonts w:ascii="Times New Roman" w:hAnsi="Times New Roman"/>
          <w:sz w:val="24"/>
          <w:szCs w:val="24"/>
        </w:rPr>
        <w:t xml:space="preserve">possible </w:t>
      </w:r>
      <w:r>
        <w:rPr>
          <w:rFonts w:ascii="Times New Roman" w:hAnsi="Times New Roman"/>
          <w:sz w:val="24"/>
          <w:szCs w:val="24"/>
        </w:rPr>
        <w:t xml:space="preserve">hazard. Meanwhile, </w:t>
      </w:r>
      <w:r>
        <w:rPr>
          <w:rFonts w:ascii="Times New Roman" w:hAnsi="Times New Roman" w:cs="Times New Roman"/>
          <w:sz w:val="24"/>
          <w:szCs w:val="24"/>
        </w:rPr>
        <w:t>our</w:t>
      </w:r>
      <w:r w:rsidRPr="00DE39D6">
        <w:rPr>
          <w:rFonts w:ascii="Times New Roman" w:hAnsi="Times New Roman" w:cs="Times New Roman"/>
          <w:sz w:val="24"/>
          <w:szCs w:val="24"/>
        </w:rPr>
        <w:t xml:space="preserve"> data suggest</w:t>
      </w:r>
      <w:r>
        <w:rPr>
          <w:rFonts w:ascii="Times New Roman" w:hAnsi="Times New Roman" w:cs="Times New Roman"/>
          <w:sz w:val="24"/>
          <w:szCs w:val="24"/>
        </w:rPr>
        <w:t xml:space="preserve"> a need </w:t>
      </w:r>
      <w:r w:rsidRPr="00DE39D6">
        <w:rPr>
          <w:rFonts w:ascii="Times New Roman" w:hAnsi="Times New Roman" w:cs="Times New Roman"/>
          <w:sz w:val="24"/>
          <w:szCs w:val="24"/>
        </w:rPr>
        <w:t>to exercise caution in the occupational placement of individuals with such problems, especially in relation to work that carries an unusual degree of risk or</w:t>
      </w:r>
      <w:r>
        <w:rPr>
          <w:rFonts w:ascii="Times New Roman" w:hAnsi="Times New Roman" w:cs="Times New Roman"/>
          <w:sz w:val="24"/>
          <w:szCs w:val="24"/>
        </w:rPr>
        <w:t xml:space="preserve"> which, in the event of occupational injury, could jeopardise</w:t>
      </w:r>
      <w:r w:rsidRPr="00DE39D6">
        <w:rPr>
          <w:rFonts w:ascii="Times New Roman" w:hAnsi="Times New Roman" w:cs="Times New Roman"/>
          <w:sz w:val="24"/>
          <w:szCs w:val="24"/>
        </w:rPr>
        <w:t xml:space="preserve"> the safety of others.</w:t>
      </w:r>
    </w:p>
    <w:p w:rsidR="00C758D8" w:rsidRDefault="00C758D8" w:rsidP="00E307F9">
      <w:pPr>
        <w:widowControl w:val="0"/>
        <w:jc w:val="both"/>
        <w:rPr>
          <w:rFonts w:ascii="Times New Roman" w:hAnsi="Times New Roman"/>
          <w:sz w:val="24"/>
          <w:szCs w:val="24"/>
        </w:rPr>
      </w:pPr>
    </w:p>
    <w:p w:rsidR="00AE602F" w:rsidRDefault="00AE602F" w:rsidP="00552DD7">
      <w:pPr>
        <w:rPr>
          <w:rFonts w:ascii="Times New Roman" w:hAnsi="Times New Roman"/>
          <w:sz w:val="24"/>
          <w:szCs w:val="24"/>
        </w:rPr>
      </w:pPr>
    </w:p>
    <w:p w:rsidR="00BF6288" w:rsidRDefault="00BF6288" w:rsidP="00BF6288">
      <w:pPr>
        <w:rPr>
          <w:rFonts w:ascii="Times New Roman" w:hAnsi="Times New Roman" w:cs="Times New Roman"/>
          <w:i/>
          <w:sz w:val="24"/>
          <w:szCs w:val="24"/>
        </w:rPr>
      </w:pPr>
      <w:r w:rsidRPr="00976837">
        <w:rPr>
          <w:rFonts w:ascii="Times New Roman" w:hAnsi="Times New Roman" w:cs="Times New Roman"/>
          <w:b/>
          <w:i/>
          <w:sz w:val="24"/>
          <w:szCs w:val="24"/>
        </w:rPr>
        <w:t>Acknowledgements:</w:t>
      </w:r>
      <w:r w:rsidRPr="00976837">
        <w:rPr>
          <w:rFonts w:ascii="Times New Roman" w:hAnsi="Times New Roman" w:cs="Times New Roman"/>
          <w:i/>
          <w:sz w:val="24"/>
          <w:szCs w:val="24"/>
        </w:rPr>
        <w:t xml:space="preserve"> This study was support</w:t>
      </w:r>
      <w:r>
        <w:rPr>
          <w:rFonts w:ascii="Times New Roman" w:hAnsi="Times New Roman" w:cs="Times New Roman"/>
          <w:i/>
          <w:sz w:val="24"/>
          <w:szCs w:val="24"/>
        </w:rPr>
        <w:t>ed</w:t>
      </w:r>
      <w:r w:rsidRPr="00976837">
        <w:rPr>
          <w:rFonts w:ascii="Times New Roman" w:hAnsi="Times New Roman" w:cs="Times New Roman"/>
          <w:i/>
          <w:sz w:val="24"/>
          <w:szCs w:val="24"/>
        </w:rPr>
        <w:t xml:space="preserve"> by a grant from the</w:t>
      </w:r>
      <w:r w:rsidR="000F7246">
        <w:rPr>
          <w:rFonts w:ascii="Times New Roman" w:hAnsi="Times New Roman" w:cs="Times New Roman"/>
          <w:i/>
          <w:sz w:val="24"/>
          <w:szCs w:val="24"/>
        </w:rPr>
        <w:t xml:space="preserve"> UK’s</w:t>
      </w:r>
      <w:r w:rsidRPr="00976837">
        <w:rPr>
          <w:rFonts w:ascii="Times New Roman" w:hAnsi="Times New Roman" w:cs="Times New Roman"/>
          <w:i/>
          <w:sz w:val="24"/>
          <w:szCs w:val="24"/>
        </w:rPr>
        <w:t xml:space="preserve"> Institution of Occupational Safety and Health (IOSH) and by programme funding from the</w:t>
      </w:r>
      <w:r w:rsidR="000F7246">
        <w:rPr>
          <w:rFonts w:ascii="Times New Roman" w:hAnsi="Times New Roman" w:cs="Times New Roman"/>
          <w:i/>
          <w:sz w:val="24"/>
          <w:szCs w:val="24"/>
        </w:rPr>
        <w:t xml:space="preserve"> British</w:t>
      </w:r>
      <w:r w:rsidRPr="00976837">
        <w:rPr>
          <w:rFonts w:ascii="Times New Roman" w:hAnsi="Times New Roman" w:cs="Times New Roman"/>
          <w:i/>
          <w:sz w:val="24"/>
          <w:szCs w:val="24"/>
        </w:rPr>
        <w:t xml:space="preserve"> Medical R</w:t>
      </w:r>
      <w:r>
        <w:rPr>
          <w:rFonts w:ascii="Times New Roman" w:hAnsi="Times New Roman" w:cs="Times New Roman"/>
          <w:i/>
          <w:sz w:val="24"/>
          <w:szCs w:val="24"/>
        </w:rPr>
        <w:t>esearch Council. Access to the C</w:t>
      </w:r>
      <w:r w:rsidRPr="00976837">
        <w:rPr>
          <w:rFonts w:ascii="Times New Roman" w:hAnsi="Times New Roman" w:cs="Times New Roman"/>
          <w:i/>
          <w:sz w:val="24"/>
          <w:szCs w:val="24"/>
        </w:rPr>
        <w:t xml:space="preserve">PRD data was granted under an MRC licence. We wish to thank staff members of the </w:t>
      </w:r>
      <w:r>
        <w:rPr>
          <w:rFonts w:ascii="Times New Roman" w:hAnsi="Times New Roman" w:cs="Times New Roman"/>
          <w:i/>
          <w:sz w:val="24"/>
          <w:szCs w:val="24"/>
        </w:rPr>
        <w:t>CPRD</w:t>
      </w:r>
      <w:r w:rsidRPr="00976837">
        <w:rPr>
          <w:rFonts w:ascii="Times New Roman" w:hAnsi="Times New Roman" w:cs="Times New Roman"/>
          <w:i/>
          <w:sz w:val="24"/>
          <w:szCs w:val="24"/>
        </w:rPr>
        <w:t>, including Professor Tj</w:t>
      </w:r>
      <w:r>
        <w:rPr>
          <w:rFonts w:ascii="Times New Roman" w:hAnsi="Times New Roman" w:cs="Times New Roman"/>
          <w:i/>
          <w:sz w:val="24"/>
          <w:szCs w:val="24"/>
        </w:rPr>
        <w:t>eerd Van Staa, for their support.</w:t>
      </w:r>
    </w:p>
    <w:p w:rsidR="00BF6288" w:rsidRDefault="00BF6288" w:rsidP="00552DD7">
      <w:pPr>
        <w:rPr>
          <w:rFonts w:ascii="Times New Roman" w:hAnsi="Times New Roman"/>
          <w:sz w:val="24"/>
          <w:szCs w:val="24"/>
        </w:rPr>
        <w:sectPr w:rsidR="00BF6288" w:rsidSect="00BC1803">
          <w:footerReference w:type="default" r:id="rId10"/>
          <w:pgSz w:w="11906" w:h="16838"/>
          <w:pgMar w:top="1440" w:right="1440" w:bottom="1440" w:left="1440" w:header="708" w:footer="708" w:gutter="0"/>
          <w:cols w:space="708"/>
          <w:docGrid w:linePitch="360"/>
        </w:sectPr>
      </w:pPr>
    </w:p>
    <w:p w:rsidR="00AE602F" w:rsidRDefault="002045DB" w:rsidP="00406FAF">
      <w:pP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30E76">
        <w:rPr>
          <w:rFonts w:ascii="Times New Roman" w:hAnsi="Times New Roman" w:cs="Times New Roman"/>
          <w:b/>
          <w:sz w:val="24"/>
          <w:szCs w:val="24"/>
        </w:rPr>
        <w:t>1</w:t>
      </w:r>
      <w:r w:rsidR="0022451F">
        <w:rPr>
          <w:rFonts w:ascii="Times New Roman" w:hAnsi="Times New Roman" w:cs="Times New Roman"/>
          <w:b/>
          <w:sz w:val="24"/>
          <w:szCs w:val="24"/>
        </w:rPr>
        <w:t>: Association between prior problems of vision</w:t>
      </w:r>
      <w:r w:rsidR="001A191C" w:rsidRPr="001A191C">
        <w:rPr>
          <w:rFonts w:ascii="Times New Roman" w:hAnsi="Times New Roman" w:cs="Times New Roman"/>
          <w:b/>
          <w:sz w:val="24"/>
          <w:szCs w:val="24"/>
          <w:vertAlign w:val="superscript"/>
        </w:rPr>
        <w:t>a</w:t>
      </w:r>
      <w:r w:rsidR="0022451F">
        <w:rPr>
          <w:rFonts w:ascii="Times New Roman" w:hAnsi="Times New Roman" w:cs="Times New Roman"/>
          <w:b/>
          <w:sz w:val="24"/>
          <w:szCs w:val="24"/>
        </w:rPr>
        <w:t xml:space="preserve"> and consultation with an occupational injury</w:t>
      </w:r>
    </w:p>
    <w:p w:rsidR="00182753" w:rsidRDefault="00182753" w:rsidP="00406FAF">
      <w:pPr>
        <w:rPr>
          <w:rFonts w:ascii="Times New Roman" w:hAnsi="Times New Roman" w:cs="Times New Roman"/>
          <w:b/>
          <w:sz w:val="24"/>
          <w:szCs w:val="24"/>
        </w:rPr>
      </w:pPr>
    </w:p>
    <w:tbl>
      <w:tblPr>
        <w:tblW w:w="15520" w:type="dxa"/>
        <w:tblInd w:w="94" w:type="dxa"/>
        <w:tblLook w:val="04A0" w:firstRow="1" w:lastRow="0" w:firstColumn="1" w:lastColumn="0" w:noHBand="0" w:noVBand="1"/>
      </w:tblPr>
      <w:tblGrid>
        <w:gridCol w:w="4244"/>
        <w:gridCol w:w="2070"/>
        <w:gridCol w:w="1710"/>
        <w:gridCol w:w="1260"/>
        <w:gridCol w:w="1440"/>
        <w:gridCol w:w="1080"/>
        <w:gridCol w:w="270"/>
        <w:gridCol w:w="1260"/>
        <w:gridCol w:w="1279"/>
        <w:gridCol w:w="907"/>
      </w:tblGrid>
      <w:tr w:rsidR="00AF4D17" w:rsidRPr="00761828" w:rsidTr="00F251E4">
        <w:trPr>
          <w:trHeight w:val="292"/>
        </w:trPr>
        <w:tc>
          <w:tcPr>
            <w:tcW w:w="4244" w:type="dxa"/>
            <w:vMerge w:val="restart"/>
            <w:tcBorders>
              <w:top w:val="single" w:sz="4" w:space="0" w:color="auto"/>
            </w:tcBorders>
            <w:shd w:val="clear" w:color="auto" w:fill="auto"/>
            <w:noWrap/>
            <w:vAlign w:val="center"/>
            <w:hideMark/>
          </w:tcPr>
          <w:p w:rsidR="00AF4D17" w:rsidRPr="00182753" w:rsidRDefault="00AF4D17" w:rsidP="00AF4D17">
            <w:pPr>
              <w:spacing w:line="240" w:lineRule="auto"/>
              <w:rPr>
                <w:rFonts w:ascii="Times New Roman" w:hAnsi="Times New Roman"/>
                <w:b/>
                <w:sz w:val="24"/>
                <w:szCs w:val="24"/>
              </w:rPr>
            </w:pPr>
            <w:r w:rsidRPr="00182753">
              <w:rPr>
                <w:rFonts w:ascii="Times New Roman" w:hAnsi="Times New Roman"/>
                <w:b/>
                <w:sz w:val="24"/>
                <w:szCs w:val="24"/>
              </w:rPr>
              <w:t> Before the index date</w:t>
            </w:r>
          </w:p>
        </w:tc>
        <w:tc>
          <w:tcPr>
            <w:tcW w:w="3780" w:type="dxa"/>
            <w:gridSpan w:val="2"/>
            <w:tcBorders>
              <w:top w:val="single" w:sz="4" w:space="0" w:color="auto"/>
              <w:bottom w:val="single" w:sz="4" w:space="0" w:color="auto"/>
            </w:tcBorders>
            <w:shd w:val="clear" w:color="auto" w:fill="auto"/>
            <w:vAlign w:val="bottom"/>
            <w:hideMark/>
          </w:tcPr>
          <w:p w:rsidR="00AF4D17" w:rsidRPr="00182753" w:rsidRDefault="00AF4D17" w:rsidP="00AF4D17">
            <w:pPr>
              <w:spacing w:line="240" w:lineRule="auto"/>
              <w:jc w:val="center"/>
              <w:rPr>
                <w:rFonts w:ascii="Times New Roman" w:hAnsi="Times New Roman"/>
                <w:b/>
                <w:sz w:val="24"/>
                <w:szCs w:val="24"/>
              </w:rPr>
            </w:pPr>
            <w:r w:rsidRPr="00182753">
              <w:rPr>
                <w:rFonts w:ascii="Times New Roman" w:hAnsi="Times New Roman"/>
                <w:b/>
                <w:sz w:val="24"/>
                <w:szCs w:val="24"/>
              </w:rPr>
              <w:t>N (%)</w:t>
            </w:r>
          </w:p>
        </w:tc>
        <w:tc>
          <w:tcPr>
            <w:tcW w:w="1260" w:type="dxa"/>
            <w:vMerge w:val="restart"/>
            <w:tcBorders>
              <w:top w:val="single" w:sz="4" w:space="0" w:color="auto"/>
            </w:tcBorders>
            <w:vAlign w:val="center"/>
          </w:tcPr>
          <w:p w:rsidR="00AF4D17" w:rsidRPr="00C31405" w:rsidRDefault="00AF4D17" w:rsidP="00AF4D17">
            <w:pPr>
              <w:spacing w:line="240" w:lineRule="auto"/>
              <w:jc w:val="center"/>
              <w:rPr>
                <w:rFonts w:ascii="Times New Roman" w:hAnsi="Times New Roman"/>
                <w:b/>
                <w:sz w:val="24"/>
                <w:szCs w:val="24"/>
                <w:vertAlign w:val="superscript"/>
              </w:rPr>
            </w:pPr>
            <w:r w:rsidRPr="00182753">
              <w:rPr>
                <w:rFonts w:ascii="Times New Roman" w:hAnsi="Times New Roman"/>
                <w:b/>
                <w:sz w:val="24"/>
                <w:szCs w:val="24"/>
              </w:rPr>
              <w:t>OR</w:t>
            </w:r>
            <w:r>
              <w:rPr>
                <w:rFonts w:ascii="Times New Roman" w:hAnsi="Times New Roman"/>
                <w:b/>
                <w:sz w:val="24"/>
                <w:szCs w:val="24"/>
                <w:vertAlign w:val="superscript"/>
              </w:rPr>
              <w:t>b</w:t>
            </w:r>
          </w:p>
        </w:tc>
        <w:tc>
          <w:tcPr>
            <w:tcW w:w="1440" w:type="dxa"/>
            <w:vMerge w:val="restart"/>
            <w:tcBorders>
              <w:top w:val="single" w:sz="4" w:space="0" w:color="auto"/>
            </w:tcBorders>
            <w:vAlign w:val="center"/>
          </w:tcPr>
          <w:p w:rsidR="00AF4D17" w:rsidRPr="00182753" w:rsidRDefault="00AF4D17" w:rsidP="00AF4D17">
            <w:pPr>
              <w:spacing w:line="240" w:lineRule="auto"/>
              <w:jc w:val="center"/>
              <w:rPr>
                <w:rFonts w:ascii="Times New Roman" w:hAnsi="Times New Roman"/>
                <w:b/>
                <w:sz w:val="24"/>
                <w:szCs w:val="24"/>
              </w:rPr>
            </w:pPr>
            <w:r w:rsidRPr="00182753">
              <w:rPr>
                <w:rFonts w:ascii="Times New Roman" w:hAnsi="Times New Roman"/>
                <w:b/>
                <w:sz w:val="24"/>
                <w:szCs w:val="24"/>
              </w:rPr>
              <w:t>95 % CI</w:t>
            </w:r>
          </w:p>
        </w:tc>
        <w:tc>
          <w:tcPr>
            <w:tcW w:w="1080" w:type="dxa"/>
            <w:vMerge w:val="restart"/>
            <w:tcBorders>
              <w:top w:val="single" w:sz="4" w:space="0" w:color="auto"/>
            </w:tcBorders>
            <w:shd w:val="clear" w:color="auto" w:fill="auto"/>
            <w:noWrap/>
            <w:vAlign w:val="center"/>
            <w:hideMark/>
          </w:tcPr>
          <w:p w:rsidR="00AF4D17" w:rsidRPr="00182753" w:rsidRDefault="00AF4D17" w:rsidP="00AF4D17">
            <w:pPr>
              <w:spacing w:line="240" w:lineRule="auto"/>
              <w:jc w:val="center"/>
              <w:rPr>
                <w:rFonts w:ascii="Times New Roman" w:hAnsi="Times New Roman"/>
                <w:b/>
                <w:sz w:val="24"/>
                <w:szCs w:val="24"/>
              </w:rPr>
            </w:pPr>
            <w:r w:rsidRPr="00182753">
              <w:rPr>
                <w:rFonts w:ascii="Times New Roman" w:hAnsi="Times New Roman"/>
                <w:b/>
                <w:sz w:val="24"/>
                <w:szCs w:val="24"/>
              </w:rPr>
              <w:t>P-value</w:t>
            </w:r>
          </w:p>
        </w:tc>
        <w:tc>
          <w:tcPr>
            <w:tcW w:w="270" w:type="dxa"/>
            <w:vMerge w:val="restart"/>
            <w:tcBorders>
              <w:top w:val="single" w:sz="4" w:space="0" w:color="auto"/>
            </w:tcBorders>
          </w:tcPr>
          <w:p w:rsidR="00AF4D17" w:rsidRPr="00182753" w:rsidRDefault="00AF4D17" w:rsidP="00AF4D17">
            <w:pPr>
              <w:spacing w:line="240" w:lineRule="auto"/>
              <w:jc w:val="center"/>
              <w:rPr>
                <w:rFonts w:ascii="Times New Roman" w:hAnsi="Times New Roman"/>
                <w:b/>
                <w:sz w:val="24"/>
                <w:szCs w:val="24"/>
              </w:rPr>
            </w:pPr>
          </w:p>
        </w:tc>
        <w:tc>
          <w:tcPr>
            <w:tcW w:w="1260" w:type="dxa"/>
            <w:vMerge w:val="restart"/>
            <w:tcBorders>
              <w:top w:val="single" w:sz="4" w:space="0" w:color="auto"/>
            </w:tcBorders>
            <w:vAlign w:val="center"/>
          </w:tcPr>
          <w:p w:rsidR="00AF4D17" w:rsidRPr="00F251E4" w:rsidRDefault="00AF4D17" w:rsidP="00AF4D17">
            <w:pPr>
              <w:spacing w:line="240" w:lineRule="auto"/>
              <w:jc w:val="center"/>
              <w:rPr>
                <w:rFonts w:ascii="Times New Roman" w:hAnsi="Times New Roman"/>
                <w:b/>
                <w:sz w:val="24"/>
                <w:szCs w:val="24"/>
              </w:rPr>
            </w:pPr>
            <w:r w:rsidRPr="00F251E4">
              <w:rPr>
                <w:rFonts w:ascii="Times New Roman" w:eastAsia="Times New Roman" w:hAnsi="Times New Roman" w:cs="Times New Roman"/>
                <w:b/>
                <w:bCs/>
                <w:color w:val="000000"/>
                <w:sz w:val="24"/>
                <w:szCs w:val="24"/>
              </w:rPr>
              <w:t>OR</w:t>
            </w:r>
            <w:r w:rsidRPr="00F251E4">
              <w:rPr>
                <w:rFonts w:ascii="Times New Roman" w:eastAsia="Times New Roman" w:hAnsi="Times New Roman" w:cs="Times New Roman"/>
                <w:b/>
                <w:bCs/>
                <w:color w:val="000000"/>
                <w:sz w:val="24"/>
                <w:szCs w:val="24"/>
                <w:vertAlign w:val="superscript"/>
              </w:rPr>
              <w:t>c</w:t>
            </w:r>
          </w:p>
        </w:tc>
        <w:tc>
          <w:tcPr>
            <w:tcW w:w="1279" w:type="dxa"/>
            <w:vMerge w:val="restart"/>
            <w:tcBorders>
              <w:top w:val="single" w:sz="4" w:space="0" w:color="auto"/>
            </w:tcBorders>
            <w:vAlign w:val="center"/>
          </w:tcPr>
          <w:p w:rsidR="00AF4D17" w:rsidRPr="00F251E4" w:rsidRDefault="00AF4D17">
            <w:pPr>
              <w:spacing w:line="240" w:lineRule="auto"/>
              <w:jc w:val="center"/>
              <w:rPr>
                <w:rFonts w:ascii="Times New Roman" w:hAnsi="Times New Roman"/>
                <w:b/>
                <w:sz w:val="24"/>
                <w:szCs w:val="24"/>
              </w:rPr>
            </w:pPr>
            <w:r w:rsidRPr="00F251E4">
              <w:rPr>
                <w:rFonts w:ascii="Times New Roman" w:eastAsia="Times New Roman" w:hAnsi="Times New Roman" w:cs="Times New Roman"/>
                <w:b/>
                <w:bCs/>
                <w:color w:val="000000"/>
                <w:sz w:val="24"/>
                <w:szCs w:val="24"/>
              </w:rPr>
              <w:t>95 % CI</w:t>
            </w:r>
          </w:p>
        </w:tc>
        <w:tc>
          <w:tcPr>
            <w:tcW w:w="907" w:type="dxa"/>
            <w:vMerge w:val="restart"/>
            <w:tcBorders>
              <w:top w:val="single" w:sz="4" w:space="0" w:color="auto"/>
            </w:tcBorders>
            <w:vAlign w:val="center"/>
          </w:tcPr>
          <w:p w:rsidR="00AF4D17" w:rsidRPr="00F251E4" w:rsidRDefault="00AF4D17">
            <w:pPr>
              <w:spacing w:line="240" w:lineRule="auto"/>
              <w:jc w:val="center"/>
              <w:rPr>
                <w:rFonts w:ascii="Times New Roman" w:hAnsi="Times New Roman"/>
                <w:b/>
                <w:sz w:val="24"/>
                <w:szCs w:val="24"/>
              </w:rPr>
            </w:pPr>
            <w:r w:rsidRPr="00F251E4">
              <w:rPr>
                <w:rFonts w:ascii="Times New Roman" w:eastAsia="Times New Roman" w:hAnsi="Times New Roman" w:cs="Times New Roman"/>
                <w:b/>
                <w:bCs/>
                <w:color w:val="000000"/>
                <w:sz w:val="24"/>
                <w:szCs w:val="24"/>
              </w:rPr>
              <w:t>P-value</w:t>
            </w:r>
          </w:p>
        </w:tc>
      </w:tr>
      <w:tr w:rsidR="00AF4D17" w:rsidRPr="00761828" w:rsidTr="00F251E4">
        <w:trPr>
          <w:trHeight w:val="516"/>
        </w:trPr>
        <w:tc>
          <w:tcPr>
            <w:tcW w:w="4244" w:type="dxa"/>
            <w:vMerge/>
            <w:tcBorders>
              <w:bottom w:val="single" w:sz="4" w:space="0" w:color="auto"/>
            </w:tcBorders>
            <w:shd w:val="clear" w:color="auto" w:fill="auto"/>
            <w:noWrap/>
            <w:vAlign w:val="bottom"/>
            <w:hideMark/>
          </w:tcPr>
          <w:p w:rsidR="00AF4D17" w:rsidRPr="00182753" w:rsidRDefault="00AF4D17" w:rsidP="00AF4D17">
            <w:pPr>
              <w:spacing w:line="240" w:lineRule="auto"/>
              <w:rPr>
                <w:rFonts w:ascii="Times New Roman" w:hAnsi="Times New Roman"/>
                <w:sz w:val="24"/>
                <w:szCs w:val="24"/>
              </w:rPr>
            </w:pPr>
          </w:p>
        </w:tc>
        <w:tc>
          <w:tcPr>
            <w:tcW w:w="2070" w:type="dxa"/>
            <w:tcBorders>
              <w:top w:val="single" w:sz="4" w:space="0" w:color="auto"/>
              <w:bottom w:val="single" w:sz="4" w:space="0" w:color="auto"/>
            </w:tcBorders>
            <w:shd w:val="clear" w:color="auto" w:fill="auto"/>
            <w:vAlign w:val="center"/>
            <w:hideMark/>
          </w:tcPr>
          <w:p w:rsidR="00AF4D17" w:rsidRPr="00182753" w:rsidRDefault="00AF4D17" w:rsidP="00AF4D17">
            <w:pPr>
              <w:spacing w:line="240" w:lineRule="auto"/>
              <w:jc w:val="center"/>
              <w:rPr>
                <w:rFonts w:ascii="Times New Roman" w:hAnsi="Times New Roman"/>
                <w:b/>
                <w:sz w:val="24"/>
                <w:szCs w:val="24"/>
              </w:rPr>
            </w:pPr>
            <w:r w:rsidRPr="00182753">
              <w:rPr>
                <w:rFonts w:ascii="Times New Roman" w:hAnsi="Times New Roman"/>
                <w:b/>
                <w:sz w:val="24"/>
                <w:szCs w:val="24"/>
              </w:rPr>
              <w:t>Cases     (n=1348)</w:t>
            </w:r>
          </w:p>
        </w:tc>
        <w:tc>
          <w:tcPr>
            <w:tcW w:w="1710" w:type="dxa"/>
            <w:tcBorders>
              <w:top w:val="single" w:sz="4" w:space="0" w:color="auto"/>
              <w:bottom w:val="single" w:sz="4" w:space="0" w:color="auto"/>
            </w:tcBorders>
            <w:shd w:val="clear" w:color="auto" w:fill="auto"/>
            <w:vAlign w:val="center"/>
            <w:hideMark/>
          </w:tcPr>
          <w:p w:rsidR="00AF4D17" w:rsidRPr="00182753" w:rsidRDefault="00AF4D17" w:rsidP="00AF4D17">
            <w:pPr>
              <w:spacing w:line="240" w:lineRule="auto"/>
              <w:jc w:val="center"/>
              <w:rPr>
                <w:rFonts w:ascii="Times New Roman" w:hAnsi="Times New Roman"/>
                <w:b/>
                <w:sz w:val="24"/>
                <w:szCs w:val="24"/>
              </w:rPr>
            </w:pPr>
            <w:r w:rsidRPr="00182753">
              <w:rPr>
                <w:rFonts w:ascii="Times New Roman" w:hAnsi="Times New Roman"/>
                <w:b/>
                <w:sz w:val="24"/>
                <w:szCs w:val="24"/>
              </w:rPr>
              <w:t>Controls                           (n=6652)</w:t>
            </w:r>
          </w:p>
        </w:tc>
        <w:tc>
          <w:tcPr>
            <w:tcW w:w="1260" w:type="dxa"/>
            <w:vMerge/>
            <w:tcBorders>
              <w:bottom w:val="single" w:sz="4" w:space="0" w:color="auto"/>
            </w:tcBorders>
            <w:shd w:val="clear" w:color="auto" w:fill="auto"/>
            <w:noWrap/>
            <w:vAlign w:val="center"/>
            <w:hideMark/>
          </w:tcPr>
          <w:p w:rsidR="00AF4D17" w:rsidRPr="00182753" w:rsidRDefault="00AF4D17" w:rsidP="00AF4D17">
            <w:pPr>
              <w:spacing w:line="240" w:lineRule="auto"/>
              <w:jc w:val="center"/>
              <w:rPr>
                <w:rFonts w:ascii="Times New Roman" w:hAnsi="Times New Roman"/>
                <w:sz w:val="24"/>
                <w:szCs w:val="24"/>
              </w:rPr>
            </w:pPr>
          </w:p>
        </w:tc>
        <w:tc>
          <w:tcPr>
            <w:tcW w:w="1440" w:type="dxa"/>
            <w:vMerge/>
            <w:tcBorders>
              <w:bottom w:val="single" w:sz="4" w:space="0" w:color="auto"/>
            </w:tcBorders>
            <w:vAlign w:val="center"/>
          </w:tcPr>
          <w:p w:rsidR="00AF4D17" w:rsidRPr="00182753" w:rsidRDefault="00AF4D17" w:rsidP="00AF4D17">
            <w:pPr>
              <w:spacing w:line="240" w:lineRule="auto"/>
              <w:jc w:val="center"/>
              <w:rPr>
                <w:rFonts w:ascii="Times New Roman" w:hAnsi="Times New Roman"/>
                <w:sz w:val="24"/>
                <w:szCs w:val="24"/>
              </w:rPr>
            </w:pPr>
          </w:p>
        </w:tc>
        <w:tc>
          <w:tcPr>
            <w:tcW w:w="1080" w:type="dxa"/>
            <w:vMerge/>
            <w:tcBorders>
              <w:bottom w:val="single" w:sz="4" w:space="0" w:color="auto"/>
            </w:tcBorders>
            <w:shd w:val="clear" w:color="auto" w:fill="auto"/>
            <w:noWrap/>
            <w:vAlign w:val="center"/>
            <w:hideMark/>
          </w:tcPr>
          <w:p w:rsidR="00AF4D17" w:rsidRPr="00182753" w:rsidRDefault="00AF4D17" w:rsidP="00AF4D17">
            <w:pPr>
              <w:spacing w:line="240" w:lineRule="auto"/>
              <w:jc w:val="center"/>
              <w:rPr>
                <w:rFonts w:ascii="Times New Roman" w:hAnsi="Times New Roman"/>
                <w:sz w:val="24"/>
                <w:szCs w:val="24"/>
              </w:rPr>
            </w:pPr>
          </w:p>
        </w:tc>
        <w:tc>
          <w:tcPr>
            <w:tcW w:w="270" w:type="dxa"/>
            <w:vMerge/>
          </w:tcPr>
          <w:p w:rsidR="00AF4D17" w:rsidRPr="00182753" w:rsidRDefault="00AF4D17" w:rsidP="00AF4D17">
            <w:pPr>
              <w:spacing w:line="240" w:lineRule="auto"/>
              <w:jc w:val="center"/>
              <w:rPr>
                <w:rFonts w:ascii="Times New Roman" w:hAnsi="Times New Roman"/>
                <w:sz w:val="24"/>
                <w:szCs w:val="24"/>
              </w:rPr>
            </w:pPr>
          </w:p>
        </w:tc>
        <w:tc>
          <w:tcPr>
            <w:tcW w:w="1260" w:type="dxa"/>
            <w:vMerge/>
            <w:tcBorders>
              <w:bottom w:val="single" w:sz="8" w:space="0" w:color="auto"/>
            </w:tcBorders>
            <w:shd w:val="clear" w:color="auto" w:fill="auto"/>
            <w:vAlign w:val="center"/>
          </w:tcPr>
          <w:p w:rsidR="00AF4D17" w:rsidRPr="00EC5D29" w:rsidRDefault="00AF4D17">
            <w:pPr>
              <w:spacing w:line="240" w:lineRule="auto"/>
              <w:jc w:val="center"/>
              <w:rPr>
                <w:rFonts w:ascii="Times New Roman" w:hAnsi="Times New Roman"/>
                <w:sz w:val="24"/>
                <w:szCs w:val="24"/>
                <w:vertAlign w:val="superscript"/>
              </w:rPr>
            </w:pPr>
          </w:p>
        </w:tc>
        <w:tc>
          <w:tcPr>
            <w:tcW w:w="1279" w:type="dxa"/>
            <w:vMerge/>
            <w:tcBorders>
              <w:bottom w:val="single" w:sz="8" w:space="0" w:color="auto"/>
            </w:tcBorders>
            <w:shd w:val="clear" w:color="auto" w:fill="auto"/>
            <w:vAlign w:val="center"/>
          </w:tcPr>
          <w:p w:rsidR="00AF4D17" w:rsidRPr="00182753" w:rsidRDefault="00AF4D17">
            <w:pPr>
              <w:spacing w:line="240" w:lineRule="auto"/>
              <w:jc w:val="center"/>
              <w:rPr>
                <w:rFonts w:ascii="Times New Roman" w:hAnsi="Times New Roman"/>
                <w:sz w:val="24"/>
                <w:szCs w:val="24"/>
              </w:rPr>
            </w:pPr>
          </w:p>
        </w:tc>
        <w:tc>
          <w:tcPr>
            <w:tcW w:w="907" w:type="dxa"/>
            <w:vMerge/>
            <w:tcBorders>
              <w:bottom w:val="single" w:sz="8" w:space="0" w:color="auto"/>
            </w:tcBorders>
            <w:shd w:val="clear" w:color="auto" w:fill="auto"/>
            <w:vAlign w:val="center"/>
          </w:tcPr>
          <w:p w:rsidR="00AF4D17" w:rsidRPr="00182753" w:rsidRDefault="00AF4D17">
            <w:pPr>
              <w:spacing w:line="240" w:lineRule="auto"/>
              <w:jc w:val="center"/>
              <w:rPr>
                <w:rFonts w:ascii="Times New Roman" w:hAnsi="Times New Roman"/>
                <w:sz w:val="24"/>
                <w:szCs w:val="24"/>
              </w:rPr>
            </w:pPr>
          </w:p>
        </w:tc>
      </w:tr>
      <w:tr w:rsidR="00AF4D17" w:rsidRPr="00761828" w:rsidTr="00F251E4">
        <w:trPr>
          <w:trHeight w:val="489"/>
        </w:trPr>
        <w:tc>
          <w:tcPr>
            <w:tcW w:w="4244" w:type="dxa"/>
            <w:tcBorders>
              <w:top w:val="single" w:sz="4" w:space="0" w:color="auto"/>
            </w:tcBorders>
            <w:shd w:val="clear" w:color="auto" w:fill="auto"/>
            <w:noWrap/>
            <w:vAlign w:val="center"/>
            <w:hideMark/>
          </w:tcPr>
          <w:p w:rsidR="00AF4D17" w:rsidRPr="00F251E4" w:rsidRDefault="00AF4D17" w:rsidP="00AF4D17">
            <w:pPr>
              <w:spacing w:line="240" w:lineRule="auto"/>
              <w:rPr>
                <w:rFonts w:ascii="Times New Roman" w:hAnsi="Times New Roman"/>
              </w:rPr>
            </w:pPr>
            <w:r w:rsidRPr="00F251E4">
              <w:rPr>
                <w:rFonts w:ascii="Times New Roman" w:hAnsi="Times New Roman"/>
              </w:rPr>
              <w:t>No eye problem</w:t>
            </w:r>
          </w:p>
        </w:tc>
        <w:tc>
          <w:tcPr>
            <w:tcW w:w="2070" w:type="dxa"/>
            <w:tcBorders>
              <w:top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1312 (97.3)</w:t>
            </w:r>
          </w:p>
        </w:tc>
        <w:tc>
          <w:tcPr>
            <w:tcW w:w="1710" w:type="dxa"/>
            <w:tcBorders>
              <w:top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6515 (97.9)</w:t>
            </w:r>
          </w:p>
        </w:tc>
        <w:tc>
          <w:tcPr>
            <w:tcW w:w="1260" w:type="dxa"/>
            <w:tcBorders>
              <w:top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1</w:t>
            </w:r>
          </w:p>
        </w:tc>
        <w:tc>
          <w:tcPr>
            <w:tcW w:w="1440" w:type="dxa"/>
            <w:tcBorders>
              <w:top w:val="single" w:sz="4" w:space="0" w:color="auto"/>
            </w:tcBorders>
            <w:vAlign w:val="center"/>
          </w:tcPr>
          <w:p w:rsidR="00AF4D17" w:rsidRPr="00F251E4" w:rsidRDefault="00AF4D17" w:rsidP="00AF4D17">
            <w:pPr>
              <w:spacing w:line="240" w:lineRule="auto"/>
              <w:jc w:val="center"/>
              <w:rPr>
                <w:rFonts w:ascii="Times New Roman" w:hAnsi="Times New Roman"/>
              </w:rPr>
            </w:pPr>
          </w:p>
        </w:tc>
        <w:tc>
          <w:tcPr>
            <w:tcW w:w="1080" w:type="dxa"/>
            <w:tcBorders>
              <w:top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p>
        </w:tc>
        <w:tc>
          <w:tcPr>
            <w:tcW w:w="270" w:type="dxa"/>
          </w:tcPr>
          <w:p w:rsidR="00AF4D17" w:rsidRPr="00F251E4" w:rsidRDefault="00AF4D17" w:rsidP="00AF4D17">
            <w:pPr>
              <w:spacing w:line="240" w:lineRule="auto"/>
              <w:jc w:val="center"/>
              <w:rPr>
                <w:rFonts w:ascii="Times New Roman" w:hAnsi="Times New Roman"/>
              </w:rPr>
            </w:pPr>
          </w:p>
        </w:tc>
        <w:tc>
          <w:tcPr>
            <w:tcW w:w="1260" w:type="dxa"/>
            <w:tcBorders>
              <w:top w:val="single" w:sz="8" w:space="0" w:color="auto"/>
              <w:bottom w:val="nil"/>
              <w:right w:val="nil"/>
            </w:tcBorders>
            <w:shd w:val="clear" w:color="auto" w:fill="auto"/>
            <w:vAlign w:val="center"/>
          </w:tcPr>
          <w:p w:rsidR="00AF4D17" w:rsidRPr="00F251E4" w:rsidRDefault="00AF4D17" w:rsidP="00AF4D17">
            <w:pPr>
              <w:spacing w:line="240" w:lineRule="auto"/>
              <w:jc w:val="center"/>
              <w:rPr>
                <w:rFonts w:ascii="Times New Roman" w:hAnsi="Times New Roman"/>
              </w:rPr>
            </w:pPr>
          </w:p>
        </w:tc>
        <w:tc>
          <w:tcPr>
            <w:tcW w:w="1279"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hAnsi="Times New Roman"/>
              </w:rPr>
            </w:pPr>
          </w:p>
        </w:tc>
        <w:tc>
          <w:tcPr>
            <w:tcW w:w="907"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hAnsi="Times New Roman"/>
              </w:rPr>
            </w:pPr>
          </w:p>
        </w:tc>
      </w:tr>
      <w:tr w:rsidR="00AF4D17" w:rsidRPr="00761828" w:rsidTr="00F251E4">
        <w:trPr>
          <w:trHeight w:val="489"/>
        </w:trPr>
        <w:tc>
          <w:tcPr>
            <w:tcW w:w="4244" w:type="dxa"/>
            <w:shd w:val="clear" w:color="auto" w:fill="auto"/>
            <w:noWrap/>
            <w:vAlign w:val="center"/>
            <w:hideMark/>
          </w:tcPr>
          <w:p w:rsidR="00AF4D17" w:rsidRPr="00F251E4" w:rsidRDefault="00AF4D17" w:rsidP="00AF4D17">
            <w:pPr>
              <w:spacing w:line="240" w:lineRule="auto"/>
              <w:rPr>
                <w:rFonts w:ascii="Times New Roman" w:hAnsi="Times New Roman"/>
              </w:rPr>
            </w:pPr>
            <w:r w:rsidRPr="00F251E4">
              <w:rPr>
                <w:rFonts w:ascii="Times New Roman" w:hAnsi="Times New Roman"/>
              </w:rPr>
              <w:t>Any eye problem</w:t>
            </w:r>
          </w:p>
        </w:tc>
        <w:tc>
          <w:tcPr>
            <w:tcW w:w="207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36 (2.7)</w:t>
            </w:r>
          </w:p>
        </w:tc>
        <w:tc>
          <w:tcPr>
            <w:tcW w:w="171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137 (2.1)</w:t>
            </w:r>
          </w:p>
        </w:tc>
        <w:tc>
          <w:tcPr>
            <w:tcW w:w="126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1.33</w:t>
            </w:r>
          </w:p>
        </w:tc>
        <w:tc>
          <w:tcPr>
            <w:tcW w:w="1440" w:type="dxa"/>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(0.91-1.93)</w:t>
            </w:r>
          </w:p>
        </w:tc>
        <w:tc>
          <w:tcPr>
            <w:tcW w:w="108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0.14</w:t>
            </w:r>
          </w:p>
        </w:tc>
        <w:tc>
          <w:tcPr>
            <w:tcW w:w="270" w:type="dxa"/>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p>
        </w:tc>
        <w:tc>
          <w:tcPr>
            <w:tcW w:w="1260" w:type="dxa"/>
            <w:tcBorders>
              <w:top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1.31</w:t>
            </w:r>
          </w:p>
        </w:tc>
        <w:tc>
          <w:tcPr>
            <w:tcW w:w="1279"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(0.90-1.91)</w:t>
            </w:r>
          </w:p>
        </w:tc>
        <w:tc>
          <w:tcPr>
            <w:tcW w:w="907"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0.16</w:t>
            </w:r>
          </w:p>
        </w:tc>
      </w:tr>
      <w:tr w:rsidR="00AF4D17" w:rsidRPr="00761828" w:rsidTr="00F251E4">
        <w:trPr>
          <w:trHeight w:val="489"/>
        </w:trPr>
        <w:tc>
          <w:tcPr>
            <w:tcW w:w="4244" w:type="dxa"/>
            <w:shd w:val="clear" w:color="auto" w:fill="auto"/>
            <w:noWrap/>
            <w:vAlign w:val="center"/>
            <w:hideMark/>
          </w:tcPr>
          <w:p w:rsidR="00AF4D17" w:rsidRPr="00F251E4" w:rsidRDefault="00AF4D17" w:rsidP="00AF4D17">
            <w:pPr>
              <w:pStyle w:val="ListParagraph"/>
              <w:numPr>
                <w:ilvl w:val="0"/>
                <w:numId w:val="8"/>
              </w:numPr>
              <w:spacing w:line="240" w:lineRule="auto"/>
              <w:rPr>
                <w:rFonts w:ascii="Times New Roman" w:hAnsi="Times New Roman"/>
              </w:rPr>
            </w:pPr>
            <w:r w:rsidRPr="00F251E4">
              <w:rPr>
                <w:rFonts w:ascii="Times New Roman" w:hAnsi="Times New Roman"/>
              </w:rPr>
              <w:t>Glaucoma</w:t>
            </w:r>
          </w:p>
        </w:tc>
        <w:tc>
          <w:tcPr>
            <w:tcW w:w="207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6 (0.44)</w:t>
            </w:r>
          </w:p>
        </w:tc>
        <w:tc>
          <w:tcPr>
            <w:tcW w:w="171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25 (0.37)</w:t>
            </w:r>
          </w:p>
        </w:tc>
        <w:tc>
          <w:tcPr>
            <w:tcW w:w="126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1.22</w:t>
            </w:r>
          </w:p>
        </w:tc>
        <w:tc>
          <w:tcPr>
            <w:tcW w:w="1440" w:type="dxa"/>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(0.50-3.00)</w:t>
            </w:r>
          </w:p>
        </w:tc>
        <w:tc>
          <w:tcPr>
            <w:tcW w:w="108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0.66</w:t>
            </w:r>
          </w:p>
        </w:tc>
        <w:tc>
          <w:tcPr>
            <w:tcW w:w="270" w:type="dxa"/>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p>
        </w:tc>
        <w:tc>
          <w:tcPr>
            <w:tcW w:w="1260" w:type="dxa"/>
            <w:tcBorders>
              <w:top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1.21</w:t>
            </w:r>
          </w:p>
        </w:tc>
        <w:tc>
          <w:tcPr>
            <w:tcW w:w="1279"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(0.49-2.97)</w:t>
            </w:r>
          </w:p>
        </w:tc>
        <w:tc>
          <w:tcPr>
            <w:tcW w:w="907"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0.68</w:t>
            </w:r>
          </w:p>
        </w:tc>
      </w:tr>
      <w:tr w:rsidR="00AF4D17" w:rsidRPr="00761828" w:rsidTr="00F251E4">
        <w:trPr>
          <w:trHeight w:val="489"/>
        </w:trPr>
        <w:tc>
          <w:tcPr>
            <w:tcW w:w="4244" w:type="dxa"/>
            <w:shd w:val="clear" w:color="auto" w:fill="auto"/>
            <w:noWrap/>
            <w:vAlign w:val="center"/>
            <w:hideMark/>
          </w:tcPr>
          <w:p w:rsidR="00AF4D17" w:rsidRPr="00F251E4" w:rsidRDefault="00AF4D17" w:rsidP="00AF4D17">
            <w:pPr>
              <w:pStyle w:val="ListParagraph"/>
              <w:numPr>
                <w:ilvl w:val="0"/>
                <w:numId w:val="8"/>
              </w:numPr>
              <w:spacing w:line="240" w:lineRule="auto"/>
              <w:rPr>
                <w:rFonts w:ascii="Times New Roman" w:hAnsi="Times New Roman"/>
              </w:rPr>
            </w:pPr>
            <w:r w:rsidRPr="00F251E4">
              <w:rPr>
                <w:rFonts w:ascii="Times New Roman" w:hAnsi="Times New Roman"/>
              </w:rPr>
              <w:t>Cataract</w:t>
            </w:r>
          </w:p>
        </w:tc>
        <w:tc>
          <w:tcPr>
            <w:tcW w:w="207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6 (0.44)</w:t>
            </w:r>
          </w:p>
        </w:tc>
        <w:tc>
          <w:tcPr>
            <w:tcW w:w="171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32 (0.48)</w:t>
            </w:r>
          </w:p>
        </w:tc>
        <w:tc>
          <w:tcPr>
            <w:tcW w:w="126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0.95</w:t>
            </w:r>
          </w:p>
        </w:tc>
        <w:tc>
          <w:tcPr>
            <w:tcW w:w="1440" w:type="dxa"/>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(0.40-2.28)</w:t>
            </w:r>
          </w:p>
        </w:tc>
        <w:tc>
          <w:tcPr>
            <w:tcW w:w="108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0.91</w:t>
            </w:r>
          </w:p>
        </w:tc>
        <w:tc>
          <w:tcPr>
            <w:tcW w:w="270" w:type="dxa"/>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p>
        </w:tc>
        <w:tc>
          <w:tcPr>
            <w:tcW w:w="1260" w:type="dxa"/>
            <w:tcBorders>
              <w:top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0.94</w:t>
            </w:r>
          </w:p>
        </w:tc>
        <w:tc>
          <w:tcPr>
            <w:tcW w:w="1279"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(0.39-2.25)</w:t>
            </w:r>
          </w:p>
        </w:tc>
        <w:tc>
          <w:tcPr>
            <w:tcW w:w="907"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0.89</w:t>
            </w:r>
          </w:p>
        </w:tc>
      </w:tr>
      <w:tr w:rsidR="00AF4D17" w:rsidRPr="00761828" w:rsidTr="00F251E4">
        <w:trPr>
          <w:trHeight w:val="489"/>
        </w:trPr>
        <w:tc>
          <w:tcPr>
            <w:tcW w:w="4244" w:type="dxa"/>
            <w:shd w:val="clear" w:color="auto" w:fill="auto"/>
            <w:noWrap/>
            <w:vAlign w:val="center"/>
            <w:hideMark/>
          </w:tcPr>
          <w:p w:rsidR="00AF4D17" w:rsidRPr="00F251E4" w:rsidRDefault="00AF4D17" w:rsidP="00AF4D17">
            <w:pPr>
              <w:pStyle w:val="ListParagraph"/>
              <w:numPr>
                <w:ilvl w:val="0"/>
                <w:numId w:val="8"/>
              </w:numPr>
              <w:spacing w:line="240" w:lineRule="auto"/>
              <w:rPr>
                <w:rFonts w:ascii="Times New Roman" w:hAnsi="Times New Roman"/>
              </w:rPr>
            </w:pPr>
            <w:r w:rsidRPr="00F251E4">
              <w:rPr>
                <w:rFonts w:ascii="Times New Roman" w:hAnsi="Times New Roman"/>
              </w:rPr>
              <w:t>Retinal disorders</w:t>
            </w:r>
          </w:p>
        </w:tc>
        <w:tc>
          <w:tcPr>
            <w:tcW w:w="207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10 (0.74)</w:t>
            </w:r>
          </w:p>
        </w:tc>
        <w:tc>
          <w:tcPr>
            <w:tcW w:w="1710" w:type="dxa"/>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60 (0.90)</w:t>
            </w:r>
          </w:p>
        </w:tc>
        <w:tc>
          <w:tcPr>
            <w:tcW w:w="126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0.82</w:t>
            </w:r>
          </w:p>
        </w:tc>
        <w:tc>
          <w:tcPr>
            <w:tcW w:w="1440" w:type="dxa"/>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(0.42-1.62)</w:t>
            </w:r>
          </w:p>
        </w:tc>
        <w:tc>
          <w:tcPr>
            <w:tcW w:w="1080" w:type="dxa"/>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0.57</w:t>
            </w:r>
          </w:p>
        </w:tc>
        <w:tc>
          <w:tcPr>
            <w:tcW w:w="270" w:type="dxa"/>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p>
        </w:tc>
        <w:tc>
          <w:tcPr>
            <w:tcW w:w="1260" w:type="dxa"/>
            <w:tcBorders>
              <w:top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0.81</w:t>
            </w:r>
          </w:p>
        </w:tc>
        <w:tc>
          <w:tcPr>
            <w:tcW w:w="1279"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(0.41-1.61)</w:t>
            </w:r>
          </w:p>
        </w:tc>
        <w:tc>
          <w:tcPr>
            <w:tcW w:w="907" w:type="dxa"/>
            <w:tcBorders>
              <w:top w:val="nil"/>
              <w:left w:val="nil"/>
              <w:bottom w:val="nil"/>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0.55</w:t>
            </w:r>
          </w:p>
        </w:tc>
      </w:tr>
      <w:tr w:rsidR="00AF4D17" w:rsidRPr="00761828" w:rsidTr="00F251E4">
        <w:trPr>
          <w:trHeight w:val="489"/>
        </w:trPr>
        <w:tc>
          <w:tcPr>
            <w:tcW w:w="4244" w:type="dxa"/>
            <w:tcBorders>
              <w:bottom w:val="single" w:sz="4" w:space="0" w:color="auto"/>
            </w:tcBorders>
            <w:shd w:val="clear" w:color="auto" w:fill="auto"/>
            <w:noWrap/>
            <w:vAlign w:val="center"/>
            <w:hideMark/>
          </w:tcPr>
          <w:p w:rsidR="00AF4D17" w:rsidRPr="00F251E4" w:rsidRDefault="00AF4D17" w:rsidP="00AF4D17">
            <w:pPr>
              <w:pStyle w:val="ListParagraph"/>
              <w:numPr>
                <w:ilvl w:val="0"/>
                <w:numId w:val="8"/>
              </w:numPr>
              <w:spacing w:line="240" w:lineRule="auto"/>
              <w:rPr>
                <w:rFonts w:ascii="Times New Roman" w:hAnsi="Times New Roman"/>
              </w:rPr>
            </w:pPr>
            <w:r w:rsidRPr="00F251E4">
              <w:rPr>
                <w:rFonts w:ascii="Times New Roman" w:hAnsi="Times New Roman"/>
              </w:rPr>
              <w:t>Blindness or other visual impairment</w:t>
            </w:r>
          </w:p>
        </w:tc>
        <w:tc>
          <w:tcPr>
            <w:tcW w:w="2070" w:type="dxa"/>
            <w:tcBorders>
              <w:bottom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15 (1.1)</w:t>
            </w:r>
          </w:p>
        </w:tc>
        <w:tc>
          <w:tcPr>
            <w:tcW w:w="1710" w:type="dxa"/>
            <w:tcBorders>
              <w:bottom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rPr>
            </w:pPr>
            <w:r w:rsidRPr="00F251E4">
              <w:rPr>
                <w:rFonts w:ascii="Times New Roman" w:hAnsi="Times New Roman"/>
              </w:rPr>
              <w:t>39 (0.6)</w:t>
            </w:r>
          </w:p>
        </w:tc>
        <w:tc>
          <w:tcPr>
            <w:tcW w:w="1260" w:type="dxa"/>
            <w:tcBorders>
              <w:bottom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1.90</w:t>
            </w:r>
          </w:p>
        </w:tc>
        <w:tc>
          <w:tcPr>
            <w:tcW w:w="1440" w:type="dxa"/>
            <w:tcBorders>
              <w:bottom w:val="single" w:sz="4" w:space="0" w:color="auto"/>
            </w:tcBorders>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(1.05-3.44)</w:t>
            </w:r>
          </w:p>
        </w:tc>
        <w:tc>
          <w:tcPr>
            <w:tcW w:w="1080" w:type="dxa"/>
            <w:tcBorders>
              <w:bottom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0.04</w:t>
            </w:r>
          </w:p>
        </w:tc>
        <w:tc>
          <w:tcPr>
            <w:tcW w:w="270" w:type="dxa"/>
            <w:tcBorders>
              <w:bottom w:val="single" w:sz="4" w:space="0" w:color="auto"/>
            </w:tcBorders>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p>
        </w:tc>
        <w:tc>
          <w:tcPr>
            <w:tcW w:w="1260" w:type="dxa"/>
            <w:tcBorders>
              <w:top w:val="nil"/>
              <w:bottom w:val="single" w:sz="8" w:space="0" w:color="auto"/>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1.86</w:t>
            </w:r>
          </w:p>
        </w:tc>
        <w:tc>
          <w:tcPr>
            <w:tcW w:w="1279" w:type="dxa"/>
            <w:tcBorders>
              <w:top w:val="nil"/>
              <w:left w:val="nil"/>
              <w:bottom w:val="single" w:sz="8" w:space="0" w:color="auto"/>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(1.02-3.38)</w:t>
            </w:r>
          </w:p>
        </w:tc>
        <w:tc>
          <w:tcPr>
            <w:tcW w:w="907" w:type="dxa"/>
            <w:tcBorders>
              <w:top w:val="nil"/>
              <w:left w:val="nil"/>
              <w:bottom w:val="single" w:sz="8" w:space="0" w:color="auto"/>
              <w:right w:val="nil"/>
            </w:tcBorders>
            <w:shd w:val="clear" w:color="auto" w:fill="auto"/>
            <w:vAlign w:val="center"/>
          </w:tcPr>
          <w:p w:rsidR="00AF4D17" w:rsidRPr="00F251E4" w:rsidRDefault="00AF4D17" w:rsidP="00AF4D17">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0.04</w:t>
            </w:r>
          </w:p>
        </w:tc>
      </w:tr>
    </w:tbl>
    <w:p w:rsidR="0022451F" w:rsidRDefault="0022451F" w:rsidP="00406FAF">
      <w:pPr>
        <w:rPr>
          <w:rFonts w:ascii="Times New Roman" w:hAnsi="Times New Roman" w:cs="Times New Roman"/>
          <w:b/>
          <w:sz w:val="24"/>
          <w:szCs w:val="24"/>
        </w:rPr>
      </w:pPr>
    </w:p>
    <w:p w:rsidR="00182753" w:rsidRDefault="001A191C" w:rsidP="001A191C">
      <w:pPr>
        <w:rPr>
          <w:rFonts w:ascii="Times New Roman" w:hAnsi="Times New Roman" w:cs="Times New Roman"/>
          <w:sz w:val="24"/>
          <w:szCs w:val="24"/>
        </w:rPr>
      </w:pPr>
      <w:r w:rsidRPr="001A191C">
        <w:rPr>
          <w:rFonts w:ascii="Times New Roman" w:hAnsi="Times New Roman" w:cs="Times New Roman"/>
          <w:sz w:val="24"/>
          <w:szCs w:val="24"/>
          <w:vertAlign w:val="superscript"/>
        </w:rPr>
        <w:t>a</w:t>
      </w:r>
      <w:r w:rsidR="0022451F" w:rsidRPr="0022451F">
        <w:rPr>
          <w:rFonts w:ascii="Times New Roman" w:hAnsi="Times New Roman" w:cs="Times New Roman"/>
          <w:sz w:val="24"/>
          <w:szCs w:val="24"/>
        </w:rPr>
        <w:t xml:space="preserve"> As defined in </w:t>
      </w:r>
      <w:r w:rsidR="00F30E76">
        <w:rPr>
          <w:rFonts w:ascii="Times New Roman" w:hAnsi="Times New Roman" w:cs="Times New Roman"/>
          <w:sz w:val="24"/>
          <w:szCs w:val="24"/>
        </w:rPr>
        <w:t>an online Appendix</w:t>
      </w:r>
    </w:p>
    <w:p w:rsidR="0022451F" w:rsidRDefault="00C31405" w:rsidP="0022451F">
      <w:pPr>
        <w:rPr>
          <w:rFonts w:ascii="Times New Roman" w:hAnsi="Times New Roman" w:cs="Times New Roman"/>
          <w:sz w:val="24"/>
          <w:szCs w:val="24"/>
        </w:rPr>
      </w:pPr>
      <w:r w:rsidRPr="00C31405">
        <w:rPr>
          <w:rFonts w:ascii="Times New Roman" w:hAnsi="Times New Roman" w:cs="Times New Roman"/>
          <w:sz w:val="24"/>
          <w:szCs w:val="24"/>
          <w:vertAlign w:val="superscript"/>
        </w:rPr>
        <w:t>b</w:t>
      </w:r>
      <w:r>
        <w:rPr>
          <w:rFonts w:ascii="Times New Roman" w:hAnsi="Times New Roman" w:cs="Times New Roman"/>
          <w:sz w:val="24"/>
          <w:szCs w:val="24"/>
        </w:rPr>
        <w:t xml:space="preserve"> Adjusted for problem drinking</w:t>
      </w:r>
    </w:p>
    <w:p w:rsidR="00F251E4" w:rsidRPr="00537245" w:rsidRDefault="00AF4D17" w:rsidP="00F251E4">
      <w:pPr>
        <w:rPr>
          <w:rFonts w:ascii="Times New Roman" w:hAnsi="Times New Roman" w:cs="Times New Roman"/>
          <w:sz w:val="24"/>
          <w:szCs w:val="24"/>
        </w:rPr>
      </w:pPr>
      <w:r>
        <w:rPr>
          <w:rFonts w:ascii="Times New Roman" w:hAnsi="Times New Roman" w:cs="Times New Roman"/>
          <w:sz w:val="24"/>
          <w:szCs w:val="24"/>
          <w:vertAlign w:val="superscript"/>
        </w:rPr>
        <w:t>c</w:t>
      </w:r>
      <w:r w:rsidRPr="00AF4D17">
        <w:rPr>
          <w:rFonts w:ascii="Times New Roman" w:hAnsi="Times New Roman" w:cs="Times New Roman"/>
        </w:rPr>
        <w:t xml:space="preserve"> </w:t>
      </w:r>
      <w:r w:rsidR="00F251E4" w:rsidRPr="00537245">
        <w:rPr>
          <w:rFonts w:ascii="Times New Roman" w:hAnsi="Times New Roman" w:cs="Times New Roman"/>
          <w:sz w:val="24"/>
          <w:szCs w:val="24"/>
        </w:rPr>
        <w:t xml:space="preserve">Adjusted for problem drinking and number of consultations in the 12 months before the index date (0, 1, </w:t>
      </w:r>
      <w:r w:rsidR="00F251E4" w:rsidRPr="00537245">
        <w:rPr>
          <w:rFonts w:ascii="Times New Roman" w:hAnsi="Times New Roman" w:cs="Times New Roman"/>
          <w:sz w:val="24"/>
          <w:szCs w:val="24"/>
          <w:u w:val="single"/>
        </w:rPr>
        <w:t>&gt;</w:t>
      </w:r>
      <w:r w:rsidR="00F251E4" w:rsidRPr="00537245">
        <w:rPr>
          <w:rFonts w:ascii="Times New Roman" w:hAnsi="Times New Roman" w:cs="Times New Roman"/>
          <w:sz w:val="24"/>
          <w:szCs w:val="24"/>
        </w:rPr>
        <w:t>2 consultations)</w:t>
      </w:r>
    </w:p>
    <w:p w:rsidR="00AF4D17" w:rsidRPr="00AF4D17" w:rsidRDefault="00AF4D17" w:rsidP="0022451F">
      <w:pPr>
        <w:rPr>
          <w:rFonts w:ascii="Times New Roman" w:hAnsi="Times New Roman" w:cs="Times New Roman"/>
          <w:sz w:val="24"/>
          <w:szCs w:val="24"/>
        </w:rPr>
      </w:pPr>
    </w:p>
    <w:p w:rsidR="0022451F" w:rsidRDefault="0022451F">
      <w:pPr>
        <w:rPr>
          <w:rFonts w:ascii="Times New Roman" w:hAnsi="Times New Roman" w:cs="Times New Roman"/>
          <w:b/>
          <w:sz w:val="24"/>
          <w:szCs w:val="24"/>
        </w:rPr>
      </w:pPr>
      <w:r>
        <w:rPr>
          <w:rFonts w:ascii="Times New Roman" w:hAnsi="Times New Roman" w:cs="Times New Roman"/>
          <w:b/>
          <w:sz w:val="24"/>
          <w:szCs w:val="24"/>
        </w:rPr>
        <w:br w:type="page"/>
      </w:r>
    </w:p>
    <w:p w:rsidR="0022451F" w:rsidRDefault="002045DB" w:rsidP="0022451F">
      <w:pP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30E76">
        <w:rPr>
          <w:rFonts w:ascii="Times New Roman" w:hAnsi="Times New Roman" w:cs="Times New Roman"/>
          <w:b/>
          <w:sz w:val="24"/>
          <w:szCs w:val="24"/>
        </w:rPr>
        <w:t>2</w:t>
      </w:r>
      <w:r w:rsidR="0022451F">
        <w:rPr>
          <w:rFonts w:ascii="Times New Roman" w:hAnsi="Times New Roman" w:cs="Times New Roman"/>
          <w:b/>
          <w:sz w:val="24"/>
          <w:szCs w:val="24"/>
        </w:rPr>
        <w:t>: Association between prior problems of hearing</w:t>
      </w:r>
      <w:r w:rsidR="001A191C" w:rsidRPr="001A191C">
        <w:rPr>
          <w:rFonts w:ascii="Times New Roman" w:hAnsi="Times New Roman" w:cs="Times New Roman"/>
          <w:sz w:val="24"/>
          <w:szCs w:val="24"/>
          <w:vertAlign w:val="superscript"/>
        </w:rPr>
        <w:t>a</w:t>
      </w:r>
      <w:r w:rsidR="0022451F">
        <w:rPr>
          <w:rFonts w:ascii="Times New Roman" w:hAnsi="Times New Roman" w:cs="Times New Roman"/>
          <w:b/>
          <w:sz w:val="24"/>
          <w:szCs w:val="24"/>
        </w:rPr>
        <w:t xml:space="preserve"> and consultation with an occupational injury</w:t>
      </w:r>
    </w:p>
    <w:p w:rsidR="0022451F" w:rsidRDefault="0022451F" w:rsidP="0022451F">
      <w:pPr>
        <w:rPr>
          <w:rFonts w:ascii="Times New Roman" w:hAnsi="Times New Roman" w:cs="Times New Roman"/>
          <w:b/>
          <w:sz w:val="24"/>
          <w:szCs w:val="24"/>
        </w:rPr>
      </w:pPr>
    </w:p>
    <w:tbl>
      <w:tblPr>
        <w:tblW w:w="15494" w:type="dxa"/>
        <w:tblInd w:w="94" w:type="dxa"/>
        <w:tblLook w:val="04A0" w:firstRow="1" w:lastRow="0" w:firstColumn="1" w:lastColumn="0" w:noHBand="0" w:noVBand="1"/>
      </w:tblPr>
      <w:tblGrid>
        <w:gridCol w:w="5864"/>
        <w:gridCol w:w="1350"/>
        <w:gridCol w:w="1440"/>
        <w:gridCol w:w="990"/>
        <w:gridCol w:w="1350"/>
        <w:gridCol w:w="990"/>
        <w:gridCol w:w="270"/>
        <w:gridCol w:w="900"/>
        <w:gridCol w:w="1260"/>
        <w:gridCol w:w="1080"/>
      </w:tblGrid>
      <w:tr w:rsidR="00AF4D17" w:rsidRPr="00761828" w:rsidTr="00F251E4">
        <w:trPr>
          <w:trHeight w:val="292"/>
        </w:trPr>
        <w:tc>
          <w:tcPr>
            <w:tcW w:w="5864" w:type="dxa"/>
            <w:vMerge w:val="restart"/>
            <w:tcBorders>
              <w:top w:val="single" w:sz="4" w:space="0" w:color="auto"/>
            </w:tcBorders>
            <w:shd w:val="clear" w:color="auto" w:fill="auto"/>
            <w:noWrap/>
            <w:vAlign w:val="center"/>
            <w:hideMark/>
          </w:tcPr>
          <w:p w:rsidR="00AF4D17" w:rsidRPr="00182753" w:rsidRDefault="00AF4D17" w:rsidP="00AF4D17">
            <w:pPr>
              <w:spacing w:line="240" w:lineRule="auto"/>
              <w:rPr>
                <w:rFonts w:ascii="Times New Roman" w:hAnsi="Times New Roman"/>
                <w:b/>
                <w:sz w:val="24"/>
                <w:szCs w:val="24"/>
              </w:rPr>
            </w:pPr>
            <w:r w:rsidRPr="00182753">
              <w:rPr>
                <w:rFonts w:ascii="Times New Roman" w:hAnsi="Times New Roman"/>
                <w:b/>
                <w:sz w:val="24"/>
                <w:szCs w:val="24"/>
              </w:rPr>
              <w:t> Before the index date</w:t>
            </w:r>
          </w:p>
        </w:tc>
        <w:tc>
          <w:tcPr>
            <w:tcW w:w="2790" w:type="dxa"/>
            <w:gridSpan w:val="2"/>
            <w:tcBorders>
              <w:top w:val="single" w:sz="4" w:space="0" w:color="auto"/>
              <w:bottom w:val="single" w:sz="4" w:space="0" w:color="auto"/>
            </w:tcBorders>
            <w:shd w:val="clear" w:color="auto" w:fill="auto"/>
            <w:vAlign w:val="bottom"/>
            <w:hideMark/>
          </w:tcPr>
          <w:p w:rsidR="00AF4D17" w:rsidRPr="00F251E4" w:rsidRDefault="00AF4D17" w:rsidP="00AF4D17">
            <w:pPr>
              <w:spacing w:line="240" w:lineRule="auto"/>
              <w:jc w:val="center"/>
              <w:rPr>
                <w:rFonts w:ascii="Times New Roman" w:hAnsi="Times New Roman"/>
                <w:b/>
              </w:rPr>
            </w:pPr>
            <w:r w:rsidRPr="00F251E4">
              <w:rPr>
                <w:rFonts w:ascii="Times New Roman" w:hAnsi="Times New Roman"/>
                <w:b/>
              </w:rPr>
              <w:t>N (%)</w:t>
            </w:r>
          </w:p>
        </w:tc>
        <w:tc>
          <w:tcPr>
            <w:tcW w:w="990" w:type="dxa"/>
            <w:vMerge w:val="restart"/>
            <w:tcBorders>
              <w:top w:val="single" w:sz="4" w:space="0" w:color="auto"/>
            </w:tcBorders>
            <w:vAlign w:val="center"/>
          </w:tcPr>
          <w:p w:rsidR="00AF4D17" w:rsidRPr="00F251E4" w:rsidRDefault="00AF4D17" w:rsidP="00AF4D17">
            <w:pPr>
              <w:spacing w:line="240" w:lineRule="auto"/>
              <w:jc w:val="center"/>
              <w:rPr>
                <w:rFonts w:ascii="Times New Roman" w:hAnsi="Times New Roman"/>
                <w:b/>
                <w:vertAlign w:val="superscript"/>
              </w:rPr>
            </w:pPr>
            <w:r w:rsidRPr="00F251E4">
              <w:rPr>
                <w:rFonts w:ascii="Times New Roman" w:hAnsi="Times New Roman"/>
                <w:b/>
              </w:rPr>
              <w:t>OR</w:t>
            </w:r>
            <w:r w:rsidRPr="00F251E4">
              <w:rPr>
                <w:rFonts w:ascii="Times New Roman" w:hAnsi="Times New Roman"/>
                <w:b/>
                <w:vertAlign w:val="superscript"/>
              </w:rPr>
              <w:t>b</w:t>
            </w:r>
          </w:p>
        </w:tc>
        <w:tc>
          <w:tcPr>
            <w:tcW w:w="1350" w:type="dxa"/>
            <w:vMerge w:val="restart"/>
            <w:tcBorders>
              <w:top w:val="single" w:sz="4" w:space="0" w:color="auto"/>
            </w:tcBorders>
            <w:vAlign w:val="center"/>
          </w:tcPr>
          <w:p w:rsidR="00AF4D17" w:rsidRPr="00F251E4" w:rsidRDefault="00AF4D17" w:rsidP="00AF4D17">
            <w:pPr>
              <w:spacing w:line="240" w:lineRule="auto"/>
              <w:jc w:val="center"/>
              <w:rPr>
                <w:rFonts w:ascii="Times New Roman" w:hAnsi="Times New Roman"/>
                <w:b/>
              </w:rPr>
            </w:pPr>
            <w:r w:rsidRPr="00F251E4">
              <w:rPr>
                <w:rFonts w:ascii="Times New Roman" w:hAnsi="Times New Roman"/>
                <w:b/>
              </w:rPr>
              <w:t>95 % CI</w:t>
            </w:r>
          </w:p>
        </w:tc>
        <w:tc>
          <w:tcPr>
            <w:tcW w:w="990" w:type="dxa"/>
            <w:vMerge w:val="restart"/>
            <w:tcBorders>
              <w:top w:val="single" w:sz="4" w:space="0" w:color="auto"/>
            </w:tcBorders>
            <w:shd w:val="clear" w:color="auto" w:fill="auto"/>
            <w:noWrap/>
            <w:vAlign w:val="center"/>
            <w:hideMark/>
          </w:tcPr>
          <w:p w:rsidR="00AF4D17" w:rsidRPr="00F251E4" w:rsidRDefault="00AF4D17" w:rsidP="00AF4D17">
            <w:pPr>
              <w:spacing w:line="240" w:lineRule="auto"/>
              <w:jc w:val="center"/>
              <w:rPr>
                <w:rFonts w:ascii="Times New Roman" w:hAnsi="Times New Roman"/>
                <w:b/>
              </w:rPr>
            </w:pPr>
            <w:r w:rsidRPr="00F251E4">
              <w:rPr>
                <w:rFonts w:ascii="Times New Roman" w:hAnsi="Times New Roman"/>
                <w:b/>
              </w:rPr>
              <w:t>P-value</w:t>
            </w:r>
          </w:p>
        </w:tc>
        <w:tc>
          <w:tcPr>
            <w:tcW w:w="270" w:type="dxa"/>
            <w:vMerge w:val="restart"/>
            <w:tcBorders>
              <w:top w:val="single" w:sz="4" w:space="0" w:color="auto"/>
            </w:tcBorders>
            <w:vAlign w:val="center"/>
          </w:tcPr>
          <w:p w:rsidR="00AF4D17" w:rsidRPr="00182753" w:rsidRDefault="00AF4D17" w:rsidP="00AF4D17">
            <w:pPr>
              <w:spacing w:line="240" w:lineRule="auto"/>
              <w:jc w:val="center"/>
              <w:rPr>
                <w:rFonts w:ascii="Times New Roman" w:hAnsi="Times New Roman"/>
                <w:b/>
                <w:sz w:val="24"/>
                <w:szCs w:val="24"/>
              </w:rPr>
            </w:pPr>
          </w:p>
        </w:tc>
        <w:tc>
          <w:tcPr>
            <w:tcW w:w="900" w:type="dxa"/>
            <w:vMerge w:val="restart"/>
            <w:tcBorders>
              <w:top w:val="single" w:sz="4" w:space="0" w:color="auto"/>
            </w:tcBorders>
            <w:vAlign w:val="center"/>
          </w:tcPr>
          <w:p w:rsidR="00AF4D17" w:rsidRPr="00F251E4" w:rsidRDefault="00AF4D17" w:rsidP="00F77316">
            <w:pPr>
              <w:spacing w:line="240" w:lineRule="auto"/>
              <w:jc w:val="center"/>
              <w:rPr>
                <w:rFonts w:ascii="Times New Roman" w:hAnsi="Times New Roman"/>
                <w:b/>
                <w:sz w:val="24"/>
                <w:szCs w:val="24"/>
                <w:vertAlign w:val="superscript"/>
              </w:rPr>
            </w:pPr>
            <w:r w:rsidRPr="00F251E4">
              <w:rPr>
                <w:rFonts w:ascii="Times New Roman" w:eastAsia="Times New Roman" w:hAnsi="Times New Roman" w:cs="Times New Roman"/>
                <w:b/>
                <w:bCs/>
                <w:color w:val="000000"/>
                <w:sz w:val="24"/>
                <w:szCs w:val="24"/>
              </w:rPr>
              <w:t>OR</w:t>
            </w:r>
            <w:r w:rsidR="00F77316" w:rsidRPr="00F251E4">
              <w:rPr>
                <w:rFonts w:ascii="Times New Roman" w:eastAsia="Times New Roman" w:hAnsi="Times New Roman" w:cs="Times New Roman"/>
                <w:b/>
                <w:bCs/>
                <w:color w:val="000000"/>
                <w:sz w:val="24"/>
                <w:szCs w:val="24"/>
                <w:vertAlign w:val="superscript"/>
              </w:rPr>
              <w:t>c</w:t>
            </w:r>
          </w:p>
        </w:tc>
        <w:tc>
          <w:tcPr>
            <w:tcW w:w="1260" w:type="dxa"/>
            <w:vMerge w:val="restart"/>
            <w:tcBorders>
              <w:top w:val="single" w:sz="4" w:space="0" w:color="auto"/>
            </w:tcBorders>
            <w:vAlign w:val="center"/>
          </w:tcPr>
          <w:p w:rsidR="00AF4D17" w:rsidRPr="00F251E4" w:rsidRDefault="00AF4D17">
            <w:pPr>
              <w:spacing w:line="240" w:lineRule="auto"/>
              <w:jc w:val="center"/>
              <w:rPr>
                <w:rFonts w:ascii="Times New Roman" w:hAnsi="Times New Roman"/>
                <w:b/>
                <w:sz w:val="24"/>
                <w:szCs w:val="24"/>
              </w:rPr>
            </w:pPr>
            <w:r w:rsidRPr="00F251E4">
              <w:rPr>
                <w:rFonts w:ascii="Times New Roman" w:eastAsia="Times New Roman" w:hAnsi="Times New Roman" w:cs="Times New Roman"/>
                <w:b/>
                <w:bCs/>
                <w:color w:val="000000"/>
                <w:sz w:val="24"/>
                <w:szCs w:val="24"/>
              </w:rPr>
              <w:t>95 % CI</w:t>
            </w:r>
          </w:p>
        </w:tc>
        <w:tc>
          <w:tcPr>
            <w:tcW w:w="1080" w:type="dxa"/>
            <w:vMerge w:val="restart"/>
            <w:tcBorders>
              <w:top w:val="single" w:sz="4" w:space="0" w:color="auto"/>
            </w:tcBorders>
            <w:vAlign w:val="center"/>
          </w:tcPr>
          <w:p w:rsidR="00AF4D17" w:rsidRPr="00F251E4" w:rsidRDefault="00AF4D17">
            <w:pPr>
              <w:spacing w:line="240" w:lineRule="auto"/>
              <w:jc w:val="center"/>
              <w:rPr>
                <w:rFonts w:ascii="Times New Roman" w:hAnsi="Times New Roman"/>
                <w:b/>
                <w:sz w:val="24"/>
                <w:szCs w:val="24"/>
              </w:rPr>
            </w:pPr>
            <w:r w:rsidRPr="00F251E4">
              <w:rPr>
                <w:rFonts w:ascii="Times New Roman" w:eastAsia="Times New Roman" w:hAnsi="Times New Roman" w:cs="Times New Roman"/>
                <w:b/>
                <w:bCs/>
                <w:color w:val="000000"/>
                <w:sz w:val="24"/>
                <w:szCs w:val="24"/>
              </w:rPr>
              <w:t>P-value</w:t>
            </w:r>
          </w:p>
        </w:tc>
      </w:tr>
      <w:tr w:rsidR="00AF4D17" w:rsidRPr="00761828" w:rsidTr="00F251E4">
        <w:trPr>
          <w:trHeight w:val="516"/>
        </w:trPr>
        <w:tc>
          <w:tcPr>
            <w:tcW w:w="5864" w:type="dxa"/>
            <w:vMerge/>
            <w:tcBorders>
              <w:bottom w:val="single" w:sz="4" w:space="0" w:color="auto"/>
            </w:tcBorders>
            <w:shd w:val="clear" w:color="auto" w:fill="auto"/>
            <w:noWrap/>
            <w:vAlign w:val="bottom"/>
            <w:hideMark/>
          </w:tcPr>
          <w:p w:rsidR="00AF4D17" w:rsidRPr="00182753" w:rsidRDefault="00AF4D17" w:rsidP="007A024F">
            <w:pPr>
              <w:spacing w:line="240" w:lineRule="auto"/>
              <w:rPr>
                <w:rFonts w:ascii="Times New Roman" w:hAnsi="Times New Roman"/>
                <w:sz w:val="24"/>
                <w:szCs w:val="24"/>
              </w:rPr>
            </w:pPr>
          </w:p>
        </w:tc>
        <w:tc>
          <w:tcPr>
            <w:tcW w:w="1350" w:type="dxa"/>
            <w:tcBorders>
              <w:top w:val="single" w:sz="4" w:space="0" w:color="auto"/>
              <w:bottom w:val="single" w:sz="4" w:space="0" w:color="auto"/>
            </w:tcBorders>
            <w:shd w:val="clear" w:color="auto" w:fill="auto"/>
            <w:vAlign w:val="center"/>
            <w:hideMark/>
          </w:tcPr>
          <w:p w:rsidR="00AF4D17" w:rsidRPr="00F251E4" w:rsidRDefault="00AF4D17" w:rsidP="007A024F">
            <w:pPr>
              <w:spacing w:line="240" w:lineRule="auto"/>
              <w:jc w:val="center"/>
              <w:rPr>
                <w:rFonts w:ascii="Times New Roman" w:hAnsi="Times New Roman"/>
                <w:b/>
              </w:rPr>
            </w:pPr>
            <w:r w:rsidRPr="00F251E4">
              <w:rPr>
                <w:rFonts w:ascii="Times New Roman" w:hAnsi="Times New Roman"/>
                <w:b/>
              </w:rPr>
              <w:t>Cases                   (n=1348)</w:t>
            </w:r>
          </w:p>
        </w:tc>
        <w:tc>
          <w:tcPr>
            <w:tcW w:w="1440" w:type="dxa"/>
            <w:tcBorders>
              <w:top w:val="single" w:sz="4" w:space="0" w:color="auto"/>
              <w:bottom w:val="single" w:sz="4" w:space="0" w:color="auto"/>
            </w:tcBorders>
            <w:shd w:val="clear" w:color="auto" w:fill="auto"/>
            <w:vAlign w:val="center"/>
            <w:hideMark/>
          </w:tcPr>
          <w:p w:rsidR="00AF4D17" w:rsidRPr="00F251E4" w:rsidRDefault="00AF4D17" w:rsidP="007A024F">
            <w:pPr>
              <w:spacing w:line="240" w:lineRule="auto"/>
              <w:jc w:val="center"/>
              <w:rPr>
                <w:rFonts w:ascii="Times New Roman" w:hAnsi="Times New Roman"/>
                <w:b/>
              </w:rPr>
            </w:pPr>
            <w:r w:rsidRPr="00F251E4">
              <w:rPr>
                <w:rFonts w:ascii="Times New Roman" w:hAnsi="Times New Roman"/>
                <w:b/>
              </w:rPr>
              <w:t>Controls                           (n=6652)</w:t>
            </w:r>
          </w:p>
        </w:tc>
        <w:tc>
          <w:tcPr>
            <w:tcW w:w="990" w:type="dxa"/>
            <w:vMerge/>
            <w:tcBorders>
              <w:bottom w:val="single" w:sz="4" w:space="0" w:color="auto"/>
            </w:tcBorders>
            <w:shd w:val="clear" w:color="auto" w:fill="auto"/>
            <w:noWrap/>
            <w:vAlign w:val="center"/>
            <w:hideMark/>
          </w:tcPr>
          <w:p w:rsidR="00AF4D17" w:rsidRPr="00F251E4" w:rsidRDefault="00AF4D17" w:rsidP="00CA5A32">
            <w:pPr>
              <w:spacing w:line="240" w:lineRule="auto"/>
              <w:jc w:val="center"/>
              <w:rPr>
                <w:rFonts w:ascii="Times New Roman" w:hAnsi="Times New Roman"/>
              </w:rPr>
            </w:pPr>
          </w:p>
        </w:tc>
        <w:tc>
          <w:tcPr>
            <w:tcW w:w="1350" w:type="dxa"/>
            <w:vMerge/>
            <w:tcBorders>
              <w:bottom w:val="single" w:sz="4" w:space="0" w:color="auto"/>
            </w:tcBorders>
            <w:vAlign w:val="center"/>
          </w:tcPr>
          <w:p w:rsidR="00AF4D17" w:rsidRPr="00F251E4" w:rsidRDefault="00AF4D17" w:rsidP="00CA5A32">
            <w:pPr>
              <w:spacing w:line="240" w:lineRule="auto"/>
              <w:jc w:val="center"/>
              <w:rPr>
                <w:rFonts w:ascii="Times New Roman" w:hAnsi="Times New Roman"/>
              </w:rPr>
            </w:pPr>
          </w:p>
        </w:tc>
        <w:tc>
          <w:tcPr>
            <w:tcW w:w="990" w:type="dxa"/>
            <w:vMerge/>
            <w:tcBorders>
              <w:bottom w:val="single" w:sz="4" w:space="0" w:color="auto"/>
            </w:tcBorders>
            <w:shd w:val="clear" w:color="auto" w:fill="auto"/>
            <w:noWrap/>
            <w:vAlign w:val="center"/>
            <w:hideMark/>
          </w:tcPr>
          <w:p w:rsidR="00AF4D17" w:rsidRPr="00F251E4" w:rsidRDefault="00AF4D17" w:rsidP="00CA5A32">
            <w:pPr>
              <w:spacing w:line="240" w:lineRule="auto"/>
              <w:jc w:val="center"/>
              <w:rPr>
                <w:rFonts w:ascii="Times New Roman" w:hAnsi="Times New Roman"/>
              </w:rPr>
            </w:pPr>
          </w:p>
        </w:tc>
        <w:tc>
          <w:tcPr>
            <w:tcW w:w="270" w:type="dxa"/>
            <w:vMerge/>
            <w:tcBorders>
              <w:bottom w:val="single" w:sz="4" w:space="0" w:color="auto"/>
            </w:tcBorders>
            <w:vAlign w:val="center"/>
          </w:tcPr>
          <w:p w:rsidR="00AF4D17" w:rsidRPr="00182753" w:rsidRDefault="00AF4D17">
            <w:pPr>
              <w:spacing w:line="240" w:lineRule="auto"/>
              <w:jc w:val="center"/>
              <w:rPr>
                <w:rFonts w:ascii="Times New Roman" w:hAnsi="Times New Roman"/>
                <w:sz w:val="24"/>
                <w:szCs w:val="24"/>
              </w:rPr>
            </w:pPr>
          </w:p>
        </w:tc>
        <w:tc>
          <w:tcPr>
            <w:tcW w:w="900" w:type="dxa"/>
            <w:vMerge/>
            <w:tcBorders>
              <w:bottom w:val="single" w:sz="4" w:space="0" w:color="auto"/>
            </w:tcBorders>
            <w:vAlign w:val="center"/>
          </w:tcPr>
          <w:p w:rsidR="00AF4D17" w:rsidRPr="00182753" w:rsidRDefault="00AF4D17">
            <w:pPr>
              <w:spacing w:line="240" w:lineRule="auto"/>
              <w:jc w:val="center"/>
              <w:rPr>
                <w:rFonts w:ascii="Times New Roman" w:hAnsi="Times New Roman"/>
                <w:sz w:val="24"/>
                <w:szCs w:val="24"/>
              </w:rPr>
            </w:pPr>
          </w:p>
        </w:tc>
        <w:tc>
          <w:tcPr>
            <w:tcW w:w="1260" w:type="dxa"/>
            <w:vMerge/>
            <w:tcBorders>
              <w:bottom w:val="single" w:sz="4" w:space="0" w:color="auto"/>
            </w:tcBorders>
            <w:vAlign w:val="center"/>
          </w:tcPr>
          <w:p w:rsidR="00AF4D17" w:rsidRPr="00182753" w:rsidRDefault="00AF4D17">
            <w:pPr>
              <w:spacing w:line="240" w:lineRule="auto"/>
              <w:jc w:val="center"/>
              <w:rPr>
                <w:rFonts w:ascii="Times New Roman" w:hAnsi="Times New Roman"/>
                <w:sz w:val="24"/>
                <w:szCs w:val="24"/>
              </w:rPr>
            </w:pPr>
          </w:p>
        </w:tc>
        <w:tc>
          <w:tcPr>
            <w:tcW w:w="1080" w:type="dxa"/>
            <w:vMerge/>
            <w:tcBorders>
              <w:bottom w:val="single" w:sz="4" w:space="0" w:color="auto"/>
            </w:tcBorders>
            <w:vAlign w:val="center"/>
          </w:tcPr>
          <w:p w:rsidR="00AF4D17" w:rsidRPr="00182753" w:rsidRDefault="00AF4D17">
            <w:pPr>
              <w:spacing w:line="240" w:lineRule="auto"/>
              <w:jc w:val="center"/>
              <w:rPr>
                <w:rFonts w:ascii="Times New Roman" w:hAnsi="Times New Roman"/>
                <w:sz w:val="24"/>
                <w:szCs w:val="24"/>
              </w:rPr>
            </w:pPr>
          </w:p>
        </w:tc>
      </w:tr>
      <w:tr w:rsidR="00F77316" w:rsidRPr="0022451F" w:rsidTr="00F251E4">
        <w:trPr>
          <w:trHeight w:val="489"/>
        </w:trPr>
        <w:tc>
          <w:tcPr>
            <w:tcW w:w="5864" w:type="dxa"/>
            <w:tcBorders>
              <w:top w:val="single" w:sz="4" w:space="0" w:color="auto"/>
            </w:tcBorders>
            <w:shd w:val="clear" w:color="auto" w:fill="auto"/>
            <w:noWrap/>
            <w:vAlign w:val="center"/>
            <w:hideMark/>
          </w:tcPr>
          <w:p w:rsidR="00F77316" w:rsidRPr="00F251E4" w:rsidRDefault="00F77316" w:rsidP="00F77316">
            <w:pPr>
              <w:spacing w:line="240" w:lineRule="auto"/>
              <w:rPr>
                <w:rFonts w:ascii="Times New Roman" w:hAnsi="Times New Roman"/>
              </w:rPr>
            </w:pPr>
            <w:r w:rsidRPr="00F251E4">
              <w:rPr>
                <w:rFonts w:ascii="Times New Roman" w:hAnsi="Times New Roman"/>
              </w:rPr>
              <w:t>No ear problem</w:t>
            </w:r>
          </w:p>
        </w:tc>
        <w:tc>
          <w:tcPr>
            <w:tcW w:w="1350" w:type="dxa"/>
            <w:tcBorders>
              <w:top w:val="single" w:sz="4" w:space="0" w:color="auto"/>
            </w:tcBorders>
            <w:shd w:val="clear" w:color="auto" w:fill="auto"/>
            <w:noWrap/>
            <w:vAlign w:val="center"/>
            <w:hideMark/>
          </w:tcPr>
          <w:p w:rsidR="00F77316" w:rsidRPr="00F251E4" w:rsidRDefault="00F77316" w:rsidP="0069010B">
            <w:pPr>
              <w:spacing w:line="240" w:lineRule="auto"/>
              <w:jc w:val="center"/>
              <w:rPr>
                <w:rFonts w:ascii="Times New Roman" w:hAnsi="Times New Roman"/>
              </w:rPr>
            </w:pPr>
            <w:r w:rsidRPr="00F251E4">
              <w:rPr>
                <w:rFonts w:ascii="Times New Roman" w:hAnsi="Times New Roman"/>
              </w:rPr>
              <w:t>1163 (86.</w:t>
            </w:r>
            <w:r w:rsidR="0069010B">
              <w:rPr>
                <w:rFonts w:ascii="Times New Roman" w:hAnsi="Times New Roman"/>
              </w:rPr>
              <w:t>3</w:t>
            </w:r>
            <w:r w:rsidRPr="00F251E4">
              <w:rPr>
                <w:rFonts w:ascii="Times New Roman" w:hAnsi="Times New Roman"/>
              </w:rPr>
              <w:t>)</w:t>
            </w:r>
          </w:p>
        </w:tc>
        <w:tc>
          <w:tcPr>
            <w:tcW w:w="1440" w:type="dxa"/>
            <w:tcBorders>
              <w:top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6045 (90.9)</w:t>
            </w:r>
          </w:p>
        </w:tc>
        <w:tc>
          <w:tcPr>
            <w:tcW w:w="990" w:type="dxa"/>
            <w:tcBorders>
              <w:top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1</w:t>
            </w:r>
          </w:p>
        </w:tc>
        <w:tc>
          <w:tcPr>
            <w:tcW w:w="1350" w:type="dxa"/>
            <w:tcBorders>
              <w:top w:val="single" w:sz="4" w:space="0" w:color="auto"/>
            </w:tcBorders>
            <w:vAlign w:val="center"/>
          </w:tcPr>
          <w:p w:rsidR="00F77316" w:rsidRPr="00F251E4" w:rsidRDefault="00F77316" w:rsidP="00F77316">
            <w:pPr>
              <w:spacing w:line="240" w:lineRule="auto"/>
              <w:jc w:val="center"/>
              <w:rPr>
                <w:rFonts w:ascii="Times New Roman" w:hAnsi="Times New Roman"/>
              </w:rPr>
            </w:pPr>
          </w:p>
        </w:tc>
        <w:tc>
          <w:tcPr>
            <w:tcW w:w="990" w:type="dxa"/>
            <w:tcBorders>
              <w:top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hAnsi="Times New Roman"/>
              </w:rPr>
            </w:pPr>
          </w:p>
        </w:tc>
        <w:tc>
          <w:tcPr>
            <w:tcW w:w="270" w:type="dxa"/>
            <w:tcBorders>
              <w:top w:val="single" w:sz="4" w:space="0" w:color="auto"/>
            </w:tcBorders>
            <w:vAlign w:val="center"/>
          </w:tcPr>
          <w:p w:rsidR="00F77316" w:rsidRPr="00182753" w:rsidRDefault="00F77316" w:rsidP="00F77316">
            <w:pPr>
              <w:spacing w:line="240" w:lineRule="auto"/>
              <w:jc w:val="center"/>
              <w:rPr>
                <w:rFonts w:ascii="Times New Roman" w:hAnsi="Times New Roman"/>
                <w:sz w:val="24"/>
                <w:szCs w:val="24"/>
              </w:rPr>
            </w:pPr>
          </w:p>
        </w:tc>
        <w:tc>
          <w:tcPr>
            <w:tcW w:w="900" w:type="dxa"/>
            <w:tcBorders>
              <w:top w:val="single" w:sz="4" w:space="0" w:color="auto"/>
              <w:bottom w:val="nil"/>
              <w:right w:val="nil"/>
            </w:tcBorders>
            <w:shd w:val="clear" w:color="auto" w:fill="auto"/>
            <w:vAlign w:val="center"/>
          </w:tcPr>
          <w:p w:rsidR="00F77316" w:rsidRPr="00182753" w:rsidRDefault="00F77316" w:rsidP="00F77316">
            <w:pPr>
              <w:spacing w:line="240" w:lineRule="auto"/>
              <w:jc w:val="center"/>
              <w:rPr>
                <w:rFonts w:ascii="Times New Roman" w:hAnsi="Times New Roman"/>
                <w:sz w:val="24"/>
                <w:szCs w:val="24"/>
              </w:rPr>
            </w:pPr>
            <w:r w:rsidRPr="00BF4E73">
              <w:rPr>
                <w:rFonts w:ascii="Times New Roman" w:eastAsia="Times New Roman" w:hAnsi="Times New Roman" w:cs="Times New Roman"/>
                <w:color w:val="000000"/>
              </w:rPr>
              <w:t>1</w:t>
            </w:r>
          </w:p>
        </w:tc>
        <w:tc>
          <w:tcPr>
            <w:tcW w:w="1260" w:type="dxa"/>
            <w:tcBorders>
              <w:top w:val="nil"/>
              <w:left w:val="nil"/>
              <w:bottom w:val="nil"/>
              <w:right w:val="nil"/>
            </w:tcBorders>
            <w:shd w:val="clear" w:color="auto" w:fill="auto"/>
            <w:vAlign w:val="center"/>
          </w:tcPr>
          <w:p w:rsidR="00F77316" w:rsidRPr="00182753" w:rsidRDefault="00F77316">
            <w:pPr>
              <w:spacing w:line="240" w:lineRule="auto"/>
              <w:jc w:val="center"/>
              <w:rPr>
                <w:rFonts w:ascii="Times New Roman" w:hAnsi="Times New Roman"/>
                <w:sz w:val="24"/>
                <w:szCs w:val="24"/>
              </w:rPr>
            </w:pPr>
          </w:p>
        </w:tc>
        <w:tc>
          <w:tcPr>
            <w:tcW w:w="1080" w:type="dxa"/>
            <w:tcBorders>
              <w:top w:val="nil"/>
              <w:left w:val="nil"/>
              <w:bottom w:val="nil"/>
              <w:right w:val="nil"/>
            </w:tcBorders>
            <w:shd w:val="clear" w:color="auto" w:fill="auto"/>
            <w:vAlign w:val="center"/>
          </w:tcPr>
          <w:p w:rsidR="00F77316" w:rsidRPr="00182753" w:rsidRDefault="00F77316">
            <w:pPr>
              <w:spacing w:line="240" w:lineRule="auto"/>
              <w:jc w:val="center"/>
              <w:rPr>
                <w:rFonts w:ascii="Times New Roman" w:hAnsi="Times New Roman"/>
                <w:sz w:val="24"/>
                <w:szCs w:val="24"/>
              </w:rPr>
            </w:pPr>
          </w:p>
        </w:tc>
      </w:tr>
      <w:tr w:rsidR="00F77316" w:rsidRPr="0022451F" w:rsidTr="00F251E4">
        <w:trPr>
          <w:trHeight w:val="489"/>
        </w:trPr>
        <w:tc>
          <w:tcPr>
            <w:tcW w:w="5864" w:type="dxa"/>
            <w:shd w:val="clear" w:color="auto" w:fill="auto"/>
            <w:noWrap/>
            <w:vAlign w:val="center"/>
            <w:hideMark/>
          </w:tcPr>
          <w:p w:rsidR="00F77316" w:rsidRPr="00F251E4" w:rsidRDefault="00F77316" w:rsidP="00F77316">
            <w:pPr>
              <w:spacing w:line="240" w:lineRule="auto"/>
              <w:rPr>
                <w:rFonts w:ascii="Times New Roman" w:hAnsi="Times New Roman"/>
              </w:rPr>
            </w:pPr>
            <w:r w:rsidRPr="00F251E4">
              <w:rPr>
                <w:rFonts w:ascii="Times New Roman" w:hAnsi="Times New Roman"/>
              </w:rPr>
              <w:t>Any ear problem</w:t>
            </w:r>
          </w:p>
        </w:tc>
        <w:tc>
          <w:tcPr>
            <w:tcW w:w="1350" w:type="dxa"/>
            <w:shd w:val="clear" w:color="auto" w:fill="auto"/>
            <w:noWrap/>
            <w:vAlign w:val="center"/>
            <w:hideMark/>
          </w:tcPr>
          <w:p w:rsidR="00F77316" w:rsidRPr="00F251E4" w:rsidRDefault="00F77316" w:rsidP="0069010B">
            <w:pPr>
              <w:spacing w:line="240" w:lineRule="auto"/>
              <w:jc w:val="center"/>
              <w:rPr>
                <w:rFonts w:ascii="Times New Roman" w:hAnsi="Times New Roman"/>
              </w:rPr>
            </w:pPr>
            <w:r w:rsidRPr="00F251E4">
              <w:rPr>
                <w:rFonts w:ascii="Times New Roman" w:hAnsi="Times New Roman"/>
              </w:rPr>
              <w:t>185 (13.</w:t>
            </w:r>
            <w:r w:rsidR="0069010B">
              <w:rPr>
                <w:rFonts w:ascii="Times New Roman" w:hAnsi="Times New Roman"/>
              </w:rPr>
              <w:t>7</w:t>
            </w:r>
            <w:r w:rsidRPr="00F251E4">
              <w:rPr>
                <w:rFonts w:ascii="Times New Roman" w:hAnsi="Times New Roman"/>
              </w:rPr>
              <w:t>)</w:t>
            </w:r>
          </w:p>
        </w:tc>
        <w:tc>
          <w:tcPr>
            <w:tcW w:w="1440" w:type="dxa"/>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607 (9.1)</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1.63</w:t>
            </w:r>
          </w:p>
        </w:tc>
        <w:tc>
          <w:tcPr>
            <w:tcW w:w="1350" w:type="dxa"/>
            <w:vAlign w:val="center"/>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(1.36-1.95)</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&lt;0.001</w:t>
            </w:r>
          </w:p>
        </w:tc>
        <w:tc>
          <w:tcPr>
            <w:tcW w:w="270" w:type="dxa"/>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p>
        </w:tc>
        <w:tc>
          <w:tcPr>
            <w:tcW w:w="900" w:type="dxa"/>
            <w:tcBorders>
              <w:top w:val="nil"/>
              <w:bottom w:val="nil"/>
              <w:right w:val="nil"/>
            </w:tcBorders>
            <w:shd w:val="clear" w:color="auto" w:fill="auto"/>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1.62</w:t>
            </w:r>
          </w:p>
        </w:tc>
        <w:tc>
          <w:tcPr>
            <w:tcW w:w="126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(1.35-1.94)</w:t>
            </w:r>
          </w:p>
        </w:tc>
        <w:tc>
          <w:tcPr>
            <w:tcW w:w="108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&lt;0.001</w:t>
            </w:r>
          </w:p>
        </w:tc>
      </w:tr>
      <w:tr w:rsidR="00F77316" w:rsidRPr="0022451F" w:rsidTr="00F251E4">
        <w:trPr>
          <w:trHeight w:val="489"/>
        </w:trPr>
        <w:tc>
          <w:tcPr>
            <w:tcW w:w="5864" w:type="dxa"/>
            <w:shd w:val="clear" w:color="auto" w:fill="auto"/>
            <w:noWrap/>
            <w:vAlign w:val="center"/>
            <w:hideMark/>
          </w:tcPr>
          <w:p w:rsidR="00F77316" w:rsidRPr="00F251E4" w:rsidRDefault="00F77316" w:rsidP="00F77316">
            <w:pPr>
              <w:pStyle w:val="ListParagraph"/>
              <w:numPr>
                <w:ilvl w:val="0"/>
                <w:numId w:val="8"/>
              </w:numPr>
              <w:spacing w:line="240" w:lineRule="auto"/>
              <w:rPr>
                <w:rFonts w:ascii="Times New Roman" w:hAnsi="Times New Roman"/>
              </w:rPr>
            </w:pPr>
            <w:r w:rsidRPr="00F251E4">
              <w:rPr>
                <w:rFonts w:ascii="Times New Roman" w:hAnsi="Times New Roman"/>
              </w:rPr>
              <w:t>Deafness, hearing impairment, or use of a hearing aid</w:t>
            </w:r>
          </w:p>
        </w:tc>
        <w:tc>
          <w:tcPr>
            <w:tcW w:w="1350" w:type="dxa"/>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65 (4.8)</w:t>
            </w:r>
          </w:p>
        </w:tc>
        <w:tc>
          <w:tcPr>
            <w:tcW w:w="1440" w:type="dxa"/>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271 (4.1)</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1.27</w:t>
            </w:r>
          </w:p>
        </w:tc>
        <w:tc>
          <w:tcPr>
            <w:tcW w:w="1350" w:type="dxa"/>
            <w:vAlign w:val="center"/>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(0.96-1.68)</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0.10</w:t>
            </w:r>
          </w:p>
        </w:tc>
        <w:tc>
          <w:tcPr>
            <w:tcW w:w="270" w:type="dxa"/>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p>
        </w:tc>
        <w:tc>
          <w:tcPr>
            <w:tcW w:w="900" w:type="dxa"/>
            <w:tcBorders>
              <w:top w:val="nil"/>
              <w:bottom w:val="nil"/>
              <w:right w:val="nil"/>
            </w:tcBorders>
            <w:shd w:val="clear" w:color="auto" w:fill="auto"/>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1.27</w:t>
            </w:r>
          </w:p>
        </w:tc>
        <w:tc>
          <w:tcPr>
            <w:tcW w:w="126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(0.96-1.68)</w:t>
            </w:r>
          </w:p>
        </w:tc>
        <w:tc>
          <w:tcPr>
            <w:tcW w:w="108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0.10</w:t>
            </w:r>
          </w:p>
        </w:tc>
      </w:tr>
      <w:tr w:rsidR="00F77316" w:rsidRPr="0022451F" w:rsidTr="00F251E4">
        <w:trPr>
          <w:trHeight w:val="489"/>
        </w:trPr>
        <w:tc>
          <w:tcPr>
            <w:tcW w:w="5864" w:type="dxa"/>
            <w:shd w:val="clear" w:color="auto" w:fill="auto"/>
            <w:noWrap/>
            <w:vAlign w:val="center"/>
            <w:hideMark/>
          </w:tcPr>
          <w:p w:rsidR="00F77316" w:rsidRPr="00F251E4" w:rsidRDefault="00F77316" w:rsidP="00F77316">
            <w:pPr>
              <w:pStyle w:val="ListParagraph"/>
              <w:numPr>
                <w:ilvl w:val="0"/>
                <w:numId w:val="8"/>
              </w:numPr>
              <w:spacing w:line="240" w:lineRule="auto"/>
              <w:rPr>
                <w:rFonts w:ascii="Times New Roman" w:hAnsi="Times New Roman"/>
              </w:rPr>
            </w:pPr>
            <w:r w:rsidRPr="00F251E4">
              <w:rPr>
                <w:rFonts w:ascii="Times New Roman" w:hAnsi="Times New Roman"/>
              </w:rPr>
              <w:t>Perforated ear drum</w:t>
            </w:r>
          </w:p>
        </w:tc>
        <w:tc>
          <w:tcPr>
            <w:tcW w:w="1350" w:type="dxa"/>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9 (0.7)</w:t>
            </w:r>
          </w:p>
        </w:tc>
        <w:tc>
          <w:tcPr>
            <w:tcW w:w="1440" w:type="dxa"/>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36 (0.5)</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1.32</w:t>
            </w:r>
          </w:p>
        </w:tc>
        <w:tc>
          <w:tcPr>
            <w:tcW w:w="1350" w:type="dxa"/>
            <w:vAlign w:val="center"/>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(0.64-2.75)</w:t>
            </w:r>
          </w:p>
        </w:tc>
        <w:tc>
          <w:tcPr>
            <w:tcW w:w="990" w:type="dxa"/>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0.45</w:t>
            </w:r>
          </w:p>
        </w:tc>
        <w:tc>
          <w:tcPr>
            <w:tcW w:w="270" w:type="dxa"/>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p>
        </w:tc>
        <w:tc>
          <w:tcPr>
            <w:tcW w:w="900" w:type="dxa"/>
            <w:tcBorders>
              <w:top w:val="nil"/>
              <w:bottom w:val="nil"/>
              <w:right w:val="nil"/>
            </w:tcBorders>
            <w:shd w:val="clear" w:color="auto" w:fill="auto"/>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1.35</w:t>
            </w:r>
          </w:p>
        </w:tc>
        <w:tc>
          <w:tcPr>
            <w:tcW w:w="126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(0.65-2.82)</w:t>
            </w:r>
          </w:p>
        </w:tc>
        <w:tc>
          <w:tcPr>
            <w:tcW w:w="1080" w:type="dxa"/>
            <w:tcBorders>
              <w:top w:val="nil"/>
              <w:left w:val="nil"/>
              <w:bottom w:val="nil"/>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0.4</w:t>
            </w:r>
            <w:r w:rsidR="00537245">
              <w:rPr>
                <w:rFonts w:ascii="Times New Roman" w:eastAsia="Times New Roman" w:hAnsi="Times New Roman" w:cs="Times New Roman"/>
                <w:color w:val="000000"/>
              </w:rPr>
              <w:t>0</w:t>
            </w:r>
          </w:p>
        </w:tc>
      </w:tr>
      <w:tr w:rsidR="00F77316" w:rsidRPr="0022451F" w:rsidTr="00F251E4">
        <w:trPr>
          <w:trHeight w:val="489"/>
        </w:trPr>
        <w:tc>
          <w:tcPr>
            <w:tcW w:w="5864" w:type="dxa"/>
            <w:tcBorders>
              <w:bottom w:val="single" w:sz="4" w:space="0" w:color="auto"/>
            </w:tcBorders>
            <w:shd w:val="clear" w:color="auto" w:fill="auto"/>
            <w:noWrap/>
            <w:vAlign w:val="center"/>
            <w:hideMark/>
          </w:tcPr>
          <w:p w:rsidR="00F77316" w:rsidRPr="00F251E4" w:rsidRDefault="00F77316" w:rsidP="00F77316">
            <w:pPr>
              <w:pStyle w:val="ListParagraph"/>
              <w:numPr>
                <w:ilvl w:val="0"/>
                <w:numId w:val="8"/>
              </w:numPr>
              <w:spacing w:line="240" w:lineRule="auto"/>
              <w:rPr>
                <w:rFonts w:ascii="Times New Roman" w:hAnsi="Times New Roman"/>
              </w:rPr>
            </w:pPr>
            <w:r w:rsidRPr="00F251E4">
              <w:rPr>
                <w:rFonts w:ascii="Times New Roman" w:hAnsi="Times New Roman"/>
              </w:rPr>
              <w:t>Non-acute otitis media</w:t>
            </w:r>
          </w:p>
        </w:tc>
        <w:tc>
          <w:tcPr>
            <w:tcW w:w="1350" w:type="dxa"/>
            <w:tcBorders>
              <w:bottom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130 (9.6)</w:t>
            </w:r>
          </w:p>
        </w:tc>
        <w:tc>
          <w:tcPr>
            <w:tcW w:w="1440" w:type="dxa"/>
            <w:tcBorders>
              <w:bottom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hAnsi="Times New Roman"/>
              </w:rPr>
            </w:pPr>
            <w:r w:rsidRPr="00F251E4">
              <w:rPr>
                <w:rFonts w:ascii="Times New Roman" w:hAnsi="Times New Roman"/>
              </w:rPr>
              <w:t>352 (5.3)</w:t>
            </w:r>
          </w:p>
        </w:tc>
        <w:tc>
          <w:tcPr>
            <w:tcW w:w="990" w:type="dxa"/>
            <w:tcBorders>
              <w:bottom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2.04</w:t>
            </w:r>
          </w:p>
        </w:tc>
        <w:tc>
          <w:tcPr>
            <w:tcW w:w="1350" w:type="dxa"/>
            <w:tcBorders>
              <w:bottom w:val="single" w:sz="4" w:space="0" w:color="auto"/>
            </w:tcBorders>
            <w:vAlign w:val="center"/>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(1.64-2.54)</w:t>
            </w:r>
          </w:p>
        </w:tc>
        <w:tc>
          <w:tcPr>
            <w:tcW w:w="990" w:type="dxa"/>
            <w:tcBorders>
              <w:bottom w:val="single" w:sz="4" w:space="0" w:color="auto"/>
            </w:tcBorders>
            <w:shd w:val="clear" w:color="auto" w:fill="auto"/>
            <w:noWrap/>
            <w:vAlign w:val="center"/>
            <w:hideMark/>
          </w:tcPr>
          <w:p w:rsidR="00F77316" w:rsidRPr="00F251E4" w:rsidRDefault="00F77316" w:rsidP="00F77316">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&lt;0.001</w:t>
            </w:r>
          </w:p>
        </w:tc>
        <w:tc>
          <w:tcPr>
            <w:tcW w:w="270" w:type="dxa"/>
            <w:tcBorders>
              <w:bottom w:val="single" w:sz="4" w:space="0" w:color="auto"/>
            </w:tcBorders>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p>
        </w:tc>
        <w:tc>
          <w:tcPr>
            <w:tcW w:w="900" w:type="dxa"/>
            <w:tcBorders>
              <w:top w:val="nil"/>
              <w:bottom w:val="single" w:sz="8" w:space="0" w:color="auto"/>
              <w:right w:val="nil"/>
            </w:tcBorders>
            <w:shd w:val="clear" w:color="auto" w:fill="auto"/>
            <w:vAlign w:val="center"/>
          </w:tcPr>
          <w:p w:rsidR="00F77316" w:rsidRPr="00350010" w:rsidRDefault="00F77316" w:rsidP="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2.03</w:t>
            </w:r>
          </w:p>
        </w:tc>
        <w:tc>
          <w:tcPr>
            <w:tcW w:w="1260" w:type="dxa"/>
            <w:tcBorders>
              <w:top w:val="nil"/>
              <w:left w:val="nil"/>
              <w:bottom w:val="single" w:sz="8" w:space="0" w:color="auto"/>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(1.62-2.53)</w:t>
            </w:r>
          </w:p>
        </w:tc>
        <w:tc>
          <w:tcPr>
            <w:tcW w:w="1080" w:type="dxa"/>
            <w:tcBorders>
              <w:top w:val="nil"/>
              <w:left w:val="nil"/>
              <w:bottom w:val="single" w:sz="8" w:space="0" w:color="auto"/>
              <w:right w:val="nil"/>
            </w:tcBorders>
            <w:shd w:val="clear" w:color="auto" w:fill="auto"/>
            <w:vAlign w:val="center"/>
          </w:tcPr>
          <w:p w:rsidR="00F77316" w:rsidRPr="00350010" w:rsidRDefault="00F77316">
            <w:pPr>
              <w:spacing w:line="240" w:lineRule="auto"/>
              <w:jc w:val="center"/>
              <w:rPr>
                <w:rFonts w:ascii="Times New Roman" w:eastAsia="Times New Roman" w:hAnsi="Times New Roman" w:cs="Times New Roman"/>
                <w:color w:val="000000"/>
                <w:sz w:val="24"/>
                <w:szCs w:val="24"/>
                <w:lang w:eastAsia="en-GB"/>
              </w:rPr>
            </w:pPr>
            <w:r w:rsidRPr="00BF4E73">
              <w:rPr>
                <w:rFonts w:ascii="Times New Roman" w:eastAsia="Times New Roman" w:hAnsi="Times New Roman" w:cs="Times New Roman"/>
                <w:color w:val="000000"/>
              </w:rPr>
              <w:t>&lt;0.001</w:t>
            </w:r>
          </w:p>
        </w:tc>
      </w:tr>
    </w:tbl>
    <w:p w:rsidR="0022451F" w:rsidRPr="0022451F" w:rsidRDefault="0022451F" w:rsidP="0022451F">
      <w:pPr>
        <w:rPr>
          <w:rFonts w:ascii="Times New Roman" w:hAnsi="Times New Roman"/>
          <w:sz w:val="24"/>
          <w:szCs w:val="24"/>
        </w:rPr>
      </w:pPr>
    </w:p>
    <w:p w:rsidR="00DE13D2" w:rsidRDefault="001A191C" w:rsidP="001A191C">
      <w:pPr>
        <w:rPr>
          <w:rFonts w:ascii="Times New Roman" w:hAnsi="Times New Roman" w:cs="Times New Roman"/>
          <w:sz w:val="24"/>
          <w:szCs w:val="24"/>
        </w:rPr>
      </w:pPr>
      <w:r w:rsidRPr="001A191C">
        <w:rPr>
          <w:rFonts w:ascii="Times New Roman" w:hAnsi="Times New Roman" w:cs="Times New Roman"/>
          <w:sz w:val="24"/>
          <w:szCs w:val="24"/>
          <w:vertAlign w:val="superscript"/>
        </w:rPr>
        <w:t>a</w:t>
      </w:r>
      <w:r w:rsidR="0022451F" w:rsidRPr="0022451F">
        <w:rPr>
          <w:rFonts w:ascii="Times New Roman" w:hAnsi="Times New Roman" w:cs="Times New Roman"/>
          <w:sz w:val="24"/>
          <w:szCs w:val="24"/>
        </w:rPr>
        <w:t xml:space="preserve"> </w:t>
      </w:r>
      <w:r w:rsidR="00F30E76" w:rsidRPr="0022451F">
        <w:rPr>
          <w:rFonts w:ascii="Times New Roman" w:hAnsi="Times New Roman" w:cs="Times New Roman"/>
          <w:sz w:val="24"/>
          <w:szCs w:val="24"/>
        </w:rPr>
        <w:t xml:space="preserve">As defined in </w:t>
      </w:r>
      <w:r w:rsidR="00F30E76">
        <w:rPr>
          <w:rFonts w:ascii="Times New Roman" w:hAnsi="Times New Roman" w:cs="Times New Roman"/>
          <w:sz w:val="24"/>
          <w:szCs w:val="24"/>
        </w:rPr>
        <w:t>an online Appendix</w:t>
      </w:r>
    </w:p>
    <w:p w:rsidR="00C31405" w:rsidRDefault="00C31405" w:rsidP="00C31405">
      <w:pPr>
        <w:rPr>
          <w:rFonts w:ascii="Times New Roman" w:hAnsi="Times New Roman" w:cs="Times New Roman"/>
          <w:sz w:val="24"/>
          <w:szCs w:val="24"/>
        </w:rPr>
      </w:pPr>
      <w:r w:rsidRPr="00C31405">
        <w:rPr>
          <w:rFonts w:ascii="Times New Roman" w:hAnsi="Times New Roman" w:cs="Times New Roman"/>
          <w:sz w:val="24"/>
          <w:szCs w:val="24"/>
          <w:vertAlign w:val="superscript"/>
        </w:rPr>
        <w:t>b</w:t>
      </w:r>
      <w:r>
        <w:rPr>
          <w:rFonts w:ascii="Times New Roman" w:hAnsi="Times New Roman" w:cs="Times New Roman"/>
          <w:sz w:val="24"/>
          <w:szCs w:val="24"/>
        </w:rPr>
        <w:t xml:space="preserve"> Adjusted for problem drinking</w:t>
      </w:r>
    </w:p>
    <w:p w:rsidR="00F251E4" w:rsidRPr="00AF4D17" w:rsidRDefault="00AF4D17" w:rsidP="00F251E4">
      <w:pPr>
        <w:rPr>
          <w:rFonts w:ascii="Times New Roman" w:hAnsi="Times New Roman" w:cs="Times New Roman"/>
          <w:sz w:val="24"/>
          <w:szCs w:val="24"/>
        </w:rPr>
      </w:pPr>
      <w:r>
        <w:rPr>
          <w:rFonts w:ascii="Times New Roman" w:hAnsi="Times New Roman" w:cs="Times New Roman"/>
          <w:sz w:val="24"/>
          <w:szCs w:val="24"/>
          <w:vertAlign w:val="superscript"/>
        </w:rPr>
        <w:t>c</w:t>
      </w:r>
      <w:r w:rsidR="00F77316" w:rsidRPr="00F77316">
        <w:rPr>
          <w:rFonts w:ascii="Times New Roman" w:hAnsi="Times New Roman" w:cs="Times New Roman"/>
        </w:rPr>
        <w:t xml:space="preserve"> </w:t>
      </w:r>
      <w:r w:rsidR="00F251E4" w:rsidRPr="00537245">
        <w:rPr>
          <w:rFonts w:ascii="Times New Roman" w:hAnsi="Times New Roman" w:cs="Times New Roman"/>
          <w:sz w:val="24"/>
          <w:szCs w:val="24"/>
        </w:rPr>
        <w:t xml:space="preserve">Adjusted for problem drinking and number of consultations in the 12 months before the index date (0, 1, </w:t>
      </w:r>
      <w:r w:rsidR="00F251E4" w:rsidRPr="00537245">
        <w:rPr>
          <w:rFonts w:ascii="Times New Roman" w:hAnsi="Times New Roman" w:cs="Times New Roman"/>
          <w:sz w:val="24"/>
          <w:szCs w:val="24"/>
          <w:u w:val="single"/>
        </w:rPr>
        <w:t>&gt;</w:t>
      </w:r>
      <w:r w:rsidR="00F251E4" w:rsidRPr="00537245">
        <w:rPr>
          <w:rFonts w:ascii="Times New Roman" w:hAnsi="Times New Roman" w:cs="Times New Roman"/>
          <w:sz w:val="24"/>
          <w:szCs w:val="24"/>
        </w:rPr>
        <w:t>2 consultations)</w:t>
      </w:r>
    </w:p>
    <w:p w:rsidR="00AF4D17" w:rsidRPr="00AF4D17" w:rsidRDefault="00AF4D17" w:rsidP="00C31405">
      <w:pPr>
        <w:rPr>
          <w:rFonts w:ascii="Times New Roman" w:hAnsi="Times New Roman" w:cs="Times New Roman"/>
          <w:sz w:val="24"/>
          <w:szCs w:val="24"/>
        </w:rPr>
      </w:pPr>
    </w:p>
    <w:p w:rsidR="00C31405" w:rsidRDefault="00C31405" w:rsidP="001A191C">
      <w:pPr>
        <w:rPr>
          <w:rFonts w:ascii="Times New Roman" w:hAnsi="Times New Roman" w:cs="Times New Roman"/>
          <w:sz w:val="24"/>
          <w:szCs w:val="24"/>
        </w:rPr>
      </w:pPr>
    </w:p>
    <w:p w:rsidR="00F30E76" w:rsidRDefault="00F30E76" w:rsidP="00F30E76">
      <w:pPr>
        <w:ind w:left="360"/>
        <w:rPr>
          <w:rFonts w:ascii="Times New Roman" w:hAnsi="Times New Roman" w:cs="Times New Roman"/>
          <w:b/>
          <w:sz w:val="24"/>
          <w:szCs w:val="24"/>
        </w:rPr>
      </w:pPr>
    </w:p>
    <w:p w:rsidR="00BC1803" w:rsidRDefault="00BC1803">
      <w:pPr>
        <w:rPr>
          <w:rFonts w:ascii="Times New Roman" w:hAnsi="Times New Roman" w:cs="Times New Roman"/>
          <w:b/>
          <w:sz w:val="24"/>
          <w:szCs w:val="24"/>
        </w:rPr>
      </w:pPr>
      <w:r>
        <w:rPr>
          <w:rFonts w:ascii="Times New Roman" w:hAnsi="Times New Roman" w:cs="Times New Roman"/>
          <w:b/>
          <w:sz w:val="24"/>
          <w:szCs w:val="24"/>
        </w:rPr>
        <w:br w:type="page"/>
      </w:r>
    </w:p>
    <w:p w:rsidR="0022451F" w:rsidRDefault="002045DB" w:rsidP="0022451F">
      <w:pP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F30E76">
        <w:rPr>
          <w:rFonts w:ascii="Times New Roman" w:hAnsi="Times New Roman" w:cs="Times New Roman"/>
          <w:b/>
          <w:sz w:val="24"/>
          <w:szCs w:val="24"/>
        </w:rPr>
        <w:t>3</w:t>
      </w:r>
      <w:r w:rsidR="0022451F">
        <w:rPr>
          <w:rFonts w:ascii="Times New Roman" w:hAnsi="Times New Roman" w:cs="Times New Roman"/>
          <w:b/>
          <w:sz w:val="24"/>
          <w:szCs w:val="24"/>
        </w:rPr>
        <w:t>: Association between prior problems of balance</w:t>
      </w:r>
      <w:r w:rsidR="001A191C" w:rsidRPr="001A191C">
        <w:rPr>
          <w:rFonts w:ascii="Times New Roman" w:hAnsi="Times New Roman" w:cs="Times New Roman"/>
          <w:sz w:val="24"/>
          <w:szCs w:val="24"/>
          <w:vertAlign w:val="superscript"/>
        </w:rPr>
        <w:t>a</w:t>
      </w:r>
      <w:r w:rsidR="0022451F">
        <w:rPr>
          <w:rFonts w:ascii="Times New Roman" w:hAnsi="Times New Roman" w:cs="Times New Roman"/>
          <w:b/>
          <w:sz w:val="24"/>
          <w:szCs w:val="24"/>
        </w:rPr>
        <w:t xml:space="preserve"> and consultation with an occupational injury</w:t>
      </w:r>
    </w:p>
    <w:p w:rsidR="0022451F" w:rsidRDefault="0022451F" w:rsidP="0022451F">
      <w:pPr>
        <w:rPr>
          <w:rFonts w:ascii="Times New Roman" w:hAnsi="Times New Roman" w:cs="Times New Roman"/>
          <w:sz w:val="24"/>
          <w:szCs w:val="24"/>
        </w:rPr>
      </w:pPr>
    </w:p>
    <w:tbl>
      <w:tblPr>
        <w:tblW w:w="16034" w:type="dxa"/>
        <w:tblInd w:w="94" w:type="dxa"/>
        <w:tblLayout w:type="fixed"/>
        <w:tblLook w:val="04A0" w:firstRow="1" w:lastRow="0" w:firstColumn="1" w:lastColumn="0" w:noHBand="0" w:noVBand="1"/>
      </w:tblPr>
      <w:tblGrid>
        <w:gridCol w:w="6405"/>
        <w:gridCol w:w="1350"/>
        <w:gridCol w:w="1530"/>
        <w:gridCol w:w="899"/>
        <w:gridCol w:w="1350"/>
        <w:gridCol w:w="1045"/>
        <w:gridCol w:w="305"/>
        <w:gridCol w:w="900"/>
        <w:gridCol w:w="1260"/>
        <w:gridCol w:w="990"/>
      </w:tblGrid>
      <w:tr w:rsidR="00B13ABC" w:rsidRPr="00761828" w:rsidTr="00F251E4">
        <w:trPr>
          <w:trHeight w:val="292"/>
        </w:trPr>
        <w:tc>
          <w:tcPr>
            <w:tcW w:w="6405" w:type="dxa"/>
            <w:vMerge w:val="restart"/>
            <w:tcBorders>
              <w:top w:val="single" w:sz="4" w:space="0" w:color="auto"/>
            </w:tcBorders>
            <w:shd w:val="clear" w:color="auto" w:fill="auto"/>
            <w:noWrap/>
            <w:vAlign w:val="center"/>
            <w:hideMark/>
          </w:tcPr>
          <w:p w:rsidR="00B13ABC" w:rsidRPr="00182753" w:rsidRDefault="00B13ABC" w:rsidP="00B13ABC">
            <w:pPr>
              <w:spacing w:line="240" w:lineRule="auto"/>
              <w:rPr>
                <w:rFonts w:ascii="Times New Roman" w:hAnsi="Times New Roman"/>
                <w:b/>
                <w:sz w:val="24"/>
                <w:szCs w:val="24"/>
              </w:rPr>
            </w:pPr>
            <w:r w:rsidRPr="00182753">
              <w:rPr>
                <w:rFonts w:ascii="Times New Roman" w:hAnsi="Times New Roman"/>
                <w:b/>
                <w:sz w:val="24"/>
                <w:szCs w:val="24"/>
              </w:rPr>
              <w:t> </w:t>
            </w:r>
          </w:p>
        </w:tc>
        <w:tc>
          <w:tcPr>
            <w:tcW w:w="2880" w:type="dxa"/>
            <w:gridSpan w:val="2"/>
            <w:tcBorders>
              <w:top w:val="single" w:sz="4" w:space="0" w:color="auto"/>
              <w:bottom w:val="single" w:sz="4" w:space="0" w:color="auto"/>
            </w:tcBorders>
            <w:shd w:val="clear" w:color="auto" w:fill="auto"/>
            <w:vAlign w:val="bottom"/>
            <w:hideMark/>
          </w:tcPr>
          <w:p w:rsidR="00B13ABC" w:rsidRPr="00182753" w:rsidRDefault="00B13ABC" w:rsidP="00B13ABC">
            <w:pPr>
              <w:spacing w:line="240" w:lineRule="auto"/>
              <w:jc w:val="center"/>
              <w:rPr>
                <w:rFonts w:ascii="Times New Roman" w:hAnsi="Times New Roman"/>
                <w:b/>
                <w:sz w:val="24"/>
                <w:szCs w:val="24"/>
              </w:rPr>
            </w:pPr>
            <w:r w:rsidRPr="00182753">
              <w:rPr>
                <w:rFonts w:ascii="Times New Roman" w:hAnsi="Times New Roman"/>
                <w:b/>
                <w:sz w:val="24"/>
                <w:szCs w:val="24"/>
              </w:rPr>
              <w:t>N (%)</w:t>
            </w:r>
          </w:p>
        </w:tc>
        <w:tc>
          <w:tcPr>
            <w:tcW w:w="899" w:type="dxa"/>
            <w:vMerge w:val="restart"/>
            <w:tcBorders>
              <w:top w:val="single" w:sz="4" w:space="0" w:color="auto"/>
            </w:tcBorders>
            <w:vAlign w:val="center"/>
          </w:tcPr>
          <w:p w:rsidR="00B13ABC" w:rsidRPr="00C31405" w:rsidRDefault="00B13ABC" w:rsidP="00B13ABC">
            <w:pPr>
              <w:spacing w:line="240" w:lineRule="auto"/>
              <w:jc w:val="center"/>
              <w:rPr>
                <w:rFonts w:ascii="Times New Roman" w:hAnsi="Times New Roman"/>
                <w:b/>
                <w:sz w:val="24"/>
                <w:szCs w:val="24"/>
                <w:vertAlign w:val="superscript"/>
              </w:rPr>
            </w:pPr>
            <w:r w:rsidRPr="00182753">
              <w:rPr>
                <w:rFonts w:ascii="Times New Roman" w:hAnsi="Times New Roman"/>
                <w:b/>
                <w:sz w:val="24"/>
                <w:szCs w:val="24"/>
              </w:rPr>
              <w:t>OR</w:t>
            </w:r>
            <w:r>
              <w:rPr>
                <w:rFonts w:ascii="Times New Roman" w:hAnsi="Times New Roman"/>
                <w:b/>
                <w:sz w:val="24"/>
                <w:szCs w:val="24"/>
                <w:vertAlign w:val="superscript"/>
              </w:rPr>
              <w:t>b</w:t>
            </w:r>
          </w:p>
        </w:tc>
        <w:tc>
          <w:tcPr>
            <w:tcW w:w="1350" w:type="dxa"/>
            <w:vMerge w:val="restart"/>
            <w:tcBorders>
              <w:top w:val="single" w:sz="4" w:space="0" w:color="auto"/>
            </w:tcBorders>
            <w:vAlign w:val="center"/>
          </w:tcPr>
          <w:p w:rsidR="00B13ABC" w:rsidRPr="00182753" w:rsidRDefault="00B13ABC" w:rsidP="00B13ABC">
            <w:pPr>
              <w:spacing w:line="240" w:lineRule="auto"/>
              <w:jc w:val="center"/>
              <w:rPr>
                <w:rFonts w:ascii="Times New Roman" w:hAnsi="Times New Roman"/>
                <w:b/>
                <w:sz w:val="24"/>
                <w:szCs w:val="24"/>
              </w:rPr>
            </w:pPr>
            <w:r w:rsidRPr="00182753">
              <w:rPr>
                <w:rFonts w:ascii="Times New Roman" w:hAnsi="Times New Roman"/>
                <w:b/>
                <w:sz w:val="24"/>
                <w:szCs w:val="24"/>
              </w:rPr>
              <w:t>95 % CI</w:t>
            </w:r>
          </w:p>
        </w:tc>
        <w:tc>
          <w:tcPr>
            <w:tcW w:w="1045" w:type="dxa"/>
            <w:vMerge w:val="restart"/>
            <w:tcBorders>
              <w:top w:val="single" w:sz="4" w:space="0" w:color="auto"/>
            </w:tcBorders>
            <w:shd w:val="clear" w:color="auto" w:fill="auto"/>
            <w:noWrap/>
            <w:vAlign w:val="center"/>
            <w:hideMark/>
          </w:tcPr>
          <w:p w:rsidR="00B13ABC" w:rsidRPr="00182753" w:rsidRDefault="00B13ABC" w:rsidP="00B13ABC">
            <w:pPr>
              <w:spacing w:line="240" w:lineRule="auto"/>
              <w:jc w:val="center"/>
              <w:rPr>
                <w:rFonts w:ascii="Times New Roman" w:hAnsi="Times New Roman"/>
                <w:b/>
                <w:sz w:val="24"/>
                <w:szCs w:val="24"/>
              </w:rPr>
            </w:pPr>
            <w:r w:rsidRPr="00182753">
              <w:rPr>
                <w:rFonts w:ascii="Times New Roman" w:hAnsi="Times New Roman"/>
                <w:b/>
                <w:sz w:val="24"/>
                <w:szCs w:val="24"/>
              </w:rPr>
              <w:t>P-value</w:t>
            </w:r>
          </w:p>
        </w:tc>
        <w:tc>
          <w:tcPr>
            <w:tcW w:w="305" w:type="dxa"/>
            <w:vMerge w:val="restart"/>
            <w:tcBorders>
              <w:top w:val="single" w:sz="4" w:space="0" w:color="auto"/>
            </w:tcBorders>
          </w:tcPr>
          <w:p w:rsidR="00B13ABC" w:rsidRPr="00182753" w:rsidRDefault="00B13ABC" w:rsidP="00B13ABC">
            <w:pPr>
              <w:spacing w:line="240" w:lineRule="auto"/>
              <w:jc w:val="center"/>
              <w:rPr>
                <w:rFonts w:ascii="Times New Roman" w:hAnsi="Times New Roman"/>
                <w:b/>
                <w:sz w:val="24"/>
                <w:szCs w:val="24"/>
              </w:rPr>
            </w:pPr>
          </w:p>
        </w:tc>
        <w:tc>
          <w:tcPr>
            <w:tcW w:w="900" w:type="dxa"/>
            <w:vMerge w:val="restart"/>
            <w:tcBorders>
              <w:top w:val="single" w:sz="4" w:space="0" w:color="auto"/>
            </w:tcBorders>
            <w:vAlign w:val="center"/>
          </w:tcPr>
          <w:p w:rsidR="00B13ABC" w:rsidRPr="00F251E4" w:rsidRDefault="00B13ABC" w:rsidP="00B13ABC">
            <w:pPr>
              <w:spacing w:line="240" w:lineRule="auto"/>
              <w:jc w:val="center"/>
              <w:rPr>
                <w:rFonts w:ascii="Times New Roman" w:hAnsi="Times New Roman"/>
                <w:b/>
                <w:sz w:val="24"/>
                <w:szCs w:val="24"/>
              </w:rPr>
            </w:pPr>
            <w:r w:rsidRPr="00F251E4">
              <w:rPr>
                <w:rFonts w:ascii="Times New Roman" w:hAnsi="Times New Roman"/>
                <w:b/>
                <w:sz w:val="24"/>
                <w:szCs w:val="24"/>
              </w:rPr>
              <w:t>OR</w:t>
            </w:r>
            <w:r w:rsidRPr="00F251E4">
              <w:rPr>
                <w:rFonts w:ascii="Times New Roman" w:hAnsi="Times New Roman"/>
                <w:b/>
                <w:sz w:val="24"/>
                <w:szCs w:val="24"/>
                <w:vertAlign w:val="superscript"/>
              </w:rPr>
              <w:t>c</w:t>
            </w:r>
          </w:p>
        </w:tc>
        <w:tc>
          <w:tcPr>
            <w:tcW w:w="1260" w:type="dxa"/>
            <w:vMerge w:val="restart"/>
            <w:tcBorders>
              <w:top w:val="single" w:sz="4" w:space="0" w:color="auto"/>
            </w:tcBorders>
            <w:vAlign w:val="center"/>
          </w:tcPr>
          <w:p w:rsidR="00B13ABC" w:rsidRPr="00F251E4" w:rsidRDefault="00B13ABC" w:rsidP="00B13ABC">
            <w:pPr>
              <w:spacing w:line="240" w:lineRule="auto"/>
              <w:jc w:val="center"/>
              <w:rPr>
                <w:rFonts w:ascii="Times New Roman" w:hAnsi="Times New Roman"/>
                <w:b/>
                <w:sz w:val="24"/>
                <w:szCs w:val="24"/>
              </w:rPr>
            </w:pPr>
            <w:r w:rsidRPr="00F251E4">
              <w:rPr>
                <w:rFonts w:ascii="Times New Roman" w:hAnsi="Times New Roman"/>
                <w:b/>
                <w:sz w:val="24"/>
                <w:szCs w:val="24"/>
              </w:rPr>
              <w:t>95 % CI</w:t>
            </w:r>
          </w:p>
        </w:tc>
        <w:tc>
          <w:tcPr>
            <w:tcW w:w="990" w:type="dxa"/>
            <w:vMerge w:val="restart"/>
            <w:tcBorders>
              <w:top w:val="single" w:sz="4" w:space="0" w:color="auto"/>
            </w:tcBorders>
            <w:shd w:val="clear" w:color="auto" w:fill="auto"/>
            <w:vAlign w:val="center"/>
          </w:tcPr>
          <w:p w:rsidR="00B13ABC" w:rsidRPr="00F251E4" w:rsidRDefault="00B13ABC" w:rsidP="00B13ABC">
            <w:pPr>
              <w:spacing w:line="240" w:lineRule="auto"/>
              <w:jc w:val="center"/>
              <w:rPr>
                <w:rFonts w:ascii="Times New Roman" w:hAnsi="Times New Roman"/>
                <w:b/>
                <w:sz w:val="24"/>
                <w:szCs w:val="24"/>
              </w:rPr>
            </w:pPr>
            <w:r w:rsidRPr="00F251E4">
              <w:rPr>
                <w:rFonts w:ascii="Times New Roman" w:hAnsi="Times New Roman"/>
                <w:b/>
                <w:sz w:val="24"/>
                <w:szCs w:val="24"/>
              </w:rPr>
              <w:t>P-value</w:t>
            </w:r>
          </w:p>
        </w:tc>
      </w:tr>
      <w:tr w:rsidR="00B13ABC" w:rsidRPr="00761828" w:rsidTr="00F251E4">
        <w:trPr>
          <w:trHeight w:val="516"/>
        </w:trPr>
        <w:tc>
          <w:tcPr>
            <w:tcW w:w="6405" w:type="dxa"/>
            <w:vMerge/>
            <w:tcBorders>
              <w:bottom w:val="single" w:sz="4" w:space="0" w:color="auto"/>
            </w:tcBorders>
            <w:shd w:val="clear" w:color="auto" w:fill="auto"/>
            <w:noWrap/>
            <w:vAlign w:val="bottom"/>
            <w:hideMark/>
          </w:tcPr>
          <w:p w:rsidR="00B13ABC" w:rsidRPr="00182753" w:rsidRDefault="00B13ABC" w:rsidP="007A024F">
            <w:pPr>
              <w:spacing w:line="240" w:lineRule="auto"/>
              <w:rPr>
                <w:rFonts w:ascii="Times New Roman" w:hAnsi="Times New Roman"/>
                <w:sz w:val="24"/>
                <w:szCs w:val="24"/>
              </w:rPr>
            </w:pPr>
          </w:p>
        </w:tc>
        <w:tc>
          <w:tcPr>
            <w:tcW w:w="1350" w:type="dxa"/>
            <w:tcBorders>
              <w:top w:val="single" w:sz="4" w:space="0" w:color="auto"/>
              <w:bottom w:val="single" w:sz="4" w:space="0" w:color="auto"/>
            </w:tcBorders>
            <w:shd w:val="clear" w:color="auto" w:fill="auto"/>
            <w:vAlign w:val="center"/>
            <w:hideMark/>
          </w:tcPr>
          <w:p w:rsidR="00B13ABC" w:rsidRPr="00182753" w:rsidRDefault="00B13ABC" w:rsidP="007A024F">
            <w:pPr>
              <w:spacing w:line="240" w:lineRule="auto"/>
              <w:jc w:val="center"/>
              <w:rPr>
                <w:rFonts w:ascii="Times New Roman" w:hAnsi="Times New Roman"/>
                <w:b/>
                <w:sz w:val="24"/>
                <w:szCs w:val="24"/>
              </w:rPr>
            </w:pPr>
            <w:r w:rsidRPr="00182753">
              <w:rPr>
                <w:rFonts w:ascii="Times New Roman" w:hAnsi="Times New Roman"/>
                <w:b/>
                <w:sz w:val="24"/>
                <w:szCs w:val="24"/>
              </w:rPr>
              <w:t>Cases                   (n=1348)</w:t>
            </w:r>
          </w:p>
        </w:tc>
        <w:tc>
          <w:tcPr>
            <w:tcW w:w="1530" w:type="dxa"/>
            <w:tcBorders>
              <w:top w:val="single" w:sz="4" w:space="0" w:color="auto"/>
              <w:bottom w:val="single" w:sz="4" w:space="0" w:color="auto"/>
            </w:tcBorders>
            <w:shd w:val="clear" w:color="auto" w:fill="auto"/>
            <w:vAlign w:val="center"/>
            <w:hideMark/>
          </w:tcPr>
          <w:p w:rsidR="00B13ABC" w:rsidRPr="00182753" w:rsidRDefault="00B13ABC" w:rsidP="007A024F">
            <w:pPr>
              <w:spacing w:line="240" w:lineRule="auto"/>
              <w:jc w:val="center"/>
              <w:rPr>
                <w:rFonts w:ascii="Times New Roman" w:hAnsi="Times New Roman"/>
                <w:b/>
                <w:sz w:val="24"/>
                <w:szCs w:val="24"/>
              </w:rPr>
            </w:pPr>
            <w:r w:rsidRPr="00182753">
              <w:rPr>
                <w:rFonts w:ascii="Times New Roman" w:hAnsi="Times New Roman"/>
                <w:b/>
                <w:sz w:val="24"/>
                <w:szCs w:val="24"/>
              </w:rPr>
              <w:t>Controls                           (n=6652)</w:t>
            </w:r>
          </w:p>
        </w:tc>
        <w:tc>
          <w:tcPr>
            <w:tcW w:w="899" w:type="dxa"/>
            <w:vMerge/>
            <w:tcBorders>
              <w:bottom w:val="single" w:sz="4" w:space="0" w:color="auto"/>
            </w:tcBorders>
            <w:shd w:val="clear" w:color="auto" w:fill="auto"/>
            <w:noWrap/>
            <w:vAlign w:val="bottom"/>
            <w:hideMark/>
          </w:tcPr>
          <w:p w:rsidR="00B13ABC" w:rsidRPr="00182753" w:rsidRDefault="00B13ABC" w:rsidP="007A024F">
            <w:pPr>
              <w:spacing w:line="240" w:lineRule="auto"/>
              <w:jc w:val="center"/>
              <w:rPr>
                <w:rFonts w:ascii="Times New Roman" w:hAnsi="Times New Roman"/>
                <w:sz w:val="24"/>
                <w:szCs w:val="24"/>
              </w:rPr>
            </w:pPr>
          </w:p>
        </w:tc>
        <w:tc>
          <w:tcPr>
            <w:tcW w:w="1350" w:type="dxa"/>
            <w:vMerge/>
            <w:tcBorders>
              <w:bottom w:val="single" w:sz="4" w:space="0" w:color="auto"/>
            </w:tcBorders>
          </w:tcPr>
          <w:p w:rsidR="00B13ABC" w:rsidRPr="00182753" w:rsidRDefault="00B13ABC" w:rsidP="007A024F">
            <w:pPr>
              <w:spacing w:line="240" w:lineRule="auto"/>
              <w:jc w:val="center"/>
              <w:rPr>
                <w:rFonts w:ascii="Times New Roman" w:hAnsi="Times New Roman"/>
                <w:sz w:val="24"/>
                <w:szCs w:val="24"/>
              </w:rPr>
            </w:pPr>
          </w:p>
        </w:tc>
        <w:tc>
          <w:tcPr>
            <w:tcW w:w="1045" w:type="dxa"/>
            <w:vMerge/>
            <w:tcBorders>
              <w:bottom w:val="single" w:sz="4" w:space="0" w:color="auto"/>
            </w:tcBorders>
            <w:shd w:val="clear" w:color="auto" w:fill="auto"/>
            <w:noWrap/>
            <w:vAlign w:val="bottom"/>
            <w:hideMark/>
          </w:tcPr>
          <w:p w:rsidR="00B13ABC" w:rsidRPr="00182753" w:rsidRDefault="00B13ABC" w:rsidP="007A024F">
            <w:pPr>
              <w:spacing w:line="240" w:lineRule="auto"/>
              <w:jc w:val="center"/>
              <w:rPr>
                <w:rFonts w:ascii="Times New Roman" w:hAnsi="Times New Roman"/>
                <w:sz w:val="24"/>
                <w:szCs w:val="24"/>
              </w:rPr>
            </w:pPr>
          </w:p>
        </w:tc>
        <w:tc>
          <w:tcPr>
            <w:tcW w:w="305" w:type="dxa"/>
            <w:vMerge/>
            <w:tcBorders>
              <w:bottom w:val="single" w:sz="4" w:space="0" w:color="auto"/>
            </w:tcBorders>
          </w:tcPr>
          <w:p w:rsidR="00B13ABC" w:rsidRPr="00182753" w:rsidRDefault="00B13ABC" w:rsidP="007A024F">
            <w:pPr>
              <w:spacing w:line="240" w:lineRule="auto"/>
              <w:jc w:val="center"/>
              <w:rPr>
                <w:rFonts w:ascii="Times New Roman" w:hAnsi="Times New Roman"/>
                <w:sz w:val="24"/>
                <w:szCs w:val="24"/>
              </w:rPr>
            </w:pPr>
          </w:p>
        </w:tc>
        <w:tc>
          <w:tcPr>
            <w:tcW w:w="900" w:type="dxa"/>
            <w:vMerge/>
            <w:tcBorders>
              <w:bottom w:val="single" w:sz="4" w:space="0" w:color="auto"/>
            </w:tcBorders>
          </w:tcPr>
          <w:p w:rsidR="00B13ABC" w:rsidRPr="00182753" w:rsidRDefault="00B13ABC" w:rsidP="007A024F">
            <w:pPr>
              <w:spacing w:line="240" w:lineRule="auto"/>
              <w:jc w:val="center"/>
              <w:rPr>
                <w:rFonts w:ascii="Times New Roman" w:hAnsi="Times New Roman"/>
                <w:sz w:val="24"/>
                <w:szCs w:val="24"/>
              </w:rPr>
            </w:pPr>
          </w:p>
        </w:tc>
        <w:tc>
          <w:tcPr>
            <w:tcW w:w="1260" w:type="dxa"/>
            <w:vMerge/>
            <w:tcBorders>
              <w:bottom w:val="single" w:sz="4" w:space="0" w:color="auto"/>
            </w:tcBorders>
          </w:tcPr>
          <w:p w:rsidR="00B13ABC" w:rsidRPr="00182753" w:rsidRDefault="00B13ABC" w:rsidP="007A024F">
            <w:pPr>
              <w:spacing w:line="240" w:lineRule="auto"/>
              <w:jc w:val="center"/>
              <w:rPr>
                <w:rFonts w:ascii="Times New Roman" w:hAnsi="Times New Roman"/>
                <w:sz w:val="24"/>
                <w:szCs w:val="24"/>
              </w:rPr>
            </w:pPr>
          </w:p>
        </w:tc>
        <w:tc>
          <w:tcPr>
            <w:tcW w:w="990" w:type="dxa"/>
            <w:vMerge/>
            <w:tcBorders>
              <w:bottom w:val="single" w:sz="4" w:space="0" w:color="auto"/>
            </w:tcBorders>
          </w:tcPr>
          <w:p w:rsidR="00B13ABC" w:rsidRPr="00182753" w:rsidRDefault="00B13ABC" w:rsidP="007A024F">
            <w:pPr>
              <w:spacing w:line="240" w:lineRule="auto"/>
              <w:jc w:val="center"/>
              <w:rPr>
                <w:rFonts w:ascii="Times New Roman" w:hAnsi="Times New Roman"/>
                <w:sz w:val="24"/>
                <w:szCs w:val="24"/>
              </w:rPr>
            </w:pPr>
          </w:p>
        </w:tc>
      </w:tr>
      <w:tr w:rsidR="00B13ABC" w:rsidRPr="0022451F" w:rsidTr="00F251E4">
        <w:trPr>
          <w:trHeight w:val="489"/>
        </w:trPr>
        <w:tc>
          <w:tcPr>
            <w:tcW w:w="6405" w:type="dxa"/>
            <w:tcBorders>
              <w:top w:val="single" w:sz="4" w:space="0" w:color="auto"/>
            </w:tcBorders>
            <w:shd w:val="clear" w:color="auto" w:fill="auto"/>
            <w:noWrap/>
            <w:vAlign w:val="center"/>
            <w:hideMark/>
          </w:tcPr>
          <w:p w:rsidR="00B13ABC" w:rsidRPr="00F251E4" w:rsidRDefault="00B13ABC" w:rsidP="00B13ABC">
            <w:pPr>
              <w:spacing w:line="240" w:lineRule="auto"/>
              <w:rPr>
                <w:rFonts w:ascii="Times New Roman" w:hAnsi="Times New Roman"/>
              </w:rPr>
            </w:pPr>
            <w:r w:rsidRPr="00F251E4">
              <w:rPr>
                <w:rFonts w:ascii="Times New Roman" w:hAnsi="Times New Roman"/>
              </w:rPr>
              <w:t>No balance problem</w:t>
            </w:r>
            <w:r w:rsidRPr="00F251E4">
              <w:rPr>
                <w:rFonts w:ascii="Times New Roman" w:hAnsi="Times New Roman"/>
                <w:b/>
              </w:rPr>
              <w:t xml:space="preserve"> </w:t>
            </w:r>
            <w:r w:rsidRPr="00F251E4">
              <w:rPr>
                <w:rFonts w:ascii="Times New Roman" w:hAnsi="Times New Roman"/>
              </w:rPr>
              <w:t>before the index date</w:t>
            </w:r>
          </w:p>
        </w:tc>
        <w:tc>
          <w:tcPr>
            <w:tcW w:w="1350" w:type="dxa"/>
            <w:tcBorders>
              <w:top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1293 (95.9)</w:t>
            </w:r>
          </w:p>
        </w:tc>
        <w:tc>
          <w:tcPr>
            <w:tcW w:w="1530" w:type="dxa"/>
            <w:tcBorders>
              <w:top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6441(96.8)</w:t>
            </w:r>
          </w:p>
        </w:tc>
        <w:tc>
          <w:tcPr>
            <w:tcW w:w="899" w:type="dxa"/>
            <w:tcBorders>
              <w:top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1</w:t>
            </w:r>
          </w:p>
        </w:tc>
        <w:tc>
          <w:tcPr>
            <w:tcW w:w="1350" w:type="dxa"/>
            <w:tcBorders>
              <w:top w:val="single" w:sz="4" w:space="0" w:color="auto"/>
            </w:tcBorders>
            <w:vAlign w:val="bottom"/>
          </w:tcPr>
          <w:p w:rsidR="00B13ABC" w:rsidRPr="00F251E4" w:rsidRDefault="00B13ABC" w:rsidP="00B13ABC">
            <w:pPr>
              <w:jc w:val="center"/>
              <w:rPr>
                <w:rFonts w:ascii="Times New Roman" w:hAnsi="Times New Roman"/>
              </w:rPr>
            </w:pPr>
          </w:p>
        </w:tc>
        <w:tc>
          <w:tcPr>
            <w:tcW w:w="1045" w:type="dxa"/>
            <w:tcBorders>
              <w:top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p>
        </w:tc>
        <w:tc>
          <w:tcPr>
            <w:tcW w:w="305" w:type="dxa"/>
            <w:tcBorders>
              <w:top w:val="single" w:sz="4" w:space="0" w:color="auto"/>
            </w:tcBorders>
          </w:tcPr>
          <w:p w:rsidR="00B13ABC" w:rsidRPr="00F251E4" w:rsidRDefault="00B13ABC" w:rsidP="00B13ABC">
            <w:pPr>
              <w:jc w:val="center"/>
              <w:rPr>
                <w:rFonts w:ascii="Times New Roman" w:hAnsi="Times New Roman"/>
              </w:rPr>
            </w:pPr>
          </w:p>
        </w:tc>
        <w:tc>
          <w:tcPr>
            <w:tcW w:w="900" w:type="dxa"/>
            <w:tcBorders>
              <w:top w:val="single" w:sz="4" w:space="0" w:color="auto"/>
              <w:bottom w:val="nil"/>
              <w:right w:val="nil"/>
            </w:tcBorders>
            <w:shd w:val="clear" w:color="auto" w:fill="auto"/>
            <w:vAlign w:val="center"/>
          </w:tcPr>
          <w:p w:rsidR="00B13ABC" w:rsidRPr="00F251E4" w:rsidRDefault="00B13ABC" w:rsidP="00B13ABC">
            <w:pPr>
              <w:jc w:val="center"/>
              <w:rPr>
                <w:rFonts w:ascii="Times New Roman" w:hAnsi="Times New Roman"/>
              </w:rPr>
            </w:pPr>
            <w:r w:rsidRPr="00F251E4">
              <w:rPr>
                <w:rFonts w:ascii="Times New Roman" w:eastAsia="Times New Roman" w:hAnsi="Times New Roman" w:cs="Times New Roman"/>
                <w:color w:val="000000"/>
              </w:rPr>
              <w:t>1</w:t>
            </w:r>
          </w:p>
        </w:tc>
        <w:tc>
          <w:tcPr>
            <w:tcW w:w="1260" w:type="dxa"/>
            <w:tcBorders>
              <w:top w:val="nil"/>
              <w:left w:val="nil"/>
              <w:bottom w:val="nil"/>
              <w:right w:val="nil"/>
            </w:tcBorders>
            <w:shd w:val="clear" w:color="auto" w:fill="auto"/>
            <w:vAlign w:val="center"/>
          </w:tcPr>
          <w:p w:rsidR="00B13ABC" w:rsidRPr="00F251E4" w:rsidRDefault="00B13ABC" w:rsidP="00B13ABC">
            <w:pPr>
              <w:jc w:val="center"/>
              <w:rPr>
                <w:rFonts w:ascii="Times New Roman" w:hAnsi="Times New Roman"/>
              </w:rPr>
            </w:pPr>
          </w:p>
        </w:tc>
        <w:tc>
          <w:tcPr>
            <w:tcW w:w="990" w:type="dxa"/>
            <w:tcBorders>
              <w:top w:val="nil"/>
              <w:left w:val="nil"/>
              <w:bottom w:val="nil"/>
              <w:right w:val="nil"/>
            </w:tcBorders>
            <w:shd w:val="clear" w:color="auto" w:fill="auto"/>
            <w:vAlign w:val="center"/>
          </w:tcPr>
          <w:p w:rsidR="00B13ABC" w:rsidRPr="00F251E4" w:rsidRDefault="00B13ABC" w:rsidP="00B13ABC">
            <w:pPr>
              <w:jc w:val="center"/>
              <w:rPr>
                <w:rFonts w:ascii="Times New Roman" w:hAnsi="Times New Roman"/>
              </w:rPr>
            </w:pPr>
          </w:p>
        </w:tc>
      </w:tr>
      <w:tr w:rsidR="00B13ABC" w:rsidRPr="0022451F" w:rsidTr="00F251E4">
        <w:trPr>
          <w:trHeight w:val="489"/>
        </w:trPr>
        <w:tc>
          <w:tcPr>
            <w:tcW w:w="6405" w:type="dxa"/>
            <w:shd w:val="clear" w:color="auto" w:fill="auto"/>
            <w:noWrap/>
            <w:vAlign w:val="center"/>
            <w:hideMark/>
          </w:tcPr>
          <w:p w:rsidR="00B13ABC" w:rsidRPr="00F251E4" w:rsidRDefault="00B13ABC" w:rsidP="00B13ABC">
            <w:pPr>
              <w:spacing w:line="240" w:lineRule="auto"/>
              <w:rPr>
                <w:rFonts w:ascii="Times New Roman" w:hAnsi="Times New Roman"/>
              </w:rPr>
            </w:pPr>
            <w:r w:rsidRPr="00F251E4">
              <w:rPr>
                <w:rFonts w:ascii="Times New Roman" w:hAnsi="Times New Roman"/>
              </w:rPr>
              <w:t>Any balance problem</w:t>
            </w:r>
            <w:r w:rsidRPr="00F251E4">
              <w:rPr>
                <w:rFonts w:ascii="Times New Roman" w:hAnsi="Times New Roman"/>
                <w:b/>
              </w:rPr>
              <w:t xml:space="preserve"> </w:t>
            </w:r>
            <w:r w:rsidRPr="00F251E4">
              <w:rPr>
                <w:rFonts w:ascii="Times New Roman" w:hAnsi="Times New Roman"/>
              </w:rPr>
              <w:t>before the index date</w:t>
            </w:r>
          </w:p>
        </w:tc>
        <w:tc>
          <w:tcPr>
            <w:tcW w:w="1350" w:type="dxa"/>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55 (4.1)</w:t>
            </w:r>
          </w:p>
        </w:tc>
        <w:tc>
          <w:tcPr>
            <w:tcW w:w="1530" w:type="dxa"/>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211 (3.2)</w:t>
            </w:r>
          </w:p>
        </w:tc>
        <w:tc>
          <w:tcPr>
            <w:tcW w:w="899" w:type="dxa"/>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1.30</w:t>
            </w:r>
          </w:p>
        </w:tc>
        <w:tc>
          <w:tcPr>
            <w:tcW w:w="1350" w:type="dxa"/>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(0.95-1.76)</w:t>
            </w:r>
          </w:p>
        </w:tc>
        <w:tc>
          <w:tcPr>
            <w:tcW w:w="1045" w:type="dxa"/>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0.10</w:t>
            </w:r>
          </w:p>
        </w:tc>
        <w:tc>
          <w:tcPr>
            <w:tcW w:w="305" w:type="dxa"/>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p>
        </w:tc>
        <w:tc>
          <w:tcPr>
            <w:tcW w:w="900" w:type="dxa"/>
            <w:tcBorders>
              <w:top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1.28</w:t>
            </w:r>
          </w:p>
        </w:tc>
        <w:tc>
          <w:tcPr>
            <w:tcW w:w="1260" w:type="dxa"/>
            <w:tcBorders>
              <w:top w:val="nil"/>
              <w:left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(0.94-1.74)</w:t>
            </w:r>
          </w:p>
        </w:tc>
        <w:tc>
          <w:tcPr>
            <w:tcW w:w="990" w:type="dxa"/>
            <w:tcBorders>
              <w:top w:val="nil"/>
              <w:left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0.12</w:t>
            </w:r>
          </w:p>
        </w:tc>
      </w:tr>
      <w:tr w:rsidR="00B13ABC" w:rsidRPr="0022451F" w:rsidTr="00F251E4">
        <w:trPr>
          <w:trHeight w:val="489"/>
        </w:trPr>
        <w:tc>
          <w:tcPr>
            <w:tcW w:w="6405" w:type="dxa"/>
            <w:shd w:val="clear" w:color="auto" w:fill="auto"/>
            <w:noWrap/>
            <w:vAlign w:val="center"/>
            <w:hideMark/>
          </w:tcPr>
          <w:p w:rsidR="00B13ABC" w:rsidRPr="00F251E4" w:rsidRDefault="00B13ABC" w:rsidP="00B13ABC">
            <w:pPr>
              <w:pStyle w:val="ListParagraph"/>
              <w:numPr>
                <w:ilvl w:val="0"/>
                <w:numId w:val="8"/>
              </w:numPr>
              <w:spacing w:line="240" w:lineRule="auto"/>
              <w:rPr>
                <w:rFonts w:ascii="Times New Roman" w:hAnsi="Times New Roman"/>
              </w:rPr>
            </w:pPr>
            <w:r w:rsidRPr="00F251E4">
              <w:rPr>
                <w:rFonts w:ascii="Times New Roman" w:hAnsi="Times New Roman"/>
              </w:rPr>
              <w:t>last consultation with balance problem &lt;12 months before</w:t>
            </w:r>
          </w:p>
        </w:tc>
        <w:tc>
          <w:tcPr>
            <w:tcW w:w="1350" w:type="dxa"/>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17 (1.3)</w:t>
            </w:r>
          </w:p>
        </w:tc>
        <w:tc>
          <w:tcPr>
            <w:tcW w:w="1530" w:type="dxa"/>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47 (0.7)</w:t>
            </w:r>
          </w:p>
        </w:tc>
        <w:tc>
          <w:tcPr>
            <w:tcW w:w="899" w:type="dxa"/>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1.77</w:t>
            </w:r>
          </w:p>
        </w:tc>
        <w:tc>
          <w:tcPr>
            <w:tcW w:w="1350" w:type="dxa"/>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(1.01-3.11)</w:t>
            </w:r>
          </w:p>
        </w:tc>
        <w:tc>
          <w:tcPr>
            <w:tcW w:w="1045" w:type="dxa"/>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0.05</w:t>
            </w:r>
          </w:p>
        </w:tc>
        <w:tc>
          <w:tcPr>
            <w:tcW w:w="305" w:type="dxa"/>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p>
        </w:tc>
        <w:tc>
          <w:tcPr>
            <w:tcW w:w="900" w:type="dxa"/>
            <w:tcBorders>
              <w:top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1.76</w:t>
            </w:r>
          </w:p>
        </w:tc>
        <w:tc>
          <w:tcPr>
            <w:tcW w:w="1260" w:type="dxa"/>
            <w:tcBorders>
              <w:top w:val="nil"/>
              <w:left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(1.00-3.09)</w:t>
            </w:r>
          </w:p>
        </w:tc>
        <w:tc>
          <w:tcPr>
            <w:tcW w:w="990" w:type="dxa"/>
            <w:tcBorders>
              <w:top w:val="nil"/>
              <w:left w:val="nil"/>
              <w:bottom w:val="nil"/>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0.05</w:t>
            </w:r>
          </w:p>
        </w:tc>
      </w:tr>
      <w:tr w:rsidR="00B13ABC" w:rsidRPr="0022451F" w:rsidTr="00F251E4">
        <w:trPr>
          <w:trHeight w:val="380"/>
        </w:trPr>
        <w:tc>
          <w:tcPr>
            <w:tcW w:w="6405" w:type="dxa"/>
            <w:tcBorders>
              <w:bottom w:val="single" w:sz="4" w:space="0" w:color="auto"/>
            </w:tcBorders>
            <w:shd w:val="clear" w:color="auto" w:fill="auto"/>
            <w:noWrap/>
            <w:vAlign w:val="center"/>
            <w:hideMark/>
          </w:tcPr>
          <w:p w:rsidR="00B13ABC" w:rsidRPr="00F251E4" w:rsidRDefault="00B13ABC" w:rsidP="00B13ABC">
            <w:pPr>
              <w:pStyle w:val="ListParagraph"/>
              <w:numPr>
                <w:ilvl w:val="0"/>
                <w:numId w:val="8"/>
              </w:numPr>
              <w:spacing w:line="240" w:lineRule="auto"/>
              <w:rPr>
                <w:rFonts w:ascii="Times New Roman" w:hAnsi="Times New Roman"/>
              </w:rPr>
            </w:pPr>
            <w:r w:rsidRPr="00F251E4">
              <w:rPr>
                <w:rFonts w:ascii="Times New Roman" w:hAnsi="Times New Roman"/>
              </w:rPr>
              <w:t>last consultation with balance problem &gt;12 months before</w:t>
            </w:r>
          </w:p>
        </w:tc>
        <w:tc>
          <w:tcPr>
            <w:tcW w:w="1350" w:type="dxa"/>
            <w:tcBorders>
              <w:bottom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38 (2.8)</w:t>
            </w:r>
          </w:p>
        </w:tc>
        <w:tc>
          <w:tcPr>
            <w:tcW w:w="1530" w:type="dxa"/>
            <w:tcBorders>
              <w:bottom w:val="single" w:sz="4" w:space="0" w:color="auto"/>
            </w:tcBorders>
            <w:shd w:val="clear" w:color="auto" w:fill="auto"/>
            <w:noWrap/>
            <w:vAlign w:val="bottom"/>
            <w:hideMark/>
          </w:tcPr>
          <w:p w:rsidR="00B13ABC" w:rsidRPr="00F251E4" w:rsidRDefault="00B13ABC" w:rsidP="00B13ABC">
            <w:pPr>
              <w:jc w:val="center"/>
              <w:rPr>
                <w:rFonts w:ascii="Times New Roman" w:hAnsi="Times New Roman"/>
              </w:rPr>
            </w:pPr>
            <w:r w:rsidRPr="00F251E4">
              <w:rPr>
                <w:rFonts w:ascii="Times New Roman" w:hAnsi="Times New Roman"/>
              </w:rPr>
              <w:t>164 (2.5)</w:t>
            </w:r>
          </w:p>
        </w:tc>
        <w:tc>
          <w:tcPr>
            <w:tcW w:w="899" w:type="dxa"/>
            <w:tcBorders>
              <w:bottom w:val="single" w:sz="4" w:space="0" w:color="auto"/>
            </w:tcBorders>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1.14</w:t>
            </w:r>
          </w:p>
        </w:tc>
        <w:tc>
          <w:tcPr>
            <w:tcW w:w="1350" w:type="dxa"/>
            <w:tcBorders>
              <w:bottom w:val="single" w:sz="4" w:space="0" w:color="auto"/>
            </w:tcBorders>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(0.79-1.65)</w:t>
            </w:r>
          </w:p>
        </w:tc>
        <w:tc>
          <w:tcPr>
            <w:tcW w:w="1045" w:type="dxa"/>
            <w:tcBorders>
              <w:bottom w:val="single" w:sz="4" w:space="0" w:color="auto"/>
            </w:tcBorders>
            <w:shd w:val="clear" w:color="auto" w:fill="auto"/>
            <w:noWrap/>
            <w:vAlign w:val="center"/>
            <w:hideMark/>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lang w:eastAsia="en-GB"/>
              </w:rPr>
              <w:t>0.47</w:t>
            </w:r>
          </w:p>
        </w:tc>
        <w:tc>
          <w:tcPr>
            <w:tcW w:w="305" w:type="dxa"/>
            <w:tcBorders>
              <w:bottom w:val="single" w:sz="4" w:space="0" w:color="auto"/>
            </w:tcBorders>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p>
        </w:tc>
        <w:tc>
          <w:tcPr>
            <w:tcW w:w="900" w:type="dxa"/>
            <w:tcBorders>
              <w:top w:val="nil"/>
              <w:bottom w:val="single" w:sz="8" w:space="0" w:color="auto"/>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1.12</w:t>
            </w:r>
          </w:p>
        </w:tc>
        <w:tc>
          <w:tcPr>
            <w:tcW w:w="1260" w:type="dxa"/>
            <w:tcBorders>
              <w:top w:val="nil"/>
              <w:left w:val="nil"/>
              <w:bottom w:val="single" w:sz="8" w:space="0" w:color="auto"/>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(0.78-1.62)</w:t>
            </w:r>
          </w:p>
        </w:tc>
        <w:tc>
          <w:tcPr>
            <w:tcW w:w="990" w:type="dxa"/>
            <w:tcBorders>
              <w:top w:val="nil"/>
              <w:left w:val="nil"/>
              <w:bottom w:val="single" w:sz="8" w:space="0" w:color="auto"/>
              <w:right w:val="nil"/>
            </w:tcBorders>
            <w:shd w:val="clear" w:color="auto" w:fill="auto"/>
            <w:vAlign w:val="center"/>
          </w:tcPr>
          <w:p w:rsidR="00B13ABC" w:rsidRPr="00F251E4" w:rsidRDefault="00B13ABC" w:rsidP="00B13ABC">
            <w:pPr>
              <w:spacing w:line="240" w:lineRule="auto"/>
              <w:jc w:val="center"/>
              <w:rPr>
                <w:rFonts w:ascii="Times New Roman" w:eastAsia="Times New Roman" w:hAnsi="Times New Roman" w:cs="Times New Roman"/>
                <w:color w:val="000000"/>
                <w:lang w:eastAsia="en-GB"/>
              </w:rPr>
            </w:pPr>
            <w:r w:rsidRPr="00F251E4">
              <w:rPr>
                <w:rFonts w:ascii="Times New Roman" w:eastAsia="Times New Roman" w:hAnsi="Times New Roman" w:cs="Times New Roman"/>
                <w:color w:val="000000"/>
              </w:rPr>
              <w:t>0.53</w:t>
            </w:r>
          </w:p>
        </w:tc>
      </w:tr>
    </w:tbl>
    <w:p w:rsidR="0022451F" w:rsidRPr="0022451F" w:rsidRDefault="0022451F" w:rsidP="0022451F">
      <w:pPr>
        <w:rPr>
          <w:rFonts w:ascii="Times New Roman" w:hAnsi="Times New Roman"/>
          <w:sz w:val="24"/>
          <w:szCs w:val="24"/>
        </w:rPr>
      </w:pPr>
    </w:p>
    <w:p w:rsidR="0022451F" w:rsidRDefault="001A191C" w:rsidP="00C31405">
      <w:pPr>
        <w:rPr>
          <w:rFonts w:ascii="Times New Roman" w:hAnsi="Times New Roman" w:cs="Times New Roman"/>
          <w:sz w:val="24"/>
          <w:szCs w:val="24"/>
        </w:rPr>
      </w:pPr>
      <w:r w:rsidRPr="001A191C">
        <w:rPr>
          <w:rFonts w:ascii="Times New Roman" w:hAnsi="Times New Roman" w:cs="Times New Roman"/>
          <w:sz w:val="24"/>
          <w:szCs w:val="24"/>
          <w:vertAlign w:val="superscript"/>
        </w:rPr>
        <w:t>a</w:t>
      </w:r>
      <w:r w:rsidR="0022451F" w:rsidRPr="0022451F">
        <w:rPr>
          <w:rFonts w:ascii="Times New Roman" w:hAnsi="Times New Roman" w:cs="Times New Roman"/>
          <w:sz w:val="24"/>
          <w:szCs w:val="24"/>
        </w:rPr>
        <w:t xml:space="preserve"> </w:t>
      </w:r>
      <w:r w:rsidR="00BC1803" w:rsidRPr="0022451F">
        <w:rPr>
          <w:rFonts w:ascii="Times New Roman" w:hAnsi="Times New Roman" w:cs="Times New Roman"/>
          <w:sz w:val="24"/>
          <w:szCs w:val="24"/>
        </w:rPr>
        <w:t xml:space="preserve">As defined in </w:t>
      </w:r>
      <w:r w:rsidR="00BC1803">
        <w:rPr>
          <w:rFonts w:ascii="Times New Roman" w:hAnsi="Times New Roman" w:cs="Times New Roman"/>
          <w:sz w:val="24"/>
          <w:szCs w:val="24"/>
        </w:rPr>
        <w:t xml:space="preserve">an online Appendix </w:t>
      </w:r>
      <w:r w:rsidR="00DE13D2">
        <w:rPr>
          <w:rFonts w:ascii="Times New Roman" w:hAnsi="Times New Roman" w:cs="Times New Roman"/>
          <w:sz w:val="24"/>
          <w:szCs w:val="24"/>
        </w:rPr>
        <w:t>(includes vertigo, labyrinthitis, Meniere’s disease and vestibular disorder)</w:t>
      </w:r>
    </w:p>
    <w:p w:rsidR="00C31405" w:rsidRDefault="00C31405" w:rsidP="00C31405">
      <w:pPr>
        <w:rPr>
          <w:rFonts w:ascii="Times New Roman" w:hAnsi="Times New Roman" w:cs="Times New Roman"/>
          <w:sz w:val="24"/>
          <w:szCs w:val="24"/>
        </w:rPr>
      </w:pPr>
      <w:r w:rsidRPr="00C31405">
        <w:rPr>
          <w:rFonts w:ascii="Times New Roman" w:hAnsi="Times New Roman" w:cs="Times New Roman"/>
          <w:sz w:val="24"/>
          <w:szCs w:val="24"/>
          <w:vertAlign w:val="superscript"/>
        </w:rPr>
        <w:t>b</w:t>
      </w:r>
      <w:r>
        <w:rPr>
          <w:rFonts w:ascii="Times New Roman" w:hAnsi="Times New Roman" w:cs="Times New Roman"/>
          <w:sz w:val="24"/>
          <w:szCs w:val="24"/>
        </w:rPr>
        <w:t xml:space="preserve"> Adjusted for problem drinking</w:t>
      </w:r>
    </w:p>
    <w:p w:rsidR="00F251E4" w:rsidRPr="00537245" w:rsidRDefault="00B13ABC" w:rsidP="00F251E4">
      <w:pPr>
        <w:rPr>
          <w:rFonts w:ascii="Times New Roman" w:hAnsi="Times New Roman" w:cs="Times New Roman"/>
          <w:sz w:val="24"/>
          <w:szCs w:val="24"/>
        </w:rPr>
      </w:pPr>
      <w:r>
        <w:rPr>
          <w:rFonts w:ascii="Times New Roman" w:hAnsi="Times New Roman" w:cs="Times New Roman"/>
          <w:sz w:val="24"/>
          <w:szCs w:val="24"/>
          <w:vertAlign w:val="superscript"/>
        </w:rPr>
        <w:t>c</w:t>
      </w:r>
      <w:r w:rsidRPr="00B13ABC">
        <w:rPr>
          <w:rFonts w:ascii="Times New Roman" w:hAnsi="Times New Roman" w:cs="Times New Roman"/>
        </w:rPr>
        <w:t xml:space="preserve"> </w:t>
      </w:r>
      <w:r w:rsidR="00F251E4" w:rsidRPr="00537245">
        <w:rPr>
          <w:rFonts w:ascii="Times New Roman" w:hAnsi="Times New Roman" w:cs="Times New Roman"/>
          <w:sz w:val="24"/>
          <w:szCs w:val="24"/>
        </w:rPr>
        <w:t xml:space="preserve">Adjusted for problem drinking and number of consultations in the 12 months before the index date (0, 1, </w:t>
      </w:r>
      <w:r w:rsidR="00F251E4" w:rsidRPr="00537245">
        <w:rPr>
          <w:rFonts w:ascii="Times New Roman" w:hAnsi="Times New Roman" w:cs="Times New Roman"/>
          <w:sz w:val="24"/>
          <w:szCs w:val="24"/>
          <w:u w:val="single"/>
        </w:rPr>
        <w:t>&gt;</w:t>
      </w:r>
      <w:r w:rsidR="00F251E4" w:rsidRPr="00537245">
        <w:rPr>
          <w:rFonts w:ascii="Times New Roman" w:hAnsi="Times New Roman" w:cs="Times New Roman"/>
          <w:sz w:val="24"/>
          <w:szCs w:val="24"/>
        </w:rPr>
        <w:t>2 consultations)</w:t>
      </w:r>
    </w:p>
    <w:p w:rsidR="00B13ABC" w:rsidRPr="00B13ABC" w:rsidRDefault="00B13ABC" w:rsidP="00C31405">
      <w:pPr>
        <w:rPr>
          <w:rFonts w:ascii="Times New Roman" w:hAnsi="Times New Roman" w:cs="Times New Roman"/>
          <w:sz w:val="24"/>
          <w:szCs w:val="24"/>
        </w:rPr>
      </w:pPr>
    </w:p>
    <w:p w:rsidR="00C31405" w:rsidRDefault="00C31405" w:rsidP="0022451F">
      <w:pPr>
        <w:ind w:left="360"/>
        <w:rPr>
          <w:rFonts w:ascii="Times New Roman" w:hAnsi="Times New Roman" w:cs="Times New Roman"/>
          <w:b/>
          <w:sz w:val="24"/>
          <w:szCs w:val="24"/>
        </w:rPr>
      </w:pPr>
    </w:p>
    <w:p w:rsidR="00B13ABC" w:rsidRPr="0022451F" w:rsidRDefault="00B13ABC" w:rsidP="0022451F">
      <w:pPr>
        <w:ind w:left="360"/>
        <w:rPr>
          <w:rFonts w:ascii="Times New Roman" w:hAnsi="Times New Roman" w:cs="Times New Roman"/>
          <w:b/>
          <w:sz w:val="24"/>
          <w:szCs w:val="24"/>
        </w:rPr>
        <w:sectPr w:rsidR="00B13ABC" w:rsidRPr="0022451F" w:rsidSect="00AE602F">
          <w:pgSz w:w="16838" w:h="11906" w:orient="landscape"/>
          <w:pgMar w:top="720" w:right="720" w:bottom="720" w:left="720" w:header="708" w:footer="708" w:gutter="0"/>
          <w:cols w:space="708"/>
          <w:docGrid w:linePitch="360"/>
        </w:sectPr>
      </w:pPr>
    </w:p>
    <w:p w:rsidR="00465B40" w:rsidRPr="009F7D93" w:rsidRDefault="00465B40" w:rsidP="00406FAF">
      <w:pPr>
        <w:rPr>
          <w:rFonts w:ascii="Times New Roman" w:hAnsi="Times New Roman" w:cs="Times New Roman"/>
          <w:b/>
          <w:sz w:val="24"/>
          <w:szCs w:val="24"/>
        </w:rPr>
      </w:pPr>
      <w:r w:rsidRPr="009F7D93">
        <w:rPr>
          <w:rFonts w:ascii="Times New Roman" w:hAnsi="Times New Roman" w:cs="Times New Roman"/>
          <w:b/>
          <w:sz w:val="24"/>
          <w:szCs w:val="24"/>
        </w:rPr>
        <w:lastRenderedPageBreak/>
        <w:t>References</w:t>
      </w:r>
    </w:p>
    <w:p w:rsidR="00125385" w:rsidRPr="004A706D" w:rsidRDefault="00125385" w:rsidP="00125385">
      <w:pPr>
        <w:pStyle w:val="ListParagraph"/>
        <w:numPr>
          <w:ilvl w:val="0"/>
          <w:numId w:val="1"/>
        </w:numPr>
        <w:rPr>
          <w:rFonts w:ascii="Times New Roman" w:hAnsi="Times New Roman" w:cs="Times New Roman"/>
          <w:sz w:val="24"/>
          <w:szCs w:val="24"/>
        </w:rPr>
      </w:pPr>
      <w:r w:rsidRPr="004A706D">
        <w:rPr>
          <w:rFonts w:ascii="Times New Roman" w:hAnsi="Times New Roman" w:cs="Times New Roman"/>
          <w:sz w:val="24"/>
          <w:szCs w:val="24"/>
        </w:rPr>
        <w:t>Denniston AKO, Murray PI. Oxford Handbook of Ophthalmology, Oxford University Press, 2009.</w:t>
      </w:r>
    </w:p>
    <w:p w:rsidR="00125385" w:rsidRPr="00EF1965" w:rsidRDefault="00EF1965" w:rsidP="00EF1965">
      <w:pPr>
        <w:pStyle w:val="ListParagraph"/>
        <w:numPr>
          <w:ilvl w:val="0"/>
          <w:numId w:val="1"/>
        </w:numPr>
        <w:rPr>
          <w:rFonts w:ascii="Times New Roman" w:hAnsi="Times New Roman" w:cs="Times New Roman"/>
          <w:sz w:val="24"/>
          <w:szCs w:val="24"/>
        </w:rPr>
      </w:pPr>
      <w:r w:rsidRPr="004A706D">
        <w:rPr>
          <w:rFonts w:ascii="Times New Roman" w:hAnsi="Times New Roman" w:cs="Times New Roman"/>
          <w:sz w:val="24"/>
          <w:szCs w:val="24"/>
        </w:rPr>
        <w:t xml:space="preserve">Patient.co.uk. Blindness and Partial Sight. </w:t>
      </w:r>
      <w:hyperlink r:id="rId11" w:anchor="ref-1" w:history="1">
        <w:r w:rsidRPr="00D7697C">
          <w:rPr>
            <w:rStyle w:val="Hyperlink"/>
            <w:rFonts w:ascii="Times New Roman" w:hAnsi="Times New Roman" w:cs="Times New Roman"/>
            <w:sz w:val="24"/>
            <w:szCs w:val="24"/>
          </w:rPr>
          <w:t>http://www.patient.co.uk/doctor/Severe-and-Partial-Sight-impairment#ref-1</w:t>
        </w:r>
      </w:hyperlink>
      <w:r>
        <w:rPr>
          <w:rFonts w:ascii="Times New Roman" w:hAnsi="Times New Roman" w:cs="Times New Roman"/>
          <w:sz w:val="24"/>
          <w:szCs w:val="24"/>
        </w:rPr>
        <w:t xml:space="preserve"> </w:t>
      </w:r>
      <w:r w:rsidRPr="004A706D">
        <w:rPr>
          <w:rFonts w:ascii="Times New Roman" w:hAnsi="Times New Roman" w:cs="Times New Roman"/>
          <w:sz w:val="24"/>
          <w:szCs w:val="24"/>
        </w:rPr>
        <w:t xml:space="preserve">(accessed </w:t>
      </w:r>
      <w:r>
        <w:rPr>
          <w:rFonts w:ascii="Times New Roman" w:hAnsi="Times New Roman" w:cs="Times New Roman"/>
          <w:sz w:val="24"/>
          <w:szCs w:val="24"/>
        </w:rPr>
        <w:t>17/06/14</w:t>
      </w:r>
      <w:r w:rsidRPr="004A706D">
        <w:rPr>
          <w:rFonts w:ascii="Times New Roman" w:hAnsi="Times New Roman" w:cs="Times New Roman"/>
          <w:sz w:val="24"/>
          <w:szCs w:val="24"/>
        </w:rPr>
        <w:t>)</w:t>
      </w:r>
    </w:p>
    <w:p w:rsidR="00125385" w:rsidRPr="0022271C" w:rsidRDefault="00125385" w:rsidP="00125385">
      <w:pPr>
        <w:pStyle w:val="ListParagraph"/>
        <w:numPr>
          <w:ilvl w:val="0"/>
          <w:numId w:val="1"/>
        </w:numPr>
        <w:rPr>
          <w:rFonts w:ascii="Times New Roman" w:hAnsi="Times New Roman" w:cs="Times New Roman"/>
          <w:sz w:val="24"/>
          <w:szCs w:val="24"/>
        </w:rPr>
      </w:pPr>
      <w:r w:rsidRPr="0022271C">
        <w:rPr>
          <w:rFonts w:ascii="Times New Roman" w:hAnsi="Times New Roman" w:cs="Times New Roman"/>
          <w:sz w:val="24"/>
          <w:szCs w:val="24"/>
        </w:rPr>
        <w:t>Bunce C, Wormald R. Leading causes of certification for blindness and partial sight in England &amp; Wales. BMC Pub Health 2006; 6:58 doi:10 1 1186/1471-2458-6-58.</w:t>
      </w:r>
    </w:p>
    <w:p w:rsidR="00BC3A84" w:rsidRDefault="00BC3A84" w:rsidP="00BC3A8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BFI</w:t>
      </w:r>
      <w:r w:rsidRPr="00BC3A84">
        <w:rPr>
          <w:rFonts w:ascii="Times New Roman" w:hAnsi="Times New Roman" w:cs="Times New Roman"/>
          <w:sz w:val="24"/>
          <w:szCs w:val="24"/>
        </w:rPr>
        <w:t xml:space="preserve"> Steiermark EDV-Schulungszentrum. EUROCHANCE European Labour Market Report</w:t>
      </w:r>
      <w:r>
        <w:rPr>
          <w:rFonts w:ascii="Times New Roman" w:hAnsi="Times New Roman" w:cs="Times New Roman"/>
          <w:sz w:val="24"/>
          <w:szCs w:val="24"/>
        </w:rPr>
        <w:t xml:space="preserve"> CZ/03/W/F/LA-161832. 02/2004, </w:t>
      </w:r>
      <w:r w:rsidRPr="00BC3A84">
        <w:rPr>
          <w:rFonts w:ascii="Times New Roman" w:hAnsi="Times New Roman" w:cs="Times New Roman"/>
          <w:sz w:val="24"/>
          <w:szCs w:val="24"/>
        </w:rPr>
        <w:t>Austria.</w:t>
      </w:r>
    </w:p>
    <w:p w:rsidR="00125385" w:rsidRPr="00BC3A84" w:rsidRDefault="0022271C" w:rsidP="00BC3A84">
      <w:pPr>
        <w:pStyle w:val="ListParagraph"/>
        <w:numPr>
          <w:ilvl w:val="0"/>
          <w:numId w:val="1"/>
        </w:numPr>
        <w:rPr>
          <w:rFonts w:ascii="Times New Roman" w:hAnsi="Times New Roman" w:cs="Times New Roman"/>
          <w:sz w:val="24"/>
          <w:szCs w:val="24"/>
        </w:rPr>
      </w:pPr>
      <w:r w:rsidRPr="00BC3A84">
        <w:rPr>
          <w:rFonts w:ascii="Times New Roman" w:hAnsi="Times New Roman" w:cs="Times New Roman"/>
          <w:sz w:val="24"/>
          <w:szCs w:val="24"/>
        </w:rPr>
        <w:t>Office for National Statistics. Pension Trends – Chapter 4: The Labour Market and Retirement, 2013 Edition, 26/2/13 (</w:t>
      </w:r>
      <w:hyperlink r:id="rId12" w:history="1">
        <w:r w:rsidRPr="00BC3A84">
          <w:rPr>
            <w:rStyle w:val="Hyperlink"/>
            <w:rFonts w:ascii="Times New Roman" w:hAnsi="Times New Roman" w:cs="Times New Roman"/>
            <w:sz w:val="24"/>
            <w:szCs w:val="24"/>
          </w:rPr>
          <w:t>http://www.ons.gov.uk/ons/rel/pensions/pension-trends/chapter-4--the-labour-market-and-retirement--2013-edition/art-pt2013ch4.html</w:t>
        </w:r>
      </w:hyperlink>
      <w:r w:rsidRPr="00BC3A84">
        <w:rPr>
          <w:rFonts w:ascii="Times New Roman" w:hAnsi="Times New Roman" w:cs="Times New Roman"/>
          <w:sz w:val="24"/>
          <w:szCs w:val="24"/>
        </w:rPr>
        <w:t>)</w:t>
      </w:r>
      <w:r w:rsidR="00EF1965" w:rsidRPr="00EF1965">
        <w:rPr>
          <w:rFonts w:ascii="Times New Roman" w:hAnsi="Times New Roman" w:cs="Times New Roman"/>
          <w:sz w:val="24"/>
          <w:szCs w:val="24"/>
        </w:rPr>
        <w:t xml:space="preserve"> </w:t>
      </w:r>
      <w:r w:rsidR="00EF1965" w:rsidRPr="004A706D">
        <w:rPr>
          <w:rFonts w:ascii="Times New Roman" w:hAnsi="Times New Roman" w:cs="Times New Roman"/>
          <w:sz w:val="24"/>
          <w:szCs w:val="24"/>
        </w:rPr>
        <w:t xml:space="preserve">(accessed </w:t>
      </w:r>
      <w:r w:rsidR="00EF1965">
        <w:rPr>
          <w:rFonts w:ascii="Times New Roman" w:hAnsi="Times New Roman" w:cs="Times New Roman"/>
          <w:sz w:val="24"/>
          <w:szCs w:val="24"/>
        </w:rPr>
        <w:t>17/06/14</w:t>
      </w:r>
      <w:r w:rsidR="00EF1965" w:rsidRPr="004A706D">
        <w:rPr>
          <w:rFonts w:ascii="Times New Roman" w:hAnsi="Times New Roman" w:cs="Times New Roman"/>
          <w:sz w:val="24"/>
          <w:szCs w:val="24"/>
        </w:rPr>
        <w:t>)</w:t>
      </w:r>
    </w:p>
    <w:p w:rsidR="00125385" w:rsidRPr="007416E1" w:rsidRDefault="00125385" w:rsidP="007416E1">
      <w:pPr>
        <w:numPr>
          <w:ilvl w:val="0"/>
          <w:numId w:val="1"/>
        </w:numPr>
        <w:rPr>
          <w:rFonts w:ascii="Times New Roman" w:eastAsia="Calibri" w:hAnsi="Times New Roman" w:cs="Times New Roman"/>
          <w:sz w:val="24"/>
          <w:szCs w:val="24"/>
        </w:rPr>
      </w:pPr>
      <w:r w:rsidRPr="0022271C">
        <w:rPr>
          <w:rFonts w:ascii="Times New Roman" w:eastAsia="Calibri" w:hAnsi="Times New Roman" w:cs="Times New Roman"/>
          <w:sz w:val="24"/>
          <w:szCs w:val="24"/>
        </w:rPr>
        <w:t>Palmer KT, Harris EC, Coggon D. Impairment of hearing and vision and the risk of accidental injury: A systematic literature review. Occup Environ Med 2004; 61: e55 (024.1).</w:t>
      </w:r>
    </w:p>
    <w:p w:rsidR="00125385" w:rsidRPr="004A706D" w:rsidRDefault="00125385" w:rsidP="00125385">
      <w:pPr>
        <w:pStyle w:val="ListParagraph"/>
        <w:numPr>
          <w:ilvl w:val="0"/>
          <w:numId w:val="1"/>
        </w:numPr>
        <w:rPr>
          <w:rFonts w:ascii="Times New Roman" w:hAnsi="Times New Roman" w:cs="Times New Roman"/>
          <w:sz w:val="24"/>
          <w:szCs w:val="24"/>
        </w:rPr>
      </w:pPr>
      <w:r w:rsidRPr="0022271C">
        <w:rPr>
          <w:rFonts w:ascii="Times New Roman" w:hAnsi="Times New Roman" w:cs="Times New Roman"/>
          <w:sz w:val="24"/>
          <w:szCs w:val="24"/>
        </w:rPr>
        <w:t>Ivers RQ, Cumming RG</w:t>
      </w:r>
      <w:r w:rsidRPr="004A706D">
        <w:rPr>
          <w:rFonts w:ascii="Times New Roman" w:hAnsi="Times New Roman" w:cs="Times New Roman"/>
          <w:sz w:val="24"/>
          <w:szCs w:val="24"/>
        </w:rPr>
        <w:t xml:space="preserve">, Mitchell P, Attebo K. Visual impairment and falls in older adults: the Blue Mountains Eye Study. </w:t>
      </w:r>
      <w:r w:rsidR="00BC3A84">
        <w:rPr>
          <w:rFonts w:ascii="Times New Roman" w:hAnsi="Times New Roman" w:cs="Times New Roman"/>
          <w:sz w:val="24"/>
          <w:szCs w:val="24"/>
        </w:rPr>
        <w:t>J Am Ger Soc</w:t>
      </w:r>
      <w:r w:rsidRPr="004A706D">
        <w:rPr>
          <w:rFonts w:ascii="Times New Roman" w:hAnsi="Times New Roman" w:cs="Times New Roman"/>
          <w:sz w:val="24"/>
          <w:szCs w:val="24"/>
        </w:rPr>
        <w:t xml:space="preserve"> 1998; 46:58-64.</w:t>
      </w:r>
    </w:p>
    <w:p w:rsidR="00125385" w:rsidRPr="004A706D" w:rsidRDefault="00125385" w:rsidP="00125385">
      <w:pPr>
        <w:pStyle w:val="ListParagraph"/>
        <w:numPr>
          <w:ilvl w:val="0"/>
          <w:numId w:val="1"/>
        </w:numPr>
        <w:rPr>
          <w:rFonts w:ascii="Times New Roman" w:hAnsi="Times New Roman" w:cs="Times New Roman"/>
          <w:sz w:val="24"/>
          <w:szCs w:val="24"/>
        </w:rPr>
      </w:pPr>
      <w:r w:rsidRPr="004A706D">
        <w:rPr>
          <w:rFonts w:ascii="Times New Roman" w:eastAsia="Calibri" w:hAnsi="Times New Roman" w:cs="Times New Roman"/>
          <w:sz w:val="24"/>
          <w:szCs w:val="24"/>
        </w:rPr>
        <w:t xml:space="preserve">Browning SR, Truszczynska H, Reed D, McKnight RH.  Agricultural injuries among older Kentucky farmers: the Farm Family Health and Hazard Surveillance Study.  Am J Ind Med 1998;33:341-353.  </w:t>
      </w:r>
    </w:p>
    <w:p w:rsidR="00125385" w:rsidRPr="004A706D" w:rsidRDefault="00125385" w:rsidP="00125385">
      <w:pPr>
        <w:numPr>
          <w:ilvl w:val="0"/>
          <w:numId w:val="1"/>
        </w:numPr>
        <w:spacing w:before="120"/>
        <w:jc w:val="both"/>
        <w:rPr>
          <w:rStyle w:val="ti2"/>
          <w:rFonts w:ascii="Times New Roman" w:eastAsia="Calibri" w:hAnsi="Times New Roman" w:cs="Times New Roman"/>
          <w:sz w:val="24"/>
          <w:szCs w:val="24"/>
        </w:rPr>
      </w:pPr>
      <w:r w:rsidRPr="004A706D">
        <w:rPr>
          <w:rStyle w:val="ti2"/>
          <w:rFonts w:ascii="Times New Roman" w:eastAsia="Calibri" w:hAnsi="Times New Roman" w:cs="Times New Roman"/>
          <w:sz w:val="24"/>
          <w:szCs w:val="24"/>
        </w:rPr>
        <w:t>Lewis MQ, Sprince NL, Burmeister LF, Whitten PS, Torner JC, Zwerling C.  Work-related injuries among Iowa farm operators: an analysis of the Iowa Farm Family Health and Hazard Surveillance Project.  Am J Ind Med 1998;33:510-517.</w:t>
      </w:r>
    </w:p>
    <w:p w:rsidR="00125385" w:rsidRPr="004A706D" w:rsidRDefault="00125385" w:rsidP="00125385">
      <w:pPr>
        <w:numPr>
          <w:ilvl w:val="0"/>
          <w:numId w:val="1"/>
        </w:numPr>
        <w:spacing w:before="120"/>
        <w:jc w:val="both"/>
        <w:rPr>
          <w:rStyle w:val="ti2"/>
          <w:rFonts w:ascii="Times New Roman" w:eastAsia="Calibri" w:hAnsi="Times New Roman" w:cs="Times New Roman"/>
          <w:sz w:val="24"/>
          <w:szCs w:val="24"/>
        </w:rPr>
      </w:pPr>
      <w:r w:rsidRPr="004A706D">
        <w:rPr>
          <w:rStyle w:val="ti2"/>
          <w:rFonts w:ascii="Times New Roman" w:eastAsia="Calibri" w:hAnsi="Times New Roman" w:cs="Times New Roman"/>
          <w:sz w:val="24"/>
          <w:szCs w:val="24"/>
        </w:rPr>
        <w:t>Zwerling C, Sprince NL, Wallace RB, Davis CS, Whitten PS, Heeringa SG.  Occupational injuries among agricultural workers 51 to 61 years old: A national study.  J Agr Saf Health 1995;1:273-281.</w:t>
      </w:r>
    </w:p>
    <w:p w:rsidR="00125385" w:rsidRPr="004A706D" w:rsidRDefault="00125385" w:rsidP="00125385">
      <w:pPr>
        <w:numPr>
          <w:ilvl w:val="0"/>
          <w:numId w:val="1"/>
        </w:numPr>
        <w:spacing w:before="120"/>
        <w:jc w:val="both"/>
        <w:rPr>
          <w:rStyle w:val="ti2"/>
          <w:rFonts w:ascii="Times New Roman" w:hAnsi="Times New Roman" w:cs="Times New Roman"/>
          <w:sz w:val="24"/>
          <w:szCs w:val="24"/>
        </w:rPr>
      </w:pPr>
      <w:r w:rsidRPr="004A706D">
        <w:rPr>
          <w:rStyle w:val="ti2"/>
          <w:rFonts w:ascii="Times New Roman" w:eastAsia="Calibri" w:hAnsi="Times New Roman" w:cs="Times New Roman"/>
          <w:sz w:val="24"/>
          <w:szCs w:val="24"/>
        </w:rPr>
        <w:t>Zwerling C, Sprince NL, Wallace RB, Davis CS, Whitten PS, Heeringa SG.  Risk factors for occupational injuries among older workers: an analysis of the Health and Retirement Study.  Am J Public Health 1996;86:1306-1309.</w:t>
      </w:r>
    </w:p>
    <w:p w:rsidR="00125385" w:rsidRPr="004A706D" w:rsidRDefault="00125385" w:rsidP="00125385">
      <w:pPr>
        <w:numPr>
          <w:ilvl w:val="0"/>
          <w:numId w:val="1"/>
        </w:numPr>
        <w:spacing w:before="120"/>
        <w:jc w:val="both"/>
        <w:rPr>
          <w:rStyle w:val="ti2"/>
          <w:rFonts w:ascii="Times New Roman" w:eastAsia="Calibri" w:hAnsi="Times New Roman" w:cs="Times New Roman"/>
          <w:sz w:val="24"/>
          <w:szCs w:val="24"/>
        </w:rPr>
      </w:pPr>
      <w:r w:rsidRPr="004A706D">
        <w:rPr>
          <w:rStyle w:val="ti2"/>
          <w:rFonts w:ascii="Times New Roman" w:eastAsia="Calibri" w:hAnsi="Times New Roman" w:cs="Times New Roman"/>
          <w:sz w:val="24"/>
          <w:szCs w:val="24"/>
        </w:rPr>
        <w:lastRenderedPageBreak/>
        <w:t>Zwerling C, Whitten PS, Davis CS, Sprince NL.  Occupational injuries among workers with disabilities.  The National Health Interview Survey, 1985-1994.  JAMA 1997;278:2163-2166.</w:t>
      </w:r>
    </w:p>
    <w:p w:rsidR="00125385" w:rsidRPr="004A706D" w:rsidRDefault="00125385" w:rsidP="00125385">
      <w:pPr>
        <w:numPr>
          <w:ilvl w:val="0"/>
          <w:numId w:val="1"/>
        </w:numPr>
        <w:spacing w:before="120"/>
        <w:jc w:val="both"/>
        <w:rPr>
          <w:rFonts w:ascii="Times New Roman" w:eastAsia="Calibri" w:hAnsi="Times New Roman" w:cs="Times New Roman"/>
          <w:sz w:val="24"/>
          <w:szCs w:val="24"/>
        </w:rPr>
      </w:pPr>
      <w:r w:rsidRPr="004A706D">
        <w:rPr>
          <w:rStyle w:val="ti2"/>
          <w:rFonts w:ascii="Times New Roman" w:eastAsia="Calibri" w:hAnsi="Times New Roman" w:cs="Times New Roman"/>
          <w:sz w:val="24"/>
          <w:szCs w:val="24"/>
        </w:rPr>
        <w:t>Chau N, Mur JM, Benamghar L, Siegfried C, Dangelzer JL, Français M, Jacquin R, Sourdot A.  Relationships between certain individual characteristics and occupational injuries for various jobs in the construction industry: a case-control study.  Am J Ind Med 2004;45:84-92.</w:t>
      </w:r>
    </w:p>
    <w:p w:rsidR="00125385" w:rsidRPr="004A706D" w:rsidRDefault="00125385" w:rsidP="00125385">
      <w:pPr>
        <w:pStyle w:val="ListParagraph"/>
        <w:numPr>
          <w:ilvl w:val="0"/>
          <w:numId w:val="1"/>
        </w:numPr>
        <w:rPr>
          <w:rStyle w:val="ti2"/>
          <w:rFonts w:ascii="Times New Roman" w:hAnsi="Times New Roman" w:cs="Times New Roman"/>
          <w:sz w:val="24"/>
          <w:szCs w:val="24"/>
        </w:rPr>
      </w:pPr>
      <w:r w:rsidRPr="004A706D">
        <w:rPr>
          <w:rStyle w:val="ti2"/>
          <w:rFonts w:ascii="Times New Roman" w:eastAsia="Calibri" w:hAnsi="Times New Roman" w:cs="Times New Roman"/>
          <w:sz w:val="24"/>
          <w:szCs w:val="24"/>
        </w:rPr>
        <w:t>Moll van Charante AW, Mulder PG.  Perceptual acuity and the risk of industrial accidents.  Am J Epidemiol 1990;131:652-663.</w:t>
      </w:r>
    </w:p>
    <w:p w:rsidR="00125385" w:rsidRPr="004A706D" w:rsidRDefault="00125385" w:rsidP="00125385">
      <w:pPr>
        <w:pStyle w:val="ListParagraph"/>
        <w:numPr>
          <w:ilvl w:val="0"/>
          <w:numId w:val="1"/>
        </w:numPr>
        <w:rPr>
          <w:rStyle w:val="ti2"/>
          <w:rFonts w:ascii="Times New Roman" w:hAnsi="Times New Roman" w:cs="Times New Roman"/>
          <w:sz w:val="24"/>
          <w:szCs w:val="24"/>
        </w:rPr>
      </w:pPr>
      <w:r w:rsidRPr="004A706D">
        <w:rPr>
          <w:rStyle w:val="ti2"/>
          <w:rFonts w:ascii="Times New Roman" w:eastAsia="Calibri" w:hAnsi="Times New Roman" w:cs="Times New Roman"/>
          <w:sz w:val="24"/>
          <w:szCs w:val="24"/>
        </w:rPr>
        <w:t>Voaklander DC, Kelly KD, Rowe BH, Schopflocher DP, Svenson L, Yiannakoulias N, Pickett W.  Pain, medication, and injury in older farmers.  Am J Ind Med 2006;49:374-382</w:t>
      </w:r>
      <w:r w:rsidRPr="004A706D">
        <w:rPr>
          <w:rStyle w:val="ti2"/>
          <w:rFonts w:ascii="Times New Roman" w:hAnsi="Times New Roman" w:cs="Times New Roman"/>
          <w:sz w:val="24"/>
          <w:szCs w:val="24"/>
        </w:rPr>
        <w:t>.</w:t>
      </w:r>
    </w:p>
    <w:p w:rsidR="00125385" w:rsidRPr="004A706D" w:rsidRDefault="00125385" w:rsidP="00125385">
      <w:pPr>
        <w:pStyle w:val="ListParagraph"/>
        <w:numPr>
          <w:ilvl w:val="0"/>
          <w:numId w:val="1"/>
        </w:numPr>
        <w:rPr>
          <w:rStyle w:val="ti2"/>
          <w:rFonts w:ascii="Times New Roman" w:eastAsia="Calibri" w:hAnsi="Times New Roman" w:cs="Times New Roman"/>
          <w:sz w:val="24"/>
          <w:szCs w:val="24"/>
        </w:rPr>
      </w:pPr>
      <w:r w:rsidRPr="004A706D">
        <w:rPr>
          <w:rStyle w:val="ti2"/>
          <w:rFonts w:ascii="Times New Roman" w:eastAsia="Calibri" w:hAnsi="Times New Roman" w:cs="Times New Roman"/>
          <w:sz w:val="24"/>
          <w:szCs w:val="24"/>
        </w:rPr>
        <w:t xml:space="preserve">Park H, Sprince NL, Lewis MQ, Burmeister LF, Whitten PS, Zwerling C.  Risk factors for work-related injury among male farmers in Iowa: a prospective cohort study.  J Occup Environ Med 2001;43:542-547.  </w:t>
      </w:r>
    </w:p>
    <w:p w:rsidR="00125385" w:rsidRPr="004A706D" w:rsidRDefault="00125385" w:rsidP="00125385">
      <w:pPr>
        <w:pStyle w:val="ListParagraph"/>
        <w:numPr>
          <w:ilvl w:val="0"/>
          <w:numId w:val="1"/>
        </w:numPr>
        <w:rPr>
          <w:rStyle w:val="ti2"/>
          <w:rFonts w:ascii="Times New Roman" w:hAnsi="Times New Roman" w:cs="Times New Roman"/>
          <w:sz w:val="24"/>
          <w:szCs w:val="24"/>
        </w:rPr>
      </w:pPr>
      <w:r w:rsidRPr="004A706D">
        <w:rPr>
          <w:rStyle w:val="ti2"/>
          <w:rFonts w:ascii="Times New Roman" w:eastAsia="Calibri" w:hAnsi="Times New Roman" w:cs="Times New Roman"/>
          <w:sz w:val="24"/>
          <w:szCs w:val="24"/>
        </w:rPr>
        <w:t>Zwerling C, Sprince NL, Davis CS, Whitten PS, Wallace RR, Heeringa SG.  Occupational injuries among older workers with disabilities: a prospective cohort study of the Health and Retirement Survey, 1992 to 1994.  Am J Public Health 1998;88:1691-1695.</w:t>
      </w:r>
    </w:p>
    <w:p w:rsidR="00F80C8F" w:rsidRDefault="00F80C8F" w:rsidP="001253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Lam LT. Uncorrected or untreated vision problems and occupational injuries among the adolescent and adult population in Australia. Inj Prev 2008;14:396-400.</w:t>
      </w:r>
    </w:p>
    <w:p w:rsidR="00125385" w:rsidRPr="004A706D" w:rsidRDefault="00125385" w:rsidP="00125385">
      <w:pPr>
        <w:pStyle w:val="ListParagraph"/>
        <w:numPr>
          <w:ilvl w:val="0"/>
          <w:numId w:val="1"/>
        </w:numPr>
        <w:rPr>
          <w:rFonts w:ascii="Times New Roman" w:hAnsi="Times New Roman" w:cs="Times New Roman"/>
          <w:sz w:val="24"/>
          <w:szCs w:val="24"/>
        </w:rPr>
      </w:pPr>
      <w:r w:rsidRPr="004A706D">
        <w:rPr>
          <w:rFonts w:ascii="Times New Roman" w:hAnsi="Times New Roman" w:cs="Times New Roman"/>
          <w:sz w:val="24"/>
          <w:szCs w:val="24"/>
        </w:rPr>
        <w:t xml:space="preserve">Palmer KT, Griffin MJ, Syddall HE, Davis A, Pannett B, Coggon D.  Occupational exposure to noise and the attributable burden of hearing difficulties in Great Britain.  Occup Environ Med 2002;59:634-9. </w:t>
      </w:r>
    </w:p>
    <w:p w:rsidR="00125385" w:rsidRPr="004A706D" w:rsidRDefault="00125385" w:rsidP="00125385">
      <w:pPr>
        <w:pStyle w:val="ListParagraph"/>
        <w:numPr>
          <w:ilvl w:val="0"/>
          <w:numId w:val="1"/>
        </w:numPr>
        <w:ind w:left="714" w:hanging="357"/>
        <w:rPr>
          <w:rFonts w:ascii="Times New Roman" w:hAnsi="Times New Roman" w:cs="Times New Roman"/>
          <w:sz w:val="24"/>
          <w:szCs w:val="24"/>
        </w:rPr>
      </w:pPr>
      <w:r w:rsidRPr="004A706D">
        <w:rPr>
          <w:rFonts w:ascii="Times New Roman" w:hAnsi="Times New Roman" w:cs="Times New Roman"/>
          <w:sz w:val="24"/>
          <w:szCs w:val="24"/>
        </w:rPr>
        <w:t>Davis AC. The prevalence of hearing impairment and reported hearing disability among adults in Great Britain. Int J Epidemiol1989;18:911–17.</w:t>
      </w:r>
    </w:p>
    <w:p w:rsidR="00125385" w:rsidRPr="004A706D" w:rsidRDefault="00125385" w:rsidP="00125385">
      <w:pPr>
        <w:numPr>
          <w:ilvl w:val="0"/>
          <w:numId w:val="1"/>
        </w:numPr>
        <w:ind w:left="714" w:hanging="357"/>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Chau N, Gauchard GC, Siegfried C, Benamghar L, Dangelzer JL, Français M, Jacquin R, Sourdot A, Perrin PP, Mur JM.  Relationships of job, age, and life conditions with the causes and severity of occupational injuries in construction workers.  Int Arch Occup Environ Health 2004;77:60-66.</w:t>
      </w:r>
    </w:p>
    <w:p w:rsidR="00125385" w:rsidRPr="004A706D" w:rsidRDefault="00125385" w:rsidP="00125385">
      <w:pPr>
        <w:numPr>
          <w:ilvl w:val="0"/>
          <w:numId w:val="1"/>
        </w:numPr>
        <w:ind w:left="714" w:hanging="357"/>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Hwang SA, Gomez MI, Stark AD, St John TL, May JJ, Hallman EM.  Severe farm injuries among New York farmers.  Am J Ind Med 2001;40:32-41.</w:t>
      </w:r>
    </w:p>
    <w:p w:rsidR="00125385" w:rsidRPr="004A706D" w:rsidRDefault="00125385" w:rsidP="00125385">
      <w:pPr>
        <w:numPr>
          <w:ilvl w:val="0"/>
          <w:numId w:val="1"/>
        </w:numPr>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lastRenderedPageBreak/>
        <w:t>Xiang H, Stallones L, Chiu Y.  Nonfatal agricultural injuries among Colorado older male farmers.  J Aging Health 1999;11:65-78.</w:t>
      </w:r>
    </w:p>
    <w:p w:rsidR="00125385" w:rsidRPr="004A706D" w:rsidRDefault="00125385" w:rsidP="00125385">
      <w:pPr>
        <w:numPr>
          <w:ilvl w:val="0"/>
          <w:numId w:val="1"/>
        </w:numPr>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Crawford JM, Wilkins JR 3rd, Mitchell GL, Moeschberger ML, Bean TL, Jones LA.  A cross-sectional case control study of work-related injuries among Ohio farmers.  Am J Ind Med 1998;34:588-599.</w:t>
      </w:r>
    </w:p>
    <w:p w:rsidR="00125385" w:rsidRPr="004A706D" w:rsidRDefault="00125385" w:rsidP="00125385">
      <w:pPr>
        <w:numPr>
          <w:ilvl w:val="0"/>
          <w:numId w:val="1"/>
        </w:numPr>
        <w:ind w:left="714" w:hanging="357"/>
        <w:jc w:val="both"/>
        <w:rPr>
          <w:rFonts w:ascii="Times New Roman" w:hAnsi="Times New Roman" w:cs="Times New Roman"/>
          <w:sz w:val="24"/>
          <w:szCs w:val="24"/>
        </w:rPr>
      </w:pPr>
      <w:r w:rsidRPr="004A706D">
        <w:rPr>
          <w:rFonts w:ascii="Times New Roman" w:eastAsia="Calibri" w:hAnsi="Times New Roman" w:cs="Times New Roman"/>
          <w:sz w:val="24"/>
          <w:szCs w:val="24"/>
        </w:rPr>
        <w:t>Sprince NL, Park H, Zwerling C, Lynch CF, Whitten PA, Thu K, Gillette PP, Burmeister LF, Alavanja MC.  Risk factors for machinery-related injury among Iowa farmers: a case-control study nested in the Agricultural Health Study.  Int J Occup Environ Health 2002;8:332-338.</w:t>
      </w:r>
    </w:p>
    <w:p w:rsidR="00125385" w:rsidRPr="004A706D" w:rsidRDefault="00125385" w:rsidP="00125385">
      <w:pPr>
        <w:numPr>
          <w:ilvl w:val="0"/>
          <w:numId w:val="1"/>
        </w:numPr>
        <w:ind w:left="714" w:hanging="357"/>
        <w:jc w:val="both"/>
        <w:rPr>
          <w:rFonts w:ascii="Times New Roman" w:hAnsi="Times New Roman" w:cs="Times New Roman"/>
          <w:sz w:val="24"/>
          <w:szCs w:val="24"/>
        </w:rPr>
      </w:pPr>
      <w:r w:rsidRPr="004A706D">
        <w:rPr>
          <w:rFonts w:ascii="Times New Roman" w:eastAsia="Calibri" w:hAnsi="Times New Roman" w:cs="Times New Roman"/>
          <w:sz w:val="24"/>
          <w:szCs w:val="24"/>
        </w:rPr>
        <w:t>Sprince NL, Zwerling C, Lynch CF, Whitten PS, Thu K, Logsden-Sackett N, Burmeister LF, Sandler DP, Alavanja MC.  Risk factors for agricultural injury: a case-control analysis of Iowa Farmers in the Agricultural Health Study.  J Agric Saf Health 2003;9:5-18.</w:t>
      </w:r>
    </w:p>
    <w:p w:rsidR="00125385" w:rsidRPr="004A706D" w:rsidRDefault="00125385" w:rsidP="00125385">
      <w:pPr>
        <w:numPr>
          <w:ilvl w:val="0"/>
          <w:numId w:val="1"/>
        </w:numPr>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Sprince NL, Park H, Zwerling C, Lynch CF, Whitten PS, Thu K, Burmeister LF, Gillette PP,  Alavanja MC.  Risk factors for animal-related injury among Iowa large-livestock farmers: a case-control study nested in the Agricultural Health Study.  J Rural Health 2003;19:165-173.</w:t>
      </w:r>
    </w:p>
    <w:p w:rsidR="00125385" w:rsidRPr="004A706D" w:rsidRDefault="00125385" w:rsidP="00125385">
      <w:pPr>
        <w:numPr>
          <w:ilvl w:val="0"/>
          <w:numId w:val="1"/>
        </w:numPr>
        <w:ind w:left="714" w:hanging="357"/>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 xml:space="preserve">Sprince NL, Zwerling C, Lynch CF, Whitten PS, Thu K, Gillette PP et al. Risk factors for falls among Iowa farmers: a case-control study nested in the Agricultural Health Study. </w:t>
      </w:r>
      <w:r w:rsidRPr="004A706D">
        <w:rPr>
          <w:rFonts w:ascii="Times New Roman" w:hAnsi="Times New Roman" w:cs="Times New Roman"/>
          <w:sz w:val="24"/>
          <w:szCs w:val="24"/>
        </w:rPr>
        <w:t>Am J Ind Med 2003;44</w:t>
      </w:r>
      <w:r w:rsidRPr="004A706D">
        <w:rPr>
          <w:rFonts w:ascii="Times New Roman" w:eastAsia="Calibri" w:hAnsi="Times New Roman" w:cs="Times New Roman"/>
          <w:sz w:val="24"/>
          <w:szCs w:val="24"/>
        </w:rPr>
        <w:t>:265-272.</w:t>
      </w:r>
    </w:p>
    <w:p w:rsidR="00125385" w:rsidRPr="004A706D" w:rsidRDefault="00125385" w:rsidP="00125385">
      <w:pPr>
        <w:numPr>
          <w:ilvl w:val="0"/>
          <w:numId w:val="1"/>
        </w:numPr>
        <w:ind w:left="714" w:hanging="357"/>
        <w:jc w:val="both"/>
        <w:rPr>
          <w:rFonts w:ascii="Times New Roman" w:eastAsia="Calibri" w:hAnsi="Times New Roman" w:cs="Times New Roman"/>
          <w:sz w:val="24"/>
          <w:szCs w:val="24"/>
        </w:rPr>
      </w:pPr>
      <w:r w:rsidRPr="004A706D">
        <w:rPr>
          <w:rFonts w:ascii="Times New Roman" w:eastAsia="Calibri" w:hAnsi="Times New Roman" w:cs="Times New Roman"/>
          <w:sz w:val="24"/>
          <w:szCs w:val="24"/>
        </w:rPr>
        <w:t>Viljoen DA, Nie V, Guest M.  Is there a risk to safety when working in the New South Wales underground coal-mining industry while having binaural noise-induced hearing loss?  Intern Med J 2006;36:180-184.</w:t>
      </w:r>
    </w:p>
    <w:p w:rsidR="00125385" w:rsidRPr="004A706D" w:rsidRDefault="00125385" w:rsidP="00125385">
      <w:pPr>
        <w:numPr>
          <w:ilvl w:val="0"/>
          <w:numId w:val="1"/>
        </w:numPr>
        <w:ind w:left="714" w:hanging="357"/>
        <w:jc w:val="both"/>
        <w:rPr>
          <w:rFonts w:ascii="Times New Roman" w:hAnsi="Times New Roman" w:cs="Times New Roman"/>
          <w:sz w:val="24"/>
          <w:szCs w:val="24"/>
        </w:rPr>
      </w:pPr>
      <w:r w:rsidRPr="004A706D">
        <w:rPr>
          <w:rFonts w:ascii="Times New Roman" w:eastAsia="Calibri" w:hAnsi="Times New Roman" w:cs="Times New Roman"/>
          <w:sz w:val="24"/>
          <w:szCs w:val="24"/>
        </w:rPr>
        <w:t>Choi SW, Peek-Asa C, Sprince NL, Rautiainen RH, Donham KJ, Flam</w:t>
      </w:r>
      <w:r w:rsidRPr="004A706D">
        <w:rPr>
          <w:rFonts w:ascii="Times New Roman" w:hAnsi="Times New Roman" w:cs="Times New Roman"/>
          <w:sz w:val="24"/>
          <w:szCs w:val="24"/>
        </w:rPr>
        <w:t xml:space="preserve">me GA, Whitten PS, Zwerling C. </w:t>
      </w:r>
      <w:r w:rsidRPr="004A706D">
        <w:rPr>
          <w:rFonts w:ascii="Times New Roman" w:eastAsia="Calibri" w:hAnsi="Times New Roman" w:cs="Times New Roman"/>
          <w:sz w:val="24"/>
          <w:szCs w:val="24"/>
        </w:rPr>
        <w:t>Hearing loss as a risk factor for agricultural injuries.  Am J Ind Med 2005;48:293-301.</w:t>
      </w:r>
    </w:p>
    <w:p w:rsidR="00C57295" w:rsidRPr="00C57295" w:rsidRDefault="00077E17" w:rsidP="00C572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Girard SA, Picard M, Davis AC, Simard M, Larocque R, Leroux T, Turcotte F. Multiple work-related accidents: tracing the role of hearing st</w:t>
      </w:r>
      <w:r w:rsidR="00687CFB">
        <w:rPr>
          <w:rFonts w:ascii="Times New Roman" w:hAnsi="Times New Roman" w:cs="Times New Roman"/>
          <w:sz w:val="24"/>
          <w:szCs w:val="24"/>
        </w:rPr>
        <w:t>atus and noise exposure. Occup E</w:t>
      </w:r>
      <w:r>
        <w:rPr>
          <w:rFonts w:ascii="Times New Roman" w:hAnsi="Times New Roman" w:cs="Times New Roman"/>
          <w:sz w:val="24"/>
          <w:szCs w:val="24"/>
        </w:rPr>
        <w:t>nviron Med 2009;66:319-324.</w:t>
      </w:r>
    </w:p>
    <w:p w:rsidR="00125385" w:rsidRDefault="00125385" w:rsidP="00125385">
      <w:pPr>
        <w:pStyle w:val="ListParagraph"/>
        <w:numPr>
          <w:ilvl w:val="0"/>
          <w:numId w:val="1"/>
        </w:numPr>
        <w:rPr>
          <w:rFonts w:ascii="Times New Roman" w:hAnsi="Times New Roman" w:cs="Times New Roman"/>
          <w:sz w:val="24"/>
          <w:szCs w:val="24"/>
        </w:rPr>
      </w:pPr>
      <w:r w:rsidRPr="004A706D">
        <w:rPr>
          <w:rFonts w:ascii="Times New Roman" w:hAnsi="Times New Roman" w:cs="Times New Roman"/>
          <w:sz w:val="24"/>
          <w:szCs w:val="24"/>
        </w:rPr>
        <w:t>Palmer KT, Harris EC, Coggon D. Chronic health problems and risk of accidental injury in the workplace: A systematic literature review. Occup Environ Med 2008; 65: 757-764.</w:t>
      </w:r>
    </w:p>
    <w:p w:rsidR="00C57295" w:rsidRDefault="009F55E5" w:rsidP="00125385">
      <w:pPr>
        <w:pStyle w:val="ListParagraph"/>
        <w:numPr>
          <w:ilvl w:val="0"/>
          <w:numId w:val="1"/>
        </w:numPr>
        <w:rPr>
          <w:rFonts w:ascii="Times New Roman" w:hAnsi="Times New Roman" w:cs="Times New Roman"/>
          <w:sz w:val="24"/>
          <w:szCs w:val="24"/>
        </w:rPr>
      </w:pPr>
      <w:r w:rsidRPr="009F55E5">
        <w:rPr>
          <w:rFonts w:ascii="Times New Roman" w:hAnsi="Times New Roman" w:cs="Times New Roman"/>
          <w:sz w:val="24"/>
          <w:szCs w:val="24"/>
        </w:rPr>
        <w:t>Cohen</w:t>
      </w:r>
      <w:r>
        <w:rPr>
          <w:rFonts w:ascii="Times New Roman" w:hAnsi="Times New Roman" w:cs="Times New Roman"/>
          <w:sz w:val="24"/>
          <w:szCs w:val="24"/>
        </w:rPr>
        <w:t xml:space="preserve"> HS</w:t>
      </w:r>
      <w:r w:rsidRPr="009F55E5">
        <w:rPr>
          <w:rFonts w:ascii="Times New Roman" w:hAnsi="Times New Roman" w:cs="Times New Roman"/>
          <w:sz w:val="24"/>
          <w:szCs w:val="24"/>
        </w:rPr>
        <w:t>, Wells</w:t>
      </w:r>
      <w:r>
        <w:rPr>
          <w:rFonts w:ascii="Times New Roman" w:hAnsi="Times New Roman" w:cs="Times New Roman"/>
          <w:sz w:val="24"/>
          <w:szCs w:val="24"/>
        </w:rPr>
        <w:t xml:space="preserve"> J</w:t>
      </w:r>
      <w:r w:rsidRPr="009F55E5">
        <w:rPr>
          <w:rFonts w:ascii="Times New Roman" w:hAnsi="Times New Roman" w:cs="Times New Roman"/>
          <w:sz w:val="24"/>
          <w:szCs w:val="24"/>
        </w:rPr>
        <w:t>, Kimball</w:t>
      </w:r>
      <w:r>
        <w:rPr>
          <w:rFonts w:ascii="Times New Roman" w:hAnsi="Times New Roman" w:cs="Times New Roman"/>
          <w:sz w:val="24"/>
          <w:szCs w:val="24"/>
        </w:rPr>
        <w:t xml:space="preserve"> KT</w:t>
      </w:r>
      <w:r w:rsidRPr="009F55E5">
        <w:rPr>
          <w:rFonts w:ascii="Times New Roman" w:hAnsi="Times New Roman" w:cs="Times New Roman"/>
          <w:sz w:val="24"/>
          <w:szCs w:val="24"/>
        </w:rPr>
        <w:t xml:space="preserve">, Cynthia </w:t>
      </w:r>
      <w:r>
        <w:rPr>
          <w:rFonts w:ascii="Times New Roman" w:hAnsi="Times New Roman" w:cs="Times New Roman"/>
          <w:sz w:val="24"/>
          <w:szCs w:val="24"/>
        </w:rPr>
        <w:t xml:space="preserve">O. </w:t>
      </w:r>
      <w:r w:rsidRPr="009F55E5">
        <w:rPr>
          <w:rFonts w:ascii="Times New Roman" w:hAnsi="Times New Roman" w:cs="Times New Roman"/>
          <w:sz w:val="24"/>
          <w:szCs w:val="24"/>
        </w:rPr>
        <w:t>Driving disability and dizziness</w:t>
      </w:r>
      <w:r>
        <w:rPr>
          <w:rFonts w:ascii="Times New Roman" w:hAnsi="Times New Roman" w:cs="Times New Roman"/>
          <w:sz w:val="24"/>
          <w:szCs w:val="24"/>
        </w:rPr>
        <w:t>.</w:t>
      </w:r>
      <w:r w:rsidRPr="009F55E5">
        <w:rPr>
          <w:rFonts w:ascii="Times New Roman" w:hAnsi="Times New Roman" w:cs="Times New Roman"/>
          <w:sz w:val="24"/>
          <w:szCs w:val="24"/>
        </w:rPr>
        <w:t xml:space="preserve"> </w:t>
      </w:r>
      <w:r>
        <w:rPr>
          <w:rFonts w:ascii="Times New Roman" w:hAnsi="Times New Roman" w:cs="Times New Roman"/>
          <w:sz w:val="24"/>
          <w:szCs w:val="24"/>
        </w:rPr>
        <w:t>J Safety Research 2003;</w:t>
      </w:r>
      <w:r w:rsidRPr="009F55E5">
        <w:rPr>
          <w:rFonts w:ascii="Times New Roman" w:hAnsi="Times New Roman" w:cs="Times New Roman"/>
          <w:sz w:val="24"/>
          <w:szCs w:val="24"/>
        </w:rPr>
        <w:t xml:space="preserve"> 34</w:t>
      </w:r>
      <w:r>
        <w:rPr>
          <w:rFonts w:ascii="Times New Roman" w:hAnsi="Times New Roman" w:cs="Times New Roman"/>
          <w:sz w:val="24"/>
          <w:szCs w:val="24"/>
        </w:rPr>
        <w:t>:</w:t>
      </w:r>
      <w:r w:rsidRPr="009F55E5">
        <w:rPr>
          <w:rFonts w:ascii="Times New Roman" w:hAnsi="Times New Roman" w:cs="Times New Roman"/>
          <w:sz w:val="24"/>
          <w:szCs w:val="24"/>
        </w:rPr>
        <w:t xml:space="preserve"> 361-369</w:t>
      </w:r>
      <w:r>
        <w:rPr>
          <w:rFonts w:ascii="Times New Roman" w:hAnsi="Times New Roman" w:cs="Times New Roman"/>
          <w:sz w:val="24"/>
          <w:szCs w:val="24"/>
        </w:rPr>
        <w:t>.</w:t>
      </w:r>
    </w:p>
    <w:p w:rsidR="00AF00E5" w:rsidRPr="00DE39D6" w:rsidRDefault="00AF00E5" w:rsidP="00AF00E5">
      <w:pPr>
        <w:numPr>
          <w:ilvl w:val="0"/>
          <w:numId w:val="1"/>
        </w:numPr>
        <w:rPr>
          <w:rFonts w:ascii="Times New Roman" w:hAnsi="Times New Roman" w:cs="Times New Roman"/>
          <w:sz w:val="24"/>
          <w:szCs w:val="24"/>
        </w:rPr>
      </w:pPr>
      <w:r w:rsidRPr="00DE39D6">
        <w:rPr>
          <w:rFonts w:ascii="Times New Roman" w:hAnsi="Times New Roman" w:cs="Times New Roman"/>
          <w:sz w:val="24"/>
          <w:szCs w:val="24"/>
        </w:rPr>
        <w:lastRenderedPageBreak/>
        <w:t>Wall</w:t>
      </w:r>
      <w:r w:rsidR="00E92E3B">
        <w:rPr>
          <w:rFonts w:ascii="Times New Roman" w:hAnsi="Times New Roman" w:cs="Times New Roman"/>
          <w:sz w:val="24"/>
          <w:szCs w:val="24"/>
        </w:rPr>
        <w:t>e</w:t>
      </w:r>
      <w:r w:rsidRPr="00DE39D6">
        <w:rPr>
          <w:rFonts w:ascii="Times New Roman" w:hAnsi="Times New Roman" w:cs="Times New Roman"/>
          <w:sz w:val="24"/>
          <w:szCs w:val="24"/>
        </w:rPr>
        <w:t>y T, Mantgani A. The UK General Practice Research Database. Lancet 1997; 350: 1097-9.</w:t>
      </w:r>
    </w:p>
    <w:p w:rsidR="00AF00E5" w:rsidRPr="00C63DA9" w:rsidRDefault="00AF00E5" w:rsidP="00AF00E5">
      <w:pPr>
        <w:pStyle w:val="ListParagraph"/>
        <w:widowControl w:val="0"/>
        <w:numPr>
          <w:ilvl w:val="0"/>
          <w:numId w:val="1"/>
        </w:numPr>
        <w:rPr>
          <w:rFonts w:ascii="Times New Roman" w:hAnsi="Times New Roman" w:cs="Times New Roman"/>
        </w:rPr>
      </w:pPr>
      <w:r w:rsidRPr="00DE39D6">
        <w:rPr>
          <w:rFonts w:ascii="Times New Roman" w:hAnsi="Times New Roman" w:cs="Times New Roman"/>
          <w:sz w:val="24"/>
          <w:szCs w:val="24"/>
        </w:rPr>
        <w:t>Hollowell J. General Practice Research Database (GPRD): Scope and Quality of Data. London: Office of Population Censuses and S</w:t>
      </w:r>
      <w:r w:rsidR="00E92E3B">
        <w:rPr>
          <w:rFonts w:ascii="Times New Roman" w:hAnsi="Times New Roman" w:cs="Times New Roman"/>
          <w:sz w:val="24"/>
          <w:szCs w:val="24"/>
        </w:rPr>
        <w:t>urveys</w:t>
      </w:r>
      <w:r w:rsidRPr="00DE39D6">
        <w:rPr>
          <w:rFonts w:ascii="Times New Roman" w:hAnsi="Times New Roman" w:cs="Times New Roman"/>
          <w:sz w:val="24"/>
          <w:szCs w:val="24"/>
        </w:rPr>
        <w:t>, 1994.</w:t>
      </w:r>
    </w:p>
    <w:p w:rsidR="004E1AAC" w:rsidRPr="004E1AAC" w:rsidRDefault="004E1AAC" w:rsidP="004E1AAC">
      <w:pPr>
        <w:pStyle w:val="ListParagraph"/>
        <w:widowControl w:val="0"/>
        <w:numPr>
          <w:ilvl w:val="0"/>
          <w:numId w:val="1"/>
        </w:numPr>
        <w:rPr>
          <w:rFonts w:ascii="Times New Roman" w:hAnsi="Times New Roman" w:cs="Times New Roman"/>
          <w:sz w:val="24"/>
          <w:szCs w:val="24"/>
        </w:rPr>
      </w:pPr>
      <w:r w:rsidRPr="004E1AAC">
        <w:rPr>
          <w:rFonts w:ascii="Times New Roman" w:hAnsi="Times New Roman" w:cs="Times New Roman"/>
          <w:sz w:val="24"/>
          <w:szCs w:val="24"/>
        </w:rPr>
        <w:t xml:space="preserve">Palmer KT, D’Angelo S, Harris EC, Linaker C, Coggon D.  The role of mental health problems and common psychotropic drug treatments in accidental injury at work, a case-control study.  Occup Environ Med 2014;71:308-12. </w:t>
      </w:r>
    </w:p>
    <w:p w:rsidR="004E1AAC" w:rsidRPr="004E1AAC" w:rsidRDefault="004E1AAC" w:rsidP="004E1AAC">
      <w:pPr>
        <w:pStyle w:val="ListParagraph"/>
        <w:numPr>
          <w:ilvl w:val="0"/>
          <w:numId w:val="1"/>
        </w:numPr>
        <w:rPr>
          <w:rFonts w:ascii="Times New Roman" w:hAnsi="Times New Roman" w:cs="Times New Roman"/>
          <w:sz w:val="24"/>
          <w:szCs w:val="24"/>
        </w:rPr>
      </w:pPr>
      <w:r w:rsidRPr="004E1AAC">
        <w:rPr>
          <w:rFonts w:ascii="Times New Roman" w:hAnsi="Times New Roman" w:cs="Times New Roman"/>
          <w:sz w:val="24"/>
          <w:szCs w:val="24"/>
        </w:rPr>
        <w:t xml:space="preserve">Palmer KT, D’Angelo S, Harris EC, Linaker C, Coggon D.  Epilepsy, diabetes mellitus, and accidental injury at work.  Occup Med 2014 </w:t>
      </w:r>
      <w:r w:rsidR="00205638" w:rsidRPr="00205638">
        <w:rPr>
          <w:rFonts w:ascii="Times New Roman" w:hAnsi="Times New Roman" w:cs="Times New Roman"/>
          <w:sz w:val="24"/>
          <w:szCs w:val="24"/>
        </w:rPr>
        <w:t>2014;64:448-53.</w:t>
      </w:r>
      <w:r w:rsidRPr="004E1AAC">
        <w:rPr>
          <w:rFonts w:ascii="Times New Roman" w:hAnsi="Times New Roman" w:cs="Times New Roman"/>
          <w:sz w:val="24"/>
          <w:szCs w:val="24"/>
        </w:rPr>
        <w:t>.</w:t>
      </w:r>
    </w:p>
    <w:p w:rsidR="00C63DA9" w:rsidRPr="003770B4" w:rsidRDefault="00C63DA9" w:rsidP="00AF00E5">
      <w:pPr>
        <w:pStyle w:val="ListParagraph"/>
        <w:widowControl w:val="0"/>
        <w:numPr>
          <w:ilvl w:val="0"/>
          <w:numId w:val="1"/>
        </w:numPr>
        <w:rPr>
          <w:rFonts w:ascii="Times New Roman" w:hAnsi="Times New Roman" w:cs="Times New Roman"/>
        </w:rPr>
      </w:pPr>
      <w:r w:rsidRPr="00DE39D6">
        <w:rPr>
          <w:rFonts w:ascii="Times New Roman" w:hAnsi="Times New Roman" w:cs="Times New Roman"/>
          <w:sz w:val="24"/>
          <w:szCs w:val="24"/>
        </w:rPr>
        <w:t>Palmer KT, Kim M, Coggon D.  Bypassing the selection rule in choosing controls for a case-control study.  Occup Environ Med 2010;67:872-7.</w:t>
      </w:r>
      <w:r w:rsidRPr="00C95318">
        <w:rPr>
          <w:rFonts w:ascii="Times New Roman" w:hAnsi="Times New Roman" w:cs="Times New Roman"/>
        </w:rPr>
        <w:t xml:space="preserve">  </w:t>
      </w:r>
    </w:p>
    <w:p w:rsidR="00203873" w:rsidRDefault="00203873" w:rsidP="002038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Cohen HS, Kimball KT</w:t>
      </w:r>
      <w:r w:rsidRPr="00203873">
        <w:rPr>
          <w:rFonts w:ascii="Times New Roman" w:hAnsi="Times New Roman" w:cs="Times New Roman"/>
          <w:sz w:val="24"/>
          <w:szCs w:val="24"/>
        </w:rPr>
        <w:t>. Development of the vestibular</w:t>
      </w:r>
      <w:r>
        <w:rPr>
          <w:rFonts w:ascii="Times New Roman" w:hAnsi="Times New Roman" w:cs="Times New Roman"/>
          <w:sz w:val="24"/>
          <w:szCs w:val="24"/>
        </w:rPr>
        <w:t xml:space="preserve"> </w:t>
      </w:r>
      <w:r w:rsidRPr="00203873">
        <w:rPr>
          <w:rFonts w:ascii="Times New Roman" w:hAnsi="Times New Roman" w:cs="Times New Roman"/>
          <w:sz w:val="24"/>
          <w:szCs w:val="24"/>
        </w:rPr>
        <w:t>disorders activities of</w:t>
      </w:r>
      <w:r>
        <w:rPr>
          <w:rFonts w:ascii="Times New Roman" w:hAnsi="Times New Roman" w:cs="Times New Roman"/>
          <w:sz w:val="24"/>
          <w:szCs w:val="24"/>
        </w:rPr>
        <w:t xml:space="preserve"> daily living scale. Arch Otolaryngol</w:t>
      </w:r>
      <w:r w:rsidRPr="00203873">
        <w:rPr>
          <w:rFonts w:ascii="Times New Roman" w:hAnsi="Times New Roman" w:cs="Times New Roman"/>
          <w:sz w:val="24"/>
          <w:szCs w:val="24"/>
        </w:rPr>
        <w:t>,</w:t>
      </w:r>
      <w:r>
        <w:rPr>
          <w:rFonts w:ascii="Times New Roman" w:hAnsi="Times New Roman" w:cs="Times New Roman"/>
          <w:sz w:val="24"/>
          <w:szCs w:val="24"/>
        </w:rPr>
        <w:t xml:space="preserve"> Head, &amp; Neck Surg 2000; 126;</w:t>
      </w:r>
      <w:r w:rsidRPr="00203873">
        <w:rPr>
          <w:rFonts w:ascii="Times New Roman" w:hAnsi="Times New Roman" w:cs="Times New Roman"/>
          <w:sz w:val="24"/>
          <w:szCs w:val="24"/>
        </w:rPr>
        <w:t xml:space="preserve"> 881– 887</w:t>
      </w:r>
      <w:r>
        <w:rPr>
          <w:rFonts w:ascii="Times New Roman" w:hAnsi="Times New Roman" w:cs="Times New Roman"/>
          <w:sz w:val="24"/>
          <w:szCs w:val="24"/>
        </w:rPr>
        <w:t>.</w:t>
      </w:r>
    </w:p>
    <w:p w:rsidR="00203873" w:rsidRDefault="00203873" w:rsidP="002038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Sindwani R, Parnes LS, Goebel JA, Cass SP</w:t>
      </w:r>
      <w:r w:rsidRPr="00203873">
        <w:rPr>
          <w:rFonts w:ascii="Times New Roman" w:hAnsi="Times New Roman" w:cs="Times New Roman"/>
          <w:sz w:val="24"/>
          <w:szCs w:val="24"/>
        </w:rPr>
        <w:t>. Approach</w:t>
      </w:r>
      <w:r>
        <w:rPr>
          <w:rFonts w:ascii="Times New Roman" w:hAnsi="Times New Roman" w:cs="Times New Roman"/>
          <w:sz w:val="24"/>
          <w:szCs w:val="24"/>
        </w:rPr>
        <w:t xml:space="preserve"> </w:t>
      </w:r>
      <w:r w:rsidRPr="00203873">
        <w:rPr>
          <w:rFonts w:ascii="Times New Roman" w:hAnsi="Times New Roman" w:cs="Times New Roman"/>
          <w:sz w:val="24"/>
          <w:szCs w:val="24"/>
        </w:rPr>
        <w:t xml:space="preserve">to the vestibular patient and driving: A patient perspective. </w:t>
      </w:r>
      <w:r>
        <w:rPr>
          <w:rFonts w:ascii="Times New Roman" w:hAnsi="Times New Roman" w:cs="Times New Roman"/>
          <w:sz w:val="24"/>
          <w:szCs w:val="24"/>
        </w:rPr>
        <w:t>Otolaryngol</w:t>
      </w:r>
      <w:r w:rsidRPr="00203873">
        <w:rPr>
          <w:rFonts w:ascii="Times New Roman" w:hAnsi="Times New Roman" w:cs="Times New Roman"/>
          <w:sz w:val="24"/>
          <w:szCs w:val="24"/>
        </w:rPr>
        <w:t>,</w:t>
      </w:r>
      <w:r>
        <w:rPr>
          <w:rFonts w:ascii="Times New Roman" w:hAnsi="Times New Roman" w:cs="Times New Roman"/>
          <w:sz w:val="24"/>
          <w:szCs w:val="24"/>
        </w:rPr>
        <w:t xml:space="preserve"> Head, &amp; Neck Surg 1999; 121;</w:t>
      </w:r>
      <w:r w:rsidRPr="00203873">
        <w:rPr>
          <w:rFonts w:ascii="Times New Roman" w:hAnsi="Times New Roman" w:cs="Times New Roman"/>
          <w:sz w:val="24"/>
          <w:szCs w:val="24"/>
        </w:rPr>
        <w:t xml:space="preserve"> 13– 17.</w:t>
      </w:r>
    </w:p>
    <w:p w:rsidR="00203873" w:rsidRPr="00203873" w:rsidRDefault="00203873" w:rsidP="0020387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McKiernan D, Jonathan D</w:t>
      </w:r>
      <w:r w:rsidRPr="00203873">
        <w:rPr>
          <w:rFonts w:ascii="Times New Roman" w:hAnsi="Times New Roman" w:cs="Times New Roman"/>
          <w:sz w:val="24"/>
          <w:szCs w:val="24"/>
        </w:rPr>
        <w:t>. Editorial: Driving and vertigo.</w:t>
      </w:r>
      <w:r>
        <w:rPr>
          <w:rFonts w:ascii="Times New Roman" w:hAnsi="Times New Roman" w:cs="Times New Roman"/>
          <w:sz w:val="24"/>
          <w:szCs w:val="24"/>
        </w:rPr>
        <w:t xml:space="preserve"> Clin Otolaryngol 2001; 26:</w:t>
      </w:r>
      <w:r w:rsidRPr="00203873">
        <w:rPr>
          <w:rFonts w:ascii="Times New Roman" w:hAnsi="Times New Roman" w:cs="Times New Roman"/>
          <w:sz w:val="24"/>
          <w:szCs w:val="24"/>
        </w:rPr>
        <w:t xml:space="preserve"> 1–2.</w:t>
      </w:r>
    </w:p>
    <w:p w:rsidR="004B48F1" w:rsidRPr="00F6287D" w:rsidRDefault="004B48F1" w:rsidP="008C1E86">
      <w:pPr>
        <w:widowControl w:val="0"/>
        <w:rPr>
          <w:rFonts w:ascii="Times New Roman" w:hAnsi="Times New Roman" w:cs="Times New Roman"/>
        </w:rPr>
      </w:pPr>
    </w:p>
    <w:sectPr w:rsidR="004B48F1" w:rsidRPr="00F6287D" w:rsidSect="003F69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48" w:rsidRDefault="00640748" w:rsidP="003C126D">
      <w:pPr>
        <w:spacing w:line="240" w:lineRule="auto"/>
      </w:pPr>
      <w:r>
        <w:separator/>
      </w:r>
    </w:p>
  </w:endnote>
  <w:endnote w:type="continuationSeparator" w:id="0">
    <w:p w:rsidR="00640748" w:rsidRDefault="00640748" w:rsidP="003C1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55281"/>
      <w:docPartObj>
        <w:docPartGallery w:val="Page Numbers (Bottom of Page)"/>
        <w:docPartUnique/>
      </w:docPartObj>
    </w:sdtPr>
    <w:sdtEndPr>
      <w:rPr>
        <w:noProof/>
      </w:rPr>
    </w:sdtEndPr>
    <w:sdtContent>
      <w:p w:rsidR="00C07248" w:rsidRDefault="00CD0DAA">
        <w:pPr>
          <w:pStyle w:val="Footer"/>
          <w:jc w:val="right"/>
        </w:pPr>
        <w:r>
          <w:fldChar w:fldCharType="begin"/>
        </w:r>
        <w:r w:rsidR="00C07248">
          <w:instrText xml:space="preserve"> PAGE   \* MERGEFORMAT </w:instrText>
        </w:r>
        <w:r>
          <w:fldChar w:fldCharType="separate"/>
        </w:r>
        <w:r w:rsidR="004842C4">
          <w:rPr>
            <w:noProof/>
          </w:rPr>
          <w:t>1</w:t>
        </w:r>
        <w:r>
          <w:rPr>
            <w:noProof/>
          </w:rPr>
          <w:fldChar w:fldCharType="end"/>
        </w:r>
      </w:p>
    </w:sdtContent>
  </w:sdt>
  <w:p w:rsidR="004C7769" w:rsidRDefault="004C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48" w:rsidRDefault="00640748" w:rsidP="003C126D">
      <w:pPr>
        <w:spacing w:line="240" w:lineRule="auto"/>
      </w:pPr>
      <w:r>
        <w:separator/>
      </w:r>
    </w:p>
  </w:footnote>
  <w:footnote w:type="continuationSeparator" w:id="0">
    <w:p w:rsidR="00640748" w:rsidRDefault="00640748" w:rsidP="003C12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0DC"/>
    <w:multiLevelType w:val="hybridMultilevel"/>
    <w:tmpl w:val="861C5D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517608"/>
    <w:multiLevelType w:val="hybridMultilevel"/>
    <w:tmpl w:val="AB100D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23090"/>
    <w:multiLevelType w:val="hybridMultilevel"/>
    <w:tmpl w:val="94C25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B67FB5"/>
    <w:multiLevelType w:val="hybridMultilevel"/>
    <w:tmpl w:val="861C5D78"/>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F0E11AB"/>
    <w:multiLevelType w:val="hybridMultilevel"/>
    <w:tmpl w:val="29D6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132821"/>
    <w:multiLevelType w:val="hybridMultilevel"/>
    <w:tmpl w:val="6C8ED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C124D"/>
    <w:multiLevelType w:val="hybridMultilevel"/>
    <w:tmpl w:val="861C5D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0E65C9"/>
    <w:multiLevelType w:val="hybridMultilevel"/>
    <w:tmpl w:val="A6F8E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7113AE"/>
    <w:multiLevelType w:val="hybridMultilevel"/>
    <w:tmpl w:val="C060A6F0"/>
    <w:lvl w:ilvl="0" w:tplc="0FDCE7D0">
      <w:start w:val="4"/>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684A1BE6"/>
    <w:multiLevelType w:val="hybridMultilevel"/>
    <w:tmpl w:val="C75E1860"/>
    <w:lvl w:ilvl="0" w:tplc="E4285204">
      <w:numFmt w:val="bullet"/>
      <w:lvlText w:val="-"/>
      <w:lvlJc w:val="left"/>
      <w:pPr>
        <w:ind w:left="465" w:hanging="360"/>
      </w:pPr>
      <w:rPr>
        <w:rFonts w:ascii="Times New Roman" w:eastAsiaTheme="minorHAnsi"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0">
    <w:nsid w:val="68863ABF"/>
    <w:multiLevelType w:val="hybridMultilevel"/>
    <w:tmpl w:val="861C5D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0952C2"/>
    <w:multiLevelType w:val="hybridMultilevel"/>
    <w:tmpl w:val="241A3B12"/>
    <w:lvl w:ilvl="0" w:tplc="80B28D1E">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nsid w:val="76904730"/>
    <w:multiLevelType w:val="hybridMultilevel"/>
    <w:tmpl w:val="92A8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D2178B"/>
    <w:multiLevelType w:val="hybridMultilevel"/>
    <w:tmpl w:val="D9F8B966"/>
    <w:lvl w:ilvl="0" w:tplc="9E9066D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11"/>
  </w:num>
  <w:num w:numId="5">
    <w:abstractNumId w:val="12"/>
  </w:num>
  <w:num w:numId="6">
    <w:abstractNumId w:val="0"/>
  </w:num>
  <w:num w:numId="7">
    <w:abstractNumId w:val="6"/>
  </w:num>
  <w:num w:numId="8">
    <w:abstractNumId w:val="9"/>
  </w:num>
  <w:num w:numId="9">
    <w:abstractNumId w:val="13"/>
  </w:num>
  <w:num w:numId="10">
    <w:abstractNumId w:val="3"/>
  </w:num>
  <w:num w:numId="11">
    <w:abstractNumId w:val="8"/>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921200-089C-4302-A1A2-6E5EC92FE4CE}"/>
    <w:docVar w:name="dgnword-eventsink" w:val="64606992"/>
  </w:docVars>
  <w:rsids>
    <w:rsidRoot w:val="00DA46B8"/>
    <w:rsid w:val="00000D90"/>
    <w:rsid w:val="00022656"/>
    <w:rsid w:val="000246D6"/>
    <w:rsid w:val="00024928"/>
    <w:rsid w:val="00031D93"/>
    <w:rsid w:val="000326CD"/>
    <w:rsid w:val="0003429B"/>
    <w:rsid w:val="000418F4"/>
    <w:rsid w:val="00060488"/>
    <w:rsid w:val="0006615F"/>
    <w:rsid w:val="00077E17"/>
    <w:rsid w:val="00084106"/>
    <w:rsid w:val="000A3132"/>
    <w:rsid w:val="000C2C9D"/>
    <w:rsid w:val="000D725B"/>
    <w:rsid w:val="000D77E4"/>
    <w:rsid w:val="000E4256"/>
    <w:rsid w:val="000F2C68"/>
    <w:rsid w:val="000F7246"/>
    <w:rsid w:val="00103113"/>
    <w:rsid w:val="00110410"/>
    <w:rsid w:val="00125385"/>
    <w:rsid w:val="0013170D"/>
    <w:rsid w:val="00142D3B"/>
    <w:rsid w:val="00156CFA"/>
    <w:rsid w:val="00171049"/>
    <w:rsid w:val="001768D8"/>
    <w:rsid w:val="00182753"/>
    <w:rsid w:val="001865AF"/>
    <w:rsid w:val="00196060"/>
    <w:rsid w:val="001A191C"/>
    <w:rsid w:val="001A1A17"/>
    <w:rsid w:val="001B0CBC"/>
    <w:rsid w:val="001B63FE"/>
    <w:rsid w:val="001E26AB"/>
    <w:rsid w:val="001F3B3A"/>
    <w:rsid w:val="00203873"/>
    <w:rsid w:val="002045DB"/>
    <w:rsid w:val="00205638"/>
    <w:rsid w:val="00206FF0"/>
    <w:rsid w:val="00217724"/>
    <w:rsid w:val="0022271C"/>
    <w:rsid w:val="00223E77"/>
    <w:rsid w:val="0022451F"/>
    <w:rsid w:val="00230F25"/>
    <w:rsid w:val="00247C9D"/>
    <w:rsid w:val="0025474D"/>
    <w:rsid w:val="00254FE2"/>
    <w:rsid w:val="002633E1"/>
    <w:rsid w:val="002655BA"/>
    <w:rsid w:val="00271DFD"/>
    <w:rsid w:val="0028335E"/>
    <w:rsid w:val="00294DD0"/>
    <w:rsid w:val="00296798"/>
    <w:rsid w:val="002A04ED"/>
    <w:rsid w:val="002A3A01"/>
    <w:rsid w:val="002A41C0"/>
    <w:rsid w:val="002A4AF3"/>
    <w:rsid w:val="002A4DDF"/>
    <w:rsid w:val="002A646B"/>
    <w:rsid w:val="002B25DA"/>
    <w:rsid w:val="002C4524"/>
    <w:rsid w:val="002D32EA"/>
    <w:rsid w:val="0030088E"/>
    <w:rsid w:val="0031174C"/>
    <w:rsid w:val="00315081"/>
    <w:rsid w:val="00322CB3"/>
    <w:rsid w:val="00325AE3"/>
    <w:rsid w:val="003330BC"/>
    <w:rsid w:val="00337EF6"/>
    <w:rsid w:val="00341B32"/>
    <w:rsid w:val="00353B35"/>
    <w:rsid w:val="0035459C"/>
    <w:rsid w:val="0035622B"/>
    <w:rsid w:val="00362AB8"/>
    <w:rsid w:val="0037604B"/>
    <w:rsid w:val="00377D6D"/>
    <w:rsid w:val="00381EEE"/>
    <w:rsid w:val="00386967"/>
    <w:rsid w:val="003936B5"/>
    <w:rsid w:val="003A01F1"/>
    <w:rsid w:val="003C126D"/>
    <w:rsid w:val="003C2903"/>
    <w:rsid w:val="003C5991"/>
    <w:rsid w:val="003D7392"/>
    <w:rsid w:val="003F2735"/>
    <w:rsid w:val="003F69AA"/>
    <w:rsid w:val="00400C7F"/>
    <w:rsid w:val="0040261C"/>
    <w:rsid w:val="00406FAF"/>
    <w:rsid w:val="00424C09"/>
    <w:rsid w:val="00426107"/>
    <w:rsid w:val="00431270"/>
    <w:rsid w:val="00434E99"/>
    <w:rsid w:val="0045388B"/>
    <w:rsid w:val="004637BC"/>
    <w:rsid w:val="00465B40"/>
    <w:rsid w:val="00470AF3"/>
    <w:rsid w:val="004750B0"/>
    <w:rsid w:val="004842C4"/>
    <w:rsid w:val="004847EF"/>
    <w:rsid w:val="00492E29"/>
    <w:rsid w:val="004A4919"/>
    <w:rsid w:val="004A52A9"/>
    <w:rsid w:val="004A706D"/>
    <w:rsid w:val="004A7333"/>
    <w:rsid w:val="004B3A37"/>
    <w:rsid w:val="004B48F1"/>
    <w:rsid w:val="004B5DCC"/>
    <w:rsid w:val="004C457A"/>
    <w:rsid w:val="004C595F"/>
    <w:rsid w:val="004C62CC"/>
    <w:rsid w:val="004C7769"/>
    <w:rsid w:val="004D0B26"/>
    <w:rsid w:val="004D1370"/>
    <w:rsid w:val="004E1AAC"/>
    <w:rsid w:val="00525854"/>
    <w:rsid w:val="00526422"/>
    <w:rsid w:val="00537245"/>
    <w:rsid w:val="0054411F"/>
    <w:rsid w:val="00547C11"/>
    <w:rsid w:val="00552A6E"/>
    <w:rsid w:val="00552DD7"/>
    <w:rsid w:val="005546F5"/>
    <w:rsid w:val="00561D35"/>
    <w:rsid w:val="00575279"/>
    <w:rsid w:val="00576831"/>
    <w:rsid w:val="005816C2"/>
    <w:rsid w:val="005B32FD"/>
    <w:rsid w:val="005E06B6"/>
    <w:rsid w:val="006076FE"/>
    <w:rsid w:val="00610429"/>
    <w:rsid w:val="00637709"/>
    <w:rsid w:val="00637AAE"/>
    <w:rsid w:val="00640748"/>
    <w:rsid w:val="00654AAF"/>
    <w:rsid w:val="00661ACF"/>
    <w:rsid w:val="006629E3"/>
    <w:rsid w:val="0067058B"/>
    <w:rsid w:val="0067354C"/>
    <w:rsid w:val="00675882"/>
    <w:rsid w:val="006810E5"/>
    <w:rsid w:val="00687245"/>
    <w:rsid w:val="00687CFB"/>
    <w:rsid w:val="0069010B"/>
    <w:rsid w:val="00690F65"/>
    <w:rsid w:val="00695677"/>
    <w:rsid w:val="006967DD"/>
    <w:rsid w:val="006A4CE6"/>
    <w:rsid w:val="006A55F8"/>
    <w:rsid w:val="006A60E7"/>
    <w:rsid w:val="006B1A69"/>
    <w:rsid w:val="006C664F"/>
    <w:rsid w:val="006D7237"/>
    <w:rsid w:val="006E0FC4"/>
    <w:rsid w:val="006E5677"/>
    <w:rsid w:val="006E5F97"/>
    <w:rsid w:val="006F61EE"/>
    <w:rsid w:val="00702E93"/>
    <w:rsid w:val="00703E0D"/>
    <w:rsid w:val="007133FD"/>
    <w:rsid w:val="0071616D"/>
    <w:rsid w:val="00717987"/>
    <w:rsid w:val="00717B1F"/>
    <w:rsid w:val="007271ED"/>
    <w:rsid w:val="007416E1"/>
    <w:rsid w:val="00741FFB"/>
    <w:rsid w:val="00751CCA"/>
    <w:rsid w:val="00752656"/>
    <w:rsid w:val="00756EC8"/>
    <w:rsid w:val="007620C8"/>
    <w:rsid w:val="007735F4"/>
    <w:rsid w:val="007843CD"/>
    <w:rsid w:val="00784848"/>
    <w:rsid w:val="007A024F"/>
    <w:rsid w:val="007B1901"/>
    <w:rsid w:val="007B66A8"/>
    <w:rsid w:val="007C0623"/>
    <w:rsid w:val="007C216A"/>
    <w:rsid w:val="007C27A9"/>
    <w:rsid w:val="007D20D9"/>
    <w:rsid w:val="007E0414"/>
    <w:rsid w:val="007E2E8A"/>
    <w:rsid w:val="007E5D5D"/>
    <w:rsid w:val="007F586C"/>
    <w:rsid w:val="00806D11"/>
    <w:rsid w:val="008123D8"/>
    <w:rsid w:val="00815AC4"/>
    <w:rsid w:val="00832069"/>
    <w:rsid w:val="00835261"/>
    <w:rsid w:val="0083527A"/>
    <w:rsid w:val="00836326"/>
    <w:rsid w:val="00842AFF"/>
    <w:rsid w:val="00843344"/>
    <w:rsid w:val="00843FC3"/>
    <w:rsid w:val="00852BD1"/>
    <w:rsid w:val="00872000"/>
    <w:rsid w:val="008742EA"/>
    <w:rsid w:val="00877065"/>
    <w:rsid w:val="008825A7"/>
    <w:rsid w:val="00885C4D"/>
    <w:rsid w:val="008A4BD5"/>
    <w:rsid w:val="008A5AD9"/>
    <w:rsid w:val="008A5EC2"/>
    <w:rsid w:val="008B4AB7"/>
    <w:rsid w:val="008C1E86"/>
    <w:rsid w:val="008C280E"/>
    <w:rsid w:val="008D00A1"/>
    <w:rsid w:val="008D47F1"/>
    <w:rsid w:val="008E0AC1"/>
    <w:rsid w:val="008F2000"/>
    <w:rsid w:val="008F6E43"/>
    <w:rsid w:val="00902280"/>
    <w:rsid w:val="00914CA7"/>
    <w:rsid w:val="00925546"/>
    <w:rsid w:val="00946A81"/>
    <w:rsid w:val="009559A9"/>
    <w:rsid w:val="00974FD9"/>
    <w:rsid w:val="009857C9"/>
    <w:rsid w:val="00986DE8"/>
    <w:rsid w:val="00994E52"/>
    <w:rsid w:val="009A031B"/>
    <w:rsid w:val="009A16F5"/>
    <w:rsid w:val="009C3048"/>
    <w:rsid w:val="009C5356"/>
    <w:rsid w:val="009C5AFE"/>
    <w:rsid w:val="009D543B"/>
    <w:rsid w:val="009D68F6"/>
    <w:rsid w:val="009F0B8F"/>
    <w:rsid w:val="009F55E5"/>
    <w:rsid w:val="009F7D93"/>
    <w:rsid w:val="00A25AF5"/>
    <w:rsid w:val="00A36556"/>
    <w:rsid w:val="00A41C6B"/>
    <w:rsid w:val="00A41CB5"/>
    <w:rsid w:val="00A7680F"/>
    <w:rsid w:val="00AA3D55"/>
    <w:rsid w:val="00AB0FFC"/>
    <w:rsid w:val="00AB482F"/>
    <w:rsid w:val="00AB5096"/>
    <w:rsid w:val="00AB5635"/>
    <w:rsid w:val="00AB66A0"/>
    <w:rsid w:val="00AD00EE"/>
    <w:rsid w:val="00AE602F"/>
    <w:rsid w:val="00AE6281"/>
    <w:rsid w:val="00AF00E5"/>
    <w:rsid w:val="00AF0C9C"/>
    <w:rsid w:val="00AF4D17"/>
    <w:rsid w:val="00AF5EC7"/>
    <w:rsid w:val="00B0651B"/>
    <w:rsid w:val="00B07F17"/>
    <w:rsid w:val="00B10EC9"/>
    <w:rsid w:val="00B13ABC"/>
    <w:rsid w:val="00B34ECE"/>
    <w:rsid w:val="00B56863"/>
    <w:rsid w:val="00B82A57"/>
    <w:rsid w:val="00B83E1F"/>
    <w:rsid w:val="00B97852"/>
    <w:rsid w:val="00B97877"/>
    <w:rsid w:val="00BB45DA"/>
    <w:rsid w:val="00BC1803"/>
    <w:rsid w:val="00BC3A84"/>
    <w:rsid w:val="00BC704B"/>
    <w:rsid w:val="00BE06FE"/>
    <w:rsid w:val="00BE6178"/>
    <w:rsid w:val="00BF6288"/>
    <w:rsid w:val="00C01B87"/>
    <w:rsid w:val="00C07248"/>
    <w:rsid w:val="00C20A0B"/>
    <w:rsid w:val="00C2195B"/>
    <w:rsid w:val="00C27262"/>
    <w:rsid w:val="00C31405"/>
    <w:rsid w:val="00C510B1"/>
    <w:rsid w:val="00C552A6"/>
    <w:rsid w:val="00C57295"/>
    <w:rsid w:val="00C620E0"/>
    <w:rsid w:val="00C63DA9"/>
    <w:rsid w:val="00C758D8"/>
    <w:rsid w:val="00C947C1"/>
    <w:rsid w:val="00CA402C"/>
    <w:rsid w:val="00CA5A32"/>
    <w:rsid w:val="00CB02B1"/>
    <w:rsid w:val="00CB5387"/>
    <w:rsid w:val="00CB66A9"/>
    <w:rsid w:val="00CD0DAA"/>
    <w:rsid w:val="00CD495B"/>
    <w:rsid w:val="00D1161A"/>
    <w:rsid w:val="00D12A13"/>
    <w:rsid w:val="00D17055"/>
    <w:rsid w:val="00D41C13"/>
    <w:rsid w:val="00D608B6"/>
    <w:rsid w:val="00D623A2"/>
    <w:rsid w:val="00D75C0F"/>
    <w:rsid w:val="00D849B7"/>
    <w:rsid w:val="00D856CD"/>
    <w:rsid w:val="00DA46B8"/>
    <w:rsid w:val="00DA5D21"/>
    <w:rsid w:val="00DD3842"/>
    <w:rsid w:val="00DE13D2"/>
    <w:rsid w:val="00DE2A18"/>
    <w:rsid w:val="00DF02F4"/>
    <w:rsid w:val="00DF1893"/>
    <w:rsid w:val="00DF6D00"/>
    <w:rsid w:val="00DF7CBB"/>
    <w:rsid w:val="00E02891"/>
    <w:rsid w:val="00E02CC1"/>
    <w:rsid w:val="00E02DD9"/>
    <w:rsid w:val="00E0693B"/>
    <w:rsid w:val="00E10D60"/>
    <w:rsid w:val="00E23AE9"/>
    <w:rsid w:val="00E307F9"/>
    <w:rsid w:val="00E33EA6"/>
    <w:rsid w:val="00E4769D"/>
    <w:rsid w:val="00E51FDD"/>
    <w:rsid w:val="00E534BD"/>
    <w:rsid w:val="00E663E2"/>
    <w:rsid w:val="00E7765F"/>
    <w:rsid w:val="00E87294"/>
    <w:rsid w:val="00E902E9"/>
    <w:rsid w:val="00E92E3B"/>
    <w:rsid w:val="00EC5D29"/>
    <w:rsid w:val="00EC73CF"/>
    <w:rsid w:val="00ED2522"/>
    <w:rsid w:val="00ED32D5"/>
    <w:rsid w:val="00EF1965"/>
    <w:rsid w:val="00F12096"/>
    <w:rsid w:val="00F23686"/>
    <w:rsid w:val="00F251E4"/>
    <w:rsid w:val="00F30E5E"/>
    <w:rsid w:val="00F30E76"/>
    <w:rsid w:val="00F421E5"/>
    <w:rsid w:val="00F44E44"/>
    <w:rsid w:val="00F4574C"/>
    <w:rsid w:val="00F46062"/>
    <w:rsid w:val="00F467E5"/>
    <w:rsid w:val="00F6287D"/>
    <w:rsid w:val="00F65E03"/>
    <w:rsid w:val="00F77316"/>
    <w:rsid w:val="00F804CB"/>
    <w:rsid w:val="00F80C8F"/>
    <w:rsid w:val="00F860C6"/>
    <w:rsid w:val="00F961CB"/>
    <w:rsid w:val="00FA19FA"/>
    <w:rsid w:val="00FB3BFB"/>
    <w:rsid w:val="00FD0716"/>
    <w:rsid w:val="00FD1AD1"/>
    <w:rsid w:val="00FE2D2C"/>
    <w:rsid w:val="00FF6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2">
    <w:name w:val="heading 2"/>
    <w:basedOn w:val="Normal"/>
    <w:next w:val="Normal"/>
    <w:link w:val="Heading2Char"/>
    <w:uiPriority w:val="9"/>
    <w:semiHidden/>
    <w:unhideWhenUsed/>
    <w:qFormat/>
    <w:rsid w:val="00BC70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B40"/>
    <w:rPr>
      <w:color w:val="0000FF" w:themeColor="hyperlink"/>
      <w:u w:val="single"/>
    </w:rPr>
  </w:style>
  <w:style w:type="paragraph" w:styleId="ListParagraph">
    <w:name w:val="List Paragraph"/>
    <w:basedOn w:val="Normal"/>
    <w:uiPriority w:val="34"/>
    <w:qFormat/>
    <w:rsid w:val="00465B40"/>
    <w:pPr>
      <w:ind w:left="720"/>
      <w:contextualSpacing/>
    </w:pPr>
  </w:style>
  <w:style w:type="character" w:customStyle="1" w:styleId="ti2">
    <w:name w:val="ti2"/>
    <w:basedOn w:val="DefaultParagraphFont"/>
    <w:rsid w:val="00AB482F"/>
  </w:style>
  <w:style w:type="paragraph" w:customStyle="1" w:styleId="Address">
    <w:name w:val="Address"/>
    <w:basedOn w:val="Normal"/>
    <w:rsid w:val="00AB482F"/>
    <w:pPr>
      <w:widowControl w:val="0"/>
      <w:autoSpaceDE w:val="0"/>
      <w:autoSpaceDN w:val="0"/>
      <w:adjustRightInd w:val="0"/>
      <w:spacing w:line="264" w:lineRule="auto"/>
      <w:jc w:val="center"/>
    </w:pPr>
    <w:rPr>
      <w:rFonts w:ascii="Arial" w:eastAsia="Times New Roman" w:hAnsi="Arial" w:cs="Times New Roman"/>
      <w:i/>
      <w:iCs/>
      <w:color w:val="000000"/>
      <w:szCs w:val="20"/>
      <w:lang w:eastAsia="de-DE"/>
    </w:rPr>
  </w:style>
  <w:style w:type="paragraph" w:styleId="Header">
    <w:name w:val="header"/>
    <w:basedOn w:val="Normal"/>
    <w:link w:val="HeaderChar"/>
    <w:uiPriority w:val="99"/>
    <w:unhideWhenUsed/>
    <w:rsid w:val="003C126D"/>
    <w:pPr>
      <w:tabs>
        <w:tab w:val="center" w:pos="4513"/>
        <w:tab w:val="right" w:pos="9026"/>
      </w:tabs>
      <w:spacing w:line="240" w:lineRule="auto"/>
    </w:pPr>
  </w:style>
  <w:style w:type="character" w:customStyle="1" w:styleId="HeaderChar">
    <w:name w:val="Header Char"/>
    <w:basedOn w:val="DefaultParagraphFont"/>
    <w:link w:val="Header"/>
    <w:uiPriority w:val="99"/>
    <w:rsid w:val="003C126D"/>
  </w:style>
  <w:style w:type="paragraph" w:styleId="Footer">
    <w:name w:val="footer"/>
    <w:basedOn w:val="Normal"/>
    <w:link w:val="FooterChar"/>
    <w:uiPriority w:val="99"/>
    <w:unhideWhenUsed/>
    <w:rsid w:val="003C126D"/>
    <w:pPr>
      <w:tabs>
        <w:tab w:val="center" w:pos="4513"/>
        <w:tab w:val="right" w:pos="9026"/>
      </w:tabs>
      <w:spacing w:line="240" w:lineRule="auto"/>
    </w:pPr>
  </w:style>
  <w:style w:type="character" w:customStyle="1" w:styleId="FooterChar">
    <w:name w:val="Footer Char"/>
    <w:basedOn w:val="DefaultParagraphFont"/>
    <w:link w:val="Footer"/>
    <w:uiPriority w:val="99"/>
    <w:rsid w:val="003C126D"/>
  </w:style>
  <w:style w:type="paragraph" w:styleId="Caption">
    <w:name w:val="caption"/>
    <w:basedOn w:val="Normal"/>
    <w:next w:val="Normal"/>
    <w:qFormat/>
    <w:rsid w:val="002045DB"/>
    <w:pPr>
      <w:spacing w:after="240" w:line="240" w:lineRule="auto"/>
    </w:pPr>
    <w:rPr>
      <w:rFonts w:ascii="Arial" w:eastAsia="Times New Roman" w:hAnsi="Arial" w:cs="Times New Roman"/>
      <w:b/>
      <w:sz w:val="18"/>
      <w:szCs w:val="20"/>
    </w:rPr>
  </w:style>
  <w:style w:type="paragraph" w:customStyle="1" w:styleId="listwithspacing">
    <w:name w:val="list with spacing"/>
    <w:basedOn w:val="Normal"/>
    <w:rsid w:val="002045DB"/>
    <w:pPr>
      <w:spacing w:after="120" w:line="240" w:lineRule="auto"/>
    </w:pPr>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5B32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FD"/>
    <w:rPr>
      <w:rFonts w:ascii="Tahoma" w:hAnsi="Tahoma" w:cs="Tahoma"/>
      <w:sz w:val="16"/>
      <w:szCs w:val="16"/>
    </w:rPr>
  </w:style>
  <w:style w:type="character" w:customStyle="1" w:styleId="Heading2Char">
    <w:name w:val="Heading 2 Char"/>
    <w:basedOn w:val="DefaultParagraphFont"/>
    <w:link w:val="Heading2"/>
    <w:uiPriority w:val="9"/>
    <w:semiHidden/>
    <w:rsid w:val="00BC70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14CA7"/>
    <w:rPr>
      <w:sz w:val="16"/>
      <w:szCs w:val="16"/>
    </w:rPr>
  </w:style>
  <w:style w:type="paragraph" w:styleId="CommentText">
    <w:name w:val="annotation text"/>
    <w:basedOn w:val="Normal"/>
    <w:link w:val="CommentTextChar"/>
    <w:uiPriority w:val="99"/>
    <w:semiHidden/>
    <w:unhideWhenUsed/>
    <w:rsid w:val="00914CA7"/>
    <w:pPr>
      <w:spacing w:line="240" w:lineRule="auto"/>
    </w:pPr>
    <w:rPr>
      <w:sz w:val="20"/>
      <w:szCs w:val="20"/>
    </w:rPr>
  </w:style>
  <w:style w:type="character" w:customStyle="1" w:styleId="CommentTextChar">
    <w:name w:val="Comment Text Char"/>
    <w:basedOn w:val="DefaultParagraphFont"/>
    <w:link w:val="CommentText"/>
    <w:uiPriority w:val="99"/>
    <w:semiHidden/>
    <w:rsid w:val="00914CA7"/>
    <w:rPr>
      <w:sz w:val="20"/>
      <w:szCs w:val="20"/>
    </w:rPr>
  </w:style>
  <w:style w:type="paragraph" w:styleId="CommentSubject">
    <w:name w:val="annotation subject"/>
    <w:basedOn w:val="CommentText"/>
    <w:next w:val="CommentText"/>
    <w:link w:val="CommentSubjectChar"/>
    <w:uiPriority w:val="99"/>
    <w:semiHidden/>
    <w:unhideWhenUsed/>
    <w:rsid w:val="00914CA7"/>
    <w:rPr>
      <w:b/>
      <w:bCs/>
    </w:rPr>
  </w:style>
  <w:style w:type="character" w:customStyle="1" w:styleId="CommentSubjectChar">
    <w:name w:val="Comment Subject Char"/>
    <w:basedOn w:val="CommentTextChar"/>
    <w:link w:val="CommentSubject"/>
    <w:uiPriority w:val="99"/>
    <w:semiHidden/>
    <w:rsid w:val="00914CA7"/>
    <w:rPr>
      <w:b/>
      <w:bCs/>
      <w:sz w:val="20"/>
      <w:szCs w:val="20"/>
    </w:rPr>
  </w:style>
  <w:style w:type="paragraph" w:styleId="Revision">
    <w:name w:val="Revision"/>
    <w:hidden/>
    <w:uiPriority w:val="99"/>
    <w:semiHidden/>
    <w:rsid w:val="0035459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2">
    <w:name w:val="heading 2"/>
    <w:basedOn w:val="Normal"/>
    <w:next w:val="Normal"/>
    <w:link w:val="Heading2Char"/>
    <w:uiPriority w:val="9"/>
    <w:semiHidden/>
    <w:unhideWhenUsed/>
    <w:qFormat/>
    <w:rsid w:val="00BC704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B40"/>
    <w:rPr>
      <w:color w:val="0000FF" w:themeColor="hyperlink"/>
      <w:u w:val="single"/>
    </w:rPr>
  </w:style>
  <w:style w:type="paragraph" w:styleId="ListParagraph">
    <w:name w:val="List Paragraph"/>
    <w:basedOn w:val="Normal"/>
    <w:uiPriority w:val="34"/>
    <w:qFormat/>
    <w:rsid w:val="00465B40"/>
    <w:pPr>
      <w:ind w:left="720"/>
      <w:contextualSpacing/>
    </w:pPr>
  </w:style>
  <w:style w:type="character" w:customStyle="1" w:styleId="ti2">
    <w:name w:val="ti2"/>
    <w:basedOn w:val="DefaultParagraphFont"/>
    <w:rsid w:val="00AB482F"/>
  </w:style>
  <w:style w:type="paragraph" w:customStyle="1" w:styleId="Address">
    <w:name w:val="Address"/>
    <w:basedOn w:val="Normal"/>
    <w:rsid w:val="00AB482F"/>
    <w:pPr>
      <w:widowControl w:val="0"/>
      <w:autoSpaceDE w:val="0"/>
      <w:autoSpaceDN w:val="0"/>
      <w:adjustRightInd w:val="0"/>
      <w:spacing w:line="264" w:lineRule="auto"/>
      <w:jc w:val="center"/>
    </w:pPr>
    <w:rPr>
      <w:rFonts w:ascii="Arial" w:eastAsia="Times New Roman" w:hAnsi="Arial" w:cs="Times New Roman"/>
      <w:i/>
      <w:iCs/>
      <w:color w:val="000000"/>
      <w:szCs w:val="20"/>
      <w:lang w:eastAsia="de-DE"/>
    </w:rPr>
  </w:style>
  <w:style w:type="paragraph" w:styleId="Header">
    <w:name w:val="header"/>
    <w:basedOn w:val="Normal"/>
    <w:link w:val="HeaderChar"/>
    <w:uiPriority w:val="99"/>
    <w:unhideWhenUsed/>
    <w:rsid w:val="003C126D"/>
    <w:pPr>
      <w:tabs>
        <w:tab w:val="center" w:pos="4513"/>
        <w:tab w:val="right" w:pos="9026"/>
      </w:tabs>
      <w:spacing w:line="240" w:lineRule="auto"/>
    </w:pPr>
  </w:style>
  <w:style w:type="character" w:customStyle="1" w:styleId="HeaderChar">
    <w:name w:val="Header Char"/>
    <w:basedOn w:val="DefaultParagraphFont"/>
    <w:link w:val="Header"/>
    <w:uiPriority w:val="99"/>
    <w:rsid w:val="003C126D"/>
  </w:style>
  <w:style w:type="paragraph" w:styleId="Footer">
    <w:name w:val="footer"/>
    <w:basedOn w:val="Normal"/>
    <w:link w:val="FooterChar"/>
    <w:uiPriority w:val="99"/>
    <w:unhideWhenUsed/>
    <w:rsid w:val="003C126D"/>
    <w:pPr>
      <w:tabs>
        <w:tab w:val="center" w:pos="4513"/>
        <w:tab w:val="right" w:pos="9026"/>
      </w:tabs>
      <w:spacing w:line="240" w:lineRule="auto"/>
    </w:pPr>
  </w:style>
  <w:style w:type="character" w:customStyle="1" w:styleId="FooterChar">
    <w:name w:val="Footer Char"/>
    <w:basedOn w:val="DefaultParagraphFont"/>
    <w:link w:val="Footer"/>
    <w:uiPriority w:val="99"/>
    <w:rsid w:val="003C126D"/>
  </w:style>
  <w:style w:type="paragraph" w:styleId="Caption">
    <w:name w:val="caption"/>
    <w:basedOn w:val="Normal"/>
    <w:next w:val="Normal"/>
    <w:qFormat/>
    <w:rsid w:val="002045DB"/>
    <w:pPr>
      <w:spacing w:after="240" w:line="240" w:lineRule="auto"/>
    </w:pPr>
    <w:rPr>
      <w:rFonts w:ascii="Arial" w:eastAsia="Times New Roman" w:hAnsi="Arial" w:cs="Times New Roman"/>
      <w:b/>
      <w:sz w:val="18"/>
      <w:szCs w:val="20"/>
    </w:rPr>
  </w:style>
  <w:style w:type="paragraph" w:customStyle="1" w:styleId="listwithspacing">
    <w:name w:val="list with spacing"/>
    <w:basedOn w:val="Normal"/>
    <w:rsid w:val="002045DB"/>
    <w:pPr>
      <w:spacing w:after="120" w:line="240" w:lineRule="auto"/>
    </w:pPr>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5B32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FD"/>
    <w:rPr>
      <w:rFonts w:ascii="Tahoma" w:hAnsi="Tahoma" w:cs="Tahoma"/>
      <w:sz w:val="16"/>
      <w:szCs w:val="16"/>
    </w:rPr>
  </w:style>
  <w:style w:type="character" w:customStyle="1" w:styleId="Heading2Char">
    <w:name w:val="Heading 2 Char"/>
    <w:basedOn w:val="DefaultParagraphFont"/>
    <w:link w:val="Heading2"/>
    <w:uiPriority w:val="9"/>
    <w:semiHidden/>
    <w:rsid w:val="00BC70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14CA7"/>
    <w:rPr>
      <w:sz w:val="16"/>
      <w:szCs w:val="16"/>
    </w:rPr>
  </w:style>
  <w:style w:type="paragraph" w:styleId="CommentText">
    <w:name w:val="annotation text"/>
    <w:basedOn w:val="Normal"/>
    <w:link w:val="CommentTextChar"/>
    <w:uiPriority w:val="99"/>
    <w:semiHidden/>
    <w:unhideWhenUsed/>
    <w:rsid w:val="00914CA7"/>
    <w:pPr>
      <w:spacing w:line="240" w:lineRule="auto"/>
    </w:pPr>
    <w:rPr>
      <w:sz w:val="20"/>
      <w:szCs w:val="20"/>
    </w:rPr>
  </w:style>
  <w:style w:type="character" w:customStyle="1" w:styleId="CommentTextChar">
    <w:name w:val="Comment Text Char"/>
    <w:basedOn w:val="DefaultParagraphFont"/>
    <w:link w:val="CommentText"/>
    <w:uiPriority w:val="99"/>
    <w:semiHidden/>
    <w:rsid w:val="00914CA7"/>
    <w:rPr>
      <w:sz w:val="20"/>
      <w:szCs w:val="20"/>
    </w:rPr>
  </w:style>
  <w:style w:type="paragraph" w:styleId="CommentSubject">
    <w:name w:val="annotation subject"/>
    <w:basedOn w:val="CommentText"/>
    <w:next w:val="CommentText"/>
    <w:link w:val="CommentSubjectChar"/>
    <w:uiPriority w:val="99"/>
    <w:semiHidden/>
    <w:unhideWhenUsed/>
    <w:rsid w:val="00914CA7"/>
    <w:rPr>
      <w:b/>
      <w:bCs/>
    </w:rPr>
  </w:style>
  <w:style w:type="character" w:customStyle="1" w:styleId="CommentSubjectChar">
    <w:name w:val="Comment Subject Char"/>
    <w:basedOn w:val="CommentTextChar"/>
    <w:link w:val="CommentSubject"/>
    <w:uiPriority w:val="99"/>
    <w:semiHidden/>
    <w:rsid w:val="00914CA7"/>
    <w:rPr>
      <w:b/>
      <w:bCs/>
      <w:sz w:val="20"/>
      <w:szCs w:val="20"/>
    </w:rPr>
  </w:style>
  <w:style w:type="paragraph" w:styleId="Revision">
    <w:name w:val="Revision"/>
    <w:hidden/>
    <w:uiPriority w:val="99"/>
    <w:semiHidden/>
    <w:rsid w:val="0035459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69840">
      <w:bodyDiv w:val="1"/>
      <w:marLeft w:val="0"/>
      <w:marRight w:val="0"/>
      <w:marTop w:val="0"/>
      <w:marBottom w:val="0"/>
      <w:divBdr>
        <w:top w:val="none" w:sz="0" w:space="0" w:color="auto"/>
        <w:left w:val="none" w:sz="0" w:space="0" w:color="auto"/>
        <w:bottom w:val="none" w:sz="0" w:space="0" w:color="auto"/>
        <w:right w:val="none" w:sz="0" w:space="0" w:color="auto"/>
      </w:divBdr>
    </w:div>
    <w:div w:id="417945286">
      <w:bodyDiv w:val="1"/>
      <w:marLeft w:val="0"/>
      <w:marRight w:val="0"/>
      <w:marTop w:val="0"/>
      <w:marBottom w:val="0"/>
      <w:divBdr>
        <w:top w:val="none" w:sz="0" w:space="0" w:color="auto"/>
        <w:left w:val="none" w:sz="0" w:space="0" w:color="auto"/>
        <w:bottom w:val="none" w:sz="0" w:space="0" w:color="auto"/>
        <w:right w:val="none" w:sz="0" w:space="0" w:color="auto"/>
      </w:divBdr>
    </w:div>
    <w:div w:id="443118315">
      <w:bodyDiv w:val="1"/>
      <w:marLeft w:val="0"/>
      <w:marRight w:val="0"/>
      <w:marTop w:val="0"/>
      <w:marBottom w:val="0"/>
      <w:divBdr>
        <w:top w:val="none" w:sz="0" w:space="0" w:color="auto"/>
        <w:left w:val="none" w:sz="0" w:space="0" w:color="auto"/>
        <w:bottom w:val="none" w:sz="0" w:space="0" w:color="auto"/>
        <w:right w:val="none" w:sz="0" w:space="0" w:color="auto"/>
      </w:divBdr>
    </w:div>
    <w:div w:id="531920583">
      <w:bodyDiv w:val="1"/>
      <w:marLeft w:val="0"/>
      <w:marRight w:val="0"/>
      <w:marTop w:val="0"/>
      <w:marBottom w:val="0"/>
      <w:divBdr>
        <w:top w:val="none" w:sz="0" w:space="0" w:color="auto"/>
        <w:left w:val="none" w:sz="0" w:space="0" w:color="auto"/>
        <w:bottom w:val="none" w:sz="0" w:space="0" w:color="auto"/>
        <w:right w:val="none" w:sz="0" w:space="0" w:color="auto"/>
      </w:divBdr>
    </w:div>
    <w:div w:id="1393500947">
      <w:bodyDiv w:val="1"/>
      <w:marLeft w:val="0"/>
      <w:marRight w:val="0"/>
      <w:marTop w:val="0"/>
      <w:marBottom w:val="0"/>
      <w:divBdr>
        <w:top w:val="none" w:sz="0" w:space="0" w:color="auto"/>
        <w:left w:val="none" w:sz="0" w:space="0" w:color="auto"/>
        <w:bottom w:val="none" w:sz="0" w:space="0" w:color="auto"/>
        <w:right w:val="none" w:sz="0" w:space="0" w:color="auto"/>
      </w:divBdr>
    </w:div>
    <w:div w:id="1599676228">
      <w:bodyDiv w:val="1"/>
      <w:marLeft w:val="0"/>
      <w:marRight w:val="0"/>
      <w:marTop w:val="0"/>
      <w:marBottom w:val="0"/>
      <w:divBdr>
        <w:top w:val="none" w:sz="0" w:space="0" w:color="auto"/>
        <w:left w:val="none" w:sz="0" w:space="0" w:color="auto"/>
        <w:bottom w:val="none" w:sz="0" w:space="0" w:color="auto"/>
        <w:right w:val="none" w:sz="0" w:space="0" w:color="auto"/>
      </w:divBdr>
    </w:div>
    <w:div w:id="21401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s.gov.uk/ons/rel/pensions/pension-trends/chapter-4--the-labour-market-and-retirement--2013-edition/art-pt2013ch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tient.co.uk/doctor/Severe-and-Partial-Sight-impairment"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tp@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5464D-87B6-44B6-BEF6-7AFD3D7C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33055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Karen Drake</cp:lastModifiedBy>
  <cp:revision>2</cp:revision>
  <cp:lastPrinted>2014-11-11T15:59:00Z</cp:lastPrinted>
  <dcterms:created xsi:type="dcterms:W3CDTF">2015-03-30T08:45:00Z</dcterms:created>
  <dcterms:modified xsi:type="dcterms:W3CDTF">2015-03-30T08:45:00Z</dcterms:modified>
</cp:coreProperties>
</file>