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C3E" w:rsidRPr="00982193" w:rsidRDefault="003A2C3E" w:rsidP="003A2C3E">
      <w:pPr>
        <w:spacing w:line="360" w:lineRule="auto"/>
        <w:jc w:val="center"/>
        <w:rPr>
          <w:rFonts w:ascii="Verdana" w:hAnsi="Verdana"/>
          <w:sz w:val="28"/>
          <w:szCs w:val="28"/>
        </w:rPr>
      </w:pPr>
      <w:bookmarkStart w:id="0" w:name="_GoBack"/>
      <w:bookmarkEnd w:id="0"/>
    </w:p>
    <w:p w:rsidR="003A2C3E" w:rsidRPr="00982193" w:rsidRDefault="003A2C3E" w:rsidP="003A2C3E">
      <w:pPr>
        <w:spacing w:line="360" w:lineRule="auto"/>
        <w:jc w:val="center"/>
        <w:rPr>
          <w:rFonts w:ascii="Verdana" w:hAnsi="Verdana"/>
          <w:sz w:val="28"/>
          <w:szCs w:val="28"/>
        </w:rPr>
      </w:pPr>
    </w:p>
    <w:p w:rsidR="003A2C3E" w:rsidRPr="00982193" w:rsidRDefault="003A2C3E" w:rsidP="003A2C3E">
      <w:pPr>
        <w:spacing w:line="360" w:lineRule="auto"/>
        <w:jc w:val="center"/>
        <w:rPr>
          <w:rFonts w:ascii="Verdana" w:hAnsi="Verdana"/>
          <w:sz w:val="28"/>
          <w:szCs w:val="28"/>
        </w:rPr>
      </w:pPr>
    </w:p>
    <w:p w:rsidR="003A2C3E" w:rsidRPr="00982193" w:rsidRDefault="003A2C3E" w:rsidP="003A2C3E">
      <w:pPr>
        <w:spacing w:line="360" w:lineRule="auto"/>
        <w:jc w:val="center"/>
        <w:rPr>
          <w:rFonts w:ascii="Verdana" w:hAnsi="Verdana"/>
          <w:sz w:val="28"/>
          <w:szCs w:val="28"/>
        </w:rPr>
      </w:pPr>
    </w:p>
    <w:p w:rsidR="003A2C3E" w:rsidRPr="00982193" w:rsidRDefault="003A2C3E" w:rsidP="003A2C3E">
      <w:pPr>
        <w:spacing w:line="360" w:lineRule="auto"/>
        <w:jc w:val="center"/>
        <w:rPr>
          <w:rFonts w:ascii="Verdana" w:hAnsi="Verdana"/>
          <w:sz w:val="28"/>
          <w:szCs w:val="28"/>
        </w:rPr>
      </w:pPr>
    </w:p>
    <w:p w:rsidR="0038036B" w:rsidRPr="00982193" w:rsidRDefault="009B4E67" w:rsidP="003A2C3E">
      <w:pPr>
        <w:spacing w:line="360" w:lineRule="auto"/>
        <w:jc w:val="center"/>
        <w:rPr>
          <w:rFonts w:ascii="Verdana" w:hAnsi="Verdana"/>
          <w:sz w:val="28"/>
          <w:szCs w:val="28"/>
        </w:rPr>
      </w:pPr>
      <w:r w:rsidRPr="00982193">
        <w:rPr>
          <w:rFonts w:ascii="Verdana" w:hAnsi="Verdana"/>
          <w:sz w:val="28"/>
          <w:szCs w:val="28"/>
        </w:rPr>
        <w:t>Determinants of muscle and bone aging</w:t>
      </w:r>
    </w:p>
    <w:p w:rsidR="009B4E67" w:rsidRPr="00982193" w:rsidRDefault="009B4E67" w:rsidP="003A2C3E">
      <w:pPr>
        <w:spacing w:line="360" w:lineRule="auto"/>
        <w:jc w:val="center"/>
        <w:rPr>
          <w:rFonts w:ascii="Verdana" w:hAnsi="Verdana"/>
          <w:sz w:val="28"/>
          <w:szCs w:val="28"/>
        </w:rPr>
      </w:pPr>
    </w:p>
    <w:p w:rsidR="009B4E67" w:rsidRPr="00982193" w:rsidRDefault="00502BFA" w:rsidP="003A2C3E">
      <w:pPr>
        <w:spacing w:line="360" w:lineRule="auto"/>
        <w:jc w:val="center"/>
        <w:rPr>
          <w:rFonts w:ascii="Verdana" w:hAnsi="Verdana"/>
          <w:sz w:val="28"/>
          <w:szCs w:val="28"/>
        </w:rPr>
      </w:pPr>
      <w:r w:rsidRPr="00982193">
        <w:rPr>
          <w:rFonts w:ascii="Verdana" w:hAnsi="Verdana"/>
          <w:sz w:val="28"/>
          <w:szCs w:val="28"/>
        </w:rPr>
        <w:t>Curtis E</w:t>
      </w:r>
      <w:r w:rsidR="00DF2AB7" w:rsidRPr="00982193">
        <w:rPr>
          <w:rFonts w:ascii="Verdana" w:hAnsi="Verdana"/>
          <w:sz w:val="28"/>
          <w:szCs w:val="28"/>
        </w:rPr>
        <w:t xml:space="preserve">, </w:t>
      </w:r>
      <w:proofErr w:type="spellStart"/>
      <w:r w:rsidR="009B4E67" w:rsidRPr="00982193">
        <w:rPr>
          <w:rFonts w:ascii="Verdana" w:hAnsi="Verdana"/>
          <w:sz w:val="28"/>
          <w:szCs w:val="28"/>
        </w:rPr>
        <w:t>Litwic</w:t>
      </w:r>
      <w:proofErr w:type="spellEnd"/>
      <w:r w:rsidR="009B4E67" w:rsidRPr="00982193">
        <w:rPr>
          <w:rFonts w:ascii="Verdana" w:hAnsi="Verdana"/>
          <w:sz w:val="28"/>
          <w:szCs w:val="28"/>
        </w:rPr>
        <w:t xml:space="preserve"> A, Cooper C</w:t>
      </w:r>
      <w:r w:rsidR="00DF2AB7" w:rsidRPr="00982193">
        <w:rPr>
          <w:rFonts w:ascii="Verdana" w:hAnsi="Verdana"/>
          <w:sz w:val="28"/>
          <w:szCs w:val="28"/>
        </w:rPr>
        <w:t>, Dennison E</w:t>
      </w:r>
    </w:p>
    <w:p w:rsidR="009B4E67" w:rsidRPr="00982193" w:rsidRDefault="009B4E67" w:rsidP="003A2C3E">
      <w:pPr>
        <w:spacing w:line="360" w:lineRule="auto"/>
        <w:jc w:val="both"/>
        <w:rPr>
          <w:rFonts w:ascii="Verdana" w:hAnsi="Verdana"/>
        </w:rPr>
      </w:pPr>
    </w:p>
    <w:p w:rsidR="003A2C3E" w:rsidRPr="00982193" w:rsidRDefault="003A2C3E" w:rsidP="003A2C3E">
      <w:pPr>
        <w:spacing w:line="360" w:lineRule="auto"/>
        <w:jc w:val="both"/>
        <w:rPr>
          <w:rFonts w:ascii="Verdana" w:hAnsi="Verdana"/>
        </w:rPr>
      </w:pPr>
    </w:p>
    <w:p w:rsidR="009B4E67" w:rsidRPr="00982193" w:rsidRDefault="009B4E67" w:rsidP="003A2C3E">
      <w:pPr>
        <w:spacing w:line="360" w:lineRule="auto"/>
        <w:jc w:val="both"/>
        <w:rPr>
          <w:rFonts w:ascii="Verdana" w:hAnsi="Verdana"/>
        </w:rPr>
      </w:pPr>
      <w:r w:rsidRPr="00982193">
        <w:rPr>
          <w:rFonts w:ascii="Verdana" w:hAnsi="Verdana"/>
        </w:rPr>
        <w:t xml:space="preserve">From: MRC Lifecourse Epidemiology Unit, Southampton General Hospital, </w:t>
      </w:r>
      <w:proofErr w:type="spellStart"/>
      <w:r w:rsidRPr="00982193">
        <w:rPr>
          <w:rFonts w:ascii="Verdana" w:hAnsi="Verdana"/>
        </w:rPr>
        <w:t>Tremona</w:t>
      </w:r>
      <w:proofErr w:type="spellEnd"/>
      <w:r w:rsidRPr="00982193">
        <w:rPr>
          <w:rFonts w:ascii="Verdana" w:hAnsi="Verdana"/>
        </w:rPr>
        <w:t xml:space="preserve"> Road, Southampton SO16 6YD</w:t>
      </w:r>
    </w:p>
    <w:p w:rsidR="009B4E67" w:rsidRPr="00982193" w:rsidRDefault="009B4E67" w:rsidP="003A2C3E">
      <w:pPr>
        <w:spacing w:line="360" w:lineRule="auto"/>
        <w:jc w:val="both"/>
        <w:rPr>
          <w:rFonts w:ascii="Verdana" w:hAnsi="Verdana"/>
        </w:rPr>
      </w:pPr>
    </w:p>
    <w:p w:rsidR="009B4E67" w:rsidRPr="00982193" w:rsidRDefault="009B4E67" w:rsidP="003A2C3E">
      <w:pPr>
        <w:spacing w:line="360" w:lineRule="auto"/>
        <w:jc w:val="both"/>
        <w:rPr>
          <w:rFonts w:ascii="Verdana" w:hAnsi="Verdana"/>
        </w:rPr>
      </w:pPr>
    </w:p>
    <w:p w:rsidR="009B4E67" w:rsidRPr="00982193" w:rsidRDefault="009B4E67" w:rsidP="003A2C3E">
      <w:pPr>
        <w:spacing w:line="360" w:lineRule="auto"/>
        <w:jc w:val="both"/>
        <w:rPr>
          <w:rFonts w:ascii="Verdana" w:hAnsi="Verdana"/>
          <w:b/>
          <w:i/>
        </w:rPr>
      </w:pPr>
      <w:r w:rsidRPr="00982193">
        <w:rPr>
          <w:rFonts w:ascii="Verdana" w:hAnsi="Verdana"/>
          <w:b/>
          <w:i/>
        </w:rPr>
        <w:t>Correspondence to:</w:t>
      </w:r>
    </w:p>
    <w:p w:rsidR="009B4E67" w:rsidRPr="00982193" w:rsidRDefault="009B4E67" w:rsidP="003A2C3E">
      <w:pPr>
        <w:spacing w:line="360" w:lineRule="auto"/>
        <w:jc w:val="both"/>
        <w:rPr>
          <w:rFonts w:ascii="Verdana" w:hAnsi="Verdana"/>
          <w:i/>
        </w:rPr>
      </w:pPr>
      <w:r w:rsidRPr="00982193">
        <w:rPr>
          <w:rFonts w:ascii="Verdana" w:hAnsi="Verdana"/>
          <w:i/>
        </w:rPr>
        <w:t>Prof Elaine Dennison, MRC Lifecourse Epidemiology Unit,</w:t>
      </w:r>
    </w:p>
    <w:p w:rsidR="009B4E67" w:rsidRPr="00982193" w:rsidRDefault="009B4E67" w:rsidP="003A2C3E">
      <w:pPr>
        <w:spacing w:line="360" w:lineRule="auto"/>
        <w:jc w:val="both"/>
        <w:rPr>
          <w:rFonts w:ascii="Verdana" w:hAnsi="Verdana"/>
          <w:i/>
        </w:rPr>
      </w:pPr>
      <w:r w:rsidRPr="00982193">
        <w:rPr>
          <w:rFonts w:ascii="Verdana" w:hAnsi="Verdana"/>
          <w:i/>
        </w:rPr>
        <w:t>Southampton General Hospital, Southampton SO16 6YD, England</w:t>
      </w:r>
    </w:p>
    <w:p w:rsidR="009B4E67" w:rsidRDefault="009B4E67" w:rsidP="003A2C3E">
      <w:pPr>
        <w:spacing w:line="360" w:lineRule="auto"/>
        <w:jc w:val="both"/>
        <w:rPr>
          <w:rFonts w:ascii="Verdana" w:hAnsi="Verdana"/>
          <w:i/>
        </w:rPr>
      </w:pPr>
      <w:r w:rsidRPr="00982193">
        <w:rPr>
          <w:rFonts w:ascii="Verdana" w:hAnsi="Verdana"/>
          <w:i/>
        </w:rPr>
        <w:t xml:space="preserve">Tel: +44 (0)23 8077 7624   Fax:  +44 (0)23 8070 4021   Email: </w:t>
      </w:r>
      <w:hyperlink r:id="rId6" w:history="1">
        <w:r w:rsidR="00F72AF5" w:rsidRPr="00820743">
          <w:rPr>
            <w:rStyle w:val="Hyperlink"/>
            <w:rFonts w:ascii="Verdana" w:hAnsi="Verdana"/>
            <w:i/>
          </w:rPr>
          <w:t>emd@mrc.soton.ac.uk</w:t>
        </w:r>
      </w:hyperlink>
    </w:p>
    <w:p w:rsidR="00F72AF5" w:rsidRDefault="00F72AF5" w:rsidP="003A2C3E">
      <w:pPr>
        <w:spacing w:line="360" w:lineRule="auto"/>
        <w:jc w:val="both"/>
        <w:rPr>
          <w:rFonts w:ascii="Verdana" w:hAnsi="Verdana"/>
          <w:i/>
        </w:rPr>
      </w:pPr>
    </w:p>
    <w:p w:rsidR="00F72AF5" w:rsidRDefault="00F72AF5" w:rsidP="003A2C3E">
      <w:pPr>
        <w:spacing w:line="360" w:lineRule="auto"/>
        <w:jc w:val="both"/>
        <w:rPr>
          <w:rFonts w:ascii="Verdana" w:hAnsi="Verdana"/>
          <w:i/>
        </w:rPr>
      </w:pPr>
      <w:r>
        <w:rPr>
          <w:rFonts w:ascii="Verdana" w:hAnsi="Verdana"/>
          <w:i/>
        </w:rPr>
        <w:t>Key words: bone; muscle; aging; determinants</w:t>
      </w:r>
    </w:p>
    <w:p w:rsidR="00F72AF5" w:rsidRPr="00F72AF5" w:rsidRDefault="00F72AF5" w:rsidP="00F72AF5">
      <w:pPr>
        <w:spacing w:line="360" w:lineRule="auto"/>
        <w:rPr>
          <w:rFonts w:ascii="Verdana" w:hAnsi="Verdana"/>
          <w:i/>
        </w:rPr>
      </w:pPr>
      <w:r>
        <w:rPr>
          <w:rFonts w:ascii="Verdana" w:hAnsi="Verdana"/>
          <w:i/>
        </w:rPr>
        <w:t xml:space="preserve">Running title: </w:t>
      </w:r>
      <w:r w:rsidRPr="00F72AF5">
        <w:rPr>
          <w:rFonts w:ascii="Verdana" w:hAnsi="Verdana"/>
          <w:i/>
        </w:rPr>
        <w:t>Determinants of muscle and bone aging</w:t>
      </w:r>
    </w:p>
    <w:p w:rsidR="00F72AF5" w:rsidRPr="00982193" w:rsidRDefault="00F72AF5" w:rsidP="003A2C3E">
      <w:pPr>
        <w:spacing w:line="360" w:lineRule="auto"/>
        <w:jc w:val="both"/>
        <w:rPr>
          <w:rFonts w:ascii="Verdana" w:hAnsi="Verdana"/>
          <w:i/>
        </w:rPr>
      </w:pPr>
      <w:r>
        <w:rPr>
          <w:rFonts w:ascii="Verdana" w:hAnsi="Verdana"/>
          <w:i/>
        </w:rPr>
        <w:t>Total</w:t>
      </w:r>
      <w:r w:rsidR="002B62EC">
        <w:rPr>
          <w:rFonts w:ascii="Verdana" w:hAnsi="Verdana"/>
          <w:i/>
        </w:rPr>
        <w:t xml:space="preserve"> number of figures and tables: 3</w:t>
      </w:r>
    </w:p>
    <w:p w:rsidR="00AF7A63" w:rsidRPr="00982193" w:rsidRDefault="00AF7A63" w:rsidP="003A2C3E">
      <w:pPr>
        <w:spacing w:line="360" w:lineRule="auto"/>
        <w:jc w:val="both"/>
        <w:rPr>
          <w:rFonts w:ascii="Verdana" w:hAnsi="Verdana"/>
          <w:b/>
          <w:bCs/>
        </w:rPr>
      </w:pPr>
      <w:r w:rsidRPr="00982193">
        <w:rPr>
          <w:rFonts w:ascii="Verdana" w:hAnsi="Verdana"/>
          <w:b/>
          <w:bCs/>
        </w:rPr>
        <w:br w:type="page"/>
      </w:r>
    </w:p>
    <w:p w:rsidR="002B62EC" w:rsidRDefault="002B62EC" w:rsidP="003A2C3E">
      <w:pPr>
        <w:spacing w:line="360" w:lineRule="auto"/>
        <w:jc w:val="both"/>
        <w:rPr>
          <w:rFonts w:ascii="Verdana" w:hAnsi="Verdana"/>
          <w:b/>
          <w:bCs/>
        </w:rPr>
      </w:pPr>
      <w:r>
        <w:rPr>
          <w:rFonts w:ascii="Verdana" w:hAnsi="Verdana"/>
          <w:b/>
          <w:bCs/>
        </w:rPr>
        <w:lastRenderedPageBreak/>
        <w:t>Abstract</w:t>
      </w:r>
    </w:p>
    <w:p w:rsidR="002B62EC" w:rsidRPr="00982193" w:rsidRDefault="002B62EC" w:rsidP="002B62EC">
      <w:pPr>
        <w:spacing w:line="360" w:lineRule="auto"/>
        <w:jc w:val="both"/>
        <w:rPr>
          <w:rFonts w:ascii="Verdana" w:hAnsi="Verdana"/>
        </w:rPr>
      </w:pPr>
      <w:r w:rsidRPr="00982193">
        <w:rPr>
          <w:rFonts w:ascii="Verdana" w:hAnsi="Verdana"/>
        </w:rPr>
        <w:t xml:space="preserve">Loss of bone and muscle with advancing age represent a huge threat to loss of independence in later life. Osteoporosis represents a major public health problem through its association with fragility fractures, primarily of the hip, spine and distal forearm.  </w:t>
      </w:r>
      <w:r>
        <w:rPr>
          <w:rFonts w:ascii="Verdana" w:hAnsi="Verdana"/>
        </w:rPr>
        <w:t>S</w:t>
      </w:r>
      <w:r w:rsidRPr="00982193">
        <w:rPr>
          <w:rFonts w:ascii="Verdana" w:hAnsi="Verdana"/>
        </w:rPr>
        <w:t xml:space="preserve">arcopenia, the age related loss of muscle mass and function, </w:t>
      </w:r>
      <w:r>
        <w:rPr>
          <w:rFonts w:ascii="Verdana" w:hAnsi="Verdana"/>
        </w:rPr>
        <w:t xml:space="preserve">may </w:t>
      </w:r>
      <w:r w:rsidRPr="00982193">
        <w:rPr>
          <w:rFonts w:ascii="Verdana" w:hAnsi="Verdana"/>
        </w:rPr>
        <w:t>add to fracture risk by increasing falls risk</w:t>
      </w:r>
      <w:r>
        <w:rPr>
          <w:rFonts w:ascii="Verdana" w:hAnsi="Verdana"/>
        </w:rPr>
        <w:t xml:space="preserve">. </w:t>
      </w:r>
      <w:r w:rsidRPr="00982193">
        <w:rPr>
          <w:rFonts w:ascii="Verdana" w:hAnsi="Verdana"/>
        </w:rPr>
        <w:t>In the context of muscle aging, it is important to remember that it is not just a decline in muscle mass which con</w:t>
      </w:r>
      <w:r w:rsidR="001874C9">
        <w:rPr>
          <w:rFonts w:ascii="Verdana" w:hAnsi="Verdana"/>
        </w:rPr>
        <w:t>tributes to the deterioration of</w:t>
      </w:r>
      <w:r w:rsidRPr="00982193">
        <w:rPr>
          <w:rFonts w:ascii="Verdana" w:hAnsi="Verdana"/>
        </w:rPr>
        <w:t xml:space="preserve"> muscle function. Other factors underpinning muscle quality come into play, including muscle composition, aerobic capacity and metabolism, fatty infiltration, insulin resistance, fibrosis and neural activation. Genetic, developmental, endocrine and lifestyle factors, such as physical activity, smoking and poor diet have dual effects on both muscle and bone mass in later life and these will be reviewed here. </w:t>
      </w:r>
      <w:r>
        <w:rPr>
          <w:rFonts w:ascii="Verdana" w:hAnsi="Verdana"/>
        </w:rPr>
        <w:t>These include</w:t>
      </w:r>
      <w:r w:rsidRPr="00982193">
        <w:rPr>
          <w:rFonts w:ascii="Verdana" w:hAnsi="Verdana"/>
        </w:rPr>
        <w:t xml:space="preserve"> poor nutrition, lack of physical activity and cigarette smoking</w:t>
      </w:r>
      <w:r>
        <w:rPr>
          <w:rFonts w:ascii="Verdana" w:hAnsi="Verdana"/>
        </w:rPr>
        <w:t>,</w:t>
      </w:r>
      <w:r w:rsidRPr="00982193">
        <w:rPr>
          <w:rFonts w:ascii="Verdana" w:hAnsi="Verdana"/>
        </w:rPr>
        <w:t xml:space="preserve"> comorbidities or medication use</w:t>
      </w:r>
      <w:r>
        <w:rPr>
          <w:rFonts w:ascii="Verdana" w:hAnsi="Verdana"/>
        </w:rPr>
        <w:t>.</w:t>
      </w:r>
      <w:r w:rsidRPr="00982193">
        <w:rPr>
          <w:rFonts w:ascii="Verdana" w:hAnsi="Verdana"/>
        </w:rPr>
        <w:t xml:space="preserve"> </w:t>
      </w:r>
      <w:r>
        <w:rPr>
          <w:rFonts w:ascii="Verdana" w:hAnsi="Verdana"/>
        </w:rPr>
        <w:t>R</w:t>
      </w:r>
      <w:r w:rsidRPr="00982193">
        <w:rPr>
          <w:rFonts w:ascii="Verdana" w:hAnsi="Verdana"/>
        </w:rPr>
        <w:t xml:space="preserve">ecent work has highlighted a possible role for the early environment. </w:t>
      </w:r>
      <w:proofErr w:type="spellStart"/>
      <w:r w:rsidRPr="00982193">
        <w:rPr>
          <w:rFonts w:ascii="Verdana" w:hAnsi="Verdana"/>
        </w:rPr>
        <w:t>Inflammaging</w:t>
      </w:r>
      <w:proofErr w:type="spellEnd"/>
      <w:r w:rsidRPr="00982193">
        <w:rPr>
          <w:rFonts w:ascii="Verdana" w:hAnsi="Verdana"/>
        </w:rPr>
        <w:t xml:space="preserve"> is an exciting emerging research field that is likely to prove relevant to future work, including interventions designed to retard to reverse bone and muscle loss with age.</w:t>
      </w:r>
    </w:p>
    <w:p w:rsidR="002B62EC" w:rsidRDefault="002B62EC">
      <w:pPr>
        <w:rPr>
          <w:rFonts w:ascii="Verdana" w:hAnsi="Verdana"/>
          <w:b/>
          <w:bCs/>
        </w:rPr>
      </w:pPr>
      <w:r>
        <w:rPr>
          <w:rFonts w:ascii="Verdana" w:hAnsi="Verdana"/>
          <w:b/>
          <w:bCs/>
        </w:rPr>
        <w:br w:type="page"/>
      </w:r>
    </w:p>
    <w:p w:rsidR="002B62EC" w:rsidRDefault="002B62EC" w:rsidP="003A2C3E">
      <w:pPr>
        <w:spacing w:line="360" w:lineRule="auto"/>
        <w:jc w:val="both"/>
        <w:rPr>
          <w:rFonts w:ascii="Verdana" w:hAnsi="Verdana"/>
          <w:b/>
          <w:bCs/>
        </w:rPr>
      </w:pPr>
    </w:p>
    <w:p w:rsidR="009B4E67" w:rsidRPr="00982193" w:rsidRDefault="009B4E67" w:rsidP="003A2C3E">
      <w:pPr>
        <w:spacing w:line="360" w:lineRule="auto"/>
        <w:jc w:val="both"/>
        <w:rPr>
          <w:rFonts w:ascii="Verdana" w:hAnsi="Verdana"/>
          <w:b/>
          <w:bCs/>
        </w:rPr>
      </w:pPr>
      <w:r w:rsidRPr="00982193">
        <w:rPr>
          <w:rFonts w:ascii="Verdana" w:hAnsi="Verdana"/>
          <w:b/>
          <w:bCs/>
        </w:rPr>
        <w:t>Introduction</w:t>
      </w:r>
    </w:p>
    <w:p w:rsidR="00AA5038" w:rsidRDefault="00484F68" w:rsidP="003A2C3E">
      <w:pPr>
        <w:spacing w:line="360" w:lineRule="auto"/>
        <w:jc w:val="both"/>
        <w:rPr>
          <w:rFonts w:ascii="Verdana" w:hAnsi="Verdana"/>
        </w:rPr>
      </w:pPr>
      <w:r>
        <w:rPr>
          <w:rFonts w:ascii="Verdana" w:hAnsi="Verdana"/>
        </w:rPr>
        <w:t xml:space="preserve">Aging is a process that affects both physical abilities and appearance. </w:t>
      </w:r>
      <w:r w:rsidR="00AF7A63" w:rsidRPr="00982193">
        <w:rPr>
          <w:rFonts w:ascii="Verdana" w:hAnsi="Verdana"/>
        </w:rPr>
        <w:t>Loss of bone and muscle with advancing age represent a huge threat to loss of independence in later life</w:t>
      </w:r>
      <w:r w:rsidR="00AB1FA3">
        <w:rPr>
          <w:rFonts w:ascii="Verdana" w:hAnsi="Verdana"/>
        </w:rPr>
        <w:t>, but definition and outcomes in sarcopenia research have until recently lagged behind research in osteoporosis (1), with a particular conundrum being how best to define sarcopenia (2)</w:t>
      </w:r>
      <w:r w:rsidR="00AF7A63" w:rsidRPr="00982193">
        <w:rPr>
          <w:rFonts w:ascii="Verdana" w:hAnsi="Verdana"/>
        </w:rPr>
        <w:t xml:space="preserve">. </w:t>
      </w:r>
      <w:r w:rsidR="009B4E67" w:rsidRPr="00982193">
        <w:rPr>
          <w:rFonts w:ascii="Verdana" w:hAnsi="Verdana"/>
        </w:rPr>
        <w:t>Osteoporosis represents a major public health problem through its association with fragility fractures, primarily of the hip, spine and distal forearm</w:t>
      </w:r>
      <w:r w:rsidR="00AB1FA3">
        <w:rPr>
          <w:rFonts w:ascii="Verdana" w:hAnsi="Verdana"/>
        </w:rPr>
        <w:t xml:space="preserve"> (3</w:t>
      </w:r>
      <w:r w:rsidR="00DF2AB7" w:rsidRPr="00982193">
        <w:rPr>
          <w:rFonts w:ascii="Verdana" w:hAnsi="Verdana"/>
        </w:rPr>
        <w:t>)</w:t>
      </w:r>
      <w:r w:rsidR="009B4E67" w:rsidRPr="00982193">
        <w:rPr>
          <w:rFonts w:ascii="Verdana" w:hAnsi="Verdana"/>
        </w:rPr>
        <w:t>.</w:t>
      </w:r>
      <w:r w:rsidR="00AF7A63" w:rsidRPr="00982193">
        <w:rPr>
          <w:rFonts w:ascii="Verdana" w:hAnsi="Verdana"/>
        </w:rPr>
        <w:t xml:space="preserve">  </w:t>
      </w:r>
      <w:r w:rsidR="00F873E4">
        <w:rPr>
          <w:rFonts w:ascii="Verdana" w:hAnsi="Verdana"/>
        </w:rPr>
        <w:t>S</w:t>
      </w:r>
      <w:r w:rsidR="00AF7A63" w:rsidRPr="00982193">
        <w:rPr>
          <w:rFonts w:ascii="Verdana" w:hAnsi="Verdana"/>
        </w:rPr>
        <w:t>arcopenia, the age related loss of muscle mass and function</w:t>
      </w:r>
      <w:r w:rsidR="001354E1" w:rsidRPr="00982193">
        <w:rPr>
          <w:rFonts w:ascii="Verdana" w:hAnsi="Verdana"/>
        </w:rPr>
        <w:t>,</w:t>
      </w:r>
      <w:r w:rsidR="00AF7A63" w:rsidRPr="00982193">
        <w:rPr>
          <w:rFonts w:ascii="Verdana" w:hAnsi="Verdana"/>
        </w:rPr>
        <w:t xml:space="preserve"> </w:t>
      </w:r>
      <w:r w:rsidR="00F873E4">
        <w:rPr>
          <w:rFonts w:ascii="Verdana" w:hAnsi="Verdana"/>
        </w:rPr>
        <w:t xml:space="preserve">may </w:t>
      </w:r>
      <w:r w:rsidR="00AF7A63" w:rsidRPr="00982193">
        <w:rPr>
          <w:rFonts w:ascii="Verdana" w:hAnsi="Verdana"/>
        </w:rPr>
        <w:t>add to fracture risk by increasing falls risk</w:t>
      </w:r>
      <w:r w:rsidR="00F873E4">
        <w:rPr>
          <w:rFonts w:ascii="Verdana" w:hAnsi="Verdana"/>
        </w:rPr>
        <w:t>. I</w:t>
      </w:r>
      <w:r w:rsidR="001354E1" w:rsidRPr="00982193">
        <w:rPr>
          <w:rFonts w:ascii="Verdana" w:hAnsi="Verdana"/>
          <w:noProof/>
        </w:rPr>
        <w:t>n addition</w:t>
      </w:r>
      <w:r w:rsidR="00BD201B" w:rsidRPr="00982193">
        <w:rPr>
          <w:rFonts w:ascii="Verdana" w:hAnsi="Verdana"/>
          <w:noProof/>
        </w:rPr>
        <w:t>,</w:t>
      </w:r>
      <w:r w:rsidR="001354E1" w:rsidRPr="00982193">
        <w:rPr>
          <w:rFonts w:ascii="Verdana" w:hAnsi="Verdana"/>
          <w:noProof/>
        </w:rPr>
        <w:t xml:space="preserve"> </w:t>
      </w:r>
      <w:r w:rsidR="00AF7A63" w:rsidRPr="00982193">
        <w:rPr>
          <w:rFonts w:ascii="Verdana" w:hAnsi="Verdana"/>
        </w:rPr>
        <w:t xml:space="preserve">the </w:t>
      </w:r>
      <w:proofErr w:type="spellStart"/>
      <w:r w:rsidR="00AF7A63" w:rsidRPr="00982193">
        <w:rPr>
          <w:rFonts w:ascii="Verdana" w:hAnsi="Verdana"/>
        </w:rPr>
        <w:t>mechanostat</w:t>
      </w:r>
      <w:proofErr w:type="spellEnd"/>
      <w:r w:rsidR="00AF7A63" w:rsidRPr="00982193">
        <w:rPr>
          <w:rFonts w:ascii="Verdana" w:hAnsi="Verdana"/>
        </w:rPr>
        <w:t xml:space="preserve"> hypothesis suggests that bones adapt to mechanical loads generated by voluntary mechanical usage </w:t>
      </w:r>
      <w:r w:rsidR="001354E1" w:rsidRPr="00982193">
        <w:rPr>
          <w:rFonts w:ascii="Verdana" w:hAnsi="Verdana"/>
        </w:rPr>
        <w:t>supporting a direct relationship b</w:t>
      </w:r>
      <w:r w:rsidR="00AB1FA3">
        <w:rPr>
          <w:rFonts w:ascii="Verdana" w:hAnsi="Verdana"/>
        </w:rPr>
        <w:t>etween muscle and bone health (4</w:t>
      </w:r>
      <w:r w:rsidR="001354E1" w:rsidRPr="00982193">
        <w:rPr>
          <w:rFonts w:ascii="Verdana" w:hAnsi="Verdana"/>
        </w:rPr>
        <w:t>)</w:t>
      </w:r>
      <w:r w:rsidR="00AF7A63" w:rsidRPr="00982193">
        <w:rPr>
          <w:rFonts w:ascii="Verdana" w:hAnsi="Verdana"/>
        </w:rPr>
        <w:t xml:space="preserve">.  </w:t>
      </w:r>
      <w:r w:rsidR="002B62EC" w:rsidRPr="00982193">
        <w:rPr>
          <w:rFonts w:ascii="Verdana" w:hAnsi="Verdana"/>
        </w:rPr>
        <w:t xml:space="preserve">In the context of muscle aging, it is important to remember that it is not just a decline in muscle mass which contributes to the deterioration on muscle function. Other factors underpinning muscle quality come into play, including muscle composition, aerobic capacity and metabolism, fatty infiltration, insulin resistance, fibrosis and neural activation. An understanding of these factors may help us to identify those at risk of sarcopenia at an earlier stage in their lives. </w:t>
      </w:r>
      <w:r w:rsidR="001354E1" w:rsidRPr="00982193">
        <w:rPr>
          <w:rFonts w:ascii="Verdana" w:hAnsi="Verdana"/>
        </w:rPr>
        <w:t>G</w:t>
      </w:r>
      <w:r w:rsidR="00AF7A63" w:rsidRPr="00982193">
        <w:rPr>
          <w:rFonts w:ascii="Verdana" w:hAnsi="Verdana"/>
        </w:rPr>
        <w:t>enetic, developmental, endocrine and lifestyle factors, such as physical activity,</w:t>
      </w:r>
      <w:r w:rsidR="00D62BB8" w:rsidRPr="00982193">
        <w:rPr>
          <w:rFonts w:ascii="Verdana" w:hAnsi="Verdana"/>
        </w:rPr>
        <w:t xml:space="preserve"> smoking and poor diet</w:t>
      </w:r>
      <w:r w:rsidR="00AF7A63" w:rsidRPr="00982193">
        <w:rPr>
          <w:rFonts w:ascii="Verdana" w:hAnsi="Verdana"/>
        </w:rPr>
        <w:t xml:space="preserve"> have dual effects on both muscle and bone</w:t>
      </w:r>
      <w:r w:rsidR="000E7D43" w:rsidRPr="00982193">
        <w:rPr>
          <w:rFonts w:ascii="Verdana" w:hAnsi="Verdana"/>
        </w:rPr>
        <w:t xml:space="preserve"> mass in later life</w:t>
      </w:r>
      <w:r w:rsidR="00AF7A63" w:rsidRPr="00982193">
        <w:rPr>
          <w:rFonts w:ascii="Verdana" w:hAnsi="Verdana"/>
        </w:rPr>
        <w:t xml:space="preserve"> </w:t>
      </w:r>
      <w:r w:rsidR="001354E1" w:rsidRPr="00982193">
        <w:rPr>
          <w:rFonts w:ascii="Verdana" w:hAnsi="Verdana"/>
        </w:rPr>
        <w:t>and these will be reviewed here</w:t>
      </w:r>
      <w:r w:rsidR="001D3058">
        <w:rPr>
          <w:rFonts w:ascii="Verdana" w:hAnsi="Verdana"/>
        </w:rPr>
        <w:t>, but are summarised in table 1 for ease</w:t>
      </w:r>
      <w:r w:rsidR="00AF7A63" w:rsidRPr="00982193">
        <w:rPr>
          <w:rFonts w:ascii="Verdana" w:hAnsi="Verdana"/>
        </w:rPr>
        <w:t xml:space="preserve">. </w:t>
      </w:r>
    </w:p>
    <w:p w:rsidR="001D3058" w:rsidRDefault="001D3058" w:rsidP="003A2C3E">
      <w:pPr>
        <w:spacing w:line="360" w:lineRule="auto"/>
        <w:jc w:val="both"/>
        <w:rPr>
          <w:rFonts w:ascii="Verdana" w:hAnsi="Verdana"/>
        </w:rPr>
      </w:pPr>
    </w:p>
    <w:p w:rsidR="00A747E1" w:rsidRDefault="00A747E1" w:rsidP="003A2C3E">
      <w:pPr>
        <w:spacing w:line="360" w:lineRule="auto"/>
        <w:jc w:val="both"/>
        <w:rPr>
          <w:rFonts w:ascii="Verdana" w:hAnsi="Verdana"/>
        </w:rPr>
      </w:pPr>
      <w:r w:rsidRPr="001D3058">
        <w:rPr>
          <w:rFonts w:ascii="Verdana" w:hAnsi="Verdana"/>
        </w:rPr>
        <w:t>Current approaches to the definition of sarcopenia utilise measurements of muscle mass, muscle strength, and functional capacity. The extent to which the disorder can be characterised on the basis of any one of these variables measured alone, is the source of considerable debate.  In recent consensus statements from the International Osteoporosis Foundation and European Society for the Clinical and Economic aspects of Osteoarthritis and Osteoporosis (</w:t>
      </w:r>
      <w:r w:rsidR="001D3058" w:rsidRPr="001D3058">
        <w:rPr>
          <w:rFonts w:ascii="Verdana" w:hAnsi="Verdana"/>
        </w:rPr>
        <w:t>1</w:t>
      </w:r>
      <w:r w:rsidR="001D3058">
        <w:rPr>
          <w:rFonts w:ascii="Verdana" w:hAnsi="Verdana"/>
        </w:rPr>
        <w:t>,2</w:t>
      </w:r>
      <w:r w:rsidRPr="001D3058">
        <w:rPr>
          <w:rFonts w:ascii="Verdana" w:hAnsi="Verdana"/>
        </w:rPr>
        <w:t>)</w:t>
      </w:r>
      <w:r w:rsidR="001D3058" w:rsidRPr="001D3058">
        <w:rPr>
          <w:rFonts w:ascii="Verdana" w:hAnsi="Verdana"/>
        </w:rPr>
        <w:t xml:space="preserve"> t</w:t>
      </w:r>
      <w:r w:rsidRPr="001D3058">
        <w:rPr>
          <w:rFonts w:ascii="Verdana" w:hAnsi="Verdana"/>
        </w:rPr>
        <w:t xml:space="preserve">he methodology available for assessment of each of these three critical components using dual energy x-ray absorptiometry, conventional isometric dynamometry, and routinely available functional measures such as gait speed, </w:t>
      </w:r>
      <w:r w:rsidRPr="001D3058">
        <w:rPr>
          <w:rFonts w:ascii="Verdana" w:hAnsi="Verdana"/>
        </w:rPr>
        <w:lastRenderedPageBreak/>
        <w:t>have been outlined. The European and International study group approaches to this definition are itemised in table 2.</w:t>
      </w:r>
      <w:r>
        <w:rPr>
          <w:rFonts w:ascii="Verdana" w:hAnsi="Verdana"/>
        </w:rPr>
        <w:t xml:space="preserve">   </w:t>
      </w:r>
    </w:p>
    <w:p w:rsidR="00AA5038" w:rsidRPr="00982193" w:rsidRDefault="00AA5038" w:rsidP="003A2C3E">
      <w:pPr>
        <w:spacing w:line="360" w:lineRule="auto"/>
        <w:jc w:val="both"/>
        <w:rPr>
          <w:rFonts w:ascii="Verdana" w:hAnsi="Verdana"/>
        </w:rPr>
      </w:pPr>
    </w:p>
    <w:p w:rsidR="009B4E67" w:rsidRPr="00982193" w:rsidRDefault="00AA5038" w:rsidP="003A2C3E">
      <w:pPr>
        <w:spacing w:line="360" w:lineRule="auto"/>
        <w:jc w:val="both"/>
        <w:rPr>
          <w:rFonts w:ascii="Verdana" w:hAnsi="Verdana"/>
        </w:rPr>
      </w:pPr>
      <w:r w:rsidRPr="00982193">
        <w:rPr>
          <w:rFonts w:ascii="Verdana" w:hAnsi="Verdana"/>
        </w:rPr>
        <w:t xml:space="preserve">Fractures arise through an interaction between bone fragility and trauma (usually falls). </w:t>
      </w:r>
      <w:r w:rsidRPr="00982193">
        <w:rPr>
          <w:rFonts w:ascii="Verdana" w:hAnsi="Verdana" w:cs="Arial"/>
        </w:rPr>
        <w:t>There is a clear relationship between skeletal muscle and bone mass throughout the lifecourse. For e</w:t>
      </w:r>
      <w:r w:rsidR="007928D1" w:rsidRPr="00982193">
        <w:rPr>
          <w:rFonts w:ascii="Verdana" w:hAnsi="Verdana" w:cs="Arial"/>
        </w:rPr>
        <w:t>xample, the Sarcopenia and Hip Fracture S</w:t>
      </w:r>
      <w:r w:rsidRPr="00982193">
        <w:rPr>
          <w:rFonts w:ascii="Verdana" w:hAnsi="Verdana" w:cs="Arial"/>
        </w:rPr>
        <w:t>tudy reported that 75% of participants with hip fracture were also sarcopenic. Over one year follow-up, 56% fell at least once, 28% had recurrent falls and 12% sustained a new fracture; 5%</w:t>
      </w:r>
      <w:r w:rsidR="007928D1" w:rsidRPr="00982193">
        <w:rPr>
          <w:rFonts w:ascii="Verdana" w:hAnsi="Verdana" w:cs="Arial"/>
        </w:rPr>
        <w:t xml:space="preserve"> of which were</w:t>
      </w:r>
      <w:r w:rsidRPr="00982193">
        <w:rPr>
          <w:rFonts w:ascii="Verdana" w:hAnsi="Verdana" w:cs="Arial"/>
        </w:rPr>
        <w:t xml:space="preserve"> hip fracture</w:t>
      </w:r>
      <w:r w:rsidR="007928D1" w:rsidRPr="00982193">
        <w:rPr>
          <w:rFonts w:ascii="Verdana" w:hAnsi="Verdana" w:cs="Arial"/>
        </w:rPr>
        <w:t>s</w:t>
      </w:r>
      <w:r w:rsidR="00254884">
        <w:rPr>
          <w:rFonts w:ascii="Verdana" w:hAnsi="Verdana" w:cs="Arial"/>
        </w:rPr>
        <w:t xml:space="preserve"> (5</w:t>
      </w:r>
      <w:r w:rsidR="001354E1" w:rsidRPr="00982193">
        <w:rPr>
          <w:rFonts w:ascii="Verdana" w:hAnsi="Verdana" w:cs="Arial"/>
        </w:rPr>
        <w:t>)</w:t>
      </w:r>
      <w:r w:rsidRPr="00982193">
        <w:rPr>
          <w:rFonts w:ascii="Verdana" w:hAnsi="Verdana" w:cs="Arial"/>
        </w:rPr>
        <w:t>. Furthermore, the Hertfordshire Cohort Study reported an inverse relationship between grip strength and falls within the last year</w:t>
      </w:r>
      <w:r w:rsidR="007928D1" w:rsidRPr="00982193">
        <w:rPr>
          <w:rFonts w:ascii="Verdana" w:hAnsi="Verdana" w:cs="Arial"/>
        </w:rPr>
        <w:t>,</w:t>
      </w:r>
      <w:r w:rsidRPr="00982193">
        <w:rPr>
          <w:rFonts w:ascii="Verdana" w:hAnsi="Verdana" w:cs="Arial"/>
        </w:rPr>
        <w:t xml:space="preserve"> and Joint American and British Geriatric Society guidelines for the prevention of falls in older people describe muscle weakness as the single biggest intrinsic risk factor for falling with an attributed relative risk of 4.4</w:t>
      </w:r>
      <w:r w:rsidR="00254884">
        <w:rPr>
          <w:rFonts w:ascii="Verdana" w:hAnsi="Verdana" w:cs="Arial"/>
        </w:rPr>
        <w:t xml:space="preserve"> (6-8</w:t>
      </w:r>
      <w:r w:rsidR="001354E1" w:rsidRPr="00982193">
        <w:rPr>
          <w:rFonts w:ascii="Verdana" w:hAnsi="Verdana" w:cs="Arial"/>
        </w:rPr>
        <w:t>)</w:t>
      </w:r>
      <w:r w:rsidRPr="00982193">
        <w:rPr>
          <w:rFonts w:ascii="Verdana" w:hAnsi="Verdana" w:cs="Arial"/>
        </w:rPr>
        <w:t>.</w:t>
      </w:r>
    </w:p>
    <w:p w:rsidR="00FB1ECB" w:rsidRPr="00982193" w:rsidRDefault="00FB1ECB" w:rsidP="003A2C3E">
      <w:pPr>
        <w:spacing w:line="360" w:lineRule="auto"/>
        <w:jc w:val="both"/>
        <w:rPr>
          <w:rFonts w:ascii="Verdana" w:hAnsi="Verdana"/>
        </w:rPr>
      </w:pPr>
    </w:p>
    <w:p w:rsidR="00EB21EA" w:rsidRPr="00982193" w:rsidRDefault="00E163BC" w:rsidP="003A2C3E">
      <w:pPr>
        <w:spacing w:line="360" w:lineRule="auto"/>
        <w:jc w:val="both"/>
        <w:rPr>
          <w:rFonts w:ascii="Verdana" w:hAnsi="Verdana" w:cs="Arial"/>
        </w:rPr>
      </w:pPr>
      <w:r w:rsidRPr="00982193">
        <w:rPr>
          <w:rFonts w:ascii="Verdana" w:hAnsi="Verdana" w:cs="Arial"/>
        </w:rPr>
        <w:t>Both peak bone mass and muscle mass and strength peak</w:t>
      </w:r>
      <w:r w:rsidR="00FB1ECB" w:rsidRPr="00982193">
        <w:rPr>
          <w:rFonts w:ascii="Verdana" w:hAnsi="Verdana" w:cs="Arial"/>
        </w:rPr>
        <w:t xml:space="preserve"> in early adulthood and subsequently declines with age from approximately the fifth decade. In individuals over the age of 50 years, muscle mass is lost at a rate of 1-2% per year and strength at a rate of 1.5-3% per year</w:t>
      </w:r>
      <w:r w:rsidR="00254884">
        <w:rPr>
          <w:rFonts w:ascii="Verdana" w:hAnsi="Verdana" w:cs="Arial"/>
        </w:rPr>
        <w:t xml:space="preserve"> (9</w:t>
      </w:r>
      <w:r w:rsidR="00DF2AB7" w:rsidRPr="00982193">
        <w:rPr>
          <w:rFonts w:ascii="Verdana" w:hAnsi="Verdana" w:cs="Arial"/>
        </w:rPr>
        <w:t>)</w:t>
      </w:r>
      <w:r w:rsidRPr="00982193">
        <w:rPr>
          <w:rFonts w:ascii="Verdana" w:hAnsi="Verdana" w:cs="Arial"/>
        </w:rPr>
        <w:t xml:space="preserve">; in women there is an accelerated period of bone loss </w:t>
      </w:r>
      <w:proofErr w:type="spellStart"/>
      <w:r w:rsidRPr="00982193">
        <w:rPr>
          <w:rFonts w:ascii="Verdana" w:hAnsi="Verdana" w:cs="Arial"/>
        </w:rPr>
        <w:t>perimenopausally</w:t>
      </w:r>
      <w:proofErr w:type="spellEnd"/>
      <w:r w:rsidRPr="00982193">
        <w:rPr>
          <w:rFonts w:ascii="Verdana" w:hAnsi="Verdana" w:cs="Arial"/>
        </w:rPr>
        <w:t xml:space="preserve"> </w:t>
      </w:r>
      <w:r w:rsidR="00F72AF5">
        <w:rPr>
          <w:rFonts w:ascii="Verdana" w:hAnsi="Verdana" w:cs="Arial"/>
        </w:rPr>
        <w:t>superimposed upon bone loss rates o</w:t>
      </w:r>
      <w:r w:rsidR="00254884">
        <w:rPr>
          <w:rFonts w:ascii="Verdana" w:hAnsi="Verdana" w:cs="Arial"/>
        </w:rPr>
        <w:t>f approximately 1-2% annually (10</w:t>
      </w:r>
      <w:r w:rsidR="00F72AF5">
        <w:rPr>
          <w:rFonts w:ascii="Verdana" w:hAnsi="Verdana" w:cs="Arial"/>
        </w:rPr>
        <w:t xml:space="preserve">). </w:t>
      </w:r>
      <w:r w:rsidR="00FB1ECB" w:rsidRPr="00982193">
        <w:rPr>
          <w:rFonts w:ascii="Verdana" w:hAnsi="Verdana" w:cs="Arial"/>
        </w:rPr>
        <w:t xml:space="preserve"> Determinants of </w:t>
      </w:r>
      <w:r w:rsidRPr="00982193">
        <w:rPr>
          <w:rFonts w:ascii="Verdana" w:hAnsi="Verdana" w:cs="Arial"/>
        </w:rPr>
        <w:t xml:space="preserve">both bone and </w:t>
      </w:r>
      <w:r w:rsidR="00F873E4">
        <w:rPr>
          <w:rFonts w:ascii="Verdana" w:hAnsi="Verdana" w:cs="Arial"/>
        </w:rPr>
        <w:t>muscle ag</w:t>
      </w:r>
      <w:r w:rsidR="00FB1ECB" w:rsidRPr="00982193">
        <w:rPr>
          <w:rFonts w:ascii="Verdana" w:hAnsi="Verdana" w:cs="Arial"/>
        </w:rPr>
        <w:t>ing can be considered using a lifecourse approach</w:t>
      </w:r>
      <w:r w:rsidR="007928D1" w:rsidRPr="00982193">
        <w:rPr>
          <w:rFonts w:ascii="Verdana" w:hAnsi="Verdana" w:cs="Arial"/>
        </w:rPr>
        <w:t>; these</w:t>
      </w:r>
      <w:r w:rsidR="00DF2AB7" w:rsidRPr="00982193">
        <w:rPr>
          <w:rFonts w:ascii="Verdana" w:hAnsi="Verdana" w:cs="Arial"/>
        </w:rPr>
        <w:t xml:space="preserve"> </w:t>
      </w:r>
      <w:r w:rsidR="00FB1ECB" w:rsidRPr="00982193">
        <w:rPr>
          <w:rFonts w:ascii="Verdana" w:hAnsi="Verdana" w:cs="Arial"/>
        </w:rPr>
        <w:t>include early life influences that determine maximum mass and strength</w:t>
      </w:r>
      <w:r w:rsidR="007928D1" w:rsidRPr="00982193">
        <w:rPr>
          <w:rFonts w:ascii="Verdana" w:hAnsi="Verdana" w:cs="Arial"/>
        </w:rPr>
        <w:t>,</w:t>
      </w:r>
      <w:r w:rsidR="00FB1ECB" w:rsidRPr="00982193">
        <w:rPr>
          <w:rFonts w:ascii="Verdana" w:hAnsi="Verdana" w:cs="Arial"/>
        </w:rPr>
        <w:t xml:space="preserve"> in addition to mid- and later life influences that affect rate of decline</w:t>
      </w:r>
      <w:r w:rsidR="00F72AF5">
        <w:rPr>
          <w:rFonts w:ascii="Verdana" w:hAnsi="Verdana" w:cs="Arial"/>
        </w:rPr>
        <w:t xml:space="preserve"> (Figure 1)</w:t>
      </w:r>
      <w:r w:rsidR="00DF2AB7" w:rsidRPr="00982193">
        <w:rPr>
          <w:rFonts w:ascii="Verdana" w:hAnsi="Verdana" w:cs="Arial"/>
        </w:rPr>
        <w:t>.</w:t>
      </w:r>
    </w:p>
    <w:p w:rsidR="00DF2AB7" w:rsidRPr="00982193" w:rsidRDefault="00DF2AB7" w:rsidP="003A2C3E">
      <w:pPr>
        <w:spacing w:line="360" w:lineRule="auto"/>
        <w:jc w:val="both"/>
        <w:rPr>
          <w:rFonts w:ascii="Verdana" w:hAnsi="Verdana"/>
        </w:rPr>
      </w:pPr>
    </w:p>
    <w:p w:rsidR="009B4E67" w:rsidRPr="00982193" w:rsidRDefault="009B4E67" w:rsidP="003A2C3E">
      <w:pPr>
        <w:spacing w:line="360" w:lineRule="auto"/>
        <w:jc w:val="both"/>
        <w:rPr>
          <w:rFonts w:ascii="Verdana" w:hAnsi="Verdana"/>
        </w:rPr>
      </w:pPr>
      <w:r w:rsidRPr="00982193">
        <w:rPr>
          <w:rFonts w:ascii="Verdana" w:hAnsi="Verdana"/>
        </w:rPr>
        <w:t xml:space="preserve">Factors that influence </w:t>
      </w:r>
      <w:r w:rsidR="000E7D43" w:rsidRPr="00982193">
        <w:rPr>
          <w:rFonts w:ascii="Verdana" w:hAnsi="Verdana"/>
        </w:rPr>
        <w:t xml:space="preserve">later bone or muscle health </w:t>
      </w:r>
      <w:r w:rsidRPr="00982193">
        <w:rPr>
          <w:rFonts w:ascii="Verdana" w:hAnsi="Verdana"/>
        </w:rPr>
        <w:t>may exert their effect through peak</w:t>
      </w:r>
      <w:r w:rsidR="007928D1" w:rsidRPr="00982193">
        <w:rPr>
          <w:rFonts w:ascii="Verdana" w:hAnsi="Verdana"/>
        </w:rPr>
        <w:t xml:space="preserve"> mass or strength,</w:t>
      </w:r>
      <w:r w:rsidRPr="00982193">
        <w:rPr>
          <w:rFonts w:ascii="Verdana" w:hAnsi="Verdana"/>
        </w:rPr>
        <w:t xml:space="preserve"> or rate of loss, or a combination of the two. Genetic factors are thought to be very important in the attainment of peak bone mass: family studies have examined the parent-offspring and sibling-sibling correlations in BMD, giving correlation coefficients of 0.28-59, and twin studies have shown much closer concordance of bone density in monozygotic than dizygotic twins </w:t>
      </w:r>
      <w:r w:rsidR="00254884">
        <w:rPr>
          <w:rFonts w:ascii="Verdana" w:hAnsi="Verdana"/>
        </w:rPr>
        <w:t>(1</w:t>
      </w:r>
      <w:r w:rsidR="004F1CA2">
        <w:rPr>
          <w:rFonts w:ascii="Verdana" w:hAnsi="Verdana"/>
        </w:rPr>
        <w:t>1, 12</w:t>
      </w:r>
      <w:r w:rsidR="00DF2AB7" w:rsidRPr="00982193">
        <w:rPr>
          <w:rFonts w:ascii="Verdana" w:hAnsi="Verdana"/>
        </w:rPr>
        <w:t>)</w:t>
      </w:r>
      <w:r w:rsidRPr="00982193">
        <w:rPr>
          <w:rFonts w:ascii="Verdana" w:hAnsi="Verdana"/>
        </w:rPr>
        <w:t xml:space="preserve">. However, environmental factors such as hormonal </w:t>
      </w:r>
      <w:r w:rsidRPr="00982193">
        <w:rPr>
          <w:rFonts w:ascii="Verdana" w:hAnsi="Verdana"/>
        </w:rPr>
        <w:lastRenderedPageBreak/>
        <w:t xml:space="preserve">status, physical activity and calcium intake are also important. Environmental influences are thought to be more important than genetic factors in the determination of bone loss, which begins at about the age of 35 in both sexes, but includes an accelerated phase in the immediate postmenopausal years in women. </w:t>
      </w:r>
      <w:r w:rsidR="00A31CCC" w:rsidRPr="00982193">
        <w:rPr>
          <w:rFonts w:ascii="Verdana" w:hAnsi="Verdana"/>
        </w:rPr>
        <w:t xml:space="preserve">Likewise, genetic factors are major contributors to muscle strength, and most likely sarcopenia also has a significant heritable component. While few studies have considered individual candidate genes, there has been interest in the </w:t>
      </w:r>
      <w:proofErr w:type="spellStart"/>
      <w:r w:rsidR="00A31CCC" w:rsidRPr="00982193">
        <w:rPr>
          <w:rFonts w:ascii="Verdana" w:hAnsi="Verdana"/>
        </w:rPr>
        <w:t>myostatin</w:t>
      </w:r>
      <w:proofErr w:type="spellEnd"/>
      <w:r w:rsidR="00A31CCC" w:rsidRPr="00982193">
        <w:rPr>
          <w:rFonts w:ascii="Verdana" w:hAnsi="Verdana"/>
        </w:rPr>
        <w:t xml:space="preserve"> pathway; polymorphisms in the vitamin D receptor gene have been associated with both sarcopenia and low bone mineral density</w:t>
      </w:r>
      <w:r w:rsidR="004F1CA2">
        <w:rPr>
          <w:rFonts w:ascii="Verdana" w:hAnsi="Verdana"/>
        </w:rPr>
        <w:t xml:space="preserve"> (13</w:t>
      </w:r>
      <w:r w:rsidR="00DF2AB7" w:rsidRPr="00982193">
        <w:rPr>
          <w:rFonts w:ascii="Verdana" w:hAnsi="Verdana"/>
        </w:rPr>
        <w:t>).</w:t>
      </w:r>
    </w:p>
    <w:p w:rsidR="00F72AF5" w:rsidRDefault="00F72AF5" w:rsidP="000E7D43">
      <w:pPr>
        <w:spacing w:line="360" w:lineRule="auto"/>
        <w:jc w:val="both"/>
        <w:rPr>
          <w:rFonts w:ascii="Verdana" w:hAnsi="Verdana"/>
          <w:b/>
        </w:rPr>
      </w:pPr>
    </w:p>
    <w:p w:rsidR="009B4E67" w:rsidRPr="00982193" w:rsidRDefault="009B4E67" w:rsidP="000E7D43">
      <w:pPr>
        <w:spacing w:line="360" w:lineRule="auto"/>
        <w:jc w:val="both"/>
        <w:rPr>
          <w:rFonts w:ascii="Verdana" w:hAnsi="Verdana"/>
          <w:b/>
        </w:rPr>
      </w:pPr>
      <w:r w:rsidRPr="00982193">
        <w:rPr>
          <w:rFonts w:ascii="Verdana" w:hAnsi="Verdana"/>
          <w:b/>
        </w:rPr>
        <w:t>Age &amp; sex</w:t>
      </w:r>
    </w:p>
    <w:p w:rsidR="00F72AF5" w:rsidRDefault="009B4E67" w:rsidP="000E7D43">
      <w:pPr>
        <w:spacing w:before="120" w:after="120" w:line="360" w:lineRule="auto"/>
        <w:jc w:val="both"/>
        <w:rPr>
          <w:rFonts w:ascii="Verdana" w:hAnsi="Verdana" w:cs="Arial"/>
        </w:rPr>
      </w:pPr>
      <w:r w:rsidRPr="00982193">
        <w:rPr>
          <w:rFonts w:ascii="Verdana" w:hAnsi="Verdana"/>
        </w:rPr>
        <w:t xml:space="preserve">While most American women under the age of fifty have normal BMD, </w:t>
      </w:r>
      <w:r w:rsidR="00BD201B" w:rsidRPr="00982193">
        <w:rPr>
          <w:rFonts w:ascii="Verdana" w:hAnsi="Verdana"/>
        </w:rPr>
        <w:t xml:space="preserve">by the age of 80 years, </w:t>
      </w:r>
      <w:r w:rsidRPr="00982193">
        <w:rPr>
          <w:rFonts w:ascii="Verdana" w:hAnsi="Verdana"/>
        </w:rPr>
        <w:t xml:space="preserve">27% are </w:t>
      </w:r>
      <w:proofErr w:type="spellStart"/>
      <w:r w:rsidRPr="00982193">
        <w:rPr>
          <w:rFonts w:ascii="Verdana" w:hAnsi="Verdana"/>
        </w:rPr>
        <w:t>osteopenic</w:t>
      </w:r>
      <w:proofErr w:type="spellEnd"/>
      <w:r w:rsidRPr="00982193">
        <w:rPr>
          <w:rFonts w:ascii="Verdana" w:hAnsi="Verdana"/>
        </w:rPr>
        <w:t xml:space="preserve"> and 70% are osteoporotic at the hip, lumbar spine o</w:t>
      </w:r>
      <w:r w:rsidR="00BD201B" w:rsidRPr="00982193">
        <w:rPr>
          <w:rFonts w:ascii="Verdana" w:hAnsi="Verdana"/>
        </w:rPr>
        <w:t>r forearm</w:t>
      </w:r>
      <w:r w:rsidRPr="00982193">
        <w:rPr>
          <w:rFonts w:ascii="Verdana" w:hAnsi="Verdana"/>
        </w:rPr>
        <w:t xml:space="preserve">. </w:t>
      </w:r>
      <w:r w:rsidR="000E7D43" w:rsidRPr="00982193">
        <w:rPr>
          <w:rFonts w:ascii="Verdana" w:hAnsi="Verdana" w:cs="Arial"/>
        </w:rPr>
        <w:t xml:space="preserve">Sarcopenia is also common with prevalence estimates ranging, according to definitions, from 9% to 18% over the age of 65, rising to 30% in men over 80 and even higher in hospitalised patients </w:t>
      </w:r>
      <w:r w:rsidR="001354E1" w:rsidRPr="00982193">
        <w:rPr>
          <w:rFonts w:ascii="Verdana" w:hAnsi="Verdana" w:cs="Arial"/>
        </w:rPr>
        <w:t>(</w:t>
      </w:r>
      <w:r w:rsidR="004F1CA2">
        <w:rPr>
          <w:rFonts w:ascii="Verdana" w:hAnsi="Verdana" w:cs="Arial"/>
        </w:rPr>
        <w:t>14, 15</w:t>
      </w:r>
      <w:r w:rsidR="00DF2AB7" w:rsidRPr="00982193">
        <w:rPr>
          <w:rFonts w:ascii="Verdana" w:hAnsi="Verdana" w:cs="Arial"/>
        </w:rPr>
        <w:t>)</w:t>
      </w:r>
      <w:r w:rsidR="000E7D43" w:rsidRPr="00982193">
        <w:rPr>
          <w:rFonts w:ascii="Verdana" w:hAnsi="Verdana" w:cs="Arial"/>
        </w:rPr>
        <w:t xml:space="preserve">. </w:t>
      </w:r>
      <w:r w:rsidR="00E314E8">
        <w:rPr>
          <w:rFonts w:ascii="Verdana" w:hAnsi="Verdana" w:cs="Arial"/>
        </w:rPr>
        <w:t>As stated above, t</w:t>
      </w:r>
      <w:r w:rsidR="00F72AF5">
        <w:rPr>
          <w:rFonts w:ascii="Verdana" w:hAnsi="Verdana" w:cs="Arial"/>
        </w:rPr>
        <w:t>he definition of sarcopenia has been problematic in recent years; a</w:t>
      </w:r>
      <w:r w:rsidR="000E7D43" w:rsidRPr="00982193">
        <w:rPr>
          <w:rFonts w:ascii="Verdana" w:hAnsi="Verdana" w:cs="Arial"/>
        </w:rPr>
        <w:t xml:space="preserve">n algorithm to facilitate the diagnosis of sarcopenia in older people has </w:t>
      </w:r>
      <w:r w:rsidR="00F72AF5">
        <w:rPr>
          <w:rFonts w:ascii="Verdana" w:hAnsi="Verdana" w:cs="Arial"/>
        </w:rPr>
        <w:t>now</w:t>
      </w:r>
      <w:r w:rsidR="000E7D43" w:rsidRPr="00982193">
        <w:rPr>
          <w:rFonts w:ascii="Verdana" w:hAnsi="Verdana" w:cs="Arial"/>
        </w:rPr>
        <w:t xml:space="preserve"> been developed and has recently been used to demonstrate a UK prevalence of 4.6% and 7.9%, among men and women </w:t>
      </w:r>
      <w:r w:rsidR="00BD201B" w:rsidRPr="00982193">
        <w:rPr>
          <w:rFonts w:ascii="Verdana" w:hAnsi="Verdana" w:cs="Arial"/>
        </w:rPr>
        <w:t xml:space="preserve">respectively </w:t>
      </w:r>
      <w:r w:rsidR="000E7D43" w:rsidRPr="00982193">
        <w:rPr>
          <w:rFonts w:ascii="Verdana" w:hAnsi="Verdana" w:cs="Arial"/>
        </w:rPr>
        <w:t>(mean age 67 years) of</w:t>
      </w:r>
      <w:r w:rsidR="00DF2AB7" w:rsidRPr="00982193">
        <w:rPr>
          <w:rFonts w:ascii="Verdana" w:hAnsi="Verdana" w:cs="Arial"/>
        </w:rPr>
        <w:t xml:space="preserve"> th</w:t>
      </w:r>
      <w:r w:rsidR="004F1CA2">
        <w:rPr>
          <w:rFonts w:ascii="Verdana" w:hAnsi="Verdana" w:cs="Arial"/>
        </w:rPr>
        <w:t>e Hertfordshire Cohort Study (16</w:t>
      </w:r>
      <w:r w:rsidR="00DF2AB7" w:rsidRPr="00982193">
        <w:rPr>
          <w:rFonts w:ascii="Verdana" w:hAnsi="Verdana" w:cs="Arial"/>
        </w:rPr>
        <w:t>)</w:t>
      </w:r>
      <w:r w:rsidR="000E7D43" w:rsidRPr="00982193">
        <w:rPr>
          <w:rFonts w:ascii="Verdana" w:hAnsi="Verdana" w:cs="Arial"/>
        </w:rPr>
        <w:t xml:space="preserve">. </w:t>
      </w:r>
    </w:p>
    <w:p w:rsidR="00F72AF5" w:rsidRDefault="00F72AF5" w:rsidP="000E7D43">
      <w:pPr>
        <w:spacing w:before="120" w:after="120" w:line="360" w:lineRule="auto"/>
        <w:jc w:val="both"/>
        <w:rPr>
          <w:rFonts w:ascii="Verdana" w:hAnsi="Verdana" w:cs="Arial"/>
        </w:rPr>
      </w:pPr>
    </w:p>
    <w:p w:rsidR="009B4E67" w:rsidRPr="00982193" w:rsidRDefault="009B4E67" w:rsidP="000E7D43">
      <w:pPr>
        <w:spacing w:before="120" w:after="120" w:line="360" w:lineRule="auto"/>
        <w:jc w:val="both"/>
        <w:rPr>
          <w:rFonts w:ascii="Verdana" w:hAnsi="Verdana"/>
        </w:rPr>
      </w:pPr>
      <w:r w:rsidRPr="00982193">
        <w:rPr>
          <w:rFonts w:ascii="Verdana" w:hAnsi="Verdana"/>
        </w:rPr>
        <w:t>Epidemiological studies from North America have estimated the remaining lifetime risk of common fragility fractures to be 17.5% for hip fracture, 15.6% for clinically diagnosed vertebral fracture and 16% for distal forearm fracture among white women aged 50 years. Corresponding risks among men are 6%, 5% and 2.5%</w:t>
      </w:r>
      <w:r w:rsidR="00CE6E85">
        <w:rPr>
          <w:rFonts w:ascii="Verdana" w:hAnsi="Verdana"/>
        </w:rPr>
        <w:t xml:space="preserve"> (3</w:t>
      </w:r>
      <w:r w:rsidR="00DF2AB7" w:rsidRPr="00982193">
        <w:rPr>
          <w:rFonts w:ascii="Verdana" w:hAnsi="Verdana"/>
        </w:rPr>
        <w:t>)</w:t>
      </w:r>
      <w:r w:rsidRPr="00982193">
        <w:rPr>
          <w:rFonts w:ascii="Verdana" w:hAnsi="Verdana"/>
        </w:rPr>
        <w:t>. This increased frequency of fracture with age in both sexes reflects a combination of lower bone density with an increased tendency to fall in the elderly.</w:t>
      </w:r>
      <w:r w:rsidR="000E7D43" w:rsidRPr="00982193">
        <w:rPr>
          <w:rFonts w:ascii="Verdana" w:hAnsi="Verdana"/>
        </w:rPr>
        <w:t xml:space="preserve"> </w:t>
      </w:r>
      <w:r w:rsidR="00F72AF5">
        <w:rPr>
          <w:rFonts w:ascii="Verdana" w:hAnsi="Verdana"/>
        </w:rPr>
        <w:t>While t</w:t>
      </w:r>
      <w:r w:rsidR="00F72AF5" w:rsidRPr="00982193">
        <w:rPr>
          <w:rFonts w:ascii="Verdana" w:hAnsi="Verdana"/>
        </w:rPr>
        <w:t xml:space="preserve">he public health problem associated with low bone mass is fragility fracture, </w:t>
      </w:r>
      <w:r w:rsidR="00F72AF5">
        <w:rPr>
          <w:rFonts w:ascii="Verdana" w:hAnsi="Verdana"/>
        </w:rPr>
        <w:t xml:space="preserve">as above, a </w:t>
      </w:r>
      <w:r w:rsidR="00F72AF5" w:rsidRPr="00982193">
        <w:rPr>
          <w:rFonts w:ascii="Verdana" w:hAnsi="Verdana"/>
        </w:rPr>
        <w:t>phenomenon that represents an interplay between bone and muscle health (falls risk)</w:t>
      </w:r>
      <w:r w:rsidR="00F72AF5">
        <w:rPr>
          <w:rFonts w:ascii="Verdana" w:hAnsi="Verdana"/>
        </w:rPr>
        <w:t xml:space="preserve">, </w:t>
      </w:r>
      <w:r w:rsidR="002B62EC">
        <w:rPr>
          <w:rFonts w:ascii="Verdana" w:hAnsi="Verdana"/>
        </w:rPr>
        <w:t>the outcome associated with a diagnosis of sarcopenia can be harder to quantify, though there is a clear relationship with loss of independence</w:t>
      </w:r>
      <w:r w:rsidR="00F72AF5" w:rsidRPr="00982193">
        <w:rPr>
          <w:rFonts w:ascii="Verdana" w:hAnsi="Verdana"/>
        </w:rPr>
        <w:t>.</w:t>
      </w:r>
    </w:p>
    <w:p w:rsidR="009B4E67" w:rsidRPr="00982193" w:rsidRDefault="009B4E67" w:rsidP="003A2C3E">
      <w:pPr>
        <w:spacing w:line="360" w:lineRule="auto"/>
        <w:jc w:val="both"/>
        <w:rPr>
          <w:rFonts w:ascii="Verdana" w:hAnsi="Verdana"/>
        </w:rPr>
      </w:pPr>
    </w:p>
    <w:p w:rsidR="009B4E67" w:rsidRPr="00982193" w:rsidRDefault="009B4E67" w:rsidP="003A2C3E">
      <w:pPr>
        <w:pStyle w:val="Heading1"/>
        <w:jc w:val="both"/>
        <w:rPr>
          <w:rFonts w:ascii="Verdana" w:hAnsi="Verdana"/>
          <w:sz w:val="22"/>
          <w:szCs w:val="22"/>
        </w:rPr>
      </w:pPr>
      <w:r w:rsidRPr="00982193">
        <w:rPr>
          <w:rFonts w:ascii="Verdana" w:hAnsi="Verdana"/>
          <w:sz w:val="22"/>
          <w:szCs w:val="22"/>
        </w:rPr>
        <w:t>Race</w:t>
      </w:r>
    </w:p>
    <w:p w:rsidR="009B4E67" w:rsidRPr="00982193" w:rsidRDefault="009B4E67" w:rsidP="003A2C3E">
      <w:pPr>
        <w:spacing w:line="360" w:lineRule="auto"/>
        <w:jc w:val="both"/>
        <w:rPr>
          <w:rFonts w:ascii="Verdana" w:hAnsi="Verdana"/>
        </w:rPr>
      </w:pPr>
      <w:r w:rsidRPr="00982193">
        <w:rPr>
          <w:rFonts w:ascii="Verdana" w:hAnsi="Verdana"/>
        </w:rPr>
        <w:t xml:space="preserve">Hip fracture incidence rates vary considerably according to geographic area and race, and may vary widely within the same country. Within Europe epidemiological studies report rates that vary up to seven-fold from country to country. Age- and sex-adjusted hip fracture rates are generally higher in whites than in black or Asian populations </w:t>
      </w:r>
      <w:r w:rsidR="004F1CA2">
        <w:rPr>
          <w:rFonts w:ascii="Verdana" w:hAnsi="Verdana"/>
        </w:rPr>
        <w:t>(17</w:t>
      </w:r>
      <w:r w:rsidR="00DF2AB7" w:rsidRPr="00982193">
        <w:rPr>
          <w:rFonts w:ascii="Verdana" w:hAnsi="Verdana"/>
        </w:rPr>
        <w:t>)</w:t>
      </w:r>
      <w:r w:rsidRPr="00982193">
        <w:rPr>
          <w:rFonts w:ascii="Verdana" w:hAnsi="Verdana"/>
        </w:rPr>
        <w:t xml:space="preserve">. The highest recorded rates of hip fracture, after age-adjustment, come from Sweden and the northern US, intermediate rates are found in Asian populations and African peoples have the lowest rates. Men and women of African origin have similar hip fracture rates </w:t>
      </w:r>
      <w:r w:rsidR="004F1CA2">
        <w:rPr>
          <w:rFonts w:ascii="Verdana" w:hAnsi="Verdana"/>
        </w:rPr>
        <w:t>(18</w:t>
      </w:r>
      <w:r w:rsidR="00DF2AB7" w:rsidRPr="00982193">
        <w:rPr>
          <w:rFonts w:ascii="Verdana" w:hAnsi="Verdana"/>
        </w:rPr>
        <w:t>)</w:t>
      </w:r>
      <w:r w:rsidRPr="00982193">
        <w:rPr>
          <w:rFonts w:ascii="Verdana" w:hAnsi="Verdana"/>
        </w:rPr>
        <w:t xml:space="preserve">. Some inter-racial differences may be explained by variations in reversible lifestyle factors such as low milk consumption, cigarette smoking, lack of sunlight exposure, low BMI and physical activity </w:t>
      </w:r>
      <w:r w:rsidR="004F1CA2">
        <w:rPr>
          <w:rFonts w:ascii="Verdana" w:hAnsi="Verdana"/>
        </w:rPr>
        <w:t>(19</w:t>
      </w:r>
      <w:r w:rsidR="00DF2AB7" w:rsidRPr="00982193">
        <w:rPr>
          <w:rFonts w:ascii="Verdana" w:hAnsi="Verdana"/>
        </w:rPr>
        <w:t>)</w:t>
      </w:r>
      <w:r w:rsidRPr="00982193">
        <w:rPr>
          <w:rFonts w:ascii="Verdana" w:hAnsi="Verdana"/>
        </w:rPr>
        <w:t>, but genetic factors may also be important.</w:t>
      </w:r>
    </w:p>
    <w:p w:rsidR="009B4E67" w:rsidRPr="00982193" w:rsidRDefault="009B4E67" w:rsidP="003A2C3E">
      <w:pPr>
        <w:spacing w:line="360" w:lineRule="auto"/>
        <w:jc w:val="both"/>
        <w:rPr>
          <w:rFonts w:ascii="Verdana" w:hAnsi="Verdana"/>
        </w:rPr>
      </w:pPr>
    </w:p>
    <w:p w:rsidR="009B4E67" w:rsidRPr="00982193" w:rsidRDefault="00E163BC" w:rsidP="003A2C3E">
      <w:pPr>
        <w:spacing w:line="360" w:lineRule="auto"/>
        <w:jc w:val="both"/>
        <w:rPr>
          <w:rFonts w:ascii="Verdana" w:hAnsi="Verdana"/>
          <w:vertAlign w:val="superscript"/>
        </w:rPr>
      </w:pPr>
      <w:r w:rsidRPr="00982193">
        <w:rPr>
          <w:rFonts w:ascii="Verdana" w:hAnsi="Verdana"/>
        </w:rPr>
        <w:t xml:space="preserve">The association between other fragility fractures and falls is more variable; for example vertebral fractures may be spontaneous, and related to heavy lifting or bending rather than a fall. </w:t>
      </w:r>
      <w:r w:rsidR="009B4E67" w:rsidRPr="00982193">
        <w:rPr>
          <w:rFonts w:ascii="Verdana" w:hAnsi="Verdana"/>
        </w:rPr>
        <w:t xml:space="preserve">In instances where comparable methods and definitions have been used in studies, the prevalence of vertebral fractures has been more similar across regions than seen for hip fractures </w:t>
      </w:r>
      <w:r w:rsidR="004F1CA2">
        <w:rPr>
          <w:rFonts w:ascii="Verdana" w:hAnsi="Verdana"/>
        </w:rPr>
        <w:t>(20</w:t>
      </w:r>
      <w:r w:rsidR="00DF2AB7" w:rsidRPr="00982193">
        <w:rPr>
          <w:rFonts w:ascii="Verdana" w:hAnsi="Verdana"/>
        </w:rPr>
        <w:t>)</w:t>
      </w:r>
      <w:r w:rsidR="009B4E67" w:rsidRPr="00982193">
        <w:rPr>
          <w:rFonts w:ascii="Verdana" w:hAnsi="Verdana"/>
        </w:rPr>
        <w:t xml:space="preserve">. For example, vertebral fracture prevalence among women in Hiroshima was 20-80% greater than for white women in Rochester, Minnesota, USA despite lower hip fracture rates in the former </w:t>
      </w:r>
      <w:r w:rsidR="004F1CA2">
        <w:rPr>
          <w:rFonts w:ascii="Verdana" w:hAnsi="Verdana"/>
        </w:rPr>
        <w:t>(21</w:t>
      </w:r>
      <w:r w:rsidR="00DF2AB7" w:rsidRPr="00982193">
        <w:rPr>
          <w:rFonts w:ascii="Verdana" w:hAnsi="Verdana"/>
        </w:rPr>
        <w:t>)</w:t>
      </w:r>
      <w:r w:rsidR="009B4E67" w:rsidRPr="00982193">
        <w:rPr>
          <w:rFonts w:ascii="Verdana" w:hAnsi="Verdana"/>
        </w:rPr>
        <w:t xml:space="preserve">. Similarly, the risk of vertebral fractures among postmenopausal women in Beijing is only 25% lower than that among women in Rochester, Minnesota, despite much lower hip fracture rates in the former </w:t>
      </w:r>
      <w:r w:rsidR="004F1CA2">
        <w:rPr>
          <w:rFonts w:ascii="Verdana" w:hAnsi="Verdana"/>
        </w:rPr>
        <w:t>(22</w:t>
      </w:r>
      <w:r w:rsidR="00DF2AB7" w:rsidRPr="00982193">
        <w:rPr>
          <w:rFonts w:ascii="Verdana" w:hAnsi="Verdana"/>
        </w:rPr>
        <w:t>)</w:t>
      </w:r>
      <w:r w:rsidR="009B4E67" w:rsidRPr="00982193">
        <w:rPr>
          <w:rFonts w:ascii="Verdana" w:hAnsi="Verdana"/>
        </w:rPr>
        <w:t>.</w:t>
      </w:r>
    </w:p>
    <w:p w:rsidR="009B4E67" w:rsidRPr="00982193" w:rsidRDefault="009B4E67" w:rsidP="003A2C3E">
      <w:pPr>
        <w:spacing w:line="360" w:lineRule="auto"/>
        <w:jc w:val="both"/>
        <w:rPr>
          <w:rFonts w:ascii="Verdana" w:hAnsi="Verdana"/>
        </w:rPr>
      </w:pPr>
    </w:p>
    <w:p w:rsidR="009B4E67" w:rsidRPr="00982193" w:rsidRDefault="00E163BC" w:rsidP="003A2C3E">
      <w:pPr>
        <w:spacing w:line="360" w:lineRule="auto"/>
        <w:jc w:val="both"/>
        <w:rPr>
          <w:rFonts w:ascii="Verdana" w:hAnsi="Verdana"/>
        </w:rPr>
      </w:pPr>
      <w:r w:rsidRPr="00982193">
        <w:rPr>
          <w:rFonts w:ascii="Verdana" w:hAnsi="Verdana"/>
        </w:rPr>
        <w:t>By contrast, distal forearm fractures typically follow a fall onto an outstretched hand, espec</w:t>
      </w:r>
      <w:r w:rsidR="00CE6E85">
        <w:rPr>
          <w:rFonts w:ascii="Verdana" w:hAnsi="Verdana"/>
        </w:rPr>
        <w:t xml:space="preserve">ially in </w:t>
      </w:r>
      <w:proofErr w:type="spellStart"/>
      <w:r w:rsidR="00CE6E85">
        <w:rPr>
          <w:rFonts w:ascii="Verdana" w:hAnsi="Verdana"/>
        </w:rPr>
        <w:t>perimenopausal</w:t>
      </w:r>
      <w:proofErr w:type="spellEnd"/>
      <w:r w:rsidR="00CE6E85">
        <w:rPr>
          <w:rFonts w:ascii="Verdana" w:hAnsi="Verdana"/>
        </w:rPr>
        <w:t xml:space="preserve"> women (3</w:t>
      </w:r>
      <w:r w:rsidRPr="00982193">
        <w:rPr>
          <w:rFonts w:ascii="Verdana" w:hAnsi="Verdana"/>
        </w:rPr>
        <w:t xml:space="preserve">). </w:t>
      </w:r>
      <w:r w:rsidR="009B4E67" w:rsidRPr="00982193">
        <w:rPr>
          <w:rFonts w:ascii="Verdana" w:hAnsi="Verdana"/>
        </w:rPr>
        <w:t>Although geographic variation in distal forearm fracture rate exists, a partial explanation may be methodological considerations of case ascertainment as less than 20% of forearm fracture patients are hospitalised, and this figure varies dramatically worldwide.</w:t>
      </w:r>
    </w:p>
    <w:p w:rsidR="00A31CCC" w:rsidRPr="00982193" w:rsidRDefault="00A31CCC" w:rsidP="003A2C3E">
      <w:pPr>
        <w:spacing w:line="360" w:lineRule="auto"/>
        <w:jc w:val="both"/>
        <w:rPr>
          <w:rFonts w:ascii="Verdana" w:hAnsi="Verdana"/>
        </w:rPr>
      </w:pPr>
    </w:p>
    <w:p w:rsidR="00A31CCC" w:rsidRPr="00982193" w:rsidRDefault="002B62EC" w:rsidP="003A2C3E">
      <w:pPr>
        <w:spacing w:line="360" w:lineRule="auto"/>
        <w:jc w:val="both"/>
        <w:rPr>
          <w:rFonts w:ascii="Verdana" w:hAnsi="Verdana"/>
        </w:rPr>
      </w:pPr>
      <w:r>
        <w:rPr>
          <w:rFonts w:ascii="Verdana" w:hAnsi="Verdana"/>
        </w:rPr>
        <w:lastRenderedPageBreak/>
        <w:t>As discussed above, i</w:t>
      </w:r>
      <w:r w:rsidR="00E163BC" w:rsidRPr="00982193">
        <w:rPr>
          <w:rFonts w:ascii="Verdana" w:hAnsi="Verdana"/>
        </w:rPr>
        <w:t>n addition to a fracture outcome, a</w:t>
      </w:r>
      <w:r w:rsidR="00A31CCC" w:rsidRPr="00982193">
        <w:rPr>
          <w:rFonts w:ascii="Verdana" w:hAnsi="Verdana"/>
        </w:rPr>
        <w:t xml:space="preserve"> loss of muscle mass has been shown in many studies to lead to frailty, and loss of independence. In general, it has been suggested that loss of 30% of reserve capacity limits normal function, whereas loss of 70% results in system failure</w:t>
      </w:r>
      <w:r w:rsidR="00310ADC" w:rsidRPr="00982193">
        <w:rPr>
          <w:rFonts w:ascii="Verdana" w:hAnsi="Verdana"/>
        </w:rPr>
        <w:t xml:space="preserve"> </w:t>
      </w:r>
      <w:r w:rsidR="004F1CA2">
        <w:rPr>
          <w:rFonts w:ascii="Verdana" w:hAnsi="Verdana"/>
        </w:rPr>
        <w:t>(23</w:t>
      </w:r>
      <w:r w:rsidR="00DF2AB7" w:rsidRPr="00982193">
        <w:rPr>
          <w:rFonts w:ascii="Verdana" w:hAnsi="Verdana"/>
        </w:rPr>
        <w:t>).</w:t>
      </w:r>
      <w:r w:rsidR="00A31CCC" w:rsidRPr="00982193">
        <w:rPr>
          <w:rFonts w:ascii="Verdana" w:hAnsi="Verdana"/>
        </w:rPr>
        <w:t xml:space="preserve"> Hence a higher muscle mass found in some races will be protective against </w:t>
      </w:r>
      <w:r w:rsidR="00310ADC" w:rsidRPr="00982193">
        <w:rPr>
          <w:rFonts w:ascii="Verdana" w:hAnsi="Verdana"/>
        </w:rPr>
        <w:t xml:space="preserve">enough muscle loss to result in frailty, and loss of independence, assuming similar rates of muscle loss in all groups. Differences in body composition are well described, with higher muscle mass described in Black populations </w:t>
      </w:r>
      <w:r w:rsidR="004F1CA2">
        <w:rPr>
          <w:rFonts w:ascii="Verdana" w:hAnsi="Verdana"/>
        </w:rPr>
        <w:t>(24</w:t>
      </w:r>
      <w:r w:rsidR="00DF2AB7" w:rsidRPr="00982193">
        <w:rPr>
          <w:rFonts w:ascii="Verdana" w:hAnsi="Verdana"/>
        </w:rPr>
        <w:t>).</w:t>
      </w:r>
    </w:p>
    <w:p w:rsidR="00AF7A63" w:rsidRPr="00982193" w:rsidRDefault="00AF7A63" w:rsidP="003A2C3E">
      <w:pPr>
        <w:spacing w:line="360" w:lineRule="auto"/>
        <w:jc w:val="both"/>
        <w:rPr>
          <w:rFonts w:ascii="Verdana" w:hAnsi="Verdana"/>
        </w:rPr>
      </w:pPr>
    </w:p>
    <w:p w:rsidR="009B4E67" w:rsidRPr="00982193" w:rsidRDefault="009B4E67" w:rsidP="003A2C3E">
      <w:pPr>
        <w:pStyle w:val="Heading1"/>
        <w:jc w:val="both"/>
        <w:rPr>
          <w:rFonts w:ascii="Verdana" w:hAnsi="Verdana"/>
          <w:sz w:val="22"/>
          <w:szCs w:val="22"/>
        </w:rPr>
      </w:pPr>
      <w:r w:rsidRPr="00982193">
        <w:rPr>
          <w:rFonts w:ascii="Verdana" w:hAnsi="Verdana"/>
          <w:sz w:val="22"/>
          <w:szCs w:val="22"/>
        </w:rPr>
        <w:t>Body mass index</w:t>
      </w:r>
    </w:p>
    <w:p w:rsidR="009B4E67" w:rsidRPr="00982193" w:rsidRDefault="009B4E67" w:rsidP="003A2C3E">
      <w:pPr>
        <w:spacing w:line="360" w:lineRule="auto"/>
        <w:jc w:val="both"/>
        <w:rPr>
          <w:rFonts w:ascii="Verdana" w:hAnsi="Verdana"/>
        </w:rPr>
      </w:pPr>
      <w:r w:rsidRPr="00982193">
        <w:rPr>
          <w:rFonts w:ascii="Verdana" w:hAnsi="Verdana"/>
        </w:rPr>
        <w:t xml:space="preserve">Low body mass index (BMI) is a well-documented risk factor for </w:t>
      </w:r>
      <w:r w:rsidR="000E7D43" w:rsidRPr="00982193">
        <w:rPr>
          <w:rFonts w:ascii="Verdana" w:hAnsi="Verdana"/>
        </w:rPr>
        <w:t xml:space="preserve">low bone density and </w:t>
      </w:r>
      <w:r w:rsidRPr="00982193">
        <w:rPr>
          <w:rFonts w:ascii="Verdana" w:hAnsi="Verdana"/>
        </w:rPr>
        <w:t>future fracture. The risk is most marked for lean individuals with a BMI of &lt;20kg/m</w:t>
      </w:r>
      <w:r w:rsidRPr="00982193">
        <w:rPr>
          <w:rFonts w:ascii="Verdana" w:hAnsi="Verdana"/>
          <w:vertAlign w:val="superscript"/>
        </w:rPr>
        <w:t>2</w:t>
      </w:r>
      <w:r w:rsidRPr="00982193">
        <w:rPr>
          <w:rFonts w:ascii="Verdana" w:hAnsi="Verdana"/>
        </w:rPr>
        <w:t>. Above 20 kg/m</w:t>
      </w:r>
      <w:r w:rsidRPr="00982193">
        <w:rPr>
          <w:rFonts w:ascii="Verdana" w:hAnsi="Verdana"/>
          <w:vertAlign w:val="superscript"/>
        </w:rPr>
        <w:t>2</w:t>
      </w:r>
      <w:r w:rsidRPr="00982193">
        <w:rPr>
          <w:rFonts w:ascii="Verdana" w:hAnsi="Verdana"/>
        </w:rPr>
        <w:t xml:space="preserve"> incremental increases in weight have little protective effect; leanness appears to be a risk factor rather than obesity protective. The association of fracture risk with leanness is largely dependent on BMD. For hip fracture, a modest risk persists after adjustment for BMD </w:t>
      </w:r>
      <w:r w:rsidR="004F1CA2">
        <w:rPr>
          <w:rFonts w:ascii="Verdana" w:hAnsi="Verdana"/>
        </w:rPr>
        <w:t>(25</w:t>
      </w:r>
      <w:r w:rsidR="00DF2AB7" w:rsidRPr="00982193">
        <w:rPr>
          <w:rFonts w:ascii="Verdana" w:hAnsi="Verdana"/>
        </w:rPr>
        <w:t>)</w:t>
      </w:r>
      <w:r w:rsidRPr="00982193">
        <w:rPr>
          <w:rFonts w:ascii="Verdana" w:hAnsi="Verdana"/>
        </w:rPr>
        <w:t xml:space="preserve">. Several mechanisms have been proposed to explain the protective effect of obesity on bone mass. They include mechanical factors with increased strain on the skeleton and hormonal factors, mainly relating to increased peripheral oestrogen production. After menopause, most of the circulating oestrogens are the result of peripheral conversion of androgens to oestrogens by fat tissue.  </w:t>
      </w:r>
    </w:p>
    <w:p w:rsidR="009B4E67" w:rsidRPr="00982193" w:rsidRDefault="009B4E67" w:rsidP="003A2C3E">
      <w:pPr>
        <w:spacing w:line="360" w:lineRule="auto"/>
        <w:jc w:val="both"/>
        <w:rPr>
          <w:rFonts w:ascii="Verdana" w:hAnsi="Verdana"/>
        </w:rPr>
      </w:pPr>
    </w:p>
    <w:p w:rsidR="000E7D43" w:rsidRPr="00982193" w:rsidRDefault="00310ADC" w:rsidP="003A2C3E">
      <w:pPr>
        <w:spacing w:line="360" w:lineRule="auto"/>
        <w:jc w:val="both"/>
        <w:rPr>
          <w:rFonts w:ascii="Verdana" w:hAnsi="Verdana"/>
        </w:rPr>
      </w:pPr>
      <w:r w:rsidRPr="00982193">
        <w:rPr>
          <w:rFonts w:ascii="Verdana" w:hAnsi="Verdana"/>
        </w:rPr>
        <w:t>With advancing age, body composition changes such that body fat increases and muscle mass decreases</w:t>
      </w:r>
      <w:r w:rsidR="007F6134" w:rsidRPr="00982193">
        <w:rPr>
          <w:rFonts w:ascii="Verdana" w:hAnsi="Verdana"/>
        </w:rPr>
        <w:t xml:space="preserve">, often with relative overall stability in body weight, leading to the term sarcopenic obesity. Although obese or overweight adults often have a higher muscle mass compared to their non-obese peers, their lean mass is low compared to their total weight </w:t>
      </w:r>
      <w:r w:rsidR="004F1CA2">
        <w:rPr>
          <w:rFonts w:ascii="Verdana" w:hAnsi="Verdana"/>
        </w:rPr>
        <w:t>(26</w:t>
      </w:r>
      <w:r w:rsidR="00DF2AB7" w:rsidRPr="00982193">
        <w:rPr>
          <w:rFonts w:ascii="Verdana" w:hAnsi="Verdana"/>
        </w:rPr>
        <w:t>)</w:t>
      </w:r>
      <w:r w:rsidR="00AD00E7" w:rsidRPr="00982193">
        <w:rPr>
          <w:rFonts w:ascii="Verdana" w:hAnsi="Verdana"/>
        </w:rPr>
        <w:t xml:space="preserve">. Obesity is linked to inflammation which may play an important role in the process leading to sarcopenia – a process which will be discussed further in this review. </w:t>
      </w:r>
      <w:r w:rsidR="007F6134" w:rsidRPr="00982193">
        <w:rPr>
          <w:rFonts w:ascii="Verdana" w:hAnsi="Verdana"/>
        </w:rPr>
        <w:t xml:space="preserve">Longitudinal studies have reported that pronounced weight loss is associated with accelerated grip strength decline, possibly reflecting confounding comorbidity </w:t>
      </w:r>
      <w:r w:rsidR="004F1CA2">
        <w:rPr>
          <w:rFonts w:ascii="Verdana" w:hAnsi="Verdana"/>
        </w:rPr>
        <w:t>(27</w:t>
      </w:r>
      <w:r w:rsidR="00DF2AB7" w:rsidRPr="00982193">
        <w:rPr>
          <w:rFonts w:ascii="Verdana" w:hAnsi="Verdana"/>
        </w:rPr>
        <w:t>).</w:t>
      </w:r>
      <w:r w:rsidR="007F6134" w:rsidRPr="00982193">
        <w:rPr>
          <w:rFonts w:ascii="Verdana" w:hAnsi="Verdana"/>
        </w:rPr>
        <w:t xml:space="preserve">  </w:t>
      </w:r>
    </w:p>
    <w:p w:rsidR="00596DF4" w:rsidRPr="00982193" w:rsidRDefault="00596DF4" w:rsidP="003A2C3E">
      <w:pPr>
        <w:spacing w:line="360" w:lineRule="auto"/>
        <w:jc w:val="both"/>
        <w:rPr>
          <w:rFonts w:ascii="Verdana" w:hAnsi="Verdana"/>
        </w:rPr>
      </w:pPr>
    </w:p>
    <w:p w:rsidR="009B4E67" w:rsidRPr="00982193" w:rsidRDefault="009B4E67" w:rsidP="003A2C3E">
      <w:pPr>
        <w:spacing w:line="360" w:lineRule="auto"/>
        <w:jc w:val="both"/>
        <w:rPr>
          <w:rFonts w:ascii="Verdana" w:hAnsi="Verdana"/>
          <w:b/>
          <w:bCs/>
        </w:rPr>
      </w:pPr>
      <w:r w:rsidRPr="00982193">
        <w:rPr>
          <w:rFonts w:ascii="Verdana" w:hAnsi="Verdana"/>
          <w:b/>
          <w:bCs/>
        </w:rPr>
        <w:lastRenderedPageBreak/>
        <w:t>Physical activity</w:t>
      </w:r>
    </w:p>
    <w:p w:rsidR="009B4E67" w:rsidRPr="00982193" w:rsidRDefault="009B4E67" w:rsidP="003A2C3E">
      <w:pPr>
        <w:spacing w:line="360" w:lineRule="auto"/>
        <w:jc w:val="both"/>
        <w:rPr>
          <w:rFonts w:ascii="Verdana" w:hAnsi="Verdana"/>
        </w:rPr>
      </w:pPr>
      <w:r w:rsidRPr="00982193">
        <w:rPr>
          <w:rFonts w:ascii="Verdana" w:hAnsi="Verdana"/>
        </w:rPr>
        <w:t xml:space="preserve">Bone density increases in response to physical loading and mechanical stress; as compressive forces increase, bone mass and bone density increase in response to the increased loading. Muscle contraction and gravity are the two primary mechanical forces applied to bone. A lack of adequate mechanical stimuli results in bone loss, mediated primarily by a proportionately greater increase in bone resorption without an increase in bone formation. </w:t>
      </w:r>
    </w:p>
    <w:p w:rsidR="009B4E67" w:rsidRPr="00982193" w:rsidRDefault="009B4E67" w:rsidP="003A2C3E">
      <w:pPr>
        <w:spacing w:line="360" w:lineRule="auto"/>
        <w:jc w:val="both"/>
        <w:rPr>
          <w:rFonts w:ascii="Verdana" w:hAnsi="Verdana"/>
        </w:rPr>
      </w:pPr>
    </w:p>
    <w:p w:rsidR="009B4E67" w:rsidRPr="00982193" w:rsidRDefault="009B4E67" w:rsidP="003A2C3E">
      <w:pPr>
        <w:spacing w:line="360" w:lineRule="auto"/>
        <w:jc w:val="both"/>
        <w:rPr>
          <w:rFonts w:ascii="Verdana" w:hAnsi="Verdana"/>
        </w:rPr>
      </w:pPr>
      <w:r w:rsidRPr="00982193">
        <w:rPr>
          <w:rFonts w:ascii="Verdana" w:hAnsi="Verdana"/>
        </w:rPr>
        <w:t xml:space="preserve">Prolonged immobilisation is a risk factor for </w:t>
      </w:r>
      <w:r w:rsidR="000E7D43" w:rsidRPr="00982193">
        <w:rPr>
          <w:rFonts w:ascii="Verdana" w:hAnsi="Verdana"/>
        </w:rPr>
        <w:t xml:space="preserve">bone loss and future </w:t>
      </w:r>
      <w:r w:rsidRPr="00982193">
        <w:rPr>
          <w:rFonts w:ascii="Verdana" w:hAnsi="Verdana"/>
        </w:rPr>
        <w:t>fracture. Conversely, physical activity prevents bone lo</w:t>
      </w:r>
      <w:r w:rsidR="000D7CBC" w:rsidRPr="00982193">
        <w:rPr>
          <w:rFonts w:ascii="Verdana" w:hAnsi="Verdana"/>
        </w:rPr>
        <w:t>ss; a recent</w:t>
      </w:r>
      <w:r w:rsidR="004F1CA2">
        <w:rPr>
          <w:rFonts w:ascii="Verdana" w:hAnsi="Verdana"/>
        </w:rPr>
        <w:t xml:space="preserve"> meta-analysis (28</w:t>
      </w:r>
      <w:r w:rsidR="00DF2AB7" w:rsidRPr="00982193">
        <w:rPr>
          <w:rFonts w:ascii="Verdana" w:hAnsi="Verdana"/>
        </w:rPr>
        <w:t xml:space="preserve">) </w:t>
      </w:r>
      <w:r w:rsidRPr="00982193">
        <w:rPr>
          <w:rFonts w:ascii="Verdana" w:hAnsi="Verdana"/>
        </w:rPr>
        <w:t xml:space="preserve">found a significant protective effect of physical activity on BMD at the lumbar spine, but effects were not demonstrated at the forearm or femoral neck. The positive effects of mechanical loading on bone mass can be seen in weight lifters and other athletes; this increase may be restricted to the loaded side e.g. tennis player’s arms. Conversely, immobilisation can be associated with rapid bone loss, and if sustained, as in patients with paraplegia or hemiplegia fractures can occur. At a cellular level, the osteocytes which lie embedded within individual lacunae to mineralised bone are believed to be the cellular system that responds to mechanical deformation.  </w:t>
      </w:r>
    </w:p>
    <w:p w:rsidR="00596DF4" w:rsidRPr="00982193" w:rsidRDefault="00596DF4" w:rsidP="003A2C3E">
      <w:pPr>
        <w:spacing w:line="360" w:lineRule="auto"/>
        <w:jc w:val="both"/>
        <w:rPr>
          <w:rFonts w:ascii="Verdana" w:hAnsi="Verdana"/>
        </w:rPr>
      </w:pPr>
    </w:p>
    <w:p w:rsidR="005F1353" w:rsidRPr="00982193" w:rsidRDefault="00E163BC" w:rsidP="003A2C3E">
      <w:pPr>
        <w:spacing w:line="360" w:lineRule="auto"/>
        <w:jc w:val="both"/>
        <w:rPr>
          <w:rFonts w:ascii="Verdana" w:hAnsi="Verdana"/>
        </w:rPr>
      </w:pPr>
      <w:r w:rsidRPr="00982193">
        <w:rPr>
          <w:rFonts w:ascii="Verdana" w:hAnsi="Verdana"/>
        </w:rPr>
        <w:t>Similarly, p</w:t>
      </w:r>
      <w:r w:rsidR="005F1353" w:rsidRPr="00982193">
        <w:rPr>
          <w:rFonts w:ascii="Verdana" w:hAnsi="Verdana"/>
        </w:rPr>
        <w:t>hysical activity is known to have a</w:t>
      </w:r>
      <w:r w:rsidR="00D62BB8" w:rsidRPr="00982193">
        <w:rPr>
          <w:rFonts w:ascii="Verdana" w:hAnsi="Verdana"/>
        </w:rPr>
        <w:t xml:space="preserve"> profound effect on muscle mass and strength</w:t>
      </w:r>
      <w:r w:rsidR="005F1353" w:rsidRPr="00982193">
        <w:rPr>
          <w:rFonts w:ascii="Verdana" w:hAnsi="Verdana"/>
        </w:rPr>
        <w:t>.</w:t>
      </w:r>
      <w:r w:rsidR="00D62BB8" w:rsidRPr="00982193">
        <w:rPr>
          <w:rFonts w:ascii="Verdana" w:hAnsi="Verdana"/>
        </w:rPr>
        <w:t xml:space="preserve"> Inactivity has been shown to lead to loss of muscle mass and strength at any age</w:t>
      </w:r>
      <w:r w:rsidR="00466E1C" w:rsidRPr="00982193">
        <w:rPr>
          <w:rFonts w:ascii="Verdana" w:hAnsi="Verdana"/>
        </w:rPr>
        <w:t xml:space="preserve"> and bed rest studies have shown that a decrease in muscle strength occurs befo</w:t>
      </w:r>
      <w:r w:rsidR="00CC2300" w:rsidRPr="00982193">
        <w:rPr>
          <w:rFonts w:ascii="Verdana" w:hAnsi="Verdana"/>
        </w:rPr>
        <w:t>re a</w:t>
      </w:r>
      <w:r w:rsidR="00926CE3">
        <w:rPr>
          <w:rFonts w:ascii="Verdana" w:hAnsi="Verdana"/>
        </w:rPr>
        <w:t xml:space="preserve"> decrease in muscle mass (</w:t>
      </w:r>
      <w:r w:rsidR="004F1CA2">
        <w:rPr>
          <w:rFonts w:ascii="Verdana" w:hAnsi="Verdana"/>
        </w:rPr>
        <w:t>29</w:t>
      </w:r>
      <w:r w:rsidR="00466E1C" w:rsidRPr="00982193">
        <w:rPr>
          <w:rFonts w:ascii="Verdana" w:hAnsi="Verdana"/>
        </w:rPr>
        <w:t>).</w:t>
      </w:r>
      <w:r w:rsidR="005F1353" w:rsidRPr="00982193">
        <w:rPr>
          <w:rFonts w:ascii="Verdana" w:hAnsi="Verdana"/>
        </w:rPr>
        <w:t xml:space="preserve"> </w:t>
      </w:r>
      <w:r w:rsidR="00615B7A" w:rsidRPr="00982193">
        <w:rPr>
          <w:rFonts w:ascii="Verdana" w:hAnsi="Verdana"/>
        </w:rPr>
        <w:t xml:space="preserve"> </w:t>
      </w:r>
      <w:r w:rsidR="005F1353" w:rsidRPr="00982193">
        <w:rPr>
          <w:rFonts w:ascii="Verdana" w:hAnsi="Verdana"/>
        </w:rPr>
        <w:t>Lifelong physical exercise has been shown to preserve muscle structure and function well trained elderly men such that it is comparable to active men four decades younger</w:t>
      </w:r>
      <w:r w:rsidR="004F1CA2">
        <w:rPr>
          <w:rFonts w:ascii="Verdana" w:hAnsi="Verdana"/>
        </w:rPr>
        <w:t xml:space="preserve"> (30</w:t>
      </w:r>
      <w:r w:rsidR="00AE4E16" w:rsidRPr="00982193">
        <w:rPr>
          <w:rFonts w:ascii="Verdana" w:hAnsi="Verdana"/>
        </w:rPr>
        <w:t>)</w:t>
      </w:r>
      <w:r w:rsidR="005F1353" w:rsidRPr="00982193">
        <w:rPr>
          <w:rFonts w:ascii="Verdana" w:hAnsi="Verdana"/>
        </w:rPr>
        <w:t xml:space="preserve">. </w:t>
      </w:r>
      <w:r w:rsidR="00AE4E16" w:rsidRPr="00982193">
        <w:rPr>
          <w:rFonts w:ascii="Verdana" w:hAnsi="Verdana"/>
        </w:rPr>
        <w:t>Increases in mid-life leisure time physical activity has been shown to reduce the risk of mobility impairment in old age, though interestingly occupational physical activity in mid-life may have a detrimental e</w:t>
      </w:r>
      <w:r w:rsidR="00CE6E85">
        <w:rPr>
          <w:rFonts w:ascii="Verdana" w:hAnsi="Verdana"/>
        </w:rPr>
        <w:t>ffect on mobility in old</w:t>
      </w:r>
      <w:r w:rsidR="004F1CA2">
        <w:rPr>
          <w:rFonts w:ascii="Verdana" w:hAnsi="Verdana"/>
        </w:rPr>
        <w:t xml:space="preserve"> age (31</w:t>
      </w:r>
      <w:r w:rsidR="00AE4E16" w:rsidRPr="00982193">
        <w:rPr>
          <w:rFonts w:ascii="Verdana" w:hAnsi="Verdana"/>
        </w:rPr>
        <w:t>).</w:t>
      </w:r>
    </w:p>
    <w:p w:rsidR="00596DF4" w:rsidRPr="00982193" w:rsidRDefault="00596DF4" w:rsidP="003A2C3E">
      <w:pPr>
        <w:spacing w:line="360" w:lineRule="auto"/>
        <w:jc w:val="both"/>
        <w:rPr>
          <w:rFonts w:ascii="Verdana" w:hAnsi="Verdana"/>
        </w:rPr>
      </w:pPr>
    </w:p>
    <w:p w:rsidR="00615B7A" w:rsidRPr="00982193" w:rsidRDefault="00B64DDE" w:rsidP="003A2C3E">
      <w:pPr>
        <w:spacing w:line="360" w:lineRule="auto"/>
        <w:jc w:val="both"/>
        <w:rPr>
          <w:rFonts w:ascii="Verdana" w:hAnsi="Verdana"/>
        </w:rPr>
      </w:pPr>
      <w:r w:rsidRPr="00982193">
        <w:rPr>
          <w:rFonts w:ascii="Verdana" w:hAnsi="Verdana"/>
        </w:rPr>
        <w:t xml:space="preserve">A recent systematic review on interventions for sarcopenia investigated the effect of exercise on muscle mass and muscle strength or power. Some studies </w:t>
      </w:r>
      <w:r w:rsidRPr="00982193">
        <w:rPr>
          <w:rFonts w:ascii="Verdana" w:hAnsi="Verdana"/>
        </w:rPr>
        <w:lastRenderedPageBreak/>
        <w:t>also assessed physical performance through chair rising, 12 minute walk test, stair climbing or timed up and go. Resistance training was shown to improve muscle mass</w:t>
      </w:r>
      <w:r w:rsidR="00170C71" w:rsidRPr="00982193">
        <w:rPr>
          <w:rFonts w:ascii="Verdana" w:hAnsi="Verdana"/>
        </w:rPr>
        <w:t xml:space="preserve"> and strength</w:t>
      </w:r>
      <w:r w:rsidR="003D39B2" w:rsidRPr="00982193">
        <w:rPr>
          <w:rFonts w:ascii="Verdana" w:hAnsi="Verdana"/>
        </w:rPr>
        <w:t xml:space="preserve"> in two studies</w:t>
      </w:r>
      <w:r w:rsidR="004F1CA2">
        <w:rPr>
          <w:rFonts w:ascii="Verdana" w:hAnsi="Verdana"/>
        </w:rPr>
        <w:t xml:space="preserve"> (32</w:t>
      </w:r>
      <w:proofErr w:type="gramStart"/>
      <w:r w:rsidR="004F1CA2">
        <w:rPr>
          <w:rFonts w:ascii="Verdana" w:hAnsi="Verdana"/>
        </w:rPr>
        <w:t>,33</w:t>
      </w:r>
      <w:proofErr w:type="gramEnd"/>
      <w:r w:rsidR="00170C71" w:rsidRPr="00982193">
        <w:rPr>
          <w:rFonts w:ascii="Verdana" w:hAnsi="Verdana"/>
        </w:rPr>
        <w:t>) and muscle strength alone in a further stu</w:t>
      </w:r>
      <w:r w:rsidR="00CE6E85">
        <w:rPr>
          <w:rFonts w:ascii="Verdana" w:hAnsi="Verdana"/>
        </w:rPr>
        <w:t>dy (35</w:t>
      </w:r>
      <w:r w:rsidR="00170C71" w:rsidRPr="00982193">
        <w:rPr>
          <w:rFonts w:ascii="Verdana" w:hAnsi="Verdana"/>
        </w:rPr>
        <w:t>)</w:t>
      </w:r>
      <w:r w:rsidR="00FC42A8" w:rsidRPr="00982193">
        <w:rPr>
          <w:rFonts w:ascii="Verdana" w:hAnsi="Verdana"/>
        </w:rPr>
        <w:t xml:space="preserve"> compared with control (low-intensity home exercise or standard rehabilitation)</w:t>
      </w:r>
      <w:r w:rsidR="00170C71" w:rsidRPr="00982193">
        <w:rPr>
          <w:rFonts w:ascii="Verdana" w:hAnsi="Verdana"/>
        </w:rPr>
        <w:t>.</w:t>
      </w:r>
      <w:r w:rsidR="00262D19" w:rsidRPr="00982193">
        <w:rPr>
          <w:rFonts w:ascii="Verdana" w:hAnsi="Verdana"/>
        </w:rPr>
        <w:t xml:space="preserve"> Resistance training (versus control) also led to improvements in physical performance (chair rise, stair climb or 12 minute w</w:t>
      </w:r>
      <w:r w:rsidR="002F0D6E" w:rsidRPr="00982193">
        <w:rPr>
          <w:rFonts w:ascii="Verdana" w:hAnsi="Verdana"/>
        </w:rPr>
        <w:t>a</w:t>
      </w:r>
      <w:r w:rsidR="00CE6E85">
        <w:rPr>
          <w:rFonts w:ascii="Verdana" w:hAnsi="Verdana"/>
        </w:rPr>
        <w:t>lk) in these studies (3</w:t>
      </w:r>
      <w:r w:rsidR="004F1CA2">
        <w:rPr>
          <w:rFonts w:ascii="Verdana" w:hAnsi="Verdana"/>
        </w:rPr>
        <w:t>4-37</w:t>
      </w:r>
      <w:r w:rsidR="00262D19" w:rsidRPr="00982193">
        <w:rPr>
          <w:rFonts w:ascii="Verdana" w:hAnsi="Verdana"/>
        </w:rPr>
        <w:t xml:space="preserve">). </w:t>
      </w:r>
    </w:p>
    <w:p w:rsidR="00596DF4" w:rsidRPr="00982193" w:rsidRDefault="00596DF4" w:rsidP="003A2C3E">
      <w:pPr>
        <w:spacing w:line="360" w:lineRule="auto"/>
        <w:jc w:val="both"/>
        <w:rPr>
          <w:rFonts w:ascii="Verdana" w:hAnsi="Verdana"/>
        </w:rPr>
      </w:pPr>
    </w:p>
    <w:p w:rsidR="000335E5" w:rsidRPr="00982193" w:rsidRDefault="000335E5" w:rsidP="003A2C3E">
      <w:pPr>
        <w:spacing w:line="360" w:lineRule="auto"/>
        <w:jc w:val="both"/>
        <w:rPr>
          <w:rFonts w:ascii="Verdana" w:hAnsi="Verdana"/>
        </w:rPr>
      </w:pPr>
      <w:r w:rsidRPr="00982193">
        <w:rPr>
          <w:rFonts w:ascii="Verdana" w:hAnsi="Verdana"/>
        </w:rPr>
        <w:t>Three other studies assessed the impact of compound exercise interventions (comprising a blend of aerobic, resistance, flexibility and / or balance training) on muscle. One high intensity compound exercise programme over an 18 month period improved muscle mass, strength and physical performance versus control in a study of 246 women (</w:t>
      </w:r>
      <w:r w:rsidR="004F1CA2">
        <w:rPr>
          <w:rFonts w:ascii="Verdana" w:hAnsi="Verdana"/>
        </w:rPr>
        <w:t>38</w:t>
      </w:r>
      <w:r w:rsidRPr="00982193">
        <w:rPr>
          <w:rFonts w:ascii="Verdana" w:hAnsi="Verdana"/>
        </w:rPr>
        <w:t xml:space="preserve">). </w:t>
      </w:r>
      <w:r w:rsidR="0099339D" w:rsidRPr="00982193">
        <w:rPr>
          <w:rFonts w:ascii="Verdana" w:hAnsi="Verdana"/>
        </w:rPr>
        <w:t xml:space="preserve">The other compound exercise studies produced mixed outcomes however. </w:t>
      </w:r>
      <w:r w:rsidR="009B29B2" w:rsidRPr="00982193">
        <w:rPr>
          <w:rFonts w:ascii="Verdana" w:hAnsi="Verdana"/>
        </w:rPr>
        <w:t>In another mixed gender study there was no beneficial effect of a compound exercise programm</w:t>
      </w:r>
      <w:r w:rsidR="00CE6E85">
        <w:rPr>
          <w:rFonts w:ascii="Verdana" w:hAnsi="Verdana"/>
        </w:rPr>
        <w:t>e on muscle mass or strength (3</w:t>
      </w:r>
      <w:r w:rsidR="004F1CA2">
        <w:rPr>
          <w:rFonts w:ascii="Verdana" w:hAnsi="Verdana"/>
        </w:rPr>
        <w:t>7</w:t>
      </w:r>
      <w:r w:rsidR="009B29B2" w:rsidRPr="00982193">
        <w:rPr>
          <w:rFonts w:ascii="Verdana" w:hAnsi="Verdana"/>
        </w:rPr>
        <w:t xml:space="preserve">). </w:t>
      </w:r>
    </w:p>
    <w:p w:rsidR="00596DF4" w:rsidRPr="00982193" w:rsidRDefault="00596DF4" w:rsidP="003A2C3E">
      <w:pPr>
        <w:spacing w:line="360" w:lineRule="auto"/>
        <w:jc w:val="both"/>
        <w:rPr>
          <w:rFonts w:ascii="Verdana" w:hAnsi="Verdana"/>
        </w:rPr>
      </w:pPr>
    </w:p>
    <w:p w:rsidR="009B29B2" w:rsidRPr="00982193" w:rsidRDefault="009B29B2" w:rsidP="003A2C3E">
      <w:pPr>
        <w:spacing w:line="360" w:lineRule="auto"/>
        <w:jc w:val="both"/>
        <w:rPr>
          <w:rFonts w:ascii="Verdana" w:hAnsi="Verdana"/>
        </w:rPr>
      </w:pPr>
      <w:r w:rsidRPr="00982193">
        <w:rPr>
          <w:rFonts w:ascii="Verdana" w:hAnsi="Verdana"/>
        </w:rPr>
        <w:t xml:space="preserve">Overall, most trials of exercise in the elderly showed improved muscle strength and physical performance, but not </w:t>
      </w:r>
      <w:r w:rsidR="00941299" w:rsidRPr="00982193">
        <w:rPr>
          <w:rFonts w:ascii="Verdana" w:hAnsi="Verdana"/>
        </w:rPr>
        <w:t>all found increased muscle mass, suggesting that muscle loss may occur with aging regardless of physical activity level.</w:t>
      </w:r>
      <w:r w:rsidRPr="00982193">
        <w:rPr>
          <w:rFonts w:ascii="Verdana" w:hAnsi="Verdana"/>
        </w:rPr>
        <w:t xml:space="preserve"> However, comparison of these studies is difficult as the </w:t>
      </w:r>
      <w:r w:rsidR="003A35DD" w:rsidRPr="00982193">
        <w:rPr>
          <w:rFonts w:ascii="Verdana" w:hAnsi="Verdana"/>
        </w:rPr>
        <w:t>subjec</w:t>
      </w:r>
      <w:r w:rsidRPr="00982193">
        <w:rPr>
          <w:rFonts w:ascii="Verdana" w:hAnsi="Verdana"/>
        </w:rPr>
        <w:t>ts were identified</w:t>
      </w:r>
      <w:r w:rsidR="003A35DD" w:rsidRPr="00982193">
        <w:rPr>
          <w:rFonts w:ascii="Verdana" w:hAnsi="Verdana"/>
        </w:rPr>
        <w:t xml:space="preserve"> as frail by different measures and</w:t>
      </w:r>
      <w:r w:rsidRPr="00982193">
        <w:rPr>
          <w:rFonts w:ascii="Verdana" w:hAnsi="Verdana"/>
        </w:rPr>
        <w:t xml:space="preserve"> the </w:t>
      </w:r>
      <w:r w:rsidR="003A35DD" w:rsidRPr="00982193">
        <w:rPr>
          <w:rFonts w:ascii="Verdana" w:hAnsi="Verdana"/>
        </w:rPr>
        <w:t>exercise interventions were not easily comparable.</w:t>
      </w:r>
    </w:p>
    <w:p w:rsidR="00DF2AB7" w:rsidRPr="00982193" w:rsidRDefault="00DF2AB7" w:rsidP="003A2C3E">
      <w:pPr>
        <w:pStyle w:val="Heading1"/>
        <w:jc w:val="both"/>
        <w:rPr>
          <w:rFonts w:ascii="Verdana" w:hAnsi="Verdana"/>
          <w:sz w:val="22"/>
          <w:szCs w:val="22"/>
        </w:rPr>
      </w:pPr>
    </w:p>
    <w:p w:rsidR="009B4E67" w:rsidRPr="00982193" w:rsidRDefault="009B4E67" w:rsidP="003A2C3E">
      <w:pPr>
        <w:pStyle w:val="Heading1"/>
        <w:jc w:val="both"/>
        <w:rPr>
          <w:rFonts w:ascii="Verdana" w:hAnsi="Verdana"/>
          <w:sz w:val="22"/>
          <w:szCs w:val="22"/>
        </w:rPr>
      </w:pPr>
      <w:r w:rsidRPr="00982193">
        <w:rPr>
          <w:rFonts w:ascii="Verdana" w:hAnsi="Verdana"/>
          <w:sz w:val="22"/>
          <w:szCs w:val="22"/>
        </w:rPr>
        <w:t>Cigarette smoking</w:t>
      </w:r>
    </w:p>
    <w:p w:rsidR="009B4E67" w:rsidRPr="00982193" w:rsidRDefault="009B4E67" w:rsidP="003A2C3E">
      <w:pPr>
        <w:spacing w:line="360" w:lineRule="auto"/>
        <w:jc w:val="both"/>
        <w:rPr>
          <w:rFonts w:ascii="Verdana" w:hAnsi="Verdana"/>
        </w:rPr>
      </w:pPr>
      <w:r w:rsidRPr="00982193">
        <w:rPr>
          <w:rFonts w:ascii="Verdana" w:hAnsi="Verdana"/>
        </w:rPr>
        <w:t xml:space="preserve">An inverse relationship between smoking and bone </w:t>
      </w:r>
      <w:r w:rsidR="00936CED" w:rsidRPr="00982193">
        <w:rPr>
          <w:rFonts w:ascii="Verdana" w:hAnsi="Verdana"/>
        </w:rPr>
        <w:t>density is well established</w:t>
      </w:r>
      <w:r w:rsidRPr="00982193">
        <w:rPr>
          <w:rFonts w:ascii="Verdana" w:hAnsi="Verdana"/>
        </w:rPr>
        <w:t>, and is due to multiple factors including an earlier menopause, reduced body weight and enhanced metabolic breakdown of exogenous oestrogens. In a recent meta-analysis, the results of 48 published studies were combined</w:t>
      </w:r>
      <w:r w:rsidRPr="00982193">
        <w:rPr>
          <w:rFonts w:ascii="Verdana" w:hAnsi="Verdana"/>
          <w:vertAlign w:val="superscript"/>
        </w:rPr>
        <w:t xml:space="preserve"> </w:t>
      </w:r>
      <w:r w:rsidR="004F1CA2">
        <w:rPr>
          <w:rFonts w:ascii="Verdana" w:hAnsi="Verdana"/>
        </w:rPr>
        <w:t>(38</w:t>
      </w:r>
      <w:r w:rsidR="00DF2AB7" w:rsidRPr="00982193">
        <w:rPr>
          <w:rFonts w:ascii="Verdana" w:hAnsi="Verdana"/>
        </w:rPr>
        <w:t>)</w:t>
      </w:r>
      <w:r w:rsidRPr="00982193">
        <w:rPr>
          <w:rFonts w:ascii="Verdana" w:hAnsi="Verdana"/>
        </w:rPr>
        <w:t xml:space="preserve">. The authors concluded that although they were able to demonstrate no significant difference in bone density at age 50 between smokers and non-smokers, bone density in women diminished by about an extra 2% for every 10 year increase in age, with a difference of 6% at age 80. Although the confounding effects of body </w:t>
      </w:r>
      <w:r w:rsidRPr="00982193">
        <w:rPr>
          <w:rFonts w:ascii="Verdana" w:hAnsi="Verdana"/>
        </w:rPr>
        <w:lastRenderedPageBreak/>
        <w:t>mass index and oestrogen were mentioned, this meta-analysis could not fully address the lifestyle differences between smokers and non-smokers.</w:t>
      </w:r>
    </w:p>
    <w:p w:rsidR="009B4E67" w:rsidRPr="00982193" w:rsidRDefault="009B4E67" w:rsidP="003A2C3E">
      <w:pPr>
        <w:spacing w:line="360" w:lineRule="auto"/>
        <w:jc w:val="both"/>
        <w:rPr>
          <w:rFonts w:ascii="Verdana" w:hAnsi="Verdana"/>
        </w:rPr>
      </w:pPr>
    </w:p>
    <w:p w:rsidR="009B4E67" w:rsidRPr="00982193" w:rsidRDefault="009B4E67" w:rsidP="003A2C3E">
      <w:pPr>
        <w:spacing w:line="360" w:lineRule="auto"/>
        <w:jc w:val="both"/>
        <w:rPr>
          <w:rFonts w:ascii="Verdana" w:hAnsi="Verdana"/>
        </w:rPr>
      </w:pPr>
      <w:r w:rsidRPr="00982193">
        <w:rPr>
          <w:rFonts w:ascii="Verdana" w:hAnsi="Verdana"/>
        </w:rPr>
        <w:t>Cigarette smoking was recently the subject of a f</w:t>
      </w:r>
      <w:r w:rsidR="004F1CA2">
        <w:rPr>
          <w:rFonts w:ascii="Verdana" w:hAnsi="Verdana"/>
        </w:rPr>
        <w:t>urther recent meta-analysis (39</w:t>
      </w:r>
      <w:r w:rsidR="00DF2AB7" w:rsidRPr="00982193">
        <w:rPr>
          <w:rFonts w:ascii="Verdana" w:hAnsi="Verdana"/>
        </w:rPr>
        <w:t>)</w:t>
      </w:r>
      <w:r w:rsidRPr="00982193">
        <w:rPr>
          <w:rFonts w:ascii="Verdana" w:hAnsi="Verdana"/>
        </w:rPr>
        <w:t xml:space="preserve"> that found current smoking was associated with a significantly increased risk of any fracture compared to non-smokers. Consistent with previous research, adjustment for BMD had little impact on the increased risk. Risk ratios were significantly higher in men than women for all fractures and for osteoporotic fractures, but not for hip fracture. Low BMD accounted for only 23% of the smoking-related risk of hip fracture, while adjustment for BMI had a small downward effect on risk for all fracture outcomes. A smoking history was associated with a significantly increased risk of fracture compared with individuals without a smoking history, but the risk was lower than for current smokers.</w:t>
      </w:r>
    </w:p>
    <w:p w:rsidR="00AF7A63" w:rsidRPr="00982193" w:rsidRDefault="00AF7A63" w:rsidP="003A2C3E">
      <w:pPr>
        <w:spacing w:line="360" w:lineRule="auto"/>
        <w:jc w:val="both"/>
        <w:rPr>
          <w:rFonts w:ascii="Verdana" w:hAnsi="Verdana"/>
        </w:rPr>
      </w:pPr>
    </w:p>
    <w:p w:rsidR="007F6134" w:rsidRPr="00982193" w:rsidRDefault="00E163BC" w:rsidP="003A2C3E">
      <w:pPr>
        <w:spacing w:line="360" w:lineRule="auto"/>
        <w:jc w:val="both"/>
        <w:rPr>
          <w:rFonts w:ascii="Verdana" w:hAnsi="Verdana"/>
        </w:rPr>
      </w:pPr>
      <w:r w:rsidRPr="00982193">
        <w:rPr>
          <w:rFonts w:ascii="Verdana" w:hAnsi="Verdana"/>
        </w:rPr>
        <w:t xml:space="preserve">Fewer studies have considered the relationship between muscle mass and smoking. </w:t>
      </w:r>
      <w:r w:rsidR="007F6134" w:rsidRPr="00982193">
        <w:rPr>
          <w:rFonts w:ascii="Verdana" w:hAnsi="Verdana"/>
        </w:rPr>
        <w:t xml:space="preserve">In recent data from the Minos study </w:t>
      </w:r>
      <w:r w:rsidR="004F1CA2">
        <w:rPr>
          <w:rFonts w:ascii="Verdana" w:hAnsi="Verdana"/>
        </w:rPr>
        <w:t>(27</w:t>
      </w:r>
      <w:r w:rsidR="00DF2AB7" w:rsidRPr="00982193">
        <w:rPr>
          <w:rFonts w:ascii="Verdana" w:hAnsi="Verdana"/>
        </w:rPr>
        <w:t xml:space="preserve">) </w:t>
      </w:r>
      <w:r w:rsidR="007F6134" w:rsidRPr="00982193">
        <w:rPr>
          <w:rFonts w:ascii="Verdana" w:hAnsi="Verdana"/>
        </w:rPr>
        <w:t xml:space="preserve">current smokers had lower appendicular muscle mass than non-smokers, and a dose-effect relationship was apparent. </w:t>
      </w:r>
      <w:r w:rsidR="00926CE3">
        <w:rPr>
          <w:rFonts w:ascii="Verdana" w:hAnsi="Verdana"/>
        </w:rPr>
        <w:t xml:space="preserve">By contrast </w:t>
      </w:r>
      <w:r w:rsidR="00DC7D3B" w:rsidRPr="00982193">
        <w:rPr>
          <w:rFonts w:ascii="Verdana" w:hAnsi="Verdana"/>
        </w:rPr>
        <w:t xml:space="preserve">some authors have reported no association </w:t>
      </w:r>
      <w:r w:rsidR="00C028D8" w:rsidRPr="00982193">
        <w:rPr>
          <w:rFonts w:ascii="Verdana" w:hAnsi="Verdana"/>
        </w:rPr>
        <w:t>(</w:t>
      </w:r>
      <w:r w:rsidR="004F1CA2">
        <w:rPr>
          <w:rFonts w:ascii="Verdana" w:hAnsi="Verdana"/>
        </w:rPr>
        <w:t>40</w:t>
      </w:r>
      <w:r w:rsidR="00AA5038" w:rsidRPr="00982193">
        <w:rPr>
          <w:rFonts w:ascii="Verdana" w:hAnsi="Verdana"/>
        </w:rPr>
        <w:t>)</w:t>
      </w:r>
      <w:r w:rsidR="00DC7D3B" w:rsidRPr="00982193">
        <w:rPr>
          <w:rFonts w:ascii="Verdana" w:hAnsi="Verdana"/>
        </w:rPr>
        <w:t>. Cigarette smoking is often associated with a low BMI, and low levels of physical activity and</w:t>
      </w:r>
      <w:r w:rsidR="00AA5038" w:rsidRPr="00982193">
        <w:rPr>
          <w:rFonts w:ascii="Verdana" w:hAnsi="Verdana"/>
        </w:rPr>
        <w:t xml:space="preserve"> this may largely underlie the </w:t>
      </w:r>
      <w:r w:rsidR="00DC7D3B" w:rsidRPr="00982193">
        <w:rPr>
          <w:rFonts w:ascii="Verdana" w:hAnsi="Verdana"/>
        </w:rPr>
        <w:t>associations described.</w:t>
      </w:r>
    </w:p>
    <w:p w:rsidR="009B4E67" w:rsidRPr="00982193" w:rsidRDefault="009B4E67" w:rsidP="003A2C3E">
      <w:pPr>
        <w:spacing w:line="360" w:lineRule="auto"/>
        <w:jc w:val="both"/>
        <w:rPr>
          <w:rFonts w:ascii="Verdana" w:hAnsi="Verdana"/>
        </w:rPr>
      </w:pPr>
    </w:p>
    <w:p w:rsidR="009B4E67" w:rsidRPr="00982193" w:rsidRDefault="009B4E67" w:rsidP="003A2C3E">
      <w:pPr>
        <w:pStyle w:val="Heading1"/>
        <w:jc w:val="both"/>
        <w:rPr>
          <w:rFonts w:ascii="Verdana" w:hAnsi="Verdana"/>
          <w:sz w:val="22"/>
          <w:szCs w:val="22"/>
        </w:rPr>
      </w:pPr>
      <w:r w:rsidRPr="00982193">
        <w:rPr>
          <w:rFonts w:ascii="Verdana" w:hAnsi="Verdana"/>
          <w:sz w:val="22"/>
          <w:szCs w:val="22"/>
        </w:rPr>
        <w:t>Alcohol consumption</w:t>
      </w:r>
    </w:p>
    <w:p w:rsidR="009B4E67" w:rsidRPr="00982193" w:rsidRDefault="009B4E67" w:rsidP="003A2C3E">
      <w:pPr>
        <w:spacing w:line="360" w:lineRule="auto"/>
        <w:jc w:val="both"/>
        <w:rPr>
          <w:rFonts w:ascii="Verdana" w:hAnsi="Verdana"/>
        </w:rPr>
      </w:pPr>
      <w:r w:rsidRPr="00982193">
        <w:rPr>
          <w:rFonts w:ascii="Verdana" w:hAnsi="Verdana"/>
        </w:rPr>
        <w:t>High alcohol intake is known to have a detrimental effect on skeletal health, possibly through adverse effects on protein and calcium metabolism, mobility, gonadal function and a direct toxic effect on osteoblasts. High alcohol consumption may also predispose to falls, a risk factor for fracture.</w:t>
      </w:r>
      <w:r w:rsidR="004F1CA2">
        <w:rPr>
          <w:rFonts w:ascii="Verdana" w:hAnsi="Verdana"/>
        </w:rPr>
        <w:t xml:space="preserve"> A recent meta-analysis (41</w:t>
      </w:r>
      <w:r w:rsidR="00AA5038" w:rsidRPr="00982193">
        <w:rPr>
          <w:rFonts w:ascii="Verdana" w:hAnsi="Verdana"/>
        </w:rPr>
        <w:t xml:space="preserve">) </w:t>
      </w:r>
      <w:r w:rsidRPr="00982193">
        <w:rPr>
          <w:rFonts w:ascii="Verdana" w:hAnsi="Verdana"/>
        </w:rPr>
        <w:t xml:space="preserve">suggested that there was no significant increase in fracture risk at intakes of 2 units or less daily, but above this there was an increased risk of any fracture. There was no significant interaction with age or BMD. There was no evidence of a different threshold for effect by gender.  </w:t>
      </w:r>
      <w:r w:rsidR="00DC7D3B" w:rsidRPr="00982193">
        <w:rPr>
          <w:rFonts w:ascii="Verdana" w:hAnsi="Verdana"/>
        </w:rPr>
        <w:t>While moderate alcohol intake was not associated with muscle ma</w:t>
      </w:r>
      <w:r w:rsidR="008F2C10" w:rsidRPr="00982193">
        <w:rPr>
          <w:rFonts w:ascii="Verdana" w:hAnsi="Verdana"/>
        </w:rPr>
        <w:t xml:space="preserve">ss in </w:t>
      </w:r>
      <w:r w:rsidR="00B83B4E" w:rsidRPr="00982193">
        <w:rPr>
          <w:rFonts w:ascii="Verdana" w:hAnsi="Verdana"/>
        </w:rPr>
        <w:t xml:space="preserve">one of the few </w:t>
      </w:r>
      <w:r w:rsidR="00B83B4E" w:rsidRPr="00982193">
        <w:rPr>
          <w:rFonts w:ascii="Verdana" w:hAnsi="Verdana"/>
        </w:rPr>
        <w:lastRenderedPageBreak/>
        <w:t xml:space="preserve">longitudinal studies of muscle loss, </w:t>
      </w:r>
      <w:r w:rsidR="00A23DBE">
        <w:rPr>
          <w:rFonts w:ascii="Verdana" w:hAnsi="Verdana"/>
        </w:rPr>
        <w:t>the Minos study (42</w:t>
      </w:r>
      <w:r w:rsidR="00AA5038" w:rsidRPr="00982193">
        <w:rPr>
          <w:rFonts w:ascii="Verdana" w:hAnsi="Verdana"/>
        </w:rPr>
        <w:t>)</w:t>
      </w:r>
      <w:r w:rsidR="00DC7D3B" w:rsidRPr="00982193">
        <w:rPr>
          <w:rFonts w:ascii="Verdana" w:hAnsi="Verdana"/>
        </w:rPr>
        <w:t>, heavy alcohol consumption is likely to lead to low muscle mass through associated effects on poor nutrition, low levels of physical activity and hormonal abnormalities.</w:t>
      </w:r>
    </w:p>
    <w:p w:rsidR="00DC7D3B" w:rsidRPr="00982193" w:rsidRDefault="00DC7D3B" w:rsidP="003A2C3E">
      <w:pPr>
        <w:spacing w:line="360" w:lineRule="auto"/>
        <w:jc w:val="both"/>
        <w:rPr>
          <w:rFonts w:ascii="Verdana" w:hAnsi="Verdana"/>
        </w:rPr>
      </w:pPr>
    </w:p>
    <w:p w:rsidR="009B4E67" w:rsidRPr="00982193" w:rsidRDefault="009B4E67" w:rsidP="003A2C3E">
      <w:pPr>
        <w:pStyle w:val="Heading1"/>
        <w:jc w:val="both"/>
        <w:rPr>
          <w:rFonts w:ascii="Verdana" w:hAnsi="Verdana"/>
          <w:sz w:val="22"/>
          <w:szCs w:val="22"/>
        </w:rPr>
      </w:pPr>
      <w:r w:rsidRPr="00982193">
        <w:rPr>
          <w:rFonts w:ascii="Verdana" w:hAnsi="Verdana"/>
          <w:sz w:val="22"/>
          <w:szCs w:val="22"/>
        </w:rPr>
        <w:t>Diet</w:t>
      </w:r>
    </w:p>
    <w:p w:rsidR="009B4E67" w:rsidRPr="00982193" w:rsidRDefault="00B83B4E" w:rsidP="003A2C3E">
      <w:pPr>
        <w:spacing w:line="360" w:lineRule="auto"/>
        <w:jc w:val="both"/>
        <w:rPr>
          <w:rFonts w:ascii="Verdana" w:hAnsi="Verdana"/>
        </w:rPr>
      </w:pPr>
      <w:r w:rsidRPr="00982193">
        <w:rPr>
          <w:rFonts w:ascii="Verdana" w:hAnsi="Verdana"/>
        </w:rPr>
        <w:t xml:space="preserve">Diet has a significant effect on bone and muscle health in later life. </w:t>
      </w:r>
      <w:r w:rsidR="009B4E67" w:rsidRPr="00982193">
        <w:rPr>
          <w:rFonts w:ascii="Verdana" w:hAnsi="Verdana"/>
        </w:rPr>
        <w:t>Dietary calcium intake during growth may play a role in the development and maintenance of peak BMD. It is likely that other environmental and lifestyle factors, particularly exercise, may modulate this effect. Calcium supplementation in growing children produces small increases in BMD that tend not to be maintained. Despite studies showing the benefit of pharmacological supplementation of calcium in the maintenance of skeletal health, the observational evidence relating to dietary calcium and fracture risk suggests there is very little relationship between dietary calcium intake and the ri</w:t>
      </w:r>
      <w:r w:rsidR="00A23DBE">
        <w:rPr>
          <w:rFonts w:ascii="Verdana" w:hAnsi="Verdana"/>
        </w:rPr>
        <w:t>sk of osteoporotic fracture (43</w:t>
      </w:r>
      <w:r w:rsidR="00AA5038" w:rsidRPr="00982193">
        <w:rPr>
          <w:rFonts w:ascii="Verdana" w:hAnsi="Verdana"/>
        </w:rPr>
        <w:t>)</w:t>
      </w:r>
      <w:r w:rsidR="009B4E67" w:rsidRPr="00982193">
        <w:rPr>
          <w:rFonts w:ascii="Verdana" w:hAnsi="Verdana"/>
        </w:rPr>
        <w:t>, with the exception of very low calcium intakes.</w:t>
      </w:r>
      <w:r w:rsidR="00596DF4" w:rsidRPr="00982193">
        <w:rPr>
          <w:rFonts w:ascii="Verdana" w:hAnsi="Verdana"/>
        </w:rPr>
        <w:t xml:space="preserve"> </w:t>
      </w:r>
      <w:r w:rsidR="009B4E67" w:rsidRPr="00982193">
        <w:rPr>
          <w:rFonts w:ascii="Verdana" w:hAnsi="Verdana"/>
        </w:rPr>
        <w:t>Vitamin D is necessary for optimal absorption of calcium from the diet. In many countries vitamin D is added to food-stuffs; otherwise adequate skin exposure to ultraviolet light is necessary to maintain vitamin D levels from endogenous synthesis.</w:t>
      </w:r>
    </w:p>
    <w:p w:rsidR="009B4E67" w:rsidRPr="00982193" w:rsidRDefault="009B4E67" w:rsidP="003A2C3E">
      <w:pPr>
        <w:spacing w:line="360" w:lineRule="auto"/>
        <w:jc w:val="both"/>
        <w:rPr>
          <w:rFonts w:ascii="Verdana" w:hAnsi="Verdana"/>
        </w:rPr>
      </w:pPr>
    </w:p>
    <w:p w:rsidR="009B4E67" w:rsidRPr="00982193" w:rsidRDefault="009B4E67" w:rsidP="003A2C3E">
      <w:pPr>
        <w:spacing w:line="360" w:lineRule="auto"/>
        <w:jc w:val="both"/>
        <w:rPr>
          <w:rFonts w:ascii="Verdana" w:hAnsi="Verdana"/>
        </w:rPr>
      </w:pPr>
      <w:r w:rsidRPr="00982193">
        <w:rPr>
          <w:rFonts w:ascii="Verdana" w:hAnsi="Verdana"/>
        </w:rPr>
        <w:t xml:space="preserve">There is also some evidence to suggest that dietary protein intake may be important in determining </w:t>
      </w:r>
      <w:r w:rsidR="008F2C10" w:rsidRPr="00982193">
        <w:rPr>
          <w:rFonts w:ascii="Verdana" w:hAnsi="Verdana"/>
        </w:rPr>
        <w:t>bone mass and fract</w:t>
      </w:r>
      <w:r w:rsidR="00A23DBE">
        <w:rPr>
          <w:rFonts w:ascii="Verdana" w:hAnsi="Verdana"/>
        </w:rPr>
        <w:t>ure risk (44</w:t>
      </w:r>
      <w:r w:rsidR="00AA5038" w:rsidRPr="00982193">
        <w:rPr>
          <w:rFonts w:ascii="Verdana" w:hAnsi="Verdana"/>
        </w:rPr>
        <w:t>)</w:t>
      </w:r>
      <w:r w:rsidRPr="00982193">
        <w:rPr>
          <w:rFonts w:ascii="Verdana" w:hAnsi="Verdana"/>
        </w:rPr>
        <w:t>. It has also been suggested that protein derived from vegetable sources may be more beneficial for the s</w:t>
      </w:r>
      <w:r w:rsidR="009E3635" w:rsidRPr="00982193">
        <w:rPr>
          <w:rFonts w:ascii="Verdana" w:hAnsi="Verdana"/>
        </w:rPr>
        <w:t>kel</w:t>
      </w:r>
      <w:r w:rsidR="00CE6E85">
        <w:rPr>
          <w:rFonts w:ascii="Verdana" w:hAnsi="Verdana"/>
        </w:rPr>
        <w:t xml:space="preserve">eton </w:t>
      </w:r>
      <w:r w:rsidR="00A23DBE">
        <w:rPr>
          <w:rFonts w:ascii="Verdana" w:hAnsi="Verdana"/>
        </w:rPr>
        <w:t>than animal protein (45</w:t>
      </w:r>
      <w:r w:rsidR="00AA5038" w:rsidRPr="00982193">
        <w:rPr>
          <w:rFonts w:ascii="Verdana" w:hAnsi="Verdana"/>
        </w:rPr>
        <w:t>)</w:t>
      </w:r>
      <w:r w:rsidRPr="00982193">
        <w:rPr>
          <w:rFonts w:ascii="Verdana" w:hAnsi="Verdana"/>
        </w:rPr>
        <w:t xml:space="preserve">; this </w:t>
      </w:r>
      <w:r w:rsidR="00E314E8">
        <w:rPr>
          <w:rFonts w:ascii="Verdana" w:hAnsi="Verdana"/>
        </w:rPr>
        <w:t>might reflect</w:t>
      </w:r>
      <w:r w:rsidRPr="00982193">
        <w:rPr>
          <w:rFonts w:ascii="Verdana" w:hAnsi="Verdana"/>
        </w:rPr>
        <w:t xml:space="preserve"> the different effect of the protein source upon the acid-base balance but this has not yet been demonstrated in prospective studies.</w:t>
      </w:r>
    </w:p>
    <w:p w:rsidR="009B4E67" w:rsidRPr="00982193" w:rsidRDefault="009B4E67" w:rsidP="003A2C3E">
      <w:pPr>
        <w:spacing w:line="360" w:lineRule="auto"/>
        <w:jc w:val="both"/>
        <w:rPr>
          <w:rFonts w:ascii="Verdana" w:hAnsi="Verdana"/>
        </w:rPr>
      </w:pPr>
    </w:p>
    <w:p w:rsidR="009B4E67" w:rsidRPr="00982193" w:rsidRDefault="009B4E67" w:rsidP="003A2C3E">
      <w:pPr>
        <w:spacing w:line="360" w:lineRule="auto"/>
        <w:jc w:val="both"/>
        <w:rPr>
          <w:rFonts w:ascii="Verdana" w:hAnsi="Verdana"/>
        </w:rPr>
      </w:pPr>
      <w:r w:rsidRPr="00982193">
        <w:rPr>
          <w:rFonts w:ascii="Verdana" w:hAnsi="Verdana"/>
        </w:rPr>
        <w:t>There is little evidence that micronutrients such as zinc, copper and boron have major effects on bone health. Some diets, especially those rich in soy protein, can provide significant amounts o</w:t>
      </w:r>
      <w:r w:rsidR="008F2C10" w:rsidRPr="00982193">
        <w:rPr>
          <w:rFonts w:ascii="Verdana" w:hAnsi="Verdana"/>
        </w:rPr>
        <w:t xml:space="preserve">f </w:t>
      </w:r>
      <w:proofErr w:type="spellStart"/>
      <w:r w:rsidR="008F2C10" w:rsidRPr="00982193">
        <w:rPr>
          <w:rFonts w:ascii="Verdana" w:hAnsi="Verdana"/>
        </w:rPr>
        <w:t>estrogens</w:t>
      </w:r>
      <w:proofErr w:type="spellEnd"/>
      <w:r w:rsidR="008F2C10" w:rsidRPr="00982193">
        <w:rPr>
          <w:rFonts w:ascii="Verdana" w:hAnsi="Verdana"/>
        </w:rPr>
        <w:t>. A r</w:t>
      </w:r>
      <w:r w:rsidR="00A23DBE">
        <w:rPr>
          <w:rFonts w:ascii="Verdana" w:hAnsi="Verdana"/>
        </w:rPr>
        <w:t>ecent study (46</w:t>
      </w:r>
      <w:r w:rsidR="00AA5038" w:rsidRPr="00982193">
        <w:rPr>
          <w:rFonts w:ascii="Verdana" w:hAnsi="Verdana"/>
        </w:rPr>
        <w:t>)</w:t>
      </w:r>
      <w:r w:rsidRPr="00982193">
        <w:rPr>
          <w:rFonts w:ascii="Verdana" w:hAnsi="Verdana"/>
        </w:rPr>
        <w:t xml:space="preserve"> has also suggested that a high soy consumption may be associated with a lower risk of fracture among women from the Shanghai Women’s Health Study. Excessive salt </w:t>
      </w:r>
      <w:r w:rsidRPr="00982193">
        <w:rPr>
          <w:rFonts w:ascii="Verdana" w:hAnsi="Verdana"/>
        </w:rPr>
        <w:lastRenderedPageBreak/>
        <w:t xml:space="preserve">and caffeine may have adverse effects on bone, possibly by increasing urinary calcium excretion directly and hence contribute to a negative calcium balance. </w:t>
      </w:r>
    </w:p>
    <w:p w:rsidR="00AF7A63" w:rsidRDefault="00AF7A63" w:rsidP="003A2C3E">
      <w:pPr>
        <w:spacing w:line="360" w:lineRule="auto"/>
        <w:jc w:val="both"/>
        <w:rPr>
          <w:rFonts w:ascii="Verdana" w:hAnsi="Verdana"/>
        </w:rPr>
      </w:pPr>
    </w:p>
    <w:p w:rsidR="00DC7D3B" w:rsidRDefault="00484F68" w:rsidP="003A2C3E">
      <w:pPr>
        <w:spacing w:line="360" w:lineRule="auto"/>
        <w:jc w:val="both"/>
        <w:rPr>
          <w:rFonts w:ascii="Verdana" w:hAnsi="Verdana"/>
        </w:rPr>
      </w:pPr>
      <w:r>
        <w:rPr>
          <w:rFonts w:ascii="Verdana" w:hAnsi="Verdana"/>
        </w:rPr>
        <w:t xml:space="preserve">Likewise, nutrition plays a major role in the pathogenesis of muscle loss. </w:t>
      </w:r>
      <w:r w:rsidR="001D3EF9" w:rsidRPr="00982193">
        <w:rPr>
          <w:rFonts w:ascii="Verdana" w:hAnsi="Verdana"/>
        </w:rPr>
        <w:t>The rate of m</w:t>
      </w:r>
      <w:r w:rsidR="00EB21EA" w:rsidRPr="00982193">
        <w:rPr>
          <w:rFonts w:ascii="Verdana" w:hAnsi="Verdana"/>
        </w:rPr>
        <w:t xml:space="preserve">uscle protein synthesis is </w:t>
      </w:r>
      <w:r w:rsidR="0040242F" w:rsidRPr="00982193">
        <w:rPr>
          <w:rFonts w:ascii="Verdana" w:hAnsi="Verdana"/>
        </w:rPr>
        <w:t>reported to be reduced by 30% in the elderly, however there is some controversy as to whether this is attributable to poorer nutrition, disease or reduced physical activi</w:t>
      </w:r>
      <w:r w:rsidR="008F2C10" w:rsidRPr="00982193">
        <w:rPr>
          <w:rFonts w:ascii="Verdana" w:hAnsi="Verdana"/>
        </w:rPr>
        <w:t>ty</w:t>
      </w:r>
      <w:r w:rsidR="00801DE6" w:rsidRPr="00982193">
        <w:rPr>
          <w:rFonts w:ascii="Verdana" w:hAnsi="Verdana"/>
        </w:rPr>
        <w:t xml:space="preserve"> rather than aging itself (</w:t>
      </w:r>
      <w:r w:rsidR="00A23DBE">
        <w:rPr>
          <w:rFonts w:ascii="Verdana" w:hAnsi="Verdana"/>
        </w:rPr>
        <w:t>47-48</w:t>
      </w:r>
      <w:r w:rsidR="0040242F" w:rsidRPr="00982193">
        <w:rPr>
          <w:rFonts w:ascii="Verdana" w:hAnsi="Verdana"/>
        </w:rPr>
        <w:t>)</w:t>
      </w:r>
      <w:r w:rsidR="002975BD" w:rsidRPr="00982193">
        <w:rPr>
          <w:rFonts w:ascii="Verdana" w:hAnsi="Verdana"/>
        </w:rPr>
        <w:t>. I</w:t>
      </w:r>
      <w:r w:rsidR="00EB21EA" w:rsidRPr="00982193">
        <w:rPr>
          <w:rFonts w:ascii="Verdana" w:hAnsi="Verdana"/>
        </w:rPr>
        <w:t>n fasting elderly subjects,</w:t>
      </w:r>
      <w:r w:rsidR="002975BD" w:rsidRPr="00982193">
        <w:rPr>
          <w:rFonts w:ascii="Verdana" w:hAnsi="Verdana"/>
        </w:rPr>
        <w:t xml:space="preserve"> muscle protein synthesis is also decreased, particularly in specific muscle fractions su</w:t>
      </w:r>
      <w:r w:rsidR="00A23DBE">
        <w:rPr>
          <w:rFonts w:ascii="Verdana" w:hAnsi="Verdana"/>
        </w:rPr>
        <w:t>ch as mitochondrial proteins (49</w:t>
      </w:r>
      <w:r w:rsidR="002975BD" w:rsidRPr="00982193">
        <w:rPr>
          <w:rFonts w:ascii="Verdana" w:hAnsi="Verdana"/>
        </w:rPr>
        <w:t>). R</w:t>
      </w:r>
      <w:r w:rsidR="00EB21EA" w:rsidRPr="00982193">
        <w:rPr>
          <w:rFonts w:ascii="Verdana" w:hAnsi="Verdana"/>
        </w:rPr>
        <w:t>educed protein intake</w:t>
      </w:r>
      <w:r w:rsidR="002975BD" w:rsidRPr="00982193">
        <w:rPr>
          <w:rFonts w:ascii="Verdana" w:hAnsi="Verdana"/>
        </w:rPr>
        <w:t>, as in the anorexia of aging,</w:t>
      </w:r>
      <w:r w:rsidR="00EB21EA" w:rsidRPr="00982193">
        <w:rPr>
          <w:rFonts w:ascii="Verdana" w:hAnsi="Verdana"/>
        </w:rPr>
        <w:t xml:space="preserve"> is likely to be associated with muscle loss. It has been suggested that elderly people have an increased risk of impaired energy regulation, and that resting metabolic rate incre</w:t>
      </w:r>
      <w:r w:rsidR="001874C9">
        <w:rPr>
          <w:rFonts w:ascii="Verdana" w:hAnsi="Verdana"/>
        </w:rPr>
        <w:t>ases</w:t>
      </w:r>
      <w:r w:rsidR="00EB21EA" w:rsidRPr="00982193">
        <w:rPr>
          <w:rFonts w:ascii="Verdana" w:hAnsi="Verdana"/>
        </w:rPr>
        <w:t xml:space="preserve"> less in older subjects compared to younger adults d</w:t>
      </w:r>
      <w:r w:rsidR="001874C9">
        <w:rPr>
          <w:rFonts w:ascii="Verdana" w:hAnsi="Verdana"/>
        </w:rPr>
        <w:t>uring overfeeding, and decreases</w:t>
      </w:r>
      <w:r w:rsidR="00EB21EA" w:rsidRPr="00982193">
        <w:rPr>
          <w:rFonts w:ascii="Verdana" w:hAnsi="Verdana"/>
        </w:rPr>
        <w:t xml:space="preserve"> less during underfeeding, suggesting some age-related disconnection between changes in energy intake and resting metabolic rate </w:t>
      </w:r>
      <w:r w:rsidR="006F35E7">
        <w:rPr>
          <w:rFonts w:ascii="Verdana" w:hAnsi="Verdana"/>
        </w:rPr>
        <w:t>(50</w:t>
      </w:r>
      <w:r w:rsidR="00AA5038" w:rsidRPr="00982193">
        <w:rPr>
          <w:rFonts w:ascii="Verdana" w:hAnsi="Verdana"/>
        </w:rPr>
        <w:t>).</w:t>
      </w:r>
      <w:r>
        <w:rPr>
          <w:rFonts w:ascii="Verdana" w:hAnsi="Verdana"/>
        </w:rPr>
        <w:t xml:space="preserve"> </w:t>
      </w:r>
      <w:r w:rsidRPr="00982193">
        <w:rPr>
          <w:rFonts w:ascii="Verdana" w:hAnsi="Verdana"/>
        </w:rPr>
        <w:t>Muscle protein synthesis is directly stimulated by amino acid and essential amino acid intake</w:t>
      </w:r>
      <w:r w:rsidR="006F35E7">
        <w:rPr>
          <w:rFonts w:ascii="Verdana" w:hAnsi="Verdana"/>
        </w:rPr>
        <w:t xml:space="preserve"> (51</w:t>
      </w:r>
      <w:r w:rsidRPr="00982193">
        <w:rPr>
          <w:rFonts w:ascii="Verdana" w:hAnsi="Verdana"/>
        </w:rPr>
        <w:t>)</w:t>
      </w:r>
    </w:p>
    <w:p w:rsidR="00484F68" w:rsidRDefault="00484F68" w:rsidP="003A2C3E">
      <w:pPr>
        <w:spacing w:line="360" w:lineRule="auto"/>
        <w:jc w:val="both"/>
        <w:rPr>
          <w:rFonts w:ascii="Verdana" w:hAnsi="Verdana"/>
        </w:rPr>
      </w:pPr>
    </w:p>
    <w:p w:rsidR="00484F68" w:rsidRDefault="00484F68" w:rsidP="003A2C3E">
      <w:pPr>
        <w:spacing w:line="360" w:lineRule="auto"/>
        <w:jc w:val="both"/>
        <w:rPr>
          <w:rFonts w:ascii="Verdana" w:hAnsi="Verdana"/>
        </w:rPr>
      </w:pPr>
      <w:r>
        <w:rPr>
          <w:rFonts w:ascii="Verdana" w:hAnsi="Verdana"/>
        </w:rPr>
        <w:t xml:space="preserve">An insufficient protein intake appears to influence muscle loss primarily by a reduction of synthesis rather than increased degradation of muscle protein. The International Osteoporosis Foundation recently reviewed the impact of protein intake on muscle mass, strength and performance </w:t>
      </w:r>
      <w:r w:rsidR="006F35E7">
        <w:rPr>
          <w:rFonts w:ascii="Verdana" w:hAnsi="Verdana"/>
        </w:rPr>
        <w:t>(52</w:t>
      </w:r>
      <w:r w:rsidR="00CE6E85">
        <w:rPr>
          <w:rFonts w:ascii="Verdana" w:hAnsi="Verdana"/>
        </w:rPr>
        <w:t>)</w:t>
      </w:r>
      <w:r>
        <w:rPr>
          <w:rFonts w:ascii="Verdana" w:hAnsi="Verdana"/>
        </w:rPr>
        <w:t>, signposting studies that showed that protein intake is positively associated with preservation of lean bone mass in men and women aged 70-79 years</w:t>
      </w:r>
      <w:r w:rsidR="00CE6E85">
        <w:rPr>
          <w:rFonts w:ascii="Verdana" w:hAnsi="Verdana"/>
        </w:rPr>
        <w:t>.</w:t>
      </w:r>
      <w:r>
        <w:rPr>
          <w:rFonts w:ascii="Verdana" w:hAnsi="Verdana"/>
        </w:rPr>
        <w:t xml:space="preserve"> Typically supplementation studies have combined protein supplementation with resistance training, although</w:t>
      </w:r>
      <w:r w:rsidR="00CE6E85">
        <w:rPr>
          <w:rFonts w:ascii="Verdana" w:hAnsi="Verdana"/>
        </w:rPr>
        <w:t xml:space="preserve"> the results have been mixed (53).</w:t>
      </w:r>
      <w:r>
        <w:rPr>
          <w:rFonts w:ascii="Verdana" w:hAnsi="Verdana"/>
        </w:rPr>
        <w:t xml:space="preserve"> </w:t>
      </w:r>
      <w:r w:rsidR="005136ED">
        <w:rPr>
          <w:rFonts w:ascii="Verdana" w:hAnsi="Verdana"/>
        </w:rPr>
        <w:t>Factors that may have contrib</w:t>
      </w:r>
      <w:r>
        <w:rPr>
          <w:rFonts w:ascii="Verdana" w:hAnsi="Verdana"/>
        </w:rPr>
        <w:t xml:space="preserve">uted to this heterogeneity include participants’ age range; initial degree of sarcopenia; comorbidity burden; </w:t>
      </w:r>
      <w:r w:rsidR="005136ED">
        <w:rPr>
          <w:rFonts w:ascii="Verdana" w:hAnsi="Verdana"/>
        </w:rPr>
        <w:t xml:space="preserve">supplementation and exercise regimes. </w:t>
      </w:r>
    </w:p>
    <w:p w:rsidR="00FF54F0" w:rsidRDefault="00FF54F0" w:rsidP="003A2C3E">
      <w:pPr>
        <w:spacing w:line="360" w:lineRule="auto"/>
        <w:jc w:val="both"/>
        <w:rPr>
          <w:rFonts w:ascii="Verdana" w:hAnsi="Verdana"/>
        </w:rPr>
      </w:pPr>
    </w:p>
    <w:p w:rsidR="00FF54F0" w:rsidRDefault="00D40AF7" w:rsidP="003A2C3E">
      <w:pPr>
        <w:spacing w:line="360" w:lineRule="auto"/>
        <w:jc w:val="both"/>
        <w:rPr>
          <w:rFonts w:ascii="Verdana" w:hAnsi="Verdana"/>
        </w:rPr>
      </w:pPr>
      <w:r>
        <w:rPr>
          <w:rFonts w:ascii="Verdana" w:hAnsi="Verdana"/>
        </w:rPr>
        <w:t xml:space="preserve">Other dietary constituents and their effect on muscle health were similarly reviewed by </w:t>
      </w:r>
      <w:proofErr w:type="spellStart"/>
      <w:r>
        <w:rPr>
          <w:rFonts w:ascii="Verdana" w:hAnsi="Verdana"/>
        </w:rPr>
        <w:t>Mithal</w:t>
      </w:r>
      <w:proofErr w:type="spellEnd"/>
      <w:r>
        <w:rPr>
          <w:rFonts w:ascii="Verdana" w:hAnsi="Verdana"/>
        </w:rPr>
        <w:t xml:space="preserve"> et al (54). C</w:t>
      </w:r>
      <w:r w:rsidR="00FF54F0">
        <w:rPr>
          <w:rFonts w:ascii="Verdana" w:hAnsi="Verdana"/>
        </w:rPr>
        <w:t>hronic ingestion of acid-producing diets</w:t>
      </w:r>
      <w:r w:rsidR="008323C6">
        <w:rPr>
          <w:rFonts w:ascii="Verdana" w:hAnsi="Verdana"/>
        </w:rPr>
        <w:t xml:space="preserve">, as is commonly seen in older adults in combination with a low intake of alkalizing fruit </w:t>
      </w:r>
      <w:r w:rsidR="008323C6">
        <w:rPr>
          <w:rFonts w:ascii="Verdana" w:hAnsi="Verdana"/>
        </w:rPr>
        <w:lastRenderedPageBreak/>
        <w:t>and vegetables</w:t>
      </w:r>
      <w:r w:rsidR="00FF54F0">
        <w:rPr>
          <w:rFonts w:ascii="Verdana" w:hAnsi="Verdana"/>
        </w:rPr>
        <w:t xml:space="preserve"> appears to have a negative impact on </w:t>
      </w:r>
      <w:r w:rsidR="008323C6">
        <w:rPr>
          <w:rFonts w:ascii="Verdana" w:hAnsi="Verdana"/>
        </w:rPr>
        <w:t xml:space="preserve">both bone and </w:t>
      </w:r>
      <w:r w:rsidR="00FF54F0">
        <w:rPr>
          <w:rFonts w:ascii="Verdana" w:hAnsi="Verdana"/>
        </w:rPr>
        <w:t>muscle</w:t>
      </w:r>
      <w:r w:rsidR="008323C6">
        <w:rPr>
          <w:rFonts w:ascii="Verdana" w:hAnsi="Verdana"/>
        </w:rPr>
        <w:t>. D</w:t>
      </w:r>
      <w:r w:rsidR="00FF54F0">
        <w:rPr>
          <w:rFonts w:ascii="Verdana" w:hAnsi="Verdana"/>
        </w:rPr>
        <w:t>ecreases in vitamin B12 and folic acid may also impact muscle function through an effect on homocysteine</w:t>
      </w:r>
      <w:r>
        <w:rPr>
          <w:rFonts w:ascii="Verdana" w:hAnsi="Verdana"/>
        </w:rPr>
        <w:t>.</w:t>
      </w:r>
      <w:r w:rsidR="00AB1FA3">
        <w:rPr>
          <w:rFonts w:ascii="Verdana" w:hAnsi="Verdana"/>
        </w:rPr>
        <w:t xml:space="preserve"> This is of interest since high homocysteine levels are also associated with fracture in large prospective cohort studies, an association that was independent of bone mineral density </w:t>
      </w:r>
      <w:r w:rsidR="008323C6">
        <w:rPr>
          <w:rFonts w:ascii="Verdana" w:hAnsi="Verdana"/>
        </w:rPr>
        <w:t>in the LASA and Rotterdam studies.</w:t>
      </w:r>
    </w:p>
    <w:p w:rsidR="005136ED" w:rsidRDefault="005136ED" w:rsidP="003A2C3E">
      <w:pPr>
        <w:spacing w:line="360" w:lineRule="auto"/>
        <w:jc w:val="both"/>
        <w:rPr>
          <w:rFonts w:ascii="Verdana" w:hAnsi="Verdana"/>
        </w:rPr>
      </w:pPr>
    </w:p>
    <w:p w:rsidR="005136ED" w:rsidRPr="00982193" w:rsidRDefault="001874C9" w:rsidP="003A2C3E">
      <w:pPr>
        <w:spacing w:line="360" w:lineRule="auto"/>
        <w:jc w:val="both"/>
        <w:rPr>
          <w:rFonts w:ascii="Verdana" w:hAnsi="Verdana"/>
        </w:rPr>
      </w:pPr>
      <w:r>
        <w:rPr>
          <w:rFonts w:ascii="Verdana" w:hAnsi="Verdana"/>
        </w:rPr>
        <w:t>An</w:t>
      </w:r>
      <w:r w:rsidR="005136ED">
        <w:rPr>
          <w:rFonts w:ascii="Verdana" w:hAnsi="Verdana"/>
        </w:rPr>
        <w:t xml:space="preserve"> ESCEO consensus statement has recently been published that recommends an optimal dietary protein intake of 1.0 to 1.2g/ kg body weight/day with at least 20-25g of high-quality protein at each main meal in post-menopausal women for prevention of age-related deterioration of musculoskeletal health </w:t>
      </w:r>
      <w:r w:rsidR="006F35E7">
        <w:rPr>
          <w:rFonts w:ascii="Verdana" w:hAnsi="Verdana"/>
        </w:rPr>
        <w:t>(52</w:t>
      </w:r>
      <w:r w:rsidR="009144D2">
        <w:rPr>
          <w:rFonts w:ascii="Verdana" w:hAnsi="Verdana"/>
        </w:rPr>
        <w:t xml:space="preserve">). </w:t>
      </w:r>
      <w:r w:rsidR="005136ED">
        <w:rPr>
          <w:rFonts w:ascii="Verdana" w:hAnsi="Verdana"/>
        </w:rPr>
        <w:t>This recommendation is made alongside a recommendation for a calcium</w:t>
      </w:r>
      <w:r>
        <w:rPr>
          <w:rFonts w:ascii="Verdana" w:hAnsi="Verdana"/>
        </w:rPr>
        <w:t xml:space="preserve"> intake of 1000mg/day,</w:t>
      </w:r>
      <w:r w:rsidR="005136ED">
        <w:rPr>
          <w:rFonts w:ascii="Verdana" w:hAnsi="Verdana"/>
        </w:rPr>
        <w:t xml:space="preserve"> regular physical exercise</w:t>
      </w:r>
      <w:r w:rsidR="00FF54F0">
        <w:rPr>
          <w:rFonts w:ascii="Verdana" w:hAnsi="Verdana"/>
        </w:rPr>
        <w:t xml:space="preserve"> and recommendations regarding vitamin D intake discussed below.</w:t>
      </w:r>
    </w:p>
    <w:p w:rsidR="00596DF4" w:rsidRPr="00982193" w:rsidRDefault="00596DF4" w:rsidP="003A2C3E">
      <w:pPr>
        <w:spacing w:line="360" w:lineRule="auto"/>
        <w:jc w:val="both"/>
        <w:rPr>
          <w:rFonts w:ascii="Verdana" w:hAnsi="Verdana"/>
        </w:rPr>
      </w:pPr>
    </w:p>
    <w:p w:rsidR="009B4E67" w:rsidRPr="00982193" w:rsidRDefault="00E944B7" w:rsidP="003A2C3E">
      <w:pPr>
        <w:pStyle w:val="Heading1"/>
        <w:jc w:val="both"/>
        <w:rPr>
          <w:rFonts w:ascii="Verdana" w:hAnsi="Verdana"/>
          <w:sz w:val="22"/>
          <w:szCs w:val="22"/>
        </w:rPr>
      </w:pPr>
      <w:r w:rsidRPr="00982193">
        <w:rPr>
          <w:rFonts w:ascii="Verdana" w:hAnsi="Verdana"/>
          <w:sz w:val="22"/>
          <w:szCs w:val="22"/>
        </w:rPr>
        <w:t>H</w:t>
      </w:r>
      <w:r w:rsidR="009B4E67" w:rsidRPr="00982193">
        <w:rPr>
          <w:rFonts w:ascii="Verdana" w:hAnsi="Verdana"/>
          <w:sz w:val="22"/>
          <w:szCs w:val="22"/>
        </w:rPr>
        <w:t>ormone deficiency</w:t>
      </w:r>
    </w:p>
    <w:p w:rsidR="009B4E67" w:rsidRPr="00982193" w:rsidRDefault="00596DF4" w:rsidP="003A2C3E">
      <w:pPr>
        <w:spacing w:line="360" w:lineRule="auto"/>
        <w:jc w:val="both"/>
        <w:rPr>
          <w:rFonts w:ascii="Verdana" w:hAnsi="Verdana"/>
        </w:rPr>
      </w:pPr>
      <w:r w:rsidRPr="00982193">
        <w:rPr>
          <w:rFonts w:ascii="Verdana" w:hAnsi="Verdana"/>
        </w:rPr>
        <w:t>Hormonal deficiency is associated with bone muscle and bone loss</w:t>
      </w:r>
      <w:r w:rsidR="008323C6">
        <w:rPr>
          <w:rFonts w:ascii="Verdana" w:hAnsi="Verdana"/>
        </w:rPr>
        <w:t>, and leads to an earlier accelerated rate of loss in women compared to men</w:t>
      </w:r>
      <w:r w:rsidRPr="00982193">
        <w:rPr>
          <w:rFonts w:ascii="Verdana" w:hAnsi="Verdana"/>
        </w:rPr>
        <w:t>.</w:t>
      </w:r>
      <w:r w:rsidR="008323C6">
        <w:rPr>
          <w:rFonts w:ascii="Verdana" w:hAnsi="Verdana"/>
        </w:rPr>
        <w:t xml:space="preserve"> Oestrogen receptors are present in human muscle and bone cells, and Hormone Replacement Therapy in </w:t>
      </w:r>
      <w:proofErr w:type="spellStart"/>
      <w:r w:rsidR="008323C6">
        <w:rPr>
          <w:rFonts w:ascii="Verdana" w:hAnsi="Verdana"/>
        </w:rPr>
        <w:t>estrogen</w:t>
      </w:r>
      <w:proofErr w:type="spellEnd"/>
      <w:r w:rsidR="008323C6">
        <w:rPr>
          <w:rFonts w:ascii="Verdana" w:hAnsi="Verdana"/>
        </w:rPr>
        <w:t xml:space="preserve"> deficient women leads to protection of bone and muscle mass.</w:t>
      </w:r>
      <w:r w:rsidR="009B4E67" w:rsidRPr="00982193">
        <w:rPr>
          <w:rFonts w:ascii="Verdana" w:hAnsi="Verdana"/>
        </w:rPr>
        <w:t xml:space="preserve"> A premature menopause, unopposed by exogenous oestrogen therapy, is a risk factor for fragility fracture, as is primary or secondary amenorrhoea in younger women.  The pathogenesis of male osteoporosis is less well understood, but it is thought that </w:t>
      </w:r>
      <w:proofErr w:type="spellStart"/>
      <w:r w:rsidR="009B4E67" w:rsidRPr="00982193">
        <w:rPr>
          <w:rFonts w:ascii="Verdana" w:hAnsi="Verdana"/>
        </w:rPr>
        <w:t>estrogens</w:t>
      </w:r>
      <w:proofErr w:type="spellEnd"/>
      <w:r w:rsidR="009B4E67" w:rsidRPr="00982193">
        <w:rPr>
          <w:rFonts w:ascii="Verdana" w:hAnsi="Verdana"/>
        </w:rPr>
        <w:t xml:space="preserve"> derived by metabolism from androgens play an important role in </w:t>
      </w:r>
      <w:r w:rsidR="000D7CBC" w:rsidRPr="00982193">
        <w:rPr>
          <w:rFonts w:ascii="Verdana" w:hAnsi="Verdana"/>
        </w:rPr>
        <w:t>protecting against bone l</w:t>
      </w:r>
      <w:r w:rsidR="009144D2">
        <w:rPr>
          <w:rFonts w:ascii="Verdana" w:hAnsi="Verdana"/>
        </w:rPr>
        <w:t>oss</w:t>
      </w:r>
      <w:r w:rsidR="009B4E67" w:rsidRPr="00982193">
        <w:rPr>
          <w:rFonts w:ascii="Verdana" w:hAnsi="Verdana"/>
        </w:rPr>
        <w:t xml:space="preserve">. </w:t>
      </w:r>
      <w:r w:rsidR="00EB21EA" w:rsidRPr="00982193">
        <w:rPr>
          <w:rFonts w:ascii="Verdana" w:hAnsi="Verdana"/>
        </w:rPr>
        <w:t>Testosterone levels gradually decrease in older men at a rate of 1% per year, and age related increases in sex hormone binding globulin levels result in reduced levels of free or bioavailable testosterone. Studies suggest that low testosterone predicts sarcopenia, with low testosterone resulting in lower protein synthesis and a loss of muscle mass</w:t>
      </w:r>
      <w:r w:rsidR="006F35E7">
        <w:rPr>
          <w:rFonts w:ascii="Verdana" w:hAnsi="Verdana"/>
        </w:rPr>
        <w:t xml:space="preserve"> (55</w:t>
      </w:r>
      <w:r w:rsidR="000807AA" w:rsidRPr="00982193">
        <w:rPr>
          <w:rFonts w:ascii="Verdana" w:hAnsi="Verdana"/>
        </w:rPr>
        <w:t>)</w:t>
      </w:r>
      <w:r w:rsidR="00EB21EA" w:rsidRPr="00982193">
        <w:rPr>
          <w:rFonts w:ascii="Verdana" w:hAnsi="Verdana"/>
        </w:rPr>
        <w:t xml:space="preserve">. </w:t>
      </w:r>
      <w:r w:rsidR="009B4E67" w:rsidRPr="00982193">
        <w:rPr>
          <w:rFonts w:ascii="Verdana" w:hAnsi="Verdana"/>
        </w:rPr>
        <w:t xml:space="preserve"> </w:t>
      </w:r>
    </w:p>
    <w:p w:rsidR="00E944B7" w:rsidRPr="00982193" w:rsidRDefault="00E944B7" w:rsidP="003A2C3E">
      <w:pPr>
        <w:spacing w:line="360" w:lineRule="auto"/>
        <w:jc w:val="both"/>
        <w:rPr>
          <w:rFonts w:ascii="Verdana" w:hAnsi="Verdana"/>
        </w:rPr>
      </w:pPr>
    </w:p>
    <w:p w:rsidR="009B4E67" w:rsidRDefault="00E944B7" w:rsidP="003A2C3E">
      <w:pPr>
        <w:spacing w:line="360" w:lineRule="auto"/>
        <w:jc w:val="both"/>
        <w:rPr>
          <w:rFonts w:ascii="Verdana" w:hAnsi="Verdana"/>
        </w:rPr>
      </w:pPr>
      <w:r w:rsidRPr="00982193">
        <w:rPr>
          <w:rFonts w:ascii="Verdana" w:hAnsi="Verdana"/>
        </w:rPr>
        <w:lastRenderedPageBreak/>
        <w:t xml:space="preserve">Insulin-like Growth Factor -1 and Growth Hormone </w:t>
      </w:r>
      <w:r w:rsidR="00596DF4" w:rsidRPr="00982193">
        <w:rPr>
          <w:rFonts w:ascii="Verdana" w:hAnsi="Verdana"/>
        </w:rPr>
        <w:t xml:space="preserve">also </w:t>
      </w:r>
      <w:r w:rsidRPr="00982193">
        <w:rPr>
          <w:rFonts w:ascii="Verdana" w:hAnsi="Verdana"/>
        </w:rPr>
        <w:t>both decline with age, and are potential contributors to muscle and bone loss</w:t>
      </w:r>
      <w:r w:rsidR="006F35E7">
        <w:rPr>
          <w:rFonts w:ascii="Verdana" w:hAnsi="Verdana"/>
        </w:rPr>
        <w:t xml:space="preserve"> (56</w:t>
      </w:r>
      <w:r w:rsidR="005B018D" w:rsidRPr="00982193">
        <w:rPr>
          <w:rFonts w:ascii="Verdana" w:hAnsi="Verdana"/>
        </w:rPr>
        <w:t>)</w:t>
      </w:r>
      <w:r w:rsidRPr="00982193">
        <w:rPr>
          <w:rFonts w:ascii="Verdana" w:hAnsi="Verdana"/>
        </w:rPr>
        <w:t xml:space="preserve">. </w:t>
      </w:r>
      <w:r w:rsidR="00596DF4" w:rsidRPr="00982193">
        <w:rPr>
          <w:rFonts w:ascii="Verdana" w:hAnsi="Verdana"/>
        </w:rPr>
        <w:t xml:space="preserve">Likewise </w:t>
      </w:r>
      <w:r w:rsidR="005B018D" w:rsidRPr="00982193">
        <w:rPr>
          <w:rFonts w:ascii="Verdana" w:hAnsi="Verdana"/>
        </w:rPr>
        <w:t>25(OH) D levels decline with age and cross sectional studies have demonstrated an association between low 25(OH</w:t>
      </w:r>
      <w:proofErr w:type="gramStart"/>
      <w:r w:rsidR="005B018D" w:rsidRPr="00982193">
        <w:rPr>
          <w:rFonts w:ascii="Verdana" w:hAnsi="Verdana"/>
        </w:rPr>
        <w:t>)D</w:t>
      </w:r>
      <w:proofErr w:type="gramEnd"/>
      <w:r w:rsidR="005B018D" w:rsidRPr="00982193">
        <w:rPr>
          <w:rFonts w:ascii="Verdana" w:hAnsi="Verdana"/>
        </w:rPr>
        <w:t xml:space="preserve"> and low muscle mass and strength, poorer balance an</w:t>
      </w:r>
      <w:r w:rsidR="00926CE3">
        <w:rPr>
          <w:rFonts w:ascii="Verdana" w:hAnsi="Verdana"/>
        </w:rPr>
        <w:t>d an incr</w:t>
      </w:r>
      <w:r w:rsidR="006F35E7">
        <w:rPr>
          <w:rFonts w:ascii="Verdana" w:hAnsi="Verdana"/>
        </w:rPr>
        <w:t>eased risk of falls (57</w:t>
      </w:r>
      <w:r w:rsidR="005B018D" w:rsidRPr="00982193">
        <w:rPr>
          <w:rFonts w:ascii="Verdana" w:hAnsi="Verdana"/>
        </w:rPr>
        <w:t>).</w:t>
      </w:r>
      <w:r w:rsidR="009706E9" w:rsidRPr="00982193">
        <w:rPr>
          <w:rFonts w:ascii="Verdana" w:hAnsi="Verdana"/>
        </w:rPr>
        <w:t xml:space="preserve"> </w:t>
      </w:r>
      <w:r w:rsidR="00B83B4E" w:rsidRPr="00982193">
        <w:rPr>
          <w:rFonts w:ascii="Verdana" w:hAnsi="Verdana"/>
        </w:rPr>
        <w:t>These data complement n</w:t>
      </w:r>
      <w:r w:rsidR="00596DF4" w:rsidRPr="00982193">
        <w:rPr>
          <w:rFonts w:ascii="Verdana" w:hAnsi="Verdana"/>
        </w:rPr>
        <w:t xml:space="preserve">umerous studies </w:t>
      </w:r>
      <w:r w:rsidR="00B83B4E" w:rsidRPr="00982193">
        <w:rPr>
          <w:rFonts w:ascii="Verdana" w:hAnsi="Verdana"/>
        </w:rPr>
        <w:t xml:space="preserve">that </w:t>
      </w:r>
      <w:r w:rsidR="00596DF4" w:rsidRPr="00982193">
        <w:rPr>
          <w:rFonts w:ascii="Verdana" w:hAnsi="Verdana"/>
        </w:rPr>
        <w:t xml:space="preserve">have also highlighted the importance of adequate vitamin D levels with bone </w:t>
      </w:r>
      <w:r w:rsidR="006F35E7">
        <w:rPr>
          <w:rFonts w:ascii="Verdana" w:hAnsi="Verdana"/>
        </w:rPr>
        <w:t>(58</w:t>
      </w:r>
      <w:r w:rsidR="001E44F7">
        <w:rPr>
          <w:rFonts w:ascii="Verdana" w:hAnsi="Verdana"/>
        </w:rPr>
        <w:t>).</w:t>
      </w:r>
      <w:r w:rsidR="00596DF4" w:rsidRPr="00982193">
        <w:rPr>
          <w:rFonts w:ascii="Verdana" w:hAnsi="Verdana"/>
        </w:rPr>
        <w:t xml:space="preserve"> </w:t>
      </w:r>
      <w:r w:rsidR="009706E9" w:rsidRPr="00982193">
        <w:rPr>
          <w:rFonts w:ascii="Verdana" w:hAnsi="Verdana"/>
        </w:rPr>
        <w:t xml:space="preserve">Low levels of vitamin D are in themselves associated with a raised PTH level, however </w:t>
      </w:r>
      <w:r w:rsidR="001874C9">
        <w:rPr>
          <w:rFonts w:ascii="Verdana" w:hAnsi="Verdana"/>
        </w:rPr>
        <w:t>high PTH ha</w:t>
      </w:r>
      <w:r w:rsidR="009706E9" w:rsidRPr="00982193">
        <w:rPr>
          <w:rFonts w:ascii="Verdana" w:hAnsi="Verdana"/>
        </w:rPr>
        <w:t xml:space="preserve">s </w:t>
      </w:r>
      <w:r w:rsidR="001874C9">
        <w:rPr>
          <w:rFonts w:ascii="Verdana" w:hAnsi="Verdana"/>
        </w:rPr>
        <w:t xml:space="preserve">also been </w:t>
      </w:r>
      <w:r w:rsidR="009706E9" w:rsidRPr="00982193">
        <w:rPr>
          <w:rFonts w:ascii="Verdana" w:hAnsi="Verdana"/>
        </w:rPr>
        <w:t>associated with sarcopenia and risk of falling i</w:t>
      </w:r>
      <w:r w:rsidR="009144D2">
        <w:rPr>
          <w:rFonts w:ascii="Verdana" w:hAnsi="Verdana"/>
        </w:rPr>
        <w:t>ndependent of 25(OH)D status (</w:t>
      </w:r>
      <w:r w:rsidR="006F35E7">
        <w:rPr>
          <w:rFonts w:ascii="Verdana" w:hAnsi="Verdana"/>
        </w:rPr>
        <w:t>59,</w:t>
      </w:r>
      <w:r w:rsidR="009144D2">
        <w:rPr>
          <w:rFonts w:ascii="Verdana" w:hAnsi="Verdana"/>
        </w:rPr>
        <w:t>60</w:t>
      </w:r>
      <w:r w:rsidR="009706E9" w:rsidRPr="00982193">
        <w:rPr>
          <w:rFonts w:ascii="Verdana" w:hAnsi="Verdana"/>
        </w:rPr>
        <w:t>). PTH is purported to modulate muscle function through an increased intracellular calcium concentration or through an induced pr</w:t>
      </w:r>
      <w:r w:rsidR="009144D2">
        <w:rPr>
          <w:rFonts w:ascii="Verdana" w:hAnsi="Verdana"/>
        </w:rPr>
        <w:t>o-inflammatory pathway (61</w:t>
      </w:r>
      <w:r w:rsidR="005B79EC" w:rsidRPr="00982193">
        <w:rPr>
          <w:rFonts w:ascii="Verdana" w:hAnsi="Verdana"/>
        </w:rPr>
        <w:t xml:space="preserve">). </w:t>
      </w:r>
      <w:r w:rsidR="009706E9" w:rsidRPr="00982193">
        <w:rPr>
          <w:rFonts w:ascii="Verdana" w:hAnsi="Verdana"/>
        </w:rPr>
        <w:t xml:space="preserve"> </w:t>
      </w:r>
    </w:p>
    <w:p w:rsidR="005136ED" w:rsidRDefault="005136ED" w:rsidP="003A2C3E">
      <w:pPr>
        <w:spacing w:line="360" w:lineRule="auto"/>
        <w:jc w:val="both"/>
        <w:rPr>
          <w:rFonts w:ascii="Verdana" w:hAnsi="Verdana"/>
        </w:rPr>
      </w:pPr>
    </w:p>
    <w:p w:rsidR="005136ED" w:rsidRPr="00982193" w:rsidRDefault="005136ED" w:rsidP="003A2C3E">
      <w:pPr>
        <w:spacing w:line="360" w:lineRule="auto"/>
        <w:jc w:val="both"/>
        <w:rPr>
          <w:rFonts w:ascii="Verdana" w:hAnsi="Verdana"/>
        </w:rPr>
      </w:pPr>
      <w:r>
        <w:rPr>
          <w:rFonts w:ascii="Verdana" w:hAnsi="Verdana"/>
        </w:rPr>
        <w:t>In their re</w:t>
      </w:r>
      <w:r w:rsidR="00E314E8">
        <w:rPr>
          <w:rFonts w:ascii="Verdana" w:hAnsi="Verdana"/>
        </w:rPr>
        <w:t>view of d</w:t>
      </w:r>
      <w:r w:rsidR="006F35E7">
        <w:rPr>
          <w:rFonts w:ascii="Verdana" w:hAnsi="Verdana"/>
        </w:rPr>
        <w:t>ietary supplementation (52</w:t>
      </w:r>
      <w:r w:rsidR="00E314E8">
        <w:rPr>
          <w:rFonts w:ascii="Verdana" w:hAnsi="Verdana"/>
        </w:rPr>
        <w:t>)</w:t>
      </w:r>
      <w:r>
        <w:rPr>
          <w:rFonts w:ascii="Verdana" w:hAnsi="Verdana"/>
        </w:rPr>
        <w:t xml:space="preserve">, the International Osteoporosis Foundation reviewed the evidence that vitamin D levels are important for muscle health. They concluded that vitamin D supplementation appears to increase number and size of type II muscle fibres in elderly women, and that this effect takes place via binding of vitamin D to specific vitamin D receptors in the muscle, although this remains contentious. </w:t>
      </w:r>
      <w:r w:rsidR="001874C9">
        <w:rPr>
          <w:rFonts w:ascii="Verdana" w:hAnsi="Verdana"/>
        </w:rPr>
        <w:t>For this reason</w:t>
      </w:r>
      <w:r>
        <w:rPr>
          <w:rFonts w:ascii="Verdana" w:hAnsi="Verdana"/>
        </w:rPr>
        <w:t xml:space="preserve"> a</w:t>
      </w:r>
      <w:r w:rsidR="001874C9">
        <w:rPr>
          <w:rFonts w:ascii="Verdana" w:hAnsi="Verdana"/>
        </w:rPr>
        <w:t>n ESCEO consensus statement</w:t>
      </w:r>
      <w:r>
        <w:rPr>
          <w:rFonts w:ascii="Verdana" w:hAnsi="Verdana"/>
        </w:rPr>
        <w:t xml:space="preserve"> recommends an adequate vitamin D intake of 800IU/daily to maintain serum 25(OH)D levels &gt;50 </w:t>
      </w:r>
      <w:proofErr w:type="spellStart"/>
      <w:r>
        <w:rPr>
          <w:rFonts w:ascii="Verdana" w:hAnsi="Verdana"/>
        </w:rPr>
        <w:t>nmol</w:t>
      </w:r>
      <w:proofErr w:type="spellEnd"/>
      <w:r>
        <w:rPr>
          <w:rFonts w:ascii="Verdana" w:hAnsi="Verdana"/>
        </w:rPr>
        <w:t>/l in post-menopausal women for prevention of age-related deterior</w:t>
      </w:r>
      <w:r w:rsidR="00E314E8">
        <w:rPr>
          <w:rFonts w:ascii="Verdana" w:hAnsi="Verdana"/>
        </w:rPr>
        <w:t>ation of musculoskeletal health.</w:t>
      </w:r>
    </w:p>
    <w:p w:rsidR="00596DF4" w:rsidRPr="00982193" w:rsidRDefault="00596DF4" w:rsidP="003A2C3E">
      <w:pPr>
        <w:spacing w:line="360" w:lineRule="auto"/>
        <w:jc w:val="both"/>
        <w:rPr>
          <w:rFonts w:ascii="Verdana" w:hAnsi="Verdana"/>
        </w:rPr>
      </w:pPr>
    </w:p>
    <w:p w:rsidR="009B4E67" w:rsidRPr="00982193" w:rsidRDefault="009B4E67" w:rsidP="003A2C3E">
      <w:pPr>
        <w:pStyle w:val="Heading1"/>
        <w:jc w:val="both"/>
        <w:rPr>
          <w:rFonts w:ascii="Verdana" w:hAnsi="Verdana"/>
          <w:sz w:val="22"/>
          <w:szCs w:val="22"/>
        </w:rPr>
      </w:pPr>
      <w:r w:rsidRPr="00982193">
        <w:rPr>
          <w:rFonts w:ascii="Verdana" w:hAnsi="Verdana"/>
          <w:sz w:val="22"/>
          <w:szCs w:val="22"/>
        </w:rPr>
        <w:t>Glucocorticoid therapy</w:t>
      </w:r>
    </w:p>
    <w:p w:rsidR="00B83B4E" w:rsidRPr="00982193" w:rsidRDefault="009B4E67" w:rsidP="003A2C3E">
      <w:pPr>
        <w:spacing w:line="360" w:lineRule="auto"/>
        <w:jc w:val="both"/>
        <w:rPr>
          <w:rFonts w:ascii="Verdana" w:hAnsi="Verdana"/>
        </w:rPr>
      </w:pPr>
      <w:r w:rsidRPr="00982193">
        <w:rPr>
          <w:rFonts w:ascii="Verdana" w:hAnsi="Verdana"/>
        </w:rPr>
        <w:t>Glucocorticoids are an important cause of osteoporosis and fractures. Bone loss is believed to be most rapid in the first few months of therapy, and affects both axial and appendicular sites, although bone loss is most marked at the spine where cancellous bone predominates. The fracture risk conferred by the use of corticosteroids is not solely mediated through its effect on BMD; in one meta-analysis, the relative risk of hip fracture was increased 4.4 to 2.5 fold with h</w:t>
      </w:r>
      <w:r w:rsidR="00AA5038" w:rsidRPr="00982193">
        <w:rPr>
          <w:rFonts w:ascii="Verdana" w:hAnsi="Verdana"/>
        </w:rPr>
        <w:t>igher risks at yo</w:t>
      </w:r>
      <w:r w:rsidR="005B79EC" w:rsidRPr="00982193">
        <w:rPr>
          <w:rFonts w:ascii="Verdana" w:hAnsi="Verdana"/>
        </w:rPr>
        <w:t>unger ages (6</w:t>
      </w:r>
      <w:r w:rsidR="00E314E8">
        <w:rPr>
          <w:rFonts w:ascii="Verdana" w:hAnsi="Verdana"/>
        </w:rPr>
        <w:t>2</w:t>
      </w:r>
      <w:r w:rsidR="00AA5038" w:rsidRPr="00982193">
        <w:rPr>
          <w:rFonts w:ascii="Verdana" w:hAnsi="Verdana"/>
        </w:rPr>
        <w:t>)</w:t>
      </w:r>
      <w:r w:rsidRPr="00982193">
        <w:rPr>
          <w:rFonts w:ascii="Verdana" w:hAnsi="Verdana"/>
        </w:rPr>
        <w:t>. This increased risk was little altered after adjustment for BMD and was independent of prior fracture</w:t>
      </w:r>
      <w:r w:rsidR="00E314E8">
        <w:rPr>
          <w:rFonts w:ascii="Verdana" w:hAnsi="Verdana"/>
        </w:rPr>
        <w:t xml:space="preserve"> (63</w:t>
      </w:r>
      <w:r w:rsidR="006C61C5" w:rsidRPr="00982193">
        <w:rPr>
          <w:rFonts w:ascii="Verdana" w:hAnsi="Verdana"/>
        </w:rPr>
        <w:t>)</w:t>
      </w:r>
      <w:r w:rsidRPr="00982193">
        <w:rPr>
          <w:rFonts w:ascii="Verdana" w:hAnsi="Verdana"/>
        </w:rPr>
        <w:t xml:space="preserve">. </w:t>
      </w:r>
      <w:r w:rsidR="00B83B4E" w:rsidRPr="00982193">
        <w:rPr>
          <w:rFonts w:ascii="Verdana" w:hAnsi="Verdana"/>
        </w:rPr>
        <w:t>Similarly, muscle weakness is often observed in clinical practice in patients receiving oral glucocorticoids, although muscle loss in this group has not been well studied.</w:t>
      </w:r>
    </w:p>
    <w:p w:rsidR="0018049A" w:rsidRPr="00982193" w:rsidRDefault="00B83B4E" w:rsidP="003A2C3E">
      <w:pPr>
        <w:spacing w:line="360" w:lineRule="auto"/>
        <w:jc w:val="both"/>
        <w:rPr>
          <w:rFonts w:ascii="Verdana" w:hAnsi="Verdana"/>
        </w:rPr>
      </w:pPr>
      <w:r w:rsidRPr="00982193">
        <w:rPr>
          <w:rFonts w:ascii="Verdana" w:hAnsi="Verdana"/>
        </w:rPr>
        <w:lastRenderedPageBreak/>
        <w:t xml:space="preserve">  </w:t>
      </w:r>
    </w:p>
    <w:p w:rsidR="009B4E67" w:rsidRPr="00982193" w:rsidRDefault="009B4E67" w:rsidP="003A2C3E">
      <w:pPr>
        <w:pStyle w:val="Heading1"/>
        <w:jc w:val="both"/>
        <w:rPr>
          <w:rFonts w:ascii="Verdana" w:hAnsi="Verdana"/>
          <w:sz w:val="22"/>
          <w:szCs w:val="22"/>
        </w:rPr>
      </w:pPr>
      <w:r w:rsidRPr="00982193">
        <w:rPr>
          <w:rFonts w:ascii="Verdana" w:hAnsi="Verdana"/>
          <w:sz w:val="22"/>
          <w:szCs w:val="22"/>
        </w:rPr>
        <w:t>Co-pathology</w:t>
      </w:r>
    </w:p>
    <w:p w:rsidR="0018049A" w:rsidRPr="00982193" w:rsidRDefault="009B4E67" w:rsidP="003A2C3E">
      <w:pPr>
        <w:spacing w:before="120" w:after="120" w:line="360" w:lineRule="auto"/>
        <w:jc w:val="both"/>
        <w:rPr>
          <w:rFonts w:ascii="Verdana" w:hAnsi="Verdana"/>
        </w:rPr>
      </w:pPr>
      <w:r w:rsidRPr="00982193">
        <w:rPr>
          <w:rFonts w:ascii="Verdana" w:hAnsi="Verdana"/>
        </w:rPr>
        <w:t>Several medical conditions are associated with increased susceptibility to osteoporosis</w:t>
      </w:r>
      <w:r w:rsidR="00B83B4E" w:rsidRPr="00982193">
        <w:rPr>
          <w:rFonts w:ascii="Verdana" w:hAnsi="Verdana"/>
        </w:rPr>
        <w:t>, sarcopenia</w:t>
      </w:r>
      <w:r w:rsidRPr="00982193">
        <w:rPr>
          <w:rFonts w:ascii="Verdana" w:hAnsi="Verdana"/>
        </w:rPr>
        <w:t xml:space="preserve"> and fragility fracture. These include </w:t>
      </w:r>
      <w:proofErr w:type="spellStart"/>
      <w:r w:rsidRPr="00982193">
        <w:rPr>
          <w:rFonts w:ascii="Verdana" w:hAnsi="Verdana"/>
        </w:rPr>
        <w:t>rheumatological</w:t>
      </w:r>
      <w:proofErr w:type="spellEnd"/>
      <w:r w:rsidRPr="00982193">
        <w:rPr>
          <w:rFonts w:ascii="Verdana" w:hAnsi="Verdana"/>
        </w:rPr>
        <w:t xml:space="preserve"> conditions such as rheumatoid arthritis and ankylosing spondylitis where risk factors such as immobility, low body mass index and corticosteroid medication all play a part, endocrine disorders such as hyperparathyroidism and hyperthyroidism (associated with bone loss), and malabsorption syndromes such as coeliac disease.</w:t>
      </w:r>
      <w:r w:rsidR="00FB1ECB" w:rsidRPr="00982193">
        <w:rPr>
          <w:rFonts w:ascii="Verdana" w:hAnsi="Verdana"/>
        </w:rPr>
        <w:t xml:space="preserve"> </w:t>
      </w:r>
    </w:p>
    <w:p w:rsidR="00B83B4E" w:rsidRPr="00982193" w:rsidRDefault="00B83B4E" w:rsidP="003A2C3E">
      <w:pPr>
        <w:spacing w:before="120" w:after="120" w:line="360" w:lineRule="auto"/>
        <w:jc w:val="both"/>
        <w:rPr>
          <w:rFonts w:ascii="Verdana" w:hAnsi="Verdana"/>
        </w:rPr>
      </w:pPr>
    </w:p>
    <w:p w:rsidR="00B83B4E" w:rsidRPr="00982193" w:rsidRDefault="0018049A" w:rsidP="00935723">
      <w:pPr>
        <w:spacing w:before="120" w:after="120" w:line="360" w:lineRule="auto"/>
        <w:jc w:val="both"/>
        <w:rPr>
          <w:rFonts w:ascii="Verdana" w:hAnsi="Verdana"/>
        </w:rPr>
      </w:pPr>
      <w:r w:rsidRPr="00982193">
        <w:rPr>
          <w:rFonts w:ascii="Verdana" w:hAnsi="Verdana"/>
        </w:rPr>
        <w:t xml:space="preserve">Many chronic medical conditions such as COPD, heart failure and cancer are associated with loss of body weight, including lean mass. This can occur in people of all ages and is termed cachexia, though </w:t>
      </w:r>
      <w:r w:rsidR="001874C9">
        <w:rPr>
          <w:rFonts w:ascii="Verdana" w:hAnsi="Verdana"/>
        </w:rPr>
        <w:t>this is</w:t>
      </w:r>
      <w:r w:rsidRPr="00982193">
        <w:rPr>
          <w:rFonts w:ascii="Verdana" w:hAnsi="Verdana"/>
        </w:rPr>
        <w:t xml:space="preserve"> more prevalent in the elderly. These conditions lead to increased production of pro-inflammatory cytokines and an acute state of hyper-catabolism. However, production of these pro-inflammatory cytokines,</w:t>
      </w:r>
      <w:r w:rsidR="00E7102A" w:rsidRPr="00982193">
        <w:rPr>
          <w:rFonts w:ascii="Verdana" w:hAnsi="Verdana"/>
        </w:rPr>
        <w:t xml:space="preserve"> particularly IL-6, </w:t>
      </w:r>
      <w:r w:rsidRPr="00982193">
        <w:rPr>
          <w:rFonts w:ascii="Verdana" w:hAnsi="Verdana"/>
        </w:rPr>
        <w:t>IL-1</w:t>
      </w:r>
      <w:r w:rsidR="00E7102A" w:rsidRPr="00982193">
        <w:rPr>
          <w:rFonts w:ascii="Verdana" w:hAnsi="Verdana"/>
        </w:rPr>
        <w:t xml:space="preserve"> and TNF</w:t>
      </w:r>
      <w:r w:rsidRPr="00982193">
        <w:rPr>
          <w:rFonts w:ascii="Verdana" w:hAnsi="Verdana"/>
        </w:rPr>
        <w:t>, is also increased as part of normal ag</w:t>
      </w:r>
      <w:r w:rsidR="005260BE" w:rsidRPr="00982193">
        <w:rPr>
          <w:rFonts w:ascii="Verdana" w:hAnsi="Verdana"/>
        </w:rPr>
        <w:t>ing</w:t>
      </w:r>
      <w:r w:rsidR="001874C9">
        <w:rPr>
          <w:rFonts w:ascii="Verdana" w:hAnsi="Verdana"/>
        </w:rPr>
        <w:t xml:space="preserve"> and is</w:t>
      </w:r>
      <w:r w:rsidR="00E7102A" w:rsidRPr="00982193">
        <w:rPr>
          <w:rFonts w:ascii="Verdana" w:hAnsi="Verdana"/>
        </w:rPr>
        <w:t xml:space="preserve"> increased across a spectru</w:t>
      </w:r>
      <w:r w:rsidR="00E314E8">
        <w:rPr>
          <w:rFonts w:ascii="Verdana" w:hAnsi="Verdana"/>
        </w:rPr>
        <w:t>m of age-associated diseases (64</w:t>
      </w:r>
      <w:r w:rsidR="00E7102A" w:rsidRPr="00982193">
        <w:rPr>
          <w:rFonts w:ascii="Verdana" w:hAnsi="Verdana"/>
        </w:rPr>
        <w:t xml:space="preserve">, </w:t>
      </w:r>
      <w:r w:rsidR="00E314E8">
        <w:rPr>
          <w:rFonts w:ascii="Verdana" w:hAnsi="Verdana"/>
        </w:rPr>
        <w:t>65</w:t>
      </w:r>
      <w:r w:rsidR="00E7102A" w:rsidRPr="00982193">
        <w:rPr>
          <w:rFonts w:ascii="Verdana" w:hAnsi="Verdana"/>
        </w:rPr>
        <w:t>)</w:t>
      </w:r>
      <w:r w:rsidR="005260BE" w:rsidRPr="00982193">
        <w:rPr>
          <w:rFonts w:ascii="Verdana" w:hAnsi="Verdana"/>
        </w:rPr>
        <w:t xml:space="preserve">. </w:t>
      </w:r>
    </w:p>
    <w:p w:rsidR="00B83B4E" w:rsidRPr="00982193" w:rsidRDefault="00B83B4E" w:rsidP="00935723">
      <w:pPr>
        <w:spacing w:before="120" w:after="120" w:line="360" w:lineRule="auto"/>
        <w:jc w:val="both"/>
        <w:rPr>
          <w:rFonts w:ascii="Verdana" w:hAnsi="Verdana"/>
        </w:rPr>
      </w:pPr>
    </w:p>
    <w:p w:rsidR="00B83B4E" w:rsidRPr="00982193" w:rsidRDefault="00B83B4E" w:rsidP="00935723">
      <w:pPr>
        <w:spacing w:before="120" w:after="120" w:line="360" w:lineRule="auto"/>
        <w:jc w:val="both"/>
        <w:rPr>
          <w:rFonts w:ascii="Verdana" w:hAnsi="Verdana"/>
          <w:b/>
        </w:rPr>
      </w:pPr>
      <w:proofErr w:type="spellStart"/>
      <w:r w:rsidRPr="00982193">
        <w:rPr>
          <w:rFonts w:ascii="Verdana" w:hAnsi="Verdana"/>
          <w:b/>
        </w:rPr>
        <w:t>Inflammaging</w:t>
      </w:r>
      <w:proofErr w:type="spellEnd"/>
      <w:r w:rsidRPr="00982193">
        <w:rPr>
          <w:rFonts w:ascii="Verdana" w:hAnsi="Verdana"/>
          <w:b/>
        </w:rPr>
        <w:t>: a possible pathway to muscle and bone loss?</w:t>
      </w:r>
    </w:p>
    <w:p w:rsidR="002A6654" w:rsidRPr="00982193" w:rsidRDefault="00E7102A" w:rsidP="00935723">
      <w:pPr>
        <w:spacing w:before="120" w:after="120" w:line="360" w:lineRule="auto"/>
        <w:jc w:val="both"/>
        <w:rPr>
          <w:rFonts w:ascii="Verdana" w:hAnsi="Verdana"/>
        </w:rPr>
      </w:pPr>
      <w:r w:rsidRPr="00982193">
        <w:rPr>
          <w:rFonts w:ascii="Verdana" w:hAnsi="Verdana"/>
        </w:rPr>
        <w:t xml:space="preserve">In 2000, </w:t>
      </w:r>
      <w:proofErr w:type="spellStart"/>
      <w:r w:rsidRPr="00982193">
        <w:rPr>
          <w:rFonts w:ascii="Verdana" w:hAnsi="Verdana" w:cs="Arial"/>
          <w:lang w:eastAsia="en-GB"/>
        </w:rPr>
        <w:t>Franceschi</w:t>
      </w:r>
      <w:proofErr w:type="spellEnd"/>
      <w:r w:rsidRPr="00982193">
        <w:rPr>
          <w:rFonts w:ascii="Verdana" w:hAnsi="Verdana" w:cs="Arial"/>
          <w:lang w:eastAsia="en-GB"/>
        </w:rPr>
        <w:t xml:space="preserve"> et al described this phenomenon of ‘</w:t>
      </w:r>
      <w:proofErr w:type="spellStart"/>
      <w:r w:rsidRPr="00982193">
        <w:rPr>
          <w:rFonts w:ascii="Verdana" w:hAnsi="Verdana" w:cs="Arial"/>
          <w:lang w:eastAsia="en-GB"/>
        </w:rPr>
        <w:t>inflammaging</w:t>
      </w:r>
      <w:proofErr w:type="spellEnd"/>
      <w:r w:rsidRPr="00982193">
        <w:rPr>
          <w:rFonts w:ascii="Verdana" w:hAnsi="Verdana" w:cs="Arial"/>
          <w:lang w:eastAsia="en-GB"/>
        </w:rPr>
        <w:t xml:space="preserve">’ as part of the spectrum of </w:t>
      </w:r>
      <w:proofErr w:type="spellStart"/>
      <w:r w:rsidRPr="00982193">
        <w:rPr>
          <w:rFonts w:ascii="Verdana" w:hAnsi="Verdana" w:cs="Arial"/>
          <w:lang w:eastAsia="en-GB"/>
        </w:rPr>
        <w:t>immunosenescence</w:t>
      </w:r>
      <w:proofErr w:type="spellEnd"/>
      <w:r w:rsidR="002A6654" w:rsidRPr="00982193">
        <w:rPr>
          <w:rFonts w:ascii="Verdana" w:hAnsi="Verdana" w:cs="Arial"/>
          <w:lang w:eastAsia="en-GB"/>
        </w:rPr>
        <w:t xml:space="preserve">, leading to muscle and potentially bone loss </w:t>
      </w:r>
      <w:r w:rsidR="00E314E8">
        <w:rPr>
          <w:rFonts w:ascii="Verdana" w:hAnsi="Verdana" w:cs="Arial"/>
          <w:lang w:eastAsia="en-GB"/>
        </w:rPr>
        <w:t>(66</w:t>
      </w:r>
      <w:r w:rsidRPr="00982193">
        <w:rPr>
          <w:rFonts w:ascii="Verdana" w:hAnsi="Verdana" w:cs="Arial"/>
          <w:lang w:eastAsia="en-GB"/>
        </w:rPr>
        <w:t>).</w:t>
      </w:r>
      <w:r w:rsidRPr="00982193">
        <w:rPr>
          <w:rFonts w:ascii="Verdana" w:hAnsi="Verdana"/>
        </w:rPr>
        <w:t xml:space="preserve"> </w:t>
      </w:r>
      <w:proofErr w:type="spellStart"/>
      <w:r w:rsidR="002A6654" w:rsidRPr="00982193">
        <w:rPr>
          <w:rFonts w:ascii="Verdana" w:hAnsi="Verdana"/>
        </w:rPr>
        <w:t>Inflammaging</w:t>
      </w:r>
      <w:proofErr w:type="spellEnd"/>
      <w:r w:rsidR="002A6654" w:rsidRPr="00982193">
        <w:rPr>
          <w:rFonts w:ascii="Verdana" w:hAnsi="Verdana"/>
        </w:rPr>
        <w:t xml:space="preserve"> is believed to be a consequence of a cumulative lifetime exposure to antigenic load caused by both clinical and sub-clinical infections as well as from exposu</w:t>
      </w:r>
      <w:r w:rsidR="00E314E8">
        <w:rPr>
          <w:rFonts w:ascii="Verdana" w:hAnsi="Verdana"/>
        </w:rPr>
        <w:t>re to non-infective antigens (67</w:t>
      </w:r>
      <w:r w:rsidR="002A6654" w:rsidRPr="00982193">
        <w:rPr>
          <w:rFonts w:ascii="Verdana" w:hAnsi="Verdana"/>
        </w:rPr>
        <w:t xml:space="preserve">). The consequence is an inflammatory response, tissue damage and the production of reactive oxygen species (ROS) which result in the release of additional cytokines, primarily from cells of the innate immune system, but also from </w:t>
      </w:r>
      <w:r w:rsidR="00E314E8">
        <w:rPr>
          <w:rFonts w:ascii="Verdana" w:hAnsi="Verdana"/>
        </w:rPr>
        <w:t>the acquired immune response (68</w:t>
      </w:r>
      <w:r w:rsidR="002A6654" w:rsidRPr="00982193">
        <w:rPr>
          <w:rFonts w:ascii="Verdana" w:hAnsi="Verdana"/>
        </w:rPr>
        <w:t>).</w:t>
      </w:r>
      <w:r w:rsidR="00C667DF" w:rsidRPr="00982193">
        <w:rPr>
          <w:rFonts w:ascii="Verdana" w:hAnsi="Verdana"/>
        </w:rPr>
        <w:t xml:space="preserve"> The result is a vicious cycle driving immune system remodelling and favouring a chronic pro-inflammatory state.</w:t>
      </w:r>
    </w:p>
    <w:p w:rsidR="00B83B4E" w:rsidRPr="00982193" w:rsidRDefault="00B83B4E" w:rsidP="00935723">
      <w:pPr>
        <w:spacing w:before="120" w:after="120" w:line="360" w:lineRule="auto"/>
        <w:jc w:val="both"/>
        <w:rPr>
          <w:rFonts w:ascii="Verdana" w:hAnsi="Verdana"/>
        </w:rPr>
      </w:pPr>
    </w:p>
    <w:p w:rsidR="009B4E67" w:rsidRPr="00982193" w:rsidRDefault="005260BE" w:rsidP="00935723">
      <w:pPr>
        <w:spacing w:before="120" w:after="120" w:line="360" w:lineRule="auto"/>
        <w:jc w:val="both"/>
        <w:rPr>
          <w:rFonts w:ascii="Verdana" w:hAnsi="Verdana"/>
        </w:rPr>
      </w:pPr>
      <w:r w:rsidRPr="00982193">
        <w:rPr>
          <w:rFonts w:ascii="Verdana" w:hAnsi="Verdana"/>
        </w:rPr>
        <w:lastRenderedPageBreak/>
        <w:t>The Longitudinal Aging Study of Amsterdam showed t</w:t>
      </w:r>
      <w:r w:rsidR="00716756" w:rsidRPr="00982193">
        <w:rPr>
          <w:rFonts w:ascii="Verdana" w:hAnsi="Verdana"/>
        </w:rPr>
        <w:t>hat high levels of cytokine IL-6</w:t>
      </w:r>
      <w:r w:rsidRPr="00982193">
        <w:rPr>
          <w:rFonts w:ascii="Verdana" w:hAnsi="Verdana"/>
        </w:rPr>
        <w:t xml:space="preserve"> and CRP were associated with increased ris</w:t>
      </w:r>
      <w:r w:rsidR="00926CE3">
        <w:rPr>
          <w:rFonts w:ascii="Verdana" w:hAnsi="Verdana"/>
        </w:rPr>
        <w:t>k of l</w:t>
      </w:r>
      <w:r w:rsidR="00E314E8">
        <w:rPr>
          <w:rFonts w:ascii="Verdana" w:hAnsi="Verdana"/>
        </w:rPr>
        <w:t>oss of muscle strength (69</w:t>
      </w:r>
      <w:r w:rsidRPr="00982193">
        <w:rPr>
          <w:rFonts w:ascii="Verdana" w:hAnsi="Verdana"/>
        </w:rPr>
        <w:t xml:space="preserve">). </w:t>
      </w:r>
      <w:r w:rsidR="00716756" w:rsidRPr="00982193">
        <w:rPr>
          <w:rFonts w:ascii="Verdana" w:hAnsi="Verdana"/>
        </w:rPr>
        <w:t xml:space="preserve">Chronically elevated inflammatory cytokines has been shown to lead to a predisposition to sarcopenia, perhaps through increased activation of the </w:t>
      </w:r>
      <w:proofErr w:type="spellStart"/>
      <w:r w:rsidR="00716756" w:rsidRPr="00982193">
        <w:rPr>
          <w:rFonts w:ascii="Verdana" w:hAnsi="Verdana"/>
        </w:rPr>
        <w:t>ubiquitine</w:t>
      </w:r>
      <w:proofErr w:type="spellEnd"/>
      <w:r w:rsidR="00716756" w:rsidRPr="00982193">
        <w:rPr>
          <w:rFonts w:ascii="Verdana" w:hAnsi="Verdana"/>
        </w:rPr>
        <w:t>-pro</w:t>
      </w:r>
      <w:r w:rsidR="00E314E8">
        <w:rPr>
          <w:rFonts w:ascii="Verdana" w:hAnsi="Verdana"/>
        </w:rPr>
        <w:t>tease pathway (70, 71</w:t>
      </w:r>
      <w:r w:rsidR="00716756" w:rsidRPr="00982193">
        <w:rPr>
          <w:rFonts w:ascii="Verdana" w:hAnsi="Verdana"/>
        </w:rPr>
        <w:t>).</w:t>
      </w:r>
      <w:r w:rsidR="00AD00E7" w:rsidRPr="00982193">
        <w:rPr>
          <w:rFonts w:ascii="Verdana" w:hAnsi="Verdana"/>
        </w:rPr>
        <w:t xml:space="preserve"> The </w:t>
      </w:r>
      <w:proofErr w:type="spellStart"/>
      <w:r w:rsidR="00AD00E7" w:rsidRPr="00982193">
        <w:rPr>
          <w:rFonts w:ascii="Verdana" w:hAnsi="Verdana"/>
        </w:rPr>
        <w:t>ubiquitine</w:t>
      </w:r>
      <w:proofErr w:type="spellEnd"/>
      <w:r w:rsidR="00AD00E7" w:rsidRPr="00982193">
        <w:rPr>
          <w:rFonts w:ascii="Verdana" w:hAnsi="Verdana"/>
        </w:rPr>
        <w:t xml:space="preserve">-proteasome system degrades </w:t>
      </w:r>
      <w:proofErr w:type="spellStart"/>
      <w:r w:rsidR="00AD00E7" w:rsidRPr="00982193">
        <w:rPr>
          <w:rFonts w:ascii="Verdana" w:hAnsi="Verdana"/>
        </w:rPr>
        <w:t>myofibrillar</w:t>
      </w:r>
      <w:proofErr w:type="spellEnd"/>
      <w:r w:rsidR="00AD00E7" w:rsidRPr="00982193">
        <w:rPr>
          <w:rFonts w:ascii="Verdana" w:hAnsi="Verdana"/>
        </w:rPr>
        <w:t xml:space="preserve"> proteins, but the precise role of these cytokines in sarcopenia is currently a focus of research. </w:t>
      </w:r>
    </w:p>
    <w:p w:rsidR="00B83B4E" w:rsidRPr="00982193" w:rsidRDefault="00B83B4E" w:rsidP="00935723">
      <w:pPr>
        <w:spacing w:before="120" w:after="120" w:line="360" w:lineRule="auto"/>
        <w:jc w:val="both"/>
        <w:rPr>
          <w:rFonts w:ascii="Verdana" w:hAnsi="Verdana"/>
        </w:rPr>
      </w:pPr>
    </w:p>
    <w:p w:rsidR="00E7102A" w:rsidRPr="00982193" w:rsidRDefault="007D5F89" w:rsidP="003A2C3E">
      <w:pPr>
        <w:spacing w:line="360" w:lineRule="auto"/>
        <w:jc w:val="both"/>
        <w:rPr>
          <w:rFonts w:ascii="Verdana" w:hAnsi="Verdana"/>
        </w:rPr>
      </w:pPr>
      <w:r w:rsidRPr="00982193">
        <w:rPr>
          <w:rFonts w:ascii="Verdana" w:hAnsi="Verdana"/>
        </w:rPr>
        <w:t>Obesity is also linked to inflammation and this may be the underlying process by which sarcopenic obesity occurs. It</w:t>
      </w:r>
      <w:r w:rsidR="00843314" w:rsidRPr="00982193">
        <w:rPr>
          <w:rFonts w:ascii="Verdana" w:hAnsi="Verdana"/>
        </w:rPr>
        <w:t xml:space="preserve"> has been suggested that this low level</w:t>
      </w:r>
      <w:r w:rsidRPr="00982193">
        <w:rPr>
          <w:rFonts w:ascii="Verdana" w:hAnsi="Verdana"/>
        </w:rPr>
        <w:t xml:space="preserve"> chronic inflammatory state leads to accelerated muscle loss</w:t>
      </w:r>
      <w:r w:rsidR="00843314" w:rsidRPr="00982193">
        <w:rPr>
          <w:rFonts w:ascii="Verdana" w:hAnsi="Verdana"/>
        </w:rPr>
        <w:t xml:space="preserve"> through switching on of catabolic rather than anabolic signals. Excess fa</w:t>
      </w:r>
      <w:r w:rsidR="006613D9" w:rsidRPr="00982193">
        <w:rPr>
          <w:rFonts w:ascii="Verdana" w:hAnsi="Verdana"/>
        </w:rPr>
        <w:t>tty acids in the muscle fibres has also been shown to interfere wit</w:t>
      </w:r>
      <w:r w:rsidR="00E7102A" w:rsidRPr="00982193">
        <w:rPr>
          <w:rFonts w:ascii="Verdana" w:hAnsi="Verdana"/>
        </w:rPr>
        <w:t>h normal cellular signalling (</w:t>
      </w:r>
      <w:r w:rsidR="00E314E8">
        <w:rPr>
          <w:rFonts w:ascii="Verdana" w:hAnsi="Verdana"/>
        </w:rPr>
        <w:t>72</w:t>
      </w:r>
      <w:r w:rsidR="006613D9" w:rsidRPr="00982193">
        <w:rPr>
          <w:rFonts w:ascii="Verdana" w:hAnsi="Verdana"/>
        </w:rPr>
        <w:t>).</w:t>
      </w:r>
    </w:p>
    <w:p w:rsidR="00B83B4E" w:rsidRPr="00982193" w:rsidRDefault="00B83B4E" w:rsidP="003A2C3E">
      <w:pPr>
        <w:spacing w:line="360" w:lineRule="auto"/>
        <w:jc w:val="both"/>
        <w:rPr>
          <w:rFonts w:ascii="Verdana" w:hAnsi="Verdana"/>
        </w:rPr>
      </w:pPr>
    </w:p>
    <w:p w:rsidR="009B4E67" w:rsidRPr="00982193" w:rsidRDefault="009B4E67" w:rsidP="003A2C3E">
      <w:pPr>
        <w:pStyle w:val="Heading1"/>
        <w:jc w:val="both"/>
        <w:rPr>
          <w:rFonts w:ascii="Verdana" w:hAnsi="Verdana"/>
          <w:sz w:val="22"/>
          <w:szCs w:val="22"/>
        </w:rPr>
      </w:pPr>
      <w:r w:rsidRPr="00982193">
        <w:rPr>
          <w:rFonts w:ascii="Verdana" w:hAnsi="Verdana"/>
          <w:sz w:val="22"/>
          <w:szCs w:val="22"/>
        </w:rPr>
        <w:t>Early environment</w:t>
      </w:r>
    </w:p>
    <w:p w:rsidR="009B4E67" w:rsidRPr="00982193" w:rsidRDefault="009B4E67" w:rsidP="003A2C3E">
      <w:pPr>
        <w:pStyle w:val="BodyText2"/>
        <w:spacing w:line="360" w:lineRule="auto"/>
        <w:rPr>
          <w:rFonts w:ascii="Verdana" w:hAnsi="Verdana"/>
          <w:sz w:val="22"/>
          <w:szCs w:val="22"/>
        </w:rPr>
      </w:pPr>
      <w:r w:rsidRPr="00982193">
        <w:rPr>
          <w:rFonts w:ascii="Verdana" w:hAnsi="Verdana"/>
          <w:sz w:val="22"/>
          <w:szCs w:val="22"/>
        </w:rPr>
        <w:t xml:space="preserve">Epidemiological studies have shown associations between weight at one year of age and adult </w:t>
      </w:r>
      <w:r w:rsidR="00B83B4E" w:rsidRPr="00982193">
        <w:rPr>
          <w:rFonts w:ascii="Verdana" w:hAnsi="Verdana"/>
          <w:sz w:val="22"/>
          <w:szCs w:val="22"/>
        </w:rPr>
        <w:t>osteoporotic fractures</w:t>
      </w:r>
      <w:r w:rsidRPr="00982193">
        <w:rPr>
          <w:rFonts w:ascii="Verdana" w:hAnsi="Verdana"/>
          <w:sz w:val="22"/>
          <w:szCs w:val="22"/>
        </w:rPr>
        <w:t>. The correlation between growth in childhood and risk of hip fracture in later life was demonstrated in a longitudinal</w:t>
      </w:r>
      <w:r w:rsidR="006C61C5" w:rsidRPr="00982193">
        <w:rPr>
          <w:rFonts w:ascii="Verdana" w:hAnsi="Verdana"/>
          <w:sz w:val="22"/>
          <w:szCs w:val="22"/>
        </w:rPr>
        <w:t xml:space="preserve"> study </w:t>
      </w:r>
      <w:r w:rsidR="002A6654" w:rsidRPr="00982193">
        <w:rPr>
          <w:rFonts w:ascii="Verdana" w:hAnsi="Verdana"/>
          <w:sz w:val="22"/>
          <w:szCs w:val="22"/>
        </w:rPr>
        <w:t>in Helsinki, Fin</w:t>
      </w:r>
      <w:r w:rsidR="00E314E8">
        <w:rPr>
          <w:rFonts w:ascii="Verdana" w:hAnsi="Verdana"/>
          <w:sz w:val="22"/>
          <w:szCs w:val="22"/>
        </w:rPr>
        <w:t>land (73</w:t>
      </w:r>
      <w:r w:rsidR="00AA5038" w:rsidRPr="00982193">
        <w:rPr>
          <w:rFonts w:ascii="Verdana" w:hAnsi="Verdana"/>
          <w:sz w:val="22"/>
          <w:szCs w:val="22"/>
        </w:rPr>
        <w:t>)</w:t>
      </w:r>
      <w:r w:rsidRPr="00982193">
        <w:rPr>
          <w:rFonts w:ascii="Verdana" w:hAnsi="Verdana"/>
          <w:sz w:val="22"/>
          <w:szCs w:val="22"/>
        </w:rPr>
        <w:t>. Data were collected on a total of 7086 men and women born between 1924 and 1933. Body size at birth was recorded and an average of 10 measurements of height and weight were made throughout childhood. The incidence of first hip fractures was assessed using the national hospital discharge register. After adjusting for age and sex two major determinants of hip fracture in later life were identified: tall maternal height (P &lt; 0.001) and a low rate of childhood growth (height, P = 0.006; weight, P = 0.01). The effects of maternal height and slow childhood growth were statistically independent of each other and remained after adjusting for socio-economic status. In addition, the observation that fracture subjects were shorter at birth but of average height by age 7 years suggests that hip fracture risk might be particularly elevated among children in whom growth of the skeletal envelope is forced ahead of the capacity to mineralise, a phenomenon which is accelerated during pubertal growth</w:t>
      </w:r>
      <w:r w:rsidR="000C222D" w:rsidRPr="00982193">
        <w:rPr>
          <w:rFonts w:ascii="Verdana" w:hAnsi="Verdana"/>
          <w:sz w:val="22"/>
          <w:szCs w:val="22"/>
        </w:rPr>
        <w:t>.</w:t>
      </w:r>
    </w:p>
    <w:p w:rsidR="00E944B7" w:rsidRPr="00982193" w:rsidRDefault="00E944B7" w:rsidP="003A2C3E">
      <w:pPr>
        <w:pStyle w:val="BodyText2"/>
        <w:spacing w:line="360" w:lineRule="auto"/>
        <w:rPr>
          <w:rFonts w:ascii="Verdana" w:hAnsi="Verdana"/>
          <w:sz w:val="22"/>
          <w:szCs w:val="22"/>
        </w:rPr>
      </w:pPr>
    </w:p>
    <w:p w:rsidR="00AA5038" w:rsidRPr="00982193" w:rsidRDefault="00B83B4E" w:rsidP="003A2C3E">
      <w:pPr>
        <w:pStyle w:val="BodyText2"/>
        <w:spacing w:line="360" w:lineRule="auto"/>
        <w:rPr>
          <w:rFonts w:ascii="Verdana" w:hAnsi="Verdana" w:cs="Arial"/>
          <w:sz w:val="22"/>
          <w:szCs w:val="22"/>
        </w:rPr>
      </w:pPr>
      <w:r w:rsidRPr="00982193">
        <w:rPr>
          <w:rFonts w:ascii="Verdana" w:hAnsi="Verdana"/>
          <w:sz w:val="22"/>
          <w:szCs w:val="22"/>
        </w:rPr>
        <w:lastRenderedPageBreak/>
        <w:t>The association between early life and fragility fracture is likely to reflect dual effects of the early en</w:t>
      </w:r>
      <w:r w:rsidR="00E314E8">
        <w:rPr>
          <w:rFonts w:ascii="Verdana" w:hAnsi="Verdana"/>
          <w:sz w:val="22"/>
          <w:szCs w:val="22"/>
        </w:rPr>
        <w:t>vironment on adult bone mass (74) and muscle mass (75</w:t>
      </w:r>
      <w:r w:rsidRPr="00982193">
        <w:rPr>
          <w:rFonts w:ascii="Verdana" w:hAnsi="Verdana"/>
          <w:sz w:val="22"/>
          <w:szCs w:val="22"/>
        </w:rPr>
        <w:t xml:space="preserve">). </w:t>
      </w:r>
      <w:r w:rsidR="005C7484" w:rsidRPr="00982193">
        <w:rPr>
          <w:rFonts w:ascii="Verdana" w:hAnsi="Verdana" w:cs="Arial"/>
          <w:sz w:val="22"/>
          <w:szCs w:val="22"/>
        </w:rPr>
        <w:t>In a conditional analysis of results from the Hertfordshire Cohort Study, 18% of adult bone mass was explained by a model that included birthweight, weight at one year and adult weight, with relative contributions attributable to each being 2.8%, 6.8% and 8.2% respectively</w:t>
      </w:r>
      <w:r w:rsidR="00E314E8">
        <w:rPr>
          <w:rFonts w:ascii="Verdana" w:hAnsi="Verdana" w:cs="Arial"/>
          <w:sz w:val="22"/>
          <w:szCs w:val="22"/>
        </w:rPr>
        <w:t xml:space="preserve"> (74</w:t>
      </w:r>
      <w:r w:rsidR="00926CE3">
        <w:rPr>
          <w:rFonts w:ascii="Verdana" w:hAnsi="Verdana" w:cs="Arial"/>
          <w:sz w:val="22"/>
          <w:szCs w:val="22"/>
        </w:rPr>
        <w:t>)</w:t>
      </w:r>
      <w:r w:rsidR="005C7484" w:rsidRPr="00982193">
        <w:rPr>
          <w:rFonts w:ascii="Verdana" w:hAnsi="Verdana" w:cs="Arial"/>
          <w:sz w:val="22"/>
          <w:szCs w:val="22"/>
        </w:rPr>
        <w:t xml:space="preserve">. The contributions of early growth were greatest for bone area, and clearly apparent for </w:t>
      </w:r>
      <w:r w:rsidR="001E44F7">
        <w:rPr>
          <w:rFonts w:ascii="Verdana" w:hAnsi="Verdana" w:cs="Arial"/>
          <w:sz w:val="22"/>
          <w:szCs w:val="22"/>
        </w:rPr>
        <w:t>bone mineral content</w:t>
      </w:r>
      <w:r w:rsidR="005C7484" w:rsidRPr="00982193">
        <w:rPr>
          <w:rFonts w:ascii="Verdana" w:hAnsi="Verdana" w:cs="Arial"/>
          <w:sz w:val="22"/>
          <w:szCs w:val="22"/>
        </w:rPr>
        <w:t xml:space="preserve">, but not as evident for </w:t>
      </w:r>
      <w:r w:rsidR="001E44F7">
        <w:rPr>
          <w:rFonts w:ascii="Verdana" w:hAnsi="Verdana" w:cs="Arial"/>
          <w:sz w:val="22"/>
          <w:szCs w:val="22"/>
        </w:rPr>
        <w:t>areal bone mineral density (BMD)</w:t>
      </w:r>
      <w:r w:rsidR="005C7484" w:rsidRPr="00982193">
        <w:rPr>
          <w:rFonts w:ascii="Verdana" w:hAnsi="Verdana" w:cs="Arial"/>
          <w:sz w:val="22"/>
          <w:szCs w:val="22"/>
        </w:rPr>
        <w:t xml:space="preserve"> or derived volumetric BMD. </w:t>
      </w:r>
      <w:r w:rsidR="00E944B7" w:rsidRPr="00982193">
        <w:rPr>
          <w:rFonts w:ascii="Verdana" w:hAnsi="Verdana"/>
          <w:sz w:val="22"/>
          <w:szCs w:val="22"/>
        </w:rPr>
        <w:t xml:space="preserve">Early environmental studies have also shown associations between early life and adult grip strength. </w:t>
      </w:r>
      <w:r w:rsidR="00237701" w:rsidRPr="00982193">
        <w:rPr>
          <w:rFonts w:ascii="Verdana" w:hAnsi="Verdana"/>
          <w:sz w:val="22"/>
          <w:szCs w:val="22"/>
        </w:rPr>
        <w:t xml:space="preserve">Kuh and colleagues </w:t>
      </w:r>
      <w:r w:rsidR="007A4BB5" w:rsidRPr="00982193">
        <w:rPr>
          <w:rFonts w:ascii="Verdana" w:hAnsi="Verdana" w:cs="Arial"/>
          <w:sz w:val="22"/>
          <w:szCs w:val="22"/>
        </w:rPr>
        <w:t xml:space="preserve">examined the relation between birth weight and </w:t>
      </w:r>
      <w:r w:rsidR="007A4BB5" w:rsidRPr="00982193">
        <w:rPr>
          <w:rStyle w:val="highlight2"/>
          <w:rFonts w:ascii="Verdana" w:hAnsi="Verdana" w:cs="Arial"/>
          <w:sz w:val="22"/>
          <w:szCs w:val="22"/>
        </w:rPr>
        <w:t>hand</w:t>
      </w:r>
      <w:r w:rsidR="007A4BB5" w:rsidRPr="00982193">
        <w:rPr>
          <w:rFonts w:ascii="Verdana" w:hAnsi="Verdana" w:cs="Arial"/>
          <w:sz w:val="22"/>
          <w:szCs w:val="22"/>
        </w:rPr>
        <w:t xml:space="preserve"> </w:t>
      </w:r>
      <w:r w:rsidR="007A4BB5" w:rsidRPr="00982193">
        <w:rPr>
          <w:rStyle w:val="highlight2"/>
          <w:rFonts w:ascii="Verdana" w:hAnsi="Verdana" w:cs="Arial"/>
          <w:sz w:val="22"/>
          <w:szCs w:val="22"/>
        </w:rPr>
        <w:t>grip</w:t>
      </w:r>
      <w:r w:rsidR="007A4BB5" w:rsidRPr="00982193">
        <w:rPr>
          <w:rFonts w:ascii="Verdana" w:hAnsi="Verdana" w:cs="Arial"/>
          <w:sz w:val="22"/>
          <w:szCs w:val="22"/>
        </w:rPr>
        <w:t xml:space="preserve"> </w:t>
      </w:r>
      <w:r w:rsidR="007A4BB5" w:rsidRPr="00982193">
        <w:rPr>
          <w:rStyle w:val="highlight2"/>
          <w:rFonts w:ascii="Verdana" w:hAnsi="Verdana" w:cs="Arial"/>
          <w:sz w:val="22"/>
          <w:szCs w:val="22"/>
        </w:rPr>
        <w:t>strength</w:t>
      </w:r>
      <w:r w:rsidR="007A4BB5" w:rsidRPr="00982193">
        <w:rPr>
          <w:rFonts w:ascii="Verdana" w:hAnsi="Verdana" w:cs="Arial"/>
          <w:sz w:val="22"/>
          <w:szCs w:val="22"/>
        </w:rPr>
        <w:t xml:space="preserve"> in a prospective national birth cohort of 1,371 men and 1,404 women from the Medical Research Council National Survey of Health and Development aged 53 years</w:t>
      </w:r>
      <w:r w:rsidR="00237701" w:rsidRPr="00982193">
        <w:rPr>
          <w:rFonts w:ascii="Verdana" w:hAnsi="Verdana" w:cs="Arial"/>
          <w:sz w:val="22"/>
          <w:szCs w:val="22"/>
        </w:rPr>
        <w:t xml:space="preserve"> and reported a</w:t>
      </w:r>
      <w:r w:rsidR="007A4BB5" w:rsidRPr="00982193">
        <w:rPr>
          <w:rFonts w:ascii="Verdana" w:hAnsi="Verdana" w:cs="Arial"/>
          <w:sz w:val="22"/>
          <w:szCs w:val="22"/>
        </w:rPr>
        <w:t xml:space="preserve"> positive relation between birth weight and adult </w:t>
      </w:r>
      <w:r w:rsidR="007A4BB5" w:rsidRPr="00982193">
        <w:rPr>
          <w:rStyle w:val="highlight2"/>
          <w:rFonts w:ascii="Verdana" w:hAnsi="Verdana" w:cs="Arial"/>
          <w:sz w:val="22"/>
          <w:szCs w:val="22"/>
        </w:rPr>
        <w:t>grip</w:t>
      </w:r>
      <w:r w:rsidR="007A4BB5" w:rsidRPr="00982193">
        <w:rPr>
          <w:rFonts w:ascii="Verdana" w:hAnsi="Verdana" w:cs="Arial"/>
          <w:sz w:val="22"/>
          <w:szCs w:val="22"/>
        </w:rPr>
        <w:t xml:space="preserve"> </w:t>
      </w:r>
      <w:r w:rsidR="007A4BB5" w:rsidRPr="00982193">
        <w:rPr>
          <w:rStyle w:val="highlight2"/>
          <w:rFonts w:ascii="Verdana" w:hAnsi="Verdana" w:cs="Arial"/>
          <w:sz w:val="22"/>
          <w:szCs w:val="22"/>
        </w:rPr>
        <w:t>strength</w:t>
      </w:r>
      <w:r w:rsidR="007A4BB5" w:rsidRPr="00982193">
        <w:rPr>
          <w:rFonts w:ascii="Verdana" w:hAnsi="Verdana" w:cs="Arial"/>
          <w:sz w:val="22"/>
          <w:szCs w:val="22"/>
        </w:rPr>
        <w:t xml:space="preserve"> </w:t>
      </w:r>
      <w:r w:rsidR="00237701" w:rsidRPr="00982193">
        <w:rPr>
          <w:rFonts w:ascii="Verdana" w:hAnsi="Verdana" w:cs="Arial"/>
          <w:sz w:val="22"/>
          <w:szCs w:val="22"/>
        </w:rPr>
        <w:t xml:space="preserve">that </w:t>
      </w:r>
      <w:r w:rsidR="007A4BB5" w:rsidRPr="00982193">
        <w:rPr>
          <w:rFonts w:ascii="Verdana" w:hAnsi="Verdana" w:cs="Arial"/>
          <w:sz w:val="22"/>
          <w:szCs w:val="22"/>
        </w:rPr>
        <w:t>remained after adjustment for adult height and weight</w:t>
      </w:r>
      <w:r w:rsidR="00237701" w:rsidRPr="00982193">
        <w:rPr>
          <w:rFonts w:ascii="Verdana" w:hAnsi="Verdana" w:cs="Arial"/>
          <w:sz w:val="22"/>
          <w:szCs w:val="22"/>
        </w:rPr>
        <w:t>,</w:t>
      </w:r>
      <w:r w:rsidR="007A4BB5" w:rsidRPr="00982193">
        <w:rPr>
          <w:rFonts w:ascii="Verdana" w:hAnsi="Verdana" w:cs="Arial"/>
          <w:sz w:val="22"/>
          <w:szCs w:val="22"/>
        </w:rPr>
        <w:t xml:space="preserve"> and childhood height and weight</w:t>
      </w:r>
      <w:r w:rsidR="00237701" w:rsidRPr="00982193">
        <w:rPr>
          <w:rFonts w:ascii="Verdana" w:hAnsi="Verdana" w:cs="Arial"/>
          <w:sz w:val="22"/>
          <w:szCs w:val="22"/>
        </w:rPr>
        <w:t xml:space="preserve"> </w:t>
      </w:r>
      <w:r w:rsidR="00E314E8">
        <w:rPr>
          <w:rFonts w:ascii="Verdana" w:hAnsi="Verdana" w:cs="Arial"/>
          <w:sz w:val="22"/>
          <w:szCs w:val="22"/>
        </w:rPr>
        <w:t>(75</w:t>
      </w:r>
      <w:r w:rsidR="005C7484" w:rsidRPr="00982193">
        <w:rPr>
          <w:rFonts w:ascii="Verdana" w:hAnsi="Verdana" w:cs="Arial"/>
          <w:sz w:val="22"/>
          <w:szCs w:val="22"/>
        </w:rPr>
        <w:t>).</w:t>
      </w:r>
      <w:r w:rsidR="00237701" w:rsidRPr="00982193">
        <w:rPr>
          <w:rFonts w:ascii="Verdana" w:hAnsi="Verdana" w:cs="Arial"/>
          <w:sz w:val="22"/>
          <w:szCs w:val="22"/>
        </w:rPr>
        <w:t xml:space="preserve"> </w:t>
      </w:r>
      <w:r w:rsidR="007A4BB5" w:rsidRPr="00982193">
        <w:rPr>
          <w:rFonts w:ascii="Verdana" w:hAnsi="Verdana" w:cs="Arial"/>
          <w:sz w:val="22"/>
          <w:szCs w:val="22"/>
        </w:rPr>
        <w:t xml:space="preserve"> </w:t>
      </w:r>
      <w:r w:rsidR="00237701" w:rsidRPr="00982193">
        <w:rPr>
          <w:rFonts w:ascii="Verdana" w:hAnsi="Verdana" w:cs="Arial"/>
          <w:sz w:val="22"/>
          <w:szCs w:val="22"/>
        </w:rPr>
        <w:t xml:space="preserve">In findings from the Hertfordshire Cohort Study, </w:t>
      </w:r>
      <w:r w:rsidR="00237701" w:rsidRPr="00982193">
        <w:rPr>
          <w:rStyle w:val="highlight2"/>
          <w:rFonts w:ascii="Verdana" w:hAnsi="Verdana" w:cs="Arial"/>
          <w:sz w:val="22"/>
          <w:szCs w:val="22"/>
        </w:rPr>
        <w:t>grip</w:t>
      </w:r>
      <w:r w:rsidR="00237701" w:rsidRPr="00982193">
        <w:rPr>
          <w:rFonts w:ascii="Verdana" w:hAnsi="Verdana" w:cs="Arial"/>
          <w:sz w:val="22"/>
          <w:szCs w:val="22"/>
        </w:rPr>
        <w:t xml:space="preserve"> </w:t>
      </w:r>
      <w:r w:rsidR="00237701" w:rsidRPr="00982193">
        <w:rPr>
          <w:rStyle w:val="highlight2"/>
          <w:rFonts w:ascii="Verdana" w:hAnsi="Verdana" w:cs="Arial"/>
          <w:sz w:val="22"/>
          <w:szCs w:val="22"/>
        </w:rPr>
        <w:t>strength</w:t>
      </w:r>
      <w:r w:rsidR="00237701" w:rsidRPr="00982193">
        <w:rPr>
          <w:rFonts w:ascii="Verdana" w:hAnsi="Verdana" w:cs="Arial"/>
          <w:sz w:val="22"/>
          <w:szCs w:val="22"/>
        </w:rPr>
        <w:t xml:space="preserve"> in older adults was most strongly associated with birth weight in men and women. These relationships remained significant after adjustment for adult height and weight. In contrast, the associations with infant growth were weakened after allowing for adult size. Adjustment for age, current social class, physical activity, smoking, and alcohol did not affect these results </w:t>
      </w:r>
      <w:r w:rsidR="00E314E8">
        <w:rPr>
          <w:rFonts w:ascii="Verdana" w:hAnsi="Verdana" w:cs="Arial"/>
          <w:sz w:val="22"/>
          <w:szCs w:val="22"/>
        </w:rPr>
        <w:t>(76</w:t>
      </w:r>
      <w:r w:rsidR="005C7484" w:rsidRPr="00982193">
        <w:rPr>
          <w:rFonts w:ascii="Verdana" w:hAnsi="Verdana" w:cs="Arial"/>
          <w:sz w:val="22"/>
          <w:szCs w:val="22"/>
        </w:rPr>
        <w:t>).</w:t>
      </w:r>
    </w:p>
    <w:p w:rsidR="00AA5038" w:rsidRPr="00982193" w:rsidRDefault="00AA5038" w:rsidP="003A2C3E">
      <w:pPr>
        <w:pStyle w:val="BodyText2"/>
        <w:spacing w:line="360" w:lineRule="auto"/>
        <w:rPr>
          <w:rFonts w:ascii="Verdana" w:hAnsi="Verdana" w:cs="Arial"/>
          <w:sz w:val="22"/>
          <w:szCs w:val="22"/>
        </w:rPr>
      </w:pPr>
    </w:p>
    <w:p w:rsidR="009B4E67" w:rsidRPr="00982193" w:rsidRDefault="00C667DF" w:rsidP="005C7484">
      <w:pPr>
        <w:pStyle w:val="Heading1"/>
        <w:jc w:val="both"/>
        <w:rPr>
          <w:rFonts w:ascii="Verdana" w:hAnsi="Verdana"/>
          <w:sz w:val="22"/>
          <w:szCs w:val="22"/>
        </w:rPr>
      </w:pPr>
      <w:r w:rsidRPr="00982193">
        <w:rPr>
          <w:rFonts w:ascii="Verdana" w:hAnsi="Verdana"/>
          <w:sz w:val="22"/>
          <w:szCs w:val="22"/>
        </w:rPr>
        <w:t>Conclusion</w:t>
      </w:r>
    </w:p>
    <w:p w:rsidR="008323C6" w:rsidRPr="00982193" w:rsidRDefault="00C667DF" w:rsidP="005C7484">
      <w:pPr>
        <w:spacing w:line="360" w:lineRule="auto"/>
        <w:jc w:val="both"/>
        <w:rPr>
          <w:rFonts w:ascii="Verdana" w:hAnsi="Verdana"/>
        </w:rPr>
      </w:pPr>
      <w:r w:rsidRPr="00982193">
        <w:rPr>
          <w:rFonts w:ascii="Verdana" w:hAnsi="Verdana"/>
        </w:rPr>
        <w:t>Muscle and bone aging is a phenomenon that results in significant morbidity and mortality in older populations</w:t>
      </w:r>
      <w:r w:rsidR="00276300">
        <w:rPr>
          <w:rFonts w:ascii="Verdana" w:hAnsi="Verdana"/>
        </w:rPr>
        <w:t>, including a gradual erosion in quality of life (77</w:t>
      </w:r>
      <w:proofErr w:type="gramStart"/>
      <w:r w:rsidR="00276300">
        <w:rPr>
          <w:rFonts w:ascii="Verdana" w:hAnsi="Verdana"/>
        </w:rPr>
        <w:t>,78</w:t>
      </w:r>
      <w:proofErr w:type="gramEnd"/>
      <w:r w:rsidR="00276300">
        <w:rPr>
          <w:rFonts w:ascii="Verdana" w:hAnsi="Verdana"/>
        </w:rPr>
        <w:t>)</w:t>
      </w:r>
      <w:r w:rsidRPr="00982193">
        <w:rPr>
          <w:rFonts w:ascii="Verdana" w:hAnsi="Verdana"/>
        </w:rPr>
        <w:t>. Common risk factors, including poor nutrition, lack of physical activity and cigarette smoking result in accelerated loss that manifest in an ability to live alone, commonly after an osteoporotic fragility frac</w:t>
      </w:r>
      <w:r w:rsidR="00992552" w:rsidRPr="00982193">
        <w:rPr>
          <w:rFonts w:ascii="Verdana" w:hAnsi="Verdana"/>
        </w:rPr>
        <w:t>ture. Such fractures usually</w:t>
      </w:r>
      <w:r w:rsidRPr="00982193">
        <w:rPr>
          <w:rFonts w:ascii="Verdana" w:hAnsi="Verdana"/>
        </w:rPr>
        <w:t xml:space="preserve"> follow a fall</w:t>
      </w:r>
      <w:r w:rsidR="00276300">
        <w:rPr>
          <w:rFonts w:ascii="Verdana" w:hAnsi="Verdana"/>
        </w:rPr>
        <w:t xml:space="preserve"> (79, 80</w:t>
      </w:r>
      <w:r w:rsidR="00992552" w:rsidRPr="00982193">
        <w:rPr>
          <w:rFonts w:ascii="Verdana" w:hAnsi="Verdana"/>
        </w:rPr>
        <w:t>), often precipitated by poor musculoskeletal health, com</w:t>
      </w:r>
      <w:r w:rsidR="00276300">
        <w:rPr>
          <w:rFonts w:ascii="Verdana" w:hAnsi="Verdana"/>
        </w:rPr>
        <w:t>orbidities or medication use (81, 82</w:t>
      </w:r>
      <w:r w:rsidR="00992552" w:rsidRPr="00982193">
        <w:rPr>
          <w:rFonts w:ascii="Verdana" w:hAnsi="Verdana"/>
        </w:rPr>
        <w:t>)</w:t>
      </w:r>
      <w:r w:rsidRPr="00982193">
        <w:rPr>
          <w:rFonts w:ascii="Verdana" w:hAnsi="Verdana"/>
        </w:rPr>
        <w:t>. A high comorbidity burden, including use of therapeutic agents such as glucoc</w:t>
      </w:r>
      <w:r w:rsidR="005536FC">
        <w:rPr>
          <w:rFonts w:ascii="Verdana" w:hAnsi="Verdana"/>
        </w:rPr>
        <w:t>orti</w:t>
      </w:r>
      <w:r w:rsidRPr="00982193">
        <w:rPr>
          <w:rFonts w:ascii="Verdana" w:hAnsi="Verdana"/>
        </w:rPr>
        <w:t xml:space="preserve">coids, is often associated with accelerated muscle and bone loss, and recent work has highlighted a possible role for the early environment. </w:t>
      </w:r>
      <w:proofErr w:type="spellStart"/>
      <w:r w:rsidRPr="00982193">
        <w:rPr>
          <w:rFonts w:ascii="Verdana" w:hAnsi="Verdana"/>
        </w:rPr>
        <w:t>Inflammaging</w:t>
      </w:r>
      <w:proofErr w:type="spellEnd"/>
      <w:r w:rsidRPr="00982193">
        <w:rPr>
          <w:rFonts w:ascii="Verdana" w:hAnsi="Verdana"/>
        </w:rPr>
        <w:t xml:space="preserve"> is an exciting emerging research field that is likely to prove relevant to future work, including interventions designed to retard to reverse bone and muscle loss with age.</w:t>
      </w:r>
      <w:r w:rsidR="008323C6">
        <w:rPr>
          <w:rFonts w:ascii="Verdana" w:hAnsi="Verdana"/>
        </w:rPr>
        <w:t xml:space="preserve"> A better knowledge </w:t>
      </w:r>
      <w:r w:rsidR="008323C6" w:rsidRPr="009A4AEC">
        <w:rPr>
          <w:rFonts w:ascii="Verdana" w:hAnsi="Verdana"/>
        </w:rPr>
        <w:lastRenderedPageBreak/>
        <w:t>of the risk factors for accelerated musculoskeletal aging may help to reduce the</w:t>
      </w:r>
      <w:r w:rsidR="008323C6">
        <w:rPr>
          <w:rFonts w:ascii="Verdana" w:hAnsi="Verdana"/>
        </w:rPr>
        <w:t xml:space="preserve"> economic burden of this condition, which has recently been estimated at </w:t>
      </w:r>
      <w:r w:rsidR="009A4AEC">
        <w:rPr>
          <w:rFonts w:ascii="Verdana" w:hAnsi="Verdana"/>
        </w:rPr>
        <w:t xml:space="preserve">$18.5billion </w:t>
      </w:r>
      <w:r w:rsidR="001874C9">
        <w:rPr>
          <w:rFonts w:ascii="Verdana" w:hAnsi="Verdana"/>
        </w:rPr>
        <w:t xml:space="preserve">for costs </w:t>
      </w:r>
      <w:r w:rsidR="009A4AEC">
        <w:rPr>
          <w:rFonts w:ascii="Verdana" w:hAnsi="Verdana"/>
        </w:rPr>
        <w:t>associated with sarcopenia for the USA in 2000, while the economic cost of osteoporosis was 37 billion euros in 2010</w:t>
      </w:r>
      <w:r w:rsidR="006F35E7">
        <w:rPr>
          <w:rFonts w:ascii="Verdana" w:hAnsi="Verdana"/>
        </w:rPr>
        <w:t xml:space="preserve"> (52</w:t>
      </w:r>
      <w:r w:rsidR="00E314E8">
        <w:rPr>
          <w:rFonts w:ascii="Verdana" w:hAnsi="Verdana"/>
        </w:rPr>
        <w:t>).</w:t>
      </w:r>
    </w:p>
    <w:p w:rsidR="00CE0038" w:rsidRPr="00982193" w:rsidRDefault="00CE0038" w:rsidP="005C7484">
      <w:pPr>
        <w:spacing w:line="360" w:lineRule="auto"/>
        <w:jc w:val="both"/>
        <w:rPr>
          <w:rFonts w:ascii="Verdana" w:hAnsi="Verdana"/>
        </w:rPr>
      </w:pPr>
    </w:p>
    <w:p w:rsidR="00B87DB6" w:rsidRPr="00982193" w:rsidRDefault="009B4E67" w:rsidP="00CE0038">
      <w:pPr>
        <w:spacing w:line="360" w:lineRule="auto"/>
        <w:rPr>
          <w:rFonts w:ascii="Verdana" w:hAnsi="Verdana"/>
        </w:rPr>
      </w:pPr>
      <w:r w:rsidRPr="00982193">
        <w:rPr>
          <w:rFonts w:ascii="Verdana" w:hAnsi="Verdana"/>
          <w:b/>
          <w:bCs/>
        </w:rPr>
        <w:t>References</w:t>
      </w:r>
    </w:p>
    <w:p w:rsidR="00AB1FA3" w:rsidRDefault="009A4AEC" w:rsidP="00C75E12">
      <w:pPr>
        <w:pStyle w:val="ListParagraph"/>
        <w:numPr>
          <w:ilvl w:val="0"/>
          <w:numId w:val="22"/>
        </w:numPr>
        <w:spacing w:line="360" w:lineRule="auto"/>
        <w:jc w:val="both"/>
        <w:rPr>
          <w:rFonts w:ascii="Verdana" w:hAnsi="Verdana"/>
          <w:b/>
          <w:bCs/>
        </w:rPr>
      </w:pPr>
      <w:r>
        <w:rPr>
          <w:rFonts w:ascii="Verdana" w:hAnsi="Verdana"/>
          <w:bCs/>
        </w:rPr>
        <w:t xml:space="preserve">Cooper C, </w:t>
      </w:r>
      <w:proofErr w:type="spellStart"/>
      <w:r>
        <w:rPr>
          <w:rFonts w:ascii="Verdana" w:hAnsi="Verdana"/>
          <w:bCs/>
        </w:rPr>
        <w:t>Dere</w:t>
      </w:r>
      <w:proofErr w:type="spellEnd"/>
      <w:r>
        <w:rPr>
          <w:rFonts w:ascii="Verdana" w:hAnsi="Verdana"/>
          <w:bCs/>
        </w:rPr>
        <w:t xml:space="preserve"> W, Evans W, Kanis JA, Rizzoli R, Aihie Sayer A, </w:t>
      </w:r>
      <w:proofErr w:type="spellStart"/>
      <w:r>
        <w:rPr>
          <w:rFonts w:ascii="Verdana" w:hAnsi="Verdana"/>
          <w:bCs/>
        </w:rPr>
        <w:t>Sieber</w:t>
      </w:r>
      <w:proofErr w:type="spellEnd"/>
      <w:r>
        <w:rPr>
          <w:rFonts w:ascii="Verdana" w:hAnsi="Verdana"/>
          <w:bCs/>
        </w:rPr>
        <w:t xml:space="preserve"> CC, Kaufman JM, </w:t>
      </w:r>
      <w:proofErr w:type="spellStart"/>
      <w:r>
        <w:rPr>
          <w:rFonts w:ascii="Verdana" w:hAnsi="Verdana"/>
          <w:bCs/>
        </w:rPr>
        <w:t>Abellan</w:t>
      </w:r>
      <w:proofErr w:type="spellEnd"/>
      <w:r>
        <w:rPr>
          <w:rFonts w:ascii="Verdana" w:hAnsi="Verdana"/>
          <w:bCs/>
        </w:rPr>
        <w:t xml:space="preserve"> van </w:t>
      </w:r>
      <w:proofErr w:type="spellStart"/>
      <w:r>
        <w:rPr>
          <w:rFonts w:ascii="Verdana" w:hAnsi="Verdana"/>
          <w:bCs/>
        </w:rPr>
        <w:t>Kan</w:t>
      </w:r>
      <w:proofErr w:type="spellEnd"/>
      <w:r>
        <w:rPr>
          <w:rFonts w:ascii="Verdana" w:hAnsi="Verdana"/>
          <w:bCs/>
        </w:rPr>
        <w:t xml:space="preserve"> G, Boonen S, Adachi J, </w:t>
      </w:r>
      <w:proofErr w:type="spellStart"/>
      <w:r>
        <w:rPr>
          <w:rFonts w:ascii="Verdana" w:hAnsi="Verdana"/>
          <w:bCs/>
        </w:rPr>
        <w:t>Mitlak</w:t>
      </w:r>
      <w:proofErr w:type="spellEnd"/>
      <w:r>
        <w:rPr>
          <w:rFonts w:ascii="Verdana" w:hAnsi="Verdana"/>
          <w:bCs/>
        </w:rPr>
        <w:t xml:space="preserve"> B, </w:t>
      </w:r>
      <w:proofErr w:type="spellStart"/>
      <w:r>
        <w:rPr>
          <w:rFonts w:ascii="Verdana" w:hAnsi="Verdana"/>
          <w:bCs/>
        </w:rPr>
        <w:t>Tsouderos</w:t>
      </w:r>
      <w:proofErr w:type="spellEnd"/>
      <w:r>
        <w:rPr>
          <w:rFonts w:ascii="Verdana" w:hAnsi="Verdana"/>
          <w:bCs/>
        </w:rPr>
        <w:t xml:space="preserve"> Y, Rolland Y, Reginster JYL. Frailty and sarcopenia: definitions and outcome parameters. Osteoporos </w:t>
      </w:r>
      <w:proofErr w:type="spellStart"/>
      <w:r>
        <w:rPr>
          <w:rFonts w:ascii="Verdana" w:hAnsi="Verdana"/>
          <w:bCs/>
        </w:rPr>
        <w:t>Int</w:t>
      </w:r>
      <w:proofErr w:type="spellEnd"/>
      <w:r>
        <w:rPr>
          <w:rFonts w:ascii="Verdana" w:hAnsi="Verdana"/>
          <w:bCs/>
        </w:rPr>
        <w:t xml:space="preserve"> 2012; 23: 1839-1848</w:t>
      </w:r>
    </w:p>
    <w:p w:rsidR="00AB1FA3" w:rsidRPr="00AB1FA3" w:rsidRDefault="009A4AEC" w:rsidP="00C75E12">
      <w:pPr>
        <w:pStyle w:val="ListParagraph"/>
        <w:numPr>
          <w:ilvl w:val="0"/>
          <w:numId w:val="22"/>
        </w:numPr>
        <w:spacing w:line="360" w:lineRule="auto"/>
        <w:jc w:val="both"/>
        <w:rPr>
          <w:rFonts w:ascii="Verdana" w:hAnsi="Verdana"/>
          <w:b/>
          <w:bCs/>
        </w:rPr>
      </w:pPr>
      <w:r>
        <w:rPr>
          <w:rFonts w:ascii="Verdana" w:hAnsi="Verdana"/>
          <w:bCs/>
        </w:rPr>
        <w:t xml:space="preserve">Cooper C, Fielding R, </w:t>
      </w:r>
      <w:proofErr w:type="spellStart"/>
      <w:r>
        <w:rPr>
          <w:rFonts w:ascii="Verdana" w:hAnsi="Verdana"/>
          <w:bCs/>
        </w:rPr>
        <w:t>Visser</w:t>
      </w:r>
      <w:proofErr w:type="spellEnd"/>
      <w:r>
        <w:rPr>
          <w:rFonts w:ascii="Verdana" w:hAnsi="Verdana"/>
          <w:bCs/>
        </w:rPr>
        <w:t xml:space="preserve"> M, van Loon LJ, Rolland Y, </w:t>
      </w:r>
      <w:proofErr w:type="spellStart"/>
      <w:r>
        <w:rPr>
          <w:rFonts w:ascii="Verdana" w:hAnsi="Verdana"/>
          <w:bCs/>
        </w:rPr>
        <w:t>Orwoll</w:t>
      </w:r>
      <w:proofErr w:type="spellEnd"/>
      <w:r>
        <w:rPr>
          <w:rFonts w:ascii="Verdana" w:hAnsi="Verdana"/>
          <w:bCs/>
        </w:rPr>
        <w:t xml:space="preserve"> E, Reid K, Boonen S, </w:t>
      </w:r>
      <w:proofErr w:type="spellStart"/>
      <w:r>
        <w:rPr>
          <w:rFonts w:ascii="Verdana" w:hAnsi="Verdana"/>
          <w:bCs/>
        </w:rPr>
        <w:t>Dere</w:t>
      </w:r>
      <w:proofErr w:type="spellEnd"/>
      <w:r>
        <w:rPr>
          <w:rFonts w:ascii="Verdana" w:hAnsi="Verdana"/>
          <w:bCs/>
        </w:rPr>
        <w:t xml:space="preserve"> W, Epstein S, </w:t>
      </w:r>
      <w:proofErr w:type="spellStart"/>
      <w:r>
        <w:rPr>
          <w:rFonts w:ascii="Verdana" w:hAnsi="Verdana"/>
          <w:bCs/>
        </w:rPr>
        <w:t>Mitlak</w:t>
      </w:r>
      <w:proofErr w:type="spellEnd"/>
      <w:r>
        <w:rPr>
          <w:rFonts w:ascii="Verdana" w:hAnsi="Verdana"/>
          <w:bCs/>
        </w:rPr>
        <w:t xml:space="preserve"> B, </w:t>
      </w:r>
      <w:proofErr w:type="spellStart"/>
      <w:r>
        <w:rPr>
          <w:rFonts w:ascii="Verdana" w:hAnsi="Verdana"/>
          <w:bCs/>
        </w:rPr>
        <w:t>Tsouderos</w:t>
      </w:r>
      <w:proofErr w:type="spellEnd"/>
      <w:r>
        <w:rPr>
          <w:rFonts w:ascii="Verdana" w:hAnsi="Verdana"/>
          <w:bCs/>
        </w:rPr>
        <w:t xml:space="preserve"> Y, Sayer AA, Rizzoli R, Reginster JY, Kanis JA. Tools in the assessment of sarcopenia. </w:t>
      </w:r>
      <w:proofErr w:type="spellStart"/>
      <w:r>
        <w:rPr>
          <w:rFonts w:ascii="Verdana" w:hAnsi="Verdana"/>
          <w:bCs/>
        </w:rPr>
        <w:t>Calcif</w:t>
      </w:r>
      <w:proofErr w:type="spellEnd"/>
      <w:r>
        <w:rPr>
          <w:rFonts w:ascii="Verdana" w:hAnsi="Verdana"/>
          <w:bCs/>
        </w:rPr>
        <w:t xml:space="preserve"> Tissue </w:t>
      </w:r>
      <w:proofErr w:type="spellStart"/>
      <w:r>
        <w:rPr>
          <w:rFonts w:ascii="Verdana" w:hAnsi="Verdana"/>
          <w:bCs/>
        </w:rPr>
        <w:t>Int</w:t>
      </w:r>
      <w:proofErr w:type="spellEnd"/>
      <w:r>
        <w:rPr>
          <w:rFonts w:ascii="Verdana" w:hAnsi="Verdana"/>
          <w:bCs/>
        </w:rPr>
        <w:t xml:space="preserve"> 2013; 93: 201-10 </w:t>
      </w:r>
    </w:p>
    <w:p w:rsidR="00B87DB6" w:rsidRPr="00982193" w:rsidRDefault="00D5414E" w:rsidP="00C75E12">
      <w:pPr>
        <w:pStyle w:val="ListParagraph"/>
        <w:numPr>
          <w:ilvl w:val="0"/>
          <w:numId w:val="22"/>
        </w:numPr>
        <w:spacing w:line="360" w:lineRule="auto"/>
        <w:jc w:val="both"/>
        <w:rPr>
          <w:rFonts w:ascii="Verdana" w:hAnsi="Verdana"/>
          <w:b/>
          <w:bCs/>
        </w:rPr>
      </w:pPr>
      <w:r w:rsidRPr="00982193">
        <w:rPr>
          <w:rFonts w:ascii="Verdana" w:hAnsi="Verdana"/>
        </w:rPr>
        <w:t>Van Staa TP, Dennison EM, Leufkens HGM, Cooper C. Epidemiology of fractures in England and Wales. Bone 2001; 29: 517-522</w:t>
      </w:r>
    </w:p>
    <w:p w:rsidR="00B87DB6" w:rsidRPr="00982193" w:rsidRDefault="00A74090" w:rsidP="00C75E12">
      <w:pPr>
        <w:pStyle w:val="ListParagraph"/>
        <w:numPr>
          <w:ilvl w:val="0"/>
          <w:numId w:val="22"/>
        </w:numPr>
        <w:spacing w:line="360" w:lineRule="auto"/>
        <w:jc w:val="both"/>
        <w:rPr>
          <w:rFonts w:ascii="Verdana" w:hAnsi="Verdana"/>
          <w:b/>
          <w:bCs/>
        </w:rPr>
      </w:pPr>
      <w:r w:rsidRPr="00982193">
        <w:rPr>
          <w:rFonts w:ascii="Verdana" w:eastAsia="Times New Roman" w:hAnsi="Verdana" w:cs="Times New Roman"/>
          <w:lang w:eastAsia="en-GB"/>
        </w:rPr>
        <w:t xml:space="preserve">Edwards MH, </w:t>
      </w:r>
      <w:proofErr w:type="spellStart"/>
      <w:r w:rsidRPr="00982193">
        <w:rPr>
          <w:rFonts w:ascii="Verdana" w:eastAsia="Times New Roman" w:hAnsi="Verdana" w:cs="Times New Roman"/>
          <w:lang w:eastAsia="en-GB"/>
        </w:rPr>
        <w:t>Gregson</w:t>
      </w:r>
      <w:proofErr w:type="spellEnd"/>
      <w:r w:rsidRPr="00982193">
        <w:rPr>
          <w:rFonts w:ascii="Verdana" w:eastAsia="Times New Roman" w:hAnsi="Verdana" w:cs="Times New Roman"/>
          <w:lang w:eastAsia="en-GB"/>
        </w:rPr>
        <w:t xml:space="preserve"> CL, Patel HP, Jameson KA, Harvey NC, Sayer AA, Dennison EM, Cooper C Muscle size, strength and physical performance and their associations with bone structure in the Hertfordshire Cohort Study.</w:t>
      </w:r>
      <w:r w:rsidR="009A4AEC">
        <w:rPr>
          <w:rFonts w:ascii="Verdana" w:eastAsia="Times New Roman" w:hAnsi="Verdana" w:cs="Times New Roman"/>
          <w:lang w:eastAsia="en-GB"/>
        </w:rPr>
        <w:t xml:space="preserve"> </w:t>
      </w:r>
      <w:r w:rsidRPr="00982193">
        <w:rPr>
          <w:rFonts w:ascii="Verdana" w:eastAsia="Times New Roman" w:hAnsi="Verdana" w:cs="Times New Roman"/>
          <w:lang w:eastAsia="en-GB"/>
        </w:rPr>
        <w:t>J Bone Miner Res. 2013 Nov;28(11):2295-304</w:t>
      </w:r>
    </w:p>
    <w:p w:rsidR="00B87DB6" w:rsidRPr="00982193" w:rsidRDefault="00D5414E" w:rsidP="00C75E12">
      <w:pPr>
        <w:pStyle w:val="ListParagraph"/>
        <w:numPr>
          <w:ilvl w:val="0"/>
          <w:numId w:val="22"/>
        </w:numPr>
        <w:spacing w:line="360" w:lineRule="auto"/>
        <w:jc w:val="both"/>
        <w:rPr>
          <w:rFonts w:ascii="Verdana" w:hAnsi="Verdana"/>
          <w:b/>
          <w:bCs/>
        </w:rPr>
      </w:pPr>
      <w:r w:rsidRPr="00982193">
        <w:rPr>
          <w:rFonts w:ascii="Verdana" w:eastAsia="Times New Roman" w:hAnsi="Verdana" w:cs="Times New Roman"/>
          <w:lang w:eastAsia="en-GB"/>
        </w:rPr>
        <w:t xml:space="preserve"> Lloyd BD, Williamson DA, Singh NA, Hansen RD, Diamond TH, Finnegan TP et al. Recurrent and injurious falls in the year following hip fracture: a prospective study of incidence and risk factors from the Sarcopenia and Hip Fracture study. J </w:t>
      </w:r>
      <w:proofErr w:type="spellStart"/>
      <w:r w:rsidRPr="00982193">
        <w:rPr>
          <w:rFonts w:ascii="Verdana" w:eastAsia="Times New Roman" w:hAnsi="Verdana" w:cs="Times New Roman"/>
          <w:lang w:eastAsia="en-GB"/>
        </w:rPr>
        <w:t>Gerontol</w:t>
      </w:r>
      <w:proofErr w:type="spellEnd"/>
      <w:r w:rsidRPr="00982193">
        <w:rPr>
          <w:rFonts w:ascii="Verdana" w:eastAsia="Times New Roman" w:hAnsi="Verdana" w:cs="Times New Roman"/>
          <w:lang w:eastAsia="en-GB"/>
        </w:rPr>
        <w:t xml:space="preserve"> A </w:t>
      </w:r>
      <w:proofErr w:type="spellStart"/>
      <w:r w:rsidRPr="00982193">
        <w:rPr>
          <w:rFonts w:ascii="Verdana" w:eastAsia="Times New Roman" w:hAnsi="Verdana" w:cs="Times New Roman"/>
          <w:lang w:eastAsia="en-GB"/>
        </w:rPr>
        <w:t>Biol</w:t>
      </w:r>
      <w:proofErr w:type="spellEnd"/>
      <w:r w:rsidRPr="00982193">
        <w:rPr>
          <w:rFonts w:ascii="Verdana" w:eastAsia="Times New Roman" w:hAnsi="Verdana" w:cs="Times New Roman"/>
          <w:lang w:eastAsia="en-GB"/>
        </w:rPr>
        <w:t xml:space="preserve"> </w:t>
      </w:r>
      <w:proofErr w:type="spellStart"/>
      <w:r w:rsidRPr="00982193">
        <w:rPr>
          <w:rFonts w:ascii="Verdana" w:eastAsia="Times New Roman" w:hAnsi="Verdana" w:cs="Times New Roman"/>
          <w:lang w:eastAsia="en-GB"/>
        </w:rPr>
        <w:t>Sci</w:t>
      </w:r>
      <w:proofErr w:type="spellEnd"/>
      <w:r w:rsidRPr="00982193">
        <w:rPr>
          <w:rFonts w:ascii="Verdana" w:eastAsia="Times New Roman" w:hAnsi="Verdana" w:cs="Times New Roman"/>
          <w:lang w:eastAsia="en-GB"/>
        </w:rPr>
        <w:t xml:space="preserve"> Med </w:t>
      </w:r>
      <w:proofErr w:type="spellStart"/>
      <w:r w:rsidRPr="00982193">
        <w:rPr>
          <w:rFonts w:ascii="Verdana" w:eastAsia="Times New Roman" w:hAnsi="Verdana" w:cs="Times New Roman"/>
          <w:lang w:eastAsia="en-GB"/>
        </w:rPr>
        <w:t>Sci</w:t>
      </w:r>
      <w:proofErr w:type="spellEnd"/>
      <w:r w:rsidRPr="00982193">
        <w:rPr>
          <w:rFonts w:ascii="Verdana" w:eastAsia="Times New Roman" w:hAnsi="Verdana" w:cs="Times New Roman"/>
          <w:lang w:eastAsia="en-GB"/>
        </w:rPr>
        <w:t xml:space="preserve"> 2009; 64(5):599-609.</w:t>
      </w:r>
      <w:r w:rsidRPr="00982193">
        <w:t xml:space="preserve"> </w:t>
      </w:r>
    </w:p>
    <w:p w:rsidR="00B87DB6" w:rsidRPr="00982193" w:rsidRDefault="00D5414E" w:rsidP="00C75E12">
      <w:pPr>
        <w:pStyle w:val="ListParagraph"/>
        <w:numPr>
          <w:ilvl w:val="0"/>
          <w:numId w:val="22"/>
        </w:numPr>
        <w:spacing w:line="360" w:lineRule="auto"/>
        <w:jc w:val="both"/>
        <w:rPr>
          <w:rFonts w:ascii="Verdana" w:hAnsi="Verdana"/>
          <w:b/>
          <w:bCs/>
        </w:rPr>
      </w:pPr>
      <w:r w:rsidRPr="00982193">
        <w:rPr>
          <w:rFonts w:ascii="Verdana" w:eastAsia="Times New Roman" w:hAnsi="Verdana" w:cs="Times New Roman"/>
          <w:lang w:eastAsia="en-GB"/>
        </w:rPr>
        <w:t xml:space="preserve">Sayer AA, Syddall HE, Martin HJ, Dennison EM, Anderson FH, Cooper C. Falls, sarcopenia, and growth in early life: findings from the Hertfordshire cohort study. Am J </w:t>
      </w:r>
      <w:proofErr w:type="spellStart"/>
      <w:r w:rsidRPr="00982193">
        <w:rPr>
          <w:rFonts w:ascii="Verdana" w:eastAsia="Times New Roman" w:hAnsi="Verdana" w:cs="Times New Roman"/>
          <w:lang w:eastAsia="en-GB"/>
        </w:rPr>
        <w:t>Epidemiol</w:t>
      </w:r>
      <w:proofErr w:type="spellEnd"/>
      <w:r w:rsidRPr="00982193">
        <w:rPr>
          <w:rFonts w:ascii="Verdana" w:eastAsia="Times New Roman" w:hAnsi="Verdana" w:cs="Times New Roman"/>
          <w:lang w:eastAsia="en-GB"/>
        </w:rPr>
        <w:t xml:space="preserve"> 2006; 164(7):665-671.</w:t>
      </w:r>
    </w:p>
    <w:p w:rsidR="00B87DB6" w:rsidRPr="00982193" w:rsidRDefault="00D5414E" w:rsidP="00C75E12">
      <w:pPr>
        <w:pStyle w:val="ListParagraph"/>
        <w:numPr>
          <w:ilvl w:val="0"/>
          <w:numId w:val="22"/>
        </w:numPr>
        <w:spacing w:line="360" w:lineRule="auto"/>
        <w:jc w:val="both"/>
        <w:rPr>
          <w:rFonts w:ascii="Verdana" w:hAnsi="Verdana"/>
          <w:b/>
          <w:bCs/>
        </w:rPr>
      </w:pPr>
      <w:r w:rsidRPr="00982193">
        <w:rPr>
          <w:rFonts w:ascii="Verdana" w:hAnsi="Verdana"/>
        </w:rPr>
        <w:t xml:space="preserve">Rose Anne M. Guideline for the prevention of falls in older persons. American Geriatrics Society, British Geriatrics Society, and American Academy of Orthopaedic Surgeons Panel on Falls Prevention. J Am </w:t>
      </w:r>
      <w:proofErr w:type="spellStart"/>
      <w:r w:rsidRPr="00982193">
        <w:rPr>
          <w:rFonts w:ascii="Verdana" w:hAnsi="Verdana"/>
        </w:rPr>
        <w:t>Geriatr</w:t>
      </w:r>
      <w:proofErr w:type="spellEnd"/>
      <w:r w:rsidRPr="00982193">
        <w:rPr>
          <w:rFonts w:ascii="Verdana" w:hAnsi="Verdana"/>
        </w:rPr>
        <w:t xml:space="preserve"> </w:t>
      </w:r>
      <w:proofErr w:type="spellStart"/>
      <w:r w:rsidRPr="00982193">
        <w:rPr>
          <w:rFonts w:ascii="Verdana" w:hAnsi="Verdana"/>
        </w:rPr>
        <w:t>Soc</w:t>
      </w:r>
      <w:proofErr w:type="spellEnd"/>
      <w:r w:rsidRPr="00982193">
        <w:rPr>
          <w:rFonts w:ascii="Verdana" w:hAnsi="Verdana"/>
        </w:rPr>
        <w:t xml:space="preserve"> 2001; 49(5):664-672.0.</w:t>
      </w:r>
    </w:p>
    <w:p w:rsidR="00B87DB6" w:rsidRPr="00982193" w:rsidRDefault="00D5414E" w:rsidP="00C75E12">
      <w:pPr>
        <w:pStyle w:val="ListParagraph"/>
        <w:numPr>
          <w:ilvl w:val="0"/>
          <w:numId w:val="22"/>
        </w:numPr>
        <w:spacing w:line="360" w:lineRule="auto"/>
        <w:jc w:val="both"/>
        <w:rPr>
          <w:rFonts w:ascii="Verdana" w:hAnsi="Verdana"/>
          <w:b/>
          <w:bCs/>
        </w:rPr>
      </w:pPr>
      <w:r w:rsidRPr="00982193">
        <w:rPr>
          <w:rFonts w:ascii="Verdana" w:hAnsi="Verdana"/>
        </w:rPr>
        <w:lastRenderedPageBreak/>
        <w:t xml:space="preserve">Rose Anne M. Summary of the Updated American Geriatrics Society/British Geriatrics Society clinical practice guideline for prevention of falls in older persons. J Am </w:t>
      </w:r>
      <w:proofErr w:type="spellStart"/>
      <w:r w:rsidRPr="00982193">
        <w:rPr>
          <w:rFonts w:ascii="Verdana" w:hAnsi="Verdana"/>
        </w:rPr>
        <w:t>Geriatr</w:t>
      </w:r>
      <w:proofErr w:type="spellEnd"/>
      <w:r w:rsidRPr="00982193">
        <w:rPr>
          <w:rFonts w:ascii="Verdana" w:hAnsi="Verdana"/>
        </w:rPr>
        <w:t xml:space="preserve"> </w:t>
      </w:r>
      <w:proofErr w:type="spellStart"/>
      <w:r w:rsidRPr="00982193">
        <w:rPr>
          <w:rFonts w:ascii="Verdana" w:hAnsi="Verdana"/>
        </w:rPr>
        <w:t>Soc</w:t>
      </w:r>
      <w:proofErr w:type="spellEnd"/>
      <w:r w:rsidRPr="00982193">
        <w:rPr>
          <w:rFonts w:ascii="Verdana" w:hAnsi="Verdana"/>
        </w:rPr>
        <w:t xml:space="preserve"> 2011; 59(1):148-157.</w:t>
      </w:r>
    </w:p>
    <w:p w:rsidR="00A74090" w:rsidRPr="00982193" w:rsidRDefault="00D5414E" w:rsidP="00C75E12">
      <w:pPr>
        <w:pStyle w:val="ListParagraph"/>
        <w:numPr>
          <w:ilvl w:val="0"/>
          <w:numId w:val="22"/>
        </w:numPr>
        <w:spacing w:line="360" w:lineRule="auto"/>
        <w:jc w:val="both"/>
        <w:rPr>
          <w:rFonts w:ascii="Verdana" w:hAnsi="Verdana"/>
          <w:b/>
          <w:bCs/>
        </w:rPr>
      </w:pPr>
      <w:r w:rsidRPr="00982193">
        <w:rPr>
          <w:rFonts w:ascii="Verdana" w:hAnsi="Verdana"/>
        </w:rPr>
        <w:t xml:space="preserve">Lang T, </w:t>
      </w:r>
      <w:proofErr w:type="spellStart"/>
      <w:r w:rsidRPr="00982193">
        <w:rPr>
          <w:rFonts w:ascii="Verdana" w:hAnsi="Verdana"/>
        </w:rPr>
        <w:t>Streeper</w:t>
      </w:r>
      <w:proofErr w:type="spellEnd"/>
      <w:r w:rsidRPr="00982193">
        <w:rPr>
          <w:rFonts w:ascii="Verdana" w:hAnsi="Verdana"/>
        </w:rPr>
        <w:t xml:space="preserve"> T, </w:t>
      </w:r>
      <w:proofErr w:type="spellStart"/>
      <w:r w:rsidRPr="00982193">
        <w:rPr>
          <w:rFonts w:ascii="Verdana" w:hAnsi="Verdana"/>
        </w:rPr>
        <w:t>Cawthorn</w:t>
      </w:r>
      <w:proofErr w:type="spellEnd"/>
      <w:r w:rsidRPr="00982193">
        <w:rPr>
          <w:rFonts w:ascii="Verdana" w:hAnsi="Verdana"/>
        </w:rPr>
        <w:t xml:space="preserve"> P, Baldwin K, Taaffe DR, Harris TB Sarcopenia: </w:t>
      </w:r>
      <w:proofErr w:type="spellStart"/>
      <w:r w:rsidRPr="00982193">
        <w:rPr>
          <w:rFonts w:ascii="Verdana" w:hAnsi="Verdana"/>
        </w:rPr>
        <w:t>etiology</w:t>
      </w:r>
      <w:proofErr w:type="spellEnd"/>
      <w:r w:rsidRPr="00982193">
        <w:rPr>
          <w:rFonts w:ascii="Verdana" w:hAnsi="Verdana"/>
        </w:rPr>
        <w:t xml:space="preserve">, clinical consequences, intervention and assessment </w:t>
      </w:r>
      <w:proofErr w:type="spellStart"/>
      <w:r w:rsidRPr="00982193">
        <w:rPr>
          <w:rFonts w:ascii="Verdana" w:hAnsi="Verdana"/>
        </w:rPr>
        <w:t>Osteopor</w:t>
      </w:r>
      <w:proofErr w:type="spellEnd"/>
      <w:r w:rsidRPr="00982193">
        <w:rPr>
          <w:rFonts w:ascii="Verdana" w:hAnsi="Verdana"/>
        </w:rPr>
        <w:t xml:space="preserve"> </w:t>
      </w:r>
      <w:proofErr w:type="spellStart"/>
      <w:r w:rsidRPr="00982193">
        <w:rPr>
          <w:rFonts w:ascii="Verdana" w:hAnsi="Verdana"/>
        </w:rPr>
        <w:t>Int</w:t>
      </w:r>
      <w:proofErr w:type="spellEnd"/>
      <w:r w:rsidRPr="00982193">
        <w:rPr>
          <w:rFonts w:ascii="Verdana" w:hAnsi="Verdana"/>
        </w:rPr>
        <w:t xml:space="preserve"> 2010 21: 543-559</w:t>
      </w:r>
    </w:p>
    <w:p w:rsidR="009B4E67" w:rsidRPr="00982193" w:rsidRDefault="00926CE3" w:rsidP="00C75E12">
      <w:pPr>
        <w:pStyle w:val="ListParagraph"/>
        <w:numPr>
          <w:ilvl w:val="0"/>
          <w:numId w:val="22"/>
        </w:numPr>
        <w:spacing w:after="0" w:line="360" w:lineRule="auto"/>
        <w:jc w:val="both"/>
        <w:rPr>
          <w:rFonts w:ascii="Verdana" w:hAnsi="Verdana"/>
        </w:rPr>
      </w:pPr>
      <w:r>
        <w:rPr>
          <w:rFonts w:ascii="Verdana" w:hAnsi="Verdana"/>
        </w:rPr>
        <w:t xml:space="preserve"> Riggs BL, Melton LJ, Robb RA, Camp JJ, Atkinson EJ, McDaniel L, Amin S, </w:t>
      </w:r>
      <w:proofErr w:type="spellStart"/>
      <w:r>
        <w:rPr>
          <w:rFonts w:ascii="Verdana" w:hAnsi="Verdana"/>
        </w:rPr>
        <w:t>Rouleau</w:t>
      </w:r>
      <w:proofErr w:type="spellEnd"/>
      <w:r>
        <w:rPr>
          <w:rFonts w:ascii="Verdana" w:hAnsi="Verdana"/>
        </w:rPr>
        <w:t xml:space="preserve"> PA, Khosla S. A population</w:t>
      </w:r>
      <w:r w:rsidR="009D17E3">
        <w:rPr>
          <w:rFonts w:ascii="Verdana" w:hAnsi="Verdana"/>
        </w:rPr>
        <w:t>- based assessment of rates of bone loss at multiple skeletal sites: evidence for substantial trabecular bone loss in young adult women and men. J Bone Miner Res 2008; 23: 205-14</w:t>
      </w:r>
    </w:p>
    <w:p w:rsidR="009B4E67" w:rsidRPr="00982193" w:rsidRDefault="009B4E67" w:rsidP="00C75E12">
      <w:pPr>
        <w:pStyle w:val="ListParagraph"/>
        <w:numPr>
          <w:ilvl w:val="0"/>
          <w:numId w:val="22"/>
        </w:numPr>
        <w:spacing w:after="0" w:line="360" w:lineRule="auto"/>
        <w:jc w:val="both"/>
        <w:rPr>
          <w:rFonts w:ascii="Verdana" w:hAnsi="Verdana"/>
        </w:rPr>
      </w:pPr>
      <w:proofErr w:type="spellStart"/>
      <w:r w:rsidRPr="00982193">
        <w:rPr>
          <w:rFonts w:ascii="Verdana" w:hAnsi="Verdana"/>
        </w:rPr>
        <w:t>Tylavski</w:t>
      </w:r>
      <w:proofErr w:type="spellEnd"/>
      <w:r w:rsidRPr="00982193">
        <w:rPr>
          <w:rFonts w:ascii="Verdana" w:hAnsi="Verdana"/>
        </w:rPr>
        <w:t xml:space="preserve"> FA, </w:t>
      </w:r>
      <w:proofErr w:type="spellStart"/>
      <w:r w:rsidRPr="00982193">
        <w:rPr>
          <w:rFonts w:ascii="Verdana" w:hAnsi="Verdana"/>
        </w:rPr>
        <w:t>Bortz</w:t>
      </w:r>
      <w:proofErr w:type="spellEnd"/>
      <w:r w:rsidRPr="00982193">
        <w:rPr>
          <w:rFonts w:ascii="Verdana" w:hAnsi="Verdana"/>
        </w:rPr>
        <w:t xml:space="preserve"> AD, Hancock RL, Anderson JJB. Familial resemblance of radial bone mass between premenopausal mothers and their college age daughters. </w:t>
      </w:r>
      <w:proofErr w:type="spellStart"/>
      <w:r w:rsidRPr="00982193">
        <w:rPr>
          <w:rFonts w:ascii="Verdana" w:hAnsi="Verdana"/>
        </w:rPr>
        <w:t>Calcif</w:t>
      </w:r>
      <w:proofErr w:type="spellEnd"/>
      <w:r w:rsidRPr="00982193">
        <w:rPr>
          <w:rFonts w:ascii="Verdana" w:hAnsi="Verdana"/>
        </w:rPr>
        <w:t xml:space="preserve"> Tissue </w:t>
      </w:r>
      <w:proofErr w:type="spellStart"/>
      <w:r w:rsidRPr="00982193">
        <w:rPr>
          <w:rFonts w:ascii="Verdana" w:hAnsi="Verdana"/>
        </w:rPr>
        <w:t>Int</w:t>
      </w:r>
      <w:proofErr w:type="spellEnd"/>
      <w:r w:rsidRPr="00982193">
        <w:rPr>
          <w:rFonts w:ascii="Verdana" w:hAnsi="Verdana"/>
        </w:rPr>
        <w:t xml:space="preserve"> 1989; </w:t>
      </w:r>
      <w:r w:rsidRPr="00982193">
        <w:rPr>
          <w:rFonts w:ascii="Verdana" w:hAnsi="Verdana"/>
          <w:bCs/>
        </w:rPr>
        <w:t>45</w:t>
      </w:r>
      <w:r w:rsidRPr="00982193">
        <w:rPr>
          <w:rFonts w:ascii="Verdana" w:hAnsi="Verdana"/>
        </w:rPr>
        <w:t>: 265-72</w:t>
      </w:r>
    </w:p>
    <w:p w:rsidR="009B4E67" w:rsidRPr="00982193" w:rsidRDefault="00B87DB6" w:rsidP="00C75E12">
      <w:pPr>
        <w:pStyle w:val="ListParagraph"/>
        <w:numPr>
          <w:ilvl w:val="0"/>
          <w:numId w:val="22"/>
        </w:numPr>
        <w:spacing w:after="0" w:line="360" w:lineRule="auto"/>
        <w:jc w:val="both"/>
        <w:rPr>
          <w:rFonts w:ascii="Verdana" w:hAnsi="Verdana"/>
        </w:rPr>
      </w:pPr>
      <w:r w:rsidRPr="00982193">
        <w:rPr>
          <w:rFonts w:ascii="Verdana" w:hAnsi="Verdana"/>
        </w:rPr>
        <w:t xml:space="preserve"> </w:t>
      </w:r>
      <w:r w:rsidR="009B4E67" w:rsidRPr="00982193">
        <w:rPr>
          <w:rFonts w:ascii="Verdana" w:hAnsi="Verdana"/>
        </w:rPr>
        <w:t xml:space="preserve">Sambrook PN, Kelly PJ, Morrison NA, </w:t>
      </w:r>
      <w:proofErr w:type="spellStart"/>
      <w:r w:rsidR="009B4E67" w:rsidRPr="00982193">
        <w:rPr>
          <w:rFonts w:ascii="Verdana" w:hAnsi="Verdana"/>
        </w:rPr>
        <w:t>Eisman</w:t>
      </w:r>
      <w:proofErr w:type="spellEnd"/>
      <w:r w:rsidR="009B4E67" w:rsidRPr="00982193">
        <w:rPr>
          <w:rFonts w:ascii="Verdana" w:hAnsi="Verdana"/>
        </w:rPr>
        <w:t xml:space="preserve"> JA. Genetics of osteoporosis. Br J </w:t>
      </w:r>
      <w:proofErr w:type="spellStart"/>
      <w:r w:rsidR="009B4E67" w:rsidRPr="00982193">
        <w:rPr>
          <w:rFonts w:ascii="Verdana" w:hAnsi="Verdana"/>
        </w:rPr>
        <w:t>Rheumatol</w:t>
      </w:r>
      <w:proofErr w:type="spellEnd"/>
      <w:r w:rsidR="009B4E67" w:rsidRPr="00982193">
        <w:rPr>
          <w:rFonts w:ascii="Verdana" w:hAnsi="Verdana"/>
        </w:rPr>
        <w:t xml:space="preserve"> 1994; </w:t>
      </w:r>
      <w:r w:rsidR="009B4E67" w:rsidRPr="00982193">
        <w:rPr>
          <w:rFonts w:ascii="Verdana" w:hAnsi="Verdana"/>
          <w:bCs/>
        </w:rPr>
        <w:t>33</w:t>
      </w:r>
      <w:r w:rsidR="009B4E67" w:rsidRPr="00982193">
        <w:rPr>
          <w:rFonts w:ascii="Verdana" w:hAnsi="Verdana"/>
        </w:rPr>
        <w:t>: 1007-11</w:t>
      </w:r>
    </w:p>
    <w:p w:rsidR="00B87DB6" w:rsidRPr="00982193" w:rsidRDefault="00B87DB6" w:rsidP="00C75E12">
      <w:pPr>
        <w:pStyle w:val="ListParagraph"/>
        <w:numPr>
          <w:ilvl w:val="0"/>
          <w:numId w:val="22"/>
        </w:numPr>
        <w:spacing w:after="0" w:line="360" w:lineRule="auto"/>
        <w:jc w:val="both"/>
        <w:rPr>
          <w:rFonts w:ascii="Verdana" w:hAnsi="Verdana"/>
        </w:rPr>
      </w:pPr>
      <w:r w:rsidRPr="00982193">
        <w:rPr>
          <w:rFonts w:ascii="Verdana" w:hAnsi="Verdana"/>
        </w:rPr>
        <w:t xml:space="preserve"> Rolland Y, Czerwinski S, </w:t>
      </w:r>
      <w:proofErr w:type="spellStart"/>
      <w:r w:rsidRPr="00982193">
        <w:rPr>
          <w:rFonts w:ascii="Verdana" w:hAnsi="Verdana"/>
        </w:rPr>
        <w:t>Abellan</w:t>
      </w:r>
      <w:proofErr w:type="spellEnd"/>
      <w:r w:rsidRPr="00982193">
        <w:rPr>
          <w:rFonts w:ascii="Verdana" w:hAnsi="Verdana"/>
        </w:rPr>
        <w:t xml:space="preserve"> Van </w:t>
      </w:r>
      <w:proofErr w:type="spellStart"/>
      <w:r w:rsidRPr="00982193">
        <w:rPr>
          <w:rFonts w:ascii="Verdana" w:hAnsi="Verdana"/>
        </w:rPr>
        <w:t>Kan</w:t>
      </w:r>
      <w:proofErr w:type="spellEnd"/>
      <w:r w:rsidRPr="00982193">
        <w:rPr>
          <w:rFonts w:ascii="Verdana" w:hAnsi="Verdana"/>
        </w:rPr>
        <w:t xml:space="preserve"> G et al. Sarcopenia: Its assessment, </w:t>
      </w:r>
      <w:proofErr w:type="spellStart"/>
      <w:r w:rsidRPr="00982193">
        <w:rPr>
          <w:rFonts w:ascii="Verdana" w:hAnsi="Verdana"/>
        </w:rPr>
        <w:t>etiology</w:t>
      </w:r>
      <w:proofErr w:type="spellEnd"/>
      <w:r w:rsidRPr="00982193">
        <w:rPr>
          <w:rFonts w:ascii="Verdana" w:hAnsi="Verdana"/>
        </w:rPr>
        <w:t>, pathogenesis, consequences and future perspectives. J Nutr Health Aging. 2008; 12 (7):433-450</w:t>
      </w:r>
    </w:p>
    <w:p w:rsidR="007928D1" w:rsidRPr="00982193" w:rsidRDefault="007928D1" w:rsidP="00C75E12">
      <w:pPr>
        <w:pStyle w:val="ListParagraph"/>
        <w:numPr>
          <w:ilvl w:val="0"/>
          <w:numId w:val="22"/>
        </w:numPr>
        <w:spacing w:after="0" w:line="360" w:lineRule="auto"/>
        <w:jc w:val="both"/>
        <w:rPr>
          <w:rFonts w:ascii="Verdana" w:hAnsi="Verdana"/>
        </w:rPr>
      </w:pPr>
      <w:r w:rsidRPr="00982193">
        <w:rPr>
          <w:rFonts w:ascii="Verdana" w:hAnsi="Verdana"/>
        </w:rPr>
        <w:t xml:space="preserve">Mc Gregor R, Cameron-Smith D, </w:t>
      </w:r>
      <w:proofErr w:type="spellStart"/>
      <w:r w:rsidRPr="00982193">
        <w:rPr>
          <w:rFonts w:ascii="Verdana" w:hAnsi="Verdana"/>
        </w:rPr>
        <w:t>Poppitt</w:t>
      </w:r>
      <w:proofErr w:type="spellEnd"/>
      <w:r w:rsidRPr="00982193">
        <w:rPr>
          <w:rFonts w:ascii="Verdana" w:hAnsi="Verdana"/>
        </w:rPr>
        <w:t xml:space="preserve"> S. It is not just muscle mass: a review of muscle quality, composition and metabolism during ageing as determinants of muscle function and mobility in later life. Longevity &amp; </w:t>
      </w:r>
      <w:proofErr w:type="spellStart"/>
      <w:r w:rsidRPr="00982193">
        <w:rPr>
          <w:rFonts w:ascii="Verdana" w:hAnsi="Verdana"/>
        </w:rPr>
        <w:t>Healthspan</w:t>
      </w:r>
      <w:proofErr w:type="spellEnd"/>
      <w:r w:rsidRPr="00982193">
        <w:rPr>
          <w:rFonts w:ascii="Verdana" w:hAnsi="Verdana"/>
        </w:rPr>
        <w:t xml:space="preserve"> 2014; 3:9</w:t>
      </w:r>
    </w:p>
    <w:p w:rsidR="00B87DB6" w:rsidRPr="00982193" w:rsidRDefault="00B87DB6" w:rsidP="00C75E12">
      <w:pPr>
        <w:pStyle w:val="ListParagraph"/>
        <w:numPr>
          <w:ilvl w:val="0"/>
          <w:numId w:val="22"/>
        </w:numPr>
        <w:spacing w:after="0" w:line="360" w:lineRule="auto"/>
        <w:jc w:val="both"/>
        <w:rPr>
          <w:rFonts w:ascii="Verdana" w:hAnsi="Verdana"/>
        </w:rPr>
      </w:pPr>
      <w:r w:rsidRPr="00982193">
        <w:rPr>
          <w:rFonts w:ascii="Verdana" w:hAnsi="Verdana"/>
        </w:rPr>
        <w:t xml:space="preserve"> Sayer AA, Syddall H, Martin H, Patel H, </w:t>
      </w:r>
      <w:proofErr w:type="spellStart"/>
      <w:r w:rsidRPr="00982193">
        <w:rPr>
          <w:rFonts w:ascii="Verdana" w:hAnsi="Verdana"/>
        </w:rPr>
        <w:t>Baylis</w:t>
      </w:r>
      <w:proofErr w:type="spellEnd"/>
      <w:r w:rsidRPr="00982193">
        <w:rPr>
          <w:rFonts w:ascii="Verdana" w:hAnsi="Verdana"/>
        </w:rPr>
        <w:t xml:space="preserve"> D, Cooper C. The developmental origins of sarcopenia. J Nutr Health Aging 2008; 12(7):427-432.</w:t>
      </w:r>
    </w:p>
    <w:p w:rsidR="00E4074E" w:rsidRPr="00982193" w:rsidRDefault="00E4074E" w:rsidP="00C75E12">
      <w:pPr>
        <w:pStyle w:val="ListParagraph"/>
        <w:numPr>
          <w:ilvl w:val="0"/>
          <w:numId w:val="22"/>
        </w:numPr>
        <w:spacing w:after="0" w:line="360" w:lineRule="auto"/>
        <w:jc w:val="both"/>
        <w:rPr>
          <w:rFonts w:ascii="Verdana" w:hAnsi="Verdana"/>
        </w:rPr>
      </w:pPr>
      <w:r w:rsidRPr="00982193">
        <w:rPr>
          <w:rFonts w:ascii="Verdana" w:hAnsi="Verdana"/>
        </w:rPr>
        <w:t xml:space="preserve"> Patel HP, Syddall HE, Jameson K, Robinson S, Denison H, Roberts HC et al. Prevalence of sarcopenia in community-dwelling older people in the UK using the European Working Group on Sarcopenia in Older People (EWGSOP) definition: findings from the Hertfordshire Cohort Study (HCS). Age Ageing 2013.</w:t>
      </w:r>
    </w:p>
    <w:p w:rsidR="009B4E67" w:rsidRPr="00982193" w:rsidRDefault="00E4074E" w:rsidP="00C75E12">
      <w:pPr>
        <w:pStyle w:val="ListParagraph"/>
        <w:numPr>
          <w:ilvl w:val="0"/>
          <w:numId w:val="22"/>
        </w:numPr>
        <w:spacing w:after="0" w:line="360" w:lineRule="auto"/>
        <w:jc w:val="both"/>
        <w:rPr>
          <w:rFonts w:ascii="Verdana" w:hAnsi="Verdana"/>
        </w:rPr>
      </w:pPr>
      <w:r w:rsidRPr="00982193">
        <w:rPr>
          <w:rFonts w:ascii="Verdana" w:hAnsi="Verdana"/>
        </w:rPr>
        <w:t xml:space="preserve"> </w:t>
      </w:r>
      <w:r w:rsidR="009B4E67" w:rsidRPr="00982193">
        <w:rPr>
          <w:rFonts w:ascii="Verdana" w:hAnsi="Verdana"/>
        </w:rPr>
        <w:t xml:space="preserve">Maggi S, Kelsey JL, Litvak J, </w:t>
      </w:r>
      <w:proofErr w:type="gramStart"/>
      <w:r w:rsidR="009B4E67" w:rsidRPr="00982193">
        <w:rPr>
          <w:rFonts w:ascii="Verdana" w:hAnsi="Verdana"/>
        </w:rPr>
        <w:t>Heyse</w:t>
      </w:r>
      <w:proofErr w:type="gramEnd"/>
      <w:r w:rsidR="009B4E67" w:rsidRPr="00982193">
        <w:rPr>
          <w:rFonts w:ascii="Verdana" w:hAnsi="Verdana"/>
        </w:rPr>
        <w:t xml:space="preserve"> SP: Incidence of hip fractures in the elderly: a cross-sectional study. Osteoporosis </w:t>
      </w:r>
      <w:proofErr w:type="spellStart"/>
      <w:r w:rsidR="009B4E67" w:rsidRPr="00982193">
        <w:rPr>
          <w:rFonts w:ascii="Verdana" w:hAnsi="Verdana"/>
        </w:rPr>
        <w:t>Int</w:t>
      </w:r>
      <w:proofErr w:type="spellEnd"/>
      <w:r w:rsidR="009B4E67" w:rsidRPr="00982193">
        <w:rPr>
          <w:rFonts w:ascii="Verdana" w:hAnsi="Verdana"/>
        </w:rPr>
        <w:t xml:space="preserve"> 1991; 1:232-241 </w:t>
      </w:r>
    </w:p>
    <w:p w:rsidR="009B4E67" w:rsidRPr="00982193" w:rsidRDefault="00E4074E" w:rsidP="00C75E12">
      <w:pPr>
        <w:pStyle w:val="ListParagraph"/>
        <w:numPr>
          <w:ilvl w:val="0"/>
          <w:numId w:val="22"/>
        </w:numPr>
        <w:spacing w:after="0" w:line="360" w:lineRule="auto"/>
        <w:jc w:val="both"/>
        <w:rPr>
          <w:rFonts w:ascii="Verdana" w:hAnsi="Verdana"/>
        </w:rPr>
      </w:pPr>
      <w:r w:rsidRPr="00982193">
        <w:rPr>
          <w:rFonts w:ascii="Verdana" w:hAnsi="Verdana"/>
        </w:rPr>
        <w:t xml:space="preserve"> </w:t>
      </w:r>
      <w:r w:rsidR="009B4E67" w:rsidRPr="00982193">
        <w:rPr>
          <w:rFonts w:ascii="Verdana" w:hAnsi="Verdana"/>
        </w:rPr>
        <w:t>Farmer ME, White LR, Brody JA, Bailey KR. Race and sex differences in hip fracture incidence. American Journal of Public Health 1984; 74: 1374-138</w:t>
      </w:r>
      <w:r w:rsidRPr="00982193">
        <w:rPr>
          <w:rFonts w:ascii="Verdana" w:hAnsi="Verdana"/>
        </w:rPr>
        <w:t xml:space="preserve">. </w:t>
      </w:r>
    </w:p>
    <w:p w:rsidR="00E4074E" w:rsidRPr="00982193" w:rsidRDefault="00E4074E" w:rsidP="00C75E12">
      <w:pPr>
        <w:pStyle w:val="ListParagraph"/>
        <w:numPr>
          <w:ilvl w:val="0"/>
          <w:numId w:val="22"/>
        </w:numPr>
        <w:spacing w:line="360" w:lineRule="auto"/>
        <w:rPr>
          <w:rFonts w:ascii="Verdana" w:hAnsi="Verdana"/>
        </w:rPr>
      </w:pPr>
      <w:r w:rsidRPr="00982193">
        <w:rPr>
          <w:rFonts w:ascii="Verdana" w:hAnsi="Verdana"/>
        </w:rPr>
        <w:lastRenderedPageBreak/>
        <w:t xml:space="preserve"> </w:t>
      </w:r>
      <w:proofErr w:type="spellStart"/>
      <w:r w:rsidRPr="00982193">
        <w:rPr>
          <w:rFonts w:ascii="Verdana" w:hAnsi="Verdana"/>
        </w:rPr>
        <w:t>Johnell</w:t>
      </w:r>
      <w:proofErr w:type="spellEnd"/>
      <w:r w:rsidRPr="00982193">
        <w:rPr>
          <w:rFonts w:ascii="Verdana" w:hAnsi="Verdana"/>
        </w:rPr>
        <w:t xml:space="preserve"> O, </w:t>
      </w:r>
      <w:proofErr w:type="spellStart"/>
      <w:r w:rsidRPr="00982193">
        <w:rPr>
          <w:rFonts w:ascii="Verdana" w:hAnsi="Verdana"/>
        </w:rPr>
        <w:t>Gullberg</w:t>
      </w:r>
      <w:proofErr w:type="spellEnd"/>
      <w:r w:rsidRPr="00982193">
        <w:rPr>
          <w:rFonts w:ascii="Verdana" w:hAnsi="Verdana"/>
        </w:rPr>
        <w:t xml:space="preserve"> B, Kanis JA, </w:t>
      </w:r>
      <w:proofErr w:type="spellStart"/>
      <w:r w:rsidRPr="00982193">
        <w:rPr>
          <w:rFonts w:ascii="Verdana" w:hAnsi="Verdana"/>
        </w:rPr>
        <w:t>Allander</w:t>
      </w:r>
      <w:proofErr w:type="spellEnd"/>
      <w:r w:rsidRPr="00982193">
        <w:rPr>
          <w:rFonts w:ascii="Verdana" w:hAnsi="Verdana"/>
        </w:rPr>
        <w:t xml:space="preserve"> E, </w:t>
      </w:r>
      <w:proofErr w:type="spellStart"/>
      <w:r w:rsidRPr="00982193">
        <w:rPr>
          <w:rFonts w:ascii="Verdana" w:hAnsi="Verdana"/>
        </w:rPr>
        <w:t>Elffors</w:t>
      </w:r>
      <w:proofErr w:type="spellEnd"/>
      <w:r w:rsidRPr="00982193">
        <w:rPr>
          <w:rFonts w:ascii="Verdana" w:hAnsi="Verdana"/>
        </w:rPr>
        <w:t xml:space="preserve"> L, </w:t>
      </w:r>
      <w:proofErr w:type="spellStart"/>
      <w:r w:rsidRPr="00982193">
        <w:rPr>
          <w:rFonts w:ascii="Verdana" w:hAnsi="Verdana"/>
        </w:rPr>
        <w:t>Dequeker</w:t>
      </w:r>
      <w:proofErr w:type="spellEnd"/>
      <w:r w:rsidRPr="00982193">
        <w:rPr>
          <w:rFonts w:ascii="Verdana" w:hAnsi="Verdana"/>
        </w:rPr>
        <w:t xml:space="preserve"> J, </w:t>
      </w:r>
      <w:proofErr w:type="spellStart"/>
      <w:r w:rsidRPr="00982193">
        <w:rPr>
          <w:rFonts w:ascii="Verdana" w:hAnsi="Verdana"/>
        </w:rPr>
        <w:t>Dilsen</w:t>
      </w:r>
      <w:proofErr w:type="spellEnd"/>
      <w:r w:rsidRPr="00982193">
        <w:rPr>
          <w:rFonts w:ascii="Verdana" w:hAnsi="Verdana"/>
        </w:rPr>
        <w:t xml:space="preserve"> G, </w:t>
      </w:r>
      <w:proofErr w:type="spellStart"/>
      <w:r w:rsidRPr="00982193">
        <w:rPr>
          <w:rFonts w:ascii="Verdana" w:hAnsi="Verdana"/>
        </w:rPr>
        <w:t>Gennari</w:t>
      </w:r>
      <w:proofErr w:type="spellEnd"/>
      <w:r w:rsidRPr="00982193">
        <w:rPr>
          <w:rFonts w:ascii="Verdana" w:hAnsi="Verdana"/>
        </w:rPr>
        <w:t xml:space="preserve"> C, </w:t>
      </w:r>
      <w:proofErr w:type="spellStart"/>
      <w:r w:rsidRPr="00982193">
        <w:rPr>
          <w:rFonts w:ascii="Verdana" w:hAnsi="Verdana"/>
        </w:rPr>
        <w:t>Vaz</w:t>
      </w:r>
      <w:proofErr w:type="spellEnd"/>
      <w:r w:rsidRPr="00982193">
        <w:rPr>
          <w:rFonts w:ascii="Verdana" w:hAnsi="Verdana"/>
        </w:rPr>
        <w:t xml:space="preserve"> AL, Lyritis G, </w:t>
      </w:r>
      <w:proofErr w:type="spellStart"/>
      <w:r w:rsidRPr="00982193">
        <w:rPr>
          <w:rFonts w:ascii="Verdana" w:hAnsi="Verdana"/>
        </w:rPr>
        <w:t>Mazzuoli</w:t>
      </w:r>
      <w:proofErr w:type="spellEnd"/>
      <w:r w:rsidRPr="00982193">
        <w:rPr>
          <w:rFonts w:ascii="Verdana" w:hAnsi="Verdana"/>
        </w:rPr>
        <w:t xml:space="preserve"> G, </w:t>
      </w:r>
      <w:proofErr w:type="spellStart"/>
      <w:r w:rsidRPr="00982193">
        <w:rPr>
          <w:rFonts w:ascii="Verdana" w:hAnsi="Verdana"/>
        </w:rPr>
        <w:t>Miravet</w:t>
      </w:r>
      <w:proofErr w:type="spellEnd"/>
      <w:r w:rsidRPr="00982193">
        <w:rPr>
          <w:rFonts w:ascii="Verdana" w:hAnsi="Verdana"/>
        </w:rPr>
        <w:t xml:space="preserve"> L, </w:t>
      </w:r>
      <w:proofErr w:type="spellStart"/>
      <w:r w:rsidRPr="00982193">
        <w:rPr>
          <w:rFonts w:ascii="Verdana" w:hAnsi="Verdana"/>
        </w:rPr>
        <w:t>Passeri</w:t>
      </w:r>
      <w:proofErr w:type="spellEnd"/>
      <w:r w:rsidRPr="00982193">
        <w:rPr>
          <w:rFonts w:ascii="Verdana" w:hAnsi="Verdana"/>
        </w:rPr>
        <w:t xml:space="preserve"> M, Cano RP, </w:t>
      </w:r>
      <w:proofErr w:type="spellStart"/>
      <w:r w:rsidRPr="00982193">
        <w:rPr>
          <w:rFonts w:ascii="Verdana" w:hAnsi="Verdana"/>
        </w:rPr>
        <w:t>Rapado</w:t>
      </w:r>
      <w:proofErr w:type="spellEnd"/>
      <w:r w:rsidRPr="00982193">
        <w:rPr>
          <w:rFonts w:ascii="Verdana" w:hAnsi="Verdana"/>
        </w:rPr>
        <w:t xml:space="preserve"> A, </w:t>
      </w:r>
      <w:proofErr w:type="spellStart"/>
      <w:r w:rsidRPr="00982193">
        <w:rPr>
          <w:rFonts w:ascii="Verdana" w:hAnsi="Verdana"/>
        </w:rPr>
        <w:t>Ribot</w:t>
      </w:r>
      <w:proofErr w:type="spellEnd"/>
      <w:r w:rsidRPr="00982193">
        <w:rPr>
          <w:rFonts w:ascii="Verdana" w:hAnsi="Verdana"/>
        </w:rPr>
        <w:t xml:space="preserve"> C. Risk factors for Hip Fracture in European Women: The MEDOS Study. J Bone Miner Res 1995</w:t>
      </w:r>
      <w:proofErr w:type="gramStart"/>
      <w:r w:rsidRPr="00982193">
        <w:rPr>
          <w:rFonts w:ascii="Verdana" w:hAnsi="Verdana"/>
        </w:rPr>
        <w:t>;10</w:t>
      </w:r>
      <w:proofErr w:type="gramEnd"/>
      <w:r w:rsidRPr="00982193">
        <w:rPr>
          <w:rFonts w:ascii="Verdana" w:hAnsi="Verdana"/>
        </w:rPr>
        <w:t>: 1802-1814.</w:t>
      </w:r>
    </w:p>
    <w:p w:rsidR="009B4E67" w:rsidRPr="009D17E3" w:rsidRDefault="009B4E67" w:rsidP="00C75E12">
      <w:pPr>
        <w:pStyle w:val="ListParagraph"/>
        <w:numPr>
          <w:ilvl w:val="0"/>
          <w:numId w:val="22"/>
        </w:numPr>
        <w:spacing w:after="0" w:line="360" w:lineRule="auto"/>
        <w:jc w:val="both"/>
        <w:rPr>
          <w:rFonts w:ascii="Verdana" w:hAnsi="Verdana"/>
        </w:rPr>
      </w:pPr>
      <w:r w:rsidRPr="009D17E3">
        <w:rPr>
          <w:rFonts w:ascii="Verdana" w:hAnsi="Verdana"/>
        </w:rPr>
        <w:t xml:space="preserve">Lunt M, </w:t>
      </w:r>
      <w:proofErr w:type="spellStart"/>
      <w:r w:rsidRPr="009D17E3">
        <w:rPr>
          <w:rFonts w:ascii="Verdana" w:hAnsi="Verdana"/>
        </w:rPr>
        <w:t>Felesenberg</w:t>
      </w:r>
      <w:proofErr w:type="spellEnd"/>
      <w:r w:rsidRPr="009D17E3">
        <w:rPr>
          <w:rFonts w:ascii="Verdana" w:hAnsi="Verdana"/>
        </w:rPr>
        <w:t xml:space="preserve"> D, Reeve J, </w:t>
      </w:r>
      <w:proofErr w:type="spellStart"/>
      <w:r w:rsidRPr="009D17E3">
        <w:rPr>
          <w:rFonts w:ascii="Verdana" w:hAnsi="Verdana"/>
        </w:rPr>
        <w:t>Benevolenskaya</w:t>
      </w:r>
      <w:proofErr w:type="spellEnd"/>
      <w:r w:rsidRPr="009D17E3">
        <w:rPr>
          <w:rFonts w:ascii="Verdana" w:hAnsi="Verdana"/>
        </w:rPr>
        <w:t xml:space="preserve"> L, </w:t>
      </w:r>
      <w:proofErr w:type="spellStart"/>
      <w:r w:rsidRPr="009D17E3">
        <w:rPr>
          <w:rFonts w:ascii="Verdana" w:hAnsi="Verdana"/>
        </w:rPr>
        <w:t>Cannata</w:t>
      </w:r>
      <w:proofErr w:type="spellEnd"/>
      <w:r w:rsidRPr="009D17E3">
        <w:rPr>
          <w:rFonts w:ascii="Verdana" w:hAnsi="Verdana"/>
        </w:rPr>
        <w:t xml:space="preserve"> J et al. Bone density variation and its effects on risk of vertebral deformity in men and women studied in thirteen European </w:t>
      </w:r>
      <w:proofErr w:type="spellStart"/>
      <w:r w:rsidRPr="009D17E3">
        <w:rPr>
          <w:rFonts w:ascii="Verdana" w:hAnsi="Verdana"/>
        </w:rPr>
        <w:t>centers</w:t>
      </w:r>
      <w:proofErr w:type="spellEnd"/>
      <w:r w:rsidRPr="009D17E3">
        <w:rPr>
          <w:rFonts w:ascii="Verdana" w:hAnsi="Verdana"/>
        </w:rPr>
        <w:t xml:space="preserve">: the EVOS study. J Bone Miner Res 1997; 12: 1883-1894 </w:t>
      </w:r>
    </w:p>
    <w:p w:rsidR="009B4E67" w:rsidRPr="00982193" w:rsidRDefault="009B4E67" w:rsidP="00C75E12">
      <w:pPr>
        <w:pStyle w:val="ListParagraph"/>
        <w:numPr>
          <w:ilvl w:val="0"/>
          <w:numId w:val="22"/>
        </w:numPr>
        <w:spacing w:after="0" w:line="360" w:lineRule="auto"/>
        <w:jc w:val="both"/>
        <w:rPr>
          <w:rFonts w:ascii="Verdana" w:hAnsi="Verdana"/>
        </w:rPr>
      </w:pPr>
      <w:r w:rsidRPr="00982193">
        <w:rPr>
          <w:rFonts w:ascii="Verdana" w:hAnsi="Verdana"/>
        </w:rPr>
        <w:t>Ross PD, Fujiwara S, Huang C, et al. Vertebral fracture prevalence in women in Hiroshima compared to Caucasians or Japanese in the US. International Journal of Epidemiology 1995; 24: 1171-77</w:t>
      </w:r>
    </w:p>
    <w:p w:rsidR="00CB0809" w:rsidRPr="00982193" w:rsidRDefault="009B4E67" w:rsidP="00C75E12">
      <w:pPr>
        <w:pStyle w:val="ListParagraph"/>
        <w:numPr>
          <w:ilvl w:val="0"/>
          <w:numId w:val="22"/>
        </w:numPr>
        <w:spacing w:after="0" w:line="360" w:lineRule="auto"/>
        <w:jc w:val="both"/>
        <w:rPr>
          <w:rFonts w:ascii="Verdana" w:hAnsi="Verdana"/>
        </w:rPr>
      </w:pPr>
      <w:r w:rsidRPr="00982193">
        <w:rPr>
          <w:rFonts w:ascii="Verdana" w:hAnsi="Verdana"/>
        </w:rPr>
        <w:t xml:space="preserve">Ling X, Cummings SR, </w:t>
      </w:r>
      <w:proofErr w:type="spellStart"/>
      <w:r w:rsidRPr="00982193">
        <w:rPr>
          <w:rFonts w:ascii="Verdana" w:hAnsi="Verdana"/>
        </w:rPr>
        <w:t>Mingwei</w:t>
      </w:r>
      <w:proofErr w:type="spellEnd"/>
      <w:r w:rsidRPr="00982193">
        <w:rPr>
          <w:rFonts w:ascii="Verdana" w:hAnsi="Verdana"/>
        </w:rPr>
        <w:t xml:space="preserve"> Q, </w:t>
      </w:r>
      <w:proofErr w:type="spellStart"/>
      <w:r w:rsidRPr="00982193">
        <w:rPr>
          <w:rFonts w:ascii="Verdana" w:hAnsi="Verdana"/>
        </w:rPr>
        <w:t>Xihe</w:t>
      </w:r>
      <w:proofErr w:type="spellEnd"/>
      <w:r w:rsidRPr="00982193">
        <w:rPr>
          <w:rFonts w:ascii="Verdana" w:hAnsi="Verdana"/>
        </w:rPr>
        <w:t xml:space="preserve"> Z, </w:t>
      </w:r>
      <w:proofErr w:type="spellStart"/>
      <w:r w:rsidRPr="00982193">
        <w:rPr>
          <w:rFonts w:ascii="Verdana" w:hAnsi="Verdana"/>
        </w:rPr>
        <w:t>Xioashu</w:t>
      </w:r>
      <w:proofErr w:type="spellEnd"/>
      <w:r w:rsidRPr="00982193">
        <w:rPr>
          <w:rFonts w:ascii="Verdana" w:hAnsi="Verdana"/>
        </w:rPr>
        <w:t xml:space="preserve"> C, </w:t>
      </w:r>
      <w:proofErr w:type="spellStart"/>
      <w:r w:rsidRPr="00982193">
        <w:rPr>
          <w:rFonts w:ascii="Verdana" w:hAnsi="Verdana"/>
        </w:rPr>
        <w:t>Nevitt</w:t>
      </w:r>
      <w:proofErr w:type="spellEnd"/>
      <w:r w:rsidRPr="00982193">
        <w:rPr>
          <w:rFonts w:ascii="Verdana" w:hAnsi="Verdana"/>
        </w:rPr>
        <w:t xml:space="preserve"> M, Stone K. Vertebral fractures in Beijing, China: the Beijing Osteoporosis Project. J Bone Miner Res 2000; 15: 2019-25</w:t>
      </w:r>
    </w:p>
    <w:p w:rsidR="00AC03B8" w:rsidRPr="00982193" w:rsidRDefault="005F5276" w:rsidP="00C75E12">
      <w:pPr>
        <w:pStyle w:val="ListParagraph"/>
        <w:numPr>
          <w:ilvl w:val="0"/>
          <w:numId w:val="22"/>
        </w:numPr>
        <w:spacing w:after="0" w:line="360" w:lineRule="auto"/>
        <w:jc w:val="both"/>
        <w:rPr>
          <w:rFonts w:ascii="Verdana" w:hAnsi="Verdana"/>
        </w:rPr>
      </w:pPr>
      <w:proofErr w:type="spellStart"/>
      <w:r w:rsidRPr="00982193">
        <w:rPr>
          <w:rFonts w:ascii="Verdana" w:hAnsi="Verdana"/>
        </w:rPr>
        <w:t>Bortz</w:t>
      </w:r>
      <w:proofErr w:type="spellEnd"/>
      <w:r w:rsidRPr="00982193">
        <w:rPr>
          <w:rFonts w:ascii="Verdana" w:hAnsi="Verdana"/>
        </w:rPr>
        <w:t xml:space="preserve"> WM II. A conceptual framework of frailty: a review. J </w:t>
      </w:r>
      <w:proofErr w:type="spellStart"/>
      <w:r w:rsidRPr="00982193">
        <w:rPr>
          <w:rFonts w:ascii="Verdana" w:hAnsi="Verdana"/>
        </w:rPr>
        <w:t>Gerontol</w:t>
      </w:r>
      <w:proofErr w:type="spellEnd"/>
      <w:r w:rsidRPr="00982193">
        <w:rPr>
          <w:rFonts w:ascii="Verdana" w:hAnsi="Verdana"/>
        </w:rPr>
        <w:t xml:space="preserve"> Med </w:t>
      </w:r>
      <w:proofErr w:type="spellStart"/>
      <w:r w:rsidRPr="00982193">
        <w:rPr>
          <w:rFonts w:ascii="Verdana" w:hAnsi="Verdana"/>
        </w:rPr>
        <w:t>Sci</w:t>
      </w:r>
      <w:proofErr w:type="spellEnd"/>
      <w:r w:rsidRPr="00982193">
        <w:rPr>
          <w:rFonts w:ascii="Verdana" w:hAnsi="Verdana"/>
        </w:rPr>
        <w:t xml:space="preserve"> 2002</w:t>
      </w:r>
      <w:r w:rsidR="00AC03B8" w:rsidRPr="00982193">
        <w:rPr>
          <w:rFonts w:ascii="Verdana" w:hAnsi="Verdana"/>
        </w:rPr>
        <w:t>;</w:t>
      </w:r>
      <w:r w:rsidRPr="00982193">
        <w:rPr>
          <w:rFonts w:ascii="Verdana" w:hAnsi="Verdana"/>
        </w:rPr>
        <w:t xml:space="preserve"> 57: M283-288</w:t>
      </w:r>
    </w:p>
    <w:p w:rsidR="00AC03B8" w:rsidRPr="00982193" w:rsidRDefault="00AC03B8" w:rsidP="00C75E12">
      <w:pPr>
        <w:pStyle w:val="ListParagraph"/>
        <w:numPr>
          <w:ilvl w:val="0"/>
          <w:numId w:val="22"/>
        </w:numPr>
        <w:spacing w:after="0" w:line="360" w:lineRule="auto"/>
        <w:jc w:val="both"/>
        <w:rPr>
          <w:rFonts w:ascii="Verdana" w:hAnsi="Verdana"/>
        </w:rPr>
      </w:pPr>
      <w:r w:rsidRPr="00982193">
        <w:rPr>
          <w:rFonts w:ascii="Verdana" w:hAnsi="Verdana"/>
        </w:rPr>
        <w:t xml:space="preserve">Araujo AB, Chin GR, </w:t>
      </w:r>
      <w:proofErr w:type="spellStart"/>
      <w:r w:rsidRPr="00982193">
        <w:rPr>
          <w:rFonts w:ascii="Verdana" w:hAnsi="Verdana"/>
        </w:rPr>
        <w:t>Kupelian</w:t>
      </w:r>
      <w:proofErr w:type="spellEnd"/>
      <w:r w:rsidRPr="00982193">
        <w:rPr>
          <w:rFonts w:ascii="Verdana" w:hAnsi="Verdana"/>
        </w:rPr>
        <w:t xml:space="preserve"> V et al. Lean mass, muscle strength and physical function in a diverse population of men: a population-based cross-sectional study. BMC Public Health 2010; 10:508</w:t>
      </w:r>
    </w:p>
    <w:p w:rsidR="009B4E67" w:rsidRPr="009D17E3" w:rsidRDefault="009B4E67" w:rsidP="00C75E12">
      <w:pPr>
        <w:pStyle w:val="ListParagraph"/>
        <w:numPr>
          <w:ilvl w:val="0"/>
          <w:numId w:val="22"/>
        </w:numPr>
        <w:spacing w:after="0" w:line="360" w:lineRule="auto"/>
        <w:jc w:val="both"/>
        <w:rPr>
          <w:rFonts w:ascii="Verdana" w:hAnsi="Verdana"/>
        </w:rPr>
      </w:pPr>
      <w:r w:rsidRPr="009D17E3">
        <w:rPr>
          <w:rFonts w:ascii="Verdana" w:hAnsi="Verdana"/>
        </w:rPr>
        <w:t xml:space="preserve">De </w:t>
      </w:r>
      <w:proofErr w:type="spellStart"/>
      <w:r w:rsidRPr="009D17E3">
        <w:rPr>
          <w:rFonts w:ascii="Verdana" w:hAnsi="Verdana"/>
        </w:rPr>
        <w:t>Laet</w:t>
      </w:r>
      <w:proofErr w:type="spellEnd"/>
      <w:r w:rsidRPr="009D17E3">
        <w:rPr>
          <w:rFonts w:ascii="Verdana" w:hAnsi="Verdana"/>
        </w:rPr>
        <w:t xml:space="preserve"> C, Kanis JA, Oden A, </w:t>
      </w:r>
      <w:proofErr w:type="spellStart"/>
      <w:r w:rsidRPr="009D17E3">
        <w:rPr>
          <w:rFonts w:ascii="Verdana" w:hAnsi="Verdana"/>
        </w:rPr>
        <w:t>Johanson</w:t>
      </w:r>
      <w:proofErr w:type="spellEnd"/>
      <w:r w:rsidRPr="009D17E3">
        <w:rPr>
          <w:rFonts w:ascii="Verdana" w:hAnsi="Verdana"/>
        </w:rPr>
        <w:t xml:space="preserve"> H, </w:t>
      </w:r>
      <w:proofErr w:type="spellStart"/>
      <w:r w:rsidRPr="009D17E3">
        <w:rPr>
          <w:rFonts w:ascii="Verdana" w:hAnsi="Verdana"/>
        </w:rPr>
        <w:t>Johnell</w:t>
      </w:r>
      <w:proofErr w:type="spellEnd"/>
      <w:r w:rsidRPr="009D17E3">
        <w:rPr>
          <w:rFonts w:ascii="Verdana" w:hAnsi="Verdana"/>
        </w:rPr>
        <w:t xml:space="preserve"> O, Delmas P, </w:t>
      </w:r>
      <w:proofErr w:type="spellStart"/>
      <w:r w:rsidRPr="009D17E3">
        <w:rPr>
          <w:rFonts w:ascii="Verdana" w:hAnsi="Verdana"/>
        </w:rPr>
        <w:t>Eisman</w:t>
      </w:r>
      <w:proofErr w:type="spellEnd"/>
      <w:r w:rsidRPr="009D17E3">
        <w:rPr>
          <w:rFonts w:ascii="Verdana" w:hAnsi="Verdana"/>
        </w:rPr>
        <w:t xml:space="preserve"> JA, Kroger H, Fujiwara S, </w:t>
      </w:r>
      <w:proofErr w:type="spellStart"/>
      <w:r w:rsidRPr="009D17E3">
        <w:rPr>
          <w:rFonts w:ascii="Verdana" w:hAnsi="Verdana"/>
        </w:rPr>
        <w:t>Garnero</w:t>
      </w:r>
      <w:proofErr w:type="spellEnd"/>
      <w:r w:rsidRPr="009D17E3">
        <w:rPr>
          <w:rFonts w:ascii="Verdana" w:hAnsi="Verdana"/>
        </w:rPr>
        <w:t xml:space="preserve"> P, McCloskey EV, </w:t>
      </w:r>
      <w:proofErr w:type="spellStart"/>
      <w:r w:rsidRPr="009D17E3">
        <w:rPr>
          <w:rFonts w:ascii="Verdana" w:hAnsi="Verdana"/>
        </w:rPr>
        <w:t>Mellstrom</w:t>
      </w:r>
      <w:proofErr w:type="spellEnd"/>
      <w:r w:rsidRPr="009D17E3">
        <w:rPr>
          <w:rFonts w:ascii="Verdana" w:hAnsi="Verdana"/>
        </w:rPr>
        <w:t xml:space="preserve"> D, </w:t>
      </w:r>
      <w:proofErr w:type="spellStart"/>
      <w:r w:rsidRPr="009D17E3">
        <w:rPr>
          <w:rFonts w:ascii="Verdana" w:hAnsi="Verdana"/>
        </w:rPr>
        <w:t>melton</w:t>
      </w:r>
      <w:proofErr w:type="spellEnd"/>
      <w:r w:rsidRPr="009D17E3">
        <w:rPr>
          <w:rFonts w:ascii="Verdana" w:hAnsi="Verdana"/>
        </w:rPr>
        <w:t xml:space="preserve"> LJ 3</w:t>
      </w:r>
      <w:r w:rsidRPr="009D17E3">
        <w:rPr>
          <w:rFonts w:ascii="Verdana" w:hAnsi="Verdana"/>
          <w:vertAlign w:val="superscript"/>
        </w:rPr>
        <w:t>rd</w:t>
      </w:r>
      <w:r w:rsidRPr="009D17E3">
        <w:rPr>
          <w:rFonts w:ascii="Verdana" w:hAnsi="Verdana"/>
        </w:rPr>
        <w:t xml:space="preserve">, </w:t>
      </w:r>
      <w:proofErr w:type="spellStart"/>
      <w:r w:rsidRPr="009D17E3">
        <w:rPr>
          <w:rFonts w:ascii="Verdana" w:hAnsi="Verdana"/>
        </w:rPr>
        <w:t>Meunier</w:t>
      </w:r>
      <w:proofErr w:type="spellEnd"/>
      <w:r w:rsidRPr="009D17E3">
        <w:rPr>
          <w:rFonts w:ascii="Verdana" w:hAnsi="Verdana"/>
        </w:rPr>
        <w:t xml:space="preserve"> PJ, Pols HA, Reeve J, </w:t>
      </w:r>
      <w:proofErr w:type="spellStart"/>
      <w:r w:rsidRPr="009D17E3">
        <w:rPr>
          <w:rFonts w:ascii="Verdana" w:hAnsi="Verdana"/>
        </w:rPr>
        <w:t>Silman</w:t>
      </w:r>
      <w:proofErr w:type="spellEnd"/>
      <w:r w:rsidRPr="009D17E3">
        <w:rPr>
          <w:rFonts w:ascii="Verdana" w:hAnsi="Verdana"/>
        </w:rPr>
        <w:t xml:space="preserve"> A, </w:t>
      </w:r>
      <w:proofErr w:type="spellStart"/>
      <w:r w:rsidRPr="009D17E3">
        <w:rPr>
          <w:rFonts w:ascii="Verdana" w:hAnsi="Verdana"/>
        </w:rPr>
        <w:t>Tenenhouse</w:t>
      </w:r>
      <w:proofErr w:type="spellEnd"/>
      <w:r w:rsidRPr="009D17E3">
        <w:rPr>
          <w:rFonts w:ascii="Verdana" w:hAnsi="Verdana"/>
        </w:rPr>
        <w:t xml:space="preserve"> A. Body mass index as a predictor of fracture risk: a meta-analysis. Osteoporosis </w:t>
      </w:r>
      <w:proofErr w:type="spellStart"/>
      <w:r w:rsidRPr="009D17E3">
        <w:rPr>
          <w:rFonts w:ascii="Verdana" w:hAnsi="Verdana"/>
        </w:rPr>
        <w:t>Int</w:t>
      </w:r>
      <w:proofErr w:type="spellEnd"/>
      <w:r w:rsidRPr="009D17E3">
        <w:rPr>
          <w:rFonts w:ascii="Verdana" w:hAnsi="Verdana"/>
        </w:rPr>
        <w:t xml:space="preserve"> 2005; 16: 1330-8</w:t>
      </w:r>
    </w:p>
    <w:p w:rsidR="00AC03B8" w:rsidRPr="00982193" w:rsidRDefault="00AC03B8" w:rsidP="00C75E12">
      <w:pPr>
        <w:pStyle w:val="ListParagraph"/>
        <w:numPr>
          <w:ilvl w:val="0"/>
          <w:numId w:val="22"/>
        </w:numPr>
        <w:spacing w:after="0" w:line="360" w:lineRule="auto"/>
        <w:jc w:val="both"/>
        <w:rPr>
          <w:rFonts w:ascii="Verdana" w:hAnsi="Verdana"/>
        </w:rPr>
      </w:pPr>
      <w:proofErr w:type="spellStart"/>
      <w:r w:rsidRPr="00982193">
        <w:rPr>
          <w:rFonts w:ascii="Verdana" w:hAnsi="Verdana"/>
        </w:rPr>
        <w:t>Marcell</w:t>
      </w:r>
      <w:proofErr w:type="spellEnd"/>
      <w:r w:rsidRPr="00982193">
        <w:rPr>
          <w:rFonts w:ascii="Verdana" w:hAnsi="Verdana"/>
        </w:rPr>
        <w:t xml:space="preserve"> TJ. Sarcopenia: Causes, consequences, and preventions. J </w:t>
      </w:r>
      <w:proofErr w:type="spellStart"/>
      <w:r w:rsidRPr="00982193">
        <w:rPr>
          <w:rFonts w:ascii="Verdana" w:hAnsi="Verdana"/>
        </w:rPr>
        <w:t>Gerontol</w:t>
      </w:r>
      <w:proofErr w:type="spellEnd"/>
      <w:r w:rsidRPr="00982193">
        <w:rPr>
          <w:rFonts w:ascii="Verdana" w:hAnsi="Verdana"/>
        </w:rPr>
        <w:t xml:space="preserve"> Med </w:t>
      </w:r>
      <w:proofErr w:type="spellStart"/>
      <w:r w:rsidRPr="00982193">
        <w:rPr>
          <w:rFonts w:ascii="Verdana" w:hAnsi="Verdana"/>
        </w:rPr>
        <w:t>Sci</w:t>
      </w:r>
      <w:proofErr w:type="spellEnd"/>
      <w:r w:rsidRPr="00982193">
        <w:rPr>
          <w:rFonts w:ascii="Verdana" w:hAnsi="Verdana"/>
        </w:rPr>
        <w:t xml:space="preserve"> 2003</w:t>
      </w:r>
      <w:r w:rsidR="00F8201D" w:rsidRPr="00982193">
        <w:rPr>
          <w:rFonts w:ascii="Verdana" w:hAnsi="Verdana"/>
        </w:rPr>
        <w:t>; 58A 10:</w:t>
      </w:r>
      <w:r w:rsidRPr="00982193">
        <w:rPr>
          <w:rFonts w:ascii="Verdana" w:hAnsi="Verdana"/>
        </w:rPr>
        <w:t xml:space="preserve"> 911-916</w:t>
      </w:r>
    </w:p>
    <w:p w:rsidR="00AC03B8" w:rsidRPr="00982193" w:rsidRDefault="00AC03B8" w:rsidP="00C75E12">
      <w:pPr>
        <w:pStyle w:val="ListParagraph"/>
        <w:numPr>
          <w:ilvl w:val="0"/>
          <w:numId w:val="22"/>
        </w:numPr>
        <w:spacing w:after="0" w:line="360" w:lineRule="auto"/>
        <w:jc w:val="both"/>
        <w:rPr>
          <w:rFonts w:ascii="Verdana" w:hAnsi="Verdana"/>
        </w:rPr>
      </w:pPr>
      <w:proofErr w:type="spellStart"/>
      <w:r w:rsidRPr="00982193">
        <w:rPr>
          <w:rFonts w:ascii="Verdana" w:hAnsi="Verdana"/>
        </w:rPr>
        <w:t>Szulc</w:t>
      </w:r>
      <w:proofErr w:type="spellEnd"/>
      <w:r w:rsidRPr="00982193">
        <w:rPr>
          <w:rFonts w:ascii="Verdana" w:hAnsi="Verdana"/>
        </w:rPr>
        <w:t xml:space="preserve"> P, </w:t>
      </w:r>
      <w:proofErr w:type="spellStart"/>
      <w:r w:rsidRPr="00982193">
        <w:rPr>
          <w:rFonts w:ascii="Verdana" w:hAnsi="Verdana"/>
        </w:rPr>
        <w:t>Duboeuf</w:t>
      </w:r>
      <w:proofErr w:type="spellEnd"/>
      <w:r w:rsidRPr="00982193">
        <w:rPr>
          <w:rFonts w:ascii="Verdana" w:hAnsi="Verdana"/>
        </w:rPr>
        <w:t xml:space="preserve"> F, </w:t>
      </w:r>
      <w:proofErr w:type="spellStart"/>
      <w:r w:rsidRPr="00982193">
        <w:rPr>
          <w:rFonts w:ascii="Verdana" w:hAnsi="Verdana"/>
        </w:rPr>
        <w:t>Marchand</w:t>
      </w:r>
      <w:proofErr w:type="spellEnd"/>
      <w:r w:rsidRPr="00982193">
        <w:rPr>
          <w:rFonts w:ascii="Verdana" w:hAnsi="Verdana"/>
        </w:rPr>
        <w:t xml:space="preserve"> F, Delmas P. Hormonal and li</w:t>
      </w:r>
      <w:r w:rsidR="005561CE" w:rsidRPr="00982193">
        <w:rPr>
          <w:rFonts w:ascii="Verdana" w:hAnsi="Verdana"/>
        </w:rPr>
        <w:t>f</w:t>
      </w:r>
      <w:r w:rsidRPr="00982193">
        <w:rPr>
          <w:rFonts w:ascii="Verdana" w:hAnsi="Verdana"/>
        </w:rPr>
        <w:t xml:space="preserve">estyle determinants of appendicular skeletal muscle mass in men: the MINOS study. </w:t>
      </w:r>
      <w:r w:rsidR="00F8201D" w:rsidRPr="00982193">
        <w:rPr>
          <w:rFonts w:ascii="Verdana" w:hAnsi="Verdana"/>
        </w:rPr>
        <w:t xml:space="preserve">Am J </w:t>
      </w:r>
      <w:proofErr w:type="spellStart"/>
      <w:r w:rsidR="00F8201D" w:rsidRPr="00982193">
        <w:rPr>
          <w:rFonts w:ascii="Verdana" w:hAnsi="Verdana"/>
        </w:rPr>
        <w:t>Clin</w:t>
      </w:r>
      <w:proofErr w:type="spellEnd"/>
      <w:r w:rsidR="00F8201D" w:rsidRPr="00982193">
        <w:rPr>
          <w:rFonts w:ascii="Verdana" w:hAnsi="Verdana"/>
        </w:rPr>
        <w:t xml:space="preserve"> Nutr 2004; 80:496-503</w:t>
      </w:r>
    </w:p>
    <w:p w:rsidR="009B4E67" w:rsidRPr="009D17E3" w:rsidRDefault="009B4E67" w:rsidP="00C75E12">
      <w:pPr>
        <w:pStyle w:val="ListParagraph"/>
        <w:numPr>
          <w:ilvl w:val="0"/>
          <w:numId w:val="22"/>
        </w:numPr>
        <w:spacing w:after="0" w:line="360" w:lineRule="auto"/>
        <w:jc w:val="both"/>
        <w:rPr>
          <w:rFonts w:ascii="Verdana" w:hAnsi="Verdana"/>
        </w:rPr>
      </w:pPr>
      <w:proofErr w:type="spellStart"/>
      <w:r w:rsidRPr="009D17E3">
        <w:rPr>
          <w:rFonts w:ascii="Verdana" w:hAnsi="Verdana"/>
        </w:rPr>
        <w:t>Berard</w:t>
      </w:r>
      <w:proofErr w:type="spellEnd"/>
      <w:r w:rsidRPr="009D17E3">
        <w:rPr>
          <w:rFonts w:ascii="Verdana" w:hAnsi="Verdana"/>
        </w:rPr>
        <w:t xml:space="preserve"> A, Bravo G, Gauthier P. Meta-analysis of the effectiveness of physical activity for the prevention of bone loss in postmenopausal women. Osteoporosis </w:t>
      </w:r>
      <w:proofErr w:type="spellStart"/>
      <w:r w:rsidRPr="009D17E3">
        <w:rPr>
          <w:rFonts w:ascii="Verdana" w:hAnsi="Verdana"/>
        </w:rPr>
        <w:t>Int</w:t>
      </w:r>
      <w:proofErr w:type="spellEnd"/>
      <w:r w:rsidRPr="009D17E3">
        <w:rPr>
          <w:rFonts w:ascii="Verdana" w:hAnsi="Verdana"/>
        </w:rPr>
        <w:t xml:space="preserve"> 1997; 7: 331-7</w:t>
      </w:r>
    </w:p>
    <w:p w:rsidR="00A96BAF" w:rsidRPr="00982193" w:rsidRDefault="00A96BAF" w:rsidP="00C75E12">
      <w:pPr>
        <w:pStyle w:val="ListParagraph"/>
        <w:numPr>
          <w:ilvl w:val="0"/>
          <w:numId w:val="22"/>
        </w:numPr>
        <w:spacing w:after="0" w:line="360" w:lineRule="auto"/>
        <w:jc w:val="both"/>
        <w:rPr>
          <w:rFonts w:ascii="Verdana" w:hAnsi="Verdana"/>
        </w:rPr>
      </w:pPr>
      <w:proofErr w:type="spellStart"/>
      <w:r w:rsidRPr="00982193">
        <w:rPr>
          <w:rFonts w:ascii="Verdana" w:hAnsi="Verdana"/>
        </w:rPr>
        <w:t>Kortebein</w:t>
      </w:r>
      <w:proofErr w:type="spellEnd"/>
      <w:r w:rsidRPr="00982193">
        <w:rPr>
          <w:rFonts w:ascii="Verdana" w:hAnsi="Verdana"/>
        </w:rPr>
        <w:t xml:space="preserve"> P, et al. Effect of 10 days of bed rest on skeletal muscle in healthy older adults. JAMA 2007; 297(16):1772-4</w:t>
      </w:r>
    </w:p>
    <w:p w:rsidR="00D51916" w:rsidRPr="00982193" w:rsidRDefault="00A96BAF" w:rsidP="00C75E12">
      <w:pPr>
        <w:pStyle w:val="ListParagraph"/>
        <w:numPr>
          <w:ilvl w:val="0"/>
          <w:numId w:val="22"/>
        </w:numPr>
        <w:spacing w:after="0" w:line="360" w:lineRule="auto"/>
        <w:jc w:val="both"/>
        <w:rPr>
          <w:rFonts w:ascii="Verdana" w:hAnsi="Verdana"/>
        </w:rPr>
      </w:pPr>
      <w:proofErr w:type="spellStart"/>
      <w:r w:rsidRPr="00982193">
        <w:rPr>
          <w:rFonts w:ascii="Verdana" w:hAnsi="Verdana"/>
        </w:rPr>
        <w:lastRenderedPageBreak/>
        <w:t>Zampieri</w:t>
      </w:r>
      <w:proofErr w:type="spellEnd"/>
      <w:r w:rsidRPr="00982193">
        <w:rPr>
          <w:rFonts w:ascii="Verdana" w:hAnsi="Verdana"/>
        </w:rPr>
        <w:t xml:space="preserve"> S, </w:t>
      </w:r>
      <w:proofErr w:type="spellStart"/>
      <w:r w:rsidRPr="00982193">
        <w:rPr>
          <w:rFonts w:ascii="Verdana" w:hAnsi="Verdana"/>
        </w:rPr>
        <w:t>Pietrangelo</w:t>
      </w:r>
      <w:proofErr w:type="spellEnd"/>
      <w:r w:rsidRPr="00982193">
        <w:rPr>
          <w:rFonts w:ascii="Verdana" w:hAnsi="Verdana"/>
        </w:rPr>
        <w:t xml:space="preserve"> L, </w:t>
      </w:r>
      <w:proofErr w:type="spellStart"/>
      <w:r w:rsidRPr="00982193">
        <w:rPr>
          <w:rFonts w:ascii="Verdana" w:hAnsi="Verdana"/>
        </w:rPr>
        <w:t>Loefler</w:t>
      </w:r>
      <w:proofErr w:type="spellEnd"/>
      <w:r w:rsidRPr="00982193">
        <w:rPr>
          <w:rFonts w:ascii="Verdana" w:hAnsi="Verdana"/>
        </w:rPr>
        <w:t xml:space="preserve"> S et al. Lifelong physical exercise delays age associated skeletal muscle decline. J </w:t>
      </w:r>
      <w:proofErr w:type="spellStart"/>
      <w:r w:rsidRPr="00982193">
        <w:rPr>
          <w:rFonts w:ascii="Verdana" w:hAnsi="Verdana"/>
        </w:rPr>
        <w:t>Gerontol</w:t>
      </w:r>
      <w:proofErr w:type="spellEnd"/>
      <w:r w:rsidRPr="00982193">
        <w:rPr>
          <w:rFonts w:ascii="Verdana" w:hAnsi="Verdana"/>
        </w:rPr>
        <w:t xml:space="preserve"> A </w:t>
      </w:r>
      <w:proofErr w:type="spellStart"/>
      <w:r w:rsidRPr="00982193">
        <w:rPr>
          <w:rFonts w:ascii="Verdana" w:hAnsi="Verdana"/>
        </w:rPr>
        <w:t>Biol</w:t>
      </w:r>
      <w:proofErr w:type="spellEnd"/>
      <w:r w:rsidRPr="00982193">
        <w:rPr>
          <w:rFonts w:ascii="Verdana" w:hAnsi="Verdana"/>
        </w:rPr>
        <w:t xml:space="preserve"> </w:t>
      </w:r>
      <w:proofErr w:type="spellStart"/>
      <w:r w:rsidRPr="00982193">
        <w:rPr>
          <w:rFonts w:ascii="Verdana" w:hAnsi="Verdana"/>
        </w:rPr>
        <w:t>Sci</w:t>
      </w:r>
      <w:proofErr w:type="spellEnd"/>
      <w:r w:rsidRPr="00982193">
        <w:rPr>
          <w:rFonts w:ascii="Verdana" w:hAnsi="Verdana"/>
        </w:rPr>
        <w:t xml:space="preserve"> Med </w:t>
      </w:r>
      <w:proofErr w:type="spellStart"/>
      <w:r w:rsidRPr="00982193">
        <w:rPr>
          <w:rFonts w:ascii="Verdana" w:hAnsi="Verdana"/>
        </w:rPr>
        <w:t>Sci</w:t>
      </w:r>
      <w:proofErr w:type="spellEnd"/>
      <w:r w:rsidRPr="00982193">
        <w:rPr>
          <w:rFonts w:ascii="Verdana" w:hAnsi="Verdana"/>
        </w:rPr>
        <w:t xml:space="preserve"> 2014</w:t>
      </w:r>
    </w:p>
    <w:p w:rsidR="00D51916" w:rsidRPr="00982193" w:rsidRDefault="00D51916" w:rsidP="00C75E12">
      <w:pPr>
        <w:pStyle w:val="ListParagraph"/>
        <w:numPr>
          <w:ilvl w:val="0"/>
          <w:numId w:val="22"/>
        </w:numPr>
        <w:spacing w:after="0" w:line="360" w:lineRule="auto"/>
        <w:jc w:val="both"/>
        <w:rPr>
          <w:rFonts w:ascii="Verdana" w:hAnsi="Verdana"/>
        </w:rPr>
      </w:pPr>
      <w:proofErr w:type="spellStart"/>
      <w:r w:rsidRPr="00982193">
        <w:rPr>
          <w:rFonts w:ascii="Verdana" w:hAnsi="Verdana"/>
        </w:rPr>
        <w:t>Hinrichs</w:t>
      </w:r>
      <w:proofErr w:type="spellEnd"/>
      <w:r w:rsidRPr="00982193">
        <w:rPr>
          <w:rFonts w:ascii="Verdana" w:hAnsi="Verdana"/>
        </w:rPr>
        <w:t xml:space="preserve"> T, von </w:t>
      </w:r>
      <w:proofErr w:type="spellStart"/>
      <w:r w:rsidRPr="00982193">
        <w:rPr>
          <w:rFonts w:ascii="Verdana" w:hAnsi="Verdana"/>
        </w:rPr>
        <w:t>Bonsdorff</w:t>
      </w:r>
      <w:proofErr w:type="spellEnd"/>
      <w:r w:rsidRPr="00982193">
        <w:rPr>
          <w:rFonts w:ascii="Verdana" w:hAnsi="Verdana"/>
        </w:rPr>
        <w:t xml:space="preserve"> MB, </w:t>
      </w:r>
      <w:proofErr w:type="spellStart"/>
      <w:r w:rsidRPr="00982193">
        <w:rPr>
          <w:rFonts w:ascii="Verdana" w:hAnsi="Verdana"/>
        </w:rPr>
        <w:t>Tormakangas</w:t>
      </w:r>
      <w:proofErr w:type="spellEnd"/>
      <w:r w:rsidRPr="00982193">
        <w:rPr>
          <w:rFonts w:ascii="Verdana" w:hAnsi="Verdana"/>
        </w:rPr>
        <w:t xml:space="preserve"> T </w:t>
      </w:r>
      <w:proofErr w:type="spellStart"/>
      <w:r w:rsidRPr="00982193">
        <w:rPr>
          <w:rFonts w:ascii="Verdana" w:hAnsi="Verdana"/>
        </w:rPr>
        <w:t>eg</w:t>
      </w:r>
      <w:proofErr w:type="spellEnd"/>
      <w:r w:rsidRPr="00982193">
        <w:rPr>
          <w:rFonts w:ascii="Verdana" w:hAnsi="Verdana"/>
        </w:rPr>
        <w:t xml:space="preserve"> al. Inverse effects of midlife occupational and leisure time physical activity on mobility limitation in old age – a 28-year prospective follow-up study. J Am </w:t>
      </w:r>
      <w:proofErr w:type="spellStart"/>
      <w:r w:rsidRPr="00982193">
        <w:rPr>
          <w:rFonts w:ascii="Verdana" w:hAnsi="Verdana"/>
        </w:rPr>
        <w:t>Geriatr</w:t>
      </w:r>
      <w:proofErr w:type="spellEnd"/>
      <w:r w:rsidRPr="00982193">
        <w:rPr>
          <w:rFonts w:ascii="Verdana" w:hAnsi="Verdana"/>
        </w:rPr>
        <w:t xml:space="preserve"> </w:t>
      </w:r>
      <w:proofErr w:type="spellStart"/>
      <w:r w:rsidRPr="00982193">
        <w:rPr>
          <w:rFonts w:ascii="Verdana" w:hAnsi="Verdana"/>
        </w:rPr>
        <w:t>Soc</w:t>
      </w:r>
      <w:proofErr w:type="spellEnd"/>
      <w:r w:rsidRPr="00982193">
        <w:rPr>
          <w:rFonts w:ascii="Verdana" w:hAnsi="Verdana"/>
        </w:rPr>
        <w:t xml:space="preserve"> 2014; 62:812-820.</w:t>
      </w:r>
    </w:p>
    <w:p w:rsidR="00D51916" w:rsidRPr="00982193" w:rsidRDefault="00D51916" w:rsidP="00C75E12">
      <w:pPr>
        <w:pStyle w:val="ListParagraph"/>
        <w:numPr>
          <w:ilvl w:val="0"/>
          <w:numId w:val="22"/>
        </w:numPr>
        <w:spacing w:after="0" w:line="360" w:lineRule="auto"/>
        <w:jc w:val="both"/>
        <w:rPr>
          <w:rFonts w:ascii="Verdana" w:hAnsi="Verdana"/>
        </w:rPr>
      </w:pPr>
      <w:r w:rsidRPr="00982193">
        <w:rPr>
          <w:rFonts w:ascii="Verdana" w:hAnsi="Verdana"/>
        </w:rPr>
        <w:t xml:space="preserve">Binder EF, </w:t>
      </w:r>
      <w:proofErr w:type="spellStart"/>
      <w:r w:rsidRPr="00982193">
        <w:rPr>
          <w:rFonts w:ascii="Verdana" w:hAnsi="Verdana"/>
        </w:rPr>
        <w:t>Yarasheski</w:t>
      </w:r>
      <w:proofErr w:type="spellEnd"/>
      <w:r w:rsidRPr="00982193">
        <w:rPr>
          <w:rFonts w:ascii="Verdana" w:hAnsi="Verdana"/>
        </w:rPr>
        <w:t xml:space="preserve"> KE, Steger-May K et al. Effects of progressive resistance training on body composition in frail older adults: results of a randomized, controlled trial. J </w:t>
      </w:r>
      <w:proofErr w:type="spellStart"/>
      <w:r w:rsidRPr="00982193">
        <w:rPr>
          <w:rFonts w:ascii="Verdana" w:hAnsi="Verdana"/>
        </w:rPr>
        <w:t>Gerontol</w:t>
      </w:r>
      <w:proofErr w:type="spellEnd"/>
      <w:r w:rsidRPr="00982193">
        <w:rPr>
          <w:rFonts w:ascii="Verdana" w:hAnsi="Verdana"/>
        </w:rPr>
        <w:t xml:space="preserve"> A </w:t>
      </w:r>
      <w:proofErr w:type="spellStart"/>
      <w:r w:rsidRPr="00982193">
        <w:rPr>
          <w:rFonts w:ascii="Verdana" w:hAnsi="Verdana"/>
        </w:rPr>
        <w:t>Biol</w:t>
      </w:r>
      <w:proofErr w:type="spellEnd"/>
      <w:r w:rsidRPr="00982193">
        <w:rPr>
          <w:rFonts w:ascii="Verdana" w:hAnsi="Verdana"/>
        </w:rPr>
        <w:t xml:space="preserve"> </w:t>
      </w:r>
      <w:proofErr w:type="spellStart"/>
      <w:r w:rsidRPr="00982193">
        <w:rPr>
          <w:rFonts w:ascii="Verdana" w:hAnsi="Verdana"/>
        </w:rPr>
        <w:t>Sci</w:t>
      </w:r>
      <w:proofErr w:type="spellEnd"/>
      <w:r w:rsidRPr="00982193">
        <w:rPr>
          <w:rFonts w:ascii="Verdana" w:hAnsi="Verdana"/>
        </w:rPr>
        <w:t xml:space="preserve"> Med </w:t>
      </w:r>
      <w:proofErr w:type="spellStart"/>
      <w:r w:rsidRPr="00982193">
        <w:rPr>
          <w:rFonts w:ascii="Verdana" w:hAnsi="Verdana"/>
        </w:rPr>
        <w:t>Sci</w:t>
      </w:r>
      <w:proofErr w:type="spellEnd"/>
      <w:r w:rsidRPr="00982193">
        <w:rPr>
          <w:rFonts w:ascii="Verdana" w:hAnsi="Verdana"/>
        </w:rPr>
        <w:t xml:space="preserve"> 2005; 60: 1425-31</w:t>
      </w:r>
    </w:p>
    <w:p w:rsidR="002F0D6E" w:rsidRPr="00982193" w:rsidRDefault="00D51916" w:rsidP="00C75E12">
      <w:pPr>
        <w:pStyle w:val="ListParagraph"/>
        <w:numPr>
          <w:ilvl w:val="0"/>
          <w:numId w:val="22"/>
        </w:numPr>
        <w:spacing w:after="0" w:line="360" w:lineRule="auto"/>
        <w:jc w:val="both"/>
        <w:rPr>
          <w:rFonts w:ascii="Verdana" w:hAnsi="Verdana"/>
        </w:rPr>
      </w:pPr>
      <w:proofErr w:type="spellStart"/>
      <w:r w:rsidRPr="00982193">
        <w:rPr>
          <w:rFonts w:ascii="Verdana" w:hAnsi="Verdana"/>
        </w:rPr>
        <w:t>Suetta</w:t>
      </w:r>
      <w:proofErr w:type="spellEnd"/>
      <w:r w:rsidRPr="00982193">
        <w:rPr>
          <w:rFonts w:ascii="Verdana" w:hAnsi="Verdana"/>
        </w:rPr>
        <w:t xml:space="preserve"> C, Andersen JL, </w:t>
      </w:r>
      <w:proofErr w:type="spellStart"/>
      <w:r w:rsidRPr="00982193">
        <w:rPr>
          <w:rFonts w:ascii="Verdana" w:hAnsi="Verdana"/>
        </w:rPr>
        <w:t>Dalgas</w:t>
      </w:r>
      <w:proofErr w:type="spellEnd"/>
      <w:r w:rsidRPr="00982193">
        <w:rPr>
          <w:rFonts w:ascii="Verdana" w:hAnsi="Verdana"/>
        </w:rPr>
        <w:t xml:space="preserve"> U et al. Resistance training induced qualitative changes in muscle morphology, muscle architecture and muscle function in elderly postoperative patients. J </w:t>
      </w:r>
      <w:proofErr w:type="spellStart"/>
      <w:r w:rsidRPr="00982193">
        <w:rPr>
          <w:rFonts w:ascii="Verdana" w:hAnsi="Verdana"/>
        </w:rPr>
        <w:t>Appl</w:t>
      </w:r>
      <w:proofErr w:type="spellEnd"/>
      <w:r w:rsidRPr="00982193">
        <w:rPr>
          <w:rFonts w:ascii="Verdana" w:hAnsi="Verdana"/>
        </w:rPr>
        <w:t xml:space="preserve"> </w:t>
      </w:r>
      <w:proofErr w:type="spellStart"/>
      <w:r w:rsidRPr="00982193">
        <w:rPr>
          <w:rFonts w:ascii="Verdana" w:hAnsi="Verdana"/>
        </w:rPr>
        <w:t>Physiol</w:t>
      </w:r>
      <w:proofErr w:type="spellEnd"/>
      <w:r w:rsidRPr="00982193">
        <w:rPr>
          <w:rFonts w:ascii="Verdana" w:hAnsi="Verdana"/>
        </w:rPr>
        <w:t xml:space="preserve"> (1985) 2008; 105: 180-6.</w:t>
      </w:r>
    </w:p>
    <w:p w:rsidR="002F0D6E" w:rsidRPr="00982193" w:rsidRDefault="002F0D6E" w:rsidP="00C75E12">
      <w:pPr>
        <w:pStyle w:val="ListParagraph"/>
        <w:numPr>
          <w:ilvl w:val="0"/>
          <w:numId w:val="22"/>
        </w:numPr>
        <w:spacing w:after="0" w:line="360" w:lineRule="auto"/>
        <w:jc w:val="both"/>
        <w:rPr>
          <w:rFonts w:ascii="Verdana" w:hAnsi="Verdana"/>
        </w:rPr>
      </w:pPr>
      <w:proofErr w:type="spellStart"/>
      <w:r w:rsidRPr="00982193">
        <w:rPr>
          <w:rFonts w:ascii="Verdana" w:hAnsi="Verdana"/>
        </w:rPr>
        <w:t>Bunout</w:t>
      </w:r>
      <w:proofErr w:type="spellEnd"/>
      <w:r w:rsidRPr="00982193">
        <w:rPr>
          <w:rFonts w:ascii="Verdana" w:hAnsi="Verdana"/>
        </w:rPr>
        <w:t xml:space="preserve"> D, Barrera G, de la </w:t>
      </w:r>
      <w:proofErr w:type="spellStart"/>
      <w:r w:rsidRPr="00982193">
        <w:rPr>
          <w:rFonts w:ascii="Verdana" w:hAnsi="Verdana"/>
        </w:rPr>
        <w:t>Maza</w:t>
      </w:r>
      <w:proofErr w:type="spellEnd"/>
      <w:r w:rsidRPr="00982193">
        <w:rPr>
          <w:rFonts w:ascii="Verdana" w:hAnsi="Verdana"/>
        </w:rPr>
        <w:t xml:space="preserve"> P et al. The impact of nutritional </w:t>
      </w:r>
    </w:p>
    <w:p w:rsidR="002F0D6E" w:rsidRPr="00982193" w:rsidRDefault="002F0D6E" w:rsidP="00C75E12">
      <w:pPr>
        <w:pStyle w:val="ListParagraph"/>
        <w:numPr>
          <w:ilvl w:val="1"/>
          <w:numId w:val="22"/>
        </w:numPr>
        <w:spacing w:after="0" w:line="360" w:lineRule="auto"/>
        <w:jc w:val="both"/>
        <w:rPr>
          <w:rFonts w:ascii="Verdana" w:hAnsi="Verdana"/>
        </w:rPr>
      </w:pPr>
      <w:proofErr w:type="gramStart"/>
      <w:r w:rsidRPr="00982193">
        <w:rPr>
          <w:rFonts w:ascii="Verdana" w:hAnsi="Verdana"/>
        </w:rPr>
        <w:t>supplementation</w:t>
      </w:r>
      <w:proofErr w:type="gramEnd"/>
      <w:r w:rsidRPr="00982193">
        <w:rPr>
          <w:rFonts w:ascii="Verdana" w:hAnsi="Verdana"/>
        </w:rPr>
        <w:t xml:space="preserve"> and resistance training on the health functioning of free-living Chilean Elders: results of 18 months of follow-up. J Nutr 2001; 131:2441s-6s. </w:t>
      </w:r>
    </w:p>
    <w:p w:rsidR="002F0D6E" w:rsidRPr="00982193" w:rsidRDefault="002F0D6E" w:rsidP="00C75E12">
      <w:pPr>
        <w:pStyle w:val="ListParagraph"/>
        <w:numPr>
          <w:ilvl w:val="0"/>
          <w:numId w:val="22"/>
        </w:numPr>
        <w:spacing w:after="0" w:line="360" w:lineRule="auto"/>
        <w:jc w:val="both"/>
        <w:rPr>
          <w:rFonts w:ascii="Verdana" w:hAnsi="Verdana"/>
        </w:rPr>
      </w:pPr>
      <w:proofErr w:type="spellStart"/>
      <w:r w:rsidRPr="00982193">
        <w:rPr>
          <w:rFonts w:ascii="Verdana" w:hAnsi="Verdana"/>
        </w:rPr>
        <w:t>Kemmler</w:t>
      </w:r>
      <w:proofErr w:type="spellEnd"/>
      <w:r w:rsidRPr="00982193">
        <w:rPr>
          <w:rFonts w:ascii="Verdana" w:hAnsi="Verdana"/>
        </w:rPr>
        <w:t xml:space="preserve"> W, von Stengel S, </w:t>
      </w:r>
      <w:proofErr w:type="spellStart"/>
      <w:r w:rsidRPr="00982193">
        <w:rPr>
          <w:rFonts w:ascii="Verdana" w:hAnsi="Verdana"/>
        </w:rPr>
        <w:t>Engelke</w:t>
      </w:r>
      <w:proofErr w:type="spellEnd"/>
      <w:r w:rsidRPr="00982193">
        <w:rPr>
          <w:rFonts w:ascii="Verdana" w:hAnsi="Verdana"/>
        </w:rPr>
        <w:t xml:space="preserve"> K, </w:t>
      </w:r>
      <w:proofErr w:type="spellStart"/>
      <w:r w:rsidRPr="00982193">
        <w:rPr>
          <w:rFonts w:ascii="Verdana" w:hAnsi="Verdana"/>
        </w:rPr>
        <w:t>Haberle</w:t>
      </w:r>
      <w:proofErr w:type="spellEnd"/>
      <w:r w:rsidRPr="00982193">
        <w:rPr>
          <w:rFonts w:ascii="Verdana" w:hAnsi="Verdana"/>
        </w:rPr>
        <w:t xml:space="preserve"> L, Mayhew JL, </w:t>
      </w:r>
      <w:proofErr w:type="spellStart"/>
      <w:r w:rsidRPr="00982193">
        <w:rPr>
          <w:rFonts w:ascii="Verdana" w:hAnsi="Verdana"/>
        </w:rPr>
        <w:t>Kalender</w:t>
      </w:r>
      <w:proofErr w:type="spellEnd"/>
      <w:r w:rsidRPr="00982193">
        <w:rPr>
          <w:rFonts w:ascii="Verdana" w:hAnsi="Verdana"/>
        </w:rPr>
        <w:t xml:space="preserve"> WA. Exercise, body composition and functional ability: a randomized controlled trial. Am J </w:t>
      </w:r>
      <w:proofErr w:type="spellStart"/>
      <w:r w:rsidRPr="00982193">
        <w:rPr>
          <w:rFonts w:ascii="Verdana" w:hAnsi="Verdana"/>
        </w:rPr>
        <w:t>Prev</w:t>
      </w:r>
      <w:proofErr w:type="spellEnd"/>
      <w:r w:rsidRPr="00982193">
        <w:rPr>
          <w:rFonts w:ascii="Verdana" w:hAnsi="Verdana"/>
        </w:rPr>
        <w:t xml:space="preserve"> Med 2010; 38: 279-</w:t>
      </w:r>
      <w:proofErr w:type="gramStart"/>
      <w:r w:rsidRPr="00982193">
        <w:rPr>
          <w:rFonts w:ascii="Verdana" w:hAnsi="Verdana"/>
        </w:rPr>
        <w:t>87.</w:t>
      </w:r>
      <w:proofErr w:type="gramEnd"/>
    </w:p>
    <w:p w:rsidR="00936CED" w:rsidRPr="00982193" w:rsidRDefault="002F0D6E" w:rsidP="00C75E12">
      <w:pPr>
        <w:pStyle w:val="ListParagraph"/>
        <w:numPr>
          <w:ilvl w:val="0"/>
          <w:numId w:val="22"/>
        </w:numPr>
        <w:spacing w:after="0" w:line="360" w:lineRule="auto"/>
        <w:jc w:val="both"/>
        <w:rPr>
          <w:rFonts w:ascii="Verdana" w:hAnsi="Verdana"/>
        </w:rPr>
      </w:pPr>
      <w:proofErr w:type="spellStart"/>
      <w:r w:rsidRPr="00982193">
        <w:rPr>
          <w:rFonts w:ascii="Verdana" w:hAnsi="Verdana"/>
        </w:rPr>
        <w:t>Rydwik</w:t>
      </w:r>
      <w:proofErr w:type="spellEnd"/>
      <w:r w:rsidRPr="00982193">
        <w:rPr>
          <w:rFonts w:ascii="Verdana" w:hAnsi="Verdana"/>
        </w:rPr>
        <w:t xml:space="preserve"> E, </w:t>
      </w:r>
      <w:proofErr w:type="spellStart"/>
      <w:r w:rsidRPr="00982193">
        <w:rPr>
          <w:rFonts w:ascii="Verdana" w:hAnsi="Verdana"/>
        </w:rPr>
        <w:t>Lammes</w:t>
      </w:r>
      <w:proofErr w:type="spellEnd"/>
      <w:r w:rsidRPr="00982193">
        <w:rPr>
          <w:rFonts w:ascii="Verdana" w:hAnsi="Verdana"/>
        </w:rPr>
        <w:t xml:space="preserve"> E, </w:t>
      </w:r>
      <w:proofErr w:type="spellStart"/>
      <w:r w:rsidRPr="00982193">
        <w:rPr>
          <w:rFonts w:ascii="Verdana" w:hAnsi="Verdana"/>
        </w:rPr>
        <w:t>Frandin</w:t>
      </w:r>
      <w:proofErr w:type="spellEnd"/>
      <w:r w:rsidRPr="00982193">
        <w:rPr>
          <w:rFonts w:ascii="Verdana" w:hAnsi="Verdana"/>
        </w:rPr>
        <w:t xml:space="preserve"> K, </w:t>
      </w:r>
      <w:proofErr w:type="spellStart"/>
      <w:r w:rsidRPr="00982193">
        <w:rPr>
          <w:rFonts w:ascii="Verdana" w:hAnsi="Verdana"/>
        </w:rPr>
        <w:t>Akner</w:t>
      </w:r>
      <w:proofErr w:type="spellEnd"/>
      <w:r w:rsidRPr="00982193">
        <w:rPr>
          <w:rFonts w:ascii="Verdana" w:hAnsi="Verdana"/>
        </w:rPr>
        <w:t xml:space="preserve"> G. Effects of a physical and nutritional intervention program for frail elderly people over age 75. A randomized controlled pilot treatment trial. Aging </w:t>
      </w:r>
      <w:proofErr w:type="spellStart"/>
      <w:r w:rsidRPr="00982193">
        <w:rPr>
          <w:rFonts w:ascii="Verdana" w:hAnsi="Verdana"/>
        </w:rPr>
        <w:t>Clin</w:t>
      </w:r>
      <w:proofErr w:type="spellEnd"/>
      <w:r w:rsidRPr="00982193">
        <w:rPr>
          <w:rFonts w:ascii="Verdana" w:hAnsi="Verdana"/>
        </w:rPr>
        <w:t xml:space="preserve"> </w:t>
      </w:r>
      <w:proofErr w:type="spellStart"/>
      <w:r w:rsidRPr="00982193">
        <w:rPr>
          <w:rFonts w:ascii="Verdana" w:hAnsi="Verdana"/>
        </w:rPr>
        <w:t>Exp</w:t>
      </w:r>
      <w:proofErr w:type="spellEnd"/>
      <w:r w:rsidRPr="00982193">
        <w:rPr>
          <w:rFonts w:ascii="Verdana" w:hAnsi="Verdana"/>
        </w:rPr>
        <w:t xml:space="preserve"> Res 2008; 20: 159-70.</w:t>
      </w:r>
      <w:r w:rsidR="00936CED" w:rsidRPr="00982193">
        <w:rPr>
          <w:rFonts w:ascii="Verdana" w:hAnsi="Verdana"/>
        </w:rPr>
        <w:t xml:space="preserve"> </w:t>
      </w:r>
    </w:p>
    <w:p w:rsidR="00936CED" w:rsidRPr="00982193" w:rsidRDefault="00936CED" w:rsidP="00C75E12">
      <w:pPr>
        <w:pStyle w:val="ListParagraph"/>
        <w:numPr>
          <w:ilvl w:val="0"/>
          <w:numId w:val="22"/>
        </w:numPr>
        <w:spacing w:after="0" w:line="360" w:lineRule="auto"/>
        <w:jc w:val="both"/>
        <w:rPr>
          <w:rFonts w:ascii="Verdana" w:hAnsi="Verdana"/>
        </w:rPr>
      </w:pPr>
      <w:proofErr w:type="spellStart"/>
      <w:r w:rsidRPr="00982193">
        <w:rPr>
          <w:rFonts w:ascii="Verdana" w:hAnsi="Verdana"/>
        </w:rPr>
        <w:t>Goodpaster</w:t>
      </w:r>
      <w:proofErr w:type="spellEnd"/>
      <w:r w:rsidRPr="00982193">
        <w:rPr>
          <w:rFonts w:ascii="Verdana" w:hAnsi="Verdana"/>
        </w:rPr>
        <w:t xml:space="preserve"> BH, </w:t>
      </w:r>
      <w:proofErr w:type="spellStart"/>
      <w:r w:rsidRPr="00982193">
        <w:rPr>
          <w:rFonts w:ascii="Verdana" w:hAnsi="Verdana"/>
        </w:rPr>
        <w:t>Chomentowski</w:t>
      </w:r>
      <w:proofErr w:type="spellEnd"/>
      <w:r w:rsidRPr="00982193">
        <w:rPr>
          <w:rFonts w:ascii="Verdana" w:hAnsi="Verdana"/>
        </w:rPr>
        <w:t xml:space="preserve"> P, Ward BK et al. Effects of Physical Activity on strength and skeletal muscle fat infiltration in older adults: a randomized controlled trial. J </w:t>
      </w:r>
      <w:proofErr w:type="spellStart"/>
      <w:r w:rsidRPr="00982193">
        <w:rPr>
          <w:rFonts w:ascii="Verdana" w:hAnsi="Verdana"/>
        </w:rPr>
        <w:t>Appl</w:t>
      </w:r>
      <w:proofErr w:type="spellEnd"/>
      <w:r w:rsidRPr="00982193">
        <w:rPr>
          <w:rFonts w:ascii="Verdana" w:hAnsi="Verdana"/>
        </w:rPr>
        <w:t xml:space="preserve"> </w:t>
      </w:r>
      <w:proofErr w:type="spellStart"/>
      <w:r w:rsidRPr="00982193">
        <w:rPr>
          <w:rFonts w:ascii="Verdana" w:hAnsi="Verdana"/>
        </w:rPr>
        <w:t>Physiol</w:t>
      </w:r>
      <w:proofErr w:type="spellEnd"/>
      <w:r w:rsidRPr="00982193">
        <w:rPr>
          <w:rFonts w:ascii="Verdana" w:hAnsi="Verdana"/>
        </w:rPr>
        <w:t xml:space="preserve"> (1985) 2008; 105: 1498-503.</w:t>
      </w:r>
    </w:p>
    <w:p w:rsidR="00936CED" w:rsidRPr="00982193" w:rsidRDefault="00F8201D" w:rsidP="00C75E12">
      <w:pPr>
        <w:pStyle w:val="ListParagraph"/>
        <w:numPr>
          <w:ilvl w:val="0"/>
          <w:numId w:val="22"/>
        </w:numPr>
        <w:spacing w:after="0" w:line="360" w:lineRule="auto"/>
        <w:jc w:val="both"/>
        <w:rPr>
          <w:rFonts w:ascii="Verdana" w:hAnsi="Verdana"/>
        </w:rPr>
      </w:pPr>
      <w:r w:rsidRPr="00982193">
        <w:rPr>
          <w:rFonts w:ascii="Verdana" w:hAnsi="Verdana" w:cs="Arial"/>
        </w:rPr>
        <w:t xml:space="preserve">Law MR, </w:t>
      </w:r>
      <w:proofErr w:type="spellStart"/>
      <w:r w:rsidRPr="00982193">
        <w:rPr>
          <w:rFonts w:ascii="Verdana" w:hAnsi="Verdana" w:cs="Arial"/>
        </w:rPr>
        <w:t>Hackshaw</w:t>
      </w:r>
      <w:proofErr w:type="spellEnd"/>
      <w:r w:rsidRPr="00982193">
        <w:rPr>
          <w:rFonts w:ascii="Verdana" w:hAnsi="Verdana" w:cs="Arial"/>
        </w:rPr>
        <w:t xml:space="preserve"> AK. A meta-analysis of cigarette smoking, bone mineral density and risk of hip fracture: recognition of a major effect. BMJ 1997;315:841-6</w:t>
      </w:r>
    </w:p>
    <w:p w:rsidR="00936CED" w:rsidRPr="00982193" w:rsidRDefault="009B4E67" w:rsidP="00C75E12">
      <w:pPr>
        <w:pStyle w:val="ListParagraph"/>
        <w:numPr>
          <w:ilvl w:val="0"/>
          <w:numId w:val="22"/>
        </w:numPr>
        <w:spacing w:after="0" w:line="360" w:lineRule="auto"/>
        <w:jc w:val="both"/>
        <w:rPr>
          <w:rFonts w:ascii="Verdana" w:hAnsi="Verdana"/>
        </w:rPr>
      </w:pPr>
      <w:r w:rsidRPr="00982193">
        <w:rPr>
          <w:rFonts w:ascii="Verdana" w:hAnsi="Verdana"/>
        </w:rPr>
        <w:t xml:space="preserve">Kanis JA, </w:t>
      </w:r>
      <w:proofErr w:type="spellStart"/>
      <w:r w:rsidRPr="00982193">
        <w:rPr>
          <w:rFonts w:ascii="Verdana" w:hAnsi="Verdana"/>
        </w:rPr>
        <w:t>Johnell</w:t>
      </w:r>
      <w:proofErr w:type="spellEnd"/>
      <w:r w:rsidRPr="00982193">
        <w:rPr>
          <w:rFonts w:ascii="Verdana" w:hAnsi="Verdana"/>
        </w:rPr>
        <w:t xml:space="preserve"> O, Oden A, Johansson H, De </w:t>
      </w:r>
      <w:proofErr w:type="spellStart"/>
      <w:r w:rsidRPr="00982193">
        <w:rPr>
          <w:rFonts w:ascii="Verdana" w:hAnsi="Verdana"/>
        </w:rPr>
        <w:t>Laet</w:t>
      </w:r>
      <w:proofErr w:type="spellEnd"/>
      <w:r w:rsidRPr="00982193">
        <w:rPr>
          <w:rFonts w:ascii="Verdana" w:hAnsi="Verdana"/>
        </w:rPr>
        <w:t xml:space="preserve"> C, </w:t>
      </w:r>
      <w:proofErr w:type="spellStart"/>
      <w:r w:rsidRPr="00982193">
        <w:rPr>
          <w:rFonts w:ascii="Verdana" w:hAnsi="Verdana"/>
        </w:rPr>
        <w:t>Eisman</w:t>
      </w:r>
      <w:proofErr w:type="spellEnd"/>
      <w:r w:rsidRPr="00982193">
        <w:rPr>
          <w:rFonts w:ascii="Verdana" w:hAnsi="Verdana"/>
        </w:rPr>
        <w:t xml:space="preserve"> JA, Fujiwara S, Kroger H, McCloskey EV, </w:t>
      </w:r>
      <w:proofErr w:type="spellStart"/>
      <w:r w:rsidRPr="00982193">
        <w:rPr>
          <w:rFonts w:ascii="Verdana" w:hAnsi="Verdana"/>
        </w:rPr>
        <w:t>Mellstrom</w:t>
      </w:r>
      <w:proofErr w:type="spellEnd"/>
      <w:r w:rsidRPr="00982193">
        <w:rPr>
          <w:rFonts w:ascii="Verdana" w:hAnsi="Verdana"/>
        </w:rPr>
        <w:t xml:space="preserve"> D, Melton LJ, Pols H, Reeve J, </w:t>
      </w:r>
      <w:proofErr w:type="spellStart"/>
      <w:r w:rsidRPr="00982193">
        <w:rPr>
          <w:rFonts w:ascii="Verdana" w:hAnsi="Verdana"/>
        </w:rPr>
        <w:t>Silman</w:t>
      </w:r>
      <w:proofErr w:type="spellEnd"/>
      <w:r w:rsidRPr="00982193">
        <w:rPr>
          <w:rFonts w:ascii="Verdana" w:hAnsi="Verdana"/>
        </w:rPr>
        <w:t xml:space="preserve"> A, </w:t>
      </w:r>
      <w:proofErr w:type="spellStart"/>
      <w:r w:rsidRPr="00982193">
        <w:rPr>
          <w:rFonts w:ascii="Verdana" w:hAnsi="Verdana"/>
        </w:rPr>
        <w:t>Tenenhouse</w:t>
      </w:r>
      <w:proofErr w:type="spellEnd"/>
      <w:r w:rsidRPr="00982193">
        <w:rPr>
          <w:rFonts w:ascii="Verdana" w:hAnsi="Verdana"/>
        </w:rPr>
        <w:t xml:space="preserve"> A. Smoking and fracture risk: a meta-analysis. Osteoporosis </w:t>
      </w:r>
      <w:proofErr w:type="spellStart"/>
      <w:r w:rsidRPr="00982193">
        <w:rPr>
          <w:rFonts w:ascii="Verdana" w:hAnsi="Verdana"/>
        </w:rPr>
        <w:t>Int</w:t>
      </w:r>
      <w:proofErr w:type="spellEnd"/>
      <w:r w:rsidRPr="00982193">
        <w:rPr>
          <w:rFonts w:ascii="Verdana" w:hAnsi="Verdana"/>
        </w:rPr>
        <w:t xml:space="preserve"> 2005; 16: 155-62</w:t>
      </w:r>
    </w:p>
    <w:p w:rsidR="00C028D8" w:rsidRPr="00982193" w:rsidRDefault="00966780" w:rsidP="00C75E12">
      <w:pPr>
        <w:pStyle w:val="ListParagraph"/>
        <w:numPr>
          <w:ilvl w:val="0"/>
          <w:numId w:val="22"/>
        </w:numPr>
        <w:spacing w:after="0" w:line="360" w:lineRule="auto"/>
        <w:jc w:val="both"/>
        <w:rPr>
          <w:rFonts w:ascii="Verdana" w:hAnsi="Verdana"/>
        </w:rPr>
      </w:pPr>
      <w:r w:rsidRPr="00982193">
        <w:rPr>
          <w:rFonts w:ascii="Verdana" w:hAnsi="Verdana"/>
        </w:rPr>
        <w:lastRenderedPageBreak/>
        <w:t>Baumgartner RN</w:t>
      </w:r>
      <w:r w:rsidR="00500364" w:rsidRPr="00982193">
        <w:rPr>
          <w:rFonts w:ascii="Verdana" w:hAnsi="Verdana"/>
        </w:rPr>
        <w:t xml:space="preserve">, Koehler KM, Gallagher D, et al. Epidemiology of sarcopenia among the elderly in New Mexico. Am J </w:t>
      </w:r>
      <w:proofErr w:type="spellStart"/>
      <w:r w:rsidR="00500364" w:rsidRPr="00982193">
        <w:rPr>
          <w:rFonts w:ascii="Verdana" w:hAnsi="Verdana"/>
        </w:rPr>
        <w:t>Epidemiol</w:t>
      </w:r>
      <w:proofErr w:type="spellEnd"/>
      <w:r w:rsidR="00500364" w:rsidRPr="00982193">
        <w:rPr>
          <w:rFonts w:ascii="Verdana" w:hAnsi="Verdana"/>
        </w:rPr>
        <w:t xml:space="preserve"> 1998; 147:755-63</w:t>
      </w:r>
    </w:p>
    <w:p w:rsidR="009D0B8D" w:rsidRDefault="00ED3575" w:rsidP="00C75E12">
      <w:pPr>
        <w:pStyle w:val="ListParagraph"/>
        <w:numPr>
          <w:ilvl w:val="0"/>
          <w:numId w:val="22"/>
        </w:numPr>
        <w:spacing w:after="0" w:line="360" w:lineRule="auto"/>
        <w:jc w:val="both"/>
        <w:rPr>
          <w:rFonts w:ascii="Verdana" w:hAnsi="Verdana"/>
        </w:rPr>
      </w:pPr>
      <w:r w:rsidRPr="009D17E3">
        <w:rPr>
          <w:rFonts w:ascii="Verdana" w:hAnsi="Verdana"/>
        </w:rPr>
        <w:t xml:space="preserve"> </w:t>
      </w:r>
      <w:r w:rsidR="009B4E67" w:rsidRPr="009D17E3">
        <w:rPr>
          <w:rFonts w:ascii="Verdana" w:hAnsi="Verdana"/>
        </w:rPr>
        <w:t xml:space="preserve">Kanis JA, Johansson H, </w:t>
      </w:r>
      <w:proofErr w:type="spellStart"/>
      <w:r w:rsidR="009B4E67" w:rsidRPr="009D17E3">
        <w:rPr>
          <w:rFonts w:ascii="Verdana" w:hAnsi="Verdana"/>
        </w:rPr>
        <w:t>Johnell</w:t>
      </w:r>
      <w:proofErr w:type="spellEnd"/>
      <w:r w:rsidR="009B4E67" w:rsidRPr="009D17E3">
        <w:rPr>
          <w:rFonts w:ascii="Verdana" w:hAnsi="Verdana"/>
        </w:rPr>
        <w:t xml:space="preserve"> O, Oden A, De </w:t>
      </w:r>
      <w:proofErr w:type="spellStart"/>
      <w:r w:rsidR="009B4E67" w:rsidRPr="009D17E3">
        <w:rPr>
          <w:rFonts w:ascii="Verdana" w:hAnsi="Verdana"/>
        </w:rPr>
        <w:t>Laet</w:t>
      </w:r>
      <w:proofErr w:type="spellEnd"/>
      <w:r w:rsidR="009B4E67" w:rsidRPr="009D17E3">
        <w:rPr>
          <w:rFonts w:ascii="Verdana" w:hAnsi="Verdana"/>
        </w:rPr>
        <w:t xml:space="preserve"> C, </w:t>
      </w:r>
      <w:proofErr w:type="spellStart"/>
      <w:r w:rsidR="009B4E67" w:rsidRPr="009D17E3">
        <w:rPr>
          <w:rFonts w:ascii="Verdana" w:hAnsi="Verdana"/>
        </w:rPr>
        <w:t>Eisman</w:t>
      </w:r>
      <w:proofErr w:type="spellEnd"/>
      <w:r w:rsidR="009B4E67" w:rsidRPr="009D17E3">
        <w:rPr>
          <w:rFonts w:ascii="Verdana" w:hAnsi="Verdana"/>
        </w:rPr>
        <w:t xml:space="preserve"> JA, Pols H, </w:t>
      </w:r>
      <w:proofErr w:type="spellStart"/>
      <w:r w:rsidR="009B4E67" w:rsidRPr="009D17E3">
        <w:rPr>
          <w:rFonts w:ascii="Verdana" w:hAnsi="Verdana"/>
        </w:rPr>
        <w:t>Tenenhouse</w:t>
      </w:r>
      <w:proofErr w:type="spellEnd"/>
      <w:r w:rsidR="009B4E67" w:rsidRPr="009D17E3">
        <w:rPr>
          <w:rFonts w:ascii="Verdana" w:hAnsi="Verdana"/>
        </w:rPr>
        <w:t xml:space="preserve"> A. Alcohol intake as a risk factor for fracture. Osteoporosis </w:t>
      </w:r>
      <w:proofErr w:type="spellStart"/>
      <w:r w:rsidR="009B4E67" w:rsidRPr="009D17E3">
        <w:rPr>
          <w:rFonts w:ascii="Verdana" w:hAnsi="Verdana"/>
        </w:rPr>
        <w:t>Int</w:t>
      </w:r>
      <w:proofErr w:type="spellEnd"/>
      <w:r w:rsidR="009B4E67" w:rsidRPr="009D17E3">
        <w:rPr>
          <w:rFonts w:ascii="Verdana" w:hAnsi="Verdana"/>
        </w:rPr>
        <w:t xml:space="preserve"> 2005; 16: 737-42</w:t>
      </w:r>
    </w:p>
    <w:p w:rsidR="009D17E3" w:rsidRPr="00982193" w:rsidRDefault="009D17E3" w:rsidP="00C75E12">
      <w:pPr>
        <w:pStyle w:val="ListParagraph"/>
        <w:numPr>
          <w:ilvl w:val="0"/>
          <w:numId w:val="22"/>
        </w:numPr>
        <w:spacing w:after="0" w:line="360" w:lineRule="auto"/>
        <w:jc w:val="both"/>
        <w:rPr>
          <w:rFonts w:ascii="Verdana" w:hAnsi="Verdana"/>
        </w:rPr>
      </w:pPr>
      <w:proofErr w:type="spellStart"/>
      <w:r w:rsidRPr="00982193">
        <w:rPr>
          <w:rFonts w:ascii="Verdana" w:hAnsi="Verdana"/>
        </w:rPr>
        <w:t>Renoud</w:t>
      </w:r>
      <w:proofErr w:type="spellEnd"/>
      <w:r w:rsidRPr="00982193">
        <w:rPr>
          <w:rFonts w:ascii="Verdana" w:hAnsi="Verdana"/>
        </w:rPr>
        <w:t xml:space="preserve"> A, </w:t>
      </w:r>
      <w:proofErr w:type="spellStart"/>
      <w:r w:rsidRPr="00982193">
        <w:rPr>
          <w:rFonts w:ascii="Verdana" w:hAnsi="Verdana"/>
        </w:rPr>
        <w:t>Ecochard</w:t>
      </w:r>
      <w:proofErr w:type="spellEnd"/>
      <w:r w:rsidRPr="00982193">
        <w:rPr>
          <w:rFonts w:ascii="Verdana" w:hAnsi="Verdana"/>
        </w:rPr>
        <w:t xml:space="preserve"> R, </w:t>
      </w:r>
      <w:proofErr w:type="spellStart"/>
      <w:r w:rsidRPr="00982193">
        <w:rPr>
          <w:rFonts w:ascii="Verdana" w:hAnsi="Verdana"/>
        </w:rPr>
        <w:t>Marchand</w:t>
      </w:r>
      <w:proofErr w:type="spellEnd"/>
      <w:r w:rsidRPr="00982193">
        <w:rPr>
          <w:rFonts w:ascii="Verdana" w:hAnsi="Verdana"/>
        </w:rPr>
        <w:t xml:space="preserve"> F, Chapurl</w:t>
      </w:r>
      <w:r>
        <w:rPr>
          <w:rFonts w:ascii="Verdana" w:hAnsi="Verdana"/>
        </w:rPr>
        <w:t xml:space="preserve">at R, </w:t>
      </w:r>
      <w:proofErr w:type="spellStart"/>
      <w:r>
        <w:rPr>
          <w:rFonts w:ascii="Verdana" w:hAnsi="Verdana"/>
        </w:rPr>
        <w:t>Szulc</w:t>
      </w:r>
      <w:proofErr w:type="spellEnd"/>
      <w:r>
        <w:rPr>
          <w:rFonts w:ascii="Verdana" w:hAnsi="Verdana"/>
        </w:rPr>
        <w:t xml:space="preserve"> P. Predictive Parame</w:t>
      </w:r>
      <w:r w:rsidRPr="00982193">
        <w:rPr>
          <w:rFonts w:ascii="Verdana" w:hAnsi="Verdana"/>
        </w:rPr>
        <w:t>ters of Accelerated Muscle Loss in Men – MINOS Study. Am J Med; 127(6):554-561</w:t>
      </w:r>
    </w:p>
    <w:p w:rsidR="009E3635" w:rsidRPr="00982193" w:rsidRDefault="009B4E67" w:rsidP="00C75E12">
      <w:pPr>
        <w:pStyle w:val="ListParagraph"/>
        <w:numPr>
          <w:ilvl w:val="0"/>
          <w:numId w:val="22"/>
        </w:numPr>
        <w:spacing w:after="0" w:line="360" w:lineRule="auto"/>
        <w:jc w:val="both"/>
        <w:rPr>
          <w:rFonts w:ascii="Verdana" w:hAnsi="Verdana"/>
        </w:rPr>
      </w:pPr>
      <w:r w:rsidRPr="00982193">
        <w:rPr>
          <w:rFonts w:ascii="Verdana" w:hAnsi="Verdana"/>
        </w:rPr>
        <w:t xml:space="preserve">Xu L. </w:t>
      </w:r>
      <w:proofErr w:type="spellStart"/>
      <w:r w:rsidRPr="00982193">
        <w:rPr>
          <w:rFonts w:ascii="Verdana" w:hAnsi="Verdana"/>
        </w:rPr>
        <w:t>McElduff</w:t>
      </w:r>
      <w:proofErr w:type="spellEnd"/>
      <w:r w:rsidRPr="00982193">
        <w:rPr>
          <w:rFonts w:ascii="Verdana" w:hAnsi="Verdana"/>
        </w:rPr>
        <w:t xml:space="preserve"> P et al. Does dietary calcium have a protective effect on bone fractures in women? A meta-analysis of observational studies. Br J Nutr 2004; 91: 625-34</w:t>
      </w:r>
    </w:p>
    <w:p w:rsidR="009E3635" w:rsidRPr="00982193" w:rsidRDefault="009B4E67" w:rsidP="00C75E12">
      <w:pPr>
        <w:pStyle w:val="ListParagraph"/>
        <w:numPr>
          <w:ilvl w:val="0"/>
          <w:numId w:val="22"/>
        </w:numPr>
        <w:spacing w:after="0" w:line="360" w:lineRule="auto"/>
        <w:jc w:val="both"/>
        <w:rPr>
          <w:rFonts w:ascii="Verdana" w:hAnsi="Verdana"/>
        </w:rPr>
      </w:pPr>
      <w:proofErr w:type="spellStart"/>
      <w:r w:rsidRPr="00982193">
        <w:rPr>
          <w:rFonts w:ascii="Verdana" w:hAnsi="Verdana"/>
        </w:rPr>
        <w:t>Ginty</w:t>
      </w:r>
      <w:proofErr w:type="spellEnd"/>
      <w:r w:rsidRPr="00982193">
        <w:rPr>
          <w:rFonts w:ascii="Verdana" w:hAnsi="Verdana"/>
        </w:rPr>
        <w:t xml:space="preserve"> F. Dietary protein and bone health. </w:t>
      </w:r>
      <w:proofErr w:type="spellStart"/>
      <w:r w:rsidRPr="00982193">
        <w:rPr>
          <w:rFonts w:ascii="Verdana" w:hAnsi="Verdana"/>
        </w:rPr>
        <w:t>Proc</w:t>
      </w:r>
      <w:proofErr w:type="spellEnd"/>
      <w:r w:rsidRPr="00982193">
        <w:rPr>
          <w:rFonts w:ascii="Verdana" w:hAnsi="Verdana"/>
        </w:rPr>
        <w:t xml:space="preserve"> Nutr </w:t>
      </w:r>
      <w:proofErr w:type="spellStart"/>
      <w:r w:rsidRPr="00982193">
        <w:rPr>
          <w:rFonts w:ascii="Verdana" w:hAnsi="Verdana"/>
        </w:rPr>
        <w:t>Soc</w:t>
      </w:r>
      <w:proofErr w:type="spellEnd"/>
      <w:r w:rsidRPr="00982193">
        <w:rPr>
          <w:rFonts w:ascii="Verdana" w:hAnsi="Verdana"/>
        </w:rPr>
        <w:t xml:space="preserve"> 2003; 62: 867-76</w:t>
      </w:r>
    </w:p>
    <w:p w:rsidR="009E3635" w:rsidRPr="00982193" w:rsidRDefault="009B4E67" w:rsidP="00C75E12">
      <w:pPr>
        <w:pStyle w:val="ListParagraph"/>
        <w:numPr>
          <w:ilvl w:val="0"/>
          <w:numId w:val="22"/>
        </w:numPr>
        <w:spacing w:after="0" w:line="360" w:lineRule="auto"/>
        <w:jc w:val="both"/>
        <w:rPr>
          <w:rFonts w:ascii="Verdana" w:hAnsi="Verdana"/>
        </w:rPr>
      </w:pPr>
      <w:proofErr w:type="spellStart"/>
      <w:r w:rsidRPr="00982193">
        <w:rPr>
          <w:rFonts w:ascii="Verdana" w:hAnsi="Verdana"/>
        </w:rPr>
        <w:t>Frassetto</w:t>
      </w:r>
      <w:proofErr w:type="spellEnd"/>
      <w:r w:rsidRPr="00982193">
        <w:rPr>
          <w:rFonts w:ascii="Verdana" w:hAnsi="Verdana"/>
        </w:rPr>
        <w:t xml:space="preserve"> LA, Todd KM et al. Worldwide incidence of hip fracture in elderly women: relation to consumption of animal and vegetable foods. J </w:t>
      </w:r>
      <w:proofErr w:type="spellStart"/>
      <w:r w:rsidRPr="00982193">
        <w:rPr>
          <w:rFonts w:ascii="Verdana" w:hAnsi="Verdana"/>
        </w:rPr>
        <w:t>Gerontol</w:t>
      </w:r>
      <w:proofErr w:type="spellEnd"/>
      <w:r w:rsidRPr="00982193">
        <w:rPr>
          <w:rFonts w:ascii="Verdana" w:hAnsi="Verdana"/>
        </w:rPr>
        <w:t xml:space="preserve"> A </w:t>
      </w:r>
      <w:proofErr w:type="spellStart"/>
      <w:r w:rsidRPr="00982193">
        <w:rPr>
          <w:rFonts w:ascii="Verdana" w:hAnsi="Verdana"/>
        </w:rPr>
        <w:t>Biol</w:t>
      </w:r>
      <w:proofErr w:type="spellEnd"/>
      <w:r w:rsidRPr="00982193">
        <w:rPr>
          <w:rFonts w:ascii="Verdana" w:hAnsi="Verdana"/>
        </w:rPr>
        <w:t xml:space="preserve"> </w:t>
      </w:r>
      <w:proofErr w:type="spellStart"/>
      <w:r w:rsidRPr="00982193">
        <w:rPr>
          <w:rFonts w:ascii="Verdana" w:hAnsi="Verdana"/>
        </w:rPr>
        <w:t>Sci</w:t>
      </w:r>
      <w:proofErr w:type="spellEnd"/>
      <w:r w:rsidRPr="00982193">
        <w:rPr>
          <w:rFonts w:ascii="Verdana" w:hAnsi="Verdana"/>
        </w:rPr>
        <w:t xml:space="preserve"> Med </w:t>
      </w:r>
      <w:proofErr w:type="spellStart"/>
      <w:r w:rsidRPr="00982193">
        <w:rPr>
          <w:rFonts w:ascii="Verdana" w:hAnsi="Verdana"/>
        </w:rPr>
        <w:t>Sci</w:t>
      </w:r>
      <w:proofErr w:type="spellEnd"/>
      <w:r w:rsidRPr="00982193">
        <w:rPr>
          <w:rFonts w:ascii="Verdana" w:hAnsi="Verdana"/>
        </w:rPr>
        <w:t xml:space="preserve"> 2000; 55: M585-92</w:t>
      </w:r>
    </w:p>
    <w:p w:rsidR="0002502C" w:rsidRPr="00982193" w:rsidRDefault="009B4E67" w:rsidP="00C75E12">
      <w:pPr>
        <w:pStyle w:val="ListParagraph"/>
        <w:numPr>
          <w:ilvl w:val="0"/>
          <w:numId w:val="22"/>
        </w:numPr>
        <w:spacing w:after="0" w:line="360" w:lineRule="auto"/>
        <w:jc w:val="both"/>
        <w:rPr>
          <w:rFonts w:ascii="Verdana" w:hAnsi="Verdana"/>
        </w:rPr>
      </w:pPr>
      <w:r w:rsidRPr="00982193">
        <w:rPr>
          <w:rFonts w:ascii="Verdana" w:hAnsi="Verdana"/>
        </w:rPr>
        <w:t xml:space="preserve">Zhang X, Shu XO, Li H, Yang G, Li Q, </w:t>
      </w:r>
      <w:proofErr w:type="gramStart"/>
      <w:r w:rsidRPr="00982193">
        <w:rPr>
          <w:rFonts w:ascii="Verdana" w:hAnsi="Verdana"/>
        </w:rPr>
        <w:t>Gao</w:t>
      </w:r>
      <w:proofErr w:type="gramEnd"/>
      <w:r w:rsidRPr="00982193">
        <w:rPr>
          <w:rFonts w:ascii="Verdana" w:hAnsi="Verdana"/>
        </w:rPr>
        <w:t xml:space="preserve"> YT, Zheng W. Prospective cohort study of soy food consumption and risk of bone fracture among postmenopausal women. Arch Intern Med 2005; 165: 1890-5</w:t>
      </w:r>
    </w:p>
    <w:p w:rsidR="0002502C" w:rsidRPr="00982193" w:rsidRDefault="0002502C" w:rsidP="00C75E12">
      <w:pPr>
        <w:pStyle w:val="ListParagraph"/>
        <w:numPr>
          <w:ilvl w:val="0"/>
          <w:numId w:val="22"/>
        </w:numPr>
        <w:spacing w:after="0" w:line="360" w:lineRule="auto"/>
        <w:jc w:val="both"/>
        <w:rPr>
          <w:rFonts w:ascii="Verdana" w:hAnsi="Verdana"/>
        </w:rPr>
      </w:pPr>
      <w:proofErr w:type="spellStart"/>
      <w:r w:rsidRPr="00982193">
        <w:rPr>
          <w:rFonts w:ascii="Verdana" w:hAnsi="Verdana"/>
        </w:rPr>
        <w:t>Chaput</w:t>
      </w:r>
      <w:proofErr w:type="spellEnd"/>
      <w:r w:rsidRPr="00982193">
        <w:rPr>
          <w:rFonts w:ascii="Verdana" w:hAnsi="Verdana"/>
        </w:rPr>
        <w:t xml:space="preserve"> JP, et al. Relationship between antioxidant intakes and class I sarcopenia in elderly men and women. J Nutr Heath Aging. 2007; 11(4):363-9</w:t>
      </w:r>
    </w:p>
    <w:p w:rsidR="0002502C" w:rsidRPr="00982193" w:rsidRDefault="0002502C" w:rsidP="00C75E12">
      <w:pPr>
        <w:pStyle w:val="ListParagraph"/>
        <w:numPr>
          <w:ilvl w:val="0"/>
          <w:numId w:val="22"/>
        </w:numPr>
        <w:spacing w:after="0" w:line="360" w:lineRule="auto"/>
        <w:jc w:val="both"/>
        <w:rPr>
          <w:rFonts w:ascii="Verdana" w:hAnsi="Verdana"/>
        </w:rPr>
      </w:pPr>
      <w:r w:rsidRPr="00982193">
        <w:rPr>
          <w:rFonts w:ascii="Verdana" w:hAnsi="Verdana"/>
        </w:rPr>
        <w:t>Lord C, et al. Dietary animal protein intake: association with muscle mass index in older women. J Nutr Heath Aging. 2007; 11(5):383-7.</w:t>
      </w:r>
    </w:p>
    <w:p w:rsidR="00B2679A" w:rsidRPr="00982193" w:rsidRDefault="00E24452" w:rsidP="00C75E12">
      <w:pPr>
        <w:pStyle w:val="ListParagraph"/>
        <w:numPr>
          <w:ilvl w:val="0"/>
          <w:numId w:val="22"/>
        </w:numPr>
        <w:spacing w:after="0" w:line="360" w:lineRule="auto"/>
        <w:jc w:val="both"/>
        <w:rPr>
          <w:rFonts w:ascii="Verdana" w:hAnsi="Verdana"/>
        </w:rPr>
      </w:pPr>
      <w:proofErr w:type="spellStart"/>
      <w:r w:rsidRPr="00982193">
        <w:rPr>
          <w:rFonts w:ascii="Verdana" w:hAnsi="Verdana"/>
        </w:rPr>
        <w:t>Rooyackers</w:t>
      </w:r>
      <w:proofErr w:type="spellEnd"/>
      <w:r w:rsidRPr="00982193">
        <w:rPr>
          <w:rFonts w:ascii="Verdana" w:hAnsi="Verdana"/>
        </w:rPr>
        <w:t xml:space="preserve"> OE, et al. Effect of age on in vivo rates of mitochondrial protein synthesis in human skeletal muscle. </w:t>
      </w:r>
      <w:proofErr w:type="spellStart"/>
      <w:r w:rsidRPr="00982193">
        <w:rPr>
          <w:rFonts w:ascii="Verdana" w:hAnsi="Verdana"/>
        </w:rPr>
        <w:t>Proc</w:t>
      </w:r>
      <w:proofErr w:type="spellEnd"/>
      <w:r w:rsidRPr="00982193">
        <w:rPr>
          <w:rFonts w:ascii="Verdana" w:hAnsi="Verdana"/>
        </w:rPr>
        <w:t xml:space="preserve"> Natl </w:t>
      </w:r>
      <w:proofErr w:type="spellStart"/>
      <w:r w:rsidRPr="00982193">
        <w:rPr>
          <w:rFonts w:ascii="Verdana" w:hAnsi="Verdana"/>
        </w:rPr>
        <w:t>Acad</w:t>
      </w:r>
      <w:proofErr w:type="spellEnd"/>
      <w:r w:rsidRPr="00982193">
        <w:rPr>
          <w:rFonts w:ascii="Verdana" w:hAnsi="Verdana"/>
        </w:rPr>
        <w:t xml:space="preserve"> </w:t>
      </w:r>
      <w:proofErr w:type="spellStart"/>
      <w:r w:rsidRPr="00982193">
        <w:rPr>
          <w:rFonts w:ascii="Verdana" w:hAnsi="Verdana"/>
        </w:rPr>
        <w:t>Sci</w:t>
      </w:r>
      <w:proofErr w:type="spellEnd"/>
      <w:r w:rsidRPr="00982193">
        <w:rPr>
          <w:rFonts w:ascii="Verdana" w:hAnsi="Verdana"/>
        </w:rPr>
        <w:t xml:space="preserve"> USA. 1996; 93(26):15364-9.</w:t>
      </w:r>
    </w:p>
    <w:p w:rsidR="00B2679A" w:rsidRPr="00982193" w:rsidRDefault="00E24452" w:rsidP="00C75E12">
      <w:pPr>
        <w:pStyle w:val="ListParagraph"/>
        <w:numPr>
          <w:ilvl w:val="0"/>
          <w:numId w:val="22"/>
        </w:numPr>
        <w:spacing w:after="0" w:line="360" w:lineRule="auto"/>
        <w:jc w:val="both"/>
        <w:rPr>
          <w:rFonts w:ascii="Verdana" w:hAnsi="Verdana"/>
        </w:rPr>
      </w:pPr>
      <w:r w:rsidRPr="00982193">
        <w:rPr>
          <w:rFonts w:ascii="Verdana" w:hAnsi="Verdana"/>
        </w:rPr>
        <w:t xml:space="preserve">Wilson MM, Morley JE. Invited review: Aging and energy balance. J </w:t>
      </w:r>
      <w:proofErr w:type="spellStart"/>
      <w:r w:rsidRPr="00982193">
        <w:rPr>
          <w:rFonts w:ascii="Verdana" w:hAnsi="Verdana"/>
        </w:rPr>
        <w:t>Appl</w:t>
      </w:r>
      <w:proofErr w:type="spellEnd"/>
      <w:r w:rsidRPr="00982193">
        <w:rPr>
          <w:rFonts w:ascii="Verdana" w:hAnsi="Verdana"/>
        </w:rPr>
        <w:t xml:space="preserve"> Physiol. </w:t>
      </w:r>
      <w:r w:rsidR="00B2679A" w:rsidRPr="00982193">
        <w:rPr>
          <w:rFonts w:ascii="Verdana" w:hAnsi="Verdana"/>
        </w:rPr>
        <w:t xml:space="preserve">2003; 95(4):1728-36 </w:t>
      </w:r>
    </w:p>
    <w:p w:rsidR="00B2679A" w:rsidRPr="00982193" w:rsidRDefault="00B2679A" w:rsidP="00C75E12">
      <w:pPr>
        <w:pStyle w:val="ListParagraph"/>
        <w:numPr>
          <w:ilvl w:val="0"/>
          <w:numId w:val="22"/>
        </w:numPr>
        <w:spacing w:after="0" w:line="360" w:lineRule="auto"/>
        <w:jc w:val="both"/>
        <w:rPr>
          <w:rFonts w:ascii="Verdana" w:hAnsi="Verdana"/>
        </w:rPr>
      </w:pPr>
      <w:proofErr w:type="spellStart"/>
      <w:r w:rsidRPr="00982193">
        <w:rPr>
          <w:rFonts w:ascii="Verdana" w:hAnsi="Verdana"/>
        </w:rPr>
        <w:t>Volpi</w:t>
      </w:r>
      <w:proofErr w:type="spellEnd"/>
      <w:r w:rsidRPr="00982193">
        <w:rPr>
          <w:rFonts w:ascii="Verdana" w:hAnsi="Verdana"/>
        </w:rPr>
        <w:t xml:space="preserve"> E, et al. Essential amino acids are primarily responsible for the amino acid stimulation of muscle protein anabolism in healthy elderly adults. Am J </w:t>
      </w:r>
      <w:proofErr w:type="spellStart"/>
      <w:r w:rsidRPr="00982193">
        <w:rPr>
          <w:rFonts w:ascii="Verdana" w:hAnsi="Verdana"/>
        </w:rPr>
        <w:t>Clin</w:t>
      </w:r>
      <w:proofErr w:type="spellEnd"/>
      <w:r w:rsidRPr="00982193">
        <w:rPr>
          <w:rFonts w:ascii="Verdana" w:hAnsi="Verdana"/>
        </w:rPr>
        <w:t xml:space="preserve"> Nutr. 2003; 78(2):250-8</w:t>
      </w:r>
    </w:p>
    <w:p w:rsidR="00CE6E85" w:rsidRDefault="00CE6E85" w:rsidP="00C75E12">
      <w:pPr>
        <w:pStyle w:val="ListParagraph"/>
        <w:numPr>
          <w:ilvl w:val="0"/>
          <w:numId w:val="22"/>
        </w:numPr>
        <w:spacing w:after="0" w:line="360" w:lineRule="auto"/>
        <w:jc w:val="both"/>
        <w:rPr>
          <w:rFonts w:ascii="Verdana" w:hAnsi="Verdana"/>
        </w:rPr>
      </w:pPr>
      <w:r>
        <w:rPr>
          <w:rFonts w:ascii="Verdana" w:hAnsi="Verdana"/>
        </w:rPr>
        <w:t xml:space="preserve">Rizzoli R, Stevenson JC, Bauer JM, van Loon LJC, </w:t>
      </w:r>
      <w:proofErr w:type="spellStart"/>
      <w:r>
        <w:rPr>
          <w:rFonts w:ascii="Verdana" w:hAnsi="Verdana"/>
        </w:rPr>
        <w:t>Walrand</w:t>
      </w:r>
      <w:proofErr w:type="spellEnd"/>
      <w:r>
        <w:rPr>
          <w:rFonts w:ascii="Verdana" w:hAnsi="Verdana"/>
        </w:rPr>
        <w:t xml:space="preserve"> S, Kanis JA, Cooper C, Brandi ML, </w:t>
      </w:r>
      <w:proofErr w:type="spellStart"/>
      <w:r>
        <w:rPr>
          <w:rFonts w:ascii="Verdana" w:hAnsi="Verdana"/>
        </w:rPr>
        <w:t>Diez</w:t>
      </w:r>
      <w:proofErr w:type="spellEnd"/>
      <w:r>
        <w:rPr>
          <w:rFonts w:ascii="Verdana" w:hAnsi="Verdana"/>
        </w:rPr>
        <w:t xml:space="preserve">-Perez A, Reginster JY. The role of dietary protein and vitamin D in maintaining musculoskeletal health in </w:t>
      </w:r>
      <w:r>
        <w:rPr>
          <w:rFonts w:ascii="Verdana" w:hAnsi="Verdana"/>
        </w:rPr>
        <w:lastRenderedPageBreak/>
        <w:t xml:space="preserve">postmenopausal women: A consensus statement from the European Society for Clinical and Economic Aspects of Osteoporosis and Osteoarthritis. </w:t>
      </w:r>
      <w:proofErr w:type="spellStart"/>
      <w:r>
        <w:rPr>
          <w:rFonts w:ascii="Verdana" w:hAnsi="Verdana"/>
        </w:rPr>
        <w:t>Maturitas</w:t>
      </w:r>
      <w:proofErr w:type="spellEnd"/>
      <w:r>
        <w:rPr>
          <w:rFonts w:ascii="Verdana" w:hAnsi="Verdana"/>
        </w:rPr>
        <w:t xml:space="preserve"> 2014; 79: 122-132</w:t>
      </w:r>
    </w:p>
    <w:p w:rsidR="00D40AF7" w:rsidRDefault="00D40AF7" w:rsidP="00C75E12">
      <w:pPr>
        <w:pStyle w:val="ListParagraph"/>
        <w:numPr>
          <w:ilvl w:val="0"/>
          <w:numId w:val="22"/>
        </w:numPr>
        <w:spacing w:after="0" w:line="360" w:lineRule="auto"/>
        <w:jc w:val="both"/>
        <w:rPr>
          <w:rFonts w:ascii="Verdana" w:hAnsi="Verdana"/>
        </w:rPr>
      </w:pPr>
      <w:proofErr w:type="spellStart"/>
      <w:r>
        <w:rPr>
          <w:rFonts w:ascii="Verdana" w:hAnsi="Verdana"/>
        </w:rPr>
        <w:t>Mithal</w:t>
      </w:r>
      <w:proofErr w:type="spellEnd"/>
      <w:r>
        <w:rPr>
          <w:rFonts w:ascii="Verdana" w:hAnsi="Verdana"/>
        </w:rPr>
        <w:t xml:space="preserve"> A, Bonjour JP, Boonen S, Burckhardt P, </w:t>
      </w:r>
      <w:proofErr w:type="spellStart"/>
      <w:r>
        <w:rPr>
          <w:rFonts w:ascii="Verdana" w:hAnsi="Verdana"/>
        </w:rPr>
        <w:t>Degens</w:t>
      </w:r>
      <w:proofErr w:type="spellEnd"/>
      <w:r>
        <w:rPr>
          <w:rFonts w:ascii="Verdana" w:hAnsi="Verdana"/>
        </w:rPr>
        <w:t xml:space="preserve"> H, El Hajj </w:t>
      </w:r>
      <w:proofErr w:type="spellStart"/>
      <w:r>
        <w:rPr>
          <w:rFonts w:ascii="Verdana" w:hAnsi="Verdana"/>
        </w:rPr>
        <w:t>Fuleihan</w:t>
      </w:r>
      <w:proofErr w:type="spellEnd"/>
      <w:r>
        <w:rPr>
          <w:rFonts w:ascii="Verdana" w:hAnsi="Verdana"/>
        </w:rPr>
        <w:t xml:space="preserve"> G, </w:t>
      </w:r>
      <w:proofErr w:type="spellStart"/>
      <w:r>
        <w:rPr>
          <w:rFonts w:ascii="Verdana" w:hAnsi="Verdana"/>
        </w:rPr>
        <w:t>Josse</w:t>
      </w:r>
      <w:proofErr w:type="spellEnd"/>
      <w:r>
        <w:rPr>
          <w:rFonts w:ascii="Verdana" w:hAnsi="Verdana"/>
        </w:rPr>
        <w:t xml:space="preserve"> R, Lips P, Morales Torres J, Rizzoli R, Yoshimura N, Wahl DA, Cooper C, Dawson-Hughes B. Impact of nutrition on muscle mass, strength, and performance in older adults. Osteoporos </w:t>
      </w:r>
      <w:proofErr w:type="spellStart"/>
      <w:r>
        <w:rPr>
          <w:rFonts w:ascii="Verdana" w:hAnsi="Verdana"/>
        </w:rPr>
        <w:t>Int</w:t>
      </w:r>
      <w:proofErr w:type="spellEnd"/>
      <w:r>
        <w:rPr>
          <w:rFonts w:ascii="Verdana" w:hAnsi="Verdana"/>
        </w:rPr>
        <w:t xml:space="preserve"> 2013; 24: 1555-1566 </w:t>
      </w:r>
    </w:p>
    <w:p w:rsidR="000807AA" w:rsidRPr="00982193" w:rsidRDefault="000807AA" w:rsidP="00C75E12">
      <w:pPr>
        <w:pStyle w:val="ListParagraph"/>
        <w:numPr>
          <w:ilvl w:val="0"/>
          <w:numId w:val="22"/>
        </w:numPr>
        <w:spacing w:after="0" w:line="360" w:lineRule="auto"/>
        <w:jc w:val="both"/>
        <w:rPr>
          <w:rFonts w:ascii="Verdana" w:hAnsi="Verdana"/>
        </w:rPr>
      </w:pPr>
      <w:r w:rsidRPr="00982193">
        <w:rPr>
          <w:rFonts w:ascii="Verdana" w:hAnsi="Verdana"/>
        </w:rPr>
        <w:t xml:space="preserve">Morley JE, et al. Potentially predictive and manipulable blood serum correlates of aging in the healthy human male: progressive decreases in bioavailable testosterone, </w:t>
      </w:r>
      <w:proofErr w:type="spellStart"/>
      <w:r w:rsidRPr="00982193">
        <w:rPr>
          <w:rFonts w:ascii="Verdana" w:hAnsi="Verdana"/>
        </w:rPr>
        <w:t>dehydroepiandosterone</w:t>
      </w:r>
      <w:proofErr w:type="spellEnd"/>
      <w:r w:rsidRPr="00982193">
        <w:rPr>
          <w:rFonts w:ascii="Verdana" w:hAnsi="Verdana"/>
        </w:rPr>
        <w:t xml:space="preserve"> </w:t>
      </w:r>
      <w:proofErr w:type="spellStart"/>
      <w:r w:rsidRPr="00982193">
        <w:rPr>
          <w:rFonts w:ascii="Verdana" w:hAnsi="Verdana"/>
        </w:rPr>
        <w:t>sulfate</w:t>
      </w:r>
      <w:proofErr w:type="spellEnd"/>
      <w:r w:rsidRPr="00982193">
        <w:rPr>
          <w:rFonts w:ascii="Verdana" w:hAnsi="Verdana"/>
        </w:rPr>
        <w:t xml:space="preserve">, and the ratio of insulin-like growth factor 1 to growth hormone. </w:t>
      </w:r>
      <w:proofErr w:type="spellStart"/>
      <w:r w:rsidRPr="00982193">
        <w:rPr>
          <w:rFonts w:ascii="Verdana" w:hAnsi="Verdana"/>
        </w:rPr>
        <w:t>Proc</w:t>
      </w:r>
      <w:proofErr w:type="spellEnd"/>
      <w:r w:rsidRPr="00982193">
        <w:rPr>
          <w:rFonts w:ascii="Verdana" w:hAnsi="Verdana"/>
        </w:rPr>
        <w:t xml:space="preserve"> Natl </w:t>
      </w:r>
      <w:proofErr w:type="spellStart"/>
      <w:r w:rsidRPr="00982193">
        <w:rPr>
          <w:rFonts w:ascii="Verdana" w:hAnsi="Verdana"/>
        </w:rPr>
        <w:t>Acad</w:t>
      </w:r>
      <w:proofErr w:type="spellEnd"/>
      <w:r w:rsidRPr="00982193">
        <w:rPr>
          <w:rFonts w:ascii="Verdana" w:hAnsi="Verdana"/>
        </w:rPr>
        <w:t xml:space="preserve"> </w:t>
      </w:r>
      <w:proofErr w:type="spellStart"/>
      <w:r w:rsidRPr="00982193">
        <w:rPr>
          <w:rFonts w:ascii="Verdana" w:hAnsi="Verdana"/>
        </w:rPr>
        <w:t>Sci</w:t>
      </w:r>
      <w:proofErr w:type="spellEnd"/>
      <w:r w:rsidRPr="00982193">
        <w:rPr>
          <w:rFonts w:ascii="Verdana" w:hAnsi="Verdana"/>
        </w:rPr>
        <w:t xml:space="preserve"> USA. 1997; 94(14):7537-42.</w:t>
      </w:r>
    </w:p>
    <w:p w:rsidR="00C75E12" w:rsidRPr="00982193" w:rsidRDefault="00C75E12" w:rsidP="00C75E12">
      <w:pPr>
        <w:pStyle w:val="ListParagraph"/>
        <w:numPr>
          <w:ilvl w:val="0"/>
          <w:numId w:val="22"/>
        </w:numPr>
        <w:spacing w:after="0" w:line="360" w:lineRule="auto"/>
        <w:jc w:val="both"/>
        <w:rPr>
          <w:rFonts w:ascii="Verdana" w:hAnsi="Verdana"/>
        </w:rPr>
      </w:pPr>
      <w:r w:rsidRPr="00982193">
        <w:rPr>
          <w:rFonts w:ascii="Verdana" w:hAnsi="Verdana"/>
        </w:rPr>
        <w:t xml:space="preserve">Amin S, Zhang Y, </w:t>
      </w:r>
      <w:proofErr w:type="spellStart"/>
      <w:r w:rsidRPr="00982193">
        <w:rPr>
          <w:rFonts w:ascii="Verdana" w:hAnsi="Verdana"/>
        </w:rPr>
        <w:t>Sawin</w:t>
      </w:r>
      <w:proofErr w:type="spellEnd"/>
      <w:r w:rsidRPr="00982193">
        <w:rPr>
          <w:rFonts w:ascii="Verdana" w:hAnsi="Verdana"/>
        </w:rPr>
        <w:t xml:space="preserve"> CT, Evans SR, </w:t>
      </w:r>
      <w:proofErr w:type="spellStart"/>
      <w:r w:rsidRPr="00982193">
        <w:rPr>
          <w:rFonts w:ascii="Verdana" w:hAnsi="Verdana"/>
        </w:rPr>
        <w:t>Hannan</w:t>
      </w:r>
      <w:proofErr w:type="spellEnd"/>
      <w:r w:rsidRPr="00982193">
        <w:rPr>
          <w:rFonts w:ascii="Verdana" w:hAnsi="Verdana"/>
        </w:rPr>
        <w:t xml:space="preserve"> MT, Kiel DP, Wilson PW, </w:t>
      </w:r>
      <w:proofErr w:type="spellStart"/>
      <w:r w:rsidRPr="00982193">
        <w:rPr>
          <w:rFonts w:ascii="Verdana" w:hAnsi="Verdana"/>
        </w:rPr>
        <w:t>Felson</w:t>
      </w:r>
      <w:proofErr w:type="spellEnd"/>
      <w:r w:rsidRPr="00982193">
        <w:rPr>
          <w:rFonts w:ascii="Verdana" w:hAnsi="Verdana"/>
        </w:rPr>
        <w:t xml:space="preserve"> DT. Association of hypogonadism and </w:t>
      </w:r>
      <w:proofErr w:type="spellStart"/>
      <w:r w:rsidRPr="00982193">
        <w:rPr>
          <w:rFonts w:ascii="Verdana" w:hAnsi="Verdana"/>
        </w:rPr>
        <w:t>estradiol</w:t>
      </w:r>
      <w:proofErr w:type="spellEnd"/>
      <w:r w:rsidRPr="00982193">
        <w:rPr>
          <w:rFonts w:ascii="Verdana" w:hAnsi="Verdana"/>
        </w:rPr>
        <w:t xml:space="preserve"> levels with bone mineral density in elderly men from the Framingham study. Ann Intern Med 2000; 133: 1002-4</w:t>
      </w:r>
    </w:p>
    <w:p w:rsidR="000807AA" w:rsidRPr="00982193" w:rsidRDefault="000807AA" w:rsidP="00C75E12">
      <w:pPr>
        <w:pStyle w:val="ListParagraph"/>
        <w:numPr>
          <w:ilvl w:val="0"/>
          <w:numId w:val="22"/>
        </w:numPr>
        <w:spacing w:after="0" w:line="360" w:lineRule="auto"/>
        <w:jc w:val="both"/>
        <w:rPr>
          <w:rFonts w:ascii="Verdana" w:hAnsi="Verdana"/>
        </w:rPr>
      </w:pPr>
      <w:proofErr w:type="spellStart"/>
      <w:r w:rsidRPr="00982193">
        <w:rPr>
          <w:rFonts w:ascii="Verdana" w:hAnsi="Verdana"/>
        </w:rPr>
        <w:t>Galvao</w:t>
      </w:r>
      <w:proofErr w:type="spellEnd"/>
      <w:r w:rsidRPr="00982193">
        <w:rPr>
          <w:rFonts w:ascii="Verdana" w:hAnsi="Verdana"/>
        </w:rPr>
        <w:t xml:space="preserve"> DA, et al. Exercise can prevent and even reverse adverse effects of androgen suppression treatment in men with prostate cancer. Prostate Cancer Prostatic Dis. 2007.</w:t>
      </w:r>
    </w:p>
    <w:p w:rsidR="005B018D" w:rsidRPr="00982193" w:rsidRDefault="005B018D" w:rsidP="00C75E12">
      <w:pPr>
        <w:pStyle w:val="ListParagraph"/>
        <w:numPr>
          <w:ilvl w:val="0"/>
          <w:numId w:val="22"/>
        </w:numPr>
        <w:spacing w:after="0" w:line="360" w:lineRule="auto"/>
        <w:jc w:val="both"/>
        <w:rPr>
          <w:rFonts w:ascii="Verdana" w:hAnsi="Verdana"/>
        </w:rPr>
      </w:pPr>
      <w:r w:rsidRPr="00982193">
        <w:rPr>
          <w:rFonts w:ascii="Verdana" w:hAnsi="Verdana"/>
        </w:rPr>
        <w:t xml:space="preserve">Morley JE. Growth hormone: fountain of youth or death hormone? J Am </w:t>
      </w:r>
      <w:proofErr w:type="spellStart"/>
      <w:r w:rsidRPr="00982193">
        <w:rPr>
          <w:rFonts w:ascii="Verdana" w:hAnsi="Verdana"/>
        </w:rPr>
        <w:t>Geriatr</w:t>
      </w:r>
      <w:proofErr w:type="spellEnd"/>
      <w:r w:rsidRPr="00982193">
        <w:rPr>
          <w:rFonts w:ascii="Verdana" w:hAnsi="Verdana"/>
        </w:rPr>
        <w:t xml:space="preserve"> </w:t>
      </w:r>
      <w:proofErr w:type="spellStart"/>
      <w:r w:rsidRPr="00982193">
        <w:rPr>
          <w:rFonts w:ascii="Verdana" w:hAnsi="Verdana"/>
        </w:rPr>
        <w:t>Soc</w:t>
      </w:r>
      <w:proofErr w:type="spellEnd"/>
      <w:r w:rsidRPr="00982193">
        <w:rPr>
          <w:rFonts w:ascii="Verdana" w:hAnsi="Verdana"/>
        </w:rPr>
        <w:t xml:space="preserve"> 1999; 47(12):1475-6.</w:t>
      </w:r>
    </w:p>
    <w:p w:rsidR="009706E9" w:rsidRPr="00982193" w:rsidRDefault="009706E9" w:rsidP="00C75E12">
      <w:pPr>
        <w:pStyle w:val="ListParagraph"/>
        <w:numPr>
          <w:ilvl w:val="0"/>
          <w:numId w:val="22"/>
        </w:numPr>
        <w:spacing w:after="0" w:line="360" w:lineRule="auto"/>
        <w:jc w:val="both"/>
        <w:rPr>
          <w:rFonts w:ascii="Verdana" w:hAnsi="Verdana"/>
        </w:rPr>
      </w:pPr>
      <w:r w:rsidRPr="00982193">
        <w:rPr>
          <w:rFonts w:ascii="Verdana" w:hAnsi="Verdana"/>
        </w:rPr>
        <w:t xml:space="preserve">Stein MS et al. Falls relate to vitamin D and parathyroid hormone in an Australian nursing home and hostel. J Am </w:t>
      </w:r>
      <w:proofErr w:type="spellStart"/>
      <w:r w:rsidRPr="00982193">
        <w:rPr>
          <w:rFonts w:ascii="Verdana" w:hAnsi="Verdana"/>
        </w:rPr>
        <w:t>Geriatr</w:t>
      </w:r>
      <w:proofErr w:type="spellEnd"/>
      <w:r w:rsidRPr="00982193">
        <w:rPr>
          <w:rFonts w:ascii="Verdana" w:hAnsi="Verdana"/>
        </w:rPr>
        <w:t xml:space="preserve"> Soc. 1999; 47(10):1195-201</w:t>
      </w:r>
    </w:p>
    <w:p w:rsidR="009D17E3" w:rsidRDefault="009D17E3" w:rsidP="00C75E12">
      <w:pPr>
        <w:pStyle w:val="ListParagraph"/>
        <w:numPr>
          <w:ilvl w:val="0"/>
          <w:numId w:val="22"/>
        </w:numPr>
        <w:spacing w:after="0" w:line="360" w:lineRule="auto"/>
        <w:jc w:val="both"/>
        <w:rPr>
          <w:rFonts w:ascii="Verdana" w:hAnsi="Verdana"/>
        </w:rPr>
      </w:pPr>
      <w:r>
        <w:rPr>
          <w:rFonts w:ascii="Verdana" w:hAnsi="Verdana"/>
        </w:rPr>
        <w:t xml:space="preserve">Bischoff-Ferrari HA. Optimal serum 25-hydroxyvitamin D levels for multiple health outcomes. </w:t>
      </w:r>
      <w:proofErr w:type="spellStart"/>
      <w:r>
        <w:rPr>
          <w:rFonts w:ascii="Verdana" w:hAnsi="Verdana"/>
        </w:rPr>
        <w:t>Adv</w:t>
      </w:r>
      <w:proofErr w:type="spellEnd"/>
      <w:r>
        <w:rPr>
          <w:rFonts w:ascii="Verdana" w:hAnsi="Verdana"/>
        </w:rPr>
        <w:t xml:space="preserve"> </w:t>
      </w:r>
      <w:proofErr w:type="spellStart"/>
      <w:r>
        <w:rPr>
          <w:rFonts w:ascii="Verdana" w:hAnsi="Verdana"/>
        </w:rPr>
        <w:t>Exp</w:t>
      </w:r>
      <w:proofErr w:type="spellEnd"/>
      <w:r>
        <w:rPr>
          <w:rFonts w:ascii="Verdana" w:hAnsi="Verdana"/>
        </w:rPr>
        <w:t xml:space="preserve"> Med </w:t>
      </w:r>
      <w:proofErr w:type="spellStart"/>
      <w:r>
        <w:rPr>
          <w:rFonts w:ascii="Verdana" w:hAnsi="Verdana"/>
        </w:rPr>
        <w:t>Biol</w:t>
      </w:r>
      <w:proofErr w:type="spellEnd"/>
      <w:r>
        <w:rPr>
          <w:rFonts w:ascii="Verdana" w:hAnsi="Verdana"/>
        </w:rPr>
        <w:t xml:space="preserve"> 2014; 810: 500-525</w:t>
      </w:r>
    </w:p>
    <w:p w:rsidR="005B79EC" w:rsidRPr="00982193" w:rsidRDefault="005B79EC" w:rsidP="00C75E12">
      <w:pPr>
        <w:pStyle w:val="ListParagraph"/>
        <w:numPr>
          <w:ilvl w:val="0"/>
          <w:numId w:val="22"/>
        </w:numPr>
        <w:spacing w:after="0" w:line="360" w:lineRule="auto"/>
        <w:jc w:val="both"/>
        <w:rPr>
          <w:rFonts w:ascii="Verdana" w:hAnsi="Verdana"/>
        </w:rPr>
      </w:pPr>
      <w:proofErr w:type="spellStart"/>
      <w:r w:rsidRPr="00982193">
        <w:rPr>
          <w:rFonts w:ascii="Verdana" w:hAnsi="Verdana"/>
        </w:rPr>
        <w:t>Visser</w:t>
      </w:r>
      <w:proofErr w:type="spellEnd"/>
      <w:r w:rsidRPr="00982193">
        <w:rPr>
          <w:rFonts w:ascii="Verdana" w:hAnsi="Verdana"/>
        </w:rPr>
        <w:t xml:space="preserve"> M, </w:t>
      </w:r>
      <w:proofErr w:type="spellStart"/>
      <w:r w:rsidRPr="00982193">
        <w:rPr>
          <w:rFonts w:ascii="Verdana" w:hAnsi="Verdana"/>
        </w:rPr>
        <w:t>Deeg</w:t>
      </w:r>
      <w:proofErr w:type="spellEnd"/>
      <w:r w:rsidRPr="00982193">
        <w:rPr>
          <w:rFonts w:ascii="Verdana" w:hAnsi="Verdana"/>
        </w:rPr>
        <w:t xml:space="preserve"> DJ, Lips P. Low vitamin D and high parathyroid hormone levels as determinants of loss of muscle strength and muscle mass (sarcopenia</w:t>
      </w:r>
      <w:r w:rsidR="009144D2">
        <w:rPr>
          <w:rFonts w:ascii="Verdana" w:hAnsi="Verdana"/>
        </w:rPr>
        <w:t>): the Longitudinal Aging Study</w:t>
      </w:r>
      <w:r w:rsidRPr="00982193">
        <w:rPr>
          <w:rFonts w:ascii="Verdana" w:hAnsi="Verdana"/>
        </w:rPr>
        <w:t xml:space="preserve"> Amsterdam. J </w:t>
      </w:r>
      <w:proofErr w:type="spellStart"/>
      <w:r w:rsidRPr="00982193">
        <w:rPr>
          <w:rFonts w:ascii="Verdana" w:hAnsi="Verdana"/>
        </w:rPr>
        <w:t>Clin</w:t>
      </w:r>
      <w:proofErr w:type="spellEnd"/>
      <w:r w:rsidRPr="00982193">
        <w:rPr>
          <w:rFonts w:ascii="Verdana" w:hAnsi="Verdana"/>
        </w:rPr>
        <w:t xml:space="preserve"> </w:t>
      </w:r>
      <w:proofErr w:type="spellStart"/>
      <w:r w:rsidRPr="00982193">
        <w:rPr>
          <w:rFonts w:ascii="Verdana" w:hAnsi="Verdana"/>
        </w:rPr>
        <w:t>Endocrinol</w:t>
      </w:r>
      <w:proofErr w:type="spellEnd"/>
      <w:r w:rsidRPr="00982193">
        <w:rPr>
          <w:rFonts w:ascii="Verdana" w:hAnsi="Verdana"/>
        </w:rPr>
        <w:t xml:space="preserve"> </w:t>
      </w:r>
      <w:proofErr w:type="spellStart"/>
      <w:r w:rsidRPr="00982193">
        <w:rPr>
          <w:rFonts w:ascii="Verdana" w:hAnsi="Verdana"/>
        </w:rPr>
        <w:t>Metab</w:t>
      </w:r>
      <w:proofErr w:type="spellEnd"/>
      <w:r w:rsidRPr="00982193">
        <w:rPr>
          <w:rFonts w:ascii="Verdana" w:hAnsi="Verdana"/>
        </w:rPr>
        <w:t>. 2003; 88(12):5766-72</w:t>
      </w:r>
    </w:p>
    <w:p w:rsidR="005B79EC" w:rsidRPr="00982193" w:rsidRDefault="005B79EC" w:rsidP="00C75E12">
      <w:pPr>
        <w:pStyle w:val="ListParagraph"/>
        <w:numPr>
          <w:ilvl w:val="0"/>
          <w:numId w:val="22"/>
        </w:numPr>
        <w:spacing w:after="0" w:line="360" w:lineRule="auto"/>
        <w:jc w:val="both"/>
        <w:rPr>
          <w:rFonts w:ascii="Verdana" w:hAnsi="Verdana"/>
        </w:rPr>
      </w:pPr>
      <w:r w:rsidRPr="00982193">
        <w:rPr>
          <w:rFonts w:ascii="Verdana" w:hAnsi="Verdana"/>
        </w:rPr>
        <w:t xml:space="preserve">Jacques PF, et al. Plasma 25-hydroyvitamin D and its determinants in an elderly population sample. Am J </w:t>
      </w:r>
      <w:proofErr w:type="spellStart"/>
      <w:r w:rsidRPr="00982193">
        <w:rPr>
          <w:rFonts w:ascii="Verdana" w:hAnsi="Verdana"/>
        </w:rPr>
        <w:t>Clin</w:t>
      </w:r>
      <w:proofErr w:type="spellEnd"/>
      <w:r w:rsidRPr="00982193">
        <w:rPr>
          <w:rFonts w:ascii="Verdana" w:hAnsi="Verdana"/>
        </w:rPr>
        <w:t xml:space="preserve"> Nutr. 1997; 66(4):929-36</w:t>
      </w:r>
    </w:p>
    <w:p w:rsidR="005B79EC" w:rsidRPr="00982193" w:rsidRDefault="005B79EC" w:rsidP="00C75E12">
      <w:pPr>
        <w:pStyle w:val="ListParagraph"/>
        <w:numPr>
          <w:ilvl w:val="0"/>
          <w:numId w:val="22"/>
        </w:numPr>
        <w:spacing w:after="0" w:line="360" w:lineRule="auto"/>
        <w:jc w:val="both"/>
        <w:rPr>
          <w:rFonts w:ascii="Verdana" w:hAnsi="Verdana"/>
        </w:rPr>
      </w:pPr>
      <w:r w:rsidRPr="00982193">
        <w:rPr>
          <w:rFonts w:ascii="Verdana" w:hAnsi="Verdana"/>
        </w:rPr>
        <w:t>Kanis JA, Johansson H, Oden</w:t>
      </w:r>
      <w:r w:rsidR="005260BE" w:rsidRPr="00982193">
        <w:rPr>
          <w:rFonts w:ascii="Verdana" w:hAnsi="Verdana"/>
        </w:rPr>
        <w:t xml:space="preserve"> A, et al. A meta-analysis of prior corticosteroid use and fracture risk. J Bone Miner Res 2004; 19: 893-9.</w:t>
      </w:r>
    </w:p>
    <w:p w:rsidR="006C61C5" w:rsidRPr="00982193" w:rsidRDefault="006C61C5" w:rsidP="00C75E12">
      <w:pPr>
        <w:numPr>
          <w:ilvl w:val="0"/>
          <w:numId w:val="22"/>
        </w:numPr>
        <w:spacing w:after="0" w:line="360" w:lineRule="auto"/>
        <w:jc w:val="both"/>
        <w:rPr>
          <w:rFonts w:ascii="Verdana" w:hAnsi="Verdana"/>
        </w:rPr>
      </w:pPr>
      <w:r w:rsidRPr="00982193">
        <w:rPr>
          <w:rFonts w:ascii="Verdana" w:hAnsi="Verdana"/>
        </w:rPr>
        <w:lastRenderedPageBreak/>
        <w:t xml:space="preserve">Van Staa TP, Leufkens HGM, </w:t>
      </w:r>
      <w:proofErr w:type="spellStart"/>
      <w:r w:rsidRPr="00982193">
        <w:rPr>
          <w:rFonts w:ascii="Verdana" w:hAnsi="Verdana"/>
        </w:rPr>
        <w:t>Abenhaim</w:t>
      </w:r>
      <w:proofErr w:type="spellEnd"/>
      <w:r w:rsidRPr="00982193">
        <w:rPr>
          <w:rFonts w:ascii="Verdana" w:hAnsi="Verdana"/>
        </w:rPr>
        <w:t xml:space="preserve"> L, Zhang B, </w:t>
      </w:r>
      <w:proofErr w:type="gramStart"/>
      <w:r w:rsidRPr="00982193">
        <w:rPr>
          <w:rFonts w:ascii="Verdana" w:hAnsi="Verdana"/>
        </w:rPr>
        <w:t>Cooper</w:t>
      </w:r>
      <w:proofErr w:type="gramEnd"/>
      <w:r w:rsidRPr="00982193">
        <w:rPr>
          <w:rFonts w:ascii="Verdana" w:hAnsi="Verdana"/>
        </w:rPr>
        <w:t xml:space="preserve"> C. Use of corticosteroids and risk of fractures. J Bone Miner Res 2000; 15: 993-1000</w:t>
      </w:r>
    </w:p>
    <w:p w:rsidR="00E7102A" w:rsidRPr="00982193" w:rsidRDefault="00E7102A" w:rsidP="00C75E12">
      <w:pPr>
        <w:numPr>
          <w:ilvl w:val="0"/>
          <w:numId w:val="22"/>
        </w:numPr>
        <w:spacing w:after="0" w:line="360" w:lineRule="auto"/>
        <w:jc w:val="both"/>
        <w:rPr>
          <w:rFonts w:ascii="Verdana" w:hAnsi="Verdana"/>
        </w:rPr>
      </w:pPr>
      <w:proofErr w:type="spellStart"/>
      <w:r w:rsidRPr="00982193">
        <w:rPr>
          <w:rFonts w:ascii="Verdana" w:hAnsi="Verdana"/>
        </w:rPr>
        <w:t>Vasto</w:t>
      </w:r>
      <w:proofErr w:type="spellEnd"/>
      <w:r w:rsidRPr="00982193">
        <w:rPr>
          <w:rFonts w:ascii="Verdana" w:hAnsi="Verdana"/>
        </w:rPr>
        <w:t xml:space="preserve"> S, </w:t>
      </w:r>
      <w:proofErr w:type="spellStart"/>
      <w:r w:rsidRPr="00982193">
        <w:rPr>
          <w:rFonts w:ascii="Verdana" w:hAnsi="Verdana"/>
        </w:rPr>
        <w:t>Candore</w:t>
      </w:r>
      <w:proofErr w:type="spellEnd"/>
      <w:r w:rsidRPr="00982193">
        <w:rPr>
          <w:rFonts w:ascii="Verdana" w:hAnsi="Verdana"/>
        </w:rPr>
        <w:t xml:space="preserve"> G, </w:t>
      </w:r>
      <w:proofErr w:type="spellStart"/>
      <w:r w:rsidRPr="00982193">
        <w:rPr>
          <w:rFonts w:ascii="Verdana" w:hAnsi="Verdana"/>
        </w:rPr>
        <w:t>Balistreri</w:t>
      </w:r>
      <w:proofErr w:type="spellEnd"/>
      <w:r w:rsidRPr="00982193">
        <w:rPr>
          <w:rFonts w:ascii="Verdana" w:hAnsi="Verdana"/>
        </w:rPr>
        <w:t xml:space="preserve"> CR, Caruso M, Colonna-Romano G, </w:t>
      </w:r>
      <w:proofErr w:type="spellStart"/>
      <w:r w:rsidRPr="00982193">
        <w:rPr>
          <w:rFonts w:ascii="Verdana" w:hAnsi="Verdana"/>
        </w:rPr>
        <w:t>Grimaldi</w:t>
      </w:r>
      <w:proofErr w:type="spellEnd"/>
      <w:r w:rsidRPr="00982193">
        <w:rPr>
          <w:rFonts w:ascii="Verdana" w:hAnsi="Verdana"/>
        </w:rPr>
        <w:t xml:space="preserve"> MP et al. Inflammatory networks in ageing, age-related diseases and longevity. </w:t>
      </w:r>
      <w:proofErr w:type="spellStart"/>
      <w:r w:rsidRPr="00982193">
        <w:rPr>
          <w:rFonts w:ascii="Verdana" w:hAnsi="Verdana"/>
        </w:rPr>
        <w:t>Mech</w:t>
      </w:r>
      <w:proofErr w:type="spellEnd"/>
      <w:r w:rsidRPr="00982193">
        <w:rPr>
          <w:rFonts w:ascii="Verdana" w:hAnsi="Verdana"/>
        </w:rPr>
        <w:t xml:space="preserve"> Ageing Dev 2007; 128(1):83-91.</w:t>
      </w:r>
    </w:p>
    <w:p w:rsidR="00E7102A" w:rsidRPr="00982193" w:rsidRDefault="00E7102A" w:rsidP="00C75E12">
      <w:pPr>
        <w:numPr>
          <w:ilvl w:val="0"/>
          <w:numId w:val="22"/>
        </w:numPr>
        <w:spacing w:after="0" w:line="360" w:lineRule="auto"/>
        <w:jc w:val="both"/>
        <w:rPr>
          <w:rFonts w:ascii="Verdana" w:hAnsi="Verdana"/>
        </w:rPr>
      </w:pPr>
      <w:r w:rsidRPr="00982193">
        <w:rPr>
          <w:rFonts w:ascii="Verdana" w:hAnsi="Verdana"/>
        </w:rPr>
        <w:t xml:space="preserve">De Martinis M., </w:t>
      </w:r>
      <w:proofErr w:type="spellStart"/>
      <w:r w:rsidRPr="00982193">
        <w:rPr>
          <w:rFonts w:ascii="Verdana" w:hAnsi="Verdana"/>
        </w:rPr>
        <w:t>Franceschi</w:t>
      </w:r>
      <w:proofErr w:type="spellEnd"/>
      <w:r w:rsidRPr="00982193">
        <w:rPr>
          <w:rFonts w:ascii="Verdana" w:hAnsi="Verdana"/>
        </w:rPr>
        <w:t xml:space="preserve"> C, Monti D, </w:t>
      </w:r>
      <w:proofErr w:type="spellStart"/>
      <w:r w:rsidRPr="00982193">
        <w:rPr>
          <w:rFonts w:ascii="Verdana" w:hAnsi="Verdana"/>
        </w:rPr>
        <w:t>Ginaldi</w:t>
      </w:r>
      <w:proofErr w:type="spellEnd"/>
      <w:r w:rsidRPr="00982193">
        <w:rPr>
          <w:rFonts w:ascii="Verdana" w:hAnsi="Verdana"/>
        </w:rPr>
        <w:t xml:space="preserve"> L. Inflammation markers predicting frailty and mortality in the elderly. </w:t>
      </w:r>
      <w:proofErr w:type="spellStart"/>
      <w:r w:rsidRPr="00982193">
        <w:rPr>
          <w:rFonts w:ascii="Verdana" w:hAnsi="Verdana"/>
        </w:rPr>
        <w:t>Exp</w:t>
      </w:r>
      <w:proofErr w:type="spellEnd"/>
      <w:r w:rsidRPr="00982193">
        <w:rPr>
          <w:rFonts w:ascii="Verdana" w:hAnsi="Verdana"/>
        </w:rPr>
        <w:t xml:space="preserve"> </w:t>
      </w:r>
      <w:proofErr w:type="spellStart"/>
      <w:r w:rsidRPr="00982193">
        <w:rPr>
          <w:rFonts w:ascii="Verdana" w:hAnsi="Verdana"/>
        </w:rPr>
        <w:t>Mol</w:t>
      </w:r>
      <w:proofErr w:type="spellEnd"/>
      <w:r w:rsidRPr="00982193">
        <w:rPr>
          <w:rFonts w:ascii="Verdana" w:hAnsi="Verdana"/>
        </w:rPr>
        <w:t xml:space="preserve"> </w:t>
      </w:r>
      <w:proofErr w:type="spellStart"/>
      <w:r w:rsidRPr="00982193">
        <w:rPr>
          <w:rFonts w:ascii="Verdana" w:hAnsi="Verdana"/>
        </w:rPr>
        <w:t>Pathol</w:t>
      </w:r>
      <w:proofErr w:type="spellEnd"/>
      <w:r w:rsidRPr="00982193">
        <w:rPr>
          <w:rFonts w:ascii="Verdana" w:hAnsi="Verdana"/>
        </w:rPr>
        <w:t xml:space="preserve"> 2006; 80(3):219-227.</w:t>
      </w:r>
    </w:p>
    <w:p w:rsidR="00E7102A" w:rsidRPr="00982193" w:rsidRDefault="00E7102A" w:rsidP="00C75E12">
      <w:pPr>
        <w:pStyle w:val="ListParagraph"/>
        <w:numPr>
          <w:ilvl w:val="0"/>
          <w:numId w:val="22"/>
        </w:numPr>
        <w:spacing w:after="0" w:line="360" w:lineRule="auto"/>
        <w:jc w:val="both"/>
        <w:rPr>
          <w:rFonts w:ascii="Verdana" w:hAnsi="Verdana"/>
        </w:rPr>
      </w:pPr>
      <w:proofErr w:type="spellStart"/>
      <w:r w:rsidRPr="00982193">
        <w:rPr>
          <w:rFonts w:ascii="Verdana" w:hAnsi="Verdana"/>
        </w:rPr>
        <w:t>Franceschi</w:t>
      </w:r>
      <w:proofErr w:type="spellEnd"/>
      <w:r w:rsidRPr="00982193">
        <w:rPr>
          <w:rFonts w:ascii="Verdana" w:hAnsi="Verdana"/>
        </w:rPr>
        <w:t xml:space="preserve"> C, </w:t>
      </w:r>
      <w:proofErr w:type="spellStart"/>
      <w:r w:rsidRPr="00982193">
        <w:rPr>
          <w:rFonts w:ascii="Verdana" w:hAnsi="Verdana"/>
        </w:rPr>
        <w:t>Bonafe</w:t>
      </w:r>
      <w:proofErr w:type="spellEnd"/>
      <w:r w:rsidRPr="00982193">
        <w:rPr>
          <w:rFonts w:ascii="Verdana" w:hAnsi="Verdana"/>
        </w:rPr>
        <w:t xml:space="preserve"> M, </w:t>
      </w:r>
      <w:proofErr w:type="spellStart"/>
      <w:r w:rsidRPr="00982193">
        <w:rPr>
          <w:rFonts w:ascii="Verdana" w:hAnsi="Verdana"/>
        </w:rPr>
        <w:t>Valensin</w:t>
      </w:r>
      <w:proofErr w:type="spellEnd"/>
      <w:r w:rsidRPr="00982193">
        <w:rPr>
          <w:rFonts w:ascii="Verdana" w:hAnsi="Verdana"/>
        </w:rPr>
        <w:t xml:space="preserve"> S, </w:t>
      </w:r>
      <w:proofErr w:type="spellStart"/>
      <w:r w:rsidRPr="00982193">
        <w:rPr>
          <w:rFonts w:ascii="Verdana" w:hAnsi="Verdana"/>
        </w:rPr>
        <w:t>Olivieri</w:t>
      </w:r>
      <w:proofErr w:type="spellEnd"/>
      <w:r w:rsidRPr="00982193">
        <w:rPr>
          <w:rFonts w:ascii="Verdana" w:hAnsi="Verdana"/>
        </w:rPr>
        <w:t xml:space="preserve"> F, De LM, </w:t>
      </w:r>
      <w:proofErr w:type="spellStart"/>
      <w:r w:rsidRPr="00982193">
        <w:rPr>
          <w:rFonts w:ascii="Verdana" w:hAnsi="Verdana"/>
        </w:rPr>
        <w:t>Ottaviani</w:t>
      </w:r>
      <w:proofErr w:type="spellEnd"/>
      <w:r w:rsidRPr="00982193">
        <w:rPr>
          <w:rFonts w:ascii="Verdana" w:hAnsi="Verdana"/>
        </w:rPr>
        <w:t xml:space="preserve"> E et al. </w:t>
      </w:r>
      <w:proofErr w:type="spellStart"/>
      <w:r w:rsidRPr="00982193">
        <w:rPr>
          <w:rFonts w:ascii="Verdana" w:hAnsi="Verdana"/>
        </w:rPr>
        <w:t>Inflamm</w:t>
      </w:r>
      <w:proofErr w:type="spellEnd"/>
      <w:r w:rsidRPr="00982193">
        <w:rPr>
          <w:rFonts w:ascii="Verdana" w:hAnsi="Verdana"/>
        </w:rPr>
        <w:t xml:space="preserve">-aging. An evolutionary perspective on </w:t>
      </w:r>
      <w:proofErr w:type="spellStart"/>
      <w:r w:rsidRPr="00982193">
        <w:rPr>
          <w:rFonts w:ascii="Verdana" w:hAnsi="Verdana"/>
        </w:rPr>
        <w:t>immunosenescence</w:t>
      </w:r>
      <w:proofErr w:type="spellEnd"/>
      <w:r w:rsidRPr="00982193">
        <w:rPr>
          <w:rFonts w:ascii="Verdana" w:hAnsi="Verdana"/>
        </w:rPr>
        <w:t xml:space="preserve">. Ann N Y </w:t>
      </w:r>
      <w:proofErr w:type="spellStart"/>
      <w:r w:rsidRPr="00982193">
        <w:rPr>
          <w:rFonts w:ascii="Verdana" w:hAnsi="Verdana"/>
        </w:rPr>
        <w:t>Acad</w:t>
      </w:r>
      <w:proofErr w:type="spellEnd"/>
      <w:r w:rsidRPr="00982193">
        <w:rPr>
          <w:rFonts w:ascii="Verdana" w:hAnsi="Verdana"/>
        </w:rPr>
        <w:t xml:space="preserve"> </w:t>
      </w:r>
      <w:proofErr w:type="spellStart"/>
      <w:r w:rsidRPr="00982193">
        <w:rPr>
          <w:rFonts w:ascii="Verdana" w:hAnsi="Verdana"/>
        </w:rPr>
        <w:t>Sci</w:t>
      </w:r>
      <w:proofErr w:type="spellEnd"/>
      <w:r w:rsidRPr="00982193">
        <w:rPr>
          <w:rFonts w:ascii="Verdana" w:hAnsi="Verdana"/>
        </w:rPr>
        <w:t xml:space="preserve"> 2000; 908:244-254.</w:t>
      </w:r>
    </w:p>
    <w:p w:rsidR="00C667DF" w:rsidRPr="00982193" w:rsidRDefault="002A6654" w:rsidP="00C75E12">
      <w:pPr>
        <w:pStyle w:val="ListParagraph"/>
        <w:numPr>
          <w:ilvl w:val="0"/>
          <w:numId w:val="22"/>
        </w:numPr>
        <w:spacing w:after="0" w:line="360" w:lineRule="auto"/>
        <w:jc w:val="both"/>
        <w:rPr>
          <w:rFonts w:ascii="Verdana" w:hAnsi="Verdana"/>
        </w:rPr>
      </w:pPr>
      <w:r w:rsidRPr="00982193">
        <w:rPr>
          <w:rFonts w:ascii="Verdana" w:hAnsi="Verdana"/>
        </w:rPr>
        <w:t xml:space="preserve">De Martinis M., </w:t>
      </w:r>
      <w:proofErr w:type="spellStart"/>
      <w:r w:rsidRPr="00982193">
        <w:rPr>
          <w:rFonts w:ascii="Verdana" w:hAnsi="Verdana"/>
        </w:rPr>
        <w:t>Franceschi</w:t>
      </w:r>
      <w:proofErr w:type="spellEnd"/>
      <w:r w:rsidRPr="00982193">
        <w:rPr>
          <w:rFonts w:ascii="Verdana" w:hAnsi="Verdana"/>
        </w:rPr>
        <w:t xml:space="preserve"> C, Monti D, </w:t>
      </w:r>
      <w:proofErr w:type="spellStart"/>
      <w:r w:rsidRPr="00982193">
        <w:rPr>
          <w:rFonts w:ascii="Verdana" w:hAnsi="Verdana"/>
        </w:rPr>
        <w:t>Ginaldi</w:t>
      </w:r>
      <w:proofErr w:type="spellEnd"/>
      <w:r w:rsidRPr="00982193">
        <w:rPr>
          <w:rFonts w:ascii="Verdana" w:hAnsi="Verdana"/>
        </w:rPr>
        <w:t xml:space="preserve"> L. </w:t>
      </w:r>
      <w:proofErr w:type="spellStart"/>
      <w:r w:rsidRPr="00982193">
        <w:rPr>
          <w:rFonts w:ascii="Verdana" w:hAnsi="Verdana"/>
        </w:rPr>
        <w:t>Inflamm</w:t>
      </w:r>
      <w:proofErr w:type="spellEnd"/>
      <w:r w:rsidRPr="00982193">
        <w:rPr>
          <w:rFonts w:ascii="Verdana" w:hAnsi="Verdana"/>
        </w:rPr>
        <w:t>-ageing and lifelong antigenic load as major determinants of ageing rate and longevity. FEBS Lett 2005; 579(10):2035-2039.</w:t>
      </w:r>
      <w:r w:rsidR="00C667DF" w:rsidRPr="00982193">
        <w:t xml:space="preserve"> </w:t>
      </w:r>
    </w:p>
    <w:p w:rsidR="002A6654" w:rsidRPr="00982193" w:rsidRDefault="00C667DF" w:rsidP="00C75E12">
      <w:pPr>
        <w:pStyle w:val="ListParagraph"/>
        <w:numPr>
          <w:ilvl w:val="0"/>
          <w:numId w:val="22"/>
        </w:numPr>
        <w:spacing w:after="0" w:line="360" w:lineRule="auto"/>
        <w:jc w:val="both"/>
        <w:rPr>
          <w:rFonts w:ascii="Verdana" w:hAnsi="Verdana"/>
        </w:rPr>
      </w:pPr>
      <w:proofErr w:type="spellStart"/>
      <w:r w:rsidRPr="00982193">
        <w:rPr>
          <w:rFonts w:ascii="Verdana" w:hAnsi="Verdana"/>
        </w:rPr>
        <w:t>Cannizzo</w:t>
      </w:r>
      <w:proofErr w:type="spellEnd"/>
      <w:r w:rsidRPr="00982193">
        <w:rPr>
          <w:rFonts w:ascii="Verdana" w:hAnsi="Verdana"/>
        </w:rPr>
        <w:t xml:space="preserve"> ES, Clement CC, </w:t>
      </w:r>
      <w:proofErr w:type="spellStart"/>
      <w:r w:rsidRPr="00982193">
        <w:rPr>
          <w:rFonts w:ascii="Verdana" w:hAnsi="Verdana"/>
        </w:rPr>
        <w:t>Sahu</w:t>
      </w:r>
      <w:proofErr w:type="spellEnd"/>
      <w:r w:rsidRPr="00982193">
        <w:rPr>
          <w:rFonts w:ascii="Verdana" w:hAnsi="Verdana"/>
        </w:rPr>
        <w:t xml:space="preserve"> R, </w:t>
      </w:r>
      <w:proofErr w:type="spellStart"/>
      <w:r w:rsidRPr="00982193">
        <w:rPr>
          <w:rFonts w:ascii="Verdana" w:hAnsi="Verdana"/>
        </w:rPr>
        <w:t>Follo</w:t>
      </w:r>
      <w:proofErr w:type="spellEnd"/>
      <w:r w:rsidRPr="00982193">
        <w:rPr>
          <w:rFonts w:ascii="Verdana" w:hAnsi="Verdana"/>
        </w:rPr>
        <w:t xml:space="preserve"> C, </w:t>
      </w:r>
      <w:proofErr w:type="spellStart"/>
      <w:r w:rsidRPr="00982193">
        <w:rPr>
          <w:rFonts w:ascii="Verdana" w:hAnsi="Verdana"/>
        </w:rPr>
        <w:t>Santambrogio</w:t>
      </w:r>
      <w:proofErr w:type="spellEnd"/>
      <w:r w:rsidRPr="00982193">
        <w:rPr>
          <w:rFonts w:ascii="Verdana" w:hAnsi="Verdana"/>
        </w:rPr>
        <w:t xml:space="preserve"> L. Oxidative stress, </w:t>
      </w:r>
      <w:proofErr w:type="spellStart"/>
      <w:r w:rsidRPr="00982193">
        <w:rPr>
          <w:rFonts w:ascii="Verdana" w:hAnsi="Verdana"/>
        </w:rPr>
        <w:t>inflamm</w:t>
      </w:r>
      <w:proofErr w:type="spellEnd"/>
      <w:r w:rsidRPr="00982193">
        <w:rPr>
          <w:rFonts w:ascii="Verdana" w:hAnsi="Verdana"/>
        </w:rPr>
        <w:t xml:space="preserve">-aging and </w:t>
      </w:r>
      <w:proofErr w:type="spellStart"/>
      <w:r w:rsidRPr="00982193">
        <w:rPr>
          <w:rFonts w:ascii="Verdana" w:hAnsi="Verdana"/>
        </w:rPr>
        <w:t>immunosenescence</w:t>
      </w:r>
      <w:proofErr w:type="spellEnd"/>
      <w:r w:rsidRPr="00982193">
        <w:rPr>
          <w:rFonts w:ascii="Verdana" w:hAnsi="Verdana"/>
        </w:rPr>
        <w:t>. J Proteomics 2011; 74(11):2313-2323.</w:t>
      </w:r>
    </w:p>
    <w:p w:rsidR="005260BE" w:rsidRPr="00982193" w:rsidRDefault="005260BE" w:rsidP="00C75E12">
      <w:pPr>
        <w:pStyle w:val="ListParagraph"/>
        <w:numPr>
          <w:ilvl w:val="0"/>
          <w:numId w:val="22"/>
        </w:numPr>
        <w:spacing w:after="0" w:line="360" w:lineRule="auto"/>
        <w:jc w:val="both"/>
        <w:rPr>
          <w:rFonts w:ascii="Verdana" w:hAnsi="Verdana"/>
        </w:rPr>
      </w:pPr>
      <w:proofErr w:type="spellStart"/>
      <w:r w:rsidRPr="00982193">
        <w:rPr>
          <w:rFonts w:ascii="Verdana" w:hAnsi="Verdana"/>
        </w:rPr>
        <w:t>Schaap</w:t>
      </w:r>
      <w:proofErr w:type="spellEnd"/>
      <w:r w:rsidRPr="00982193">
        <w:rPr>
          <w:rFonts w:ascii="Verdana" w:hAnsi="Verdana"/>
        </w:rPr>
        <w:t xml:space="preserve"> LA, et al. Inflammatory markers and loss of muscle mass (sarcopenia) and strength. Am J Med. 2006; 119(6):526, e9-17</w:t>
      </w:r>
    </w:p>
    <w:p w:rsidR="00716756" w:rsidRPr="00982193" w:rsidRDefault="00716756" w:rsidP="00C75E12">
      <w:pPr>
        <w:pStyle w:val="ListParagraph"/>
        <w:numPr>
          <w:ilvl w:val="0"/>
          <w:numId w:val="22"/>
        </w:numPr>
        <w:spacing w:after="0" w:line="360" w:lineRule="auto"/>
        <w:jc w:val="both"/>
        <w:rPr>
          <w:rFonts w:ascii="Verdana" w:hAnsi="Verdana"/>
        </w:rPr>
      </w:pPr>
      <w:proofErr w:type="spellStart"/>
      <w:r w:rsidRPr="00982193">
        <w:rPr>
          <w:rFonts w:ascii="Verdana" w:hAnsi="Verdana"/>
        </w:rPr>
        <w:t>Ferrucci</w:t>
      </w:r>
      <w:proofErr w:type="spellEnd"/>
      <w:r w:rsidRPr="00982193">
        <w:rPr>
          <w:rFonts w:ascii="Verdana" w:hAnsi="Verdana"/>
        </w:rPr>
        <w:t xml:space="preserve"> L, et al. Serum IL-6 level and the development of disability in older persons. J Am </w:t>
      </w:r>
      <w:proofErr w:type="spellStart"/>
      <w:r w:rsidRPr="00982193">
        <w:rPr>
          <w:rFonts w:ascii="Verdana" w:hAnsi="Verdana"/>
        </w:rPr>
        <w:t>Geriatr</w:t>
      </w:r>
      <w:proofErr w:type="spellEnd"/>
      <w:r w:rsidRPr="00982193">
        <w:rPr>
          <w:rFonts w:ascii="Verdana" w:hAnsi="Verdana"/>
        </w:rPr>
        <w:t xml:space="preserve"> Soc. 1999; 47(6):639-46.</w:t>
      </w:r>
    </w:p>
    <w:p w:rsidR="006C61C5" w:rsidRPr="00982193" w:rsidRDefault="00716756" w:rsidP="00C75E12">
      <w:pPr>
        <w:pStyle w:val="ListParagraph"/>
        <w:numPr>
          <w:ilvl w:val="0"/>
          <w:numId w:val="22"/>
        </w:numPr>
        <w:spacing w:after="0" w:line="360" w:lineRule="auto"/>
        <w:jc w:val="both"/>
        <w:rPr>
          <w:rFonts w:ascii="Verdana" w:hAnsi="Verdana"/>
        </w:rPr>
      </w:pPr>
      <w:r w:rsidRPr="00982193">
        <w:rPr>
          <w:rFonts w:ascii="Verdana" w:hAnsi="Verdana"/>
        </w:rPr>
        <w:t xml:space="preserve">Mitch WE, Goldberg AL. Mechanisms of muscle wasting. The role of the ubiquitin-proteasome pathway. N </w:t>
      </w:r>
      <w:proofErr w:type="spellStart"/>
      <w:r w:rsidRPr="00982193">
        <w:rPr>
          <w:rFonts w:ascii="Verdana" w:hAnsi="Verdana"/>
        </w:rPr>
        <w:t>Eng</w:t>
      </w:r>
      <w:proofErr w:type="spellEnd"/>
      <w:r w:rsidRPr="00982193">
        <w:rPr>
          <w:rFonts w:ascii="Verdana" w:hAnsi="Verdana"/>
        </w:rPr>
        <w:t xml:space="preserve"> J Med. 1996; 335(25):1897-905.</w:t>
      </w:r>
    </w:p>
    <w:p w:rsidR="006613D9" w:rsidRPr="00982193" w:rsidRDefault="006613D9" w:rsidP="00C75E12">
      <w:pPr>
        <w:pStyle w:val="ListParagraph"/>
        <w:numPr>
          <w:ilvl w:val="0"/>
          <w:numId w:val="22"/>
        </w:numPr>
        <w:spacing w:after="0" w:line="360" w:lineRule="auto"/>
        <w:jc w:val="both"/>
        <w:rPr>
          <w:rFonts w:ascii="Verdana" w:hAnsi="Verdana"/>
        </w:rPr>
      </w:pPr>
      <w:r w:rsidRPr="00982193">
        <w:rPr>
          <w:rFonts w:ascii="Verdana" w:hAnsi="Verdana"/>
        </w:rPr>
        <w:t xml:space="preserve">Corcoran MP, </w:t>
      </w:r>
      <w:proofErr w:type="spellStart"/>
      <w:r w:rsidRPr="00982193">
        <w:rPr>
          <w:rFonts w:ascii="Verdana" w:hAnsi="Verdana"/>
        </w:rPr>
        <w:t>Lamon</w:t>
      </w:r>
      <w:proofErr w:type="spellEnd"/>
      <w:r w:rsidRPr="00982193">
        <w:rPr>
          <w:rFonts w:ascii="Verdana" w:hAnsi="Verdana"/>
        </w:rPr>
        <w:t xml:space="preserve">-Fava S, Fielding RA. Skeletal muscle lipid deposition and insulin resistance: effect of dietary fatty acids and exercise. Am J </w:t>
      </w:r>
      <w:proofErr w:type="spellStart"/>
      <w:r w:rsidRPr="00982193">
        <w:rPr>
          <w:rFonts w:ascii="Verdana" w:hAnsi="Verdana"/>
        </w:rPr>
        <w:t>Clin</w:t>
      </w:r>
      <w:proofErr w:type="spellEnd"/>
      <w:r w:rsidRPr="00982193">
        <w:rPr>
          <w:rFonts w:ascii="Verdana" w:hAnsi="Verdana"/>
        </w:rPr>
        <w:t xml:space="preserve"> Nutr. 2007; 85(3):662-77.</w:t>
      </w:r>
    </w:p>
    <w:p w:rsidR="00992552" w:rsidRPr="00982193" w:rsidRDefault="009B4E67" w:rsidP="00C75E12">
      <w:pPr>
        <w:pStyle w:val="ListParagraph"/>
        <w:numPr>
          <w:ilvl w:val="0"/>
          <w:numId w:val="22"/>
        </w:numPr>
        <w:spacing w:after="0" w:line="360" w:lineRule="auto"/>
        <w:jc w:val="both"/>
        <w:rPr>
          <w:rFonts w:ascii="Verdana" w:hAnsi="Verdana"/>
        </w:rPr>
      </w:pPr>
      <w:r w:rsidRPr="00982193">
        <w:rPr>
          <w:rFonts w:ascii="Verdana" w:hAnsi="Verdana"/>
        </w:rPr>
        <w:t xml:space="preserve">Cooper C, Eriksson JG, </w:t>
      </w:r>
      <w:proofErr w:type="spellStart"/>
      <w:r w:rsidRPr="00982193">
        <w:rPr>
          <w:rFonts w:ascii="Verdana" w:hAnsi="Verdana"/>
        </w:rPr>
        <w:t>Forsen</w:t>
      </w:r>
      <w:proofErr w:type="spellEnd"/>
      <w:r w:rsidRPr="00982193">
        <w:rPr>
          <w:rFonts w:ascii="Verdana" w:hAnsi="Verdana"/>
        </w:rPr>
        <w:t xml:space="preserve"> T, Osmond C, </w:t>
      </w:r>
      <w:proofErr w:type="spellStart"/>
      <w:r w:rsidRPr="00982193">
        <w:rPr>
          <w:rFonts w:ascii="Verdana" w:hAnsi="Verdana"/>
        </w:rPr>
        <w:t>Tuomilehto</w:t>
      </w:r>
      <w:proofErr w:type="spellEnd"/>
      <w:r w:rsidRPr="00982193">
        <w:rPr>
          <w:rFonts w:ascii="Verdana" w:hAnsi="Verdana"/>
        </w:rPr>
        <w:t xml:space="preserve"> J, Barker DJP. Maternal height, childhood growth and the risk of hip fracture in later life: a longitudinal study. Osteoporosis </w:t>
      </w:r>
      <w:proofErr w:type="spellStart"/>
      <w:r w:rsidRPr="00982193">
        <w:rPr>
          <w:rFonts w:ascii="Verdana" w:hAnsi="Verdana"/>
        </w:rPr>
        <w:t>Int</w:t>
      </w:r>
      <w:proofErr w:type="spellEnd"/>
      <w:r w:rsidRPr="00982193">
        <w:rPr>
          <w:rFonts w:ascii="Verdana" w:hAnsi="Verdana"/>
        </w:rPr>
        <w:t xml:space="preserve"> 2001; 12: 623-629</w:t>
      </w:r>
    </w:p>
    <w:p w:rsidR="005C7484" w:rsidRPr="00982193" w:rsidRDefault="005C7484" w:rsidP="00C75E12">
      <w:pPr>
        <w:numPr>
          <w:ilvl w:val="0"/>
          <w:numId w:val="22"/>
        </w:numPr>
        <w:tabs>
          <w:tab w:val="left" w:pos="2160"/>
          <w:tab w:val="left" w:pos="7560"/>
        </w:tabs>
        <w:spacing w:after="0" w:line="360" w:lineRule="auto"/>
        <w:jc w:val="both"/>
        <w:rPr>
          <w:rFonts w:ascii="Verdana" w:hAnsi="Verdana"/>
          <w:i/>
        </w:rPr>
      </w:pPr>
      <w:r w:rsidRPr="00982193">
        <w:rPr>
          <w:rFonts w:ascii="Verdana" w:hAnsi="Verdana"/>
          <w:iCs/>
        </w:rPr>
        <w:t>Dennison EM</w:t>
      </w:r>
      <w:r w:rsidRPr="00982193">
        <w:rPr>
          <w:rFonts w:ascii="Verdana" w:hAnsi="Verdana"/>
          <w:i/>
        </w:rPr>
        <w:t xml:space="preserve">, </w:t>
      </w:r>
      <w:r w:rsidRPr="00982193">
        <w:rPr>
          <w:rFonts w:ascii="Verdana" w:hAnsi="Verdana"/>
          <w:iCs/>
        </w:rPr>
        <w:t xml:space="preserve">Syddall HE, Aihie Sayer A, </w:t>
      </w:r>
      <w:proofErr w:type="spellStart"/>
      <w:r w:rsidRPr="00982193">
        <w:rPr>
          <w:rFonts w:ascii="Verdana" w:hAnsi="Verdana"/>
          <w:iCs/>
        </w:rPr>
        <w:t>Gilbody</w:t>
      </w:r>
      <w:proofErr w:type="spellEnd"/>
      <w:r w:rsidRPr="00982193">
        <w:rPr>
          <w:rFonts w:ascii="Verdana" w:hAnsi="Verdana"/>
          <w:iCs/>
        </w:rPr>
        <w:t xml:space="preserve"> HJ, Cooper C. Birthweight and weight at one year are independent determinants of bone mass in the seventh decade: the Hertfordshire Cohort Study. </w:t>
      </w:r>
      <w:proofErr w:type="spellStart"/>
      <w:r w:rsidRPr="00982193">
        <w:rPr>
          <w:rFonts w:ascii="Verdana" w:hAnsi="Verdana"/>
          <w:iCs/>
        </w:rPr>
        <w:t>Ped</w:t>
      </w:r>
      <w:proofErr w:type="spellEnd"/>
      <w:r w:rsidRPr="00982193">
        <w:rPr>
          <w:rFonts w:ascii="Verdana" w:hAnsi="Verdana"/>
          <w:iCs/>
        </w:rPr>
        <w:t xml:space="preserve"> Res 2005; 57: 582-6</w:t>
      </w:r>
    </w:p>
    <w:p w:rsidR="00992552" w:rsidRPr="00982193" w:rsidRDefault="00982193" w:rsidP="00C75E12">
      <w:pPr>
        <w:pStyle w:val="ListParagraph"/>
        <w:numPr>
          <w:ilvl w:val="0"/>
          <w:numId w:val="22"/>
        </w:numPr>
        <w:spacing w:after="0" w:line="360" w:lineRule="auto"/>
        <w:jc w:val="both"/>
        <w:rPr>
          <w:rFonts w:ascii="Verdana" w:hAnsi="Verdana"/>
        </w:rPr>
      </w:pPr>
      <w:r w:rsidRPr="00982193">
        <w:rPr>
          <w:rFonts w:ascii="Verdana" w:hAnsi="Verdana"/>
        </w:rPr>
        <w:lastRenderedPageBreak/>
        <w:t xml:space="preserve">Kuh </w:t>
      </w:r>
      <w:proofErr w:type="spellStart"/>
      <w:r w:rsidRPr="00982193">
        <w:rPr>
          <w:rFonts w:ascii="Verdana" w:hAnsi="Verdana"/>
        </w:rPr>
        <w:t>D</w:t>
      </w:r>
      <w:proofErr w:type="gramStart"/>
      <w:r w:rsidRPr="00982193">
        <w:rPr>
          <w:rFonts w:ascii="Verdana" w:hAnsi="Verdana"/>
        </w:rPr>
        <w:t>;Hardy</w:t>
      </w:r>
      <w:proofErr w:type="spellEnd"/>
      <w:proofErr w:type="gramEnd"/>
      <w:r w:rsidRPr="00982193">
        <w:rPr>
          <w:rFonts w:ascii="Verdana" w:hAnsi="Verdana"/>
        </w:rPr>
        <w:t xml:space="preserve"> </w:t>
      </w:r>
      <w:proofErr w:type="spellStart"/>
      <w:r w:rsidRPr="00982193">
        <w:rPr>
          <w:rFonts w:ascii="Verdana" w:hAnsi="Verdana"/>
        </w:rPr>
        <w:t>R;Butterworth</w:t>
      </w:r>
      <w:proofErr w:type="spellEnd"/>
      <w:r w:rsidRPr="00982193">
        <w:rPr>
          <w:rFonts w:ascii="Verdana" w:hAnsi="Verdana"/>
        </w:rPr>
        <w:t xml:space="preserve"> </w:t>
      </w:r>
      <w:proofErr w:type="spellStart"/>
      <w:r w:rsidRPr="00982193">
        <w:rPr>
          <w:rFonts w:ascii="Verdana" w:hAnsi="Verdana"/>
        </w:rPr>
        <w:t>S;Okell</w:t>
      </w:r>
      <w:proofErr w:type="spellEnd"/>
      <w:r w:rsidRPr="00982193">
        <w:rPr>
          <w:rFonts w:ascii="Verdana" w:hAnsi="Verdana"/>
        </w:rPr>
        <w:t xml:space="preserve"> </w:t>
      </w:r>
      <w:proofErr w:type="spellStart"/>
      <w:r w:rsidRPr="00982193">
        <w:rPr>
          <w:rFonts w:ascii="Verdana" w:hAnsi="Verdana"/>
        </w:rPr>
        <w:t>L;Wadsworth</w:t>
      </w:r>
      <w:proofErr w:type="spellEnd"/>
      <w:r w:rsidRPr="00982193">
        <w:rPr>
          <w:rFonts w:ascii="Verdana" w:hAnsi="Verdana"/>
        </w:rPr>
        <w:t xml:space="preserve"> </w:t>
      </w:r>
      <w:proofErr w:type="spellStart"/>
      <w:r w:rsidRPr="00982193">
        <w:rPr>
          <w:rFonts w:ascii="Verdana" w:hAnsi="Verdana"/>
        </w:rPr>
        <w:t>M;Cooper</w:t>
      </w:r>
      <w:proofErr w:type="spellEnd"/>
      <w:r w:rsidRPr="00982193">
        <w:rPr>
          <w:rFonts w:ascii="Verdana" w:hAnsi="Verdana"/>
        </w:rPr>
        <w:t xml:space="preserve"> </w:t>
      </w:r>
      <w:proofErr w:type="spellStart"/>
      <w:r w:rsidRPr="00982193">
        <w:rPr>
          <w:rFonts w:ascii="Verdana" w:hAnsi="Verdana"/>
        </w:rPr>
        <w:t>C;Aihie</w:t>
      </w:r>
      <w:proofErr w:type="spellEnd"/>
      <w:r w:rsidRPr="00982193">
        <w:rPr>
          <w:rFonts w:ascii="Verdana" w:hAnsi="Verdana"/>
        </w:rPr>
        <w:t xml:space="preserve"> Sayer A. </w:t>
      </w:r>
      <w:r w:rsidRPr="00982193">
        <w:rPr>
          <w:rStyle w:val="Strong"/>
          <w:rFonts w:ascii="Verdana" w:hAnsi="Verdana"/>
          <w:b w:val="0"/>
        </w:rPr>
        <w:t>Developmental origins of midlife grip strength: findings from a birth cohort study</w:t>
      </w:r>
      <w:r w:rsidRPr="00982193">
        <w:rPr>
          <w:rFonts w:ascii="Verdana" w:hAnsi="Verdana"/>
        </w:rPr>
        <w:t xml:space="preserve">. J </w:t>
      </w:r>
      <w:proofErr w:type="spellStart"/>
      <w:r w:rsidRPr="00982193">
        <w:rPr>
          <w:rFonts w:ascii="Verdana" w:hAnsi="Verdana"/>
        </w:rPr>
        <w:t>Gerontol</w:t>
      </w:r>
      <w:proofErr w:type="spellEnd"/>
      <w:r w:rsidRPr="00982193">
        <w:rPr>
          <w:rFonts w:ascii="Verdana" w:hAnsi="Verdana"/>
        </w:rPr>
        <w:t xml:space="preserve"> A </w:t>
      </w:r>
      <w:proofErr w:type="spellStart"/>
      <w:r w:rsidRPr="00982193">
        <w:rPr>
          <w:rFonts w:ascii="Verdana" w:hAnsi="Verdana"/>
        </w:rPr>
        <w:t>Biol</w:t>
      </w:r>
      <w:proofErr w:type="spellEnd"/>
      <w:r w:rsidRPr="00982193">
        <w:rPr>
          <w:rFonts w:ascii="Verdana" w:hAnsi="Verdana"/>
        </w:rPr>
        <w:t xml:space="preserve"> </w:t>
      </w:r>
      <w:proofErr w:type="spellStart"/>
      <w:r w:rsidRPr="00982193">
        <w:rPr>
          <w:rFonts w:ascii="Verdana" w:hAnsi="Verdana"/>
        </w:rPr>
        <w:t>Sci</w:t>
      </w:r>
      <w:proofErr w:type="spellEnd"/>
      <w:r w:rsidRPr="00982193">
        <w:rPr>
          <w:rFonts w:ascii="Verdana" w:hAnsi="Verdana"/>
        </w:rPr>
        <w:t xml:space="preserve"> Med </w:t>
      </w:r>
      <w:proofErr w:type="spellStart"/>
      <w:r w:rsidRPr="00982193">
        <w:rPr>
          <w:rFonts w:ascii="Verdana" w:hAnsi="Verdana"/>
        </w:rPr>
        <w:t>Sci</w:t>
      </w:r>
      <w:proofErr w:type="spellEnd"/>
      <w:r w:rsidRPr="00982193">
        <w:rPr>
          <w:rFonts w:ascii="Verdana" w:hAnsi="Verdana"/>
        </w:rPr>
        <w:t xml:space="preserve"> 2006; 61: 702 - 706</w:t>
      </w:r>
    </w:p>
    <w:p w:rsidR="00992552" w:rsidRPr="00982193" w:rsidRDefault="005C7484" w:rsidP="00C75E12">
      <w:pPr>
        <w:pStyle w:val="ListParagraph"/>
        <w:numPr>
          <w:ilvl w:val="0"/>
          <w:numId w:val="22"/>
        </w:numPr>
        <w:spacing w:after="0" w:line="360" w:lineRule="auto"/>
        <w:jc w:val="both"/>
        <w:rPr>
          <w:rFonts w:ascii="Verdana" w:hAnsi="Verdana"/>
        </w:rPr>
      </w:pPr>
      <w:r w:rsidRPr="00982193">
        <w:rPr>
          <w:rFonts w:ascii="Verdana" w:hAnsi="Verdana"/>
        </w:rPr>
        <w:t xml:space="preserve"> Aihie Sayer A, Syddall HE, Martin HJ, Dennison EM, Anderson FH, Cooper C. Falls, sarcopenia and growth in early life: findings from the Hertfordshire Cohort Study Am J </w:t>
      </w:r>
      <w:proofErr w:type="spellStart"/>
      <w:r w:rsidRPr="00982193">
        <w:rPr>
          <w:rFonts w:ascii="Verdana" w:hAnsi="Verdana"/>
        </w:rPr>
        <w:t>Epidemiol</w:t>
      </w:r>
      <w:proofErr w:type="spellEnd"/>
      <w:r w:rsidRPr="00982193">
        <w:rPr>
          <w:rFonts w:ascii="Verdana" w:hAnsi="Verdana"/>
        </w:rPr>
        <w:t xml:space="preserve"> 2006; 164: 665-71</w:t>
      </w:r>
    </w:p>
    <w:p w:rsidR="00276300" w:rsidRDefault="00276300" w:rsidP="00C75E12">
      <w:pPr>
        <w:pStyle w:val="ListParagraph"/>
        <w:numPr>
          <w:ilvl w:val="0"/>
          <w:numId w:val="22"/>
        </w:numPr>
        <w:spacing w:after="0" w:line="360" w:lineRule="auto"/>
        <w:jc w:val="both"/>
        <w:rPr>
          <w:rFonts w:ascii="Verdana" w:hAnsi="Verdana"/>
        </w:rPr>
      </w:pPr>
      <w:r w:rsidRPr="003F6C3C">
        <w:rPr>
          <w:rFonts w:ascii="Verdana" w:hAnsi="Verdana"/>
        </w:rPr>
        <w:t xml:space="preserve">Rizzoli R, Reginster JY, </w:t>
      </w:r>
      <w:proofErr w:type="spellStart"/>
      <w:r w:rsidRPr="003F6C3C">
        <w:rPr>
          <w:rFonts w:ascii="Verdana" w:hAnsi="Verdana"/>
        </w:rPr>
        <w:t>Arnal</w:t>
      </w:r>
      <w:proofErr w:type="spellEnd"/>
      <w:r w:rsidRPr="003F6C3C">
        <w:rPr>
          <w:rFonts w:ascii="Verdana" w:hAnsi="Verdana"/>
        </w:rPr>
        <w:t xml:space="preserve"> JF, </w:t>
      </w:r>
      <w:proofErr w:type="spellStart"/>
      <w:r w:rsidRPr="003F6C3C">
        <w:rPr>
          <w:rFonts w:ascii="Verdana" w:hAnsi="Verdana"/>
        </w:rPr>
        <w:t>Bautmans</w:t>
      </w:r>
      <w:proofErr w:type="spellEnd"/>
      <w:r w:rsidRPr="003F6C3C">
        <w:rPr>
          <w:rFonts w:ascii="Verdana" w:hAnsi="Verdana"/>
        </w:rPr>
        <w:t xml:space="preserve"> I, </w:t>
      </w:r>
      <w:proofErr w:type="spellStart"/>
      <w:r w:rsidRPr="003F6C3C">
        <w:rPr>
          <w:rFonts w:ascii="Verdana" w:hAnsi="Verdana"/>
        </w:rPr>
        <w:t>Beaudart</w:t>
      </w:r>
      <w:proofErr w:type="spellEnd"/>
      <w:r w:rsidRPr="003F6C3C">
        <w:rPr>
          <w:rFonts w:ascii="Verdana" w:hAnsi="Verdana"/>
        </w:rPr>
        <w:t xml:space="preserve"> C, Bischoff-Ferrari H, </w:t>
      </w:r>
      <w:proofErr w:type="spellStart"/>
      <w:r w:rsidRPr="003F6C3C">
        <w:rPr>
          <w:rFonts w:ascii="Verdana" w:hAnsi="Verdana"/>
        </w:rPr>
        <w:t>Biver</w:t>
      </w:r>
      <w:proofErr w:type="spellEnd"/>
      <w:r w:rsidRPr="003F6C3C">
        <w:rPr>
          <w:rFonts w:ascii="Verdana" w:hAnsi="Verdana"/>
        </w:rPr>
        <w:t xml:space="preserve"> E, Boonen S, Brandi ML, Chines A, Cooper C, Epstein S, Fielding RA, </w:t>
      </w:r>
      <w:proofErr w:type="spellStart"/>
      <w:r w:rsidRPr="003F6C3C">
        <w:rPr>
          <w:rFonts w:ascii="Verdana" w:hAnsi="Verdana"/>
        </w:rPr>
        <w:t>Goodpaster</w:t>
      </w:r>
      <w:proofErr w:type="spellEnd"/>
      <w:r w:rsidRPr="003F6C3C">
        <w:rPr>
          <w:rFonts w:ascii="Verdana" w:hAnsi="Verdana"/>
        </w:rPr>
        <w:t xml:space="preserve"> B, Kanis JA, Kaufman JM, </w:t>
      </w:r>
      <w:proofErr w:type="spellStart"/>
      <w:r w:rsidRPr="003F6C3C">
        <w:rPr>
          <w:rFonts w:ascii="Verdana" w:hAnsi="Verdana"/>
        </w:rPr>
        <w:t>Laslop</w:t>
      </w:r>
      <w:proofErr w:type="spellEnd"/>
      <w:r w:rsidRPr="003F6C3C">
        <w:rPr>
          <w:rFonts w:ascii="Verdana" w:hAnsi="Verdana"/>
        </w:rPr>
        <w:t xml:space="preserve"> A, </w:t>
      </w:r>
      <w:proofErr w:type="spellStart"/>
      <w:r w:rsidRPr="003F6C3C">
        <w:rPr>
          <w:rFonts w:ascii="Verdana" w:hAnsi="Verdana"/>
        </w:rPr>
        <w:t>Malafarina</w:t>
      </w:r>
      <w:proofErr w:type="spellEnd"/>
      <w:r w:rsidRPr="003F6C3C">
        <w:rPr>
          <w:rFonts w:ascii="Verdana" w:hAnsi="Verdana"/>
        </w:rPr>
        <w:t xml:space="preserve"> V, Rodriguez </w:t>
      </w:r>
      <w:proofErr w:type="spellStart"/>
      <w:r w:rsidRPr="003F6C3C">
        <w:rPr>
          <w:rFonts w:ascii="Verdana" w:hAnsi="Verdana"/>
        </w:rPr>
        <w:t>Manas</w:t>
      </w:r>
      <w:proofErr w:type="spellEnd"/>
      <w:r w:rsidRPr="003F6C3C">
        <w:rPr>
          <w:rFonts w:ascii="Verdana" w:hAnsi="Verdana"/>
        </w:rPr>
        <w:t xml:space="preserve"> L, </w:t>
      </w:r>
      <w:proofErr w:type="spellStart"/>
      <w:r w:rsidRPr="003F6C3C">
        <w:rPr>
          <w:rFonts w:ascii="Verdana" w:hAnsi="Verdana"/>
        </w:rPr>
        <w:t>Mitlak</w:t>
      </w:r>
      <w:proofErr w:type="spellEnd"/>
      <w:r w:rsidRPr="003F6C3C">
        <w:rPr>
          <w:rFonts w:ascii="Verdana" w:hAnsi="Verdana"/>
        </w:rPr>
        <w:t xml:space="preserve"> BH, </w:t>
      </w:r>
      <w:proofErr w:type="spellStart"/>
      <w:r w:rsidRPr="003F6C3C">
        <w:rPr>
          <w:rFonts w:ascii="Verdana" w:hAnsi="Verdana"/>
        </w:rPr>
        <w:t>Oreffo</w:t>
      </w:r>
      <w:proofErr w:type="spellEnd"/>
      <w:r w:rsidRPr="003F6C3C">
        <w:rPr>
          <w:rFonts w:ascii="Verdana" w:hAnsi="Verdana"/>
        </w:rPr>
        <w:t xml:space="preserve"> RO, </w:t>
      </w:r>
      <w:proofErr w:type="spellStart"/>
      <w:r w:rsidRPr="003F6C3C">
        <w:rPr>
          <w:rFonts w:ascii="Verdana" w:hAnsi="Verdana"/>
        </w:rPr>
        <w:t>Petermans</w:t>
      </w:r>
      <w:proofErr w:type="spellEnd"/>
      <w:r w:rsidRPr="003F6C3C">
        <w:rPr>
          <w:rFonts w:ascii="Verdana" w:hAnsi="Verdana"/>
        </w:rPr>
        <w:t xml:space="preserve"> J, Reid K, Rolland Y, Sayer AA, </w:t>
      </w:r>
      <w:proofErr w:type="spellStart"/>
      <w:r w:rsidRPr="003F6C3C">
        <w:rPr>
          <w:rFonts w:ascii="Verdana" w:hAnsi="Verdana"/>
        </w:rPr>
        <w:t>Tsouderos</w:t>
      </w:r>
      <w:proofErr w:type="spellEnd"/>
      <w:r w:rsidRPr="003F6C3C">
        <w:rPr>
          <w:rFonts w:ascii="Verdana" w:hAnsi="Verdana"/>
        </w:rPr>
        <w:t xml:space="preserve"> Y, </w:t>
      </w:r>
      <w:proofErr w:type="spellStart"/>
      <w:r w:rsidRPr="003F6C3C">
        <w:rPr>
          <w:rFonts w:ascii="Verdana" w:hAnsi="Verdana"/>
        </w:rPr>
        <w:t>Visser</w:t>
      </w:r>
      <w:proofErr w:type="spellEnd"/>
      <w:r w:rsidRPr="003F6C3C">
        <w:rPr>
          <w:rFonts w:ascii="Verdana" w:hAnsi="Verdana"/>
        </w:rPr>
        <w:t xml:space="preserve"> M, </w:t>
      </w:r>
      <w:proofErr w:type="spellStart"/>
      <w:r w:rsidRPr="003F6C3C">
        <w:rPr>
          <w:rFonts w:ascii="Verdana" w:hAnsi="Verdana"/>
        </w:rPr>
        <w:t>Bruyere</w:t>
      </w:r>
      <w:proofErr w:type="spellEnd"/>
      <w:r w:rsidRPr="003F6C3C">
        <w:rPr>
          <w:rFonts w:ascii="Verdana" w:hAnsi="Verdana"/>
        </w:rPr>
        <w:t xml:space="preserve"> O. Quality of life in sarcopenia and frailty. </w:t>
      </w:r>
      <w:proofErr w:type="spellStart"/>
      <w:r w:rsidRPr="003F6C3C">
        <w:rPr>
          <w:rFonts w:ascii="Verdana" w:hAnsi="Verdana"/>
        </w:rPr>
        <w:t>Calcif</w:t>
      </w:r>
      <w:proofErr w:type="spellEnd"/>
      <w:r w:rsidRPr="003F6C3C">
        <w:rPr>
          <w:rFonts w:ascii="Verdana" w:hAnsi="Verdana"/>
        </w:rPr>
        <w:t xml:space="preserve"> Tissue </w:t>
      </w:r>
      <w:proofErr w:type="spellStart"/>
      <w:r w:rsidRPr="003F6C3C">
        <w:rPr>
          <w:rFonts w:ascii="Verdana" w:hAnsi="Verdana"/>
        </w:rPr>
        <w:t>Int</w:t>
      </w:r>
      <w:proofErr w:type="spellEnd"/>
      <w:r w:rsidRPr="003F6C3C">
        <w:rPr>
          <w:rFonts w:ascii="Verdana" w:hAnsi="Verdana"/>
        </w:rPr>
        <w:t xml:space="preserve"> 2013; 93: 101-120</w:t>
      </w:r>
    </w:p>
    <w:p w:rsidR="003F6C3C" w:rsidRPr="0060064B" w:rsidRDefault="003F6C3C" w:rsidP="00C75E12">
      <w:pPr>
        <w:numPr>
          <w:ilvl w:val="0"/>
          <w:numId w:val="22"/>
        </w:numPr>
        <w:tabs>
          <w:tab w:val="left" w:pos="2160"/>
          <w:tab w:val="left" w:pos="7560"/>
        </w:tabs>
        <w:spacing w:before="120" w:after="0" w:line="360" w:lineRule="auto"/>
        <w:rPr>
          <w:rFonts w:ascii="Verdana" w:hAnsi="Verdana"/>
          <w:iCs/>
          <w:highlight w:val="yellow"/>
        </w:rPr>
      </w:pPr>
      <w:r w:rsidRPr="003F6C3C">
        <w:rPr>
          <w:rFonts w:ascii="Verdana" w:hAnsi="Verdana"/>
          <w:iCs/>
        </w:rPr>
        <w:t xml:space="preserve">Dennison EM, Jameson KA, </w:t>
      </w:r>
      <w:proofErr w:type="spellStart"/>
      <w:r w:rsidRPr="003F6C3C">
        <w:rPr>
          <w:rFonts w:ascii="Verdana" w:hAnsi="Verdana"/>
          <w:iCs/>
        </w:rPr>
        <w:t>Sydall</w:t>
      </w:r>
      <w:proofErr w:type="spellEnd"/>
      <w:r w:rsidRPr="003F6C3C">
        <w:rPr>
          <w:rFonts w:ascii="Verdana" w:hAnsi="Verdana"/>
          <w:iCs/>
        </w:rPr>
        <w:t xml:space="preserve"> HE, Martin HJ, Cushnaghan J, Aihie </w:t>
      </w:r>
      <w:r w:rsidRPr="003270DB">
        <w:rPr>
          <w:rFonts w:ascii="Verdana" w:hAnsi="Verdana"/>
          <w:iCs/>
        </w:rPr>
        <w:t>Sayer A, Cooper C. Bone health and deterioration in quality of life among</w:t>
      </w:r>
      <w:r w:rsidRPr="003F6C3C">
        <w:rPr>
          <w:rFonts w:ascii="Verdana" w:hAnsi="Verdana"/>
          <w:iCs/>
        </w:rPr>
        <w:t xml:space="preserve"> </w:t>
      </w:r>
      <w:r w:rsidRPr="00AA5643">
        <w:rPr>
          <w:rFonts w:ascii="Verdana" w:hAnsi="Verdana"/>
          <w:iCs/>
        </w:rPr>
        <w:t xml:space="preserve">participants from the Hertfordshire Cohort Study. Osteoporosis </w:t>
      </w:r>
      <w:proofErr w:type="spellStart"/>
      <w:r w:rsidRPr="00AA5643">
        <w:rPr>
          <w:rFonts w:ascii="Verdana" w:hAnsi="Verdana"/>
          <w:iCs/>
        </w:rPr>
        <w:t>Int</w:t>
      </w:r>
      <w:proofErr w:type="spellEnd"/>
      <w:r w:rsidRPr="00AA5643">
        <w:rPr>
          <w:rFonts w:ascii="Verdana" w:hAnsi="Verdana"/>
          <w:iCs/>
        </w:rPr>
        <w:t xml:space="preserve"> 2009</w:t>
      </w:r>
      <w:r w:rsidR="00AA5643" w:rsidRPr="00AA5643">
        <w:rPr>
          <w:rFonts w:ascii="Verdana" w:hAnsi="Verdana"/>
          <w:iCs/>
        </w:rPr>
        <w:t>;</w:t>
      </w:r>
      <w:r w:rsidR="00AA5643">
        <w:rPr>
          <w:rFonts w:ascii="Verdana" w:hAnsi="Verdana"/>
          <w:iCs/>
        </w:rPr>
        <w:t xml:space="preserve"> 21(11): 1817-24</w:t>
      </w:r>
      <w:r w:rsidRPr="003F6C3C">
        <w:rPr>
          <w:rFonts w:ascii="Verdana" w:hAnsi="Verdana"/>
          <w:iCs/>
        </w:rPr>
        <w:t xml:space="preserve"> </w:t>
      </w:r>
    </w:p>
    <w:p w:rsidR="00992552" w:rsidRPr="00AA5643" w:rsidRDefault="009B4E67" w:rsidP="00C75E12">
      <w:pPr>
        <w:pStyle w:val="ListParagraph"/>
        <w:numPr>
          <w:ilvl w:val="0"/>
          <w:numId w:val="22"/>
        </w:numPr>
        <w:spacing w:after="0" w:line="360" w:lineRule="auto"/>
        <w:jc w:val="both"/>
        <w:rPr>
          <w:rFonts w:ascii="Verdana" w:hAnsi="Verdana"/>
        </w:rPr>
      </w:pPr>
      <w:r w:rsidRPr="00B42C20">
        <w:rPr>
          <w:rFonts w:ascii="Verdana" w:hAnsi="Verdana"/>
        </w:rPr>
        <w:t xml:space="preserve">Winner SJ, Morgan CA, Evans JG. </w:t>
      </w:r>
      <w:proofErr w:type="spellStart"/>
      <w:r w:rsidRPr="00B42C20">
        <w:rPr>
          <w:rFonts w:ascii="Verdana" w:hAnsi="Verdana"/>
        </w:rPr>
        <w:t>Perimenopausal</w:t>
      </w:r>
      <w:proofErr w:type="spellEnd"/>
      <w:r w:rsidRPr="00B42C20">
        <w:rPr>
          <w:rFonts w:ascii="Verdana" w:hAnsi="Verdana"/>
        </w:rPr>
        <w:t xml:space="preserve"> risk of falling and</w:t>
      </w:r>
      <w:r w:rsidRPr="003F6C3C">
        <w:rPr>
          <w:rFonts w:ascii="Verdana" w:hAnsi="Verdana"/>
        </w:rPr>
        <w:t xml:space="preserve"> </w:t>
      </w:r>
      <w:r w:rsidRPr="003270DB">
        <w:rPr>
          <w:rFonts w:ascii="Verdana" w:hAnsi="Verdana"/>
        </w:rPr>
        <w:t>incidence of distal forearm fracture. British Medical Journal 1989;298:</w:t>
      </w:r>
      <w:r w:rsidRPr="003F6C3C">
        <w:rPr>
          <w:rFonts w:ascii="Verdana" w:hAnsi="Verdana"/>
        </w:rPr>
        <w:t xml:space="preserve"> </w:t>
      </w:r>
      <w:r w:rsidRPr="00AA5643">
        <w:rPr>
          <w:rFonts w:ascii="Verdana" w:hAnsi="Verdana"/>
        </w:rPr>
        <w:t>2486-8</w:t>
      </w:r>
      <w:r w:rsidR="00992552" w:rsidRPr="00AA5643">
        <w:rPr>
          <w:rFonts w:ascii="Verdana" w:hAnsi="Verdana"/>
        </w:rPr>
        <w:t xml:space="preserve"> </w:t>
      </w:r>
    </w:p>
    <w:p w:rsidR="00992552" w:rsidRPr="00982193" w:rsidRDefault="00992552" w:rsidP="00C75E12">
      <w:pPr>
        <w:numPr>
          <w:ilvl w:val="0"/>
          <w:numId w:val="22"/>
        </w:numPr>
        <w:spacing w:after="0" w:line="360" w:lineRule="auto"/>
        <w:jc w:val="both"/>
        <w:rPr>
          <w:rFonts w:ascii="Verdana" w:hAnsi="Verdana"/>
        </w:rPr>
      </w:pPr>
      <w:proofErr w:type="spellStart"/>
      <w:r w:rsidRPr="003F6C3C">
        <w:rPr>
          <w:rFonts w:ascii="Verdana" w:hAnsi="Verdana"/>
        </w:rPr>
        <w:t>Pakkari</w:t>
      </w:r>
      <w:proofErr w:type="spellEnd"/>
      <w:r w:rsidRPr="003F6C3C">
        <w:rPr>
          <w:rFonts w:ascii="Verdana" w:hAnsi="Verdana"/>
        </w:rPr>
        <w:t xml:space="preserve"> J, </w:t>
      </w:r>
      <w:proofErr w:type="spellStart"/>
      <w:r w:rsidRPr="003F6C3C">
        <w:rPr>
          <w:rFonts w:ascii="Verdana" w:hAnsi="Verdana"/>
        </w:rPr>
        <w:t>Kannus</w:t>
      </w:r>
      <w:proofErr w:type="spellEnd"/>
      <w:r w:rsidRPr="003F6C3C">
        <w:rPr>
          <w:rFonts w:ascii="Verdana" w:hAnsi="Verdana"/>
        </w:rPr>
        <w:t xml:space="preserve"> P, </w:t>
      </w:r>
      <w:proofErr w:type="spellStart"/>
      <w:r w:rsidRPr="003F6C3C">
        <w:rPr>
          <w:rFonts w:ascii="Verdana" w:hAnsi="Verdana"/>
        </w:rPr>
        <w:t>Palvanen</w:t>
      </w:r>
      <w:proofErr w:type="spellEnd"/>
      <w:r w:rsidRPr="003F6C3C">
        <w:rPr>
          <w:rFonts w:ascii="Verdana" w:hAnsi="Verdana"/>
        </w:rPr>
        <w:t xml:space="preserve"> M et al. Majority</w:t>
      </w:r>
      <w:r w:rsidRPr="00982193">
        <w:rPr>
          <w:rFonts w:ascii="Verdana" w:hAnsi="Verdana"/>
        </w:rPr>
        <w:t xml:space="preserve"> of hip fractures occur as a result of a fall and impact on the greater trochanter of the femur: a prospective controlled hip fracture study with 206 consecutive patients. Calcified Tissue International 1999; 65:183-187.</w:t>
      </w:r>
    </w:p>
    <w:p w:rsidR="009B4E67" w:rsidRPr="00982193" w:rsidRDefault="009B4E67" w:rsidP="00C75E12">
      <w:pPr>
        <w:numPr>
          <w:ilvl w:val="0"/>
          <w:numId w:val="22"/>
        </w:numPr>
        <w:spacing w:after="0" w:line="360" w:lineRule="auto"/>
        <w:jc w:val="both"/>
        <w:rPr>
          <w:rFonts w:ascii="Verdana" w:hAnsi="Verdana"/>
        </w:rPr>
      </w:pPr>
      <w:r w:rsidRPr="00982193">
        <w:rPr>
          <w:rFonts w:ascii="Verdana" w:hAnsi="Verdana"/>
        </w:rPr>
        <w:t xml:space="preserve">Liu B, Anderson G, </w:t>
      </w:r>
      <w:proofErr w:type="spellStart"/>
      <w:r w:rsidRPr="00982193">
        <w:rPr>
          <w:rFonts w:ascii="Verdana" w:hAnsi="Verdana"/>
        </w:rPr>
        <w:t>Mittmann</w:t>
      </w:r>
      <w:proofErr w:type="spellEnd"/>
      <w:r w:rsidRPr="00982193">
        <w:rPr>
          <w:rFonts w:ascii="Verdana" w:hAnsi="Verdana"/>
        </w:rPr>
        <w:t xml:space="preserve"> N, To T, </w:t>
      </w:r>
      <w:proofErr w:type="spellStart"/>
      <w:r w:rsidRPr="00982193">
        <w:rPr>
          <w:rFonts w:ascii="Verdana" w:hAnsi="Verdana"/>
        </w:rPr>
        <w:t>Axcell</w:t>
      </w:r>
      <w:proofErr w:type="spellEnd"/>
      <w:r w:rsidRPr="00982193">
        <w:rPr>
          <w:rFonts w:ascii="Verdana" w:hAnsi="Verdana"/>
        </w:rPr>
        <w:t xml:space="preserve"> T, Shear N. Use of selective Serotonin-reuptake inhibitors or tricyclic antidepressants and risk of hip fractures in elderly people. Lancet 1998; 351: 1303-1307</w:t>
      </w:r>
    </w:p>
    <w:p w:rsidR="009B4E67" w:rsidRPr="00982193" w:rsidRDefault="009B4E67" w:rsidP="00C75E12">
      <w:pPr>
        <w:numPr>
          <w:ilvl w:val="0"/>
          <w:numId w:val="22"/>
        </w:numPr>
        <w:spacing w:after="0" w:line="360" w:lineRule="auto"/>
        <w:jc w:val="both"/>
        <w:rPr>
          <w:rFonts w:ascii="Verdana" w:hAnsi="Verdana"/>
        </w:rPr>
      </w:pPr>
      <w:r w:rsidRPr="00982193">
        <w:rPr>
          <w:rFonts w:ascii="Verdana" w:hAnsi="Verdana"/>
        </w:rPr>
        <w:t>Cumming RG. Epidemiology of medication-related falls and fractures in the elderly. Drugs Aging 1998; 12: 43-53</w:t>
      </w:r>
    </w:p>
    <w:p w:rsidR="002A703D" w:rsidRPr="00982193" w:rsidRDefault="002A703D" w:rsidP="002A703D">
      <w:pPr>
        <w:spacing w:after="0" w:line="360" w:lineRule="auto"/>
        <w:jc w:val="both"/>
        <w:rPr>
          <w:rFonts w:ascii="Verdana" w:hAnsi="Verdana"/>
        </w:rPr>
      </w:pPr>
    </w:p>
    <w:p w:rsidR="002A703D" w:rsidRPr="00982193" w:rsidRDefault="002A703D" w:rsidP="002A703D">
      <w:pPr>
        <w:spacing w:after="0" w:line="360" w:lineRule="auto"/>
        <w:jc w:val="both"/>
        <w:rPr>
          <w:rFonts w:ascii="Verdana" w:hAnsi="Verdana"/>
        </w:rPr>
      </w:pPr>
    </w:p>
    <w:p w:rsidR="00F8201D" w:rsidRPr="00982193" w:rsidRDefault="00F8201D" w:rsidP="00F8201D">
      <w:pPr>
        <w:pStyle w:val="ListParagraph"/>
        <w:spacing w:after="0" w:line="360" w:lineRule="auto"/>
        <w:ind w:left="735"/>
        <w:jc w:val="both"/>
        <w:rPr>
          <w:rFonts w:ascii="Verdana" w:hAnsi="Verdana"/>
        </w:rPr>
      </w:pPr>
    </w:p>
    <w:p w:rsidR="009B4E67" w:rsidRPr="00982193" w:rsidRDefault="009B4E67" w:rsidP="00C75E12">
      <w:pPr>
        <w:pStyle w:val="BodyText"/>
        <w:numPr>
          <w:ilvl w:val="0"/>
          <w:numId w:val="22"/>
        </w:numPr>
        <w:tabs>
          <w:tab w:val="right" w:pos="360"/>
          <w:tab w:val="left" w:pos="540"/>
        </w:tabs>
        <w:spacing w:after="240" w:line="360" w:lineRule="auto"/>
        <w:jc w:val="both"/>
        <w:rPr>
          <w:rFonts w:ascii="Verdana" w:hAnsi="Verdana"/>
          <w:sz w:val="22"/>
          <w:szCs w:val="22"/>
          <w:u w:val="none"/>
        </w:rPr>
      </w:pPr>
      <w:r w:rsidRPr="00982193">
        <w:rPr>
          <w:rFonts w:ascii="Verdana" w:hAnsi="Verdana"/>
          <w:sz w:val="22"/>
          <w:szCs w:val="22"/>
        </w:rPr>
        <w:br w:type="page"/>
      </w:r>
      <w:r w:rsidRPr="00982193">
        <w:rPr>
          <w:rFonts w:ascii="Verdana" w:hAnsi="Verdana"/>
          <w:sz w:val="22"/>
          <w:szCs w:val="22"/>
          <w:u w:val="none"/>
        </w:rPr>
        <w:lastRenderedPageBreak/>
        <w:t>Table 1</w:t>
      </w:r>
    </w:p>
    <w:p w:rsidR="009B4E67" w:rsidRPr="00982193" w:rsidRDefault="00CB0809" w:rsidP="003A2C3E">
      <w:pPr>
        <w:pStyle w:val="BodyText"/>
        <w:tabs>
          <w:tab w:val="right" w:pos="360"/>
          <w:tab w:val="left" w:pos="540"/>
        </w:tabs>
        <w:spacing w:after="240" w:line="360" w:lineRule="auto"/>
        <w:ind w:left="540" w:hanging="540"/>
        <w:jc w:val="both"/>
        <w:rPr>
          <w:rFonts w:ascii="Verdana" w:hAnsi="Verdana"/>
          <w:sz w:val="22"/>
          <w:szCs w:val="22"/>
          <w:u w:val="none"/>
        </w:rPr>
      </w:pPr>
      <w:r w:rsidRPr="00982193">
        <w:rPr>
          <w:rFonts w:ascii="Verdana" w:hAnsi="Verdana"/>
          <w:sz w:val="22"/>
          <w:szCs w:val="22"/>
          <w:u w:val="none"/>
        </w:rPr>
        <w:t>Risk factors for muscle and bone aging</w:t>
      </w:r>
    </w:p>
    <w:p w:rsidR="00852409" w:rsidRPr="00982193" w:rsidRDefault="00852409" w:rsidP="00852409">
      <w:pPr>
        <w:pStyle w:val="BodyText"/>
        <w:tabs>
          <w:tab w:val="right" w:pos="360"/>
          <w:tab w:val="left" w:pos="540"/>
        </w:tabs>
        <w:spacing w:after="240" w:line="360" w:lineRule="auto"/>
        <w:ind w:left="540" w:hanging="540"/>
        <w:jc w:val="both"/>
        <w:rPr>
          <w:rFonts w:ascii="Verdana" w:hAnsi="Verdana"/>
          <w:sz w:val="22"/>
          <w:szCs w:val="22"/>
          <w:u w:val="none"/>
        </w:rPr>
      </w:pPr>
      <w:r w:rsidRPr="00982193">
        <w:rPr>
          <w:rFonts w:ascii="Verdana" w:hAnsi="Verdana"/>
          <w:sz w:val="22"/>
          <w:szCs w:val="22"/>
          <w:u w:val="none"/>
        </w:rPr>
        <w:t>Key: Risk factor for both muscle and bone aging</w:t>
      </w:r>
    </w:p>
    <w:p w:rsidR="00852409" w:rsidRPr="00982193" w:rsidRDefault="00852409" w:rsidP="00852409">
      <w:pPr>
        <w:pStyle w:val="BodyText"/>
        <w:tabs>
          <w:tab w:val="right" w:pos="360"/>
          <w:tab w:val="left" w:pos="540"/>
        </w:tabs>
        <w:spacing w:after="240" w:line="360" w:lineRule="auto"/>
        <w:ind w:left="540" w:hanging="540"/>
        <w:jc w:val="both"/>
        <w:rPr>
          <w:rFonts w:ascii="Verdana" w:hAnsi="Verdana"/>
          <w:b w:val="0"/>
          <w:sz w:val="22"/>
          <w:szCs w:val="22"/>
          <w:u w:val="none"/>
        </w:rPr>
      </w:pPr>
      <w:r w:rsidRPr="00982193">
        <w:rPr>
          <w:rFonts w:ascii="Verdana" w:hAnsi="Verdana"/>
          <w:sz w:val="22"/>
          <w:szCs w:val="22"/>
          <w:u w:val="none"/>
        </w:rPr>
        <w:tab/>
      </w:r>
      <w:r w:rsidRPr="00982193">
        <w:rPr>
          <w:rFonts w:ascii="Verdana" w:hAnsi="Verdana"/>
          <w:sz w:val="22"/>
          <w:szCs w:val="22"/>
          <w:u w:val="none"/>
        </w:rPr>
        <w:tab/>
      </w:r>
      <w:r w:rsidRPr="00982193">
        <w:rPr>
          <w:rFonts w:ascii="Verdana" w:hAnsi="Verdana"/>
          <w:sz w:val="22"/>
          <w:szCs w:val="22"/>
          <w:u w:val="none"/>
        </w:rPr>
        <w:tab/>
      </w:r>
      <w:r w:rsidRPr="00982193">
        <w:rPr>
          <w:rFonts w:ascii="Verdana" w:hAnsi="Verdana"/>
          <w:b w:val="0"/>
          <w:sz w:val="22"/>
          <w:szCs w:val="22"/>
          <w:u w:val="none"/>
        </w:rPr>
        <w:t>Risk factor for muscle aging only</w:t>
      </w:r>
    </w:p>
    <w:p w:rsidR="00852409" w:rsidRPr="00982193" w:rsidRDefault="00852409" w:rsidP="00852409">
      <w:pPr>
        <w:pStyle w:val="BodyText"/>
        <w:tabs>
          <w:tab w:val="right" w:pos="360"/>
          <w:tab w:val="left" w:pos="540"/>
        </w:tabs>
        <w:spacing w:after="240" w:line="360" w:lineRule="auto"/>
        <w:ind w:left="540" w:hanging="540"/>
        <w:jc w:val="both"/>
        <w:rPr>
          <w:rFonts w:ascii="Verdana" w:hAnsi="Verdana"/>
          <w:b w:val="0"/>
          <w:i/>
          <w:sz w:val="22"/>
          <w:szCs w:val="22"/>
          <w:u w:val="none"/>
        </w:rPr>
      </w:pPr>
      <w:r w:rsidRPr="00982193">
        <w:rPr>
          <w:rFonts w:ascii="Verdana" w:hAnsi="Verdana"/>
          <w:sz w:val="22"/>
          <w:szCs w:val="22"/>
          <w:u w:val="none"/>
        </w:rPr>
        <w:tab/>
      </w:r>
      <w:r w:rsidRPr="00982193">
        <w:rPr>
          <w:rFonts w:ascii="Verdana" w:hAnsi="Verdana"/>
          <w:sz w:val="22"/>
          <w:szCs w:val="22"/>
          <w:u w:val="none"/>
        </w:rPr>
        <w:tab/>
      </w:r>
      <w:r w:rsidRPr="00982193">
        <w:rPr>
          <w:rFonts w:ascii="Verdana" w:hAnsi="Verdana"/>
          <w:sz w:val="22"/>
          <w:szCs w:val="22"/>
          <w:u w:val="none"/>
        </w:rPr>
        <w:tab/>
      </w:r>
      <w:r w:rsidRPr="00982193">
        <w:rPr>
          <w:rFonts w:ascii="Verdana" w:hAnsi="Verdana"/>
          <w:b w:val="0"/>
          <w:i/>
          <w:sz w:val="22"/>
          <w:szCs w:val="22"/>
          <w:u w:val="none"/>
        </w:rPr>
        <w:t>Risk factor bone aging only</w:t>
      </w:r>
    </w:p>
    <w:tbl>
      <w:tblPr>
        <w:tblW w:w="0" w:type="auto"/>
        <w:tblInd w:w="540"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3642"/>
        <w:gridCol w:w="3363"/>
      </w:tblGrid>
      <w:tr w:rsidR="00982193" w:rsidRPr="00982193" w:rsidTr="005B79EC">
        <w:tc>
          <w:tcPr>
            <w:tcW w:w="3642" w:type="dxa"/>
            <w:tcBorders>
              <w:bottom w:val="single" w:sz="6" w:space="0" w:color="008000"/>
            </w:tcBorders>
          </w:tcPr>
          <w:p w:rsidR="009B4E67" w:rsidRPr="00982193" w:rsidRDefault="009B4E67" w:rsidP="003A2C3E">
            <w:pPr>
              <w:pStyle w:val="BodyText"/>
              <w:tabs>
                <w:tab w:val="right" w:pos="360"/>
                <w:tab w:val="left" w:pos="540"/>
              </w:tabs>
              <w:spacing w:after="240" w:line="360" w:lineRule="auto"/>
              <w:jc w:val="both"/>
              <w:rPr>
                <w:rFonts w:ascii="Verdana" w:hAnsi="Verdana"/>
                <w:sz w:val="22"/>
                <w:szCs w:val="22"/>
                <w:u w:val="none"/>
              </w:rPr>
            </w:pPr>
            <w:r w:rsidRPr="00982193">
              <w:rPr>
                <w:rFonts w:ascii="Verdana" w:hAnsi="Verdana"/>
                <w:sz w:val="22"/>
                <w:szCs w:val="22"/>
                <w:u w:val="none"/>
              </w:rPr>
              <w:t>Constitutional</w:t>
            </w:r>
          </w:p>
        </w:tc>
        <w:tc>
          <w:tcPr>
            <w:tcW w:w="3363" w:type="dxa"/>
            <w:tcBorders>
              <w:bottom w:val="single" w:sz="6" w:space="0" w:color="008000"/>
            </w:tcBorders>
          </w:tcPr>
          <w:p w:rsidR="009B4E67" w:rsidRPr="00982193" w:rsidRDefault="009B4E67" w:rsidP="003A2C3E">
            <w:pPr>
              <w:pStyle w:val="BodyText"/>
              <w:tabs>
                <w:tab w:val="right" w:pos="360"/>
                <w:tab w:val="left" w:pos="540"/>
              </w:tabs>
              <w:spacing w:after="240" w:line="360" w:lineRule="auto"/>
              <w:jc w:val="both"/>
              <w:rPr>
                <w:rFonts w:ascii="Verdana" w:hAnsi="Verdana"/>
                <w:sz w:val="22"/>
                <w:szCs w:val="22"/>
                <w:u w:val="none"/>
              </w:rPr>
            </w:pPr>
            <w:r w:rsidRPr="00982193">
              <w:rPr>
                <w:rFonts w:ascii="Verdana" w:hAnsi="Verdana"/>
                <w:sz w:val="22"/>
                <w:szCs w:val="22"/>
                <w:u w:val="none"/>
              </w:rPr>
              <w:t>Lifestyle</w:t>
            </w:r>
          </w:p>
        </w:tc>
      </w:tr>
      <w:tr w:rsidR="00982193" w:rsidRPr="00982193" w:rsidTr="005B79EC">
        <w:tc>
          <w:tcPr>
            <w:tcW w:w="3642" w:type="dxa"/>
            <w:tcBorders>
              <w:top w:val="single" w:sz="6" w:space="0" w:color="008000"/>
            </w:tcBorders>
          </w:tcPr>
          <w:p w:rsidR="009B4E67" w:rsidRPr="00982193" w:rsidRDefault="009B4E67" w:rsidP="003A2C3E">
            <w:pPr>
              <w:pStyle w:val="BodyText"/>
              <w:tabs>
                <w:tab w:val="right" w:pos="360"/>
                <w:tab w:val="left" w:pos="540"/>
              </w:tabs>
              <w:spacing w:after="240" w:line="360" w:lineRule="auto"/>
              <w:jc w:val="both"/>
              <w:rPr>
                <w:rFonts w:ascii="Verdana" w:hAnsi="Verdana"/>
                <w:b w:val="0"/>
                <w:bCs w:val="0"/>
                <w:i/>
                <w:sz w:val="22"/>
                <w:szCs w:val="22"/>
                <w:u w:val="none"/>
              </w:rPr>
            </w:pPr>
            <w:r w:rsidRPr="00982193">
              <w:rPr>
                <w:rFonts w:ascii="Verdana" w:hAnsi="Verdana"/>
                <w:b w:val="0"/>
                <w:bCs w:val="0"/>
                <w:i/>
                <w:sz w:val="22"/>
                <w:szCs w:val="22"/>
                <w:u w:val="none"/>
              </w:rPr>
              <w:t>Female gender</w:t>
            </w:r>
          </w:p>
        </w:tc>
        <w:tc>
          <w:tcPr>
            <w:tcW w:w="3363" w:type="dxa"/>
            <w:tcBorders>
              <w:top w:val="single" w:sz="6" w:space="0" w:color="008000"/>
            </w:tcBorders>
          </w:tcPr>
          <w:p w:rsidR="009B4E67" w:rsidRPr="00982193" w:rsidRDefault="009B4E67" w:rsidP="003A2C3E">
            <w:pPr>
              <w:pStyle w:val="BodyText"/>
              <w:tabs>
                <w:tab w:val="right" w:pos="360"/>
                <w:tab w:val="left" w:pos="540"/>
              </w:tabs>
              <w:spacing w:after="240" w:line="360" w:lineRule="auto"/>
              <w:jc w:val="both"/>
              <w:rPr>
                <w:rFonts w:ascii="Verdana" w:hAnsi="Verdana"/>
                <w:bCs w:val="0"/>
                <w:sz w:val="22"/>
                <w:szCs w:val="22"/>
                <w:u w:val="none"/>
              </w:rPr>
            </w:pPr>
            <w:r w:rsidRPr="00982193">
              <w:rPr>
                <w:rFonts w:ascii="Verdana" w:hAnsi="Verdana"/>
                <w:bCs w:val="0"/>
                <w:sz w:val="22"/>
                <w:szCs w:val="22"/>
                <w:u w:val="none"/>
              </w:rPr>
              <w:t>Low body weight</w:t>
            </w:r>
          </w:p>
        </w:tc>
      </w:tr>
      <w:tr w:rsidR="00982193" w:rsidRPr="00982193" w:rsidTr="005B79EC">
        <w:tc>
          <w:tcPr>
            <w:tcW w:w="3642" w:type="dxa"/>
          </w:tcPr>
          <w:p w:rsidR="009B4E67" w:rsidRPr="00982193" w:rsidRDefault="009B4E67" w:rsidP="003A2C3E">
            <w:pPr>
              <w:pStyle w:val="BodyText"/>
              <w:tabs>
                <w:tab w:val="right" w:pos="360"/>
                <w:tab w:val="left" w:pos="540"/>
              </w:tabs>
              <w:spacing w:after="240" w:line="360" w:lineRule="auto"/>
              <w:jc w:val="both"/>
              <w:rPr>
                <w:rFonts w:ascii="Verdana" w:hAnsi="Verdana"/>
                <w:bCs w:val="0"/>
                <w:sz w:val="22"/>
                <w:szCs w:val="22"/>
                <w:u w:val="none"/>
              </w:rPr>
            </w:pPr>
            <w:r w:rsidRPr="00982193">
              <w:rPr>
                <w:rFonts w:ascii="Verdana" w:hAnsi="Verdana"/>
                <w:bCs w:val="0"/>
                <w:sz w:val="22"/>
                <w:szCs w:val="22"/>
                <w:u w:val="none"/>
              </w:rPr>
              <w:t>Age</w:t>
            </w:r>
          </w:p>
        </w:tc>
        <w:tc>
          <w:tcPr>
            <w:tcW w:w="3363" w:type="dxa"/>
          </w:tcPr>
          <w:p w:rsidR="009B4E67" w:rsidRPr="00982193" w:rsidRDefault="009B4E67" w:rsidP="003A2C3E">
            <w:pPr>
              <w:pStyle w:val="BodyText"/>
              <w:tabs>
                <w:tab w:val="right" w:pos="360"/>
                <w:tab w:val="left" w:pos="540"/>
              </w:tabs>
              <w:spacing w:after="240" w:line="360" w:lineRule="auto"/>
              <w:jc w:val="both"/>
              <w:rPr>
                <w:rFonts w:ascii="Verdana" w:hAnsi="Verdana"/>
                <w:bCs w:val="0"/>
                <w:sz w:val="22"/>
                <w:szCs w:val="22"/>
                <w:u w:val="none"/>
              </w:rPr>
            </w:pPr>
            <w:r w:rsidRPr="00982193">
              <w:rPr>
                <w:rFonts w:ascii="Verdana" w:hAnsi="Verdana"/>
                <w:bCs w:val="0"/>
                <w:sz w:val="22"/>
                <w:szCs w:val="22"/>
                <w:u w:val="none"/>
              </w:rPr>
              <w:t>Cigarette smoking</w:t>
            </w:r>
          </w:p>
        </w:tc>
      </w:tr>
      <w:tr w:rsidR="00982193" w:rsidRPr="00982193" w:rsidTr="005B79EC">
        <w:tc>
          <w:tcPr>
            <w:tcW w:w="3642" w:type="dxa"/>
          </w:tcPr>
          <w:p w:rsidR="009B4E67" w:rsidRPr="00982193" w:rsidRDefault="009B4E67" w:rsidP="003A2C3E">
            <w:pPr>
              <w:pStyle w:val="BodyText"/>
              <w:tabs>
                <w:tab w:val="right" w:pos="360"/>
                <w:tab w:val="left" w:pos="540"/>
              </w:tabs>
              <w:spacing w:after="240" w:line="360" w:lineRule="auto"/>
              <w:jc w:val="both"/>
              <w:rPr>
                <w:rFonts w:ascii="Verdana" w:hAnsi="Verdana"/>
                <w:b w:val="0"/>
                <w:bCs w:val="0"/>
                <w:i/>
                <w:sz w:val="22"/>
                <w:szCs w:val="22"/>
                <w:u w:val="none"/>
              </w:rPr>
            </w:pPr>
            <w:r w:rsidRPr="00982193">
              <w:rPr>
                <w:rFonts w:ascii="Verdana" w:hAnsi="Verdana"/>
                <w:b w:val="0"/>
                <w:bCs w:val="0"/>
                <w:i/>
                <w:sz w:val="22"/>
                <w:szCs w:val="22"/>
                <w:u w:val="none"/>
              </w:rPr>
              <w:t>Asian or Caucasian race</w:t>
            </w:r>
          </w:p>
        </w:tc>
        <w:tc>
          <w:tcPr>
            <w:tcW w:w="3363" w:type="dxa"/>
          </w:tcPr>
          <w:p w:rsidR="009B4E67" w:rsidRPr="00982193" w:rsidRDefault="009B4E67" w:rsidP="003A2C3E">
            <w:pPr>
              <w:pStyle w:val="BodyText"/>
              <w:tabs>
                <w:tab w:val="right" w:pos="360"/>
                <w:tab w:val="left" w:pos="540"/>
              </w:tabs>
              <w:spacing w:after="240" w:line="360" w:lineRule="auto"/>
              <w:jc w:val="both"/>
              <w:rPr>
                <w:rFonts w:ascii="Verdana" w:hAnsi="Verdana"/>
                <w:bCs w:val="0"/>
                <w:sz w:val="22"/>
                <w:szCs w:val="22"/>
                <w:u w:val="none"/>
              </w:rPr>
            </w:pPr>
            <w:r w:rsidRPr="00982193">
              <w:rPr>
                <w:rFonts w:ascii="Verdana" w:hAnsi="Verdana"/>
                <w:bCs w:val="0"/>
                <w:sz w:val="22"/>
                <w:szCs w:val="22"/>
                <w:u w:val="none"/>
              </w:rPr>
              <w:t>Excessive alcohol consumption</w:t>
            </w:r>
          </w:p>
        </w:tc>
      </w:tr>
      <w:tr w:rsidR="00982193" w:rsidRPr="00982193" w:rsidTr="005B79EC">
        <w:tc>
          <w:tcPr>
            <w:tcW w:w="3642" w:type="dxa"/>
          </w:tcPr>
          <w:p w:rsidR="009B4E67" w:rsidRPr="00982193" w:rsidRDefault="009B4E67" w:rsidP="003A2C3E">
            <w:pPr>
              <w:pStyle w:val="BodyText"/>
              <w:tabs>
                <w:tab w:val="right" w:pos="360"/>
                <w:tab w:val="left" w:pos="540"/>
              </w:tabs>
              <w:spacing w:after="240" w:line="360" w:lineRule="auto"/>
              <w:jc w:val="both"/>
              <w:rPr>
                <w:rFonts w:ascii="Verdana" w:hAnsi="Verdana"/>
                <w:bCs w:val="0"/>
                <w:sz w:val="22"/>
                <w:szCs w:val="22"/>
                <w:u w:val="none"/>
              </w:rPr>
            </w:pPr>
            <w:r w:rsidRPr="00982193">
              <w:rPr>
                <w:rFonts w:ascii="Verdana" w:hAnsi="Verdana"/>
                <w:bCs w:val="0"/>
                <w:sz w:val="22"/>
                <w:szCs w:val="22"/>
                <w:u w:val="none"/>
              </w:rPr>
              <w:t>Sex hormone deficiency</w:t>
            </w:r>
          </w:p>
        </w:tc>
        <w:tc>
          <w:tcPr>
            <w:tcW w:w="3363" w:type="dxa"/>
          </w:tcPr>
          <w:p w:rsidR="009B4E67" w:rsidRPr="00982193" w:rsidRDefault="00852409" w:rsidP="003A2C3E">
            <w:pPr>
              <w:pStyle w:val="BodyText"/>
              <w:tabs>
                <w:tab w:val="right" w:pos="360"/>
                <w:tab w:val="left" w:pos="540"/>
              </w:tabs>
              <w:spacing w:after="240" w:line="360" w:lineRule="auto"/>
              <w:jc w:val="both"/>
              <w:rPr>
                <w:rFonts w:ascii="Verdana" w:hAnsi="Verdana"/>
                <w:bCs w:val="0"/>
                <w:sz w:val="22"/>
                <w:szCs w:val="22"/>
                <w:u w:val="none"/>
              </w:rPr>
            </w:pPr>
            <w:r w:rsidRPr="00982193">
              <w:rPr>
                <w:rFonts w:ascii="Verdana" w:hAnsi="Verdana"/>
                <w:bCs w:val="0"/>
                <w:sz w:val="22"/>
                <w:szCs w:val="22"/>
                <w:u w:val="none"/>
              </w:rPr>
              <w:t>Prolong</w:t>
            </w:r>
            <w:r w:rsidR="009B4E67" w:rsidRPr="00982193">
              <w:rPr>
                <w:rFonts w:ascii="Verdana" w:hAnsi="Verdana"/>
                <w:bCs w:val="0"/>
                <w:sz w:val="22"/>
                <w:szCs w:val="22"/>
                <w:u w:val="none"/>
              </w:rPr>
              <w:t>ed immobilisation</w:t>
            </w:r>
          </w:p>
        </w:tc>
      </w:tr>
      <w:tr w:rsidR="00982193" w:rsidRPr="00982193" w:rsidTr="005B79EC">
        <w:tc>
          <w:tcPr>
            <w:tcW w:w="3642" w:type="dxa"/>
          </w:tcPr>
          <w:p w:rsidR="00CB0809" w:rsidRPr="00982193" w:rsidRDefault="00CB0809" w:rsidP="003A2C3E">
            <w:pPr>
              <w:pStyle w:val="BodyText"/>
              <w:tabs>
                <w:tab w:val="right" w:pos="360"/>
                <w:tab w:val="left" w:pos="540"/>
              </w:tabs>
              <w:spacing w:after="240" w:line="360" w:lineRule="auto"/>
              <w:jc w:val="both"/>
              <w:rPr>
                <w:rFonts w:ascii="Verdana" w:hAnsi="Verdana"/>
                <w:bCs w:val="0"/>
                <w:sz w:val="22"/>
                <w:szCs w:val="22"/>
                <w:u w:val="none"/>
              </w:rPr>
            </w:pPr>
            <w:r w:rsidRPr="00982193">
              <w:rPr>
                <w:rFonts w:ascii="Verdana" w:hAnsi="Verdana"/>
                <w:bCs w:val="0"/>
                <w:sz w:val="22"/>
                <w:szCs w:val="22"/>
                <w:u w:val="none"/>
              </w:rPr>
              <w:t>Early environment</w:t>
            </w:r>
          </w:p>
        </w:tc>
        <w:tc>
          <w:tcPr>
            <w:tcW w:w="3363" w:type="dxa"/>
          </w:tcPr>
          <w:p w:rsidR="00CB0809" w:rsidRPr="00982193" w:rsidRDefault="00CB0809" w:rsidP="003A2C3E">
            <w:pPr>
              <w:pStyle w:val="BodyText"/>
              <w:tabs>
                <w:tab w:val="right" w:pos="360"/>
                <w:tab w:val="left" w:pos="540"/>
              </w:tabs>
              <w:spacing w:after="240" w:line="360" w:lineRule="auto"/>
              <w:jc w:val="both"/>
              <w:rPr>
                <w:rFonts w:ascii="Verdana" w:hAnsi="Verdana"/>
                <w:b w:val="0"/>
                <w:bCs w:val="0"/>
                <w:i/>
                <w:sz w:val="22"/>
                <w:szCs w:val="22"/>
                <w:u w:val="none"/>
              </w:rPr>
            </w:pPr>
            <w:r w:rsidRPr="00982193">
              <w:rPr>
                <w:rFonts w:ascii="Verdana" w:hAnsi="Verdana"/>
                <w:b w:val="0"/>
                <w:bCs w:val="0"/>
                <w:i/>
                <w:sz w:val="22"/>
                <w:szCs w:val="22"/>
                <w:u w:val="none"/>
              </w:rPr>
              <w:t>Low dietary calcium intake</w:t>
            </w:r>
          </w:p>
        </w:tc>
      </w:tr>
      <w:tr w:rsidR="00982193" w:rsidRPr="00982193" w:rsidTr="005B79EC">
        <w:tc>
          <w:tcPr>
            <w:tcW w:w="3642" w:type="dxa"/>
          </w:tcPr>
          <w:p w:rsidR="00852409" w:rsidRPr="00982193" w:rsidRDefault="00852409" w:rsidP="003A2C3E">
            <w:pPr>
              <w:pStyle w:val="BodyText"/>
              <w:tabs>
                <w:tab w:val="right" w:pos="360"/>
                <w:tab w:val="left" w:pos="540"/>
              </w:tabs>
              <w:spacing w:after="240" w:line="360" w:lineRule="auto"/>
              <w:jc w:val="both"/>
              <w:rPr>
                <w:rFonts w:ascii="Verdana" w:hAnsi="Verdana"/>
                <w:bCs w:val="0"/>
                <w:sz w:val="22"/>
                <w:szCs w:val="22"/>
                <w:u w:val="none"/>
              </w:rPr>
            </w:pPr>
          </w:p>
        </w:tc>
        <w:tc>
          <w:tcPr>
            <w:tcW w:w="3363" w:type="dxa"/>
          </w:tcPr>
          <w:p w:rsidR="00852409" w:rsidRPr="00982193" w:rsidRDefault="00852409" w:rsidP="003A2C3E">
            <w:pPr>
              <w:pStyle w:val="BodyText"/>
              <w:tabs>
                <w:tab w:val="right" w:pos="360"/>
                <w:tab w:val="left" w:pos="540"/>
              </w:tabs>
              <w:spacing w:after="240" w:line="360" w:lineRule="auto"/>
              <w:jc w:val="both"/>
              <w:rPr>
                <w:rFonts w:ascii="Verdana" w:hAnsi="Verdana"/>
                <w:b w:val="0"/>
                <w:bCs w:val="0"/>
                <w:sz w:val="22"/>
                <w:szCs w:val="22"/>
                <w:u w:val="none"/>
              </w:rPr>
            </w:pPr>
            <w:r w:rsidRPr="00982193">
              <w:rPr>
                <w:rFonts w:ascii="Verdana" w:hAnsi="Verdana"/>
                <w:b w:val="0"/>
                <w:bCs w:val="0"/>
                <w:sz w:val="22"/>
                <w:szCs w:val="22"/>
                <w:u w:val="none"/>
              </w:rPr>
              <w:t>Low protein intake</w:t>
            </w:r>
          </w:p>
        </w:tc>
      </w:tr>
      <w:tr w:rsidR="00982193" w:rsidRPr="00982193" w:rsidTr="005B79EC">
        <w:tc>
          <w:tcPr>
            <w:tcW w:w="3642" w:type="dxa"/>
          </w:tcPr>
          <w:p w:rsidR="00CB0809" w:rsidRPr="00982193" w:rsidRDefault="00CB0809" w:rsidP="003A2C3E">
            <w:pPr>
              <w:pStyle w:val="BodyText"/>
              <w:tabs>
                <w:tab w:val="right" w:pos="360"/>
                <w:tab w:val="left" w:pos="540"/>
              </w:tabs>
              <w:spacing w:after="240" w:line="360" w:lineRule="auto"/>
              <w:jc w:val="both"/>
              <w:rPr>
                <w:rFonts w:ascii="Verdana" w:hAnsi="Verdana"/>
                <w:bCs w:val="0"/>
                <w:sz w:val="22"/>
                <w:szCs w:val="22"/>
                <w:u w:val="none"/>
              </w:rPr>
            </w:pPr>
            <w:r w:rsidRPr="00982193">
              <w:rPr>
                <w:rFonts w:ascii="Verdana" w:hAnsi="Verdana"/>
                <w:bCs w:val="0"/>
                <w:sz w:val="22"/>
                <w:szCs w:val="22"/>
                <w:u w:val="none"/>
              </w:rPr>
              <w:t>Co-morbidity</w:t>
            </w:r>
          </w:p>
        </w:tc>
        <w:tc>
          <w:tcPr>
            <w:tcW w:w="3363" w:type="dxa"/>
          </w:tcPr>
          <w:p w:rsidR="00852409" w:rsidRPr="00982193" w:rsidRDefault="00CB0809" w:rsidP="00852409">
            <w:pPr>
              <w:pStyle w:val="BodyText"/>
              <w:tabs>
                <w:tab w:val="right" w:pos="360"/>
                <w:tab w:val="left" w:pos="540"/>
              </w:tabs>
              <w:spacing w:after="240" w:line="360" w:lineRule="auto"/>
              <w:jc w:val="both"/>
              <w:rPr>
                <w:rFonts w:ascii="Verdana" w:hAnsi="Verdana"/>
                <w:bCs w:val="0"/>
                <w:sz w:val="22"/>
                <w:szCs w:val="22"/>
                <w:u w:val="none"/>
              </w:rPr>
            </w:pPr>
            <w:r w:rsidRPr="00982193">
              <w:rPr>
                <w:rFonts w:ascii="Verdana" w:hAnsi="Verdana"/>
                <w:bCs w:val="0"/>
                <w:sz w:val="22"/>
                <w:szCs w:val="22"/>
                <w:u w:val="none"/>
              </w:rPr>
              <w:t>Vitamin D deficiency</w:t>
            </w:r>
          </w:p>
        </w:tc>
      </w:tr>
      <w:tr w:rsidR="00982193" w:rsidRPr="00982193" w:rsidTr="005B79EC">
        <w:tc>
          <w:tcPr>
            <w:tcW w:w="3642" w:type="dxa"/>
          </w:tcPr>
          <w:p w:rsidR="00CB0809" w:rsidRPr="00982193" w:rsidRDefault="00CB0809" w:rsidP="003A2C3E">
            <w:pPr>
              <w:pStyle w:val="BodyText"/>
              <w:tabs>
                <w:tab w:val="right" w:pos="360"/>
                <w:tab w:val="left" w:pos="540"/>
              </w:tabs>
              <w:spacing w:after="240" w:line="360" w:lineRule="auto"/>
              <w:jc w:val="both"/>
              <w:rPr>
                <w:rFonts w:ascii="Verdana" w:hAnsi="Verdana"/>
                <w:bCs w:val="0"/>
                <w:sz w:val="22"/>
                <w:szCs w:val="22"/>
                <w:u w:val="none"/>
              </w:rPr>
            </w:pPr>
            <w:r w:rsidRPr="00982193">
              <w:rPr>
                <w:rFonts w:ascii="Verdana" w:hAnsi="Verdana"/>
                <w:bCs w:val="0"/>
                <w:sz w:val="22"/>
                <w:szCs w:val="22"/>
                <w:u w:val="none"/>
              </w:rPr>
              <w:t>Genetic Factors</w:t>
            </w:r>
          </w:p>
          <w:p w:rsidR="00852409" w:rsidRPr="00982193" w:rsidRDefault="00852409" w:rsidP="003A2C3E">
            <w:pPr>
              <w:pStyle w:val="BodyText"/>
              <w:tabs>
                <w:tab w:val="right" w:pos="360"/>
                <w:tab w:val="left" w:pos="540"/>
              </w:tabs>
              <w:spacing w:after="240" w:line="360" w:lineRule="auto"/>
              <w:jc w:val="both"/>
              <w:rPr>
                <w:rFonts w:ascii="Verdana" w:hAnsi="Verdana"/>
                <w:b w:val="0"/>
                <w:bCs w:val="0"/>
                <w:i/>
                <w:sz w:val="22"/>
                <w:szCs w:val="22"/>
                <w:u w:val="none"/>
              </w:rPr>
            </w:pPr>
            <w:r w:rsidRPr="00982193">
              <w:rPr>
                <w:rFonts w:ascii="Verdana" w:hAnsi="Verdana"/>
                <w:b w:val="0"/>
                <w:bCs w:val="0"/>
                <w:i/>
                <w:sz w:val="22"/>
                <w:szCs w:val="22"/>
                <w:u w:val="none"/>
              </w:rPr>
              <w:t>Previous fragility fracture</w:t>
            </w:r>
          </w:p>
          <w:p w:rsidR="00852409" w:rsidRPr="00982193" w:rsidRDefault="00852409" w:rsidP="003A2C3E">
            <w:pPr>
              <w:pStyle w:val="BodyText"/>
              <w:tabs>
                <w:tab w:val="right" w:pos="360"/>
                <w:tab w:val="left" w:pos="540"/>
              </w:tabs>
              <w:spacing w:after="240" w:line="360" w:lineRule="auto"/>
              <w:jc w:val="both"/>
              <w:rPr>
                <w:rFonts w:ascii="Verdana" w:hAnsi="Verdana"/>
                <w:b w:val="0"/>
                <w:bCs w:val="0"/>
                <w:i/>
                <w:sz w:val="22"/>
                <w:szCs w:val="22"/>
                <w:u w:val="none"/>
              </w:rPr>
            </w:pPr>
            <w:r w:rsidRPr="00982193">
              <w:rPr>
                <w:rFonts w:ascii="Verdana" w:hAnsi="Verdana"/>
                <w:b w:val="0"/>
                <w:bCs w:val="0"/>
                <w:i/>
                <w:sz w:val="22"/>
                <w:szCs w:val="22"/>
                <w:u w:val="none"/>
              </w:rPr>
              <w:t>Family history of fragility fracture</w:t>
            </w:r>
          </w:p>
          <w:p w:rsidR="00CB0809" w:rsidRPr="00982193" w:rsidRDefault="00CB0809" w:rsidP="003A2C3E">
            <w:pPr>
              <w:pStyle w:val="BodyText"/>
              <w:tabs>
                <w:tab w:val="right" w:pos="360"/>
                <w:tab w:val="left" w:pos="540"/>
              </w:tabs>
              <w:spacing w:after="240" w:line="360" w:lineRule="auto"/>
              <w:jc w:val="both"/>
              <w:rPr>
                <w:rFonts w:ascii="Verdana" w:hAnsi="Verdana"/>
                <w:b w:val="0"/>
                <w:bCs w:val="0"/>
                <w:sz w:val="22"/>
                <w:szCs w:val="22"/>
                <w:u w:val="none"/>
              </w:rPr>
            </w:pPr>
          </w:p>
        </w:tc>
        <w:tc>
          <w:tcPr>
            <w:tcW w:w="3363" w:type="dxa"/>
          </w:tcPr>
          <w:p w:rsidR="00852409" w:rsidRPr="00982193" w:rsidRDefault="00852409" w:rsidP="00852409">
            <w:pPr>
              <w:pStyle w:val="BodyText"/>
              <w:tabs>
                <w:tab w:val="right" w:pos="360"/>
                <w:tab w:val="left" w:pos="540"/>
              </w:tabs>
              <w:spacing w:after="240" w:line="360" w:lineRule="auto"/>
              <w:jc w:val="both"/>
              <w:rPr>
                <w:rFonts w:ascii="Verdana" w:hAnsi="Verdana"/>
                <w:b w:val="0"/>
                <w:bCs w:val="0"/>
                <w:sz w:val="22"/>
                <w:szCs w:val="22"/>
                <w:u w:val="none"/>
              </w:rPr>
            </w:pPr>
            <w:r w:rsidRPr="00982193">
              <w:rPr>
                <w:rFonts w:ascii="Verdana" w:hAnsi="Verdana"/>
                <w:b w:val="0"/>
                <w:bCs w:val="0"/>
                <w:sz w:val="22"/>
                <w:szCs w:val="22"/>
                <w:u w:val="none"/>
              </w:rPr>
              <w:t>Use of ACE inhibitors</w:t>
            </w:r>
          </w:p>
          <w:p w:rsidR="00852409" w:rsidRPr="00982193" w:rsidRDefault="00852409" w:rsidP="00852409">
            <w:pPr>
              <w:pStyle w:val="BodyText"/>
              <w:tabs>
                <w:tab w:val="right" w:pos="360"/>
                <w:tab w:val="left" w:pos="540"/>
              </w:tabs>
              <w:spacing w:after="240" w:line="360" w:lineRule="auto"/>
              <w:jc w:val="both"/>
              <w:rPr>
                <w:rFonts w:ascii="Verdana" w:hAnsi="Verdana"/>
                <w:bCs w:val="0"/>
                <w:sz w:val="22"/>
                <w:szCs w:val="22"/>
                <w:u w:val="none"/>
              </w:rPr>
            </w:pPr>
            <w:r w:rsidRPr="00982193">
              <w:rPr>
                <w:rFonts w:ascii="Verdana" w:hAnsi="Verdana"/>
                <w:bCs w:val="0"/>
                <w:sz w:val="22"/>
                <w:szCs w:val="22"/>
                <w:u w:val="none"/>
              </w:rPr>
              <w:t>Use of steroids</w:t>
            </w:r>
          </w:p>
          <w:p w:rsidR="00CB0809" w:rsidRPr="00982193" w:rsidRDefault="00852409" w:rsidP="003A2C3E">
            <w:pPr>
              <w:pStyle w:val="BodyText"/>
              <w:tabs>
                <w:tab w:val="right" w:pos="360"/>
                <w:tab w:val="left" w:pos="540"/>
              </w:tabs>
              <w:spacing w:after="240" w:line="360" w:lineRule="auto"/>
              <w:jc w:val="both"/>
              <w:rPr>
                <w:rFonts w:ascii="Verdana" w:hAnsi="Verdana"/>
                <w:b w:val="0"/>
                <w:bCs w:val="0"/>
                <w:sz w:val="22"/>
                <w:szCs w:val="22"/>
                <w:u w:val="none"/>
              </w:rPr>
            </w:pPr>
            <w:r w:rsidRPr="00982193">
              <w:rPr>
                <w:rFonts w:ascii="Verdana" w:hAnsi="Verdana"/>
                <w:b w:val="0"/>
                <w:bCs w:val="0"/>
                <w:sz w:val="22"/>
                <w:szCs w:val="22"/>
                <w:u w:val="none"/>
              </w:rPr>
              <w:t xml:space="preserve">Low growth hormone level </w:t>
            </w:r>
          </w:p>
        </w:tc>
      </w:tr>
      <w:tr w:rsidR="00982193" w:rsidRPr="00982193" w:rsidTr="005B79EC">
        <w:tc>
          <w:tcPr>
            <w:tcW w:w="3642" w:type="dxa"/>
          </w:tcPr>
          <w:p w:rsidR="00CB0809" w:rsidRPr="00982193" w:rsidRDefault="00CB0809" w:rsidP="003A2C3E">
            <w:pPr>
              <w:pStyle w:val="BodyText"/>
              <w:tabs>
                <w:tab w:val="right" w:pos="360"/>
                <w:tab w:val="left" w:pos="540"/>
              </w:tabs>
              <w:spacing w:after="240" w:line="360" w:lineRule="auto"/>
              <w:jc w:val="both"/>
              <w:rPr>
                <w:rFonts w:ascii="Verdana" w:hAnsi="Verdana"/>
                <w:b w:val="0"/>
                <w:bCs w:val="0"/>
                <w:sz w:val="22"/>
                <w:szCs w:val="22"/>
                <w:u w:val="none"/>
              </w:rPr>
            </w:pPr>
          </w:p>
        </w:tc>
        <w:tc>
          <w:tcPr>
            <w:tcW w:w="3363" w:type="dxa"/>
          </w:tcPr>
          <w:p w:rsidR="00CB0809" w:rsidRPr="00982193" w:rsidRDefault="00CB0809" w:rsidP="003A2C3E">
            <w:pPr>
              <w:pStyle w:val="BodyText"/>
              <w:tabs>
                <w:tab w:val="right" w:pos="360"/>
                <w:tab w:val="left" w:pos="540"/>
              </w:tabs>
              <w:spacing w:after="240" w:line="360" w:lineRule="auto"/>
              <w:jc w:val="both"/>
              <w:rPr>
                <w:rFonts w:ascii="Verdana" w:hAnsi="Verdana"/>
                <w:b w:val="0"/>
                <w:bCs w:val="0"/>
                <w:sz w:val="22"/>
                <w:szCs w:val="22"/>
                <w:u w:val="none"/>
              </w:rPr>
            </w:pPr>
          </w:p>
        </w:tc>
      </w:tr>
      <w:tr w:rsidR="00982193" w:rsidRPr="00982193" w:rsidTr="005B79EC">
        <w:tc>
          <w:tcPr>
            <w:tcW w:w="3642" w:type="dxa"/>
          </w:tcPr>
          <w:p w:rsidR="00CB0809" w:rsidRPr="00982193" w:rsidRDefault="00CB0809" w:rsidP="003A2C3E">
            <w:pPr>
              <w:pStyle w:val="BodyText"/>
              <w:tabs>
                <w:tab w:val="right" w:pos="360"/>
                <w:tab w:val="left" w:pos="540"/>
              </w:tabs>
              <w:spacing w:after="240" w:line="360" w:lineRule="auto"/>
              <w:jc w:val="both"/>
              <w:rPr>
                <w:rFonts w:ascii="Verdana" w:hAnsi="Verdana"/>
                <w:b w:val="0"/>
                <w:bCs w:val="0"/>
                <w:sz w:val="22"/>
                <w:szCs w:val="22"/>
                <w:u w:val="none"/>
              </w:rPr>
            </w:pPr>
          </w:p>
        </w:tc>
        <w:tc>
          <w:tcPr>
            <w:tcW w:w="3363" w:type="dxa"/>
          </w:tcPr>
          <w:p w:rsidR="00CB0809" w:rsidRPr="00982193" w:rsidRDefault="00CB0809" w:rsidP="003A2C3E">
            <w:pPr>
              <w:pStyle w:val="BodyText"/>
              <w:tabs>
                <w:tab w:val="right" w:pos="360"/>
                <w:tab w:val="left" w:pos="540"/>
              </w:tabs>
              <w:spacing w:after="240" w:line="360" w:lineRule="auto"/>
              <w:jc w:val="both"/>
              <w:rPr>
                <w:rFonts w:ascii="Verdana" w:hAnsi="Verdana"/>
                <w:b w:val="0"/>
                <w:bCs w:val="0"/>
                <w:sz w:val="22"/>
                <w:szCs w:val="22"/>
                <w:u w:val="none"/>
              </w:rPr>
            </w:pPr>
          </w:p>
        </w:tc>
      </w:tr>
    </w:tbl>
    <w:p w:rsidR="00A747E1" w:rsidRDefault="00A747E1" w:rsidP="003A2C3E">
      <w:pPr>
        <w:pStyle w:val="BodyText"/>
        <w:tabs>
          <w:tab w:val="right" w:pos="360"/>
          <w:tab w:val="left" w:pos="540"/>
        </w:tabs>
        <w:spacing w:after="240" w:line="360" w:lineRule="auto"/>
        <w:ind w:left="540" w:hanging="540"/>
        <w:jc w:val="both"/>
        <w:rPr>
          <w:rFonts w:ascii="Verdana" w:hAnsi="Verdana"/>
          <w:sz w:val="22"/>
          <w:szCs w:val="22"/>
          <w:u w:val="none"/>
        </w:rPr>
      </w:pPr>
    </w:p>
    <w:p w:rsidR="00A747E1" w:rsidRPr="001D3058" w:rsidRDefault="00A747E1">
      <w:pPr>
        <w:rPr>
          <w:rFonts w:ascii="Verdana" w:hAnsi="Verdana"/>
          <w:b/>
        </w:rPr>
      </w:pPr>
      <w:r w:rsidRPr="001D3058">
        <w:rPr>
          <w:rFonts w:ascii="Verdana" w:hAnsi="Verdana"/>
          <w:b/>
        </w:rPr>
        <w:lastRenderedPageBreak/>
        <w:t>Table 2</w:t>
      </w:r>
    </w:p>
    <w:p w:rsidR="00B42C20" w:rsidRPr="00B42C20" w:rsidRDefault="00B42C20" w:rsidP="00B42C20">
      <w:pPr>
        <w:rPr>
          <w:b/>
          <w:sz w:val="24"/>
        </w:rPr>
      </w:pPr>
      <w:r w:rsidRPr="00B42C20">
        <w:rPr>
          <w:b/>
          <w:sz w:val="24"/>
        </w:rPr>
        <w:t>Diagnostic criteria for sarcopenia: suggested approaches*</w:t>
      </w:r>
      <w:r w:rsidR="001D3058">
        <w:rPr>
          <w:b/>
          <w:sz w:val="24"/>
        </w:rPr>
        <w:t>(reproduced with permission from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firstRow="1" w:lastRow="0" w:firstColumn="1" w:lastColumn="0" w:noHBand="0" w:noVBand="0"/>
      </w:tblPr>
      <w:tblGrid>
        <w:gridCol w:w="2840"/>
        <w:gridCol w:w="2841"/>
        <w:gridCol w:w="2841"/>
      </w:tblGrid>
      <w:tr w:rsidR="00B42C20" w:rsidRPr="00192D0F" w:rsidTr="00345E01">
        <w:trPr>
          <w:trHeight w:val="377"/>
        </w:trPr>
        <w:tc>
          <w:tcPr>
            <w:tcW w:w="2840" w:type="dxa"/>
          </w:tcPr>
          <w:p w:rsidR="00B42C20" w:rsidRPr="00192D0F" w:rsidRDefault="00B42C20" w:rsidP="00345E01">
            <w:pPr>
              <w:rPr>
                <w:sz w:val="20"/>
                <w:szCs w:val="20"/>
              </w:rPr>
            </w:pPr>
            <w:r w:rsidRPr="00192D0F">
              <w:rPr>
                <w:sz w:val="20"/>
                <w:szCs w:val="20"/>
              </w:rPr>
              <w:t>Study group</w:t>
            </w:r>
          </w:p>
        </w:tc>
        <w:tc>
          <w:tcPr>
            <w:tcW w:w="2841" w:type="dxa"/>
          </w:tcPr>
          <w:p w:rsidR="00B42C20" w:rsidRPr="00192D0F" w:rsidRDefault="00B42C20" w:rsidP="00345E01">
            <w:pPr>
              <w:rPr>
                <w:sz w:val="20"/>
                <w:szCs w:val="20"/>
              </w:rPr>
            </w:pPr>
            <w:r w:rsidRPr="00192D0F">
              <w:rPr>
                <w:sz w:val="20"/>
                <w:szCs w:val="20"/>
              </w:rPr>
              <w:t>Definition</w:t>
            </w:r>
          </w:p>
        </w:tc>
        <w:tc>
          <w:tcPr>
            <w:tcW w:w="2841" w:type="dxa"/>
          </w:tcPr>
          <w:p w:rsidR="00B42C20" w:rsidRPr="00192D0F" w:rsidRDefault="00B42C20" w:rsidP="00345E01">
            <w:pPr>
              <w:rPr>
                <w:sz w:val="20"/>
                <w:szCs w:val="20"/>
              </w:rPr>
            </w:pPr>
            <w:r w:rsidRPr="00192D0F">
              <w:rPr>
                <w:sz w:val="20"/>
                <w:szCs w:val="20"/>
              </w:rPr>
              <w:t>Criteria</w:t>
            </w:r>
          </w:p>
        </w:tc>
      </w:tr>
      <w:tr w:rsidR="00B42C20" w:rsidRPr="00192D0F" w:rsidTr="00345E01">
        <w:tc>
          <w:tcPr>
            <w:tcW w:w="2840" w:type="dxa"/>
          </w:tcPr>
          <w:p w:rsidR="00B42C20" w:rsidRPr="00192D0F" w:rsidRDefault="00B42C20" w:rsidP="00345E01">
            <w:pPr>
              <w:rPr>
                <w:sz w:val="20"/>
                <w:szCs w:val="20"/>
              </w:rPr>
            </w:pPr>
            <w:r w:rsidRPr="00192D0F">
              <w:rPr>
                <w:sz w:val="20"/>
                <w:szCs w:val="20"/>
              </w:rPr>
              <w:t>ES</w:t>
            </w:r>
            <w:r w:rsidR="001D3058">
              <w:rPr>
                <w:sz w:val="20"/>
                <w:szCs w:val="20"/>
              </w:rPr>
              <w:t xml:space="preserve">PEN Special Interest Groups </w:t>
            </w:r>
          </w:p>
        </w:tc>
        <w:tc>
          <w:tcPr>
            <w:tcW w:w="2841" w:type="dxa"/>
          </w:tcPr>
          <w:p w:rsidR="00B42C20" w:rsidRPr="00192D0F" w:rsidRDefault="00B42C20" w:rsidP="00345E01">
            <w:pPr>
              <w:rPr>
                <w:sz w:val="20"/>
                <w:szCs w:val="20"/>
              </w:rPr>
            </w:pPr>
            <w:r w:rsidRPr="00192D0F">
              <w:rPr>
                <w:sz w:val="20"/>
                <w:szCs w:val="20"/>
              </w:rPr>
              <w:t>“Sarcopenia is a condition characterized by loss of muscle mass and muscle strength. Although sarcopenia is primarily a disease of the elderly, its development may be associated with other conditions that are not exclusively seen in older persons, like disuse, malnutrition and cachexia. Like osteopenia, it can be also be seen in those with inflammatory diseases.”</w:t>
            </w:r>
          </w:p>
        </w:tc>
        <w:tc>
          <w:tcPr>
            <w:tcW w:w="2841" w:type="dxa"/>
          </w:tcPr>
          <w:p w:rsidR="00B42C20" w:rsidRPr="00192D0F" w:rsidRDefault="00B42C20" w:rsidP="00B42C20">
            <w:pPr>
              <w:numPr>
                <w:ilvl w:val="0"/>
                <w:numId w:val="18"/>
              </w:numPr>
              <w:spacing w:after="200" w:line="276" w:lineRule="auto"/>
              <w:ind w:left="273" w:hanging="142"/>
              <w:rPr>
                <w:sz w:val="20"/>
                <w:szCs w:val="20"/>
              </w:rPr>
            </w:pPr>
            <w:r w:rsidRPr="00192D0F">
              <w:rPr>
                <w:sz w:val="20"/>
                <w:szCs w:val="20"/>
              </w:rPr>
              <w:t>Low muscle mass, e.g. percentage of muscle mass &gt;2 SDs below mean in individuals aged 18–39 y in the NHANES III cohort</w:t>
            </w:r>
          </w:p>
          <w:p w:rsidR="00B42C20" w:rsidRPr="00192D0F" w:rsidRDefault="00B42C20" w:rsidP="00B42C20">
            <w:pPr>
              <w:numPr>
                <w:ilvl w:val="0"/>
                <w:numId w:val="18"/>
              </w:numPr>
              <w:spacing w:after="200" w:line="276" w:lineRule="auto"/>
              <w:ind w:left="273" w:hanging="284"/>
              <w:rPr>
                <w:sz w:val="20"/>
                <w:szCs w:val="20"/>
              </w:rPr>
            </w:pPr>
            <w:r w:rsidRPr="00192D0F">
              <w:rPr>
                <w:sz w:val="20"/>
                <w:szCs w:val="20"/>
              </w:rPr>
              <w:t>Walking speed &lt;0.8 m/s in the 4-min test or reduced performance in any functional test used for the comprehensive geriatric assessment</w:t>
            </w:r>
          </w:p>
        </w:tc>
      </w:tr>
      <w:tr w:rsidR="00B42C20" w:rsidRPr="00192D0F" w:rsidTr="00345E01">
        <w:tc>
          <w:tcPr>
            <w:tcW w:w="2840" w:type="dxa"/>
          </w:tcPr>
          <w:p w:rsidR="00B42C20" w:rsidRPr="00192D0F" w:rsidRDefault="00B42C20" w:rsidP="00345E01">
            <w:pPr>
              <w:rPr>
                <w:sz w:val="20"/>
                <w:szCs w:val="20"/>
              </w:rPr>
            </w:pPr>
            <w:r w:rsidRPr="00192D0F">
              <w:rPr>
                <w:sz w:val="20"/>
                <w:szCs w:val="20"/>
              </w:rPr>
              <w:t>European Working Group on</w:t>
            </w:r>
            <w:r w:rsidR="001D3058">
              <w:rPr>
                <w:sz w:val="20"/>
                <w:szCs w:val="20"/>
              </w:rPr>
              <w:t xml:space="preserve"> Sarcopenia in Older People </w:t>
            </w:r>
          </w:p>
        </w:tc>
        <w:tc>
          <w:tcPr>
            <w:tcW w:w="2841" w:type="dxa"/>
          </w:tcPr>
          <w:p w:rsidR="00B42C20" w:rsidRPr="00192D0F" w:rsidRDefault="00B42C20" w:rsidP="00345E01">
            <w:pPr>
              <w:rPr>
                <w:sz w:val="20"/>
                <w:szCs w:val="20"/>
              </w:rPr>
            </w:pPr>
            <w:r w:rsidRPr="00192D0F">
              <w:rPr>
                <w:sz w:val="20"/>
                <w:szCs w:val="20"/>
              </w:rPr>
              <w:t>“Sarcopenia is a syndrome characterized by progressive and generalized loss of skeletal muscle mass and strength with a risk of adverse outcomes such as physical disability, poor quality of life and death.”</w:t>
            </w:r>
          </w:p>
          <w:p w:rsidR="00B42C20" w:rsidRPr="00192D0F" w:rsidRDefault="00B42C20" w:rsidP="00345E01">
            <w:pPr>
              <w:rPr>
                <w:sz w:val="20"/>
                <w:szCs w:val="20"/>
              </w:rPr>
            </w:pPr>
            <w:r w:rsidRPr="00192D0F">
              <w:rPr>
                <w:sz w:val="20"/>
                <w:szCs w:val="20"/>
              </w:rPr>
              <w:t>The condition is called primary sarcopenia when the cause is aging per se, and secondary sarcopenia when disease, inactivity, or malnutrition contribute</w:t>
            </w:r>
          </w:p>
        </w:tc>
        <w:tc>
          <w:tcPr>
            <w:tcW w:w="2841" w:type="dxa"/>
          </w:tcPr>
          <w:p w:rsidR="00B42C20" w:rsidRPr="00192D0F" w:rsidRDefault="00B42C20" w:rsidP="00B42C20">
            <w:pPr>
              <w:numPr>
                <w:ilvl w:val="0"/>
                <w:numId w:val="19"/>
              </w:numPr>
              <w:spacing w:after="200" w:line="276" w:lineRule="auto"/>
              <w:ind w:left="273" w:hanging="273"/>
              <w:rPr>
                <w:sz w:val="20"/>
                <w:szCs w:val="20"/>
              </w:rPr>
            </w:pPr>
            <w:r w:rsidRPr="00192D0F">
              <w:rPr>
                <w:sz w:val="20"/>
                <w:szCs w:val="20"/>
              </w:rPr>
              <w:t>Low muscles mass</w:t>
            </w:r>
          </w:p>
          <w:p w:rsidR="00B42C20" w:rsidRPr="00192D0F" w:rsidRDefault="00B42C20" w:rsidP="00B42C20">
            <w:pPr>
              <w:numPr>
                <w:ilvl w:val="0"/>
                <w:numId w:val="19"/>
              </w:numPr>
              <w:spacing w:after="200" w:line="276" w:lineRule="auto"/>
              <w:ind w:left="273" w:hanging="273"/>
              <w:rPr>
                <w:sz w:val="20"/>
                <w:szCs w:val="20"/>
              </w:rPr>
            </w:pPr>
            <w:r w:rsidRPr="00192D0F">
              <w:rPr>
                <w:sz w:val="20"/>
                <w:szCs w:val="20"/>
              </w:rPr>
              <w:t>Low muscle strength (e.g. grip strength)</w:t>
            </w:r>
          </w:p>
          <w:p w:rsidR="00B42C20" w:rsidRPr="00192D0F" w:rsidRDefault="00B42C20" w:rsidP="00B42C20">
            <w:pPr>
              <w:numPr>
                <w:ilvl w:val="0"/>
                <w:numId w:val="19"/>
              </w:numPr>
              <w:spacing w:after="200" w:line="276" w:lineRule="auto"/>
              <w:ind w:left="273" w:hanging="273"/>
              <w:rPr>
                <w:sz w:val="20"/>
                <w:szCs w:val="20"/>
              </w:rPr>
            </w:pPr>
            <w:r w:rsidRPr="00192D0F">
              <w:rPr>
                <w:sz w:val="20"/>
                <w:szCs w:val="20"/>
              </w:rPr>
              <w:t>Low physical performance (e.g. gait speed)</w:t>
            </w:r>
          </w:p>
          <w:p w:rsidR="00B42C20" w:rsidRPr="00192D0F" w:rsidRDefault="00B42C20" w:rsidP="00345E01">
            <w:pPr>
              <w:rPr>
                <w:sz w:val="20"/>
                <w:szCs w:val="20"/>
              </w:rPr>
            </w:pPr>
            <w:r w:rsidRPr="00192D0F">
              <w:rPr>
                <w:sz w:val="20"/>
                <w:szCs w:val="20"/>
              </w:rPr>
              <w:t xml:space="preserve">Reference population of healthy young subjects using </w:t>
            </w:r>
            <w:proofErr w:type="spellStart"/>
            <w:r w:rsidRPr="00192D0F">
              <w:rPr>
                <w:sz w:val="20"/>
                <w:szCs w:val="20"/>
              </w:rPr>
              <w:t>cutoff</w:t>
            </w:r>
            <w:proofErr w:type="spellEnd"/>
            <w:r w:rsidRPr="00192D0F">
              <w:rPr>
                <w:sz w:val="20"/>
                <w:szCs w:val="20"/>
              </w:rPr>
              <w:t xml:space="preserve"> points &lt;2 SDs below mean. Criterion 1 and Criterion 2 or 3.</w:t>
            </w:r>
          </w:p>
        </w:tc>
      </w:tr>
      <w:tr w:rsidR="00B42C20" w:rsidRPr="00192D0F" w:rsidTr="00345E01">
        <w:tc>
          <w:tcPr>
            <w:tcW w:w="2840" w:type="dxa"/>
          </w:tcPr>
          <w:p w:rsidR="00B42C20" w:rsidRPr="00192D0F" w:rsidRDefault="00B42C20" w:rsidP="00345E01">
            <w:pPr>
              <w:rPr>
                <w:sz w:val="20"/>
                <w:szCs w:val="20"/>
              </w:rPr>
            </w:pPr>
            <w:r w:rsidRPr="00192D0F">
              <w:rPr>
                <w:sz w:val="20"/>
                <w:szCs w:val="20"/>
              </w:rPr>
              <w:t>International</w:t>
            </w:r>
            <w:r w:rsidR="001D3058">
              <w:rPr>
                <w:sz w:val="20"/>
                <w:szCs w:val="20"/>
              </w:rPr>
              <w:t xml:space="preserve"> Working Group on Sarcopenia </w:t>
            </w:r>
          </w:p>
        </w:tc>
        <w:tc>
          <w:tcPr>
            <w:tcW w:w="2841" w:type="dxa"/>
          </w:tcPr>
          <w:p w:rsidR="00B42C20" w:rsidRPr="00192D0F" w:rsidRDefault="00B42C20" w:rsidP="00345E01">
            <w:pPr>
              <w:rPr>
                <w:sz w:val="20"/>
                <w:szCs w:val="20"/>
              </w:rPr>
            </w:pPr>
            <w:r w:rsidRPr="00192D0F">
              <w:rPr>
                <w:sz w:val="20"/>
                <w:szCs w:val="20"/>
              </w:rPr>
              <w:t>“Sarcopenia is defined as the age-associated loss of skeletal muscle mass and function. The causes of sarcopenia are multifactorial and can include disuse, altered endocrine function, chronic disease, inflammation, insulin resistance, and nutritional deficiencies. While cachexia may be a component of sarcopenia, the two conditions are not the same.”</w:t>
            </w:r>
          </w:p>
        </w:tc>
        <w:tc>
          <w:tcPr>
            <w:tcW w:w="2841" w:type="dxa"/>
          </w:tcPr>
          <w:p w:rsidR="00B42C20" w:rsidRPr="00192D0F" w:rsidRDefault="00B42C20" w:rsidP="00B42C20">
            <w:pPr>
              <w:numPr>
                <w:ilvl w:val="0"/>
                <w:numId w:val="20"/>
              </w:numPr>
              <w:spacing w:after="200" w:line="276" w:lineRule="auto"/>
              <w:ind w:left="273" w:hanging="284"/>
              <w:rPr>
                <w:sz w:val="20"/>
                <w:szCs w:val="20"/>
              </w:rPr>
            </w:pPr>
            <w:r w:rsidRPr="00192D0F">
              <w:rPr>
                <w:sz w:val="20"/>
                <w:szCs w:val="20"/>
              </w:rPr>
              <w:t>Gait speed &lt;1 m/s</w:t>
            </w:r>
          </w:p>
          <w:p w:rsidR="00B42C20" w:rsidRPr="00192D0F" w:rsidRDefault="00B42C20" w:rsidP="00B42C20">
            <w:pPr>
              <w:numPr>
                <w:ilvl w:val="0"/>
                <w:numId w:val="20"/>
              </w:numPr>
              <w:spacing w:after="200" w:line="276" w:lineRule="auto"/>
              <w:ind w:left="273" w:hanging="284"/>
              <w:rPr>
                <w:sz w:val="20"/>
                <w:szCs w:val="20"/>
              </w:rPr>
            </w:pPr>
            <w:r w:rsidRPr="00192D0F">
              <w:rPr>
                <w:sz w:val="20"/>
                <w:szCs w:val="20"/>
              </w:rPr>
              <w:t xml:space="preserve">Objectively measured low muscle mass, e.g. appendicular mass relative to height squared, i.e. </w:t>
            </w:r>
            <w:r w:rsidRPr="00192D0F">
              <w:rPr>
                <w:rFonts w:cs="Arial"/>
                <w:sz w:val="20"/>
                <w:szCs w:val="20"/>
              </w:rPr>
              <w:t>≤7.23 kg/m</w:t>
            </w:r>
            <w:r w:rsidRPr="00192D0F">
              <w:rPr>
                <w:rFonts w:cs="Arial"/>
                <w:sz w:val="20"/>
                <w:szCs w:val="20"/>
                <w:vertAlign w:val="superscript"/>
              </w:rPr>
              <w:t>2</w:t>
            </w:r>
            <w:r w:rsidRPr="00192D0F">
              <w:rPr>
                <w:rFonts w:cs="Arial"/>
                <w:sz w:val="20"/>
                <w:szCs w:val="20"/>
              </w:rPr>
              <w:t xml:space="preserve"> in men and ≤5.67 kg/m</w:t>
            </w:r>
            <w:r w:rsidRPr="00192D0F">
              <w:rPr>
                <w:rFonts w:cs="Arial"/>
                <w:sz w:val="20"/>
                <w:szCs w:val="20"/>
                <w:vertAlign w:val="superscript"/>
              </w:rPr>
              <w:t>2</w:t>
            </w:r>
            <w:r w:rsidRPr="00192D0F">
              <w:rPr>
                <w:rFonts w:cs="Arial"/>
                <w:sz w:val="20"/>
                <w:szCs w:val="20"/>
              </w:rPr>
              <w:t xml:space="preserve"> in women</w:t>
            </w:r>
          </w:p>
        </w:tc>
      </w:tr>
      <w:tr w:rsidR="00B42C20" w:rsidRPr="00192D0F" w:rsidTr="00345E01">
        <w:tc>
          <w:tcPr>
            <w:tcW w:w="2840" w:type="dxa"/>
          </w:tcPr>
          <w:p w:rsidR="00B42C20" w:rsidRPr="00192D0F" w:rsidRDefault="00B42C20" w:rsidP="00345E01">
            <w:pPr>
              <w:rPr>
                <w:sz w:val="20"/>
                <w:szCs w:val="20"/>
              </w:rPr>
            </w:pPr>
            <w:r w:rsidRPr="00192D0F">
              <w:rPr>
                <w:sz w:val="20"/>
                <w:szCs w:val="20"/>
              </w:rPr>
              <w:t>Society of Sarcopenia, Cac</w:t>
            </w:r>
            <w:r w:rsidR="001D3058">
              <w:rPr>
                <w:sz w:val="20"/>
                <w:szCs w:val="20"/>
              </w:rPr>
              <w:t xml:space="preserve">hexia and Wasting Disorders </w:t>
            </w:r>
          </w:p>
        </w:tc>
        <w:tc>
          <w:tcPr>
            <w:tcW w:w="2841" w:type="dxa"/>
          </w:tcPr>
          <w:p w:rsidR="00B42C20" w:rsidRPr="00192D0F" w:rsidRDefault="00B42C20" w:rsidP="00345E01">
            <w:pPr>
              <w:rPr>
                <w:sz w:val="20"/>
                <w:szCs w:val="20"/>
              </w:rPr>
            </w:pPr>
            <w:r w:rsidRPr="00192D0F">
              <w:rPr>
                <w:sz w:val="20"/>
                <w:szCs w:val="20"/>
              </w:rPr>
              <w:t xml:space="preserve">“Sarcopenia with limited mobility is a specific condition with clear loss of muscle mass and a clear target for intervention. As such it differs from the more general </w:t>
            </w:r>
            <w:r w:rsidRPr="00192D0F">
              <w:rPr>
                <w:sz w:val="20"/>
                <w:szCs w:val="20"/>
              </w:rPr>
              <w:lastRenderedPageBreak/>
              <w:t xml:space="preserve">concept of frailty.” </w:t>
            </w:r>
          </w:p>
          <w:p w:rsidR="00B42C20" w:rsidRPr="00192D0F" w:rsidRDefault="00B42C20" w:rsidP="00345E01">
            <w:pPr>
              <w:rPr>
                <w:sz w:val="20"/>
                <w:szCs w:val="20"/>
              </w:rPr>
            </w:pPr>
            <w:r w:rsidRPr="00192D0F">
              <w:rPr>
                <w:sz w:val="20"/>
                <w:szCs w:val="20"/>
              </w:rPr>
              <w:t>“The limitation in mobility should not be clearly attributable to the direct effect of specific disease, such as peripheral vascular disease with intermittent claudication, or central and peripheral nervous system disorders (such as stroke, Parkinson’s disease, spinal cord disease, or motor neuron disease), dementia, or cachexia.”</w:t>
            </w:r>
          </w:p>
        </w:tc>
        <w:tc>
          <w:tcPr>
            <w:tcW w:w="2841" w:type="dxa"/>
          </w:tcPr>
          <w:p w:rsidR="00B42C20" w:rsidRPr="00192D0F" w:rsidRDefault="00B42C20" w:rsidP="00B42C20">
            <w:pPr>
              <w:numPr>
                <w:ilvl w:val="0"/>
                <w:numId w:val="21"/>
              </w:numPr>
              <w:spacing w:after="200" w:line="276" w:lineRule="auto"/>
              <w:ind w:left="273" w:hanging="273"/>
              <w:rPr>
                <w:rFonts w:cs="Arial"/>
                <w:sz w:val="20"/>
                <w:szCs w:val="20"/>
              </w:rPr>
            </w:pPr>
            <w:r w:rsidRPr="00192D0F">
              <w:rPr>
                <w:sz w:val="20"/>
                <w:szCs w:val="20"/>
              </w:rPr>
              <w:lastRenderedPageBreak/>
              <w:t xml:space="preserve">Walking speed </w:t>
            </w:r>
            <w:r w:rsidRPr="00192D0F">
              <w:rPr>
                <w:rFonts w:cs="Arial"/>
                <w:sz w:val="20"/>
                <w:szCs w:val="20"/>
              </w:rPr>
              <w:t>≤1 m/s or walking distance &lt;400 m during a 6-min walk</w:t>
            </w:r>
          </w:p>
          <w:p w:rsidR="00B42C20" w:rsidRPr="00192D0F" w:rsidRDefault="00B42C20" w:rsidP="00B42C20">
            <w:pPr>
              <w:numPr>
                <w:ilvl w:val="0"/>
                <w:numId w:val="21"/>
              </w:numPr>
              <w:spacing w:after="200" w:line="276" w:lineRule="auto"/>
              <w:ind w:left="273" w:hanging="273"/>
              <w:rPr>
                <w:sz w:val="20"/>
                <w:szCs w:val="20"/>
              </w:rPr>
            </w:pPr>
            <w:r w:rsidRPr="00192D0F">
              <w:rPr>
                <w:sz w:val="20"/>
                <w:szCs w:val="20"/>
              </w:rPr>
              <w:t xml:space="preserve">A lean appendicular mass corrected for height squared of </w:t>
            </w:r>
            <w:r w:rsidRPr="00192D0F">
              <w:rPr>
                <w:sz w:val="20"/>
                <w:szCs w:val="20"/>
              </w:rPr>
              <w:lastRenderedPageBreak/>
              <w:t>&gt;2 SDs below the mean of healthy persons aged between 20 and 30 y of the same ethnic group</w:t>
            </w:r>
          </w:p>
        </w:tc>
      </w:tr>
    </w:tbl>
    <w:p w:rsidR="00B42C20" w:rsidRDefault="00B42C20" w:rsidP="00B42C20">
      <w:pPr>
        <w:rPr>
          <w:sz w:val="24"/>
        </w:rPr>
      </w:pPr>
      <w:r w:rsidRPr="0019406C">
        <w:rPr>
          <w:sz w:val="24"/>
        </w:rPr>
        <w:lastRenderedPageBreak/>
        <w:t>* Other study groups, such as the Biomarkers Consortium, have convened for the same purpose of developing a consensus statement but have not yet published their findings</w:t>
      </w:r>
    </w:p>
    <w:p w:rsidR="00A747E1" w:rsidRPr="00A747E1" w:rsidRDefault="00A747E1">
      <w:pPr>
        <w:rPr>
          <w:rFonts w:ascii="Verdana" w:eastAsia="Times New Roman" w:hAnsi="Verdana" w:cs="Times New Roman"/>
          <w:b/>
          <w:bCs/>
          <w:highlight w:val="yellow"/>
        </w:rPr>
      </w:pPr>
    </w:p>
    <w:p w:rsidR="001D3058" w:rsidRDefault="001D3058">
      <w:pPr>
        <w:rPr>
          <w:rFonts w:ascii="Verdana" w:eastAsia="Times New Roman" w:hAnsi="Verdana" w:cs="Times New Roman"/>
          <w:b/>
          <w:bCs/>
          <w:highlight w:val="yellow"/>
        </w:rPr>
      </w:pPr>
      <w:r>
        <w:rPr>
          <w:rFonts w:ascii="Verdana" w:hAnsi="Verdana"/>
          <w:highlight w:val="yellow"/>
        </w:rPr>
        <w:br w:type="page"/>
      </w:r>
    </w:p>
    <w:p w:rsidR="009D17E3" w:rsidRPr="001D3058" w:rsidRDefault="009D17E3" w:rsidP="009D17E3">
      <w:pPr>
        <w:rPr>
          <w:rFonts w:ascii="Verdana" w:hAnsi="Verdana"/>
        </w:rPr>
      </w:pPr>
      <w:r w:rsidRPr="001D3058">
        <w:rPr>
          <w:rFonts w:ascii="Verdana" w:hAnsi="Verdana"/>
        </w:rPr>
        <w:lastRenderedPageBreak/>
        <w:t>Figure 1</w:t>
      </w:r>
    </w:p>
    <w:p w:rsidR="009D17E3" w:rsidRPr="001D3058" w:rsidRDefault="009D17E3" w:rsidP="009D17E3">
      <w:pPr>
        <w:rPr>
          <w:rFonts w:ascii="Verdana" w:hAnsi="Verdana"/>
        </w:rPr>
      </w:pPr>
    </w:p>
    <w:p w:rsidR="009D17E3" w:rsidRPr="001D3058" w:rsidRDefault="009D17E3" w:rsidP="009D17E3">
      <w:pPr>
        <w:rPr>
          <w:rFonts w:ascii="Verdana" w:hAnsi="Verdana"/>
        </w:rPr>
      </w:pPr>
      <w:r w:rsidRPr="001D3058">
        <w:rPr>
          <w:rFonts w:ascii="Verdana" w:hAnsi="Verdana"/>
        </w:rPr>
        <w:t>Change in bone density values over lifetime</w:t>
      </w:r>
    </w:p>
    <w:p w:rsidR="009D17E3" w:rsidRPr="001D3058" w:rsidRDefault="009D17E3" w:rsidP="009D17E3">
      <w:pPr>
        <w:rPr>
          <w:rFonts w:ascii="Verdana" w:hAnsi="Verdana"/>
        </w:rPr>
      </w:pPr>
    </w:p>
    <w:p w:rsidR="009D17E3" w:rsidRPr="001D3058" w:rsidRDefault="009D17E3" w:rsidP="009D17E3">
      <w:pPr>
        <w:rPr>
          <w:rFonts w:ascii="Verdana" w:hAnsi="Verdana"/>
        </w:rPr>
      </w:pPr>
    </w:p>
    <w:p w:rsidR="009D17E3" w:rsidRPr="001D3058" w:rsidRDefault="009D17E3" w:rsidP="009D17E3">
      <w:pPr>
        <w:rPr>
          <w:rFonts w:ascii="Verdana" w:hAnsi="Verdana"/>
        </w:rPr>
      </w:pPr>
      <w:r w:rsidRPr="001D3058">
        <w:rPr>
          <w:rFonts w:ascii="Verdana" w:hAnsi="Verdana"/>
        </w:rPr>
        <w:t>Figure 2</w:t>
      </w:r>
    </w:p>
    <w:p w:rsidR="009D17E3" w:rsidRPr="001D3058" w:rsidRDefault="009D17E3" w:rsidP="009D17E3">
      <w:pPr>
        <w:rPr>
          <w:rFonts w:ascii="Verdana" w:hAnsi="Verdana"/>
        </w:rPr>
      </w:pPr>
    </w:p>
    <w:p w:rsidR="00F873E4" w:rsidRDefault="00345F55" w:rsidP="009D17E3">
      <w:pPr>
        <w:rPr>
          <w:rFonts w:ascii="Verdana" w:eastAsia="Times New Roman" w:hAnsi="Verdana" w:cs="Times New Roman"/>
          <w:b/>
          <w:bCs/>
        </w:rPr>
      </w:pPr>
      <w:r w:rsidRPr="001D3058">
        <w:rPr>
          <w:rFonts w:ascii="Verdana" w:hAnsi="Verdana"/>
        </w:rPr>
        <w:t>Sarcopenia</w:t>
      </w:r>
      <w:r>
        <w:rPr>
          <w:rFonts w:ascii="Verdana" w:hAnsi="Verdana"/>
        </w:rPr>
        <w:t>: a conceptual framework</w:t>
      </w:r>
    </w:p>
    <w:sectPr w:rsidR="00F873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7C3D"/>
    <w:multiLevelType w:val="hybridMultilevel"/>
    <w:tmpl w:val="C834F1E8"/>
    <w:lvl w:ilvl="0" w:tplc="04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4802FF"/>
    <w:multiLevelType w:val="hybridMultilevel"/>
    <w:tmpl w:val="5A82A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AE02F3"/>
    <w:multiLevelType w:val="singleLevel"/>
    <w:tmpl w:val="A2B8E166"/>
    <w:lvl w:ilvl="0">
      <w:start w:val="1"/>
      <w:numFmt w:val="decimal"/>
      <w:lvlText w:val="%1."/>
      <w:legacy w:legacy="1" w:legacySpace="0" w:legacyIndent="283"/>
      <w:lvlJc w:val="left"/>
      <w:pPr>
        <w:ind w:left="283" w:hanging="283"/>
      </w:pPr>
    </w:lvl>
  </w:abstractNum>
  <w:abstractNum w:abstractNumId="3">
    <w:nsid w:val="19587007"/>
    <w:multiLevelType w:val="hybridMultilevel"/>
    <w:tmpl w:val="795E80AA"/>
    <w:lvl w:ilvl="0" w:tplc="254E6E5E">
      <w:start w:val="28"/>
      <w:numFmt w:val="decimal"/>
      <w:lvlText w:val="%1."/>
      <w:lvlJc w:val="left"/>
      <w:pPr>
        <w:ind w:left="800" w:hanging="375"/>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nsid w:val="20FD4D0D"/>
    <w:multiLevelType w:val="hybridMultilevel"/>
    <w:tmpl w:val="473E6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08380D"/>
    <w:multiLevelType w:val="hybridMultilevel"/>
    <w:tmpl w:val="4D0E7B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F5315E"/>
    <w:multiLevelType w:val="hybridMultilevel"/>
    <w:tmpl w:val="7646E012"/>
    <w:lvl w:ilvl="0" w:tplc="2E3C0670">
      <w:start w:val="32"/>
      <w:numFmt w:val="decimal"/>
      <w:lvlText w:val="%1."/>
      <w:lvlJc w:val="left"/>
      <w:pPr>
        <w:ind w:left="800" w:hanging="375"/>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nsid w:val="342B0241"/>
    <w:multiLevelType w:val="hybridMultilevel"/>
    <w:tmpl w:val="AD6A6B3A"/>
    <w:lvl w:ilvl="0" w:tplc="E1AC1A70">
      <w:start w:val="23"/>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52131A"/>
    <w:multiLevelType w:val="hybridMultilevel"/>
    <w:tmpl w:val="2D0C9866"/>
    <w:lvl w:ilvl="0" w:tplc="696CBE6E">
      <w:start w:val="19"/>
      <w:numFmt w:val="decimal"/>
      <w:lvlText w:val="%1."/>
      <w:lvlJc w:val="left"/>
      <w:pPr>
        <w:ind w:left="800" w:hanging="375"/>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nsid w:val="43AF4C46"/>
    <w:multiLevelType w:val="hybridMultilevel"/>
    <w:tmpl w:val="1A12911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FC4240"/>
    <w:multiLevelType w:val="hybridMultilevel"/>
    <w:tmpl w:val="20C2255C"/>
    <w:lvl w:ilvl="0" w:tplc="685ACA52">
      <w:start w:val="38"/>
      <w:numFmt w:val="decimal"/>
      <w:lvlText w:val="%1."/>
      <w:lvlJc w:val="left"/>
      <w:pPr>
        <w:ind w:left="800" w:hanging="375"/>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nsid w:val="57D83856"/>
    <w:multiLevelType w:val="hybridMultilevel"/>
    <w:tmpl w:val="9702B93A"/>
    <w:lvl w:ilvl="0" w:tplc="68669C82">
      <w:start w:val="26"/>
      <w:numFmt w:val="decimal"/>
      <w:lvlText w:val="%1."/>
      <w:lvlJc w:val="left"/>
      <w:pPr>
        <w:ind w:left="800" w:hanging="375"/>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nsid w:val="5CFE51C2"/>
    <w:multiLevelType w:val="hybridMultilevel"/>
    <w:tmpl w:val="9702B93A"/>
    <w:lvl w:ilvl="0" w:tplc="68669C82">
      <w:start w:val="26"/>
      <w:numFmt w:val="decimal"/>
      <w:lvlText w:val="%1."/>
      <w:lvlJc w:val="left"/>
      <w:pPr>
        <w:ind w:left="800" w:hanging="375"/>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nsid w:val="6C956A00"/>
    <w:multiLevelType w:val="hybridMultilevel"/>
    <w:tmpl w:val="585C16A2"/>
    <w:lvl w:ilvl="0" w:tplc="F2DEB370">
      <w:start w:val="15"/>
      <w:numFmt w:val="decimal"/>
      <w:lvlText w:val="%1."/>
      <w:lvlJc w:val="left"/>
      <w:pPr>
        <w:ind w:left="800" w:hanging="375"/>
      </w:pPr>
      <w:rPr>
        <w:rFonts w:hint="default"/>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14">
    <w:nsid w:val="6D2F0402"/>
    <w:multiLevelType w:val="hybridMultilevel"/>
    <w:tmpl w:val="F46C56D2"/>
    <w:lvl w:ilvl="0" w:tplc="22F69B8C">
      <w:start w:val="53"/>
      <w:numFmt w:val="decimal"/>
      <w:lvlText w:val="%1."/>
      <w:lvlJc w:val="left"/>
      <w:pPr>
        <w:ind w:left="659"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066505A"/>
    <w:multiLevelType w:val="hybridMultilevel"/>
    <w:tmpl w:val="E250B730"/>
    <w:lvl w:ilvl="0" w:tplc="1C64946E">
      <w:start w:val="8"/>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73424F"/>
    <w:multiLevelType w:val="multilevel"/>
    <w:tmpl w:val="C5FAC1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DD10003"/>
    <w:multiLevelType w:val="hybridMultilevel"/>
    <w:tmpl w:val="C65C53F2"/>
    <w:lvl w:ilvl="0" w:tplc="A7340EDE">
      <w:start w:val="18"/>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EE86777"/>
    <w:multiLevelType w:val="hybridMultilevel"/>
    <w:tmpl w:val="ACD8893A"/>
    <w:lvl w:ilvl="0" w:tplc="31DAF098">
      <w:start w:val="40"/>
      <w:numFmt w:val="decimal"/>
      <w:lvlText w:val="%1."/>
      <w:lvlJc w:val="left"/>
      <w:pPr>
        <w:ind w:left="800" w:hanging="375"/>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1"/>
  </w:num>
  <w:num w:numId="2">
    <w:abstractNumId w:val="14"/>
  </w:num>
  <w:num w:numId="3">
    <w:abstractNumId w:val="9"/>
  </w:num>
  <w:num w:numId="4">
    <w:abstractNumId w:val="15"/>
  </w:num>
  <w:num w:numId="5">
    <w:abstractNumId w:val="17"/>
  </w:num>
  <w:num w:numId="6">
    <w:abstractNumId w:val="13"/>
  </w:num>
  <w:num w:numId="7">
    <w:abstractNumId w:val="11"/>
  </w:num>
  <w:num w:numId="8">
    <w:abstractNumId w:val="8"/>
  </w:num>
  <w:num w:numId="9">
    <w:abstractNumId w:val="3"/>
  </w:num>
  <w:num w:numId="10">
    <w:abstractNumId w:val="6"/>
  </w:num>
  <w:num w:numId="11">
    <w:abstractNumId w:val="10"/>
  </w:num>
  <w:num w:numId="12">
    <w:abstractNumId w:val="18"/>
  </w:num>
  <w:num w:numId="13">
    <w:abstractNumId w:val="7"/>
  </w:num>
  <w:num w:numId="14">
    <w:abstractNumId w:val="4"/>
  </w:num>
  <w:num w:numId="15">
    <w:abstractNumId w:val="0"/>
  </w:num>
  <w:num w:numId="16">
    <w:abstractNumId w:val="12"/>
  </w:num>
  <w:num w:numId="17">
    <w:abstractNumId w:val="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E67"/>
    <w:rsid w:val="0002502C"/>
    <w:rsid w:val="000335E5"/>
    <w:rsid w:val="000807AA"/>
    <w:rsid w:val="000C222D"/>
    <w:rsid w:val="000D526E"/>
    <w:rsid w:val="000D7CBC"/>
    <w:rsid w:val="000E7D43"/>
    <w:rsid w:val="001354E1"/>
    <w:rsid w:val="0014290E"/>
    <w:rsid w:val="00170C71"/>
    <w:rsid w:val="0018049A"/>
    <w:rsid w:val="001874C9"/>
    <w:rsid w:val="001D3058"/>
    <w:rsid w:val="001D3EF9"/>
    <w:rsid w:val="001E44F7"/>
    <w:rsid w:val="001F4A87"/>
    <w:rsid w:val="00237701"/>
    <w:rsid w:val="00254884"/>
    <w:rsid w:val="00262D19"/>
    <w:rsid w:val="00276300"/>
    <w:rsid w:val="002975BD"/>
    <w:rsid w:val="002A6654"/>
    <w:rsid w:val="002A703D"/>
    <w:rsid w:val="002B62EC"/>
    <w:rsid w:val="002D44CE"/>
    <w:rsid w:val="002F0D6E"/>
    <w:rsid w:val="00310ADC"/>
    <w:rsid w:val="0032708C"/>
    <w:rsid w:val="003270DB"/>
    <w:rsid w:val="00345F55"/>
    <w:rsid w:val="0038036B"/>
    <w:rsid w:val="003A2C3E"/>
    <w:rsid w:val="003A35DD"/>
    <w:rsid w:val="003D39B2"/>
    <w:rsid w:val="003F6C3C"/>
    <w:rsid w:val="0040242F"/>
    <w:rsid w:val="00466E1C"/>
    <w:rsid w:val="00482E9A"/>
    <w:rsid w:val="00484F68"/>
    <w:rsid w:val="004902FA"/>
    <w:rsid w:val="004C3858"/>
    <w:rsid w:val="004C5A73"/>
    <w:rsid w:val="004E4FAC"/>
    <w:rsid w:val="004F1CA2"/>
    <w:rsid w:val="00500364"/>
    <w:rsid w:val="00502BFA"/>
    <w:rsid w:val="005136ED"/>
    <w:rsid w:val="005260BE"/>
    <w:rsid w:val="005536FC"/>
    <w:rsid w:val="005561CE"/>
    <w:rsid w:val="00596DF4"/>
    <w:rsid w:val="005B018D"/>
    <w:rsid w:val="005B79EC"/>
    <w:rsid w:val="005C7484"/>
    <w:rsid w:val="005F1353"/>
    <w:rsid w:val="005F5276"/>
    <w:rsid w:val="0060064B"/>
    <w:rsid w:val="00615B7A"/>
    <w:rsid w:val="006613D9"/>
    <w:rsid w:val="006B0B06"/>
    <w:rsid w:val="006C61C5"/>
    <w:rsid w:val="006D512D"/>
    <w:rsid w:val="006F35E7"/>
    <w:rsid w:val="00716756"/>
    <w:rsid w:val="00756E48"/>
    <w:rsid w:val="007928D1"/>
    <w:rsid w:val="007A4BB5"/>
    <w:rsid w:val="007D5F89"/>
    <w:rsid w:val="007F6134"/>
    <w:rsid w:val="00801DE6"/>
    <w:rsid w:val="00816C1D"/>
    <w:rsid w:val="008323C6"/>
    <w:rsid w:val="00843314"/>
    <w:rsid w:val="00852409"/>
    <w:rsid w:val="008B7513"/>
    <w:rsid w:val="008D2AF6"/>
    <w:rsid w:val="008F2C10"/>
    <w:rsid w:val="009144D2"/>
    <w:rsid w:val="00926CE3"/>
    <w:rsid w:val="00935723"/>
    <w:rsid w:val="00936CED"/>
    <w:rsid w:val="00941299"/>
    <w:rsid w:val="00952B9E"/>
    <w:rsid w:val="00966780"/>
    <w:rsid w:val="009706E9"/>
    <w:rsid w:val="00982193"/>
    <w:rsid w:val="00992552"/>
    <w:rsid w:val="0099339D"/>
    <w:rsid w:val="009A4AEC"/>
    <w:rsid w:val="009B29B2"/>
    <w:rsid w:val="009B4E67"/>
    <w:rsid w:val="009D0B8D"/>
    <w:rsid w:val="009D17E3"/>
    <w:rsid w:val="009E2E95"/>
    <w:rsid w:val="009E3635"/>
    <w:rsid w:val="009F7061"/>
    <w:rsid w:val="00A23DBE"/>
    <w:rsid w:val="00A31CCC"/>
    <w:rsid w:val="00A74090"/>
    <w:rsid w:val="00A747E1"/>
    <w:rsid w:val="00A91C9D"/>
    <w:rsid w:val="00A96BAF"/>
    <w:rsid w:val="00AA5038"/>
    <w:rsid w:val="00AA5643"/>
    <w:rsid w:val="00AB1FA3"/>
    <w:rsid w:val="00AC03B8"/>
    <w:rsid w:val="00AD00E7"/>
    <w:rsid w:val="00AE4E16"/>
    <w:rsid w:val="00AF7A63"/>
    <w:rsid w:val="00B05F7D"/>
    <w:rsid w:val="00B2679A"/>
    <w:rsid w:val="00B42C20"/>
    <w:rsid w:val="00B64DDE"/>
    <w:rsid w:val="00B820DB"/>
    <w:rsid w:val="00B83B4E"/>
    <w:rsid w:val="00B87DB6"/>
    <w:rsid w:val="00BD201B"/>
    <w:rsid w:val="00BE2EAD"/>
    <w:rsid w:val="00C027DB"/>
    <w:rsid w:val="00C028D8"/>
    <w:rsid w:val="00C50A71"/>
    <w:rsid w:val="00C56DB0"/>
    <w:rsid w:val="00C601D6"/>
    <w:rsid w:val="00C667DF"/>
    <w:rsid w:val="00C75E12"/>
    <w:rsid w:val="00C97E95"/>
    <w:rsid w:val="00CA79DB"/>
    <w:rsid w:val="00CB0809"/>
    <w:rsid w:val="00CB53F9"/>
    <w:rsid w:val="00CC2300"/>
    <w:rsid w:val="00CC7632"/>
    <w:rsid w:val="00CE0038"/>
    <w:rsid w:val="00CE6E85"/>
    <w:rsid w:val="00D40AF7"/>
    <w:rsid w:val="00D51916"/>
    <w:rsid w:val="00D5414E"/>
    <w:rsid w:val="00D62BB8"/>
    <w:rsid w:val="00DC7D3B"/>
    <w:rsid w:val="00DF2AB7"/>
    <w:rsid w:val="00E163BC"/>
    <w:rsid w:val="00E164AE"/>
    <w:rsid w:val="00E24452"/>
    <w:rsid w:val="00E314E8"/>
    <w:rsid w:val="00E4074E"/>
    <w:rsid w:val="00E462F4"/>
    <w:rsid w:val="00E530A1"/>
    <w:rsid w:val="00E7102A"/>
    <w:rsid w:val="00E944B7"/>
    <w:rsid w:val="00EB21EA"/>
    <w:rsid w:val="00ED3575"/>
    <w:rsid w:val="00F10290"/>
    <w:rsid w:val="00F703CD"/>
    <w:rsid w:val="00F72AF5"/>
    <w:rsid w:val="00F8201D"/>
    <w:rsid w:val="00F873E4"/>
    <w:rsid w:val="00FA73F0"/>
    <w:rsid w:val="00FB1ECB"/>
    <w:rsid w:val="00FC42A8"/>
    <w:rsid w:val="00FE4008"/>
    <w:rsid w:val="00FF5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B4E67"/>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9B4E67"/>
    <w:pPr>
      <w:keepNext/>
      <w:spacing w:after="0" w:line="48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E6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B4E67"/>
    <w:rPr>
      <w:rFonts w:ascii="Times New Roman" w:eastAsia="Times New Roman" w:hAnsi="Times New Roman" w:cs="Times New Roman"/>
      <w:b/>
      <w:bCs/>
      <w:sz w:val="24"/>
      <w:szCs w:val="24"/>
    </w:rPr>
  </w:style>
  <w:style w:type="paragraph" w:styleId="BodyText">
    <w:name w:val="Body Text"/>
    <w:basedOn w:val="Normal"/>
    <w:link w:val="BodyTextChar"/>
    <w:semiHidden/>
    <w:rsid w:val="009B4E67"/>
    <w:pPr>
      <w:spacing w:after="0" w:line="240" w:lineRule="auto"/>
      <w:jc w:val="center"/>
    </w:pPr>
    <w:rPr>
      <w:rFonts w:ascii="Times New Roman" w:eastAsia="Times New Roman" w:hAnsi="Times New Roman" w:cs="Times New Roman"/>
      <w:b/>
      <w:bCs/>
      <w:sz w:val="32"/>
      <w:szCs w:val="24"/>
      <w:u w:val="single"/>
    </w:rPr>
  </w:style>
  <w:style w:type="character" w:customStyle="1" w:styleId="BodyTextChar">
    <w:name w:val="Body Text Char"/>
    <w:basedOn w:val="DefaultParagraphFont"/>
    <w:link w:val="BodyText"/>
    <w:semiHidden/>
    <w:rsid w:val="009B4E67"/>
    <w:rPr>
      <w:rFonts w:ascii="Times New Roman" w:eastAsia="Times New Roman" w:hAnsi="Times New Roman" w:cs="Times New Roman"/>
      <w:b/>
      <w:bCs/>
      <w:sz w:val="32"/>
      <w:szCs w:val="24"/>
      <w:u w:val="single"/>
    </w:rPr>
  </w:style>
  <w:style w:type="paragraph" w:styleId="Footer">
    <w:name w:val="footer"/>
    <w:basedOn w:val="Normal"/>
    <w:link w:val="FooterChar"/>
    <w:semiHidden/>
    <w:rsid w:val="009B4E6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9B4E67"/>
    <w:rPr>
      <w:rFonts w:ascii="Times New Roman" w:eastAsia="Times New Roman" w:hAnsi="Times New Roman" w:cs="Times New Roman"/>
      <w:sz w:val="24"/>
      <w:szCs w:val="24"/>
    </w:rPr>
  </w:style>
  <w:style w:type="paragraph" w:styleId="BodyText2">
    <w:name w:val="Body Text 2"/>
    <w:basedOn w:val="Normal"/>
    <w:link w:val="BodyText2Char"/>
    <w:semiHidden/>
    <w:rsid w:val="009B4E67"/>
    <w:pPr>
      <w:spacing w:after="0" w:line="48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9B4E67"/>
    <w:rPr>
      <w:rFonts w:ascii="Times New Roman" w:eastAsia="Times New Roman" w:hAnsi="Times New Roman" w:cs="Times New Roman"/>
      <w:sz w:val="24"/>
      <w:szCs w:val="24"/>
    </w:rPr>
  </w:style>
  <w:style w:type="character" w:customStyle="1" w:styleId="highlight2">
    <w:name w:val="highlight2"/>
    <w:basedOn w:val="DefaultParagraphFont"/>
    <w:rsid w:val="007A4BB5"/>
  </w:style>
  <w:style w:type="paragraph" w:styleId="ListParagraph">
    <w:name w:val="List Paragraph"/>
    <w:basedOn w:val="Normal"/>
    <w:uiPriority w:val="34"/>
    <w:qFormat/>
    <w:rsid w:val="00AE4E16"/>
    <w:pPr>
      <w:ind w:left="720"/>
      <w:contextualSpacing/>
    </w:pPr>
  </w:style>
  <w:style w:type="character" w:customStyle="1" w:styleId="jrnl">
    <w:name w:val="jrnl"/>
    <w:basedOn w:val="DefaultParagraphFont"/>
    <w:rsid w:val="00A74090"/>
  </w:style>
  <w:style w:type="paragraph" w:customStyle="1" w:styleId="desc2">
    <w:name w:val="desc2"/>
    <w:basedOn w:val="Normal"/>
    <w:rsid w:val="00A74090"/>
    <w:pPr>
      <w:spacing w:after="0" w:line="240" w:lineRule="auto"/>
    </w:pPr>
    <w:rPr>
      <w:rFonts w:ascii="Times New Roman" w:eastAsia="Times New Roman" w:hAnsi="Times New Roman" w:cs="Times New Roman"/>
      <w:sz w:val="26"/>
      <w:szCs w:val="26"/>
      <w:lang w:eastAsia="en-GB"/>
    </w:rPr>
  </w:style>
  <w:style w:type="character" w:styleId="Strong">
    <w:name w:val="Strong"/>
    <w:basedOn w:val="DefaultParagraphFont"/>
    <w:uiPriority w:val="22"/>
    <w:qFormat/>
    <w:rsid w:val="005C7484"/>
    <w:rPr>
      <w:b/>
      <w:bCs/>
    </w:rPr>
  </w:style>
  <w:style w:type="character" w:styleId="Hyperlink">
    <w:name w:val="Hyperlink"/>
    <w:basedOn w:val="DefaultParagraphFont"/>
    <w:uiPriority w:val="99"/>
    <w:unhideWhenUsed/>
    <w:rsid w:val="00F72AF5"/>
    <w:rPr>
      <w:color w:val="0563C1" w:themeColor="hyperlink"/>
      <w:u w:val="single"/>
    </w:rPr>
  </w:style>
  <w:style w:type="paragraph" w:styleId="BalloonText">
    <w:name w:val="Balloon Text"/>
    <w:basedOn w:val="Normal"/>
    <w:link w:val="BalloonTextChar"/>
    <w:uiPriority w:val="99"/>
    <w:semiHidden/>
    <w:unhideWhenUsed/>
    <w:rsid w:val="004F1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CA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B4E67"/>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9B4E67"/>
    <w:pPr>
      <w:keepNext/>
      <w:spacing w:after="0" w:line="48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E6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B4E67"/>
    <w:rPr>
      <w:rFonts w:ascii="Times New Roman" w:eastAsia="Times New Roman" w:hAnsi="Times New Roman" w:cs="Times New Roman"/>
      <w:b/>
      <w:bCs/>
      <w:sz w:val="24"/>
      <w:szCs w:val="24"/>
    </w:rPr>
  </w:style>
  <w:style w:type="paragraph" w:styleId="BodyText">
    <w:name w:val="Body Text"/>
    <w:basedOn w:val="Normal"/>
    <w:link w:val="BodyTextChar"/>
    <w:semiHidden/>
    <w:rsid w:val="009B4E67"/>
    <w:pPr>
      <w:spacing w:after="0" w:line="240" w:lineRule="auto"/>
      <w:jc w:val="center"/>
    </w:pPr>
    <w:rPr>
      <w:rFonts w:ascii="Times New Roman" w:eastAsia="Times New Roman" w:hAnsi="Times New Roman" w:cs="Times New Roman"/>
      <w:b/>
      <w:bCs/>
      <w:sz w:val="32"/>
      <w:szCs w:val="24"/>
      <w:u w:val="single"/>
    </w:rPr>
  </w:style>
  <w:style w:type="character" w:customStyle="1" w:styleId="BodyTextChar">
    <w:name w:val="Body Text Char"/>
    <w:basedOn w:val="DefaultParagraphFont"/>
    <w:link w:val="BodyText"/>
    <w:semiHidden/>
    <w:rsid w:val="009B4E67"/>
    <w:rPr>
      <w:rFonts w:ascii="Times New Roman" w:eastAsia="Times New Roman" w:hAnsi="Times New Roman" w:cs="Times New Roman"/>
      <w:b/>
      <w:bCs/>
      <w:sz w:val="32"/>
      <w:szCs w:val="24"/>
      <w:u w:val="single"/>
    </w:rPr>
  </w:style>
  <w:style w:type="paragraph" w:styleId="Footer">
    <w:name w:val="footer"/>
    <w:basedOn w:val="Normal"/>
    <w:link w:val="FooterChar"/>
    <w:semiHidden/>
    <w:rsid w:val="009B4E6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9B4E67"/>
    <w:rPr>
      <w:rFonts w:ascii="Times New Roman" w:eastAsia="Times New Roman" w:hAnsi="Times New Roman" w:cs="Times New Roman"/>
      <w:sz w:val="24"/>
      <w:szCs w:val="24"/>
    </w:rPr>
  </w:style>
  <w:style w:type="paragraph" w:styleId="BodyText2">
    <w:name w:val="Body Text 2"/>
    <w:basedOn w:val="Normal"/>
    <w:link w:val="BodyText2Char"/>
    <w:semiHidden/>
    <w:rsid w:val="009B4E67"/>
    <w:pPr>
      <w:spacing w:after="0" w:line="48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9B4E67"/>
    <w:rPr>
      <w:rFonts w:ascii="Times New Roman" w:eastAsia="Times New Roman" w:hAnsi="Times New Roman" w:cs="Times New Roman"/>
      <w:sz w:val="24"/>
      <w:szCs w:val="24"/>
    </w:rPr>
  </w:style>
  <w:style w:type="character" w:customStyle="1" w:styleId="highlight2">
    <w:name w:val="highlight2"/>
    <w:basedOn w:val="DefaultParagraphFont"/>
    <w:rsid w:val="007A4BB5"/>
  </w:style>
  <w:style w:type="paragraph" w:styleId="ListParagraph">
    <w:name w:val="List Paragraph"/>
    <w:basedOn w:val="Normal"/>
    <w:uiPriority w:val="34"/>
    <w:qFormat/>
    <w:rsid w:val="00AE4E16"/>
    <w:pPr>
      <w:ind w:left="720"/>
      <w:contextualSpacing/>
    </w:pPr>
  </w:style>
  <w:style w:type="character" w:customStyle="1" w:styleId="jrnl">
    <w:name w:val="jrnl"/>
    <w:basedOn w:val="DefaultParagraphFont"/>
    <w:rsid w:val="00A74090"/>
  </w:style>
  <w:style w:type="paragraph" w:customStyle="1" w:styleId="desc2">
    <w:name w:val="desc2"/>
    <w:basedOn w:val="Normal"/>
    <w:rsid w:val="00A74090"/>
    <w:pPr>
      <w:spacing w:after="0" w:line="240" w:lineRule="auto"/>
    </w:pPr>
    <w:rPr>
      <w:rFonts w:ascii="Times New Roman" w:eastAsia="Times New Roman" w:hAnsi="Times New Roman" w:cs="Times New Roman"/>
      <w:sz w:val="26"/>
      <w:szCs w:val="26"/>
      <w:lang w:eastAsia="en-GB"/>
    </w:rPr>
  </w:style>
  <w:style w:type="character" w:styleId="Strong">
    <w:name w:val="Strong"/>
    <w:basedOn w:val="DefaultParagraphFont"/>
    <w:uiPriority w:val="22"/>
    <w:qFormat/>
    <w:rsid w:val="005C7484"/>
    <w:rPr>
      <w:b/>
      <w:bCs/>
    </w:rPr>
  </w:style>
  <w:style w:type="character" w:styleId="Hyperlink">
    <w:name w:val="Hyperlink"/>
    <w:basedOn w:val="DefaultParagraphFont"/>
    <w:uiPriority w:val="99"/>
    <w:unhideWhenUsed/>
    <w:rsid w:val="00F72AF5"/>
    <w:rPr>
      <w:color w:val="0563C1" w:themeColor="hyperlink"/>
      <w:u w:val="single"/>
    </w:rPr>
  </w:style>
  <w:style w:type="paragraph" w:styleId="BalloonText">
    <w:name w:val="Balloon Text"/>
    <w:basedOn w:val="Normal"/>
    <w:link w:val="BalloonTextChar"/>
    <w:uiPriority w:val="99"/>
    <w:semiHidden/>
    <w:unhideWhenUsed/>
    <w:rsid w:val="004F1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C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006546">
      <w:bodyDiv w:val="1"/>
      <w:marLeft w:val="0"/>
      <w:marRight w:val="0"/>
      <w:marTop w:val="0"/>
      <w:marBottom w:val="0"/>
      <w:divBdr>
        <w:top w:val="none" w:sz="0" w:space="0" w:color="auto"/>
        <w:left w:val="none" w:sz="0" w:space="0" w:color="auto"/>
        <w:bottom w:val="none" w:sz="0" w:space="0" w:color="auto"/>
        <w:right w:val="none" w:sz="0" w:space="0" w:color="auto"/>
      </w:divBdr>
      <w:divsChild>
        <w:div w:id="38210267">
          <w:marLeft w:val="0"/>
          <w:marRight w:val="0"/>
          <w:marTop w:val="0"/>
          <w:marBottom w:val="0"/>
          <w:divBdr>
            <w:top w:val="none" w:sz="0" w:space="0" w:color="auto"/>
            <w:left w:val="none" w:sz="0" w:space="0" w:color="auto"/>
            <w:bottom w:val="none" w:sz="0" w:space="0" w:color="auto"/>
            <w:right w:val="none" w:sz="0" w:space="0" w:color="auto"/>
          </w:divBdr>
        </w:div>
        <w:div w:id="56128432">
          <w:marLeft w:val="0"/>
          <w:marRight w:val="0"/>
          <w:marTop w:val="0"/>
          <w:marBottom w:val="0"/>
          <w:divBdr>
            <w:top w:val="none" w:sz="0" w:space="0" w:color="auto"/>
            <w:left w:val="none" w:sz="0" w:space="0" w:color="auto"/>
            <w:bottom w:val="none" w:sz="0" w:space="0" w:color="auto"/>
            <w:right w:val="none" w:sz="0" w:space="0" w:color="auto"/>
          </w:divBdr>
        </w:div>
        <w:div w:id="742261186">
          <w:marLeft w:val="0"/>
          <w:marRight w:val="0"/>
          <w:marTop w:val="0"/>
          <w:marBottom w:val="0"/>
          <w:divBdr>
            <w:top w:val="none" w:sz="0" w:space="0" w:color="auto"/>
            <w:left w:val="none" w:sz="0" w:space="0" w:color="auto"/>
            <w:bottom w:val="none" w:sz="0" w:space="0" w:color="auto"/>
            <w:right w:val="none" w:sz="0" w:space="0" w:color="auto"/>
          </w:divBdr>
        </w:div>
        <w:div w:id="1153790996">
          <w:marLeft w:val="0"/>
          <w:marRight w:val="0"/>
          <w:marTop w:val="0"/>
          <w:marBottom w:val="0"/>
          <w:divBdr>
            <w:top w:val="none" w:sz="0" w:space="0" w:color="auto"/>
            <w:left w:val="none" w:sz="0" w:space="0" w:color="auto"/>
            <w:bottom w:val="none" w:sz="0" w:space="0" w:color="auto"/>
            <w:right w:val="none" w:sz="0" w:space="0" w:color="auto"/>
          </w:divBdr>
        </w:div>
        <w:div w:id="1267813159">
          <w:marLeft w:val="0"/>
          <w:marRight w:val="0"/>
          <w:marTop w:val="0"/>
          <w:marBottom w:val="0"/>
          <w:divBdr>
            <w:top w:val="none" w:sz="0" w:space="0" w:color="auto"/>
            <w:left w:val="none" w:sz="0" w:space="0" w:color="auto"/>
            <w:bottom w:val="none" w:sz="0" w:space="0" w:color="auto"/>
            <w:right w:val="none" w:sz="0" w:space="0" w:color="auto"/>
          </w:divBdr>
        </w:div>
        <w:div w:id="1459951025">
          <w:marLeft w:val="0"/>
          <w:marRight w:val="0"/>
          <w:marTop w:val="0"/>
          <w:marBottom w:val="0"/>
          <w:divBdr>
            <w:top w:val="none" w:sz="0" w:space="0" w:color="auto"/>
            <w:left w:val="none" w:sz="0" w:space="0" w:color="auto"/>
            <w:bottom w:val="none" w:sz="0" w:space="0" w:color="auto"/>
            <w:right w:val="none" w:sz="0" w:space="0" w:color="auto"/>
          </w:divBdr>
        </w:div>
        <w:div w:id="2020765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d@mrc.soton.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8017</Words>
  <Characters>45702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Dennison</dc:creator>
  <cp:lastModifiedBy>Karen Drake</cp:lastModifiedBy>
  <cp:revision>2</cp:revision>
  <cp:lastPrinted>2015-03-18T12:55:00Z</cp:lastPrinted>
  <dcterms:created xsi:type="dcterms:W3CDTF">2015-04-07T08:44:00Z</dcterms:created>
  <dcterms:modified xsi:type="dcterms:W3CDTF">2015-04-07T08:44:00Z</dcterms:modified>
</cp:coreProperties>
</file>