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108" w:rsidRPr="005D2B18" w:rsidRDefault="00700108" w:rsidP="005014A3">
      <w:pPr>
        <w:jc w:val="center"/>
        <w:rPr>
          <w:b/>
        </w:rPr>
      </w:pPr>
      <w:r w:rsidRPr="005D2B18">
        <w:rPr>
          <w:b/>
        </w:rPr>
        <w:t>Patients’ Treatment Beliefs in Low Back Pain: Development and Validation of a Questionnaire in Primary Care</w:t>
      </w:r>
    </w:p>
    <w:p w:rsidR="00700108" w:rsidRPr="005D2B18" w:rsidRDefault="00700108" w:rsidP="005014A3"/>
    <w:p w:rsidR="00700108" w:rsidRPr="005D2B18" w:rsidRDefault="00700108" w:rsidP="005014A3">
      <w:pPr>
        <w:rPr>
          <w:szCs w:val="22"/>
          <w:vertAlign w:val="superscript"/>
        </w:rPr>
      </w:pPr>
      <w:r w:rsidRPr="005D2B18">
        <w:t>A. Dima PhD</w:t>
      </w:r>
      <w:r w:rsidRPr="005D2B18">
        <w:rPr>
          <w:szCs w:val="22"/>
          <w:vertAlign w:val="superscript"/>
        </w:rPr>
        <w:t>a,1</w:t>
      </w:r>
      <w:r w:rsidRPr="005D2B18">
        <w:rPr>
          <w:szCs w:val="22"/>
        </w:rPr>
        <w:t xml:space="preserve">, G.T. Lewith </w:t>
      </w:r>
      <w:proofErr w:type="spellStart"/>
      <w:r w:rsidRPr="005D2B18">
        <w:rPr>
          <w:szCs w:val="22"/>
        </w:rPr>
        <w:t>MRCGP</w:t>
      </w:r>
      <w:r w:rsidRPr="005D2B18">
        <w:rPr>
          <w:szCs w:val="22"/>
          <w:vertAlign w:val="superscript"/>
        </w:rPr>
        <w:t>a</w:t>
      </w:r>
      <w:proofErr w:type="spellEnd"/>
      <w:r w:rsidRPr="005D2B18">
        <w:rPr>
          <w:szCs w:val="22"/>
        </w:rPr>
        <w:t xml:space="preserve">, P. Little </w:t>
      </w:r>
      <w:proofErr w:type="spellStart"/>
      <w:r w:rsidRPr="005D2B18">
        <w:rPr>
          <w:szCs w:val="22"/>
        </w:rPr>
        <w:t>FMedSci</w:t>
      </w:r>
      <w:r w:rsidRPr="005D2B18">
        <w:rPr>
          <w:szCs w:val="22"/>
          <w:vertAlign w:val="superscript"/>
        </w:rPr>
        <w:t>a</w:t>
      </w:r>
      <w:proofErr w:type="spellEnd"/>
      <w:r w:rsidRPr="005D2B18">
        <w:rPr>
          <w:szCs w:val="22"/>
        </w:rPr>
        <w:t xml:space="preserve">, R. Moss-Morris </w:t>
      </w:r>
      <w:proofErr w:type="spellStart"/>
      <w:r w:rsidRPr="005D2B18">
        <w:rPr>
          <w:szCs w:val="22"/>
        </w:rPr>
        <w:t>PhD</w:t>
      </w:r>
      <w:r w:rsidRPr="005D2B18">
        <w:rPr>
          <w:szCs w:val="22"/>
          <w:vertAlign w:val="superscript"/>
        </w:rPr>
        <w:t>b</w:t>
      </w:r>
      <w:proofErr w:type="spellEnd"/>
      <w:r w:rsidRPr="005D2B18">
        <w:rPr>
          <w:szCs w:val="22"/>
        </w:rPr>
        <w:t xml:space="preserve">, N.E. Foster </w:t>
      </w:r>
      <w:proofErr w:type="spellStart"/>
      <w:r w:rsidRPr="005D2B18">
        <w:rPr>
          <w:szCs w:val="22"/>
        </w:rPr>
        <w:t>DPhil</w:t>
      </w:r>
      <w:r w:rsidRPr="005D2B18">
        <w:rPr>
          <w:szCs w:val="22"/>
          <w:vertAlign w:val="superscript"/>
        </w:rPr>
        <w:t>c</w:t>
      </w:r>
      <w:proofErr w:type="spellEnd"/>
      <w:r w:rsidRPr="005D2B18">
        <w:rPr>
          <w:szCs w:val="22"/>
        </w:rPr>
        <w:t xml:space="preserve">, M. Hankins </w:t>
      </w:r>
      <w:proofErr w:type="spellStart"/>
      <w:r w:rsidRPr="005D2B18">
        <w:rPr>
          <w:szCs w:val="22"/>
        </w:rPr>
        <w:t>PhD</w:t>
      </w:r>
      <w:r w:rsidRPr="005D2B18">
        <w:rPr>
          <w:szCs w:val="22"/>
          <w:vertAlign w:val="superscript"/>
        </w:rPr>
        <w:t>d</w:t>
      </w:r>
      <w:proofErr w:type="spellEnd"/>
      <w:r w:rsidRPr="005D2B18">
        <w:rPr>
          <w:szCs w:val="22"/>
        </w:rPr>
        <w:t xml:space="preserve">, G. Surtees </w:t>
      </w:r>
      <w:proofErr w:type="spellStart"/>
      <w:r w:rsidRPr="005D2B18">
        <w:rPr>
          <w:szCs w:val="22"/>
        </w:rPr>
        <w:t>BM</w:t>
      </w:r>
      <w:r w:rsidRPr="005D2B18">
        <w:rPr>
          <w:szCs w:val="22"/>
          <w:vertAlign w:val="superscript"/>
        </w:rPr>
        <w:t>a</w:t>
      </w:r>
      <w:proofErr w:type="spellEnd"/>
      <w:r w:rsidRPr="005D2B18">
        <w:rPr>
          <w:szCs w:val="22"/>
        </w:rPr>
        <w:t>, F.L. Bishop PhD*</w:t>
      </w:r>
      <w:r w:rsidRPr="005D2B18">
        <w:rPr>
          <w:szCs w:val="22"/>
          <w:vertAlign w:val="superscript"/>
        </w:rPr>
        <w:t>a,2</w:t>
      </w:r>
    </w:p>
    <w:p w:rsidR="00700108" w:rsidRPr="005D2B18" w:rsidRDefault="00700108" w:rsidP="005014A3">
      <w:pPr>
        <w:rPr>
          <w:b/>
          <w:szCs w:val="22"/>
        </w:rPr>
      </w:pPr>
    </w:p>
    <w:p w:rsidR="00700108" w:rsidRPr="005D2B18" w:rsidRDefault="00700108" w:rsidP="005014A3">
      <w:pPr>
        <w:outlineLvl w:val="0"/>
        <w:rPr>
          <w:b/>
          <w:szCs w:val="22"/>
        </w:rPr>
      </w:pPr>
      <w:r w:rsidRPr="005D2B18">
        <w:rPr>
          <w:b/>
          <w:szCs w:val="22"/>
        </w:rPr>
        <w:t>Affiliations</w:t>
      </w:r>
    </w:p>
    <w:p w:rsidR="00700108" w:rsidRPr="005D2B18" w:rsidRDefault="00700108" w:rsidP="005014A3">
      <w:pPr>
        <w:rPr>
          <w:szCs w:val="22"/>
        </w:rPr>
      </w:pPr>
      <w:r w:rsidRPr="005D2B18">
        <w:rPr>
          <w:szCs w:val="22"/>
          <w:vertAlign w:val="superscript"/>
        </w:rPr>
        <w:t>a</w:t>
      </w:r>
      <w:r w:rsidRPr="005D2B18">
        <w:rPr>
          <w:szCs w:val="22"/>
        </w:rPr>
        <w:t xml:space="preserve"> Primary Care and Population Sciences, University of Southampton, </w:t>
      </w:r>
      <w:proofErr w:type="spellStart"/>
      <w:r w:rsidRPr="005D2B18">
        <w:rPr>
          <w:szCs w:val="22"/>
        </w:rPr>
        <w:t>Aldermoor</w:t>
      </w:r>
      <w:proofErr w:type="spellEnd"/>
      <w:r w:rsidRPr="005D2B18">
        <w:rPr>
          <w:szCs w:val="22"/>
        </w:rPr>
        <w:t xml:space="preserve"> Health Centre, </w:t>
      </w:r>
      <w:proofErr w:type="spellStart"/>
      <w:r w:rsidRPr="005D2B18">
        <w:rPr>
          <w:szCs w:val="22"/>
        </w:rPr>
        <w:t>Aldermoor</w:t>
      </w:r>
      <w:proofErr w:type="spellEnd"/>
      <w:r w:rsidRPr="005D2B18">
        <w:rPr>
          <w:szCs w:val="22"/>
        </w:rPr>
        <w:t xml:space="preserve"> Close, Southampton, SO16 5ST, UK; A. Dima (A.L.Dima@uva.nl</w:t>
      </w:r>
      <w:hyperlink r:id="rId7" w:history="1"/>
      <w:r w:rsidRPr="005D2B18">
        <w:rPr>
          <w:szCs w:val="22"/>
        </w:rPr>
        <w:t xml:space="preserve"> ); G.T. Lewith (</w:t>
      </w:r>
      <w:hyperlink r:id="rId8" w:history="1">
        <w:r w:rsidRPr="005D2B18">
          <w:rPr>
            <w:rStyle w:val="Hyperlink"/>
            <w:color w:val="auto"/>
            <w:szCs w:val="22"/>
          </w:rPr>
          <w:t>gl3@soton.ac.uk</w:t>
        </w:r>
      </w:hyperlink>
      <w:r w:rsidRPr="005D2B18">
        <w:rPr>
          <w:szCs w:val="22"/>
        </w:rPr>
        <w:t>); P. Little (</w:t>
      </w:r>
      <w:hyperlink r:id="rId9" w:history="1">
        <w:r w:rsidRPr="005D2B18">
          <w:rPr>
            <w:rStyle w:val="Hyperlink"/>
            <w:color w:val="auto"/>
            <w:szCs w:val="22"/>
          </w:rPr>
          <w:t>P.Little@soton.ac.uk</w:t>
        </w:r>
      </w:hyperlink>
      <w:r w:rsidRPr="005D2B18">
        <w:rPr>
          <w:szCs w:val="22"/>
        </w:rPr>
        <w:t>); G. Surtees (</w:t>
      </w:r>
      <w:hyperlink r:id="rId10" w:history="1">
        <w:r w:rsidRPr="005D2B18">
          <w:rPr>
            <w:rStyle w:val="Hyperlink"/>
            <w:color w:val="auto"/>
            <w:szCs w:val="22"/>
          </w:rPr>
          <w:t>george.surtees@doctors.org.uk</w:t>
        </w:r>
      </w:hyperlink>
      <w:r w:rsidRPr="005D2B18">
        <w:rPr>
          <w:szCs w:val="22"/>
        </w:rPr>
        <w:t>); F.L. Bishop (</w:t>
      </w:r>
      <w:hyperlink r:id="rId11" w:history="1">
        <w:r w:rsidRPr="005D2B18">
          <w:rPr>
            <w:rStyle w:val="Hyperlink"/>
            <w:color w:val="auto"/>
            <w:szCs w:val="22"/>
          </w:rPr>
          <w:t>F.L.Bishop@southampton.ac.uk</w:t>
        </w:r>
      </w:hyperlink>
      <w:r w:rsidRPr="005D2B18">
        <w:rPr>
          <w:szCs w:val="22"/>
        </w:rPr>
        <w:t>)</w:t>
      </w:r>
    </w:p>
    <w:p w:rsidR="00700108" w:rsidRPr="005D2B18" w:rsidRDefault="00700108" w:rsidP="005014A3">
      <w:pPr>
        <w:rPr>
          <w:szCs w:val="22"/>
        </w:rPr>
      </w:pPr>
      <w:r w:rsidRPr="005D2B18">
        <w:rPr>
          <w:szCs w:val="22"/>
          <w:vertAlign w:val="superscript"/>
        </w:rPr>
        <w:t>b</w:t>
      </w:r>
      <w:r w:rsidRPr="005D2B18">
        <w:rPr>
          <w:szCs w:val="22"/>
        </w:rPr>
        <w:t xml:space="preserve"> </w:t>
      </w:r>
      <w:r w:rsidRPr="005D2B18">
        <w:t>Health Psychology Section, Institute of Psychiatry, Psychology and Neuroscience, King's College London, 5th Floor Bermondsey Wing, Guy's Hospital Campus, London Bridge, London SE1 9RT, UK</w:t>
      </w:r>
      <w:r w:rsidRPr="005D2B18">
        <w:rPr>
          <w:szCs w:val="22"/>
        </w:rPr>
        <w:t>; R. Moss-Morris (</w:t>
      </w:r>
      <w:hyperlink r:id="rId12" w:history="1">
        <w:r w:rsidRPr="005D2B18">
          <w:rPr>
            <w:rStyle w:val="Hyperlink"/>
            <w:color w:val="auto"/>
            <w:szCs w:val="22"/>
          </w:rPr>
          <w:t>rona.moss-morris@kcl.ac.uk</w:t>
        </w:r>
      </w:hyperlink>
      <w:r w:rsidRPr="005D2B18">
        <w:rPr>
          <w:szCs w:val="22"/>
        </w:rPr>
        <w:t>)</w:t>
      </w:r>
    </w:p>
    <w:p w:rsidR="00700108" w:rsidRPr="005D2B18" w:rsidRDefault="00700108" w:rsidP="005014A3">
      <w:pPr>
        <w:rPr>
          <w:szCs w:val="22"/>
        </w:rPr>
      </w:pPr>
      <w:r w:rsidRPr="005D2B18">
        <w:rPr>
          <w:szCs w:val="22"/>
          <w:vertAlign w:val="superscript"/>
        </w:rPr>
        <w:t>c</w:t>
      </w:r>
      <w:r w:rsidRPr="005D2B18">
        <w:rPr>
          <w:szCs w:val="22"/>
        </w:rPr>
        <w:t xml:space="preserve"> </w:t>
      </w:r>
      <w:r w:rsidRPr="005D2B18">
        <w:t xml:space="preserve">Arthritis Research UK Primary Care Centre, Research Institute of Primary Care and Health Sciences, </w:t>
      </w:r>
      <w:proofErr w:type="spellStart"/>
      <w:r w:rsidRPr="005D2B18">
        <w:t>Keele</w:t>
      </w:r>
      <w:proofErr w:type="spellEnd"/>
      <w:r w:rsidRPr="005D2B18">
        <w:t xml:space="preserve"> University, Staffordshire, ST5 5BG</w:t>
      </w:r>
      <w:r w:rsidRPr="005D2B18">
        <w:rPr>
          <w:szCs w:val="22"/>
        </w:rPr>
        <w:t>, UK; N.E. Foster (</w:t>
      </w:r>
      <w:hyperlink r:id="rId13" w:history="1">
        <w:r w:rsidRPr="005D2B18">
          <w:rPr>
            <w:rStyle w:val="Hyperlink"/>
            <w:color w:val="auto"/>
            <w:szCs w:val="22"/>
          </w:rPr>
          <w:t>n.foster@keele.ac.uk</w:t>
        </w:r>
      </w:hyperlink>
      <w:r w:rsidRPr="005D2B18">
        <w:rPr>
          <w:szCs w:val="22"/>
        </w:rPr>
        <w:t>)</w:t>
      </w:r>
    </w:p>
    <w:p w:rsidR="00700108" w:rsidRPr="005D2B18" w:rsidRDefault="00700108" w:rsidP="005014A3">
      <w:pPr>
        <w:rPr>
          <w:szCs w:val="22"/>
        </w:rPr>
      </w:pPr>
      <w:proofErr w:type="gramStart"/>
      <w:r w:rsidRPr="005D2B18">
        <w:rPr>
          <w:szCs w:val="22"/>
          <w:vertAlign w:val="superscript"/>
        </w:rPr>
        <w:t>d</w:t>
      </w:r>
      <w:proofErr w:type="gramEnd"/>
      <w:r w:rsidRPr="005D2B18">
        <w:rPr>
          <w:szCs w:val="22"/>
        </w:rPr>
        <w:t xml:space="preserve"> Real-World Evidence Solutions, IMS Health, UK; M. Hankins (</w:t>
      </w:r>
      <w:hyperlink r:id="rId14" w:history="1">
        <w:r w:rsidRPr="005D2B18">
          <w:rPr>
            <w:rStyle w:val="Hyperlink"/>
            <w:color w:val="auto"/>
            <w:szCs w:val="22"/>
          </w:rPr>
          <w:t>M.Hankins@soton.ac.uk</w:t>
        </w:r>
      </w:hyperlink>
      <w:r w:rsidRPr="005D2B18">
        <w:rPr>
          <w:szCs w:val="22"/>
        </w:rPr>
        <w:t>)</w:t>
      </w:r>
    </w:p>
    <w:p w:rsidR="00700108" w:rsidRPr="005D2B18" w:rsidRDefault="00700108" w:rsidP="005014A3">
      <w:pPr>
        <w:rPr>
          <w:b/>
        </w:rPr>
      </w:pPr>
    </w:p>
    <w:p w:rsidR="00700108" w:rsidRPr="005D2B18" w:rsidRDefault="00700108" w:rsidP="005014A3">
      <w:pPr>
        <w:outlineLvl w:val="0"/>
        <w:rPr>
          <w:b/>
        </w:rPr>
      </w:pPr>
      <w:r w:rsidRPr="005D2B18">
        <w:rPr>
          <w:b/>
        </w:rPr>
        <w:t>Correspondence</w:t>
      </w:r>
    </w:p>
    <w:p w:rsidR="00700108" w:rsidRPr="005D2B18" w:rsidRDefault="00700108" w:rsidP="005014A3">
      <w:r w:rsidRPr="005D2B18">
        <w:t>* Address correspondence to:  Felicity L Bishop, Centre for Applications of Health Psychology, Faculty of Social and Human Sciences, Building 44 Highfield Campus, University of Southampton, Southampton SO17 1BJ. UK. Tel: +44 (0)23 8059 9020. Fax: +44 (0)23 8059 4597. Email: F.L.Bishop@southampton.ac.uk</w:t>
      </w:r>
    </w:p>
    <w:p w:rsidR="00700108" w:rsidRPr="005D2B18" w:rsidRDefault="00700108" w:rsidP="005014A3">
      <w:pPr>
        <w:rPr>
          <w:b/>
          <w:szCs w:val="22"/>
        </w:rPr>
      </w:pPr>
    </w:p>
    <w:p w:rsidR="00700108" w:rsidRPr="005D2B18" w:rsidRDefault="00700108" w:rsidP="005014A3">
      <w:pPr>
        <w:outlineLvl w:val="0"/>
        <w:rPr>
          <w:b/>
          <w:szCs w:val="22"/>
        </w:rPr>
      </w:pPr>
      <w:r w:rsidRPr="005D2B18">
        <w:rPr>
          <w:b/>
          <w:szCs w:val="22"/>
        </w:rPr>
        <w:t>Present Addresses</w:t>
      </w:r>
    </w:p>
    <w:p w:rsidR="00700108" w:rsidRPr="005D2B18" w:rsidRDefault="00700108" w:rsidP="005014A3">
      <w:pPr>
        <w:rPr>
          <w:szCs w:val="22"/>
        </w:rPr>
      </w:pPr>
      <w:r w:rsidRPr="005D2B18">
        <w:rPr>
          <w:szCs w:val="22"/>
          <w:vertAlign w:val="superscript"/>
        </w:rPr>
        <w:t>1</w:t>
      </w:r>
      <w:r w:rsidRPr="005D2B18">
        <w:rPr>
          <w:szCs w:val="22"/>
        </w:rPr>
        <w:t xml:space="preserve"> Amsterdam School of Communication Research (</w:t>
      </w:r>
      <w:proofErr w:type="spellStart"/>
      <w:r w:rsidRPr="005D2B18">
        <w:rPr>
          <w:szCs w:val="22"/>
        </w:rPr>
        <w:t>ASCoR</w:t>
      </w:r>
      <w:proofErr w:type="spellEnd"/>
      <w:r w:rsidRPr="005D2B18">
        <w:rPr>
          <w:szCs w:val="22"/>
        </w:rPr>
        <w:t xml:space="preserve">), University of Amsterdam, PO Box 15791 1001NG, Amsterdam, </w:t>
      </w:r>
      <w:proofErr w:type="gramStart"/>
      <w:r w:rsidRPr="005D2B18">
        <w:rPr>
          <w:szCs w:val="22"/>
        </w:rPr>
        <w:t>The</w:t>
      </w:r>
      <w:proofErr w:type="gramEnd"/>
      <w:r w:rsidRPr="005D2B18">
        <w:rPr>
          <w:szCs w:val="22"/>
        </w:rPr>
        <w:t xml:space="preserve"> Netherlands. </w:t>
      </w:r>
    </w:p>
    <w:p w:rsidR="00700108" w:rsidRPr="005D2B18" w:rsidRDefault="00700108" w:rsidP="005014A3">
      <w:r w:rsidRPr="005D2B18">
        <w:rPr>
          <w:szCs w:val="22"/>
          <w:vertAlign w:val="superscript"/>
        </w:rPr>
        <w:t>2</w:t>
      </w:r>
      <w:r w:rsidRPr="005D2B18">
        <w:rPr>
          <w:szCs w:val="22"/>
        </w:rPr>
        <w:t xml:space="preserve"> </w:t>
      </w:r>
      <w:r w:rsidRPr="005D2B18">
        <w:t xml:space="preserve">Centre for Applications of Health Psychology, Faculty of Social and Human Sciences, Building 44 Highfield Campus, University of Southampton, Southampton SO17 1BJ. UK. </w:t>
      </w:r>
    </w:p>
    <w:p w:rsidR="00700108" w:rsidRPr="005D2B18" w:rsidRDefault="00700108" w:rsidP="005014A3"/>
    <w:p w:rsidR="00700108" w:rsidRPr="005D2B18" w:rsidRDefault="00700108" w:rsidP="005014A3">
      <w:pPr>
        <w:outlineLvl w:val="0"/>
        <w:rPr>
          <w:b/>
          <w:szCs w:val="22"/>
        </w:rPr>
      </w:pPr>
      <w:r w:rsidRPr="005D2B18">
        <w:rPr>
          <w:b/>
          <w:szCs w:val="22"/>
        </w:rPr>
        <w:t xml:space="preserve">Number of manuscript pages: </w:t>
      </w:r>
      <w:r w:rsidR="0051720C" w:rsidRPr="005D2B18">
        <w:rPr>
          <w:b/>
          <w:szCs w:val="22"/>
        </w:rPr>
        <w:t>3</w:t>
      </w:r>
      <w:r w:rsidR="00150007" w:rsidRPr="005D2B18">
        <w:rPr>
          <w:b/>
          <w:szCs w:val="22"/>
        </w:rPr>
        <w:t>4</w:t>
      </w:r>
    </w:p>
    <w:p w:rsidR="00700108" w:rsidRPr="005D2B18" w:rsidRDefault="00700108" w:rsidP="005014A3">
      <w:pPr>
        <w:outlineLvl w:val="0"/>
        <w:rPr>
          <w:b/>
          <w:szCs w:val="22"/>
        </w:rPr>
      </w:pPr>
      <w:r w:rsidRPr="005D2B18">
        <w:rPr>
          <w:b/>
          <w:szCs w:val="22"/>
        </w:rPr>
        <w:t>Number of tables: 9</w:t>
      </w:r>
    </w:p>
    <w:p w:rsidR="00700108" w:rsidRPr="005D2B18" w:rsidRDefault="00700108" w:rsidP="005014A3">
      <w:pPr>
        <w:outlineLvl w:val="0"/>
        <w:rPr>
          <w:b/>
          <w:szCs w:val="22"/>
        </w:rPr>
      </w:pPr>
      <w:r w:rsidRPr="005D2B18">
        <w:rPr>
          <w:b/>
          <w:szCs w:val="22"/>
        </w:rPr>
        <w:t>Number of figures: 1</w:t>
      </w:r>
    </w:p>
    <w:p w:rsidR="00700108" w:rsidRPr="005D2B18" w:rsidRDefault="00700108" w:rsidP="005014A3">
      <w:pPr>
        <w:outlineLvl w:val="0"/>
        <w:rPr>
          <w:b/>
          <w:szCs w:val="22"/>
        </w:rPr>
      </w:pPr>
      <w:r w:rsidRPr="005D2B18">
        <w:rPr>
          <w:b/>
          <w:szCs w:val="22"/>
        </w:rPr>
        <w:t>Supplementary m</w:t>
      </w:r>
      <w:r w:rsidR="00A63C49" w:rsidRPr="005D2B18">
        <w:rPr>
          <w:b/>
          <w:szCs w:val="22"/>
        </w:rPr>
        <w:t>aterials: 11</w:t>
      </w:r>
    </w:p>
    <w:p w:rsidR="00700108" w:rsidRPr="005D2B18" w:rsidRDefault="00700108" w:rsidP="00355DC6">
      <w:pPr>
        <w:spacing w:line="480" w:lineRule="auto"/>
        <w:rPr>
          <w:b/>
        </w:rPr>
      </w:pPr>
    </w:p>
    <w:p w:rsidR="00700108" w:rsidRPr="005D2B18" w:rsidRDefault="00700108" w:rsidP="005014A3">
      <w:pPr>
        <w:outlineLvl w:val="0"/>
        <w:rPr>
          <w:b/>
          <w:bCs/>
        </w:rPr>
      </w:pPr>
      <w:r w:rsidRPr="005D2B18">
        <w:rPr>
          <w:b/>
          <w:bCs/>
        </w:rPr>
        <w:t>Keywords</w:t>
      </w:r>
    </w:p>
    <w:p w:rsidR="00700108" w:rsidRPr="005D2B18" w:rsidRDefault="00700108" w:rsidP="005014A3">
      <w:r w:rsidRPr="005D2B18">
        <w:t>low back pain; questionnaire validation; scale; psychometrics; treatment beliefs; medication beliefs; pain medication; exercise; manual therapy; acupuncture; non-parametric item response theory.</w:t>
      </w:r>
    </w:p>
    <w:p w:rsidR="00700108" w:rsidRPr="005D2B18" w:rsidRDefault="00700108" w:rsidP="001C62E2">
      <w:pPr>
        <w:spacing w:line="480" w:lineRule="auto"/>
        <w:rPr>
          <w:b/>
          <w:bCs/>
        </w:rPr>
      </w:pPr>
    </w:p>
    <w:p w:rsidR="00700108" w:rsidRPr="005D2B18" w:rsidRDefault="00700108" w:rsidP="001C62E2">
      <w:pPr>
        <w:spacing w:line="480" w:lineRule="auto"/>
        <w:rPr>
          <w:b/>
          <w:szCs w:val="22"/>
        </w:rPr>
      </w:pPr>
      <w:r w:rsidRPr="005D2B18">
        <w:rPr>
          <w:b/>
          <w:bCs/>
        </w:rPr>
        <w:br w:type="page"/>
      </w:r>
    </w:p>
    <w:p w:rsidR="00700108" w:rsidRPr="005D2B18" w:rsidRDefault="00700108" w:rsidP="005014A3">
      <w:pPr>
        <w:spacing w:line="480" w:lineRule="auto"/>
        <w:jc w:val="center"/>
        <w:outlineLvl w:val="0"/>
        <w:rPr>
          <w:b/>
        </w:rPr>
      </w:pPr>
      <w:r w:rsidRPr="005D2B18">
        <w:rPr>
          <w:b/>
        </w:rPr>
        <w:lastRenderedPageBreak/>
        <w:t>Introduction</w:t>
      </w:r>
    </w:p>
    <w:p w:rsidR="00700108" w:rsidRPr="005D2B18" w:rsidRDefault="00700108" w:rsidP="00455EFD">
      <w:pPr>
        <w:spacing w:line="480" w:lineRule="auto"/>
      </w:pPr>
      <w:r w:rsidRPr="005D2B18">
        <w:t xml:space="preserve">Low back pain (LBP) is a leading cause of disability world-wide </w:t>
      </w:r>
      <w:r w:rsidRPr="005D2B18">
        <w:rPr>
          <w:noProof/>
        </w:rPr>
        <w:t>[42]</w:t>
      </w:r>
      <w:r w:rsidRPr="005D2B18">
        <w:t xml:space="preserve"> and is managed mostly within primary care. Most patients have non-specific LBP </w:t>
      </w:r>
      <w:r w:rsidRPr="005D2B18">
        <w:rPr>
          <w:noProof/>
        </w:rPr>
        <w:t>[1;15]</w:t>
      </w:r>
      <w:r w:rsidRPr="005D2B18">
        <w:t xml:space="preserve"> and 75% may continue to have pain and/or disability 12 months after the initial consultation </w:t>
      </w:r>
      <w:r w:rsidRPr="005D2B18">
        <w:rPr>
          <w:noProof/>
        </w:rPr>
        <w:t>[13]</w:t>
      </w:r>
      <w:r w:rsidRPr="005D2B18">
        <w:t xml:space="preserve">. Clinical guidelines recommend several treatments, including conventional (e.g. education, exercise, pain medication), complementary/alternative (CAMs) (e.g. acupuncture, manual therapy) and combined physical and psychological treatments (pain management courses) </w:t>
      </w:r>
      <w:r w:rsidRPr="005D2B18">
        <w:rPr>
          <w:noProof/>
        </w:rPr>
        <w:t>[1;11;49;50]</w:t>
      </w:r>
      <w:r w:rsidRPr="005D2B18">
        <w:t>. The clinical challenge is to choose optimal treatment</w:t>
      </w:r>
      <w:r w:rsidR="00042E8A" w:rsidRPr="005D2B18">
        <w:t>s</w:t>
      </w:r>
      <w:r w:rsidRPr="005D2B18">
        <w:t xml:space="preserve"> for individual</w:t>
      </w:r>
      <w:r w:rsidR="006103CF" w:rsidRPr="005D2B18">
        <w:t>s</w:t>
      </w:r>
      <w:r w:rsidRPr="005D2B18">
        <w:t xml:space="preserve">; clinical guidelines explicitly encourage </w:t>
      </w:r>
      <w:r w:rsidR="005D64FB" w:rsidRPr="005D2B18">
        <w:t xml:space="preserve">considering </w:t>
      </w:r>
      <w:r w:rsidRPr="005D2B18">
        <w:t xml:space="preserve">patients’ preferences </w:t>
      </w:r>
      <w:r w:rsidRPr="005D2B18">
        <w:rPr>
          <w:noProof/>
        </w:rPr>
        <w:t>[1;11;49;49;50;50]</w:t>
      </w:r>
      <w:r w:rsidRPr="005D2B18">
        <w:t xml:space="preserve">, but offer no recommendations on how to elicit and integrate them into decision-making. Clear conceptualization and standardized assessment of patients’ preferences would facilitate further research and possible subsequent integration into practice.  </w:t>
      </w:r>
    </w:p>
    <w:p w:rsidR="00700108" w:rsidRPr="005D2B18" w:rsidRDefault="00700108" w:rsidP="003A25D4">
      <w:pPr>
        <w:spacing w:line="480" w:lineRule="auto"/>
        <w:ind w:firstLine="720"/>
      </w:pPr>
      <w:r w:rsidRPr="005D2B18">
        <w:t xml:space="preserve">Treatment preferences can be understood within the extended Common-Sense Model (CSM) of illness representations </w:t>
      </w:r>
      <w:r w:rsidRPr="005D2B18">
        <w:rPr>
          <w:noProof/>
        </w:rPr>
        <w:t>[33]</w:t>
      </w:r>
      <w:r w:rsidRPr="005D2B18">
        <w:t xml:space="preserve">. This model stipulates that, when confronted with a medical problem, patients develop cognitive and emotional representations of their condition and beliefs about possible treatments (“treatment beliefs” </w:t>
      </w:r>
      <w:r w:rsidRPr="005D2B18">
        <w:rPr>
          <w:noProof/>
        </w:rPr>
        <w:t>[26]</w:t>
      </w:r>
      <w:r w:rsidRPr="005D2B18">
        <w:t xml:space="preserve"> based on information from various sources), which guide their behaviours (e.g., treatment choice) and can predict subsequent clinical outcomes (e.g., pain). Significant relationships have been found between illness representations, treatment beliefs, and outcomes such as adherence and satisfaction in various chronic conditions </w:t>
      </w:r>
      <w:r w:rsidRPr="005D2B18">
        <w:rPr>
          <w:noProof/>
        </w:rPr>
        <w:t>[7;22;24;27;28;44]</w:t>
      </w:r>
      <w:r w:rsidRPr="005D2B18">
        <w:t xml:space="preserve"> including LBP </w:t>
      </w:r>
      <w:r w:rsidRPr="005D2B18">
        <w:rPr>
          <w:noProof/>
        </w:rPr>
        <w:t>[17;20]</w:t>
      </w:r>
      <w:r w:rsidRPr="005D2B18">
        <w:t xml:space="preserve">. According to the CSM, treatment preferences develop when patients attempt to “match” treatments to their condition, aiming for coherence between illness representations and treatment beliefs. For example, patients who believe their LBP is caused by a mechanical problem </w:t>
      </w:r>
      <w:r w:rsidR="005D64FB" w:rsidRPr="005D2B18">
        <w:t xml:space="preserve">may </w:t>
      </w:r>
      <w:r w:rsidRPr="005D2B18">
        <w:t xml:space="preserve">prefer treatments they believe can remedy mechanical dysfunctions and choose manual therapy; patients who see LBP as essentially a pain symptom </w:t>
      </w:r>
      <w:r w:rsidR="005D64FB" w:rsidRPr="005D2B18">
        <w:t xml:space="preserve">may </w:t>
      </w:r>
      <w:r w:rsidRPr="005D2B18">
        <w:t xml:space="preserve">prefer treatments they consider appropriate to reduce </w:t>
      </w:r>
      <w:r w:rsidRPr="005D2B18">
        <w:lastRenderedPageBreak/>
        <w:t xml:space="preserve">pain, and choose pain medication. </w:t>
      </w:r>
      <w:r w:rsidR="005D64FB" w:rsidRPr="005D2B18">
        <w:t>R</w:t>
      </w:r>
      <w:r w:rsidRPr="005D2B18">
        <w:t>eliable and valid measure</w:t>
      </w:r>
      <w:r w:rsidR="005D64FB" w:rsidRPr="005D2B18">
        <w:t>ment</w:t>
      </w:r>
      <w:r w:rsidRPr="005D2B18">
        <w:t xml:space="preserve"> of treatment beliefs in LBP is needed to further test such hypotheses derived from the CSM and facilitate shared decision-making.</w:t>
      </w:r>
    </w:p>
    <w:p w:rsidR="00700108" w:rsidRPr="005D2B18" w:rsidRDefault="00700108" w:rsidP="007629C4">
      <w:pPr>
        <w:spacing w:line="480" w:lineRule="auto"/>
        <w:ind w:firstLine="720"/>
      </w:pPr>
      <w:r w:rsidRPr="005D2B18">
        <w:t xml:space="preserve">Illness perceptions have been examined extensively: validated questionnaires are available </w:t>
      </w:r>
      <w:r w:rsidRPr="005D2B18">
        <w:rPr>
          <w:noProof/>
        </w:rPr>
        <w:t>[10;41;63]</w:t>
      </w:r>
      <w:r w:rsidRPr="005D2B18">
        <w:t xml:space="preserve"> and have been used in LBP research </w:t>
      </w:r>
      <w:r w:rsidRPr="005D2B18">
        <w:rPr>
          <w:noProof/>
        </w:rPr>
        <w:t>[17;20]</w:t>
      </w:r>
      <w:r w:rsidRPr="005D2B18">
        <w:t xml:space="preserve">. However, we could not identify a treatment beliefs questionnaire applicable to different LBP treatments that concomitantly assesses several relevant beliefs. Existing measures are treatment-specific </w:t>
      </w:r>
      <w:r w:rsidRPr="005D2B18">
        <w:rPr>
          <w:noProof/>
        </w:rPr>
        <w:t>[9;18;29;34;37;60;62]</w:t>
      </w:r>
      <w:r w:rsidRPr="005D2B18">
        <w:t xml:space="preserve">, and previous studies in LBP have focused on single belief dimensions, e.g. expectations of effectiveness </w:t>
      </w:r>
      <w:r w:rsidRPr="005D2B18">
        <w:rPr>
          <w:noProof/>
        </w:rPr>
        <w:t>[19;43;52;58]</w:t>
      </w:r>
      <w:r w:rsidRPr="005D2B18">
        <w:t xml:space="preserve">, or perceived credibility </w:t>
      </w:r>
      <w:r w:rsidRPr="005D2B18">
        <w:rPr>
          <w:noProof/>
        </w:rPr>
        <w:t>[55]</w:t>
      </w:r>
      <w:r w:rsidRPr="005D2B18">
        <w:t xml:space="preserve">. However, qualitative research suggests that LBP treatment beliefs are multidimensional </w:t>
      </w:r>
      <w:r w:rsidRPr="005D2B18">
        <w:rPr>
          <w:noProof/>
        </w:rPr>
        <w:t>[21;25]</w:t>
      </w:r>
      <w:r w:rsidRPr="005D2B18">
        <w:t xml:space="preserve">. In our recent qualitative study, patients evaluated LBP treatments according to four specific dimensions: perceived credibility, individual fit, concerns, and effectiveness </w:t>
      </w:r>
      <w:r w:rsidRPr="005D2B18">
        <w:rPr>
          <w:noProof/>
        </w:rPr>
        <w:t>[16]</w:t>
      </w:r>
      <w:r w:rsidRPr="005D2B18">
        <w:t xml:space="preserve">. Here we report the development and validation of a questionnaire, the Low Back Pain Treatment Beliefs Questionnaire (LBP-TBQ), which assesses patients’ beliefs about four practitioner-delivered primary care treatments: pain medication, exercise, manual therapy, and acupuncture. We focused on these treatments as they are </w:t>
      </w:r>
      <w:r w:rsidR="006103CF" w:rsidRPr="005D2B18">
        <w:t xml:space="preserve">the frontline treatments named </w:t>
      </w:r>
      <w:r w:rsidR="006238F9" w:rsidRPr="005D2B18">
        <w:t xml:space="preserve">in the National Institute for Health and Care Excellence (NICE) </w:t>
      </w:r>
      <w:r w:rsidR="006103CF" w:rsidRPr="005D2B18">
        <w:t>care pathway</w:t>
      </w:r>
      <w:r w:rsidR="006238F9" w:rsidRPr="005D2B18">
        <w:t xml:space="preserve"> for persistent non-specific LBP </w:t>
      </w:r>
      <w:r w:rsidR="006238F9" w:rsidRPr="005D2B18">
        <w:rPr>
          <w:noProof/>
        </w:rPr>
        <w:t xml:space="preserve">[49;50], and </w:t>
      </w:r>
      <w:r w:rsidR="006103CF" w:rsidRPr="005D2B18">
        <w:rPr>
          <w:noProof/>
        </w:rPr>
        <w:t xml:space="preserve">are </w:t>
      </w:r>
      <w:r w:rsidR="006238F9" w:rsidRPr="005D2B18">
        <w:rPr>
          <w:noProof/>
        </w:rPr>
        <w:t xml:space="preserve">also </w:t>
      </w:r>
      <w:r w:rsidRPr="005D2B18">
        <w:t xml:space="preserve">recommended </w:t>
      </w:r>
      <w:r w:rsidR="006238F9" w:rsidRPr="005D2B18">
        <w:t xml:space="preserve">by </w:t>
      </w:r>
      <w:r w:rsidRPr="005D2B18">
        <w:t>the American College of Physicians and the American Pain Society LBP guidelines [9</w:t>
      </w:r>
      <w:proofErr w:type="gramStart"/>
      <w:r w:rsidRPr="005D2B18">
        <w:t>] ;</w:t>
      </w:r>
      <w:proofErr w:type="gramEnd"/>
      <w:r w:rsidRPr="005D2B18">
        <w:t xml:space="preserve"> pain medication, exercise, and manual therapy are also endorsed in European guidelines for chronic non-specific LBP [1].</w:t>
      </w:r>
    </w:p>
    <w:p w:rsidR="00700108" w:rsidRPr="005D2B18" w:rsidRDefault="00700108" w:rsidP="0057331F">
      <w:pPr>
        <w:spacing w:line="480" w:lineRule="auto"/>
        <w:rPr>
          <w:b/>
        </w:rPr>
      </w:pPr>
    </w:p>
    <w:p w:rsidR="00700108" w:rsidRPr="005D2B18" w:rsidRDefault="00700108" w:rsidP="005014A3">
      <w:pPr>
        <w:spacing w:line="480" w:lineRule="auto"/>
        <w:jc w:val="center"/>
        <w:outlineLvl w:val="0"/>
        <w:rPr>
          <w:b/>
        </w:rPr>
      </w:pPr>
      <w:r w:rsidRPr="005D2B18">
        <w:rPr>
          <w:b/>
        </w:rPr>
        <w:t>Methods</w:t>
      </w:r>
    </w:p>
    <w:p w:rsidR="00700108" w:rsidRPr="005D2B18" w:rsidRDefault="00700108" w:rsidP="005014A3">
      <w:pPr>
        <w:spacing w:line="480" w:lineRule="auto"/>
        <w:outlineLvl w:val="0"/>
        <w:rPr>
          <w:b/>
        </w:rPr>
      </w:pPr>
      <w:r w:rsidRPr="005D2B18">
        <w:rPr>
          <w:b/>
        </w:rPr>
        <w:t>Instrument Development</w:t>
      </w:r>
    </w:p>
    <w:p w:rsidR="00700108" w:rsidRPr="005D2B18" w:rsidRDefault="00700108" w:rsidP="003A25D4">
      <w:pPr>
        <w:spacing w:line="480" w:lineRule="auto"/>
      </w:pPr>
      <w:r w:rsidRPr="005D2B18">
        <w:t xml:space="preserve">In our previous qualitative study </w:t>
      </w:r>
      <w:r w:rsidRPr="005D2B18">
        <w:rPr>
          <w:noProof/>
        </w:rPr>
        <w:t>[16]</w:t>
      </w:r>
      <w:r w:rsidRPr="005D2B18">
        <w:t xml:space="preserve"> we showed how 75 patients participating in 13 focus groups evaluated specific LBP treatments according to whether they: perceived them to be </w:t>
      </w:r>
      <w:r w:rsidRPr="005D2B18">
        <w:lastRenderedPageBreak/>
        <w:t xml:space="preserve">believable and to ‘make sense’ (credibility); expected them to lead to symptom improvements (effectiveness); had concerns that treatments might cause further damage or have side-effects (concerns); felt the treatment would be a suitable solution for them personally (individual fit). Because patients expressed these beliefs about specific treatments (e.g. pain medication, acupuncture) we termed these Specific Treatment Beliefs. Themes reflecting the context of treatment decision-making also emerged and highlighted the importance of understanding patients’ more general treatment-seeking beliefs: their need for a clear diagnosis, their willingness to try different treatments, their interest in self-management and their expectations regarding the healthcare system </w:t>
      </w:r>
      <w:r w:rsidRPr="005D2B18">
        <w:rPr>
          <w:noProof/>
        </w:rPr>
        <w:t>[16]</w:t>
      </w:r>
      <w:r w:rsidRPr="005D2B18">
        <w:t>. We developed an item pool comprising 71 items, 27 items assessing the Specific Treatment Beliefs (the focus of this paper) and 44 assessing the contextual themes (to be reported elsewhere).</w:t>
      </w:r>
    </w:p>
    <w:p w:rsidR="00700108" w:rsidRPr="005D2B18" w:rsidRDefault="00700108" w:rsidP="00704A83">
      <w:pPr>
        <w:spacing w:line="480" w:lineRule="auto"/>
        <w:ind w:firstLine="720"/>
      </w:pPr>
      <w:r w:rsidRPr="005D2B18">
        <w:t xml:space="preserve">We reviewed our qualitative data to choose item content and wording that reflected topics and terminology used by participants. To facilitate comparisons between patients’ beliefs about different treatments, items assessing Specific Treatment Beliefs were designed to be answered four times, once each in relation to: pain medication, exercise, manual therapy, and acupuncture. Therefore, issues specific to particular treatments (e.g. fear of needles in acupuncture) were not included. Remaining items were worded more generically in order to capture these specific issues (e.g. “I have concerns about [acupuncture] for my back pain”).  </w:t>
      </w:r>
    </w:p>
    <w:p w:rsidR="00700108" w:rsidRPr="005D2B18" w:rsidRDefault="00700108" w:rsidP="00F30EE8">
      <w:pPr>
        <w:spacing w:line="480" w:lineRule="auto"/>
        <w:ind w:firstLine="720"/>
      </w:pPr>
      <w:r w:rsidRPr="005D2B18">
        <w:t xml:space="preserve">We pre-tested the initial pool of 27 items using cognitive “think aloud” interviews </w:t>
      </w:r>
      <w:r w:rsidRPr="005D2B18">
        <w:rPr>
          <w:noProof/>
        </w:rPr>
        <w:t>[64]</w:t>
      </w:r>
      <w:r w:rsidRPr="005D2B18">
        <w:t xml:space="preserve"> with 10 adults with LBP. This pre-test allowed us to select the most appropriate items for further testing and to adjust item content and wording to enhance face validity and acceptability. After the pre-test we retained 20 items on Specific Treatment Beliefs in the Draft LBP-TBQ for psychometric testing. The reasons for exclusion were: 1) participants interpreted the item in a different way from the intended meaning (1 item); 2) the item was </w:t>
      </w:r>
      <w:r w:rsidRPr="005D2B18">
        <w:lastRenderedPageBreak/>
        <w:t>too similar to another item that was perceived as clearer (4 items); 3) the respondents had difficulties applying it to all four treatments (1 item); or 4) the item was more related to the context of care than to the treatment itself (1 item). We opted for a lower number of items and a confirmatory approach to psychometric testing (instead of a higher number of items and an exploratory approach) because of the increased patient burden involved in answering questions repeatedly for each of the four treatments and to facilitate analysis of the structure of the questionnaire across all four treatments.</w:t>
      </w:r>
    </w:p>
    <w:p w:rsidR="00700108" w:rsidRPr="005D2B18" w:rsidRDefault="00700108" w:rsidP="008F051A">
      <w:pPr>
        <w:spacing w:line="480" w:lineRule="auto"/>
      </w:pPr>
    </w:p>
    <w:p w:rsidR="00700108" w:rsidRPr="005D2B18" w:rsidRDefault="00700108" w:rsidP="005014A3">
      <w:pPr>
        <w:spacing w:line="480" w:lineRule="auto"/>
        <w:outlineLvl w:val="0"/>
        <w:rPr>
          <w:b/>
          <w:bCs/>
        </w:rPr>
      </w:pPr>
      <w:r w:rsidRPr="005D2B18">
        <w:rPr>
          <w:b/>
          <w:bCs/>
        </w:rPr>
        <w:t>Design and Procedure</w:t>
      </w:r>
    </w:p>
    <w:p w:rsidR="00700108" w:rsidRPr="005D2B18" w:rsidRDefault="00700108" w:rsidP="003A25D4">
      <w:pPr>
        <w:spacing w:line="480" w:lineRule="auto"/>
      </w:pPr>
      <w:r w:rsidRPr="005D2B18">
        <w:t xml:space="preserve">We included the Draft LBP-TBQ, items on the context of treatment decision-making, several validating measures, and questions on demographic and clinical characteristics in a self-report survey of adults (at least 18 years) with LBP. We included adults who reported LBP for at least 6 weeks because our prior qualitative work revealed that, although the NICE guidelines particularly focus on persistent non-specific LBP (i.e. pain not caused by malignancy, infection, fracture, inflammatory disorders, nerve root compression, and lasting between 6 weeks and 12 months), the distinction between persistent and chronic LBP is rarely used in practice by clinicians or patients </w:t>
      </w:r>
      <w:r w:rsidRPr="005D2B18">
        <w:rPr>
          <w:noProof/>
        </w:rPr>
        <w:t>[6;16]</w:t>
      </w:r>
      <w:r w:rsidRPr="005D2B18">
        <w:t xml:space="preserve">. We aimed to examine whether our questionnaire applies to all people experiencing LBP for more than 6 weeks, irrespective of duration of complaint, whether LBP is non-specific (e.g. report a diagnosis of sciatica, or symptoms that can be clinically interpreted as nerve compression), or whether patients are treatment-experienced or treatment naïve. Therefore, we did not apply additional exclusion criteria but compared responses to our questionnaire across different sub-groups of patients. </w:t>
      </w:r>
    </w:p>
    <w:p w:rsidR="00700108" w:rsidRPr="005D2B18" w:rsidRDefault="00700108" w:rsidP="003A25D4">
      <w:pPr>
        <w:spacing w:line="480" w:lineRule="auto"/>
        <w:ind w:firstLine="720"/>
      </w:pPr>
      <w:r w:rsidRPr="005D2B18">
        <w:t xml:space="preserve">Participants were recruited between November 2011 and March 2012 from public sector primary care physicians (General Practitioners, GPs) and private sector CAM clinics in three South England counties (Hampshire, Wiltshire and Dorset), and advertisements on </w:t>
      </w:r>
      <w:r w:rsidRPr="005D2B18">
        <w:lastRenderedPageBreak/>
        <w:t xml:space="preserve">online UK-based patient forums. We aimed for 400 participants, a statistically-acceptable sample size for our planned psychometric analyses, acknowledging that statistical power also depends on data properties that could not be estimated prior to analysis </w:t>
      </w:r>
      <w:r w:rsidRPr="005D2B18">
        <w:rPr>
          <w:noProof/>
        </w:rPr>
        <w:t>[38;57;65]</w:t>
      </w:r>
      <w:r w:rsidRPr="005D2B18">
        <w:t>. Physicians and CAM clinicians forwarded paper-based surveys to their eligible patients by post. Online advertisements linked directly to an identical web-based survey. To enable examination of test-retest reliability, participants were asked to volunteer to complete the LBP-TBQ again; all such volunteers were sent a second survey by post or email one week later. We obtained ethics approval from Southampton and South West Hampshire REC B (10/H0504/78).</w:t>
      </w:r>
    </w:p>
    <w:p w:rsidR="00700108" w:rsidRPr="005D2B18" w:rsidRDefault="00700108" w:rsidP="00AE35D5">
      <w:pPr>
        <w:spacing w:line="480" w:lineRule="auto"/>
      </w:pPr>
    </w:p>
    <w:p w:rsidR="00700108" w:rsidRPr="005D2B18" w:rsidRDefault="00700108" w:rsidP="005014A3">
      <w:pPr>
        <w:spacing w:line="480" w:lineRule="auto"/>
        <w:outlineLvl w:val="0"/>
        <w:rPr>
          <w:b/>
        </w:rPr>
      </w:pPr>
      <w:r w:rsidRPr="005D2B18">
        <w:rPr>
          <w:b/>
        </w:rPr>
        <w:t>Draft Low Back Pain Treatment Beliefs Questionnaire (LBP-TBQ)</w:t>
      </w:r>
    </w:p>
    <w:p w:rsidR="00700108" w:rsidRPr="005D2B18" w:rsidRDefault="00700108" w:rsidP="007F315C">
      <w:pPr>
        <w:spacing w:line="480" w:lineRule="auto"/>
        <w:ind w:firstLine="720"/>
      </w:pPr>
      <w:r w:rsidRPr="005D2B18">
        <w:t xml:space="preserve">In the 20-item Draft LBP-TBQ, 4 items assessed perceptions of credibility (2 negatively-worded, i.e. described in terms of doubting the credibility of the treatment), 5 items assessed perceived effectiveness (2 negatively-worded), 6 items assessed concerns (4 negatively-worded) and 5 items assessed perceived individual fit (3 negatively-worded) (see Table 2 for item content). A 5-point verbal response scale was used for all items (Strongly Disagree, Disagree, Neither Agree nor Disagree, Agree, Strongly Agree), and scored (1-5) such that a high score represented positive beliefs about the LBP treatment. Each set of 20 items was presented with respect to each of the four treatments – pain medication, exercise, manual therapy and acupuncture (so each participant responded to 80 LBP-TBQ items). Definitions of these treatments, based on the UK NICE guidelines </w:t>
      </w:r>
      <w:r w:rsidRPr="005D2B18">
        <w:rPr>
          <w:noProof/>
        </w:rPr>
        <w:t>[49;50]</w:t>
      </w:r>
      <w:r w:rsidRPr="005D2B18">
        <w:t>, were provided to limit variability in interpreting treatment labels and encourage answers that can be interpreted within the context of UK clinical practice; these definitions may need to be adjusted for different purposes in future research (subject to confirmation of psychometric properties in specific other contexts and populations).</w:t>
      </w:r>
    </w:p>
    <w:p w:rsidR="00700108" w:rsidRPr="005D2B18" w:rsidRDefault="00700108" w:rsidP="000C44AF">
      <w:pPr>
        <w:spacing w:line="480" w:lineRule="auto"/>
        <w:rPr>
          <w:b/>
          <w:bCs/>
        </w:rPr>
      </w:pPr>
    </w:p>
    <w:p w:rsidR="00700108" w:rsidRPr="005D2B18" w:rsidRDefault="00700108" w:rsidP="005014A3">
      <w:pPr>
        <w:spacing w:line="480" w:lineRule="auto"/>
        <w:outlineLvl w:val="0"/>
        <w:rPr>
          <w:b/>
          <w:bCs/>
        </w:rPr>
      </w:pPr>
      <w:r w:rsidRPr="005D2B18">
        <w:rPr>
          <w:b/>
          <w:bCs/>
        </w:rPr>
        <w:t>Validating Measures</w:t>
      </w:r>
    </w:p>
    <w:p w:rsidR="00700108" w:rsidRPr="005D2B18" w:rsidRDefault="00700108" w:rsidP="007F315C">
      <w:pPr>
        <w:spacing w:line="480" w:lineRule="auto"/>
        <w:rPr>
          <w:b/>
          <w:iCs/>
        </w:rPr>
      </w:pPr>
      <w:r w:rsidRPr="005D2B18">
        <w:t>We developed hypotheses about relationships between each validating measure and Draft LBP-TBQ</w:t>
      </w:r>
      <w:r w:rsidRPr="005D2B18" w:rsidDel="00A011C7">
        <w:t xml:space="preserve"> </w:t>
      </w:r>
      <w:r w:rsidRPr="005D2B18">
        <w:t xml:space="preserve">subscales (see below and Table 3). In brief, to demonstrate convergent validity, we required at least medium or strong significant correlations (i.e., r ≥ 0.3). To demonstrate discriminant validity, we required at most small to moderate significant correlations (r &lt; 0.3) </w:t>
      </w:r>
      <w:r w:rsidRPr="005D2B18">
        <w:rPr>
          <w:noProof/>
        </w:rPr>
        <w:t>[12]</w:t>
      </w:r>
      <w:r w:rsidRPr="005D2B18">
        <w:t>. Cronbach’s alpha values reported below for the validating measures were all calculated in the present sample.</w:t>
      </w:r>
    </w:p>
    <w:p w:rsidR="00700108" w:rsidRPr="005D2B18" w:rsidRDefault="00700108" w:rsidP="007F315C">
      <w:pPr>
        <w:spacing w:line="480" w:lineRule="auto"/>
        <w:ind w:firstLine="720"/>
      </w:pPr>
      <w:proofErr w:type="gramStart"/>
      <w:r w:rsidRPr="005D2B18">
        <w:rPr>
          <w:b/>
          <w:iCs/>
        </w:rPr>
        <w:t xml:space="preserve">Beliefs about Medicine Questionnaire (BMQ) - General Beliefs </w:t>
      </w:r>
      <w:r w:rsidRPr="005D2B18">
        <w:rPr>
          <w:b/>
          <w:iCs/>
          <w:noProof/>
        </w:rPr>
        <w:t>[29]</w:t>
      </w:r>
      <w:r w:rsidRPr="005D2B18">
        <w:rPr>
          <w:b/>
          <w:iCs/>
        </w:rPr>
        <w:t>.</w:t>
      </w:r>
      <w:proofErr w:type="gramEnd"/>
      <w:r w:rsidRPr="005D2B18">
        <w:t xml:space="preserve"> Respondents completed 5-point scales to rate their agreement with statements representing beliefs about the potential harmful effects of medicines (BMQ-Harm, 4 items, e.g. ‘medicines do more harm than good’, Cronbach’s α = .68 in the present sample) and about medicines being over-prescribed by doctors (BMQ-Overuse, 4 items, e.g. ‘doctors use too many medicines’, α = .76). High scores indicated more negative beliefs about medicines. Both BMQ scales were used to assess the convergent validity of the LBP-TBQ</w:t>
      </w:r>
      <w:r w:rsidRPr="005D2B18" w:rsidDel="00A011C7">
        <w:t xml:space="preserve"> </w:t>
      </w:r>
      <w:r w:rsidRPr="005D2B18">
        <w:t>Concerns subscale for pain medication.</w:t>
      </w:r>
    </w:p>
    <w:p w:rsidR="00700108" w:rsidRPr="005D2B18" w:rsidRDefault="00700108" w:rsidP="007F315C">
      <w:pPr>
        <w:spacing w:line="480" w:lineRule="auto"/>
        <w:ind w:firstLine="720"/>
      </w:pPr>
      <w:proofErr w:type="gramStart"/>
      <w:r w:rsidRPr="005D2B18">
        <w:rPr>
          <w:b/>
          <w:iCs/>
        </w:rPr>
        <w:t xml:space="preserve">The Brief Illness Perceptions Questionnaire (BIPQ) </w:t>
      </w:r>
      <w:r w:rsidRPr="005D2B18">
        <w:rPr>
          <w:b/>
          <w:iCs/>
          <w:noProof/>
        </w:rPr>
        <w:t>[10]</w:t>
      </w:r>
      <w:r w:rsidRPr="005D2B18">
        <w:rPr>
          <w:b/>
          <w:iCs/>
        </w:rPr>
        <w:t>.</w:t>
      </w:r>
      <w:proofErr w:type="gramEnd"/>
      <w:r w:rsidRPr="005D2B18">
        <w:rPr>
          <w:b/>
        </w:rPr>
        <w:t xml:space="preserve"> </w:t>
      </w:r>
      <w:r w:rsidRPr="005D2B18">
        <w:t xml:space="preserve">Single items with 11-point response scales assessed 8 dimensions of illness perceptions: consequences (the extent to which LBP affects one’s life), timeline (the expected duration of LBP), personal control (the extent to which one perceives control over one’s LBP), treatment control (the extent to which one perceives one’s treatment controls one’s LBP), identity (the number of symptoms associated with LBP), coherence (the extent to which one understands one’s LBP), concern (the extent of concerns about LBP), emotional response (the extent of emotional distress attributed to LBP). We worded all items to refer to ‘your low back pain’ instead of ‘your illness.’ Perceptions of causes of LBP were investigated using an adapted version of the </w:t>
      </w:r>
      <w:r w:rsidRPr="005D2B18">
        <w:lastRenderedPageBreak/>
        <w:t xml:space="preserve">‘perceptions of illness causes’ subscale of the revised IPQ </w:t>
      </w:r>
      <w:r w:rsidRPr="005D2B18">
        <w:rPr>
          <w:noProof/>
        </w:rPr>
        <w:t>[41]</w:t>
      </w:r>
      <w:r w:rsidRPr="005D2B18">
        <w:t xml:space="preserve"> that requires respondents to agree or disagree (on 5-point response scales) that each of 18 factors was a cause of their LBP (reliability not applicable as no total scores were computed). We retained existing items potentially relevant to patients’ perceptions of the causes of their LBP and replaced other items (pollution in the environment; alcohol, smoking; my personality; altered immunity) with commonly perceived causes of LBP (malformation of the spine; pregnancy or giving birth; wear and tear; a physical problem in my back, e.g. a ‘slipped disc’; a specific disease in my back, e.g. osteoporosis), using data from a previous questionnaire-based study </w:t>
      </w:r>
      <w:r w:rsidRPr="005D2B18">
        <w:rPr>
          <w:noProof/>
        </w:rPr>
        <w:t>[8]</w:t>
      </w:r>
      <w:r w:rsidRPr="005D2B18">
        <w:t xml:space="preserve">, our qualitative work </w:t>
      </w:r>
      <w:r w:rsidRPr="005D2B18">
        <w:rPr>
          <w:noProof/>
        </w:rPr>
        <w:t>[16]</w:t>
      </w:r>
      <w:r w:rsidRPr="005D2B18">
        <w:t>, and our clinical and research experience. The BIPQ concern and emotional response items were used to assess the divergent validity of all four LBP-TBQ</w:t>
      </w:r>
      <w:r w:rsidRPr="005D2B18" w:rsidDel="00A011C7">
        <w:t xml:space="preserve"> </w:t>
      </w:r>
      <w:r w:rsidRPr="005D2B18">
        <w:t>subscales for all four treatments.</w:t>
      </w:r>
    </w:p>
    <w:p w:rsidR="00700108" w:rsidRPr="005D2B18" w:rsidRDefault="00700108" w:rsidP="007F315C">
      <w:pPr>
        <w:spacing w:line="480" w:lineRule="auto"/>
        <w:ind w:firstLine="720"/>
      </w:pPr>
      <w:proofErr w:type="gramStart"/>
      <w:r w:rsidRPr="005D2B18">
        <w:rPr>
          <w:b/>
          <w:iCs/>
        </w:rPr>
        <w:t xml:space="preserve">Credibility Expectancy Questionnaire (CEQ) </w:t>
      </w:r>
      <w:r w:rsidRPr="005D2B18">
        <w:rPr>
          <w:b/>
          <w:iCs/>
          <w:noProof/>
        </w:rPr>
        <w:t>[14]</w:t>
      </w:r>
      <w:r w:rsidRPr="005D2B18">
        <w:rPr>
          <w:b/>
          <w:iCs/>
        </w:rPr>
        <w:t>.</w:t>
      </w:r>
      <w:proofErr w:type="gramEnd"/>
      <w:r w:rsidRPr="005D2B18">
        <w:t xml:space="preserve"> Two subscales assessed perceptions of treatment credibility (CEQ-Credibility, 3 items with 9-point response scales, e.g. ‘At this point, how logical does [treatment] seem?’) and outcome expectancy (CEQ-Expectancy, 1 item with 9-point response scale and 2 items with a 11-point response scale, from 0% to 100%, e.g. ‘By the end of a course of [treatment], how much improvement in your back pain do you think would occur?’). To reduce response burden, each respondent answered the CEQ in relation to one of the four treatments only (randomised allocation). Good internal consistency was shown in our sample for credibility (α range .85 - .94) and expectancy (α range .85-.96) scales for all treatments. High scores indicated perceiving the treatment as more believable, convincing and logical, and as leading to bigger improvements. CEQ-Credibility was used to assess the convergent validity of the LBP-TBQ</w:t>
      </w:r>
      <w:r w:rsidRPr="005D2B18" w:rsidDel="00A011C7">
        <w:t xml:space="preserve"> </w:t>
      </w:r>
      <w:r w:rsidRPr="005D2B18">
        <w:t>credibility subscale for all four treatments. CEQ-Expectancy was used to assess the convergent validity of the LBP-TBQ</w:t>
      </w:r>
      <w:r w:rsidRPr="005D2B18" w:rsidDel="00A011C7">
        <w:t xml:space="preserve"> </w:t>
      </w:r>
      <w:r w:rsidRPr="005D2B18">
        <w:t>expectancy subscale for all four treatments.</w:t>
      </w:r>
    </w:p>
    <w:p w:rsidR="00700108" w:rsidRPr="005D2B18" w:rsidRDefault="00700108" w:rsidP="007F315C">
      <w:pPr>
        <w:spacing w:line="480" w:lineRule="auto"/>
        <w:ind w:firstLine="720"/>
      </w:pPr>
      <w:r w:rsidRPr="005D2B18">
        <w:rPr>
          <w:b/>
          <w:iCs/>
        </w:rPr>
        <w:lastRenderedPageBreak/>
        <w:t xml:space="preserve">Holistic Complementary and Alternative Medicine Questionnaire (HCAMQ) </w:t>
      </w:r>
      <w:r w:rsidRPr="005D2B18">
        <w:rPr>
          <w:b/>
          <w:iCs/>
          <w:noProof/>
        </w:rPr>
        <w:t>[31]</w:t>
      </w:r>
      <w:r w:rsidRPr="005D2B18">
        <w:rPr>
          <w:b/>
          <w:iCs/>
        </w:rPr>
        <w:t xml:space="preserve"> Attitudes to CAM subscale.</w:t>
      </w:r>
      <w:r w:rsidRPr="005D2B18">
        <w:t xml:space="preserve"> Six statements assessed general attitudes towards CAM using 6-point agree/disagree response scales (e.g. ‘It is worthwhile trying complementary medicine before going to the doctor’, α = .71). High scores indicated stronger beliefs that CAM is ineffective and unscientific compared to mainstream medicine. The HCAMQ Attitudes to CAM subscale was used to assess the convergent validity of all four LBP-TBQ subscales for manual therapy and acupuncture.</w:t>
      </w:r>
    </w:p>
    <w:p w:rsidR="00700108" w:rsidRPr="005D2B18" w:rsidRDefault="00700108" w:rsidP="00F30EE8">
      <w:pPr>
        <w:spacing w:line="480" w:lineRule="auto"/>
        <w:ind w:firstLine="720"/>
      </w:pPr>
      <w:r w:rsidRPr="005D2B18">
        <w:rPr>
          <w:b/>
          <w:iCs/>
        </w:rPr>
        <w:t xml:space="preserve">Tampa Scale of </w:t>
      </w:r>
      <w:proofErr w:type="spellStart"/>
      <w:r w:rsidRPr="005D2B18">
        <w:rPr>
          <w:b/>
          <w:iCs/>
        </w:rPr>
        <w:t>Kinesiophobia</w:t>
      </w:r>
      <w:proofErr w:type="spellEnd"/>
      <w:r w:rsidRPr="005D2B18">
        <w:rPr>
          <w:b/>
          <w:iCs/>
        </w:rPr>
        <w:t xml:space="preserve"> (TSK-11) Activity Avoidance subscale </w:t>
      </w:r>
      <w:r w:rsidRPr="005D2B18">
        <w:rPr>
          <w:b/>
          <w:iCs/>
          <w:noProof/>
        </w:rPr>
        <w:t>[48]</w:t>
      </w:r>
      <w:r w:rsidRPr="005D2B18">
        <w:rPr>
          <w:b/>
          <w:iCs/>
        </w:rPr>
        <w:t>.</w:t>
      </w:r>
      <w:r w:rsidRPr="005D2B18">
        <w:rPr>
          <w:b/>
        </w:rPr>
        <w:t xml:space="preserve"> </w:t>
      </w:r>
      <w:r w:rsidRPr="005D2B18">
        <w:t>Six items assessed beliefs about the relationship between movement, pain and re-injury (TSK-Activity Avoidance, e.g. ‘I’m afraid I might injure myself if I exercise’, α = .81) using 4-point agree-disagree response scales. High scores indicated more intense concerns and beliefs that movement leads to (re)-injury and should therefore be avoided. The TSK-Activity Avoidance subscale was used to assess the convergent validity of the LBP-TBQ concerns subscale for exercise.</w:t>
      </w:r>
    </w:p>
    <w:p w:rsidR="00700108" w:rsidRPr="005D2B18" w:rsidRDefault="00700108" w:rsidP="00A04DA2">
      <w:pPr>
        <w:spacing w:line="480" w:lineRule="auto"/>
        <w:ind w:firstLine="720"/>
      </w:pPr>
      <w:proofErr w:type="gramStart"/>
      <w:r w:rsidRPr="005D2B18">
        <w:rPr>
          <w:b/>
          <w:bCs/>
          <w:iCs/>
        </w:rPr>
        <w:t>Treatment ranking.</w:t>
      </w:r>
      <w:proofErr w:type="gramEnd"/>
      <w:r w:rsidRPr="005D2B18">
        <w:rPr>
          <w:b/>
        </w:rPr>
        <w:t xml:space="preserve"> </w:t>
      </w:r>
      <w:r w:rsidRPr="005D2B18">
        <w:t>To assess criterion validity, participants were asked to rank the four treatments (pain medication, exercise, manual therapy, acupuncture) in order of preference starting with the treatment they would most like to have. Choices regarding each treatment were coded separately and dichotomised to identify two groups of patients for each treatment: those who did and those who did not select that treatment as their first choice. We hypothesised that scores on the LBP-TBQ</w:t>
      </w:r>
      <w:r w:rsidRPr="005D2B18" w:rsidDel="00A011C7">
        <w:t xml:space="preserve"> </w:t>
      </w:r>
      <w:r w:rsidRPr="005D2B18">
        <w:t xml:space="preserve">subscales would distinguish between these two groups of patients for each treatment.  </w:t>
      </w:r>
    </w:p>
    <w:p w:rsidR="00700108" w:rsidRPr="005D2B18" w:rsidRDefault="00700108" w:rsidP="00355DC6">
      <w:pPr>
        <w:spacing w:line="480" w:lineRule="auto"/>
        <w:rPr>
          <w:b/>
        </w:rPr>
      </w:pPr>
    </w:p>
    <w:p w:rsidR="00700108" w:rsidRPr="005D2B18" w:rsidRDefault="00700108" w:rsidP="005014A3">
      <w:pPr>
        <w:spacing w:line="480" w:lineRule="auto"/>
        <w:outlineLvl w:val="0"/>
        <w:rPr>
          <w:bCs/>
          <w:i/>
          <w:iCs/>
        </w:rPr>
      </w:pPr>
      <w:r w:rsidRPr="005D2B18">
        <w:rPr>
          <w:b/>
          <w:bCs/>
          <w:iCs/>
        </w:rPr>
        <w:t>Participants’ Demographic and Clinical Characteristics</w:t>
      </w:r>
      <w:r w:rsidRPr="005D2B18">
        <w:rPr>
          <w:bCs/>
          <w:i/>
          <w:iCs/>
        </w:rPr>
        <w:t xml:space="preserve">  </w:t>
      </w:r>
    </w:p>
    <w:p w:rsidR="00700108" w:rsidRPr="005D2B18" w:rsidRDefault="00700108" w:rsidP="006060FD">
      <w:pPr>
        <w:spacing w:line="480" w:lineRule="auto"/>
      </w:pPr>
      <w:r w:rsidRPr="005D2B18">
        <w:t xml:space="preserve">We used single items to assess socio-demographic characteristics (age, gender, education level, employment status, ethnicity) and clinical characteristics (duration of LBP, </w:t>
      </w:r>
      <w:r w:rsidRPr="005D2B18">
        <w:lastRenderedPageBreak/>
        <w:t xml:space="preserve">previous/current use of various treatments for LBP and satisfaction with these treatments, self-reported co-morbidities including sciatica, receiving benefits for LBP, perception of general health status).  </w:t>
      </w:r>
    </w:p>
    <w:p w:rsidR="00700108" w:rsidRPr="005D2B18" w:rsidRDefault="00700108" w:rsidP="00F30EE8">
      <w:pPr>
        <w:spacing w:line="480" w:lineRule="auto"/>
        <w:ind w:firstLine="720"/>
        <w:rPr>
          <w:b/>
        </w:rPr>
      </w:pPr>
      <w:r w:rsidRPr="005D2B18">
        <w:t xml:space="preserve">LBP severity over the past 6 months was assessed with the Chronic Pain Grade Questionnaire </w:t>
      </w:r>
      <w:r w:rsidRPr="005D2B18">
        <w:rPr>
          <w:noProof/>
        </w:rPr>
        <w:t>[61]</w:t>
      </w:r>
      <w:r w:rsidRPr="005D2B18">
        <w:t xml:space="preserve"> which comprises 3 pain intensity items (present, worst, and average) and 4 disability items (number of days kept from usual activities, and pain interference with daily activities, recreational or social activities, and work). Responses were used to compute 5 pain grades, from no pain and disability through to highest disability irrespective of pain intensity </w:t>
      </w:r>
      <w:r w:rsidRPr="005D2B18">
        <w:rPr>
          <w:noProof/>
        </w:rPr>
        <w:t>[56]</w:t>
      </w:r>
      <w:r w:rsidRPr="005D2B18">
        <w:t xml:space="preserve">. Participants who had experienced LBP in the past year (single item), were asked whether they currently experience pain and whether they had experienced 3 symptoms suggestive of a differential diagnosis of nerve root compression: leg pain worse than back pain, leg pain worse when coughing or sneezing, and numbness or pins and needles in the leg or feet. </w:t>
      </w:r>
      <w:r w:rsidRPr="005D2B18">
        <w:rPr>
          <w:lang w:val="en-US"/>
        </w:rPr>
        <w:t>Participants who reported any of these symptoms were classified as more likely to have nerve root compression</w:t>
      </w:r>
      <w:r w:rsidRPr="005D2B18">
        <w:t>.</w:t>
      </w:r>
    </w:p>
    <w:p w:rsidR="00700108" w:rsidRPr="005D2B18" w:rsidRDefault="00700108" w:rsidP="00355DC6">
      <w:pPr>
        <w:spacing w:line="480" w:lineRule="auto"/>
        <w:rPr>
          <w:b/>
        </w:rPr>
      </w:pPr>
    </w:p>
    <w:p w:rsidR="00700108" w:rsidRPr="005D2B18" w:rsidRDefault="00700108" w:rsidP="005014A3">
      <w:pPr>
        <w:spacing w:line="480" w:lineRule="auto"/>
        <w:outlineLvl w:val="0"/>
        <w:rPr>
          <w:b/>
        </w:rPr>
      </w:pPr>
      <w:r w:rsidRPr="005D2B18">
        <w:rPr>
          <w:b/>
        </w:rPr>
        <w:t>Data Analysis</w:t>
      </w:r>
    </w:p>
    <w:p w:rsidR="00700108" w:rsidRPr="005D2B18" w:rsidRDefault="00700108" w:rsidP="00F30EE8">
      <w:pPr>
        <w:spacing w:line="480" w:lineRule="auto"/>
      </w:pPr>
      <w:r w:rsidRPr="005D2B18">
        <w:t xml:space="preserve">Data analysis was performed in SPSS Statistics 21 (IBM Corp. Released 2012. </w:t>
      </w:r>
      <w:proofErr w:type="gramStart"/>
      <w:r w:rsidRPr="005D2B18">
        <w:t>IBM SPSS Statistics for Windows, Version 21.0.</w:t>
      </w:r>
      <w:proofErr w:type="gramEnd"/>
      <w:r w:rsidRPr="005D2B18">
        <w:t xml:space="preserve"> </w:t>
      </w:r>
      <w:proofErr w:type="gramStart"/>
      <w:r w:rsidRPr="005D2B18">
        <w:t xml:space="preserve">Armonk, NY: IBM Corp.), AMOS 21 </w:t>
      </w:r>
      <w:r w:rsidRPr="005D2B18">
        <w:rPr>
          <w:noProof/>
        </w:rPr>
        <w:t>[2]</w:t>
      </w:r>
      <w:r w:rsidRPr="005D2B18">
        <w:t xml:space="preserve"> and R </w:t>
      </w:r>
      <w:r w:rsidRPr="005D2B18">
        <w:rPr>
          <w:noProof/>
        </w:rPr>
        <w:t>[mokken package; 3;4;47]</w:t>
      </w:r>
      <w:r w:rsidRPr="005D2B18">
        <w:t>.</w:t>
      </w:r>
      <w:proofErr w:type="gramEnd"/>
      <w:r w:rsidRPr="005D2B18">
        <w:t xml:space="preserve"> Data entry was checked for accuracy. We identified no systematic pattern of missing data for the selected variables (Little’s MCAR test; χ</w:t>
      </w:r>
      <w:r w:rsidRPr="005D2B18">
        <w:rPr>
          <w:vertAlign w:val="superscript"/>
        </w:rPr>
        <w:t>2</w:t>
      </w:r>
      <w:r w:rsidRPr="005D2B18">
        <w:t xml:space="preserve"> (36655) = 36771.69, p =.33). Missing data were computed via expectation maximization for the relevant questionnaire items (excluding items where non-completion was expected based on responses to previous items). We computed descriptive statistics for demographics, clinical data, and validation measures. We performed psychometric analyses separately for the specific and general treatment beliefs items.</w:t>
      </w:r>
    </w:p>
    <w:p w:rsidR="00700108" w:rsidRPr="005D2B18" w:rsidRDefault="00700108" w:rsidP="00F30EE8">
      <w:pPr>
        <w:spacing w:line="480" w:lineRule="auto"/>
        <w:ind w:firstLine="720"/>
      </w:pPr>
      <w:proofErr w:type="gramStart"/>
      <w:r w:rsidRPr="005D2B18">
        <w:rPr>
          <w:b/>
        </w:rPr>
        <w:lastRenderedPageBreak/>
        <w:t>Item selection and structural validity.</w:t>
      </w:r>
      <w:proofErr w:type="gramEnd"/>
      <w:r w:rsidRPr="005D2B18">
        <w:t xml:space="preserve"> We used a confirmatory approach to questionnaire validation and aimed for a final item set that included an optimal, parsimonious, number of items that would permit the use of both sum scores and individual items in latent variable models (i.e. 4 items per construct, of which 2 should be negatively-worded). We examined the structure of the item sets on the first-wave dataset using non-parametric item response theory (NIRT), i.e. </w:t>
      </w:r>
      <w:proofErr w:type="spellStart"/>
      <w:r w:rsidRPr="005D2B18">
        <w:t>Mokken</w:t>
      </w:r>
      <w:proofErr w:type="spellEnd"/>
      <w:r w:rsidRPr="005D2B18">
        <w:t xml:space="preserve"> Scale Analysis (MSA) </w:t>
      </w:r>
      <w:r w:rsidRPr="005D2B18">
        <w:rPr>
          <w:noProof/>
        </w:rPr>
        <w:t>[23;39;40;53;54;59]</w:t>
      </w:r>
      <w:r w:rsidRPr="005D2B18">
        <w:t xml:space="preserve">. According to MSA, items order respondents stochastically on one latent dimension representing the target construct if they meet three criteria: 1. </w:t>
      </w:r>
      <w:proofErr w:type="spellStart"/>
      <w:r w:rsidRPr="005D2B18">
        <w:t>unidimensionality</w:t>
      </w:r>
      <w:proofErr w:type="spellEnd"/>
      <w:r w:rsidRPr="005D2B18">
        <w:t xml:space="preserve"> (i.e. respondents that endorse more intense items are also more likely to endorse less intense items, while endorsing less intense items is not related to the probability of endorsing more intense items), 2. </w:t>
      </w:r>
      <w:proofErr w:type="gramStart"/>
      <w:r w:rsidRPr="005D2B18">
        <w:t>local</w:t>
      </w:r>
      <w:proofErr w:type="gramEnd"/>
      <w:r w:rsidRPr="005D2B18">
        <w:t xml:space="preserve"> independence (i.e. the statistical relationship between items should be explained solely by the latent construct), and 3. </w:t>
      </w:r>
      <w:proofErr w:type="gramStart"/>
      <w:r w:rsidRPr="005D2B18">
        <w:t>latent</w:t>
      </w:r>
      <w:proofErr w:type="gramEnd"/>
      <w:r w:rsidRPr="005D2B18">
        <w:t xml:space="preserve"> monotonicity (i.e. the probability of endorsing an item should not decrease with increasing levels of the latent construct). We investigated these properties by calculating coefficients of homogeneity (H) at item, item-pair, subscale, and scale level. Homogeneity values range from 0 (no association) to 1 (perfect association given differences in item intensity), where .3-.4 indicates weak, .4-.5 medium, and values over .5 good homogeneity. To reduce scale length, items presenting low homogeneity and violations of latent monotonicity were considered for exclusion. We subsequently examined correlations between the resulting subscales. </w:t>
      </w:r>
    </w:p>
    <w:p w:rsidR="00700108" w:rsidRPr="005D2B18" w:rsidRDefault="00700108" w:rsidP="00AC4838">
      <w:pPr>
        <w:spacing w:line="480" w:lineRule="auto"/>
        <w:ind w:firstLine="720"/>
      </w:pPr>
      <w:r w:rsidRPr="005D2B18">
        <w:t>We further investigated structural validity using confirmatory factor analyses (CFA), since MSA is nonparametric and therefore does not allow modelling the effect of using positively- and negatively-worded items. Models were evaluated in relation to established criteria for the likelihood ratio χ</w:t>
      </w:r>
      <w:r w:rsidRPr="005D2B18">
        <w:rPr>
          <w:vertAlign w:val="superscript"/>
        </w:rPr>
        <w:t>2</w:t>
      </w:r>
      <w:r w:rsidRPr="005D2B18">
        <w:t xml:space="preserve"> test, incremental fit and residual-based indices (TLI and CFI&gt;.95; RMSEA and χ</w:t>
      </w:r>
      <w:r w:rsidRPr="005D2B18">
        <w:rPr>
          <w:vertAlign w:val="superscript"/>
        </w:rPr>
        <w:t>2</w:t>
      </w:r>
      <w:r w:rsidRPr="005D2B18">
        <w:t xml:space="preserve"> </w:t>
      </w:r>
      <w:r w:rsidRPr="005D2B18">
        <w:rPr>
          <w:i/>
        </w:rPr>
        <w:t>p</w:t>
      </w:r>
      <w:r w:rsidRPr="005D2B18">
        <w:t xml:space="preserve"> value &lt;.05) </w:t>
      </w:r>
      <w:r w:rsidRPr="005D2B18">
        <w:rPr>
          <w:noProof/>
        </w:rPr>
        <w:t>[30;32]</w:t>
      </w:r>
      <w:r w:rsidRPr="005D2B18">
        <w:t xml:space="preserve">. We followed recommendations to judge model fit flexibly within the broader context of model diagnosis and theory and to consider </w:t>
      </w:r>
      <w:r w:rsidRPr="005D2B18">
        <w:lastRenderedPageBreak/>
        <w:t xml:space="preserve">fit criteria alongside overall model tenability and possible sources of misspecification </w:t>
      </w:r>
      <w:r w:rsidRPr="005D2B18">
        <w:rPr>
          <w:noProof/>
        </w:rPr>
        <w:t>[35;36]</w:t>
      </w:r>
      <w:r w:rsidRPr="005D2B18">
        <w:t>.</w:t>
      </w:r>
    </w:p>
    <w:p w:rsidR="00700108" w:rsidRPr="005D2B18" w:rsidRDefault="00700108" w:rsidP="002835D3">
      <w:pPr>
        <w:spacing w:line="480" w:lineRule="auto"/>
        <w:ind w:firstLine="720"/>
      </w:pPr>
      <w:r w:rsidRPr="005D2B18">
        <w:t>To investigate alternative structures, we used an automated item selection procedure (</w:t>
      </w:r>
      <w:proofErr w:type="spellStart"/>
      <w:r w:rsidRPr="005D2B18">
        <w:rPr>
          <w:i/>
        </w:rPr>
        <w:t>aisp</w:t>
      </w:r>
      <w:proofErr w:type="spellEnd"/>
      <w:r w:rsidRPr="005D2B18">
        <w:t xml:space="preserve">) to group items into </w:t>
      </w:r>
      <w:proofErr w:type="spellStart"/>
      <w:r w:rsidRPr="005D2B18">
        <w:t>Mokken</w:t>
      </w:r>
      <w:proofErr w:type="spellEnd"/>
      <w:r w:rsidRPr="005D2B18">
        <w:t xml:space="preserve"> scales in a data-driven manner and identify un-scalable items at increasing homogeneity threshold values (</w:t>
      </w:r>
      <w:proofErr w:type="spellStart"/>
      <w:r w:rsidRPr="005D2B18">
        <w:t>Hemker</w:t>
      </w:r>
      <w:proofErr w:type="spellEnd"/>
      <w:r w:rsidRPr="005D2B18">
        <w:t xml:space="preserve"> et al 1995). </w:t>
      </w:r>
    </w:p>
    <w:p w:rsidR="00700108" w:rsidRPr="005D2B18" w:rsidRDefault="00700108" w:rsidP="003A25D4">
      <w:pPr>
        <w:spacing w:line="480" w:lineRule="auto"/>
        <w:ind w:firstLine="720"/>
      </w:pPr>
      <w:proofErr w:type="gramStart"/>
      <w:r w:rsidRPr="005D2B18">
        <w:rPr>
          <w:b/>
        </w:rPr>
        <w:t>Reliability</w:t>
      </w:r>
      <w:r w:rsidRPr="005D2B18">
        <w:t>.</w:t>
      </w:r>
      <w:proofErr w:type="gramEnd"/>
      <w:r w:rsidRPr="005D2B18">
        <w:t xml:space="preserve"> The new subscales were also examined according to classical test theory. Internal consistency was assessed via Cronbach’s alpha (above .70), item-total correlations, and Cronbach’s alpha if item excluded. Correlations between responses to the same scales at first and second survey administration were used to judge test-retest reliability over 1-2 weeks based on a threshold of r=.70 </w:t>
      </w:r>
      <w:r w:rsidRPr="005D2B18">
        <w:rPr>
          <w:noProof/>
        </w:rPr>
        <w:t>[45]</w:t>
      </w:r>
      <w:r w:rsidRPr="005D2B18">
        <w:t>.</w:t>
      </w:r>
    </w:p>
    <w:p w:rsidR="00700108" w:rsidRPr="005D2B18" w:rsidRDefault="00700108" w:rsidP="00FB32DA">
      <w:pPr>
        <w:spacing w:line="480" w:lineRule="auto"/>
        <w:ind w:firstLine="720"/>
      </w:pPr>
      <w:proofErr w:type="gramStart"/>
      <w:r w:rsidRPr="005D2B18">
        <w:rPr>
          <w:b/>
        </w:rPr>
        <w:t>Convergent and discriminant validity</w:t>
      </w:r>
      <w:r w:rsidRPr="005D2B18">
        <w:t>.</w:t>
      </w:r>
      <w:proofErr w:type="gramEnd"/>
      <w:r w:rsidRPr="005D2B18">
        <w:t xml:space="preserve"> The subscales were tested for convergent and discriminant validity against existing measures using Pearson’s correlations (sensitivity analyses were performed with Spearman’s ρ and Kendall’s τ, to account for the ordinal level of some measures).  </w:t>
      </w:r>
    </w:p>
    <w:p w:rsidR="00700108" w:rsidRPr="005D2B18" w:rsidRDefault="00700108" w:rsidP="003678DB">
      <w:pPr>
        <w:spacing w:line="480" w:lineRule="auto"/>
        <w:ind w:firstLine="720"/>
      </w:pPr>
      <w:proofErr w:type="gramStart"/>
      <w:r w:rsidRPr="005D2B18">
        <w:rPr>
          <w:b/>
        </w:rPr>
        <w:t>Criterion validity.</w:t>
      </w:r>
      <w:proofErr w:type="gramEnd"/>
      <w:r w:rsidRPr="005D2B18">
        <w:t xml:space="preserve"> The new LBP-TBQ</w:t>
      </w:r>
      <w:r w:rsidRPr="005D2B18" w:rsidDel="004E5717">
        <w:t xml:space="preserve"> </w:t>
      </w:r>
      <w:r w:rsidRPr="005D2B18">
        <w:t xml:space="preserve">subscales were examined against treatment ranking reports to assess their ability to predict treatment preferences. We used t-tests to compare scores between participants who did and did not rank each treatment as their first choice.  </w:t>
      </w:r>
    </w:p>
    <w:p w:rsidR="00700108" w:rsidRPr="005D2B18" w:rsidRDefault="00700108" w:rsidP="00F30EE8">
      <w:pPr>
        <w:spacing w:line="480" w:lineRule="auto"/>
        <w:ind w:firstLine="720"/>
      </w:pPr>
      <w:proofErr w:type="gramStart"/>
      <w:r w:rsidRPr="005D2B18">
        <w:rPr>
          <w:b/>
        </w:rPr>
        <w:t>Measurement invariance (MI)</w:t>
      </w:r>
      <w:r w:rsidRPr="005D2B18">
        <w:t>.</w:t>
      </w:r>
      <w:proofErr w:type="gramEnd"/>
      <w:r w:rsidRPr="005D2B18">
        <w:t xml:space="preserve"> Multi-group CFA analyses were performed to investigate whether different subgroups of respondents attribute the same meaning to the target construct (metric invariance) and whether respondents with equal scores on the latent construct also have equal scores on the items (scalar invariance). If a scale has these properties, then group differences in mean scores can be interpreted as substantive differences as they are not due to participants in different groups attributing different meanings to the scale, or to measurement bias of individual items in these groups </w:t>
      </w:r>
      <w:r w:rsidRPr="005D2B18">
        <w:rPr>
          <w:noProof/>
        </w:rPr>
        <w:t>[51]</w:t>
      </w:r>
      <w:r w:rsidRPr="005D2B18">
        <w:t xml:space="preserve">. Five </w:t>
      </w:r>
      <w:r w:rsidRPr="005D2B18">
        <w:lastRenderedPageBreak/>
        <w:t>comparisons were considered: respondents with nerve root compression likely or unlikely (based on self-reported presence of one or more of three indicative symptoms); respondents that self-reported sciatica diagnosed in relation to LBP or not; respondents with or without experience of each treatment; and the two data collection waves.</w:t>
      </w:r>
    </w:p>
    <w:p w:rsidR="00700108" w:rsidRPr="005D2B18" w:rsidRDefault="00700108" w:rsidP="00AC4838">
      <w:pPr>
        <w:spacing w:line="480" w:lineRule="auto"/>
        <w:ind w:firstLine="720"/>
      </w:pPr>
      <w:proofErr w:type="gramStart"/>
      <w:r w:rsidRPr="005D2B18">
        <w:rPr>
          <w:b/>
          <w:bCs/>
        </w:rPr>
        <w:t>Selection and validation of short-form LBP-TBQ.</w:t>
      </w:r>
      <w:proofErr w:type="gramEnd"/>
      <w:r w:rsidRPr="005D2B18">
        <w:t xml:space="preserve"> To increase the feasibility of using the LBP-TBQ in multi-measure patient surveys and fast-paced clinical contexts, we developed a short 4-item LBP-TBQ version by selecting one best performing item (i.e. higher homogeneity and lower Cronbach α if-item-excluded, for all treatments) for each dimension of treatment beliefs. We examined homogeneity, internal consistency, stability, and criterion validity of this scale following the procedures described above.</w:t>
      </w:r>
    </w:p>
    <w:p w:rsidR="00700108" w:rsidRPr="005D2B18" w:rsidRDefault="00700108" w:rsidP="00AC4838">
      <w:pPr>
        <w:spacing w:line="480" w:lineRule="auto"/>
        <w:ind w:firstLine="720"/>
      </w:pPr>
    </w:p>
    <w:p w:rsidR="00700108" w:rsidRPr="005D2B18" w:rsidRDefault="00700108" w:rsidP="005014A3">
      <w:pPr>
        <w:spacing w:line="480" w:lineRule="auto"/>
        <w:jc w:val="center"/>
        <w:outlineLvl w:val="0"/>
        <w:rPr>
          <w:b/>
        </w:rPr>
      </w:pPr>
      <w:r w:rsidRPr="005D2B18">
        <w:rPr>
          <w:b/>
        </w:rPr>
        <w:t>Results</w:t>
      </w:r>
    </w:p>
    <w:p w:rsidR="00700108" w:rsidRPr="005D2B18" w:rsidRDefault="00700108" w:rsidP="005014A3">
      <w:pPr>
        <w:spacing w:line="480" w:lineRule="auto"/>
        <w:outlineLvl w:val="0"/>
        <w:rPr>
          <w:b/>
        </w:rPr>
      </w:pPr>
      <w:r w:rsidRPr="005D2B18">
        <w:rPr>
          <w:b/>
        </w:rPr>
        <w:t>Participants</w:t>
      </w:r>
    </w:p>
    <w:p w:rsidR="00700108" w:rsidRPr="005D2B18" w:rsidRDefault="00700108" w:rsidP="00FB6357">
      <w:pPr>
        <w:spacing w:line="480" w:lineRule="auto"/>
      </w:pPr>
      <w:r w:rsidRPr="005D2B18">
        <w:t xml:space="preserve">The survey was completed by 429 participants, of whom 344 (80%) responded to the 1498 invitations mailed to public sector physicians’ patients (23% response rate). Participants were aged 18 to 90 years (M = 55; SD = 15.2); 247 (60%) were women and 393 (91.6%) were of British, Irish or other white ethnic background. The majority (335; 78.1%) completed the paper-version. Participants reported having LBP for between 6 weeks and 52 years (median 6 years; interquartile range 13.18 years); 415 (96%) had LBP in the past year, 400 (93.2%) in the past 6 months, and 308 (71.8%) at the time of the survey; 398 (92.8%) considered their general health to be ‘fair’ to ‘very good’, but more than half reported high disability (i.e. chronic pain grade III or IV). Only 61 (15.5%) reported receiving state benefits for LBP. Of the 174 volunteering to complete the survey twice, 115 (66.1%) participants completed and returned the LBP-TBQ again 1-2 weeks later. There were no differences between respondents and non-respondents to the second survey in age, gender, pain duration, general health levels, </w:t>
      </w:r>
      <w:r w:rsidRPr="005D2B18">
        <w:lastRenderedPageBreak/>
        <w:t xml:space="preserve">pain intensity, disability levels, or chronic pain grade. Additional socio-demographic and clinical data and descriptive statistics for the validating measures are available in Table 1 and Supplementary Digital Content 1.  </w:t>
      </w:r>
    </w:p>
    <w:p w:rsidR="00700108" w:rsidRPr="005D2B18" w:rsidRDefault="00700108" w:rsidP="00640770">
      <w:pPr>
        <w:spacing w:line="480" w:lineRule="auto"/>
        <w:ind w:firstLine="720"/>
        <w:rPr>
          <w:i/>
        </w:rPr>
      </w:pPr>
    </w:p>
    <w:p w:rsidR="00700108" w:rsidRPr="005D2B18" w:rsidRDefault="00700108" w:rsidP="005014A3">
      <w:pPr>
        <w:spacing w:line="480" w:lineRule="auto"/>
        <w:ind w:firstLine="720"/>
        <w:outlineLvl w:val="0"/>
        <w:rPr>
          <w:i/>
        </w:rPr>
      </w:pPr>
      <w:r w:rsidRPr="005D2B18">
        <w:rPr>
          <w:i/>
        </w:rPr>
        <w:t xml:space="preserve">Insert Table 1 Here </w:t>
      </w:r>
    </w:p>
    <w:p w:rsidR="00700108" w:rsidRPr="005D2B18" w:rsidRDefault="00700108" w:rsidP="00BA6E61">
      <w:pPr>
        <w:spacing w:line="480" w:lineRule="auto"/>
        <w:rPr>
          <w:b/>
        </w:rPr>
      </w:pPr>
    </w:p>
    <w:p w:rsidR="00700108" w:rsidRPr="005D2B18" w:rsidRDefault="00700108" w:rsidP="005014A3">
      <w:pPr>
        <w:spacing w:line="480" w:lineRule="auto"/>
        <w:outlineLvl w:val="0"/>
        <w:rPr>
          <w:b/>
        </w:rPr>
      </w:pPr>
      <w:r w:rsidRPr="005D2B18">
        <w:rPr>
          <w:b/>
        </w:rPr>
        <w:t>Item selection and structural validity</w:t>
      </w:r>
    </w:p>
    <w:p w:rsidR="00700108" w:rsidRPr="005D2B18" w:rsidRDefault="00700108" w:rsidP="00387022">
      <w:pPr>
        <w:spacing w:line="480" w:lineRule="auto"/>
      </w:pPr>
      <w:r w:rsidRPr="005D2B18">
        <w:t xml:space="preserve">Items were selected iteratively based on homogeneity and monotonicity results at item, item-pair, and scale level for all four treatments. Four items were excluded based on item properties and content  to achieve four 4-item subscales with two reversed items each and good homogeneity and monotonicity, except three significant violations of monotonicity for Acupuncture items (Table 2; see also Supplementary Digital Content 2 which shows initial homogeneity values for all items and the violations of monotonicity for acupuncture items). </w:t>
      </w:r>
    </w:p>
    <w:p w:rsidR="00700108" w:rsidRPr="005D2B18" w:rsidRDefault="00700108" w:rsidP="00A04DA2">
      <w:pPr>
        <w:spacing w:line="480" w:lineRule="auto"/>
        <w:ind w:firstLine="720"/>
      </w:pPr>
    </w:p>
    <w:p w:rsidR="00700108" w:rsidRPr="005D2B18" w:rsidRDefault="00700108" w:rsidP="005014A3">
      <w:pPr>
        <w:spacing w:line="480" w:lineRule="auto"/>
        <w:ind w:firstLine="720"/>
        <w:outlineLvl w:val="0"/>
        <w:rPr>
          <w:i/>
        </w:rPr>
      </w:pPr>
      <w:r w:rsidRPr="005D2B18">
        <w:rPr>
          <w:i/>
        </w:rPr>
        <w:t xml:space="preserve">Insert Table 2 Here </w:t>
      </w:r>
    </w:p>
    <w:p w:rsidR="00700108" w:rsidRPr="005D2B18" w:rsidRDefault="00700108" w:rsidP="00A04DA2">
      <w:pPr>
        <w:spacing w:line="480" w:lineRule="auto"/>
        <w:ind w:firstLine="720"/>
      </w:pPr>
    </w:p>
    <w:p w:rsidR="00700108" w:rsidRPr="005D2B18" w:rsidRDefault="00700108" w:rsidP="00A04DA2">
      <w:pPr>
        <w:spacing w:line="480" w:lineRule="auto"/>
        <w:ind w:firstLine="720"/>
      </w:pPr>
      <w:r w:rsidRPr="005D2B18">
        <w:t xml:space="preserve">We examined structural validity via CFA for each treatment by comparing the hypothesized 4-factor model (covariance between factors and </w:t>
      </w:r>
      <w:proofErr w:type="spellStart"/>
      <w:r w:rsidRPr="005D2B18">
        <w:t>covariances</w:t>
      </w:r>
      <w:proofErr w:type="spellEnd"/>
      <w:r w:rsidRPr="005D2B18">
        <w:t xml:space="preserve"> between error terms of reverse-coded items) with several alternatives (1-factor model, 4-factor model with 1 common higher-order factor, 1-factor model improved via specifying error </w:t>
      </w:r>
      <w:proofErr w:type="spellStart"/>
      <w:r w:rsidRPr="005D2B18">
        <w:t>covariances</w:t>
      </w:r>
      <w:proofErr w:type="spellEnd"/>
      <w:r w:rsidRPr="005D2B18">
        <w:t xml:space="preserve"> suggested by modification indices). Although none of the models reached threshold values for all fit indices and all treatment types, the 4-factor model performed slightly better than its alternatives. As an example, Figure 1 displays model parameter estimates for pain medication items. (Supplementary Digital Content 3 shows parameter estimates and model fit for alternative models and other treatment types.)</w:t>
      </w:r>
    </w:p>
    <w:p w:rsidR="00700108" w:rsidRPr="005D2B18" w:rsidRDefault="00700108" w:rsidP="00066500">
      <w:pPr>
        <w:spacing w:line="480" w:lineRule="auto"/>
      </w:pPr>
    </w:p>
    <w:p w:rsidR="00700108" w:rsidRPr="005D2B18" w:rsidRDefault="00700108" w:rsidP="005014A3">
      <w:pPr>
        <w:spacing w:line="480" w:lineRule="auto"/>
        <w:ind w:firstLine="720"/>
        <w:outlineLvl w:val="0"/>
        <w:rPr>
          <w:i/>
        </w:rPr>
      </w:pPr>
      <w:r w:rsidRPr="005D2B18">
        <w:rPr>
          <w:i/>
        </w:rPr>
        <w:t xml:space="preserve">Insert Figure 1 Here </w:t>
      </w:r>
    </w:p>
    <w:p w:rsidR="00700108" w:rsidRPr="005D2B18" w:rsidRDefault="00700108" w:rsidP="008F713D">
      <w:pPr>
        <w:spacing w:line="480" w:lineRule="auto"/>
        <w:ind w:firstLine="720"/>
        <w:rPr>
          <w:b/>
        </w:rPr>
      </w:pPr>
    </w:p>
    <w:p w:rsidR="00700108" w:rsidRPr="005D2B18" w:rsidRDefault="00700108" w:rsidP="00A04DA2">
      <w:pPr>
        <w:spacing w:line="480" w:lineRule="auto"/>
        <w:ind w:firstLine="720"/>
      </w:pPr>
      <w:proofErr w:type="gramStart"/>
      <w:r w:rsidRPr="005D2B18">
        <w:rPr>
          <w:b/>
        </w:rPr>
        <w:t>Reliability</w:t>
      </w:r>
      <w:r w:rsidRPr="005D2B18">
        <w:rPr>
          <w:i/>
        </w:rPr>
        <w:t>.</w:t>
      </w:r>
      <w:proofErr w:type="gramEnd"/>
      <w:r w:rsidRPr="005D2B18">
        <w:t xml:space="preserve"> All four subscales showed acceptable internal consistency, with Cronbach’s α values ranging from .73 to .94. They also showed acceptable test-retest validity: over 1-2 weeks pain medication effectiveness exhibited the lowest stability (</w:t>
      </w:r>
      <w:r w:rsidRPr="005D2B18">
        <w:rPr>
          <w:i/>
        </w:rPr>
        <w:t>r</w:t>
      </w:r>
      <w:r w:rsidRPr="005D2B18">
        <w:t>=.63), and manual therapy concerns exhibited the highest stability (</w:t>
      </w:r>
      <w:r w:rsidRPr="005D2B18">
        <w:rPr>
          <w:i/>
        </w:rPr>
        <w:t>r</w:t>
      </w:r>
      <w:r w:rsidRPr="005D2B18">
        <w:t>=.83). For details see Table 3.</w:t>
      </w:r>
    </w:p>
    <w:p w:rsidR="00700108" w:rsidRPr="005D2B18" w:rsidRDefault="00700108" w:rsidP="00387022">
      <w:pPr>
        <w:spacing w:line="480" w:lineRule="auto"/>
        <w:rPr>
          <w:b/>
        </w:rPr>
      </w:pPr>
    </w:p>
    <w:p w:rsidR="00700108" w:rsidRPr="005D2B18" w:rsidRDefault="00700108" w:rsidP="005014A3">
      <w:pPr>
        <w:spacing w:line="480" w:lineRule="auto"/>
        <w:ind w:firstLine="720"/>
        <w:outlineLvl w:val="0"/>
        <w:rPr>
          <w:i/>
        </w:rPr>
      </w:pPr>
      <w:r w:rsidRPr="005D2B18">
        <w:rPr>
          <w:i/>
        </w:rPr>
        <w:t xml:space="preserve">Insert Table 3 Here </w:t>
      </w:r>
    </w:p>
    <w:p w:rsidR="00700108" w:rsidRPr="005D2B18" w:rsidRDefault="00700108" w:rsidP="00387022">
      <w:pPr>
        <w:spacing w:line="480" w:lineRule="auto"/>
        <w:rPr>
          <w:b/>
        </w:rPr>
      </w:pPr>
    </w:p>
    <w:p w:rsidR="00700108" w:rsidRPr="005D2B18" w:rsidRDefault="00700108" w:rsidP="005014A3">
      <w:pPr>
        <w:spacing w:line="480" w:lineRule="auto"/>
        <w:outlineLvl w:val="0"/>
        <w:rPr>
          <w:b/>
        </w:rPr>
      </w:pPr>
      <w:r w:rsidRPr="005D2B18">
        <w:rPr>
          <w:b/>
        </w:rPr>
        <w:t>Convergent and discriminant validity</w:t>
      </w:r>
    </w:p>
    <w:p w:rsidR="00700108" w:rsidRPr="005D2B18" w:rsidRDefault="00700108" w:rsidP="00387022">
      <w:pPr>
        <w:spacing w:line="480" w:lineRule="auto"/>
      </w:pPr>
      <w:r w:rsidRPr="005D2B18">
        <w:t xml:space="preserve">As hypothesized, on the whole the LBP-TBQ subscales were at least moderately associated with conceptually-related constructs (r&gt;.3), and showed medium to non-significant associations (r&lt;.3) with constructs expected to be conceptually different (Table 4). The main exceptions involved the discriminant validity of the exercise subscales which unexpectedly correlated with LBP perceptions (BIPQ): exercise concerns and exercise individual fit were moderately correlated with LBP concerns; and exercise concerns were moderately correlated with perceived emotional impact of LBP. Related to convergent validity, the observed correlations of 0.29 fell just short of the hypothesized 0.3 between attitudes to CAM (HCAMQ) and beliefs regarding effectiveness and individual fit of manual therapy, and between general beliefs about the harmful effects of medications (BMQ) and LBP-specific medication concerns. </w:t>
      </w:r>
    </w:p>
    <w:p w:rsidR="00700108" w:rsidRPr="005D2B18" w:rsidRDefault="00700108" w:rsidP="00387022">
      <w:pPr>
        <w:spacing w:line="480" w:lineRule="auto"/>
      </w:pPr>
    </w:p>
    <w:p w:rsidR="00700108" w:rsidRPr="005D2B18" w:rsidRDefault="00700108" w:rsidP="005014A3">
      <w:pPr>
        <w:spacing w:line="480" w:lineRule="auto"/>
        <w:ind w:firstLine="720"/>
        <w:outlineLvl w:val="0"/>
        <w:rPr>
          <w:i/>
        </w:rPr>
      </w:pPr>
      <w:r w:rsidRPr="005D2B18">
        <w:rPr>
          <w:i/>
        </w:rPr>
        <w:t xml:space="preserve">Insert Table 4 Here </w:t>
      </w:r>
    </w:p>
    <w:p w:rsidR="00700108" w:rsidRPr="005D2B18" w:rsidRDefault="00700108" w:rsidP="00387022">
      <w:pPr>
        <w:spacing w:line="480" w:lineRule="auto"/>
      </w:pPr>
    </w:p>
    <w:p w:rsidR="00700108" w:rsidRPr="005D2B18" w:rsidRDefault="00700108" w:rsidP="005014A3">
      <w:pPr>
        <w:spacing w:line="480" w:lineRule="auto"/>
        <w:outlineLvl w:val="0"/>
        <w:rPr>
          <w:b/>
        </w:rPr>
      </w:pPr>
      <w:r w:rsidRPr="005D2B18">
        <w:rPr>
          <w:b/>
        </w:rPr>
        <w:lastRenderedPageBreak/>
        <w:t>Criterion Validity</w:t>
      </w:r>
    </w:p>
    <w:p w:rsidR="00700108" w:rsidRPr="005D2B18" w:rsidRDefault="00700108" w:rsidP="00387022">
      <w:pPr>
        <w:spacing w:line="480" w:lineRule="auto"/>
      </w:pPr>
      <w:r w:rsidRPr="005D2B18">
        <w:t>For each treatment,</w:t>
      </w:r>
      <w:r w:rsidRPr="005D2B18">
        <w:rPr>
          <w:b/>
        </w:rPr>
        <w:t xml:space="preserve"> </w:t>
      </w:r>
      <w:r w:rsidRPr="005D2B18">
        <w:t xml:space="preserve">those participants who ranked a treatment as their top choice had more positive beliefs about that treatment than did other participants. This difference was significant for all treatments and all subscales, except beliefs about the Effectiveness of Pain Medication (Table 5). In other words, when participants had stronger beliefs about a treatment’s effectiveness, credibility, and individual fit, and had fewer concerns about a treatment, they were more likely to prefer that treatment. </w:t>
      </w:r>
    </w:p>
    <w:p w:rsidR="00700108" w:rsidRPr="005D2B18" w:rsidRDefault="00700108" w:rsidP="00387022">
      <w:pPr>
        <w:spacing w:line="480" w:lineRule="auto"/>
      </w:pPr>
    </w:p>
    <w:p w:rsidR="00700108" w:rsidRPr="005D2B18" w:rsidRDefault="00700108" w:rsidP="005014A3">
      <w:pPr>
        <w:spacing w:line="480" w:lineRule="auto"/>
        <w:outlineLvl w:val="0"/>
        <w:rPr>
          <w:b/>
        </w:rPr>
      </w:pPr>
      <w:r w:rsidRPr="005D2B18">
        <w:rPr>
          <w:b/>
        </w:rPr>
        <w:t>An Alternative Structure</w:t>
      </w:r>
    </w:p>
    <w:p w:rsidR="00700108" w:rsidRPr="005D2B18" w:rsidRDefault="00700108" w:rsidP="005202A2">
      <w:pPr>
        <w:spacing w:line="480" w:lineRule="auto"/>
      </w:pPr>
      <w:r w:rsidRPr="005D2B18">
        <w:t>Subscale scores were highly correlated with each other within treatments (shown in Supplementary Digital Content 4). An exploratory MSA (</w:t>
      </w:r>
      <w:proofErr w:type="spellStart"/>
      <w:r w:rsidRPr="005D2B18">
        <w:t>aisp</w:t>
      </w:r>
      <w:proofErr w:type="spellEnd"/>
      <w:r w:rsidRPr="005D2B18">
        <w:t>; results shown in Supplementary Digital Content 5) revealed that the entire item set could alternatively be considered a single 16-item scale with medium to good homogeneity. For this global scale, homogeneity scores were .46, .59, .60, .67 and Cronbach’s α values were .92, .95, .95, and .96 for pain medication, acupuncture, exercise and manual therapy respectively.</w:t>
      </w:r>
    </w:p>
    <w:p w:rsidR="00700108" w:rsidRPr="005D2B18" w:rsidRDefault="00700108" w:rsidP="00A04DA2">
      <w:pPr>
        <w:spacing w:line="480" w:lineRule="auto"/>
        <w:ind w:firstLine="720"/>
      </w:pPr>
    </w:p>
    <w:p w:rsidR="00700108" w:rsidRPr="005D2B18" w:rsidRDefault="00700108" w:rsidP="005014A3">
      <w:pPr>
        <w:spacing w:line="480" w:lineRule="auto"/>
        <w:ind w:firstLine="720"/>
        <w:outlineLvl w:val="0"/>
        <w:rPr>
          <w:i/>
        </w:rPr>
      </w:pPr>
      <w:r w:rsidRPr="005D2B18">
        <w:rPr>
          <w:i/>
        </w:rPr>
        <w:t xml:space="preserve">Insert Table 5 Here </w:t>
      </w:r>
    </w:p>
    <w:p w:rsidR="00700108" w:rsidRPr="005D2B18" w:rsidRDefault="00700108" w:rsidP="00A04DA2">
      <w:pPr>
        <w:spacing w:line="480" w:lineRule="auto"/>
        <w:ind w:firstLine="720"/>
      </w:pPr>
    </w:p>
    <w:p w:rsidR="00700108" w:rsidRPr="005D2B18" w:rsidRDefault="00700108" w:rsidP="005014A3">
      <w:pPr>
        <w:spacing w:line="480" w:lineRule="auto"/>
        <w:outlineLvl w:val="0"/>
        <w:rPr>
          <w:b/>
        </w:rPr>
      </w:pPr>
      <w:r w:rsidRPr="005D2B18">
        <w:rPr>
          <w:b/>
        </w:rPr>
        <w:t>Measurement Invariance</w:t>
      </w:r>
    </w:p>
    <w:p w:rsidR="00700108" w:rsidRPr="005D2B18" w:rsidRDefault="00700108" w:rsidP="005202A2">
      <w:pPr>
        <w:spacing w:line="480" w:lineRule="auto"/>
      </w:pPr>
      <w:r w:rsidRPr="005D2B18">
        <w:t xml:space="preserve">Multi-group CFA analyses (summarised in Table 6) indicated that all scales showed scalar invariance between the two data collection waves and in most other subgroup comparisons, with some exceptions. Manual Therapy Beliefs displayed metric invariance between subgroups differentiated on probability of nerve root compression and self-reported sciatica diagnoses (results shown in Supplementary Digital Content 6). Exercise Beliefs displayed metric invariance between treatment experience subgroups (results shown in Supplementary </w:t>
      </w:r>
      <w:r w:rsidRPr="005D2B18">
        <w:lastRenderedPageBreak/>
        <w:t>Digital Content 7). No measurement invariance was observed for Medication Beliefs between patients with and without nerve compression (results shown in Supplementary Digital Content 8). No measurement invariance was observed for Acupuncture Beliefs in patients with or without sciatica and with or without treatment experience (results shown in Supplementary Digital Content 9). In addition, no measurement invariance was found between medication, exercise, manual therapy and acupuncture regarding the LBP-TBQ scales (results shown in Supplementary Digital Content 10).</w:t>
      </w:r>
    </w:p>
    <w:p w:rsidR="00700108" w:rsidRPr="005D2B18" w:rsidRDefault="00700108" w:rsidP="000510C3">
      <w:pPr>
        <w:spacing w:line="480" w:lineRule="auto"/>
        <w:ind w:firstLine="720"/>
      </w:pPr>
    </w:p>
    <w:p w:rsidR="00700108" w:rsidRPr="005D2B18" w:rsidRDefault="00700108" w:rsidP="005014A3">
      <w:pPr>
        <w:spacing w:line="480" w:lineRule="auto"/>
        <w:ind w:firstLine="720"/>
        <w:outlineLvl w:val="0"/>
        <w:rPr>
          <w:i/>
        </w:rPr>
      </w:pPr>
      <w:r w:rsidRPr="005D2B18">
        <w:rPr>
          <w:i/>
        </w:rPr>
        <w:t xml:space="preserve">Insert Table 6 Here </w:t>
      </w:r>
    </w:p>
    <w:p w:rsidR="00700108" w:rsidRPr="005D2B18" w:rsidRDefault="00700108" w:rsidP="00355DC6">
      <w:pPr>
        <w:spacing w:line="480" w:lineRule="auto"/>
      </w:pPr>
    </w:p>
    <w:p w:rsidR="00700108" w:rsidRPr="005D2B18" w:rsidRDefault="00700108" w:rsidP="005014A3">
      <w:pPr>
        <w:spacing w:line="480" w:lineRule="auto"/>
        <w:outlineLvl w:val="0"/>
        <w:rPr>
          <w:b/>
        </w:rPr>
      </w:pPr>
      <w:r w:rsidRPr="005D2B18">
        <w:rPr>
          <w:b/>
        </w:rPr>
        <w:t xml:space="preserve">Short Version of the LBP-TBQ </w:t>
      </w:r>
    </w:p>
    <w:p w:rsidR="00700108" w:rsidRPr="005D2B18" w:rsidRDefault="00700108" w:rsidP="00316586">
      <w:pPr>
        <w:spacing w:line="480" w:lineRule="auto"/>
      </w:pPr>
      <w:r w:rsidRPr="005D2B18">
        <w:t>One item was selected to represent each subscale based on scores on homogeneity and Cronbach’s α if item excluded (the item with best properties for all treatments). The 4-item version of the questionnaire displayed good homogeneity (H=.43-.66) (Table 7), internal consistency (α=.70-.86), and stability (</w:t>
      </w:r>
      <w:r w:rsidRPr="005D2B18">
        <w:rPr>
          <w:i/>
        </w:rPr>
        <w:t>r</w:t>
      </w:r>
      <w:r w:rsidRPr="005D2B18">
        <w:t xml:space="preserve">=.82-.85) (Table 8). People that ranked a treatment as their first choice reported significantly more positive treatment beliefs than people that ranked the treatment as a second, third or last option (Table 9). </w:t>
      </w:r>
    </w:p>
    <w:p w:rsidR="00700108" w:rsidRPr="005D2B18" w:rsidRDefault="00700108" w:rsidP="000510C3">
      <w:pPr>
        <w:spacing w:line="480" w:lineRule="auto"/>
        <w:ind w:firstLine="720"/>
      </w:pPr>
    </w:p>
    <w:p w:rsidR="00700108" w:rsidRPr="005D2B18" w:rsidRDefault="00700108" w:rsidP="005014A3">
      <w:pPr>
        <w:spacing w:line="480" w:lineRule="auto"/>
        <w:ind w:firstLine="720"/>
        <w:outlineLvl w:val="0"/>
        <w:rPr>
          <w:i/>
        </w:rPr>
      </w:pPr>
      <w:r w:rsidRPr="005D2B18">
        <w:rPr>
          <w:i/>
        </w:rPr>
        <w:t xml:space="preserve">Insert Table 7 Here </w:t>
      </w:r>
    </w:p>
    <w:p w:rsidR="00700108" w:rsidRPr="005D2B18" w:rsidRDefault="00700108" w:rsidP="000510C3">
      <w:pPr>
        <w:spacing w:line="480" w:lineRule="auto"/>
        <w:ind w:firstLine="720"/>
        <w:rPr>
          <w:i/>
        </w:rPr>
      </w:pPr>
      <w:r w:rsidRPr="005D2B18">
        <w:rPr>
          <w:i/>
        </w:rPr>
        <w:t xml:space="preserve">Insert Table 8 Here </w:t>
      </w:r>
    </w:p>
    <w:p w:rsidR="00700108" w:rsidRPr="005D2B18" w:rsidRDefault="00700108" w:rsidP="000510C3">
      <w:pPr>
        <w:spacing w:line="480" w:lineRule="auto"/>
        <w:ind w:firstLine="720"/>
        <w:rPr>
          <w:i/>
        </w:rPr>
      </w:pPr>
      <w:r w:rsidRPr="005D2B18">
        <w:rPr>
          <w:i/>
        </w:rPr>
        <w:t xml:space="preserve">Insert Table 9 Here </w:t>
      </w:r>
    </w:p>
    <w:p w:rsidR="00700108" w:rsidRPr="005D2B18" w:rsidRDefault="00700108" w:rsidP="00355DC6">
      <w:pPr>
        <w:spacing w:line="480" w:lineRule="auto"/>
      </w:pPr>
    </w:p>
    <w:p w:rsidR="00700108" w:rsidRPr="005D2B18" w:rsidRDefault="00700108" w:rsidP="005014A3">
      <w:pPr>
        <w:spacing w:line="480" w:lineRule="auto"/>
        <w:jc w:val="center"/>
        <w:outlineLvl w:val="0"/>
        <w:rPr>
          <w:b/>
        </w:rPr>
      </w:pPr>
      <w:r w:rsidRPr="005D2B18">
        <w:rPr>
          <w:b/>
        </w:rPr>
        <w:t>Discussion</w:t>
      </w:r>
    </w:p>
    <w:p w:rsidR="00700108" w:rsidRPr="005D2B18" w:rsidRDefault="00700108" w:rsidP="00910778">
      <w:pPr>
        <w:spacing w:line="480" w:lineRule="auto"/>
      </w:pPr>
      <w:r w:rsidRPr="005D2B18">
        <w:t>To facilitate the integration of treatment preferences in LBP clinical decision-making in primary care and to stimulate further research on this topic, we developed and validated a 16-</w:t>
      </w:r>
      <w:r w:rsidRPr="005D2B18">
        <w:lastRenderedPageBreak/>
        <w:t xml:space="preserve">item scale to measure core beliefs about four recommended LBP treatments (pain medication, exercise, manual therapy, acupuncture). The newly-developed LBP-TBQ showed good item properties, homogeneity, internal consistency, and stability. Discriminant and convergent validity were confirmed for most treatments, and the 4-factor structure was largely confirmed. Participants were more likely to rank a treatment as their first choice if they had stronger beliefs about its effectiveness, credibility, and individual fit, and fewer concerns about it, thus supporting the LBP-TBQ’s criterion validity. A short 4-item LBP-TBQ was also developed with best-performing items </w:t>
      </w:r>
      <w:r w:rsidR="005D64FB" w:rsidRPr="005D2B18">
        <w:t>and</w:t>
      </w:r>
      <w:r w:rsidRPr="005D2B18">
        <w:t xml:space="preserve"> showed good psychometric properties. Both 16-item and 4-item versions (available in Supplementary Digital Content 11) can be used in future research and clinical practice to assess patients’ beliefs about treatments. </w:t>
      </w:r>
    </w:p>
    <w:p w:rsidR="00700108" w:rsidRPr="005D2B18" w:rsidRDefault="00700108" w:rsidP="00F30EE8">
      <w:pPr>
        <w:spacing w:line="480" w:lineRule="auto"/>
        <w:ind w:firstLine="720"/>
      </w:pPr>
      <w:r w:rsidRPr="005D2B18">
        <w:t xml:space="preserve">The LBP-TBQ has several strengths compared to previous </w:t>
      </w:r>
      <w:r w:rsidR="005D64FB" w:rsidRPr="005D2B18">
        <w:t xml:space="preserve">treatment belief </w:t>
      </w:r>
      <w:r w:rsidRPr="005D2B18">
        <w:t xml:space="preserve">questionnaires. First, our scale addresses several </w:t>
      </w:r>
      <w:r w:rsidR="005D64FB" w:rsidRPr="005D2B18">
        <w:t xml:space="preserve">LBP </w:t>
      </w:r>
      <w:r w:rsidRPr="005D2B18">
        <w:t xml:space="preserve">beliefs in relatively compact 16-item or 4-item formats applicable to one or more treatments. This allows a comprehensive assessment with relatively low participation burden compared to existing scales, which assess selected dimensions (e.g. overuse and harm in the 8-item BMQ </w:t>
      </w:r>
      <w:r w:rsidRPr="005D2B18">
        <w:rPr>
          <w:iCs/>
          <w:noProof/>
        </w:rPr>
        <w:t>[29]</w:t>
      </w:r>
      <w:r w:rsidRPr="005D2B18">
        <w:t xml:space="preserve">, credibility and outcome expectancies in the 6-item CEQ </w:t>
      </w:r>
      <w:r w:rsidRPr="005D2B18">
        <w:rPr>
          <w:noProof/>
        </w:rPr>
        <w:t>[14]</w:t>
      </w:r>
      <w:r w:rsidRPr="005D2B18">
        <w:t xml:space="preserve">) and would need to be combined in a longer questionnaire without covering all relevant dimensions (e.g. individual fit). Second, previous scales are treatment specific. For example, deciding on medication use was previously described as </w:t>
      </w:r>
      <w:r w:rsidR="002C4712" w:rsidRPr="005D2B18">
        <w:t xml:space="preserve">involving </w:t>
      </w:r>
      <w:r w:rsidRPr="005D2B18">
        <w:t xml:space="preserve">a cost-benefit analysis </w:t>
      </w:r>
      <w:r w:rsidR="00FA6A97" w:rsidRPr="005D2B18">
        <w:t xml:space="preserve">comparing perceived benefits to concerns </w:t>
      </w:r>
      <w:r w:rsidRPr="005D2B18">
        <w:rPr>
          <w:noProof/>
        </w:rPr>
        <w:t>[27]</w:t>
      </w:r>
      <w:r w:rsidRPr="005D2B18">
        <w:t xml:space="preserve">, while for other treatments </w:t>
      </w:r>
      <w:r w:rsidR="002C4712" w:rsidRPr="005D2B18">
        <w:t xml:space="preserve">perceived </w:t>
      </w:r>
      <w:r w:rsidRPr="005D2B18">
        <w:t xml:space="preserve">credibility and expected results have been considered more relevant </w:t>
      </w:r>
      <w:r w:rsidRPr="005D2B18">
        <w:rPr>
          <w:iCs/>
          <w:noProof/>
        </w:rPr>
        <w:t>[14]</w:t>
      </w:r>
      <w:r w:rsidRPr="005D2B18">
        <w:rPr>
          <w:iCs/>
        </w:rPr>
        <w:t>.</w:t>
      </w:r>
      <w:r w:rsidRPr="005D2B18">
        <w:t xml:space="preserve"> In the LBP-TBQ, identical items assess beliefs about several treatments, facilitating direct comparisons. Third, the LBP-TBQ takes into account acquiescence bias by including negatively-worded items, which is rarely considered. For example, medication necessity and concerns have previously emerged as separate dimensions, but distinctions may be partly due to item wording</w:t>
      </w:r>
      <w:r w:rsidRPr="005D2B18">
        <w:rPr>
          <w:iCs/>
        </w:rPr>
        <w:t xml:space="preserve"> </w:t>
      </w:r>
      <w:r w:rsidRPr="005D2B18">
        <w:rPr>
          <w:iCs/>
          <w:noProof/>
        </w:rPr>
        <w:t>[29]</w:t>
      </w:r>
      <w:r w:rsidRPr="005D2B18">
        <w:rPr>
          <w:iCs/>
        </w:rPr>
        <w:t>.</w:t>
      </w:r>
      <w:r w:rsidRPr="005D2B18">
        <w:t xml:space="preserve"> Fourth, using NIRT methods allowed us to account for </w:t>
      </w:r>
      <w:r w:rsidRPr="005D2B18">
        <w:lastRenderedPageBreak/>
        <w:t xml:space="preserve">item difficulty and identify latent constructs under less strict (and more realistic) assumptions than parametric IRT </w:t>
      </w:r>
      <w:r w:rsidRPr="005D2B18">
        <w:rPr>
          <w:noProof/>
        </w:rPr>
        <w:t>[59]</w:t>
      </w:r>
      <w:r w:rsidRPr="005D2B18">
        <w:t xml:space="preserve">. And fifth, exploring measurement invariance enabled in-depth understanding of possible sources of variance in questionnaire structure and highlighted areas for improvement. </w:t>
      </w:r>
    </w:p>
    <w:p w:rsidR="00700108" w:rsidRPr="005D2B18" w:rsidRDefault="00700108" w:rsidP="007E0C7B">
      <w:pPr>
        <w:spacing w:line="480" w:lineRule="auto"/>
        <w:ind w:firstLine="720"/>
      </w:pPr>
      <w:r w:rsidRPr="005D2B18">
        <w:t xml:space="preserve">The LBP-TBQ benefits from combining theory and empirical qualitative data. Theoretically, it conceptualizes patients’ preferences within the CSM as developing from patients’ illness and treatment perceptions </w:t>
      </w:r>
      <w:r w:rsidRPr="005D2B18">
        <w:rPr>
          <w:noProof/>
        </w:rPr>
        <w:t>[26]</w:t>
      </w:r>
      <w:r w:rsidRPr="005D2B18">
        <w:t xml:space="preserve">, and therefore assesses patients’ beliefs about treatments to provide information relevant for clinical decision-making. According to the CSM (and confirmed in our qualitative research </w:t>
      </w:r>
      <w:r w:rsidRPr="005D2B18">
        <w:rPr>
          <w:noProof/>
        </w:rPr>
        <w:t>[16]</w:t>
      </w:r>
      <w:r w:rsidRPr="005D2B18">
        <w:t xml:space="preserve">), patients need to form adequate illness representations (e.g. illness identity and causal representations) to inform their treatment decisions; thus future studies should assess illness representations alongside treatment beliefs. By using empirical qualitative data, we were able to construct items based on the language LBP patients use to describe their beliefs. </w:t>
      </w:r>
    </w:p>
    <w:p w:rsidR="00700108" w:rsidRPr="005D2B18" w:rsidRDefault="00700108" w:rsidP="00C93612">
      <w:pPr>
        <w:spacing w:line="480" w:lineRule="auto"/>
        <w:ind w:firstLine="720"/>
      </w:pPr>
      <w:r w:rsidRPr="005D2B18">
        <w:t xml:space="preserve">Our validation study also revealed unanticipated and interesting differences between how patients perceive LBP treatments. First, contrary to our hypotheses, we identified significant moderate associations between patients’ concerns and perceptions of individual fit regarding exercise and their concerns about, and emotional representations of, LBP. These associations suggest that, unlike other (arguably more passive) treatments, patients with fewer </w:t>
      </w:r>
      <w:r w:rsidR="00F92682" w:rsidRPr="005D2B18">
        <w:t xml:space="preserve">LBP </w:t>
      </w:r>
      <w:r w:rsidRPr="005D2B18">
        <w:t xml:space="preserve">concerns and less intense emotions </w:t>
      </w:r>
      <w:r w:rsidR="00EE5D19" w:rsidRPr="005D2B18">
        <w:t>about</w:t>
      </w:r>
      <w:r w:rsidRPr="005D2B18">
        <w:t xml:space="preserve"> LBP have fewer concerns about exercise and stronger beliefs that exercise is right for them. Second, effectiveness beliefs showed the weakest stability, particularly for medication (r=.63-.76), suggest</w:t>
      </w:r>
      <w:r w:rsidR="00EE5D19" w:rsidRPr="005D2B18">
        <w:t>ing</w:t>
      </w:r>
      <w:r w:rsidRPr="005D2B18">
        <w:t xml:space="preserve"> that effectiveness beliefs </w:t>
      </w:r>
      <w:r w:rsidR="00EE5D19" w:rsidRPr="005D2B18">
        <w:t xml:space="preserve">fluctuate </w:t>
      </w:r>
      <w:r w:rsidRPr="005D2B18">
        <w:t xml:space="preserve">more over time than others. It may be that these beliefs are more easily influenced (e.g. by personal or vicarious experience of medications or practitioners than beliefs about credibility, concerns, and individual fit; understanding the causes and mechanisms of belief variability may be a promising avenue for further research </w:t>
      </w:r>
      <w:r w:rsidRPr="005D2B18">
        <w:lastRenderedPageBreak/>
        <w:t xml:space="preserve">and may reveal appropriate approaches to influencing the development of treatment beliefs. Third, measurement invariance was not achieved between treatments, suggesting that patients may interpret items and constructs somewhat differently when assessing different treatments. This is expected given differences between treatments (e.g. one’s concerns regarding medication can be very different to those about exercise) and suggests that future research using LBP-TBQ for treatment comparisons should </w:t>
      </w:r>
      <w:r w:rsidR="00EE5D19" w:rsidRPr="005D2B18">
        <w:t xml:space="preserve">first </w:t>
      </w:r>
      <w:r w:rsidRPr="005D2B18">
        <w:t>identify the sources of these differences and establish partial invariance.</w:t>
      </w:r>
    </w:p>
    <w:p w:rsidR="00700108" w:rsidRPr="005D2B18" w:rsidRDefault="00700108" w:rsidP="00FA6A97">
      <w:pPr>
        <w:spacing w:line="480" w:lineRule="auto"/>
        <w:ind w:firstLine="720"/>
      </w:pPr>
      <w:r w:rsidRPr="005D2B18">
        <w:t xml:space="preserve">The measurement invariance findings prompt specific recommendations regarding future applications and development of the LBP-TBQ. Scalar invariance was achieved for all treatments between data collection waves and pain duration subgroups, </w:t>
      </w:r>
      <w:r w:rsidR="00EE5D19" w:rsidRPr="005D2B18">
        <w:t xml:space="preserve">supporting </w:t>
      </w:r>
      <w:r w:rsidRPr="005D2B18">
        <w:t xml:space="preserve">the </w:t>
      </w:r>
      <w:r w:rsidR="00EE5D19" w:rsidRPr="005D2B18">
        <w:t xml:space="preserve">use of </w:t>
      </w:r>
      <w:r w:rsidRPr="005D2B18">
        <w:t xml:space="preserve">LBP-TBQ in longitudinal studies, or to compare groups of patients experiencing pain for less or more than 3 years. Not all treatments displayed scalar invariance between patients with different probability of nerve root compression, self-reported sciatica, or treatment experience; patients in these subgroups might attribute different meanings to particular items or constructs. Therefore, the LBP-TBQ structure would benefit from further investigation in relation to different patient characteristics. We recommend researchers using LBP-TBQ for subgroup comparisons first ascertain whether these subgroups interpret questionnaire items similarly, by performing measurement invariance analyses before examining group differences or using cognitive interviews. Moreover, </w:t>
      </w:r>
      <w:r w:rsidR="000A4B9C" w:rsidRPr="005D2B18">
        <w:t xml:space="preserve">further psychometric work is needed </w:t>
      </w:r>
      <w:r w:rsidR="004D330A" w:rsidRPr="005D2B18">
        <w:t xml:space="preserve">before using </w:t>
      </w:r>
      <w:r w:rsidRPr="005D2B18">
        <w:t>the LBP-TBQ to assess beliefs about other treatments (e.g. cognitive-</w:t>
      </w:r>
      <w:proofErr w:type="spellStart"/>
      <w:r w:rsidRPr="005D2B18">
        <w:t>behavioral</w:t>
      </w:r>
      <w:proofErr w:type="spellEnd"/>
      <w:r w:rsidRPr="005D2B18">
        <w:t xml:space="preserve"> therapy, </w:t>
      </w:r>
      <w:r w:rsidR="000A4B9C" w:rsidRPr="005D2B18">
        <w:t>multi</w:t>
      </w:r>
      <w:r w:rsidRPr="005D2B18">
        <w:t xml:space="preserve">disciplinary rehabilitation), or in other populations, languages or settings, </w:t>
      </w:r>
      <w:r w:rsidR="000A4B9C" w:rsidRPr="005D2B18">
        <w:t xml:space="preserve">and </w:t>
      </w:r>
      <w:r w:rsidRPr="005D2B18">
        <w:t xml:space="preserve">we recommend additional qualitative and psychometric examinations of its relevance and item properties in new contexts </w:t>
      </w:r>
      <w:r w:rsidRPr="005D2B18">
        <w:rPr>
          <w:noProof/>
        </w:rPr>
        <w:t>[5]</w:t>
      </w:r>
      <w:r w:rsidRPr="005D2B18">
        <w:t>.</w:t>
      </w:r>
    </w:p>
    <w:p w:rsidR="00700108" w:rsidRPr="005D2B18" w:rsidRDefault="00700108" w:rsidP="00C93612">
      <w:pPr>
        <w:spacing w:line="480" w:lineRule="auto"/>
        <w:ind w:firstLine="720"/>
      </w:pPr>
      <w:r w:rsidRPr="005D2B18">
        <w:t xml:space="preserve">Our research is subject to several limitations. First, our participants were recruited from patients consulting with their primary care GP or CAM practitioner; results might be </w:t>
      </w:r>
      <w:r w:rsidRPr="005D2B18">
        <w:lastRenderedPageBreak/>
        <w:t xml:space="preserve">different in secondary care patients (e.g. those who are undergoing hospital-based treatments or being considered for spinal injections or surgery). However, some of our patients had experienced hospital-based interventions (e.g. 17% had previously attended a pain management clinic, see Supplementary Digital Content 1). Second, our participants were older and more reported unemployment (mostly retired) and chronic pain compared to other primary care LBP samples (e.g. mean age 44 years, 24.6% unemployed (including retirees), 11.4% with pain duration longer than 3 years in another UK-based primary care cohort </w:t>
      </w:r>
      <w:r w:rsidRPr="005D2B18">
        <w:rPr>
          <w:noProof/>
        </w:rPr>
        <w:t>[17]</w:t>
      </w:r>
      <w:r w:rsidRPr="005D2B18">
        <w:t xml:space="preserve"> vs 55 years, 52.5% unemployed (including retirees), and </w:t>
      </w:r>
      <w:r w:rsidRPr="005D2B18">
        <w:rPr>
          <w:lang w:val="en-US"/>
        </w:rPr>
        <w:t>64.8% with pain for longer than 3 years</w:t>
      </w:r>
      <w:r w:rsidRPr="005D2B18">
        <w:t xml:space="preserve"> in our cohort). This is likely due to differences in participant selection (we contacted all LBP patients, not only patients currently consulting their primary care physician) or respondent burden (longer survey in the present study). Thus, the properties of the LBP-TBQ would benefit from confirmation in other samples. Third, although the 4-factor CFA model showed acceptable fit, the subscales were also highly inter-correlated within each treatment and could alternatively be merged into a single “treatment acceptability” dimension. These strong associations could be seen as contrasting with our previous qualitative findings where they emerged as distinct aspects considered when making treatment decisions </w:t>
      </w:r>
      <w:r w:rsidRPr="005D2B18">
        <w:rPr>
          <w:noProof/>
        </w:rPr>
        <w:t>[16]</w:t>
      </w:r>
      <w:r w:rsidRPr="005D2B18">
        <w:t xml:space="preserve"> and may reflect the different socio-cognitive processes involved in questionnaire response versus group discussion. Further psychometric work should explore the value of a 4-factor versus 1-factor structure, as well as measurement invariance and validity in different populations.</w:t>
      </w:r>
      <w:r w:rsidR="00042E8A" w:rsidRPr="005D2B18">
        <w:t xml:space="preserve"> </w:t>
      </w:r>
      <w:r w:rsidR="004D330A" w:rsidRPr="005D2B18">
        <w:t>F</w:t>
      </w:r>
      <w:r w:rsidR="00042E8A" w:rsidRPr="005D2B18">
        <w:t>ourth, our study was informed primarily by the NICE care pathway and thus focused on four frontline treatments</w:t>
      </w:r>
      <w:r w:rsidR="000A4B9C" w:rsidRPr="005D2B18">
        <w:t xml:space="preserve"> in the UK</w:t>
      </w:r>
      <w:r w:rsidR="00042E8A" w:rsidRPr="005D2B18">
        <w:t xml:space="preserve">; future studies and applications would need to consider local availability and clinical relevance when restricting or expanding this selection. </w:t>
      </w:r>
    </w:p>
    <w:p w:rsidR="00700108" w:rsidRPr="005D2B18" w:rsidRDefault="00700108" w:rsidP="00D80BA1">
      <w:pPr>
        <w:spacing w:line="480" w:lineRule="auto"/>
        <w:ind w:firstLine="720"/>
      </w:pPr>
      <w:r w:rsidRPr="005D2B18">
        <w:t xml:space="preserve">Our study shows that the LBP-TBQ can be used to assess the beliefs of LBP patients regarding four guideline-recommended treatment options (pain medication, exercise, manual therapy, acupuncture). According to the extended CSM of illness representations </w:t>
      </w:r>
      <w:r w:rsidRPr="005D2B18">
        <w:rPr>
          <w:noProof/>
        </w:rPr>
        <w:t>[33]</w:t>
      </w:r>
      <w:r w:rsidRPr="005D2B18">
        <w:t xml:space="preserve">, such </w:t>
      </w:r>
      <w:r w:rsidRPr="005D2B18">
        <w:lastRenderedPageBreak/>
        <w:t xml:space="preserve">beliefs are likely to be key modifiable determinants of treatment uptake and adherence. Understanding these beliefs and behaviours in LBP could allow us to develop interventions to optimize the use of evidence-based recommended treatments, and thus improve treatment effectiveness and patient outcomes in LBP. </w:t>
      </w:r>
      <w:r w:rsidR="00EE05A4" w:rsidRPr="005D2B18">
        <w:t xml:space="preserve"> </w:t>
      </w:r>
      <w:r w:rsidR="004D330A" w:rsidRPr="005D2B18">
        <w:t>P</w:t>
      </w:r>
      <w:r w:rsidR="00EE05A4" w:rsidRPr="005D2B18">
        <w:t xml:space="preserve">rotocols </w:t>
      </w:r>
      <w:r w:rsidRPr="005D2B18">
        <w:t xml:space="preserve">could </w:t>
      </w:r>
      <w:r w:rsidR="00EE05A4" w:rsidRPr="005D2B18">
        <w:t xml:space="preserve">be developed </w:t>
      </w:r>
      <w:r w:rsidR="004D330A" w:rsidRPr="005D2B18">
        <w:t xml:space="preserve">for clinicians to </w:t>
      </w:r>
      <w:r w:rsidRPr="005D2B18">
        <w:t xml:space="preserve">use the LBP-TBQ to match patients to treatments consistent with their treatment beliefs </w:t>
      </w:r>
      <w:r w:rsidRPr="005D2B18">
        <w:rPr>
          <w:noProof/>
        </w:rPr>
        <w:t xml:space="preserve">[e.g. 46] </w:t>
      </w:r>
      <w:r w:rsidRPr="005D2B18">
        <w:t xml:space="preserve">or to identify </w:t>
      </w:r>
      <w:r w:rsidR="00EE05A4" w:rsidRPr="005D2B18">
        <w:t xml:space="preserve">and address </w:t>
      </w:r>
      <w:r w:rsidR="004D330A" w:rsidRPr="005D2B18">
        <w:t xml:space="preserve">patients’ </w:t>
      </w:r>
      <w:r w:rsidRPr="005D2B18">
        <w:t xml:space="preserve">negative beliefs about treatments. </w:t>
      </w:r>
      <w:r w:rsidR="00EE05A4" w:rsidRPr="005D2B18">
        <w:t>For example, p</w:t>
      </w:r>
      <w:r w:rsidRPr="005D2B18">
        <w:t xml:space="preserve">atients could complete the 4-item LBP-TBQ before (e.g. electronically) or during consultations (e.g. as a clinical interview) </w:t>
      </w:r>
      <w:r w:rsidR="00EE05A4" w:rsidRPr="005D2B18">
        <w:t>regarding</w:t>
      </w:r>
      <w:r w:rsidRPr="005D2B18">
        <w:t xml:space="preserve"> locally-available treatment options. The </w:t>
      </w:r>
      <w:r w:rsidR="002E17D1" w:rsidRPr="005D2B18">
        <w:t xml:space="preserve">patients’ </w:t>
      </w:r>
      <w:r w:rsidRPr="005D2B18">
        <w:t xml:space="preserve">answers could highlight topics </w:t>
      </w:r>
      <w:r w:rsidR="002E17D1" w:rsidRPr="005D2B18">
        <w:t xml:space="preserve">for clinicians </w:t>
      </w:r>
      <w:r w:rsidRPr="005D2B18">
        <w:t xml:space="preserve">to explore </w:t>
      </w:r>
      <w:r w:rsidR="00EE05A4" w:rsidRPr="005D2B18">
        <w:t xml:space="preserve">in the consultation, </w:t>
      </w:r>
      <w:r w:rsidR="004D330A" w:rsidRPr="005D2B18">
        <w:t xml:space="preserve">perhaps </w:t>
      </w:r>
      <w:r w:rsidR="00EE05A4" w:rsidRPr="005D2B18">
        <w:t>after receiving appropriate training</w:t>
      </w:r>
      <w:r w:rsidRPr="005D2B18">
        <w:t xml:space="preserve">: for example, if a patient reports concerns about the clinically-preferred treatment the clinician could discuss these openly before agreeing on a treatment course. While a less focused discussion of treatment options might be inconclusive, completing the LBP-TBQ could help patients crystallise their beliefs and thus prompt a clinically-appropriate decision that reflects patients’ beliefs where possible. </w:t>
      </w:r>
      <w:r w:rsidR="00EE05A4" w:rsidRPr="005D2B18">
        <w:t>F</w:t>
      </w:r>
      <w:r w:rsidRPr="005D2B18">
        <w:t xml:space="preserve">urther research is needed to </w:t>
      </w:r>
      <w:r w:rsidR="00EE05A4" w:rsidRPr="005D2B18">
        <w:t>develop and test</w:t>
      </w:r>
      <w:r w:rsidRPr="005D2B18">
        <w:t xml:space="preserve"> </w:t>
      </w:r>
      <w:r w:rsidR="004D330A" w:rsidRPr="005D2B18">
        <w:t xml:space="preserve">such </w:t>
      </w:r>
      <w:r w:rsidRPr="005D2B18">
        <w:t>clinical applications of the LBP-TBQ.</w:t>
      </w:r>
    </w:p>
    <w:p w:rsidR="00700108" w:rsidRPr="005D2B18" w:rsidRDefault="00700108" w:rsidP="00F30EE8">
      <w:pPr>
        <w:spacing w:line="480" w:lineRule="auto"/>
        <w:ind w:firstLine="720"/>
      </w:pPr>
      <w:r w:rsidRPr="005D2B18">
        <w:t xml:space="preserve">We recommend the LBP-TBQ for prospective research examining determinants of treatment uptake and adherence in patients with LBP. Because it can assess the same beliefs about different treatments, the LBP-TBQ can also be used to model treatment choices within a more complex decision space than is often considered, i.e. one in which patients are choosing one from among many treatment options. Further research could explore clinical applications of the LBP-TBQ (particularly its 4-item version) to involve patients in treatment decision-making and thus help to more systematically take patients’ preferences into account when choosing treatments for LBP </w:t>
      </w:r>
      <w:r w:rsidRPr="005D2B18">
        <w:rPr>
          <w:noProof/>
        </w:rPr>
        <w:t>[49;50]</w:t>
      </w:r>
      <w:r w:rsidRPr="005D2B18">
        <w:t xml:space="preserve">.  </w:t>
      </w:r>
    </w:p>
    <w:p w:rsidR="00700108" w:rsidRPr="005D2B18" w:rsidRDefault="00700108" w:rsidP="00355DC6">
      <w:pPr>
        <w:spacing w:line="480" w:lineRule="auto"/>
      </w:pPr>
      <w:r w:rsidRPr="005D2B18">
        <w:br w:type="page"/>
      </w:r>
    </w:p>
    <w:p w:rsidR="00700108" w:rsidRPr="005D2B18" w:rsidRDefault="00700108" w:rsidP="00241121">
      <w:pPr>
        <w:jc w:val="center"/>
        <w:rPr>
          <w:noProof/>
        </w:rPr>
      </w:pPr>
      <w:r w:rsidRPr="005D2B18">
        <w:rPr>
          <w:noProof/>
        </w:rPr>
        <w:lastRenderedPageBreak/>
        <w:t>Reference List</w:t>
      </w:r>
    </w:p>
    <w:p w:rsidR="00700108" w:rsidRPr="005D2B18" w:rsidRDefault="00700108" w:rsidP="00241121">
      <w:pPr>
        <w:jc w:val="center"/>
        <w:rPr>
          <w:noProof/>
        </w:rPr>
      </w:pP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[1] </w:t>
      </w:r>
      <w:r w:rsidRPr="005D2B18">
        <w:rPr>
          <w:noProof/>
        </w:rPr>
        <w:tab/>
        <w:t>Airaksinen O, Brox J, Cedraschi C, Hildebrandt J, Klaber-Moffett J, Kovacs F, Mannion A, Reis S, Staal J, Ursin H, Zanoli G,  ObotC. Chapter 4 European guidelines for the management of chronic nonspecific low back pain. Eur Spine J 2006;15:s192-s300.</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[2] </w:t>
      </w:r>
      <w:r w:rsidRPr="005D2B18">
        <w:rPr>
          <w:noProof/>
        </w:rPr>
        <w:tab/>
        <w:t>Arbuckle JL. Amos (Version 21.0) [Computer Program]. Chicago: IBM SPSS, 2012.</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[3] </w:t>
      </w:r>
      <w:r w:rsidRPr="005D2B18">
        <w:rPr>
          <w:noProof/>
        </w:rPr>
        <w:tab/>
        <w:t>Ark LAvd. Mokken scale analysis in R. Journal of Statistical Software 2007;20:1-19.</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[4] </w:t>
      </w:r>
      <w:r w:rsidRPr="005D2B18">
        <w:rPr>
          <w:noProof/>
        </w:rPr>
        <w:tab/>
        <w:t>Ark LAvd. New developments in Mokken scale analysis in R. Journal of Statistical Software 2012;48:1-27.</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r>
      <w:r w:rsidRPr="005D2B18">
        <w:rPr>
          <w:noProof/>
          <w:lang w:val="nl-NL"/>
        </w:rPr>
        <w:t xml:space="preserve">[5] </w:t>
      </w:r>
      <w:r w:rsidRPr="005D2B18">
        <w:rPr>
          <w:noProof/>
          <w:lang w:val="nl-NL"/>
        </w:rPr>
        <w:tab/>
        <w:t xml:space="preserve">Beaton DE, Bombardier C, Guillemin F, Ferraz MB. </w:t>
      </w:r>
      <w:r w:rsidRPr="005D2B18">
        <w:rPr>
          <w:noProof/>
        </w:rPr>
        <w:t xml:space="preserve">Guidelines for the </w:t>
      </w:r>
      <w:r w:rsidR="0025756E" w:rsidRPr="005D2B18">
        <w:rPr>
          <w:noProof/>
        </w:rPr>
        <w:t>process of cross-cultural adaptation of self-report measures</w:t>
      </w:r>
      <w:r w:rsidRPr="005D2B18">
        <w:rPr>
          <w:noProof/>
        </w:rPr>
        <w:t>. Spine 2000;25</w:t>
      </w:r>
      <w:r w:rsidR="0025756E" w:rsidRPr="005D2B18">
        <w:rPr>
          <w:noProof/>
        </w:rPr>
        <w:t>:3186 –3191</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[6] </w:t>
      </w:r>
      <w:r w:rsidRPr="005D2B18">
        <w:rPr>
          <w:noProof/>
        </w:rPr>
        <w:tab/>
        <w:t>Bishop FL, Dima A, Ngui J, Little P, Moss-Morris R, Foster NE, Lewith GT. Clinical guidelines for low back pain in primary care: a qualitativ</w:t>
      </w:r>
      <w:r w:rsidR="0025756E" w:rsidRPr="005D2B18">
        <w:rPr>
          <w:noProof/>
        </w:rPr>
        <w:t>e study with UK clinicians. 2015</w:t>
      </w:r>
      <w:r w:rsidRPr="005D2B18">
        <w:rPr>
          <w:noProof/>
        </w:rPr>
        <w:t>.</w:t>
      </w:r>
      <w:r w:rsidR="0025756E" w:rsidRPr="005D2B18">
        <w:rPr>
          <w:noProof/>
        </w:rPr>
        <w:t xml:space="preserve"> In Preparation.</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[7] </w:t>
      </w:r>
      <w:r w:rsidRPr="005D2B18">
        <w:rPr>
          <w:noProof/>
        </w:rPr>
        <w:tab/>
        <w:t>Bishop FL, Yardley L, Lewith GT. Treatment appraisals and beliefs predict adherence to complementary therapies:  A prospective study using a dynamic extended self-regulation model. Br J Health Psychol 2008;13:701-718.</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[8] </w:t>
      </w:r>
      <w:r w:rsidRPr="005D2B18">
        <w:rPr>
          <w:noProof/>
        </w:rPr>
        <w:tab/>
        <w:t xml:space="preserve">Bishop FL, Yardley LF, Prescott PF, Cooper CF, Little PF, Lewith GT. Psychological </w:t>
      </w:r>
      <w:r w:rsidR="0025756E" w:rsidRPr="005D2B18">
        <w:rPr>
          <w:noProof/>
        </w:rPr>
        <w:t>covariates of longitudinal changes in back-related disability in patients undergoing acupuncture</w:t>
      </w:r>
      <w:r w:rsidRPr="005D2B18">
        <w:rPr>
          <w:noProof/>
        </w:rPr>
        <w:t>. Clin J Pain 2015;31:254-264.</w:t>
      </w:r>
    </w:p>
    <w:p w:rsidR="00700108" w:rsidRPr="005D2B18" w:rsidRDefault="00700108" w:rsidP="00241121">
      <w:pPr>
        <w:tabs>
          <w:tab w:val="right" w:pos="540"/>
          <w:tab w:val="left" w:pos="720"/>
        </w:tabs>
        <w:spacing w:after="240" w:line="480" w:lineRule="auto"/>
        <w:ind w:left="720" w:hanging="720"/>
        <w:rPr>
          <w:noProof/>
        </w:rPr>
      </w:pPr>
      <w:r w:rsidRPr="005D2B18">
        <w:rPr>
          <w:noProof/>
        </w:rPr>
        <w:lastRenderedPageBreak/>
        <w:tab/>
        <w:t xml:space="preserve">[9] </w:t>
      </w:r>
      <w:r w:rsidRPr="005D2B18">
        <w:rPr>
          <w:noProof/>
        </w:rPr>
        <w:tab/>
        <w:t>Bishop FL, Yardley L, Lewith G. Developing a measure of treatment beliefs: The complementary and alternative medicine beliefs inventory. Complement Ther Med 2005;13:144-149.</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[10] </w:t>
      </w:r>
      <w:r w:rsidRPr="005D2B18">
        <w:rPr>
          <w:noProof/>
        </w:rPr>
        <w:tab/>
        <w:t>Broadbent E, Petrie KJ, Main J, Weinman J. The Brief Illness Perception Questionnaire. J Psychosom Res 2006;60:631-637.</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[11] </w:t>
      </w:r>
      <w:r w:rsidRPr="005D2B18">
        <w:rPr>
          <w:noProof/>
        </w:rPr>
        <w:tab/>
        <w:t xml:space="preserve">Chou R, Qaseem A, Snow V, Casey D, Cross JT, Jr., Shekelle P, Owens DK, for the Clinical Efficacy Assessment Subcommittee of the American College of Physicians and the American College of Physicians/American Pain Society Low Back Pain Guidelines Panel*. Diagnosis </w:t>
      </w:r>
      <w:r w:rsidR="0025756E" w:rsidRPr="005D2B18">
        <w:rPr>
          <w:noProof/>
        </w:rPr>
        <w:t>and treatment of low back pain: a joint clinical practice guideline fro</w:t>
      </w:r>
      <w:r w:rsidRPr="005D2B18">
        <w:rPr>
          <w:noProof/>
        </w:rPr>
        <w:t>m the American College of Physicians and the American Pain Society. Ann Intern Med 2007;147:478-491.</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[12] </w:t>
      </w:r>
      <w:r w:rsidRPr="005D2B18">
        <w:rPr>
          <w:noProof/>
        </w:rPr>
        <w:tab/>
        <w:t xml:space="preserve">Cohen J. A power primer. </w:t>
      </w:r>
      <w:proofErr w:type="spellStart"/>
      <w:proofErr w:type="gramStart"/>
      <w:r w:rsidR="0025756E" w:rsidRPr="005D2B18">
        <w:t>Psychol</w:t>
      </w:r>
      <w:proofErr w:type="spellEnd"/>
      <w:r w:rsidR="0025756E" w:rsidRPr="005D2B18">
        <w:t xml:space="preserve"> Bull</w:t>
      </w:r>
      <w:r w:rsidR="0025756E" w:rsidRPr="005D2B18">
        <w:rPr>
          <w:noProof/>
        </w:rPr>
        <w:t xml:space="preserve"> </w:t>
      </w:r>
      <w:r w:rsidRPr="005D2B18">
        <w:rPr>
          <w:noProof/>
        </w:rPr>
        <w:t>1992;112:155-159.</w:t>
      </w:r>
      <w:proofErr w:type="gramEnd"/>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[13] </w:t>
      </w:r>
      <w:r w:rsidRPr="005D2B18">
        <w:rPr>
          <w:noProof/>
        </w:rPr>
        <w:tab/>
        <w:t>Croft PR, Macfarlane GJ, Papageorgiou AC, Thomas E, Silman AJ. Outcome of low back pain in general practice: a prospective study. BMJ 1998;316:1356.</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[14] </w:t>
      </w:r>
      <w:r w:rsidRPr="005D2B18">
        <w:rPr>
          <w:noProof/>
        </w:rPr>
        <w:tab/>
        <w:t>Devilly GJ, Borkovec TD.  Psychometric properties of the credibility/expectancy questionnaire. J Behav Ther Exp Psychiatry 2000;31:73-86.</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[15] </w:t>
      </w:r>
      <w:r w:rsidRPr="005D2B18">
        <w:rPr>
          <w:noProof/>
        </w:rPr>
        <w:tab/>
        <w:t>Deyo RA, Weinstein JN. Low Back Pain. N Engl J Med 2001;344:363-370.</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[16] </w:t>
      </w:r>
      <w:r w:rsidRPr="005D2B18">
        <w:rPr>
          <w:noProof/>
        </w:rPr>
        <w:tab/>
      </w:r>
      <w:r w:rsidR="0025756E" w:rsidRPr="005D2B18">
        <w:rPr>
          <w:noProof/>
        </w:rPr>
        <w:t>Dima A, Lewith GT, Little P, Moss-Morris R, Foster NE, Bishop FL. Identifying patients' beliefs about treatments for chronic low back pain in primary care: a focus group study. Br J Gen Pract. 2013;63:e490-8.</w:t>
      </w:r>
    </w:p>
    <w:p w:rsidR="00700108" w:rsidRPr="005D2B18" w:rsidRDefault="00700108" w:rsidP="00241121">
      <w:pPr>
        <w:tabs>
          <w:tab w:val="right" w:pos="540"/>
          <w:tab w:val="left" w:pos="720"/>
        </w:tabs>
        <w:spacing w:after="240" w:line="480" w:lineRule="auto"/>
        <w:ind w:left="720" w:hanging="720"/>
        <w:rPr>
          <w:noProof/>
        </w:rPr>
      </w:pPr>
      <w:r w:rsidRPr="005D2B18">
        <w:rPr>
          <w:noProof/>
        </w:rPr>
        <w:lastRenderedPageBreak/>
        <w:tab/>
        <w:t xml:space="preserve">[17] </w:t>
      </w:r>
      <w:r w:rsidRPr="005D2B18">
        <w:rPr>
          <w:noProof/>
        </w:rPr>
        <w:tab/>
        <w:t>Foster NE, Bishop A, Thomas E, Main C, Horne R, Weinman J, Hay E. Illness perceptions of low back pain patients in primary care: What are they, do they change and are they associated with outcome? Pain 2008;136:177-187.</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[18] </w:t>
      </w:r>
      <w:r w:rsidRPr="005D2B18">
        <w:rPr>
          <w:noProof/>
        </w:rPr>
        <w:tab/>
        <w:t>French DJ, France CR, Vigneau F, French JA, Evans RT. Fear of movement/(re)injury in chronic pain: A psychometric assessment of the original English version of the Tampa scale for kinesiophobia (TSK). Pain 2007;127:42-51.</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[19] </w:t>
      </w:r>
      <w:r w:rsidRPr="005D2B18">
        <w:rPr>
          <w:noProof/>
        </w:rPr>
        <w:tab/>
        <w:t>George SZ, Robinson ME. Preference, expectation, and satisfaction in a clinical trial of behavioral interventions for acute and sub-acute low back pain. J Pain 2010;11:1074-1082.</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[20] </w:t>
      </w:r>
      <w:r w:rsidRPr="005D2B18">
        <w:rPr>
          <w:noProof/>
        </w:rPr>
        <w:tab/>
        <w:t>Glattacker M, Heyduck K, Meffert C. Illness beliefs, treatment beliefs and information needs as starting points for patient information - Evaluation of an intervention for patients with chronic back pain. Patient Educ Couns 2012;86:378-389.</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[21] </w:t>
      </w:r>
      <w:r w:rsidRPr="005D2B18">
        <w:rPr>
          <w:noProof/>
        </w:rPr>
        <w:tab/>
        <w:t>Haanstra TM, Hanson L, Evans R, Nes FA, Vet HCW, Cuijpers P, Ostelo RWJG. How do low back pain patients conceptualize their expectations regarding treatment? Content analysis of interviews. Eur Spine J 2013;22:1986-1995.</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[22] </w:t>
      </w:r>
      <w:r w:rsidRPr="005D2B18">
        <w:rPr>
          <w:noProof/>
        </w:rPr>
        <w:tab/>
        <w:t>Hagger MS, Orbell S. A meta-analytic review of the common-sense model of illness representations. Psychol Health 2003;18:141-184.</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[23] </w:t>
      </w:r>
      <w:r w:rsidRPr="005D2B18">
        <w:rPr>
          <w:noProof/>
        </w:rPr>
        <w:tab/>
        <w:t xml:space="preserve">Hemker BT, Sijtsma K, Molenaar IW. Selection of </w:t>
      </w:r>
      <w:r w:rsidR="0025756E" w:rsidRPr="005D2B18">
        <w:rPr>
          <w:noProof/>
        </w:rPr>
        <w:t>unidimensional scales from a multidimensional item bank in the polytomous Mokken IRT m</w:t>
      </w:r>
      <w:r w:rsidRPr="005D2B18">
        <w:rPr>
          <w:noProof/>
        </w:rPr>
        <w:t xml:space="preserve">odel. </w:t>
      </w:r>
      <w:r w:rsidR="0025756E" w:rsidRPr="005D2B18">
        <w:rPr>
          <w:noProof/>
        </w:rPr>
        <w:t>Appl Psychol Meas</w:t>
      </w:r>
      <w:r w:rsidRPr="005D2B18">
        <w:rPr>
          <w:noProof/>
        </w:rPr>
        <w:t xml:space="preserve"> 1995;19:337-352.</w:t>
      </w:r>
    </w:p>
    <w:p w:rsidR="00700108" w:rsidRPr="005D2B18" w:rsidRDefault="00700108" w:rsidP="00241121">
      <w:pPr>
        <w:tabs>
          <w:tab w:val="right" w:pos="540"/>
          <w:tab w:val="left" w:pos="720"/>
        </w:tabs>
        <w:spacing w:after="240" w:line="480" w:lineRule="auto"/>
        <w:ind w:left="720" w:hanging="720"/>
        <w:rPr>
          <w:noProof/>
        </w:rPr>
      </w:pPr>
      <w:r w:rsidRPr="005D2B18">
        <w:rPr>
          <w:noProof/>
        </w:rPr>
        <w:lastRenderedPageBreak/>
        <w:tab/>
        <w:t xml:space="preserve">[24] </w:t>
      </w:r>
      <w:r w:rsidRPr="005D2B18">
        <w:rPr>
          <w:noProof/>
        </w:rPr>
        <w:tab/>
        <w:t xml:space="preserve">Henderson CJ, Orbell S, Hagger MS. Illness schema activation and attentional bias to coping procedures. </w:t>
      </w:r>
      <w:r w:rsidR="0025756E" w:rsidRPr="005D2B18">
        <w:t xml:space="preserve">Health </w:t>
      </w:r>
      <w:proofErr w:type="spellStart"/>
      <w:r w:rsidR="0025756E" w:rsidRPr="005D2B18">
        <w:t>Psychol</w:t>
      </w:r>
      <w:proofErr w:type="spellEnd"/>
      <w:r w:rsidR="0025756E" w:rsidRPr="005D2B18">
        <w:rPr>
          <w:noProof/>
        </w:rPr>
        <w:t xml:space="preserve"> </w:t>
      </w:r>
      <w:r w:rsidRPr="005D2B18">
        <w:rPr>
          <w:noProof/>
        </w:rPr>
        <w:t>2009;28:101-107.</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[25] </w:t>
      </w:r>
      <w:r w:rsidRPr="005D2B18">
        <w:rPr>
          <w:noProof/>
        </w:rPr>
        <w:tab/>
        <w:t xml:space="preserve">Hoffmann T, Del Mar C, Strong J, Mai J. Patients' expectations of acute low back pain management: implications for evidence uptake. </w:t>
      </w:r>
      <w:r w:rsidR="0025756E" w:rsidRPr="005D2B18">
        <w:rPr>
          <w:noProof/>
        </w:rPr>
        <w:t xml:space="preserve">BMC Fam Pract </w:t>
      </w:r>
      <w:r w:rsidRPr="005D2B18">
        <w:rPr>
          <w:noProof/>
        </w:rPr>
        <w:t>2013;14:7.</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[26] </w:t>
      </w:r>
      <w:r w:rsidRPr="005D2B18">
        <w:rPr>
          <w:noProof/>
        </w:rPr>
        <w:tab/>
        <w:t>Horne R. Representations of medication and treatment:  advances in theory and measurement. In: Petrie KJ, Weinman JA, editors. Perceptions of Health and Illness. Amsterdam: Harwood Academic Publishers, 1997. pp. 155-188.</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[27] </w:t>
      </w:r>
      <w:r w:rsidRPr="005D2B18">
        <w:rPr>
          <w:noProof/>
        </w:rPr>
        <w:tab/>
        <w:t>Horne R, Weinman J. Patients' beliefs about prescribed medicines and their role in adherence to treatment in chronic physical illness. J Psychosom Res 1999;47:555-567.</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[28] </w:t>
      </w:r>
      <w:r w:rsidRPr="005D2B18">
        <w:rPr>
          <w:noProof/>
        </w:rPr>
        <w:tab/>
        <w:t>Horne R, Weinman J. Self-regulation and self-management in asthma:  exploring the role of illness perceptions and treatment beliefs in explaining non-adherence to preventer medication. Psychol Health 2002;17:17-32.</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[29] </w:t>
      </w:r>
      <w:r w:rsidRPr="005D2B18">
        <w:rPr>
          <w:noProof/>
        </w:rPr>
        <w:tab/>
        <w:t>Horne R, Weinman J, Hankins M. The beliefs about medicines questionnaire:  the development and evaluation of a new method for assessing the cognitive representation of medication. Psychol Health 1999;14:1-24.</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[30] </w:t>
      </w:r>
      <w:r w:rsidRPr="005D2B18">
        <w:rPr>
          <w:noProof/>
        </w:rPr>
        <w:tab/>
        <w:t xml:space="preserve">Hu L, Bentler PM. Cutoff criteria for fit indexes in covariance structure analysis: Conventional criteria versus new alternatives. </w:t>
      </w:r>
      <w:r w:rsidR="0025756E" w:rsidRPr="005D2B18">
        <w:rPr>
          <w:noProof/>
        </w:rPr>
        <w:t xml:space="preserve">Struct Equ Modeling </w:t>
      </w:r>
      <w:r w:rsidRPr="005D2B18">
        <w:rPr>
          <w:noProof/>
        </w:rPr>
        <w:t>1999;6:1-55.</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[31] </w:t>
      </w:r>
      <w:r w:rsidRPr="005D2B18">
        <w:rPr>
          <w:noProof/>
        </w:rPr>
        <w:tab/>
        <w:t>Hyland ME, Lewith GT, Westoby C. Developing a measure of attitudes: the holistic complementary and alternative medicine questionnaire. Complement Ther Med 2003;11:33-38.</w:t>
      </w:r>
    </w:p>
    <w:p w:rsidR="00700108" w:rsidRPr="005D2B18" w:rsidRDefault="00700108" w:rsidP="00241121">
      <w:pPr>
        <w:tabs>
          <w:tab w:val="right" w:pos="540"/>
          <w:tab w:val="left" w:pos="720"/>
        </w:tabs>
        <w:spacing w:after="240" w:line="480" w:lineRule="auto"/>
        <w:ind w:left="720" w:hanging="720"/>
        <w:rPr>
          <w:noProof/>
        </w:rPr>
      </w:pPr>
      <w:r w:rsidRPr="005D2B18">
        <w:rPr>
          <w:noProof/>
        </w:rPr>
        <w:lastRenderedPageBreak/>
        <w:tab/>
        <w:t xml:space="preserve">[32] </w:t>
      </w:r>
      <w:r w:rsidRPr="005D2B18">
        <w:rPr>
          <w:noProof/>
        </w:rPr>
        <w:tab/>
        <w:t xml:space="preserve">Jackson DL, Gillaspy JA, Purc-Stephenson R. Reporting practices in confirmatory factor analysis: An overview and some recommendations. </w:t>
      </w:r>
      <w:r w:rsidR="0025756E" w:rsidRPr="005D2B18">
        <w:rPr>
          <w:noProof/>
        </w:rPr>
        <w:t xml:space="preserve">Psychol Methods </w:t>
      </w:r>
      <w:r w:rsidRPr="005D2B18">
        <w:rPr>
          <w:noProof/>
        </w:rPr>
        <w:t>2009;14:6-23.</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[33] </w:t>
      </w:r>
      <w:r w:rsidRPr="005D2B18">
        <w:rPr>
          <w:noProof/>
        </w:rPr>
        <w:tab/>
        <w:t>Leventhal HA, Brissette I, Leventhal EA. The common-sense model of self-regulation of health and illness. In: Cameron LD, Leventhal H, editors. The self-regulation of health and illness behaviour. London: Routledge, 2003. pp. 42-65.</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[34] </w:t>
      </w:r>
      <w:r w:rsidRPr="005D2B18">
        <w:rPr>
          <w:noProof/>
        </w:rPr>
        <w:tab/>
        <w:t>Mao JJ, Xie SX, Bowman MA. Uncovering the expectancy effect: the validation of the acupuncture expectancy scale. Altern Ther Health Med 2010;16:22-27.</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[35] </w:t>
      </w:r>
      <w:r w:rsidRPr="005D2B18">
        <w:rPr>
          <w:noProof/>
        </w:rPr>
        <w:tab/>
        <w:t xml:space="preserve">Markland D. The golden rule is that there are no golden rules: A commentary on Paul Barrett's recommendations for reporting model fit in structural equation modelling. </w:t>
      </w:r>
      <w:r w:rsidR="0025756E" w:rsidRPr="005D2B18">
        <w:rPr>
          <w:noProof/>
        </w:rPr>
        <w:t xml:space="preserve">Pers Individ Dif </w:t>
      </w:r>
      <w:r w:rsidRPr="005D2B18">
        <w:rPr>
          <w:noProof/>
        </w:rPr>
        <w:t>2007;42:851-858.</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[36] </w:t>
      </w:r>
      <w:r w:rsidRPr="005D2B18">
        <w:rPr>
          <w:noProof/>
        </w:rPr>
        <w:tab/>
        <w:t xml:space="preserve">Marsh HW, Hau K-T, Wen Z. In search of golden rules: Comment on hypothesis testing approaches to setting cutoff values for fit indexes and dangers in overgeneralizing Hu and Bentler's (1999) findings. </w:t>
      </w:r>
      <w:r w:rsidR="0025756E" w:rsidRPr="005D2B18">
        <w:rPr>
          <w:noProof/>
        </w:rPr>
        <w:t xml:space="preserve">Struct Equ Modeling </w:t>
      </w:r>
      <w:r w:rsidRPr="005D2B18">
        <w:rPr>
          <w:noProof/>
        </w:rPr>
        <w:t>2004;11:320-341.</w:t>
      </w:r>
    </w:p>
    <w:p w:rsidR="00700108" w:rsidRPr="005D2B18" w:rsidRDefault="0025756E" w:rsidP="00241121">
      <w:pPr>
        <w:tabs>
          <w:tab w:val="right" w:pos="540"/>
          <w:tab w:val="left" w:pos="720"/>
        </w:tabs>
        <w:spacing w:after="240" w:line="480" w:lineRule="auto"/>
        <w:ind w:left="720" w:hanging="720"/>
        <w:rPr>
          <w:noProof/>
        </w:rPr>
      </w:pPr>
      <w:r w:rsidRPr="005D2B18">
        <w:rPr>
          <w:noProof/>
        </w:rPr>
        <w:tab/>
        <w:t xml:space="preserve">[37] </w:t>
      </w:r>
      <w:r w:rsidRPr="005D2B18">
        <w:rPr>
          <w:noProof/>
        </w:rPr>
        <w:tab/>
        <w:t>McC</w:t>
      </w:r>
      <w:r w:rsidR="00700108" w:rsidRPr="005D2B18">
        <w:rPr>
          <w:noProof/>
        </w:rPr>
        <w:t xml:space="preserve">racken LM, Hoskins J, Eccleston C. Concerns </w:t>
      </w:r>
      <w:r w:rsidRPr="005D2B18">
        <w:rPr>
          <w:noProof/>
        </w:rPr>
        <w:t>about medication and medication use in chronic pain</w:t>
      </w:r>
      <w:r w:rsidR="00700108" w:rsidRPr="005D2B18">
        <w:rPr>
          <w:noProof/>
        </w:rPr>
        <w:t xml:space="preserve">. </w:t>
      </w:r>
      <w:r w:rsidRPr="005D2B18">
        <w:rPr>
          <w:noProof/>
        </w:rPr>
        <w:t xml:space="preserve">J Pain </w:t>
      </w:r>
      <w:r w:rsidR="00700108" w:rsidRPr="005D2B18">
        <w:rPr>
          <w:noProof/>
        </w:rPr>
        <w:t>2006;7:726-734.</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[38] </w:t>
      </w:r>
      <w:r w:rsidRPr="005D2B18">
        <w:rPr>
          <w:noProof/>
        </w:rPr>
        <w:tab/>
        <w:t xml:space="preserve">Meade AW, Bauer DJ. </w:t>
      </w:r>
      <w:r w:rsidR="0025756E" w:rsidRPr="005D2B18">
        <w:rPr>
          <w:noProof/>
        </w:rPr>
        <w:t xml:space="preserve">Power and precision in confirmatory factor analytic tests of measurement invariance. Struct Equ Modeling </w:t>
      </w:r>
      <w:r w:rsidRPr="005D2B18">
        <w:rPr>
          <w:noProof/>
        </w:rPr>
        <w:t>2007;14:611-635.</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[39] </w:t>
      </w:r>
      <w:r w:rsidRPr="005D2B18">
        <w:rPr>
          <w:noProof/>
        </w:rPr>
        <w:tab/>
        <w:t xml:space="preserve">Meijer RR, Beneke JJ. Analyzing </w:t>
      </w:r>
      <w:r w:rsidR="0025756E" w:rsidRPr="005D2B18">
        <w:rPr>
          <w:noProof/>
        </w:rPr>
        <w:t>psychopathology items: a case for nonparametric item response theory modeling</w:t>
      </w:r>
      <w:r w:rsidRPr="005D2B18">
        <w:rPr>
          <w:noProof/>
        </w:rPr>
        <w:t xml:space="preserve">. </w:t>
      </w:r>
      <w:r w:rsidR="0025756E" w:rsidRPr="005D2B18">
        <w:rPr>
          <w:noProof/>
        </w:rPr>
        <w:t xml:space="preserve">Psychol Methods </w:t>
      </w:r>
      <w:r w:rsidRPr="005D2B18">
        <w:rPr>
          <w:noProof/>
        </w:rPr>
        <w:t>2004;9:354-368.</w:t>
      </w:r>
    </w:p>
    <w:p w:rsidR="00700108" w:rsidRPr="005D2B18" w:rsidRDefault="00700108" w:rsidP="00241121">
      <w:pPr>
        <w:tabs>
          <w:tab w:val="right" w:pos="540"/>
          <w:tab w:val="left" w:pos="720"/>
        </w:tabs>
        <w:spacing w:after="240" w:line="480" w:lineRule="auto"/>
        <w:ind w:left="720" w:hanging="720"/>
        <w:rPr>
          <w:noProof/>
        </w:rPr>
      </w:pPr>
      <w:r w:rsidRPr="005D2B18">
        <w:rPr>
          <w:noProof/>
        </w:rPr>
        <w:lastRenderedPageBreak/>
        <w:tab/>
        <w:t xml:space="preserve">[40] </w:t>
      </w:r>
      <w:r w:rsidRPr="005D2B18">
        <w:rPr>
          <w:noProof/>
        </w:rPr>
        <w:tab/>
        <w:t>Molenaar IW, Sijtsma K. Internal consistency and reliability in Mokken's nonparametric item response model. Tijdschrift voor Onderwijsresearch 1984;9:257-268.</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[41] </w:t>
      </w:r>
      <w:r w:rsidRPr="005D2B18">
        <w:rPr>
          <w:noProof/>
        </w:rPr>
        <w:tab/>
        <w:t>Moss-Morris R, Weinman J, Petrie KJ, Horne R, Cameron LD, Buick D. The revised illness perception questionnaire (IPQ-R). Psychol Health 2002;17:1-16.</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[42] </w:t>
      </w:r>
      <w:r w:rsidRPr="005D2B18">
        <w:rPr>
          <w:noProof/>
        </w:rPr>
        <w:tab/>
        <w:t xml:space="preserve">Murray CJL, Vos T, Lozano R, Naghavi M, Flaxman AD, Michaud C, Ezzati M, Shibuya K, Salomon JA, Abdalla S, Aboyans V, Abraham J, Ackerman I, Aggarwal R, Ahn SY, Ali MK, AlMazroa MA, Alvarado M, Anderson HR, Anderson LM, Andrews KG, Atkinson C, Baddour LM, Bahalim AN, Barker-Collo S, Barrero LH, Bartels DH, Bas+í+¦ez MG, Baxter A, Bell ML, Benjamin EJ, Bennett D, Bernab+® E, Bhalla K, Bhandari B, Bikbov B, Abdulhak AB, Birbeck G, Black JA, Blencowe H, Blore JD, Blyth F, Bolliger I, Bonaventure A, Boufous S, Bourne R, Boussinesq M, Braithwaite T, Brayne C, Bridgett L, Brooker S, Brooks P, Brugha TS, Bryan-Hancock C, Bucello C, Buchbinder R, Buckle G, Budke CM, Burch M, Burney P, Burstein R, Calabria B, Campbell B, Canter CE, Carabin H+, Carapetis J, Carmona L, Cella C, Charlson F, Chen H, Cheng AT-A, Chou D, Chugh SS, Coffeng LE, Colan SD, Colquhoun S, Colson KE, Condon J, Connor MD, Cooper LT, Corriere M, Cortinovis M, de Vaccaro KC, Couser W, Cowie BC, Criqui MH, Cross M, Dabhadkar KC, Dahiya M, Dahodwala N, Damsere-Derry J, Danaei G, Davis A, Leo DD, Degenhardt L, Dellavalle R, Delossantos A, Denenberg J, Derrett S, Des Jarlais DC, Dharmaratne SD, Dherani M, Diaz-Torne C, Dolk H, Dorsey ER, Driscoll T, Duber H, Ebel B, Edmond K, Elbaz A, Ali SE, Erskine H, Erwin PJ, Espindola P, Ewoigbokhan SE, Farzadfar F, Feigin V, FELSON DT, Ferrari A, Ferri CP, F+¿vre EM, Finucane MM, Flaxman S, Flood L, Foreman K, Forouzanfar MH, Fowkes FG, </w:t>
      </w:r>
      <w:r w:rsidRPr="005D2B18">
        <w:rPr>
          <w:noProof/>
        </w:rPr>
        <w:lastRenderedPageBreak/>
        <w:t>Fransen M, Freeman MK, Gabbe BJ, Gabriel SE, Gakidou E, Ganatra HA, Garcia B, Gaspari F, Gillum RF, Gmel G, Gonzalez-Medina D, Gosselin R, Grainger R, Grant B, Groeger J, Guillemin F, Gunnell D, Gupta R, Haagsma J, Hagan H, Halasa YA, Hall W, Haring D, Haro JM, Harrison JE, Havmoeller R, Hay RJ, Higashi H, Hill C, Hoen B, Hoffman H, Hotez PJ, Hoy D, Huang JJ, Ibeanusi SE, Jacobsen KH, James SL, Jarvis D, Jasrasaria R, Jayaraman S, Johns N, Jonas JB, Karthikeyan G, Kassebaum N, Kawakami N, Keren A, Khoo JP, King CH, Knowlton LM, Kobusingye O, Koranteng A, Krishnamurthi R, Laden F, Lalloo R, Laslett LL, Lathlean T, Leasher JL, Lee YY, Leigh J, Levinson D, Lim SS, Limb E, Lin JK, Lipnick M, Lipshultz SE, Liu W, Loane M, Ohno SL, Lyons R, Mabweijano J, MacIntyre MF, Malekzadeh R, Mallinger L, Manivannan S, Marcenes W, March L, Margolis DJ, Marks GB, Marks R, Matsumori A, Matzopoulos R, Mayosi BM, McAnulty JH, McDermott MM, McGill N, McGrath J, Medina-Mora ME, Meltzer M, Memish ZA, Mensah GA, Merriman TR, Meyer AC, Miglioli V, Miller M, Miller TR, Mitchell PB, Mock C, Mocumbi AO, Moffitt TE, Mokdad AA, Monasta L, Montico M, Moradi-Lakeh M, Moran A, Morawska L, Mori R, Murdoch ME, Mwaniki MK, Naidoo K, Nair MN, Naldi L, Narayan KMV, Nelson PK, Nelson RG, NEVITT MC, Newton CR, Nolte S, Norman P, Norman R, O'Donnell M, O'Hanlon S, Olives C, Omer SB, Ortblad K, Osborne R, Ozgediz D, Page A, Pahari B. Disability-adjusted life years (DALYs) for 291 diseases and injuries in 21 regions, 1990</w:t>
      </w:r>
      <w:r w:rsidRPr="005D2B18">
        <w:rPr>
          <w:rFonts w:ascii="Symbol" w:hAnsi="Symbol"/>
          <w:noProof/>
        </w:rPr>
        <w:t></w:t>
      </w:r>
      <w:r w:rsidRPr="005D2B18">
        <w:rPr>
          <w:noProof/>
        </w:rPr>
        <w:t>2010: a systematic analysis for the Global Burden of Disease Study 2010. The Lancet 2012;380:2197-2223.</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[43] </w:t>
      </w:r>
      <w:r w:rsidRPr="005D2B18">
        <w:rPr>
          <w:noProof/>
        </w:rPr>
        <w:tab/>
        <w:t xml:space="preserve">Myers SS, Phillips RS, Davis RB, Cherkin DC, Legedza A, Kaptchuk TJ, Hrbek A, Buring JE, Post D, Connelly MT, Eisenberg DM. Patient </w:t>
      </w:r>
      <w:r w:rsidR="0025756E" w:rsidRPr="005D2B18">
        <w:rPr>
          <w:noProof/>
        </w:rPr>
        <w:t>expectations as predictors of outcome in patients with acute low back pain</w:t>
      </w:r>
      <w:r w:rsidRPr="005D2B18">
        <w:rPr>
          <w:noProof/>
        </w:rPr>
        <w:t>. J Gen Intern Med 2008;23:148-153.</w:t>
      </w:r>
    </w:p>
    <w:p w:rsidR="00700108" w:rsidRPr="005D2B18" w:rsidRDefault="00700108" w:rsidP="00241121">
      <w:pPr>
        <w:tabs>
          <w:tab w:val="right" w:pos="540"/>
          <w:tab w:val="left" w:pos="720"/>
        </w:tabs>
        <w:spacing w:after="240" w:line="480" w:lineRule="auto"/>
        <w:ind w:left="720" w:hanging="720"/>
        <w:rPr>
          <w:noProof/>
        </w:rPr>
      </w:pPr>
      <w:r w:rsidRPr="005D2B18">
        <w:rPr>
          <w:noProof/>
        </w:rPr>
        <w:lastRenderedPageBreak/>
        <w:tab/>
        <w:t xml:space="preserve">[44] </w:t>
      </w:r>
      <w:r w:rsidRPr="005D2B18">
        <w:rPr>
          <w:noProof/>
        </w:rPr>
        <w:tab/>
        <w:t>Nicklas LB, Dunbar M, Wild M. Adherence to pharmacological treatment of non-malignant chronic pain: The role of illness perceptions and medication beliefs. Psychol Health 2009;25:601-615.</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[45] </w:t>
      </w:r>
      <w:r w:rsidRPr="005D2B18">
        <w:rPr>
          <w:noProof/>
        </w:rPr>
        <w:tab/>
        <w:t>Nunnally J, Bernstein I. Psychometric Theory. New York: McGraw Hill, 1994.</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[46] </w:t>
      </w:r>
      <w:r w:rsidRPr="005D2B18">
        <w:rPr>
          <w:noProof/>
        </w:rPr>
        <w:tab/>
        <w:t xml:space="preserve">Patel S, Ngunjiri A, Sandhu H, Griffiths F, Thistlewaite J, Brown S, Friede T, Lord J, Tysall C, Woolvine M, Underwood M. Design and </w:t>
      </w:r>
      <w:r w:rsidR="0025756E" w:rsidRPr="005D2B18">
        <w:rPr>
          <w:noProof/>
        </w:rPr>
        <w:t>development of a decision support package for low back pain</w:t>
      </w:r>
      <w:r w:rsidRPr="005D2B18">
        <w:rPr>
          <w:noProof/>
        </w:rPr>
        <w:t>. Arthritis Care Res 2014;66:925-933.</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[47] </w:t>
      </w:r>
      <w:r w:rsidRPr="005D2B18">
        <w:rPr>
          <w:noProof/>
        </w:rPr>
        <w:tab/>
        <w:t>R Core Team.  R: A Language and Environment for Statistical Computing. Vienna, Austria: Retrieved from http://www.R-project.org, 2013.</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[48] </w:t>
      </w:r>
      <w:r w:rsidRPr="005D2B18">
        <w:rPr>
          <w:noProof/>
        </w:rPr>
        <w:tab/>
        <w:t>Roelofs J, Sluiter JK, Frings-Dresen MHW, Goossens Ml, Thibault P, Boersma K, Vlaeyen JWS. Fear of movement and (re)injury in chronic musculoskeletal pain: Evidence for an invariant two-factor model of the Tampa Scale for Kinesiophobia across pain diagnoses and Dutch, Swedish, and Canadian samples. Pain</w:t>
      </w:r>
      <w:r w:rsidR="0025756E" w:rsidRPr="005D2B18">
        <w:rPr>
          <w:noProof/>
        </w:rPr>
        <w:t xml:space="preserve"> 2007;131:</w:t>
      </w:r>
      <w:r w:rsidRPr="005D2B18">
        <w:rPr>
          <w:noProof/>
        </w:rPr>
        <w:t>181-190.</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[49] </w:t>
      </w:r>
      <w:r w:rsidRPr="005D2B18">
        <w:rPr>
          <w:noProof/>
        </w:rPr>
        <w:tab/>
        <w:t>Savigny P, Kuntze S, Watson P, Underwood M, Ritchie G, Cotterell M, Hill D, Browne N, Buchanan E, Coffey P, Dixon P, Drummond C, Flanagan M, Greenough C, Griffiths M, Halliday-Bell J, Hettinga D, Vogel S, Walsh D. Low back pain.  Early management of persistent non-specific low back pain., Vol. NICE clinical guideline 88. London: National Collaborating Centre for Primary Care and Royal College of General Practitioners, 2009. p. www.nice.org.uk/CG88.</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[50] </w:t>
      </w:r>
      <w:r w:rsidRPr="005D2B18">
        <w:rPr>
          <w:noProof/>
        </w:rPr>
        <w:tab/>
        <w:t>Savigny P, Watson P, Underwood M, on behalf of the Guideline Development Group. Early management of persistent non-specific low back pain: summary of NICE guidance. BMJ 2009;338:b1805.</w:t>
      </w:r>
    </w:p>
    <w:p w:rsidR="00700108" w:rsidRPr="005D2B18" w:rsidRDefault="00700108" w:rsidP="00241121">
      <w:pPr>
        <w:tabs>
          <w:tab w:val="right" w:pos="540"/>
          <w:tab w:val="left" w:pos="720"/>
        </w:tabs>
        <w:spacing w:after="240" w:line="480" w:lineRule="auto"/>
        <w:ind w:left="720" w:hanging="720"/>
        <w:rPr>
          <w:noProof/>
        </w:rPr>
      </w:pPr>
      <w:r w:rsidRPr="005D2B18">
        <w:rPr>
          <w:noProof/>
        </w:rPr>
        <w:lastRenderedPageBreak/>
        <w:tab/>
        <w:t xml:space="preserve">[51] </w:t>
      </w:r>
      <w:r w:rsidRPr="005D2B18">
        <w:rPr>
          <w:noProof/>
        </w:rPr>
        <w:tab/>
        <w:t xml:space="preserve">Schoot Rvd, Lugtig P, Hox J. A checklist for testing measurement invariance. </w:t>
      </w:r>
      <w:r w:rsidR="0025756E" w:rsidRPr="005D2B18">
        <w:rPr>
          <w:noProof/>
        </w:rPr>
        <w:t xml:space="preserve">Eur J Dev Psychol </w:t>
      </w:r>
      <w:r w:rsidRPr="005D2B18">
        <w:rPr>
          <w:noProof/>
        </w:rPr>
        <w:t>2012;9:486-492.</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[52] </w:t>
      </w:r>
      <w:r w:rsidRPr="005D2B18">
        <w:rPr>
          <w:noProof/>
        </w:rPr>
        <w:tab/>
        <w:t>Sherman KJ, Cherkin DC, Ichikawa L, Avins AL, Delaney K, Barlow WE, Khalsa PS, Deyo RA. Treatment expectations and preferences as predictors of outcome of acupuncture for chronic back pain. Spine 2010;35:1471-1477.</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[53] </w:t>
      </w:r>
      <w:r w:rsidRPr="005D2B18">
        <w:rPr>
          <w:noProof/>
        </w:rPr>
        <w:tab/>
        <w:t xml:space="preserve">Sijtsma K. Methodology Review: Nonparametric IRT </w:t>
      </w:r>
      <w:r w:rsidR="0025756E" w:rsidRPr="005D2B18">
        <w:rPr>
          <w:noProof/>
        </w:rPr>
        <w:t>approaches to the analysis of dichotomous item scores</w:t>
      </w:r>
      <w:r w:rsidRPr="005D2B18">
        <w:rPr>
          <w:noProof/>
        </w:rPr>
        <w:t xml:space="preserve">. </w:t>
      </w:r>
      <w:r w:rsidR="0025756E" w:rsidRPr="005D2B18">
        <w:rPr>
          <w:noProof/>
        </w:rPr>
        <w:t xml:space="preserve">Appl Psychol Meas </w:t>
      </w:r>
      <w:r w:rsidRPr="005D2B18">
        <w:rPr>
          <w:noProof/>
        </w:rPr>
        <w:t>1998;22:3-31.</w:t>
      </w:r>
    </w:p>
    <w:p w:rsidR="00700108" w:rsidRPr="005D2B18" w:rsidRDefault="00700108" w:rsidP="00241121">
      <w:pPr>
        <w:tabs>
          <w:tab w:val="right" w:pos="540"/>
          <w:tab w:val="left" w:pos="720"/>
        </w:tabs>
        <w:spacing w:after="240" w:line="480" w:lineRule="auto"/>
        <w:ind w:left="720" w:hanging="720"/>
        <w:rPr>
          <w:noProof/>
          <w:lang w:val="nl-NL"/>
        </w:rPr>
      </w:pPr>
      <w:r w:rsidRPr="005D2B18">
        <w:rPr>
          <w:noProof/>
        </w:rPr>
        <w:tab/>
        <w:t xml:space="preserve">[54] </w:t>
      </w:r>
      <w:r w:rsidRPr="005D2B18">
        <w:rPr>
          <w:noProof/>
        </w:rPr>
        <w:tab/>
        <w:t xml:space="preserve">Sijtsma K, Molenaar IW. Reliability of test scores in nonparametric item response theory. </w:t>
      </w:r>
      <w:r w:rsidRPr="005D2B18">
        <w:rPr>
          <w:noProof/>
          <w:lang w:val="nl-NL"/>
        </w:rPr>
        <w:t>Psychometrika 1987;52:79-97.</w:t>
      </w:r>
    </w:p>
    <w:p w:rsidR="00700108" w:rsidRPr="005D2B18" w:rsidRDefault="00700108" w:rsidP="00241121">
      <w:pPr>
        <w:tabs>
          <w:tab w:val="right" w:pos="540"/>
          <w:tab w:val="left" w:pos="720"/>
        </w:tabs>
        <w:spacing w:after="240" w:line="480" w:lineRule="auto"/>
        <w:ind w:left="720" w:hanging="720"/>
        <w:rPr>
          <w:noProof/>
        </w:rPr>
      </w:pPr>
      <w:r w:rsidRPr="005D2B18">
        <w:rPr>
          <w:noProof/>
          <w:lang w:val="nl-NL"/>
        </w:rPr>
        <w:tab/>
        <w:t xml:space="preserve">[55] </w:t>
      </w:r>
      <w:r w:rsidRPr="005D2B18">
        <w:rPr>
          <w:noProof/>
          <w:lang w:val="nl-NL"/>
        </w:rPr>
        <w:tab/>
        <w:t xml:space="preserve">Smeets RJEM, Beelen S, Goossens MEJB, Schouten EGW, Knottnerus JA, Vlaeyen JWS. </w:t>
      </w:r>
      <w:r w:rsidRPr="005D2B18">
        <w:rPr>
          <w:noProof/>
        </w:rPr>
        <w:t>Treatment expectancy and credibility are associated with the outcome of both physical and cognitive-behavioral treatment in chronic low back pain. Clin J Pain 2008;24:305-315.</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[56] </w:t>
      </w:r>
      <w:r w:rsidRPr="005D2B18">
        <w:rPr>
          <w:noProof/>
        </w:rPr>
        <w:tab/>
        <w:t>Smith BH, Penny KI, Purves AM, Munro C, Wilson B, Grimshaw J, Chambers WA, Smith WC. The Chronic Pain Grade questionnaire: validation and reliability in postal research. Pain 1997;71:141-147.</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[57] </w:t>
      </w:r>
      <w:r w:rsidRPr="005D2B18">
        <w:rPr>
          <w:noProof/>
        </w:rPr>
        <w:tab/>
        <w:t xml:space="preserve">Straat JH, van der Ark LA, Sijtsma K. Minimum </w:t>
      </w:r>
      <w:r w:rsidR="0025756E" w:rsidRPr="005D2B18">
        <w:rPr>
          <w:noProof/>
        </w:rPr>
        <w:t xml:space="preserve">sample size requirements for Mokken scale analysis. educational and psychological measurement </w:t>
      </w:r>
      <w:r w:rsidRPr="005D2B18">
        <w:rPr>
          <w:noProof/>
        </w:rPr>
        <w:t>2014;74:809-822.</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r>
      <w:r w:rsidRPr="005D2B18">
        <w:rPr>
          <w:noProof/>
          <w:lang w:val="nl-NL"/>
        </w:rPr>
        <w:t xml:space="preserve">[58] </w:t>
      </w:r>
      <w:r w:rsidRPr="005D2B18">
        <w:rPr>
          <w:noProof/>
          <w:lang w:val="nl-NL"/>
        </w:rPr>
        <w:tab/>
        <w:t xml:space="preserve">van Hartingsveld FM, Ostelo RWJG, Cuijpers PP, de Vos RP, Riphagen IIM, de Vet HCW. </w:t>
      </w:r>
      <w:r w:rsidRPr="005D2B18">
        <w:rPr>
          <w:noProof/>
        </w:rPr>
        <w:t xml:space="preserve">Treatment-related and </w:t>
      </w:r>
      <w:r w:rsidR="0025756E" w:rsidRPr="005D2B18">
        <w:rPr>
          <w:noProof/>
        </w:rPr>
        <w:t xml:space="preserve">patient-related expectations of patients with </w:t>
      </w:r>
      <w:r w:rsidR="0025756E" w:rsidRPr="005D2B18">
        <w:rPr>
          <w:noProof/>
        </w:rPr>
        <w:lastRenderedPageBreak/>
        <w:t xml:space="preserve">musculoskeletal disorders: a systematic review of published measurement tools. </w:t>
      </w:r>
      <w:proofErr w:type="spellStart"/>
      <w:r w:rsidR="0025756E" w:rsidRPr="005D2B18">
        <w:t>Clin</w:t>
      </w:r>
      <w:proofErr w:type="spellEnd"/>
      <w:r w:rsidR="0025756E" w:rsidRPr="005D2B18">
        <w:t xml:space="preserve"> J Pain</w:t>
      </w:r>
      <w:r w:rsidR="0025756E" w:rsidRPr="005D2B18">
        <w:rPr>
          <w:noProof/>
        </w:rPr>
        <w:t xml:space="preserve"> </w:t>
      </w:r>
      <w:r w:rsidRPr="005D2B18">
        <w:rPr>
          <w:noProof/>
        </w:rPr>
        <w:t>2010;26:470-488.</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[59] </w:t>
      </w:r>
      <w:r w:rsidRPr="005D2B18">
        <w:rPr>
          <w:noProof/>
        </w:rPr>
        <w:tab/>
        <w:t xml:space="preserve">van Schuur WH. Mokken </w:t>
      </w:r>
      <w:r w:rsidR="0025756E" w:rsidRPr="005D2B18">
        <w:rPr>
          <w:noProof/>
        </w:rPr>
        <w:t>scale analysis: between the guttman scale and parametric item response theory</w:t>
      </w:r>
      <w:r w:rsidRPr="005D2B18">
        <w:rPr>
          <w:noProof/>
        </w:rPr>
        <w:t xml:space="preserve">. </w:t>
      </w:r>
      <w:proofErr w:type="spellStart"/>
      <w:r w:rsidR="0025756E" w:rsidRPr="005D2B18">
        <w:t>Polit</w:t>
      </w:r>
      <w:proofErr w:type="spellEnd"/>
      <w:r w:rsidR="0025756E" w:rsidRPr="005D2B18">
        <w:t xml:space="preserve"> Anal</w:t>
      </w:r>
      <w:r w:rsidR="0025756E" w:rsidRPr="005D2B18">
        <w:rPr>
          <w:noProof/>
        </w:rPr>
        <w:t xml:space="preserve"> </w:t>
      </w:r>
      <w:r w:rsidRPr="005D2B18">
        <w:rPr>
          <w:noProof/>
        </w:rPr>
        <w:t>2003;11:139-163.</w:t>
      </w:r>
    </w:p>
    <w:p w:rsidR="00700108" w:rsidRPr="005D2B18" w:rsidRDefault="00700108" w:rsidP="00241121">
      <w:pPr>
        <w:tabs>
          <w:tab w:val="right" w:pos="540"/>
          <w:tab w:val="left" w:pos="720"/>
        </w:tabs>
        <w:spacing w:after="240" w:line="480" w:lineRule="auto"/>
        <w:ind w:left="720" w:hanging="720"/>
        <w:rPr>
          <w:noProof/>
          <w:lang w:val="nl-NL"/>
        </w:rPr>
      </w:pPr>
      <w:r w:rsidRPr="005D2B18">
        <w:rPr>
          <w:noProof/>
        </w:rPr>
        <w:tab/>
        <w:t xml:space="preserve">[60] </w:t>
      </w:r>
      <w:r w:rsidRPr="005D2B18">
        <w:rPr>
          <w:noProof/>
        </w:rPr>
        <w:tab/>
        <w:t>Vlaeyen JWS, Kole-Snijders AMJ, Boeren RGB, van Eek H. Fear of movement/(re)injury in chronic low back pain and its relation to behav</w:t>
      </w:r>
      <w:bookmarkStart w:id="0" w:name="_GoBack"/>
      <w:bookmarkEnd w:id="0"/>
      <w:r w:rsidRPr="005D2B18">
        <w:rPr>
          <w:noProof/>
        </w:rPr>
        <w:t xml:space="preserve">ioral performance. </w:t>
      </w:r>
      <w:r w:rsidRPr="005D2B18">
        <w:rPr>
          <w:noProof/>
          <w:lang w:val="nl-NL"/>
        </w:rPr>
        <w:t>Pain 1995;62:363-372.</w:t>
      </w:r>
    </w:p>
    <w:p w:rsidR="00700108" w:rsidRPr="005D2B18" w:rsidRDefault="00700108" w:rsidP="00241121">
      <w:pPr>
        <w:tabs>
          <w:tab w:val="right" w:pos="540"/>
          <w:tab w:val="left" w:pos="720"/>
        </w:tabs>
        <w:spacing w:after="240" w:line="480" w:lineRule="auto"/>
        <w:ind w:left="720" w:hanging="720"/>
        <w:rPr>
          <w:noProof/>
        </w:rPr>
      </w:pPr>
      <w:r w:rsidRPr="005D2B18">
        <w:rPr>
          <w:noProof/>
          <w:lang w:val="nl-NL"/>
        </w:rPr>
        <w:tab/>
        <w:t xml:space="preserve">[61] </w:t>
      </w:r>
      <w:r w:rsidRPr="005D2B18">
        <w:rPr>
          <w:noProof/>
          <w:lang w:val="nl-NL"/>
        </w:rPr>
        <w:tab/>
        <w:t xml:space="preserve">Von Korff M, Ormel J, Keefe FJ, Dworkin SF. </w:t>
      </w:r>
      <w:r w:rsidRPr="005D2B18">
        <w:rPr>
          <w:noProof/>
        </w:rPr>
        <w:t>Grading the severity of chronic pain. Pain 1992;50:133-149.</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[62] </w:t>
      </w:r>
      <w:r w:rsidRPr="005D2B18">
        <w:rPr>
          <w:noProof/>
        </w:rPr>
        <w:tab/>
        <w:t xml:space="preserve">Waddell G, Newton M, Henderson I, Somerville D, Main C. A fear-avoidance beliefs </w:t>
      </w:r>
      <w:r w:rsidR="0025756E" w:rsidRPr="005D2B18">
        <w:rPr>
          <w:noProof/>
        </w:rPr>
        <w:t xml:space="preserve">questionnaire </w:t>
      </w:r>
      <w:r w:rsidRPr="005D2B18">
        <w:rPr>
          <w:noProof/>
        </w:rPr>
        <w:t>(FABQ) and the role of fear-avoidance beliefs in chronic low back pain and disability. Pain 1993;52:157-168.</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[63] </w:t>
      </w:r>
      <w:r w:rsidRPr="005D2B18">
        <w:rPr>
          <w:noProof/>
        </w:rPr>
        <w:tab/>
        <w:t>Weinman J, Petrie KJ, Moss-Morris R, Horne R. The illness perception questionnaire:  A new method for assessing the cognitive representation of illness. Psychol Health 1996;11:431-445.</w:t>
      </w:r>
    </w:p>
    <w:p w:rsidR="00700108" w:rsidRPr="005D2B18" w:rsidRDefault="00700108" w:rsidP="00241121">
      <w:pPr>
        <w:tabs>
          <w:tab w:val="right" w:pos="540"/>
          <w:tab w:val="left" w:pos="720"/>
        </w:tabs>
        <w:spacing w:after="240" w:line="480" w:lineRule="auto"/>
        <w:ind w:left="720" w:hanging="720"/>
        <w:rPr>
          <w:noProof/>
        </w:rPr>
      </w:pPr>
      <w:r w:rsidRPr="005D2B18">
        <w:rPr>
          <w:noProof/>
        </w:rPr>
        <w:tab/>
        <w:t xml:space="preserve">[64] </w:t>
      </w:r>
      <w:r w:rsidRPr="005D2B18">
        <w:rPr>
          <w:noProof/>
        </w:rPr>
        <w:tab/>
        <w:t>Willis GB. Cognitive Interviewing:  A "How To" Guide. Research Triangle Institute, 1999.</w:t>
      </w:r>
    </w:p>
    <w:p w:rsidR="00700108" w:rsidRPr="005D2B18" w:rsidRDefault="00700108" w:rsidP="00241121">
      <w:pPr>
        <w:tabs>
          <w:tab w:val="right" w:pos="540"/>
          <w:tab w:val="left" w:pos="720"/>
        </w:tabs>
        <w:spacing w:line="480" w:lineRule="auto"/>
        <w:ind w:left="720" w:hanging="720"/>
        <w:rPr>
          <w:noProof/>
        </w:rPr>
      </w:pPr>
      <w:r w:rsidRPr="005D2B18">
        <w:rPr>
          <w:noProof/>
        </w:rPr>
        <w:tab/>
        <w:t xml:space="preserve">[65] </w:t>
      </w:r>
      <w:r w:rsidRPr="005D2B18">
        <w:rPr>
          <w:noProof/>
        </w:rPr>
        <w:tab/>
        <w:t xml:space="preserve">Worthington RL, Whittaker TA. Scale </w:t>
      </w:r>
      <w:r w:rsidR="0025756E" w:rsidRPr="005D2B18">
        <w:rPr>
          <w:noProof/>
        </w:rPr>
        <w:t>development research: a content analysis and recommendations for best practices</w:t>
      </w:r>
      <w:r w:rsidRPr="005D2B18">
        <w:rPr>
          <w:noProof/>
        </w:rPr>
        <w:t xml:space="preserve">. </w:t>
      </w:r>
      <w:r w:rsidR="0025756E" w:rsidRPr="005D2B18">
        <w:rPr>
          <w:noProof/>
        </w:rPr>
        <w:t xml:space="preserve">Couns Psychol </w:t>
      </w:r>
      <w:r w:rsidRPr="005D2B18">
        <w:rPr>
          <w:noProof/>
        </w:rPr>
        <w:t>2006;34:806-838.</w:t>
      </w:r>
    </w:p>
    <w:p w:rsidR="00700108" w:rsidRPr="005D2B18" w:rsidRDefault="00700108" w:rsidP="00241121">
      <w:pPr>
        <w:tabs>
          <w:tab w:val="right" w:pos="540"/>
          <w:tab w:val="left" w:pos="720"/>
        </w:tabs>
        <w:spacing w:line="480" w:lineRule="auto"/>
        <w:ind w:left="720" w:hanging="720"/>
        <w:rPr>
          <w:noProof/>
        </w:rPr>
      </w:pPr>
    </w:p>
    <w:p w:rsidR="00700108" w:rsidRPr="005D2B18" w:rsidRDefault="00700108" w:rsidP="001C62E2">
      <w:pPr>
        <w:spacing w:line="480" w:lineRule="auto"/>
      </w:pPr>
      <w:r w:rsidRPr="005D2B18">
        <w:br w:type="page"/>
      </w:r>
    </w:p>
    <w:p w:rsidR="00700108" w:rsidRPr="005D2B18" w:rsidRDefault="00700108" w:rsidP="005014A3">
      <w:pPr>
        <w:spacing w:line="480" w:lineRule="auto"/>
        <w:outlineLvl w:val="0"/>
        <w:rPr>
          <w:b/>
          <w:bCs/>
        </w:rPr>
      </w:pPr>
      <w:r w:rsidRPr="005D2B18">
        <w:rPr>
          <w:b/>
          <w:bCs/>
        </w:rPr>
        <w:lastRenderedPageBreak/>
        <w:t>Acknowledgements</w:t>
      </w:r>
    </w:p>
    <w:p w:rsidR="00700108" w:rsidRPr="005D2B18" w:rsidRDefault="00700108" w:rsidP="00844C88">
      <w:pPr>
        <w:spacing w:line="480" w:lineRule="auto"/>
      </w:pPr>
      <w:r w:rsidRPr="005D2B18">
        <w:t xml:space="preserve">This paper presents independent research funded by the National Institute for Health Research (NIHR) School of Primary Care Research (Grant Reference Number 75) and an NIHR Research Professorship for NE Foster (NIHR-RP-011-015). The views expressed are those of the authors and not necessarily those of the NHS, the NIHR or the Department of Health.  FLB’s post was funded by Arthritis Research UK (Career Development Fellowship 18099).  The study sponsors and funders had no role in study design; in the collection, analysis, and interpretation of data; in the writing of the report; or in the decision to submit the article for publication.  </w:t>
      </w:r>
    </w:p>
    <w:p w:rsidR="00700108" w:rsidRPr="005D2B18" w:rsidRDefault="00700108" w:rsidP="00844C88">
      <w:pPr>
        <w:spacing w:line="480" w:lineRule="auto"/>
      </w:pPr>
      <w:r w:rsidRPr="005D2B18">
        <w:t>We thank the participants for their time in completing the survey and for sharing their views, and the Primary Care Research Network and the clinicians who helped to recruit the participants.  Cathy Salmon and Sara Oroz assisted in preparing questionnaire packs.</w:t>
      </w:r>
    </w:p>
    <w:p w:rsidR="00700108" w:rsidRPr="005D2B18" w:rsidRDefault="00700108" w:rsidP="005014A3">
      <w:pPr>
        <w:jc w:val="center"/>
      </w:pPr>
    </w:p>
    <w:p w:rsidR="00700108" w:rsidRPr="005D2B18" w:rsidRDefault="00700108" w:rsidP="00B345E0">
      <w:pPr>
        <w:spacing w:after="200" w:line="276" w:lineRule="auto"/>
        <w:outlineLvl w:val="0"/>
        <w:rPr>
          <w:b/>
          <w:noProof/>
        </w:rPr>
      </w:pPr>
      <w:r w:rsidRPr="005D2B18">
        <w:rPr>
          <w:b/>
          <w:noProof/>
        </w:rPr>
        <w:t>Conflicts of Interest</w:t>
      </w:r>
    </w:p>
    <w:p w:rsidR="00700108" w:rsidRPr="005D2B18" w:rsidRDefault="00700108" w:rsidP="00B345E0">
      <w:pPr>
        <w:spacing w:line="480" w:lineRule="auto"/>
        <w:outlineLvl w:val="0"/>
      </w:pPr>
      <w:r w:rsidRPr="005D2B18">
        <w:t>AD declares consultancy work for the Baylor Black Sea Foundation Respiratory Effectiveness Group. All other authors declare they have no conflicts of interest.</w:t>
      </w:r>
    </w:p>
    <w:p w:rsidR="00700108" w:rsidRPr="005D2B18" w:rsidRDefault="00700108">
      <w:pPr>
        <w:spacing w:after="200" w:line="276" w:lineRule="auto"/>
        <w:rPr>
          <w:noProof/>
        </w:rPr>
      </w:pPr>
    </w:p>
    <w:p w:rsidR="00700108" w:rsidRPr="005D2B18" w:rsidRDefault="00700108">
      <w:pPr>
        <w:spacing w:after="200" w:line="276" w:lineRule="auto"/>
        <w:rPr>
          <w:noProof/>
        </w:rPr>
      </w:pPr>
    </w:p>
    <w:p w:rsidR="00700108" w:rsidRPr="005D2B18" w:rsidRDefault="00700108" w:rsidP="00640770">
      <w:pPr>
        <w:spacing w:line="480" w:lineRule="auto"/>
        <w:rPr>
          <w:b/>
        </w:rPr>
      </w:pPr>
      <w:r w:rsidRPr="005D2B18">
        <w:rPr>
          <w:b/>
        </w:rPr>
        <w:br w:type="page"/>
      </w:r>
    </w:p>
    <w:p w:rsidR="00700108" w:rsidRPr="005D2B18" w:rsidRDefault="00700108" w:rsidP="005014A3">
      <w:pPr>
        <w:outlineLvl w:val="0"/>
        <w:rPr>
          <w:b/>
        </w:rPr>
      </w:pPr>
      <w:r w:rsidRPr="005D2B18">
        <w:rPr>
          <w:b/>
        </w:rPr>
        <w:lastRenderedPageBreak/>
        <w:t>Figure Captions</w:t>
      </w:r>
    </w:p>
    <w:p w:rsidR="00700108" w:rsidRPr="005D2B18" w:rsidRDefault="00700108" w:rsidP="00640770">
      <w:pPr>
        <w:rPr>
          <w:u w:val="single"/>
        </w:rPr>
      </w:pPr>
    </w:p>
    <w:p w:rsidR="00700108" w:rsidRPr="005D2B18" w:rsidRDefault="00700108" w:rsidP="00640770">
      <w:proofErr w:type="gramStart"/>
      <w:r w:rsidRPr="005D2B18">
        <w:t>Figure 1.</w:t>
      </w:r>
      <w:proofErr w:type="gramEnd"/>
      <w:r w:rsidRPr="005D2B18">
        <w:t xml:space="preserve"> CFA Model of Final LBP-TBQ</w:t>
      </w:r>
      <w:r w:rsidRPr="005D2B18" w:rsidDel="007B3A6E">
        <w:t xml:space="preserve"> </w:t>
      </w:r>
      <w:r w:rsidRPr="005D2B18">
        <w:t xml:space="preserve">(Pain Medication items, wave 1, maximum likelihood estimation). </w:t>
      </w:r>
    </w:p>
    <w:p w:rsidR="00700108" w:rsidRPr="005D2B18" w:rsidRDefault="00700108" w:rsidP="005014A3"/>
    <w:p w:rsidR="00700108" w:rsidRPr="005D2B18" w:rsidRDefault="005D2B18" w:rsidP="005014A3">
      <w:r>
        <w:rPr>
          <w:noProof/>
        </w:rPr>
        <w:drawing>
          <wp:inline distT="0" distB="0" distL="0" distR="0">
            <wp:extent cx="5731510" cy="4053995"/>
            <wp:effectExtent l="19050" t="0" r="2540" b="0"/>
            <wp:docPr id="2" name="Picture 2" descr="C:\Users\Flis\Desktop\Dropbox\LBP project bits\Questionnaire study paper\For PAIN\R1\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is\Desktop\Dropbox\LBP project bits\Questionnaire study paper\For PAIN\R1\Figure 1.png"/>
                    <pic:cNvPicPr>
                      <a:picLocks noChangeAspect="1" noChangeArrowheads="1"/>
                    </pic:cNvPicPr>
                  </pic:nvPicPr>
                  <pic:blipFill>
                    <a:blip r:embed="rId15" cstate="print"/>
                    <a:srcRect/>
                    <a:stretch>
                      <a:fillRect/>
                    </a:stretch>
                  </pic:blipFill>
                  <pic:spPr bwMode="auto">
                    <a:xfrm>
                      <a:off x="0" y="0"/>
                      <a:ext cx="5731510" cy="4053995"/>
                    </a:xfrm>
                    <a:prstGeom prst="rect">
                      <a:avLst/>
                    </a:prstGeom>
                    <a:noFill/>
                    <a:ln w="9525">
                      <a:noFill/>
                      <a:miter lim="800000"/>
                      <a:headEnd/>
                      <a:tailEnd/>
                    </a:ln>
                  </pic:spPr>
                </pic:pic>
              </a:graphicData>
            </a:graphic>
          </wp:inline>
        </w:drawing>
      </w:r>
      <w:r w:rsidR="00F04967" w:rsidRPr="005D2B18">
        <w:fldChar w:fldCharType="begin"/>
      </w:r>
      <w:r w:rsidR="00700108" w:rsidRPr="005D2B18">
        <w:instrText xml:space="preserve"> ADDIN EN.REFLIST </w:instrText>
      </w:r>
      <w:r w:rsidR="00F04967" w:rsidRPr="005D2B18">
        <w:fldChar w:fldCharType="end"/>
      </w:r>
    </w:p>
    <w:p w:rsidR="005D2B18" w:rsidRDefault="005D2B18">
      <w:pPr>
        <w:spacing w:after="200" w:line="276" w:lineRule="auto"/>
      </w:pPr>
      <w:r>
        <w:br w:type="page"/>
      </w:r>
    </w:p>
    <w:p w:rsidR="005D2B18" w:rsidRPr="00387022" w:rsidRDefault="005D2B18" w:rsidP="005D2B18">
      <w:pPr>
        <w:spacing w:line="480" w:lineRule="auto"/>
        <w:rPr>
          <w:u w:val="single"/>
        </w:rPr>
      </w:pPr>
      <w:proofErr w:type="gramStart"/>
      <w:r w:rsidRPr="00387022">
        <w:rPr>
          <w:u w:val="single"/>
        </w:rPr>
        <w:lastRenderedPageBreak/>
        <w:t>Table 1.</w:t>
      </w:r>
      <w:proofErr w:type="gramEnd"/>
      <w:r w:rsidRPr="00387022">
        <w:rPr>
          <w:u w:val="single"/>
        </w:rPr>
        <w:t xml:space="preserve"> </w:t>
      </w:r>
      <w:r w:rsidRPr="00387022">
        <w:rPr>
          <w:u w:val="single"/>
          <w:lang w:val="en-US"/>
        </w:rPr>
        <w:t>Sample characteristics (N=429)</w:t>
      </w:r>
    </w:p>
    <w:tbl>
      <w:tblPr>
        <w:tblW w:w="6927" w:type="dxa"/>
        <w:tblBorders>
          <w:top w:val="single" w:sz="4" w:space="0" w:color="auto"/>
          <w:bottom w:val="single" w:sz="4" w:space="0" w:color="auto"/>
        </w:tblBorders>
        <w:tblCellMar>
          <w:left w:w="115" w:type="dxa"/>
          <w:right w:w="115" w:type="dxa"/>
        </w:tblCellMar>
        <w:tblLook w:val="01E0"/>
      </w:tblPr>
      <w:tblGrid>
        <w:gridCol w:w="5077"/>
        <w:gridCol w:w="1850"/>
      </w:tblGrid>
      <w:tr w:rsidR="005D2B18" w:rsidRPr="004E5717" w:rsidTr="00EE0D7D">
        <w:tc>
          <w:tcPr>
            <w:tcW w:w="5077" w:type="dxa"/>
            <w:tcBorders>
              <w:top w:val="single" w:sz="4" w:space="0" w:color="auto"/>
              <w:left w:val="nil"/>
              <w:bottom w:val="single" w:sz="4" w:space="0" w:color="auto"/>
              <w:right w:val="nil"/>
            </w:tcBorders>
            <w:hideMark/>
          </w:tcPr>
          <w:p w:rsidR="005D2B18" w:rsidRPr="004E5717" w:rsidRDefault="005D2B18" w:rsidP="00EE0D7D">
            <w:pPr>
              <w:rPr>
                <w:lang w:val="en-US"/>
              </w:rPr>
            </w:pPr>
            <w:r w:rsidRPr="004E5717">
              <w:rPr>
                <w:lang w:val="en-US"/>
              </w:rPr>
              <w:t>Characteristic</w:t>
            </w:r>
          </w:p>
        </w:tc>
        <w:tc>
          <w:tcPr>
            <w:tcW w:w="1850" w:type="dxa"/>
            <w:tcBorders>
              <w:top w:val="single" w:sz="4" w:space="0" w:color="auto"/>
              <w:left w:val="nil"/>
              <w:bottom w:val="single" w:sz="4" w:space="0" w:color="auto"/>
              <w:right w:val="nil"/>
            </w:tcBorders>
            <w:hideMark/>
          </w:tcPr>
          <w:p w:rsidR="005D2B18" w:rsidRPr="004E5717" w:rsidRDefault="005D2B18" w:rsidP="00EE0D7D">
            <w:pPr>
              <w:rPr>
                <w:lang w:val="en-US"/>
              </w:rPr>
            </w:pPr>
            <w:r>
              <w:rPr>
                <w:lang w:val="en-US"/>
              </w:rPr>
              <w:t>N (%)</w:t>
            </w:r>
            <w:r w:rsidRPr="009B07F6">
              <w:rPr>
                <w:vertAlign w:val="superscript"/>
                <w:lang w:val="en-US"/>
              </w:rPr>
              <w:t>a</w:t>
            </w:r>
          </w:p>
        </w:tc>
      </w:tr>
      <w:tr w:rsidR="005D2B18" w:rsidRPr="004E5717" w:rsidTr="00EE0D7D">
        <w:tc>
          <w:tcPr>
            <w:tcW w:w="5077" w:type="dxa"/>
            <w:tcBorders>
              <w:top w:val="nil"/>
              <w:left w:val="nil"/>
              <w:bottom w:val="nil"/>
              <w:right w:val="nil"/>
            </w:tcBorders>
            <w:hideMark/>
          </w:tcPr>
          <w:p w:rsidR="005D2B18" w:rsidRPr="004E5717" w:rsidRDefault="005D2B18" w:rsidP="00EE0D7D">
            <w:pPr>
              <w:rPr>
                <w:u w:val="single"/>
                <w:lang w:val="en-US"/>
              </w:rPr>
            </w:pPr>
            <w:r w:rsidRPr="004E5717">
              <w:rPr>
                <w:u w:val="single"/>
                <w:lang w:val="en-US"/>
              </w:rPr>
              <w:t>Education</w:t>
            </w:r>
          </w:p>
        </w:tc>
        <w:tc>
          <w:tcPr>
            <w:tcW w:w="1850" w:type="dxa"/>
            <w:tcBorders>
              <w:top w:val="nil"/>
              <w:left w:val="nil"/>
              <w:bottom w:val="nil"/>
              <w:right w:val="nil"/>
            </w:tcBorders>
          </w:tcPr>
          <w:p w:rsidR="005D2B18" w:rsidRPr="004E5717" w:rsidRDefault="005D2B18" w:rsidP="00EE0D7D">
            <w:pPr>
              <w:rPr>
                <w:lang w:val="en-US"/>
              </w:rPr>
            </w:pPr>
          </w:p>
        </w:tc>
      </w:tr>
      <w:tr w:rsidR="005D2B18" w:rsidRPr="004E5717" w:rsidTr="00EE0D7D">
        <w:tc>
          <w:tcPr>
            <w:tcW w:w="5077" w:type="dxa"/>
            <w:tcBorders>
              <w:top w:val="nil"/>
              <w:left w:val="nil"/>
              <w:bottom w:val="nil"/>
              <w:right w:val="nil"/>
            </w:tcBorders>
            <w:hideMark/>
          </w:tcPr>
          <w:p w:rsidR="005D2B18" w:rsidRPr="004E5717" w:rsidRDefault="005D2B18" w:rsidP="00EE0D7D">
            <w:pPr>
              <w:rPr>
                <w:lang w:val="en-US"/>
              </w:rPr>
            </w:pPr>
            <w:r>
              <w:rPr>
                <w:lang w:val="en-US"/>
              </w:rPr>
              <w:t>Secondary school</w:t>
            </w:r>
            <w:r w:rsidRPr="004E5717">
              <w:rPr>
                <w:lang w:val="en-US"/>
              </w:rPr>
              <w:t xml:space="preserve"> or less</w:t>
            </w:r>
          </w:p>
        </w:tc>
        <w:tc>
          <w:tcPr>
            <w:tcW w:w="1850" w:type="dxa"/>
            <w:tcBorders>
              <w:top w:val="nil"/>
              <w:left w:val="nil"/>
              <w:bottom w:val="nil"/>
              <w:right w:val="nil"/>
            </w:tcBorders>
            <w:hideMark/>
          </w:tcPr>
          <w:p w:rsidR="005D2B18" w:rsidRPr="004E5717" w:rsidRDefault="005D2B18" w:rsidP="00EE0D7D">
            <w:pPr>
              <w:rPr>
                <w:lang w:val="en-US"/>
              </w:rPr>
            </w:pPr>
            <w:r>
              <w:rPr>
                <w:lang w:val="en-US"/>
              </w:rPr>
              <w:t>183</w:t>
            </w:r>
            <w:r w:rsidRPr="004E5717">
              <w:rPr>
                <w:lang w:val="en-US"/>
              </w:rPr>
              <w:t xml:space="preserve"> (</w:t>
            </w:r>
            <w:r>
              <w:rPr>
                <w:lang w:val="en-US"/>
              </w:rPr>
              <w:t>42.7</w:t>
            </w:r>
            <w:r w:rsidRPr="004E5717">
              <w:rPr>
                <w:lang w:val="en-US"/>
              </w:rPr>
              <w:t>%)</w:t>
            </w:r>
          </w:p>
        </w:tc>
      </w:tr>
      <w:tr w:rsidR="005D2B18" w:rsidRPr="004E5717" w:rsidTr="00EE0D7D">
        <w:tc>
          <w:tcPr>
            <w:tcW w:w="5077" w:type="dxa"/>
            <w:tcBorders>
              <w:top w:val="nil"/>
              <w:left w:val="nil"/>
              <w:bottom w:val="nil"/>
              <w:right w:val="nil"/>
            </w:tcBorders>
          </w:tcPr>
          <w:p w:rsidR="005D2B18" w:rsidRPr="004E5717" w:rsidDel="008378AA" w:rsidRDefault="005D2B18" w:rsidP="00EE0D7D">
            <w:pPr>
              <w:rPr>
                <w:lang w:val="en-US"/>
              </w:rPr>
            </w:pPr>
            <w:r>
              <w:rPr>
                <w:lang w:val="en-US"/>
              </w:rPr>
              <w:t>Sixth form-college</w:t>
            </w:r>
          </w:p>
        </w:tc>
        <w:tc>
          <w:tcPr>
            <w:tcW w:w="1850" w:type="dxa"/>
            <w:tcBorders>
              <w:top w:val="nil"/>
              <w:left w:val="nil"/>
              <w:bottom w:val="nil"/>
              <w:right w:val="nil"/>
            </w:tcBorders>
          </w:tcPr>
          <w:p w:rsidR="005D2B18" w:rsidRPr="004E5717" w:rsidDel="008378AA" w:rsidRDefault="005D2B18" w:rsidP="00EE0D7D">
            <w:pPr>
              <w:rPr>
                <w:lang w:val="en-US"/>
              </w:rPr>
            </w:pPr>
            <w:r>
              <w:rPr>
                <w:lang w:val="en-US"/>
              </w:rPr>
              <w:t xml:space="preserve">107 </w:t>
            </w:r>
            <w:r>
              <w:rPr>
                <w:lang w:val="nl-NL"/>
              </w:rPr>
              <w:t>(</w:t>
            </w:r>
            <w:r>
              <w:rPr>
                <w:lang w:val="en-US"/>
              </w:rPr>
              <w:t>24.9%)</w:t>
            </w:r>
          </w:p>
        </w:tc>
      </w:tr>
      <w:tr w:rsidR="005D2B18" w:rsidRPr="004E5717" w:rsidTr="00EE0D7D">
        <w:tc>
          <w:tcPr>
            <w:tcW w:w="5077" w:type="dxa"/>
            <w:tcBorders>
              <w:top w:val="nil"/>
              <w:left w:val="nil"/>
              <w:bottom w:val="nil"/>
              <w:right w:val="nil"/>
            </w:tcBorders>
            <w:hideMark/>
          </w:tcPr>
          <w:p w:rsidR="005D2B18" w:rsidRPr="004E5717" w:rsidRDefault="005D2B18" w:rsidP="00EE0D7D">
            <w:pPr>
              <w:rPr>
                <w:lang w:val="en-US"/>
              </w:rPr>
            </w:pPr>
            <w:r>
              <w:rPr>
                <w:lang w:val="en-US"/>
              </w:rPr>
              <w:t>U</w:t>
            </w:r>
            <w:r w:rsidRPr="004E5717">
              <w:rPr>
                <w:lang w:val="en-US"/>
              </w:rPr>
              <w:t>ndergraduate study</w:t>
            </w:r>
          </w:p>
        </w:tc>
        <w:tc>
          <w:tcPr>
            <w:tcW w:w="1850" w:type="dxa"/>
            <w:tcBorders>
              <w:top w:val="nil"/>
              <w:left w:val="nil"/>
              <w:bottom w:val="nil"/>
              <w:right w:val="nil"/>
            </w:tcBorders>
            <w:hideMark/>
          </w:tcPr>
          <w:p w:rsidR="005D2B18" w:rsidRPr="004E5717" w:rsidRDefault="005D2B18" w:rsidP="00EE0D7D">
            <w:pPr>
              <w:rPr>
                <w:lang w:val="en-US"/>
              </w:rPr>
            </w:pPr>
            <w:r w:rsidRPr="004E5717">
              <w:rPr>
                <w:lang w:val="en-US"/>
              </w:rPr>
              <w:t>75 (17.5%)</w:t>
            </w:r>
          </w:p>
        </w:tc>
      </w:tr>
      <w:tr w:rsidR="005D2B18" w:rsidRPr="004E5717" w:rsidTr="00EE0D7D">
        <w:tc>
          <w:tcPr>
            <w:tcW w:w="5077" w:type="dxa"/>
            <w:tcBorders>
              <w:top w:val="nil"/>
              <w:left w:val="nil"/>
              <w:bottom w:val="nil"/>
              <w:right w:val="nil"/>
            </w:tcBorders>
            <w:hideMark/>
          </w:tcPr>
          <w:p w:rsidR="005D2B18" w:rsidRPr="004E5717" w:rsidRDefault="005D2B18" w:rsidP="00EE0D7D">
            <w:pPr>
              <w:rPr>
                <w:lang w:val="en-US"/>
              </w:rPr>
            </w:pPr>
            <w:r>
              <w:rPr>
                <w:lang w:val="en-US"/>
              </w:rPr>
              <w:t>P</w:t>
            </w:r>
            <w:r w:rsidRPr="004E5717">
              <w:rPr>
                <w:lang w:val="en-US"/>
              </w:rPr>
              <w:t>ostgraduate study</w:t>
            </w:r>
          </w:p>
        </w:tc>
        <w:tc>
          <w:tcPr>
            <w:tcW w:w="1850" w:type="dxa"/>
            <w:tcBorders>
              <w:top w:val="nil"/>
              <w:left w:val="nil"/>
              <w:bottom w:val="nil"/>
              <w:right w:val="nil"/>
            </w:tcBorders>
            <w:hideMark/>
          </w:tcPr>
          <w:p w:rsidR="005D2B18" w:rsidRPr="004E5717" w:rsidRDefault="005D2B18" w:rsidP="00EE0D7D">
            <w:pPr>
              <w:rPr>
                <w:lang w:val="en-US"/>
              </w:rPr>
            </w:pPr>
            <w:r w:rsidRPr="004E5717">
              <w:rPr>
                <w:lang w:val="en-US"/>
              </w:rPr>
              <w:t>34 (7.9%)</w:t>
            </w:r>
          </w:p>
        </w:tc>
      </w:tr>
      <w:tr w:rsidR="005D2B18" w:rsidRPr="004E5717" w:rsidTr="00EE0D7D">
        <w:tc>
          <w:tcPr>
            <w:tcW w:w="5077" w:type="dxa"/>
            <w:tcBorders>
              <w:top w:val="nil"/>
              <w:left w:val="nil"/>
              <w:bottom w:val="nil"/>
              <w:right w:val="nil"/>
            </w:tcBorders>
          </w:tcPr>
          <w:p w:rsidR="005D2B18" w:rsidRPr="004E5717" w:rsidRDefault="005D2B18" w:rsidP="00EE0D7D">
            <w:pPr>
              <w:rPr>
                <w:u w:val="single"/>
                <w:lang w:val="en-US"/>
              </w:rPr>
            </w:pPr>
            <w:r w:rsidRPr="004E5717">
              <w:rPr>
                <w:u w:val="single"/>
                <w:lang w:val="en-US"/>
              </w:rPr>
              <w:t>Work status</w:t>
            </w:r>
          </w:p>
        </w:tc>
        <w:tc>
          <w:tcPr>
            <w:tcW w:w="1850" w:type="dxa"/>
            <w:tcBorders>
              <w:top w:val="nil"/>
              <w:left w:val="nil"/>
              <w:bottom w:val="nil"/>
              <w:right w:val="nil"/>
            </w:tcBorders>
          </w:tcPr>
          <w:p w:rsidR="005D2B18" w:rsidRPr="004E5717" w:rsidRDefault="005D2B18" w:rsidP="00EE0D7D">
            <w:pPr>
              <w:rPr>
                <w:lang w:val="en-US"/>
              </w:rPr>
            </w:pPr>
          </w:p>
        </w:tc>
      </w:tr>
      <w:tr w:rsidR="005D2B18" w:rsidRPr="004E5717" w:rsidTr="00EE0D7D">
        <w:tc>
          <w:tcPr>
            <w:tcW w:w="5077" w:type="dxa"/>
            <w:tcBorders>
              <w:top w:val="nil"/>
              <w:left w:val="nil"/>
              <w:bottom w:val="nil"/>
              <w:right w:val="nil"/>
            </w:tcBorders>
          </w:tcPr>
          <w:p w:rsidR="005D2B18" w:rsidRPr="004E5717" w:rsidRDefault="005D2B18" w:rsidP="00EE0D7D">
            <w:pPr>
              <w:rPr>
                <w:lang w:val="en-US"/>
              </w:rPr>
            </w:pPr>
            <w:r>
              <w:rPr>
                <w:lang w:val="en-US"/>
              </w:rPr>
              <w:t>E</w:t>
            </w:r>
            <w:r w:rsidRPr="004E5717">
              <w:rPr>
                <w:lang w:val="en-US"/>
              </w:rPr>
              <w:t xml:space="preserve">mployed </w:t>
            </w:r>
          </w:p>
        </w:tc>
        <w:tc>
          <w:tcPr>
            <w:tcW w:w="1850" w:type="dxa"/>
            <w:tcBorders>
              <w:top w:val="nil"/>
              <w:left w:val="nil"/>
              <w:bottom w:val="nil"/>
              <w:right w:val="nil"/>
            </w:tcBorders>
          </w:tcPr>
          <w:p w:rsidR="005D2B18" w:rsidRPr="004E5717" w:rsidRDefault="005D2B18" w:rsidP="00EE0D7D">
            <w:pPr>
              <w:rPr>
                <w:lang w:val="en-US"/>
              </w:rPr>
            </w:pPr>
            <w:r>
              <w:rPr>
                <w:lang w:val="en-US"/>
              </w:rPr>
              <w:t>179 (41.7%)</w:t>
            </w:r>
          </w:p>
        </w:tc>
      </w:tr>
      <w:tr w:rsidR="005D2B18" w:rsidRPr="004E5717" w:rsidTr="00EE0D7D">
        <w:tc>
          <w:tcPr>
            <w:tcW w:w="5077" w:type="dxa"/>
            <w:tcBorders>
              <w:top w:val="nil"/>
              <w:left w:val="nil"/>
              <w:bottom w:val="nil"/>
              <w:right w:val="nil"/>
            </w:tcBorders>
          </w:tcPr>
          <w:p w:rsidR="005D2B18" w:rsidRPr="004E5717" w:rsidRDefault="005D2B18" w:rsidP="00EE0D7D">
            <w:pPr>
              <w:rPr>
                <w:lang w:val="en-US"/>
              </w:rPr>
            </w:pPr>
            <w:r>
              <w:rPr>
                <w:lang w:val="en-US"/>
              </w:rPr>
              <w:t>…</w:t>
            </w:r>
            <w:r w:rsidRPr="004E5717">
              <w:rPr>
                <w:lang w:val="en-US"/>
              </w:rPr>
              <w:t>at usual job</w:t>
            </w:r>
          </w:p>
        </w:tc>
        <w:tc>
          <w:tcPr>
            <w:tcW w:w="1850" w:type="dxa"/>
            <w:tcBorders>
              <w:top w:val="nil"/>
              <w:left w:val="nil"/>
              <w:bottom w:val="nil"/>
              <w:right w:val="nil"/>
            </w:tcBorders>
          </w:tcPr>
          <w:p w:rsidR="005D2B18" w:rsidRPr="004E5717" w:rsidRDefault="005D2B18" w:rsidP="00EE0D7D">
            <w:pPr>
              <w:rPr>
                <w:lang w:val="en-US"/>
              </w:rPr>
            </w:pPr>
            <w:r w:rsidRPr="004E5717">
              <w:rPr>
                <w:lang w:val="en-US"/>
              </w:rPr>
              <w:t>152 (35.4%)</w:t>
            </w:r>
          </w:p>
        </w:tc>
      </w:tr>
      <w:tr w:rsidR="005D2B18" w:rsidRPr="004E5717" w:rsidTr="00EE0D7D">
        <w:tc>
          <w:tcPr>
            <w:tcW w:w="5077" w:type="dxa"/>
            <w:tcBorders>
              <w:top w:val="nil"/>
              <w:left w:val="nil"/>
              <w:bottom w:val="nil"/>
              <w:right w:val="nil"/>
            </w:tcBorders>
          </w:tcPr>
          <w:p w:rsidR="005D2B18" w:rsidRPr="004E5717" w:rsidRDefault="005D2B18" w:rsidP="00EE0D7D">
            <w:pPr>
              <w:rPr>
                <w:lang w:val="en-US"/>
              </w:rPr>
            </w:pPr>
            <w:r>
              <w:rPr>
                <w:lang w:val="en-US"/>
              </w:rPr>
              <w:t>…</w:t>
            </w:r>
            <w:r w:rsidRPr="004E5717">
              <w:rPr>
                <w:lang w:val="en-US"/>
              </w:rPr>
              <w:t xml:space="preserve">on light duty </w:t>
            </w:r>
          </w:p>
        </w:tc>
        <w:tc>
          <w:tcPr>
            <w:tcW w:w="1850" w:type="dxa"/>
            <w:tcBorders>
              <w:top w:val="nil"/>
              <w:left w:val="nil"/>
              <w:bottom w:val="nil"/>
              <w:right w:val="nil"/>
            </w:tcBorders>
          </w:tcPr>
          <w:p w:rsidR="005D2B18" w:rsidRPr="004E5717" w:rsidRDefault="005D2B18" w:rsidP="00EE0D7D">
            <w:pPr>
              <w:rPr>
                <w:lang w:val="en-US"/>
              </w:rPr>
            </w:pPr>
            <w:r w:rsidRPr="004E5717">
              <w:rPr>
                <w:lang w:val="en-US"/>
              </w:rPr>
              <w:t>16 (3.7%)</w:t>
            </w:r>
          </w:p>
        </w:tc>
      </w:tr>
      <w:tr w:rsidR="005D2B18" w:rsidRPr="004E5717" w:rsidTr="00EE0D7D">
        <w:tc>
          <w:tcPr>
            <w:tcW w:w="5077" w:type="dxa"/>
            <w:tcBorders>
              <w:top w:val="nil"/>
              <w:left w:val="nil"/>
              <w:bottom w:val="nil"/>
              <w:right w:val="nil"/>
            </w:tcBorders>
          </w:tcPr>
          <w:p w:rsidR="005D2B18" w:rsidRPr="004E5717" w:rsidRDefault="005D2B18" w:rsidP="00EE0D7D">
            <w:pPr>
              <w:rPr>
                <w:lang w:val="en-US"/>
              </w:rPr>
            </w:pPr>
            <w:r>
              <w:rPr>
                <w:lang w:val="en-US"/>
              </w:rPr>
              <w:t>…</w:t>
            </w:r>
            <w:r w:rsidRPr="004E5717">
              <w:rPr>
                <w:lang w:val="en-US"/>
              </w:rPr>
              <w:t xml:space="preserve">paid leave or sick leave </w:t>
            </w:r>
          </w:p>
        </w:tc>
        <w:tc>
          <w:tcPr>
            <w:tcW w:w="1850" w:type="dxa"/>
            <w:tcBorders>
              <w:top w:val="nil"/>
              <w:left w:val="nil"/>
              <w:bottom w:val="nil"/>
              <w:right w:val="nil"/>
            </w:tcBorders>
          </w:tcPr>
          <w:p w:rsidR="005D2B18" w:rsidRPr="004E5717" w:rsidRDefault="005D2B18" w:rsidP="00EE0D7D">
            <w:pPr>
              <w:rPr>
                <w:lang w:val="en-US"/>
              </w:rPr>
            </w:pPr>
            <w:r w:rsidRPr="004E5717">
              <w:rPr>
                <w:lang w:val="en-US"/>
              </w:rPr>
              <w:t>8 (1.9%)</w:t>
            </w:r>
          </w:p>
        </w:tc>
      </w:tr>
      <w:tr w:rsidR="005D2B18" w:rsidRPr="004E5717" w:rsidTr="00EE0D7D">
        <w:tc>
          <w:tcPr>
            <w:tcW w:w="5077" w:type="dxa"/>
            <w:tcBorders>
              <w:top w:val="nil"/>
              <w:left w:val="nil"/>
              <w:bottom w:val="nil"/>
              <w:right w:val="nil"/>
            </w:tcBorders>
          </w:tcPr>
          <w:p w:rsidR="005D2B18" w:rsidRPr="004E5717" w:rsidRDefault="005D2B18" w:rsidP="00EE0D7D">
            <w:pPr>
              <w:rPr>
                <w:lang w:val="en-US"/>
              </w:rPr>
            </w:pPr>
            <w:r>
              <w:rPr>
                <w:lang w:val="en-US"/>
              </w:rPr>
              <w:t>…</w:t>
            </w:r>
            <w:r w:rsidRPr="004E5717">
              <w:rPr>
                <w:lang w:val="en-US"/>
              </w:rPr>
              <w:t xml:space="preserve">unpaid leave </w:t>
            </w:r>
          </w:p>
        </w:tc>
        <w:tc>
          <w:tcPr>
            <w:tcW w:w="1850" w:type="dxa"/>
            <w:tcBorders>
              <w:top w:val="nil"/>
              <w:left w:val="nil"/>
              <w:bottom w:val="nil"/>
              <w:right w:val="nil"/>
            </w:tcBorders>
          </w:tcPr>
          <w:p w:rsidR="005D2B18" w:rsidRPr="004E5717" w:rsidRDefault="005D2B18" w:rsidP="00EE0D7D">
            <w:pPr>
              <w:rPr>
                <w:lang w:val="en-US"/>
              </w:rPr>
            </w:pPr>
            <w:r w:rsidRPr="004E5717">
              <w:rPr>
                <w:lang w:val="en-US"/>
              </w:rPr>
              <w:t>3 (0.7%)</w:t>
            </w:r>
          </w:p>
        </w:tc>
      </w:tr>
      <w:tr w:rsidR="005D2B18" w:rsidRPr="004E5717" w:rsidTr="00EE0D7D">
        <w:tc>
          <w:tcPr>
            <w:tcW w:w="5077" w:type="dxa"/>
            <w:tcBorders>
              <w:top w:val="nil"/>
              <w:left w:val="nil"/>
              <w:bottom w:val="nil"/>
              <w:right w:val="nil"/>
            </w:tcBorders>
          </w:tcPr>
          <w:p w:rsidR="005D2B18" w:rsidRDefault="005D2B18" w:rsidP="00EE0D7D">
            <w:pPr>
              <w:rPr>
                <w:lang w:val="en-US"/>
              </w:rPr>
            </w:pPr>
            <w:r>
              <w:rPr>
                <w:lang w:val="en-US"/>
              </w:rPr>
              <w:t>R</w:t>
            </w:r>
            <w:r w:rsidRPr="004E5717">
              <w:rPr>
                <w:lang w:val="en-US"/>
              </w:rPr>
              <w:t xml:space="preserve">etired </w:t>
            </w:r>
          </w:p>
        </w:tc>
        <w:tc>
          <w:tcPr>
            <w:tcW w:w="1850" w:type="dxa"/>
            <w:tcBorders>
              <w:top w:val="nil"/>
              <w:left w:val="nil"/>
              <w:bottom w:val="nil"/>
              <w:right w:val="nil"/>
            </w:tcBorders>
          </w:tcPr>
          <w:p w:rsidR="005D2B18" w:rsidRPr="004E5717" w:rsidRDefault="005D2B18" w:rsidP="00EE0D7D">
            <w:pPr>
              <w:rPr>
                <w:lang w:val="en-US"/>
              </w:rPr>
            </w:pPr>
            <w:r w:rsidRPr="004E5717">
              <w:rPr>
                <w:lang w:val="en-US"/>
              </w:rPr>
              <w:t>134 (31.2%)</w:t>
            </w:r>
          </w:p>
        </w:tc>
      </w:tr>
      <w:tr w:rsidR="005D2B18" w:rsidRPr="004E5717" w:rsidTr="00EE0D7D">
        <w:tc>
          <w:tcPr>
            <w:tcW w:w="5077" w:type="dxa"/>
            <w:tcBorders>
              <w:top w:val="nil"/>
              <w:left w:val="nil"/>
              <w:bottom w:val="nil"/>
              <w:right w:val="nil"/>
            </w:tcBorders>
          </w:tcPr>
          <w:p w:rsidR="005D2B18" w:rsidRPr="004E5717" w:rsidRDefault="005D2B18" w:rsidP="00EE0D7D">
            <w:pPr>
              <w:rPr>
                <w:lang w:val="en-US"/>
              </w:rPr>
            </w:pPr>
            <w:r>
              <w:rPr>
                <w:lang w:val="en-US"/>
              </w:rPr>
              <w:t>Unemployed</w:t>
            </w:r>
          </w:p>
        </w:tc>
        <w:tc>
          <w:tcPr>
            <w:tcW w:w="1850" w:type="dxa"/>
            <w:tcBorders>
              <w:top w:val="nil"/>
              <w:left w:val="nil"/>
              <w:bottom w:val="nil"/>
              <w:right w:val="nil"/>
            </w:tcBorders>
          </w:tcPr>
          <w:p w:rsidR="005D2B18" w:rsidRPr="004E5717" w:rsidRDefault="005D2B18" w:rsidP="00EE0D7D">
            <w:pPr>
              <w:rPr>
                <w:lang w:val="en-US"/>
              </w:rPr>
            </w:pPr>
            <w:r>
              <w:rPr>
                <w:lang w:val="en-US"/>
              </w:rPr>
              <w:t>230 (21.3%)</w:t>
            </w:r>
          </w:p>
        </w:tc>
      </w:tr>
      <w:tr w:rsidR="005D2B18" w:rsidRPr="004E5717" w:rsidTr="00EE0D7D">
        <w:tc>
          <w:tcPr>
            <w:tcW w:w="5077" w:type="dxa"/>
            <w:tcBorders>
              <w:top w:val="nil"/>
              <w:left w:val="nil"/>
              <w:bottom w:val="nil"/>
              <w:right w:val="nil"/>
            </w:tcBorders>
          </w:tcPr>
          <w:p w:rsidR="005D2B18" w:rsidRPr="004E5717" w:rsidRDefault="005D2B18" w:rsidP="00EE0D7D">
            <w:pPr>
              <w:rPr>
                <w:lang w:val="en-US"/>
              </w:rPr>
            </w:pPr>
            <w:r>
              <w:rPr>
                <w:lang w:val="en-US"/>
              </w:rPr>
              <w:t>…</w:t>
            </w:r>
            <w:r w:rsidRPr="004E5717">
              <w:rPr>
                <w:lang w:val="en-US"/>
              </w:rPr>
              <w:t xml:space="preserve">because of </w:t>
            </w:r>
            <w:r>
              <w:rPr>
                <w:lang w:val="en-US"/>
              </w:rPr>
              <w:t>LBP</w:t>
            </w:r>
          </w:p>
        </w:tc>
        <w:tc>
          <w:tcPr>
            <w:tcW w:w="1850" w:type="dxa"/>
            <w:tcBorders>
              <w:top w:val="nil"/>
              <w:left w:val="nil"/>
              <w:bottom w:val="nil"/>
              <w:right w:val="nil"/>
            </w:tcBorders>
          </w:tcPr>
          <w:p w:rsidR="005D2B18" w:rsidRPr="004E5717" w:rsidRDefault="005D2B18" w:rsidP="00EE0D7D">
            <w:pPr>
              <w:rPr>
                <w:lang w:val="en-US"/>
              </w:rPr>
            </w:pPr>
            <w:r w:rsidRPr="004E5717">
              <w:rPr>
                <w:lang w:val="en-US"/>
              </w:rPr>
              <w:t>25 (5.8%)</w:t>
            </w:r>
          </w:p>
        </w:tc>
      </w:tr>
      <w:tr w:rsidR="005D2B18" w:rsidRPr="004E5717" w:rsidTr="00EE0D7D">
        <w:tc>
          <w:tcPr>
            <w:tcW w:w="5077" w:type="dxa"/>
            <w:tcBorders>
              <w:top w:val="nil"/>
              <w:left w:val="nil"/>
              <w:bottom w:val="nil"/>
              <w:right w:val="nil"/>
            </w:tcBorders>
          </w:tcPr>
          <w:p w:rsidR="005D2B18" w:rsidRPr="004E5717" w:rsidRDefault="005D2B18" w:rsidP="00EE0D7D">
            <w:pPr>
              <w:rPr>
                <w:lang w:val="en-US"/>
              </w:rPr>
            </w:pPr>
            <w:r>
              <w:rPr>
                <w:lang w:val="en-US"/>
              </w:rPr>
              <w:t>…</w:t>
            </w:r>
            <w:r w:rsidRPr="004E5717">
              <w:rPr>
                <w:lang w:val="en-US"/>
              </w:rPr>
              <w:t xml:space="preserve">on disability </w:t>
            </w:r>
          </w:p>
        </w:tc>
        <w:tc>
          <w:tcPr>
            <w:tcW w:w="1850" w:type="dxa"/>
            <w:tcBorders>
              <w:top w:val="nil"/>
              <w:left w:val="nil"/>
              <w:bottom w:val="nil"/>
              <w:right w:val="nil"/>
            </w:tcBorders>
          </w:tcPr>
          <w:p w:rsidR="005D2B18" w:rsidRPr="004E5717" w:rsidRDefault="005D2B18" w:rsidP="00EE0D7D">
            <w:pPr>
              <w:rPr>
                <w:lang w:val="en-US"/>
              </w:rPr>
            </w:pPr>
            <w:r w:rsidRPr="004E5717">
              <w:rPr>
                <w:lang w:val="en-US"/>
              </w:rPr>
              <w:t>22 (5.1%)</w:t>
            </w:r>
          </w:p>
        </w:tc>
      </w:tr>
      <w:tr w:rsidR="005D2B18" w:rsidRPr="004E5717" w:rsidTr="00EE0D7D">
        <w:tc>
          <w:tcPr>
            <w:tcW w:w="5077" w:type="dxa"/>
            <w:tcBorders>
              <w:top w:val="nil"/>
              <w:left w:val="nil"/>
              <w:bottom w:val="nil"/>
              <w:right w:val="nil"/>
            </w:tcBorders>
          </w:tcPr>
          <w:p w:rsidR="005D2B18" w:rsidRPr="004E5717" w:rsidRDefault="005D2B18" w:rsidP="00EE0D7D">
            <w:pPr>
              <w:rPr>
                <w:lang w:val="en-US"/>
              </w:rPr>
            </w:pPr>
            <w:r>
              <w:rPr>
                <w:lang w:val="en-US"/>
              </w:rPr>
              <w:t>…</w:t>
            </w:r>
            <w:r w:rsidRPr="004E5717">
              <w:rPr>
                <w:lang w:val="en-US"/>
              </w:rPr>
              <w:t xml:space="preserve">homemaker </w:t>
            </w:r>
          </w:p>
        </w:tc>
        <w:tc>
          <w:tcPr>
            <w:tcW w:w="1850" w:type="dxa"/>
            <w:tcBorders>
              <w:top w:val="nil"/>
              <w:left w:val="nil"/>
              <w:bottom w:val="nil"/>
              <w:right w:val="nil"/>
            </w:tcBorders>
          </w:tcPr>
          <w:p w:rsidR="005D2B18" w:rsidRPr="004E5717" w:rsidRDefault="005D2B18" w:rsidP="00EE0D7D">
            <w:pPr>
              <w:rPr>
                <w:lang w:val="en-US"/>
              </w:rPr>
            </w:pPr>
            <w:r w:rsidRPr="004E5717">
              <w:rPr>
                <w:lang w:val="en-US"/>
              </w:rPr>
              <w:t>27 (6.3%)</w:t>
            </w:r>
          </w:p>
        </w:tc>
      </w:tr>
      <w:tr w:rsidR="005D2B18" w:rsidRPr="004E5717" w:rsidTr="00EE0D7D">
        <w:tc>
          <w:tcPr>
            <w:tcW w:w="5077" w:type="dxa"/>
            <w:tcBorders>
              <w:top w:val="nil"/>
              <w:left w:val="nil"/>
              <w:bottom w:val="nil"/>
              <w:right w:val="nil"/>
            </w:tcBorders>
          </w:tcPr>
          <w:p w:rsidR="005D2B18" w:rsidRPr="004E5717" w:rsidRDefault="005D2B18" w:rsidP="00EE0D7D">
            <w:pPr>
              <w:rPr>
                <w:lang w:val="en-US"/>
              </w:rPr>
            </w:pPr>
            <w:r>
              <w:rPr>
                <w:lang w:val="en-US"/>
              </w:rPr>
              <w:t>…</w:t>
            </w:r>
            <w:r w:rsidRPr="004E5717">
              <w:rPr>
                <w:lang w:val="en-US"/>
              </w:rPr>
              <w:t xml:space="preserve">student </w:t>
            </w:r>
          </w:p>
        </w:tc>
        <w:tc>
          <w:tcPr>
            <w:tcW w:w="1850" w:type="dxa"/>
            <w:tcBorders>
              <w:top w:val="nil"/>
              <w:left w:val="nil"/>
              <w:bottom w:val="nil"/>
              <w:right w:val="nil"/>
            </w:tcBorders>
          </w:tcPr>
          <w:p w:rsidR="005D2B18" w:rsidRPr="004E5717" w:rsidRDefault="005D2B18" w:rsidP="00EE0D7D">
            <w:pPr>
              <w:rPr>
                <w:lang w:val="en-US"/>
              </w:rPr>
            </w:pPr>
            <w:r w:rsidRPr="004E5717">
              <w:rPr>
                <w:lang w:val="en-US"/>
              </w:rPr>
              <w:t>9 (2.1%)</w:t>
            </w:r>
          </w:p>
        </w:tc>
      </w:tr>
      <w:tr w:rsidR="005D2B18" w:rsidRPr="004E5717" w:rsidTr="00EE0D7D">
        <w:tc>
          <w:tcPr>
            <w:tcW w:w="5077" w:type="dxa"/>
            <w:tcBorders>
              <w:top w:val="nil"/>
              <w:left w:val="nil"/>
              <w:bottom w:val="nil"/>
              <w:right w:val="nil"/>
            </w:tcBorders>
          </w:tcPr>
          <w:p w:rsidR="005D2B18" w:rsidRPr="004E5717" w:rsidRDefault="005D2B18" w:rsidP="00EE0D7D">
            <w:pPr>
              <w:rPr>
                <w:lang w:val="en-US"/>
              </w:rPr>
            </w:pPr>
            <w:r>
              <w:rPr>
                <w:lang w:val="en-US"/>
              </w:rPr>
              <w:t>…</w:t>
            </w:r>
            <w:r w:rsidRPr="004E5717">
              <w:rPr>
                <w:lang w:val="en-US"/>
              </w:rPr>
              <w:t xml:space="preserve">for other reasons </w:t>
            </w:r>
          </w:p>
        </w:tc>
        <w:tc>
          <w:tcPr>
            <w:tcW w:w="1850" w:type="dxa"/>
            <w:tcBorders>
              <w:top w:val="nil"/>
              <w:left w:val="nil"/>
              <w:bottom w:val="nil"/>
              <w:right w:val="nil"/>
            </w:tcBorders>
          </w:tcPr>
          <w:p w:rsidR="005D2B18" w:rsidRPr="004E5717" w:rsidRDefault="005D2B18" w:rsidP="00EE0D7D">
            <w:pPr>
              <w:rPr>
                <w:lang w:val="en-US"/>
              </w:rPr>
            </w:pPr>
            <w:r w:rsidRPr="004E5717">
              <w:rPr>
                <w:lang w:val="en-US"/>
              </w:rPr>
              <w:t>13 (3.0%)</w:t>
            </w:r>
          </w:p>
        </w:tc>
      </w:tr>
      <w:tr w:rsidR="005D2B18" w:rsidRPr="004E5717" w:rsidTr="00EE0D7D">
        <w:tc>
          <w:tcPr>
            <w:tcW w:w="5077" w:type="dxa"/>
            <w:tcBorders>
              <w:top w:val="nil"/>
              <w:left w:val="nil"/>
              <w:bottom w:val="nil"/>
              <w:right w:val="nil"/>
            </w:tcBorders>
            <w:hideMark/>
          </w:tcPr>
          <w:p w:rsidR="005D2B18" w:rsidRPr="004E5717" w:rsidRDefault="005D2B18" w:rsidP="00EE0D7D">
            <w:pPr>
              <w:rPr>
                <w:u w:val="single"/>
                <w:lang w:val="en-US"/>
              </w:rPr>
            </w:pPr>
            <w:r w:rsidRPr="004E5717">
              <w:rPr>
                <w:u w:val="single"/>
                <w:lang w:val="en-US"/>
              </w:rPr>
              <w:t>Pain duration (3 categories)</w:t>
            </w:r>
          </w:p>
        </w:tc>
        <w:tc>
          <w:tcPr>
            <w:tcW w:w="1850" w:type="dxa"/>
            <w:tcBorders>
              <w:top w:val="nil"/>
              <w:left w:val="nil"/>
              <w:bottom w:val="nil"/>
              <w:right w:val="nil"/>
            </w:tcBorders>
          </w:tcPr>
          <w:p w:rsidR="005D2B18" w:rsidRPr="004E5717" w:rsidRDefault="005D2B18" w:rsidP="00EE0D7D">
            <w:pPr>
              <w:rPr>
                <w:lang w:val="en-US"/>
              </w:rPr>
            </w:pPr>
          </w:p>
        </w:tc>
      </w:tr>
      <w:tr w:rsidR="005D2B18" w:rsidRPr="004E5717" w:rsidTr="00EE0D7D">
        <w:tc>
          <w:tcPr>
            <w:tcW w:w="5077" w:type="dxa"/>
            <w:tcBorders>
              <w:top w:val="nil"/>
              <w:left w:val="nil"/>
              <w:bottom w:val="nil"/>
              <w:right w:val="nil"/>
            </w:tcBorders>
            <w:hideMark/>
          </w:tcPr>
          <w:p w:rsidR="005D2B18" w:rsidRPr="004E5717" w:rsidRDefault="005D2B18" w:rsidP="00EE0D7D">
            <w:pPr>
              <w:rPr>
                <w:lang w:val="en-US"/>
              </w:rPr>
            </w:pPr>
            <w:r w:rsidRPr="004E5717">
              <w:rPr>
                <w:lang w:val="en-US"/>
              </w:rPr>
              <w:t>Persistent LBP (6</w:t>
            </w:r>
            <w:r>
              <w:rPr>
                <w:lang w:val="en-US"/>
              </w:rPr>
              <w:t xml:space="preserve"> </w:t>
            </w:r>
            <w:r w:rsidRPr="004E5717">
              <w:rPr>
                <w:lang w:val="en-US"/>
              </w:rPr>
              <w:t>wks – 12 months)</w:t>
            </w:r>
          </w:p>
        </w:tc>
        <w:tc>
          <w:tcPr>
            <w:tcW w:w="1850" w:type="dxa"/>
            <w:tcBorders>
              <w:top w:val="nil"/>
              <w:left w:val="nil"/>
              <w:bottom w:val="nil"/>
              <w:right w:val="nil"/>
            </w:tcBorders>
            <w:hideMark/>
          </w:tcPr>
          <w:p w:rsidR="005D2B18" w:rsidRPr="004E5717" w:rsidRDefault="005D2B18" w:rsidP="00EE0D7D">
            <w:pPr>
              <w:rPr>
                <w:lang w:val="en-US"/>
              </w:rPr>
            </w:pPr>
            <w:r>
              <w:rPr>
                <w:lang w:val="en-US"/>
              </w:rPr>
              <w:t>88</w:t>
            </w:r>
            <w:r w:rsidRPr="004E5717">
              <w:rPr>
                <w:lang w:val="en-US"/>
              </w:rPr>
              <w:t xml:space="preserve"> (20.5%)</w:t>
            </w:r>
          </w:p>
        </w:tc>
      </w:tr>
      <w:tr w:rsidR="005D2B18" w:rsidRPr="004E5717" w:rsidTr="00EE0D7D">
        <w:tc>
          <w:tcPr>
            <w:tcW w:w="5077" w:type="dxa"/>
            <w:tcBorders>
              <w:top w:val="nil"/>
              <w:left w:val="nil"/>
              <w:bottom w:val="nil"/>
              <w:right w:val="nil"/>
            </w:tcBorders>
            <w:hideMark/>
          </w:tcPr>
          <w:p w:rsidR="005D2B18" w:rsidRPr="004E5717" w:rsidRDefault="005D2B18" w:rsidP="00EE0D7D">
            <w:pPr>
              <w:rPr>
                <w:lang w:val="en-US"/>
              </w:rPr>
            </w:pPr>
            <w:r w:rsidRPr="004E5717">
              <w:rPr>
                <w:lang w:val="en-US"/>
              </w:rPr>
              <w:t>Chronic/recurrent LBP (12 months – 3 years)</w:t>
            </w:r>
          </w:p>
        </w:tc>
        <w:tc>
          <w:tcPr>
            <w:tcW w:w="1850" w:type="dxa"/>
            <w:tcBorders>
              <w:top w:val="nil"/>
              <w:left w:val="nil"/>
              <w:bottom w:val="nil"/>
              <w:right w:val="nil"/>
            </w:tcBorders>
            <w:hideMark/>
          </w:tcPr>
          <w:p w:rsidR="005D2B18" w:rsidRPr="004E5717" w:rsidRDefault="005D2B18" w:rsidP="00EE0D7D">
            <w:pPr>
              <w:rPr>
                <w:lang w:val="en-US"/>
              </w:rPr>
            </w:pPr>
            <w:r>
              <w:rPr>
                <w:lang w:val="en-US"/>
              </w:rPr>
              <w:t>63</w:t>
            </w:r>
            <w:r w:rsidRPr="004E5717">
              <w:rPr>
                <w:lang w:val="en-US"/>
              </w:rPr>
              <w:t xml:space="preserve"> (14.7%)</w:t>
            </w:r>
          </w:p>
        </w:tc>
      </w:tr>
      <w:tr w:rsidR="005D2B18" w:rsidRPr="004E5717" w:rsidTr="00EE0D7D">
        <w:tc>
          <w:tcPr>
            <w:tcW w:w="5077" w:type="dxa"/>
            <w:tcBorders>
              <w:top w:val="nil"/>
              <w:left w:val="nil"/>
              <w:bottom w:val="nil"/>
              <w:right w:val="nil"/>
            </w:tcBorders>
            <w:hideMark/>
          </w:tcPr>
          <w:p w:rsidR="005D2B18" w:rsidRPr="004E5717" w:rsidRDefault="005D2B18" w:rsidP="00EE0D7D">
            <w:pPr>
              <w:rPr>
                <w:lang w:val="en-US"/>
              </w:rPr>
            </w:pPr>
            <w:r w:rsidRPr="004E5717">
              <w:rPr>
                <w:lang w:val="en-US"/>
              </w:rPr>
              <w:t>Chronic/recurrent LBP (&gt;3yrs)</w:t>
            </w:r>
          </w:p>
        </w:tc>
        <w:tc>
          <w:tcPr>
            <w:tcW w:w="1850" w:type="dxa"/>
            <w:tcBorders>
              <w:top w:val="nil"/>
              <w:left w:val="nil"/>
              <w:bottom w:val="nil"/>
              <w:right w:val="nil"/>
            </w:tcBorders>
            <w:hideMark/>
          </w:tcPr>
          <w:p w:rsidR="005D2B18" w:rsidRPr="004E5717" w:rsidRDefault="005D2B18" w:rsidP="00EE0D7D">
            <w:pPr>
              <w:rPr>
                <w:lang w:val="en-US"/>
              </w:rPr>
            </w:pPr>
            <w:r>
              <w:rPr>
                <w:lang w:val="en-US"/>
              </w:rPr>
              <w:t>278</w:t>
            </w:r>
            <w:r w:rsidRPr="004E5717">
              <w:rPr>
                <w:lang w:val="en-US"/>
              </w:rPr>
              <w:t xml:space="preserve"> (64.8%)</w:t>
            </w:r>
          </w:p>
        </w:tc>
      </w:tr>
      <w:tr w:rsidR="005D2B18" w:rsidRPr="004E5717" w:rsidTr="00EE0D7D">
        <w:tc>
          <w:tcPr>
            <w:tcW w:w="5077" w:type="dxa"/>
            <w:tcBorders>
              <w:top w:val="nil"/>
              <w:left w:val="nil"/>
              <w:bottom w:val="nil"/>
              <w:right w:val="nil"/>
            </w:tcBorders>
          </w:tcPr>
          <w:p w:rsidR="005D2B18" w:rsidRPr="004E5717" w:rsidRDefault="005D2B18" w:rsidP="00EE0D7D">
            <w:pPr>
              <w:rPr>
                <w:u w:val="single"/>
                <w:lang w:val="en-US"/>
              </w:rPr>
            </w:pPr>
            <w:r w:rsidRPr="004E5717">
              <w:rPr>
                <w:u w:val="single"/>
                <w:lang w:val="en-US"/>
              </w:rPr>
              <w:t>Chronic Pain Grade</w:t>
            </w:r>
          </w:p>
        </w:tc>
        <w:tc>
          <w:tcPr>
            <w:tcW w:w="1850" w:type="dxa"/>
            <w:tcBorders>
              <w:top w:val="nil"/>
              <w:left w:val="nil"/>
              <w:bottom w:val="nil"/>
              <w:right w:val="nil"/>
            </w:tcBorders>
          </w:tcPr>
          <w:p w:rsidR="005D2B18" w:rsidRPr="004E5717" w:rsidRDefault="005D2B18" w:rsidP="00EE0D7D">
            <w:pPr>
              <w:rPr>
                <w:lang w:val="en-US"/>
              </w:rPr>
            </w:pPr>
          </w:p>
        </w:tc>
      </w:tr>
      <w:tr w:rsidR="005D2B18" w:rsidRPr="004E5717" w:rsidTr="00EE0D7D">
        <w:tc>
          <w:tcPr>
            <w:tcW w:w="5077" w:type="dxa"/>
            <w:tcBorders>
              <w:top w:val="nil"/>
              <w:left w:val="nil"/>
              <w:bottom w:val="nil"/>
              <w:right w:val="nil"/>
            </w:tcBorders>
          </w:tcPr>
          <w:p w:rsidR="005D2B18" w:rsidRPr="004E5717" w:rsidRDefault="005D2B18" w:rsidP="00EE0D7D">
            <w:pPr>
              <w:rPr>
                <w:lang w:val="en-US"/>
              </w:rPr>
            </w:pPr>
            <w:r w:rsidRPr="004E5717">
              <w:rPr>
                <w:lang w:val="en-US"/>
              </w:rPr>
              <w:t>Grade I</w:t>
            </w:r>
            <w:r>
              <w:rPr>
                <w:lang w:val="en-US"/>
              </w:rPr>
              <w:t xml:space="preserve"> – low disability, low intensity</w:t>
            </w:r>
          </w:p>
        </w:tc>
        <w:tc>
          <w:tcPr>
            <w:tcW w:w="1850" w:type="dxa"/>
            <w:tcBorders>
              <w:top w:val="nil"/>
              <w:left w:val="nil"/>
              <w:bottom w:val="nil"/>
              <w:right w:val="nil"/>
            </w:tcBorders>
          </w:tcPr>
          <w:p w:rsidR="005D2B18" w:rsidRPr="004E5717" w:rsidRDefault="005D2B18" w:rsidP="00EE0D7D">
            <w:pPr>
              <w:rPr>
                <w:lang w:val="en-US"/>
              </w:rPr>
            </w:pPr>
            <w:r w:rsidRPr="004E5717">
              <w:rPr>
                <w:lang w:val="en-US"/>
              </w:rPr>
              <w:t>82 (19.1%)</w:t>
            </w:r>
          </w:p>
        </w:tc>
      </w:tr>
      <w:tr w:rsidR="005D2B18" w:rsidRPr="004E5717" w:rsidTr="00EE0D7D">
        <w:tc>
          <w:tcPr>
            <w:tcW w:w="5077" w:type="dxa"/>
            <w:tcBorders>
              <w:top w:val="nil"/>
              <w:left w:val="nil"/>
              <w:bottom w:val="nil"/>
              <w:right w:val="nil"/>
            </w:tcBorders>
          </w:tcPr>
          <w:p w:rsidR="005D2B18" w:rsidRPr="004E5717" w:rsidRDefault="005D2B18" w:rsidP="00EE0D7D">
            <w:pPr>
              <w:rPr>
                <w:lang w:val="en-US"/>
              </w:rPr>
            </w:pPr>
            <w:r w:rsidRPr="004E5717">
              <w:rPr>
                <w:lang w:val="en-US"/>
              </w:rPr>
              <w:t>Grade II</w:t>
            </w:r>
            <w:r>
              <w:rPr>
                <w:lang w:val="en-US"/>
              </w:rPr>
              <w:t xml:space="preserve"> – low disability, high intensity</w:t>
            </w:r>
          </w:p>
        </w:tc>
        <w:tc>
          <w:tcPr>
            <w:tcW w:w="1850" w:type="dxa"/>
            <w:tcBorders>
              <w:top w:val="nil"/>
              <w:left w:val="nil"/>
              <w:bottom w:val="nil"/>
              <w:right w:val="nil"/>
            </w:tcBorders>
          </w:tcPr>
          <w:p w:rsidR="005D2B18" w:rsidRPr="004E5717" w:rsidRDefault="005D2B18" w:rsidP="00EE0D7D">
            <w:pPr>
              <w:rPr>
                <w:lang w:val="en-US"/>
              </w:rPr>
            </w:pPr>
            <w:r w:rsidRPr="004E5717">
              <w:rPr>
                <w:lang w:val="en-US"/>
              </w:rPr>
              <w:t>90 (21%)</w:t>
            </w:r>
          </w:p>
        </w:tc>
      </w:tr>
      <w:tr w:rsidR="005D2B18" w:rsidRPr="004E5717" w:rsidTr="00EE0D7D">
        <w:tc>
          <w:tcPr>
            <w:tcW w:w="5077" w:type="dxa"/>
            <w:tcBorders>
              <w:top w:val="nil"/>
              <w:left w:val="nil"/>
              <w:bottom w:val="nil"/>
              <w:right w:val="nil"/>
            </w:tcBorders>
          </w:tcPr>
          <w:p w:rsidR="005D2B18" w:rsidRPr="004E5717" w:rsidRDefault="005D2B18" w:rsidP="00EE0D7D">
            <w:pPr>
              <w:rPr>
                <w:lang w:val="en-US"/>
              </w:rPr>
            </w:pPr>
            <w:r w:rsidRPr="004E5717">
              <w:rPr>
                <w:lang w:val="en-US"/>
              </w:rPr>
              <w:t>Grade III</w:t>
            </w:r>
            <w:r>
              <w:rPr>
                <w:lang w:val="en-US"/>
              </w:rPr>
              <w:t xml:space="preserve"> – high disability, moderately limiting</w:t>
            </w:r>
          </w:p>
        </w:tc>
        <w:tc>
          <w:tcPr>
            <w:tcW w:w="1850" w:type="dxa"/>
            <w:tcBorders>
              <w:top w:val="nil"/>
              <w:left w:val="nil"/>
              <w:bottom w:val="nil"/>
              <w:right w:val="nil"/>
            </w:tcBorders>
          </w:tcPr>
          <w:p w:rsidR="005D2B18" w:rsidRPr="004E5717" w:rsidRDefault="005D2B18" w:rsidP="00EE0D7D">
            <w:pPr>
              <w:rPr>
                <w:lang w:val="en-US"/>
              </w:rPr>
            </w:pPr>
            <w:r w:rsidRPr="004E5717">
              <w:rPr>
                <w:lang w:val="en-US"/>
              </w:rPr>
              <w:t>81 (18.9%)</w:t>
            </w:r>
          </w:p>
        </w:tc>
      </w:tr>
      <w:tr w:rsidR="005D2B18" w:rsidRPr="004E5717" w:rsidTr="00EE0D7D">
        <w:tc>
          <w:tcPr>
            <w:tcW w:w="5077" w:type="dxa"/>
            <w:tcBorders>
              <w:top w:val="nil"/>
              <w:left w:val="nil"/>
              <w:bottom w:val="nil"/>
              <w:right w:val="nil"/>
            </w:tcBorders>
          </w:tcPr>
          <w:p w:rsidR="005D2B18" w:rsidRPr="004E5717" w:rsidRDefault="005D2B18" w:rsidP="00EE0D7D">
            <w:pPr>
              <w:rPr>
                <w:lang w:val="en-US"/>
              </w:rPr>
            </w:pPr>
            <w:r w:rsidRPr="004E5717">
              <w:rPr>
                <w:lang w:val="en-US"/>
              </w:rPr>
              <w:t>Grade IV</w:t>
            </w:r>
            <w:r>
              <w:rPr>
                <w:lang w:val="en-US"/>
              </w:rPr>
              <w:t xml:space="preserve"> – high disability, severely limiting</w:t>
            </w:r>
          </w:p>
        </w:tc>
        <w:tc>
          <w:tcPr>
            <w:tcW w:w="1850" w:type="dxa"/>
            <w:tcBorders>
              <w:top w:val="nil"/>
              <w:left w:val="nil"/>
              <w:bottom w:val="nil"/>
              <w:right w:val="nil"/>
            </w:tcBorders>
          </w:tcPr>
          <w:p w:rsidR="005D2B18" w:rsidRPr="004E5717" w:rsidRDefault="005D2B18" w:rsidP="00EE0D7D">
            <w:pPr>
              <w:rPr>
                <w:lang w:val="en-US"/>
              </w:rPr>
            </w:pPr>
            <w:r w:rsidRPr="004E5717">
              <w:rPr>
                <w:lang w:val="en-US"/>
              </w:rPr>
              <w:t>147 (34.3%)</w:t>
            </w:r>
          </w:p>
        </w:tc>
      </w:tr>
      <w:tr w:rsidR="005D2B18" w:rsidRPr="004E5717" w:rsidTr="00EE0D7D">
        <w:tc>
          <w:tcPr>
            <w:tcW w:w="5077" w:type="dxa"/>
            <w:tcBorders>
              <w:top w:val="nil"/>
              <w:left w:val="nil"/>
              <w:bottom w:val="nil"/>
              <w:right w:val="nil"/>
            </w:tcBorders>
          </w:tcPr>
          <w:p w:rsidR="005D2B18" w:rsidRPr="004E5717" w:rsidRDefault="005D2B18" w:rsidP="00EE0D7D">
            <w:pPr>
              <w:rPr>
                <w:lang w:val="en-US"/>
              </w:rPr>
            </w:pPr>
            <w:r w:rsidRPr="004E5717">
              <w:rPr>
                <w:lang w:val="en-US"/>
              </w:rPr>
              <w:t xml:space="preserve">Reporting one or more </w:t>
            </w:r>
            <w:proofErr w:type="spellStart"/>
            <w:r w:rsidRPr="004E5717">
              <w:rPr>
                <w:lang w:val="en-US"/>
              </w:rPr>
              <w:t>comorbidities</w:t>
            </w:r>
            <w:proofErr w:type="spellEnd"/>
          </w:p>
        </w:tc>
        <w:tc>
          <w:tcPr>
            <w:tcW w:w="1850" w:type="dxa"/>
            <w:tcBorders>
              <w:top w:val="nil"/>
              <w:left w:val="nil"/>
              <w:bottom w:val="nil"/>
              <w:right w:val="nil"/>
            </w:tcBorders>
          </w:tcPr>
          <w:p w:rsidR="005D2B18" w:rsidRPr="004E5717" w:rsidRDefault="005D2B18" w:rsidP="00EE0D7D">
            <w:pPr>
              <w:rPr>
                <w:lang w:val="en-US"/>
              </w:rPr>
            </w:pPr>
            <w:r w:rsidRPr="004E5717">
              <w:rPr>
                <w:lang w:val="en-US"/>
              </w:rPr>
              <w:t>282 (65.7%)</w:t>
            </w:r>
          </w:p>
        </w:tc>
      </w:tr>
      <w:tr w:rsidR="005D2B18" w:rsidRPr="004E5717" w:rsidTr="00EE0D7D">
        <w:tc>
          <w:tcPr>
            <w:tcW w:w="5077" w:type="dxa"/>
            <w:tcBorders>
              <w:top w:val="nil"/>
              <w:left w:val="nil"/>
              <w:bottom w:val="nil"/>
              <w:right w:val="nil"/>
            </w:tcBorders>
          </w:tcPr>
          <w:p w:rsidR="005D2B18" w:rsidRPr="004E5717" w:rsidRDefault="005D2B18" w:rsidP="00EE0D7D">
            <w:pPr>
              <w:rPr>
                <w:u w:val="single"/>
                <w:lang w:val="en-US"/>
              </w:rPr>
            </w:pPr>
            <w:r>
              <w:rPr>
                <w:u w:val="single"/>
                <w:lang w:val="en-US"/>
              </w:rPr>
              <w:t>Subgroups Examined for Measurement Invariance</w:t>
            </w:r>
          </w:p>
        </w:tc>
        <w:tc>
          <w:tcPr>
            <w:tcW w:w="1850" w:type="dxa"/>
            <w:tcBorders>
              <w:top w:val="nil"/>
              <w:left w:val="nil"/>
              <w:bottom w:val="nil"/>
              <w:right w:val="nil"/>
            </w:tcBorders>
          </w:tcPr>
          <w:p w:rsidR="005D2B18" w:rsidRPr="004E5717" w:rsidRDefault="005D2B18" w:rsidP="00EE0D7D">
            <w:pPr>
              <w:rPr>
                <w:lang w:val="en-US"/>
              </w:rPr>
            </w:pPr>
          </w:p>
        </w:tc>
      </w:tr>
      <w:tr w:rsidR="005D2B18" w:rsidRPr="004E5717" w:rsidTr="00EE0D7D">
        <w:tc>
          <w:tcPr>
            <w:tcW w:w="5077" w:type="dxa"/>
            <w:tcBorders>
              <w:top w:val="nil"/>
              <w:left w:val="nil"/>
              <w:bottom w:val="nil"/>
              <w:right w:val="nil"/>
            </w:tcBorders>
          </w:tcPr>
          <w:p w:rsidR="005D2B18" w:rsidRPr="00F73BDB" w:rsidRDefault="005D2B18" w:rsidP="00EE0D7D">
            <w:pPr>
              <w:rPr>
                <w:lang w:val="en-US"/>
              </w:rPr>
            </w:pPr>
            <w:r>
              <w:rPr>
                <w:lang w:val="en-US"/>
              </w:rPr>
              <w:t>Pain duration &lt;3 years</w:t>
            </w:r>
          </w:p>
        </w:tc>
        <w:tc>
          <w:tcPr>
            <w:tcW w:w="1850" w:type="dxa"/>
            <w:tcBorders>
              <w:top w:val="nil"/>
              <w:left w:val="nil"/>
              <w:bottom w:val="nil"/>
              <w:right w:val="nil"/>
            </w:tcBorders>
          </w:tcPr>
          <w:p w:rsidR="005D2B18" w:rsidRPr="004E5717" w:rsidRDefault="005D2B18" w:rsidP="00EE0D7D">
            <w:pPr>
              <w:rPr>
                <w:lang w:val="en-US"/>
              </w:rPr>
            </w:pPr>
            <w:r>
              <w:rPr>
                <w:lang w:val="en-US"/>
              </w:rPr>
              <w:t>151 (35.2%)</w:t>
            </w:r>
          </w:p>
        </w:tc>
      </w:tr>
      <w:tr w:rsidR="005D2B18" w:rsidRPr="004E5717" w:rsidTr="00EE0D7D">
        <w:tc>
          <w:tcPr>
            <w:tcW w:w="5077" w:type="dxa"/>
            <w:tcBorders>
              <w:top w:val="nil"/>
              <w:left w:val="nil"/>
              <w:bottom w:val="nil"/>
              <w:right w:val="nil"/>
            </w:tcBorders>
          </w:tcPr>
          <w:p w:rsidR="005D2B18" w:rsidRPr="00F73BDB" w:rsidRDefault="005D2B18" w:rsidP="00EE0D7D">
            <w:pPr>
              <w:rPr>
                <w:lang w:val="en-US"/>
              </w:rPr>
            </w:pPr>
            <w:r>
              <w:rPr>
                <w:lang w:val="en-US"/>
              </w:rPr>
              <w:t xml:space="preserve">Self-reported </w:t>
            </w:r>
            <w:r w:rsidRPr="00F73BDB">
              <w:rPr>
                <w:lang w:val="en-US"/>
              </w:rPr>
              <w:t>Sciatica</w:t>
            </w:r>
          </w:p>
        </w:tc>
        <w:tc>
          <w:tcPr>
            <w:tcW w:w="1850" w:type="dxa"/>
            <w:tcBorders>
              <w:top w:val="nil"/>
              <w:left w:val="nil"/>
              <w:bottom w:val="nil"/>
              <w:right w:val="nil"/>
            </w:tcBorders>
          </w:tcPr>
          <w:p w:rsidR="005D2B18" w:rsidRPr="004E5717" w:rsidRDefault="005D2B18" w:rsidP="00EE0D7D">
            <w:pPr>
              <w:rPr>
                <w:lang w:val="en-US"/>
              </w:rPr>
            </w:pPr>
            <w:r w:rsidRPr="004E5717">
              <w:rPr>
                <w:lang w:val="en-US"/>
              </w:rPr>
              <w:t>192 (44.8%)</w:t>
            </w:r>
          </w:p>
        </w:tc>
      </w:tr>
      <w:tr w:rsidR="005D2B18" w:rsidRPr="004E5717" w:rsidTr="00EE0D7D">
        <w:tc>
          <w:tcPr>
            <w:tcW w:w="5077" w:type="dxa"/>
            <w:tcBorders>
              <w:top w:val="nil"/>
              <w:left w:val="nil"/>
              <w:bottom w:val="nil"/>
              <w:right w:val="nil"/>
            </w:tcBorders>
          </w:tcPr>
          <w:p w:rsidR="005D2B18" w:rsidRPr="004E5717" w:rsidRDefault="005D2B18" w:rsidP="00EE0D7D">
            <w:pPr>
              <w:rPr>
                <w:u w:val="single"/>
                <w:lang w:val="en-US"/>
              </w:rPr>
            </w:pPr>
            <w:r>
              <w:rPr>
                <w:lang w:val="en-US"/>
              </w:rPr>
              <w:t xml:space="preserve">At least 1 symptom of nerve root compression </w:t>
            </w:r>
          </w:p>
        </w:tc>
        <w:tc>
          <w:tcPr>
            <w:tcW w:w="1850" w:type="dxa"/>
            <w:tcBorders>
              <w:top w:val="nil"/>
              <w:left w:val="nil"/>
              <w:bottom w:val="nil"/>
              <w:right w:val="nil"/>
            </w:tcBorders>
          </w:tcPr>
          <w:p w:rsidR="005D2B18" w:rsidRPr="004E5717" w:rsidRDefault="005D2B18" w:rsidP="00EE0D7D">
            <w:pPr>
              <w:rPr>
                <w:lang w:val="en-US"/>
              </w:rPr>
            </w:pPr>
            <w:r w:rsidRPr="004E5717">
              <w:rPr>
                <w:lang w:val="en-US"/>
              </w:rPr>
              <w:t>144 (33.6%)</w:t>
            </w:r>
          </w:p>
        </w:tc>
      </w:tr>
      <w:tr w:rsidR="005D2B18" w:rsidRPr="004E5717" w:rsidTr="00EE0D7D">
        <w:tc>
          <w:tcPr>
            <w:tcW w:w="5077" w:type="dxa"/>
            <w:tcBorders>
              <w:top w:val="nil"/>
              <w:left w:val="nil"/>
              <w:bottom w:val="nil"/>
              <w:right w:val="nil"/>
            </w:tcBorders>
          </w:tcPr>
          <w:p w:rsidR="005D2B18" w:rsidRDefault="005D2B18" w:rsidP="00EE0D7D">
            <w:pPr>
              <w:rPr>
                <w:lang w:val="en-US"/>
              </w:rPr>
            </w:pPr>
            <w:r>
              <w:t>Past Experience of M</w:t>
            </w:r>
            <w:r w:rsidRPr="00152CDA">
              <w:t>edication</w:t>
            </w:r>
          </w:p>
        </w:tc>
        <w:tc>
          <w:tcPr>
            <w:tcW w:w="1850" w:type="dxa"/>
            <w:tcBorders>
              <w:top w:val="nil"/>
              <w:left w:val="nil"/>
              <w:bottom w:val="nil"/>
              <w:right w:val="nil"/>
            </w:tcBorders>
          </w:tcPr>
          <w:p w:rsidR="005D2B18" w:rsidRPr="004E5717" w:rsidRDefault="005D2B18" w:rsidP="00EE0D7D">
            <w:pPr>
              <w:rPr>
                <w:lang w:val="en-US"/>
              </w:rPr>
            </w:pPr>
            <w:r>
              <w:t>208 (</w:t>
            </w:r>
            <w:r w:rsidRPr="00152CDA">
              <w:t>48.5</w:t>
            </w:r>
            <w:r>
              <w:t>)</w:t>
            </w:r>
          </w:p>
        </w:tc>
      </w:tr>
      <w:tr w:rsidR="005D2B18" w:rsidRPr="004E5717" w:rsidTr="00EE0D7D">
        <w:tc>
          <w:tcPr>
            <w:tcW w:w="5077" w:type="dxa"/>
            <w:tcBorders>
              <w:top w:val="nil"/>
              <w:left w:val="nil"/>
              <w:bottom w:val="nil"/>
              <w:right w:val="nil"/>
            </w:tcBorders>
          </w:tcPr>
          <w:p w:rsidR="005D2B18" w:rsidRDefault="005D2B18" w:rsidP="00EE0D7D">
            <w:pPr>
              <w:rPr>
                <w:lang w:val="en-US"/>
              </w:rPr>
            </w:pPr>
            <w:r>
              <w:t>Past Experience of Manual therapy</w:t>
            </w:r>
          </w:p>
        </w:tc>
        <w:tc>
          <w:tcPr>
            <w:tcW w:w="1850" w:type="dxa"/>
            <w:tcBorders>
              <w:top w:val="nil"/>
              <w:left w:val="nil"/>
              <w:bottom w:val="nil"/>
              <w:right w:val="nil"/>
            </w:tcBorders>
          </w:tcPr>
          <w:p w:rsidR="005D2B18" w:rsidRPr="004E5717" w:rsidRDefault="005D2B18" w:rsidP="00EE0D7D">
            <w:pPr>
              <w:rPr>
                <w:lang w:val="en-US"/>
              </w:rPr>
            </w:pPr>
            <w:r>
              <w:t>273 (</w:t>
            </w:r>
            <w:r w:rsidRPr="00152CDA">
              <w:t>63.6</w:t>
            </w:r>
            <w:r>
              <w:t>)</w:t>
            </w:r>
          </w:p>
        </w:tc>
      </w:tr>
      <w:tr w:rsidR="005D2B18" w:rsidRPr="004E5717" w:rsidTr="00EE0D7D">
        <w:tc>
          <w:tcPr>
            <w:tcW w:w="5077" w:type="dxa"/>
            <w:tcBorders>
              <w:top w:val="nil"/>
              <w:left w:val="nil"/>
              <w:bottom w:val="nil"/>
              <w:right w:val="nil"/>
            </w:tcBorders>
          </w:tcPr>
          <w:p w:rsidR="005D2B18" w:rsidRDefault="005D2B18" w:rsidP="00EE0D7D">
            <w:pPr>
              <w:rPr>
                <w:lang w:val="en-US"/>
              </w:rPr>
            </w:pPr>
            <w:r>
              <w:t xml:space="preserve">Past Experience of </w:t>
            </w:r>
            <w:r w:rsidRPr="00152CDA">
              <w:t>Exercise</w:t>
            </w:r>
          </w:p>
        </w:tc>
        <w:tc>
          <w:tcPr>
            <w:tcW w:w="1850" w:type="dxa"/>
            <w:tcBorders>
              <w:top w:val="nil"/>
              <w:left w:val="nil"/>
              <w:bottom w:val="nil"/>
              <w:right w:val="nil"/>
            </w:tcBorders>
          </w:tcPr>
          <w:p w:rsidR="005D2B18" w:rsidRPr="004E5717" w:rsidRDefault="005D2B18" w:rsidP="00EE0D7D">
            <w:pPr>
              <w:rPr>
                <w:lang w:val="en-US"/>
              </w:rPr>
            </w:pPr>
            <w:r>
              <w:t>187 (</w:t>
            </w:r>
            <w:r w:rsidRPr="00152CDA">
              <w:t>43.6</w:t>
            </w:r>
            <w:r>
              <w:t>)</w:t>
            </w:r>
          </w:p>
        </w:tc>
      </w:tr>
      <w:tr w:rsidR="005D2B18" w:rsidRPr="004E5717" w:rsidTr="00EE0D7D">
        <w:tc>
          <w:tcPr>
            <w:tcW w:w="5077" w:type="dxa"/>
            <w:tcBorders>
              <w:top w:val="nil"/>
              <w:left w:val="nil"/>
              <w:bottom w:val="single" w:sz="4" w:space="0" w:color="auto"/>
              <w:right w:val="nil"/>
            </w:tcBorders>
          </w:tcPr>
          <w:p w:rsidR="005D2B18" w:rsidRDefault="005D2B18" w:rsidP="00EE0D7D">
            <w:pPr>
              <w:rPr>
                <w:lang w:val="en-US"/>
              </w:rPr>
            </w:pPr>
            <w:r>
              <w:t xml:space="preserve">Past Experience of </w:t>
            </w:r>
            <w:r w:rsidRPr="00152CDA">
              <w:t>Acupuncture</w:t>
            </w:r>
          </w:p>
        </w:tc>
        <w:tc>
          <w:tcPr>
            <w:tcW w:w="1850" w:type="dxa"/>
            <w:tcBorders>
              <w:top w:val="nil"/>
              <w:left w:val="nil"/>
              <w:bottom w:val="single" w:sz="4" w:space="0" w:color="auto"/>
              <w:right w:val="nil"/>
            </w:tcBorders>
          </w:tcPr>
          <w:p w:rsidR="005D2B18" w:rsidRPr="004E5717" w:rsidRDefault="005D2B18" w:rsidP="00EE0D7D">
            <w:pPr>
              <w:rPr>
                <w:lang w:val="en-US"/>
              </w:rPr>
            </w:pPr>
            <w:r>
              <w:t>127 (</w:t>
            </w:r>
            <w:r w:rsidRPr="00152CDA">
              <w:t>29.6</w:t>
            </w:r>
            <w:r>
              <w:t>)</w:t>
            </w:r>
          </w:p>
        </w:tc>
      </w:tr>
    </w:tbl>
    <w:p w:rsidR="005D2B18" w:rsidRPr="004E5717" w:rsidRDefault="005D2B18" w:rsidP="005D2B18">
      <w:pPr>
        <w:spacing w:line="480" w:lineRule="auto"/>
        <w:rPr>
          <w:lang w:val="en-US"/>
        </w:rPr>
      </w:pPr>
      <w:proofErr w:type="gramStart"/>
      <w:r w:rsidRPr="009B07F6">
        <w:rPr>
          <w:vertAlign w:val="superscript"/>
          <w:lang w:val="en-US"/>
        </w:rPr>
        <w:t>a</w:t>
      </w:r>
      <w:proofErr w:type="gramEnd"/>
      <w:r w:rsidRPr="004E5717">
        <w:rPr>
          <w:lang w:val="en-US"/>
        </w:rPr>
        <w:t xml:space="preserve"> Note: Percentages reported without including missing values</w:t>
      </w:r>
    </w:p>
    <w:p w:rsidR="005D2B18" w:rsidRDefault="005D2B18" w:rsidP="005D2B18">
      <w:pPr>
        <w:spacing w:after="200" w:line="276" w:lineRule="auto"/>
      </w:pPr>
      <w:r>
        <w:br w:type="page"/>
      </w:r>
    </w:p>
    <w:p w:rsidR="005D2B18" w:rsidRPr="00387022" w:rsidRDefault="005D2B18" w:rsidP="005D2B18">
      <w:pPr>
        <w:ind w:left="-90" w:right="-116"/>
        <w:rPr>
          <w:u w:val="single"/>
        </w:rPr>
      </w:pPr>
      <w:proofErr w:type="gramStart"/>
      <w:r w:rsidRPr="00387022">
        <w:rPr>
          <w:u w:val="single"/>
        </w:rPr>
        <w:lastRenderedPageBreak/>
        <w:t>Table 2.</w:t>
      </w:r>
      <w:proofErr w:type="gramEnd"/>
      <w:r w:rsidRPr="00387022">
        <w:rPr>
          <w:u w:val="single"/>
        </w:rPr>
        <w:t xml:space="preserve"> LBP-TBQ</w:t>
      </w:r>
      <w:r w:rsidRPr="00387022" w:rsidDel="007B3A6E">
        <w:rPr>
          <w:u w:val="single"/>
        </w:rPr>
        <w:t xml:space="preserve"> </w:t>
      </w:r>
      <w:r w:rsidRPr="00387022">
        <w:rPr>
          <w:u w:val="single"/>
        </w:rPr>
        <w:t>Scale and Item Homogeneity for 4-Item Scales</w:t>
      </w:r>
    </w:p>
    <w:p w:rsidR="005D2B18" w:rsidRPr="00C20634" w:rsidRDefault="005D2B18" w:rsidP="005D2B18">
      <w:pPr>
        <w:ind w:left="-90" w:right="-116"/>
        <w:rPr>
          <w:u w:val="single"/>
        </w:rPr>
      </w:pPr>
    </w:p>
    <w:tbl>
      <w:tblPr>
        <w:tblW w:w="5000" w:type="pct"/>
        <w:tblLook w:val="01E0"/>
      </w:tblPr>
      <w:tblGrid>
        <w:gridCol w:w="3485"/>
        <w:gridCol w:w="1627"/>
        <w:gridCol w:w="1296"/>
        <w:gridCol w:w="1296"/>
        <w:gridCol w:w="1538"/>
      </w:tblGrid>
      <w:tr w:rsidR="005D2B18" w:rsidRPr="00DE3551" w:rsidTr="00EE0D7D">
        <w:tc>
          <w:tcPr>
            <w:tcW w:w="1886" w:type="pct"/>
            <w:tcBorders>
              <w:top w:val="single" w:sz="4" w:space="0" w:color="auto"/>
              <w:bottom w:val="single" w:sz="4" w:space="0" w:color="auto"/>
            </w:tcBorders>
            <w:shd w:val="clear" w:color="auto" w:fill="auto"/>
          </w:tcPr>
          <w:p w:rsidR="005D2B18" w:rsidRPr="00DE3551" w:rsidRDefault="005D2B18" w:rsidP="00EE0D7D">
            <w:r w:rsidRPr="00DE3551">
              <w:t>Content</w:t>
            </w:r>
          </w:p>
        </w:tc>
        <w:tc>
          <w:tcPr>
            <w:tcW w:w="3114" w:type="pct"/>
            <w:gridSpan w:val="4"/>
            <w:tcBorders>
              <w:top w:val="single" w:sz="4" w:space="0" w:color="auto"/>
              <w:bottom w:val="single" w:sz="4" w:space="0" w:color="auto"/>
            </w:tcBorders>
          </w:tcPr>
          <w:p w:rsidR="005D2B18" w:rsidRPr="00DE3551" w:rsidRDefault="005D2B18" w:rsidP="00EE0D7D">
            <w:r w:rsidRPr="00DE3551">
              <w:t>H (SE)</w:t>
            </w:r>
          </w:p>
        </w:tc>
      </w:tr>
      <w:tr w:rsidR="005D2B18" w:rsidRPr="00DE3551" w:rsidTr="00EE0D7D">
        <w:tc>
          <w:tcPr>
            <w:tcW w:w="1886" w:type="pct"/>
            <w:tcBorders>
              <w:top w:val="single" w:sz="4" w:space="0" w:color="auto"/>
              <w:bottom w:val="single" w:sz="4" w:space="0" w:color="auto"/>
            </w:tcBorders>
            <w:shd w:val="clear" w:color="auto" w:fill="auto"/>
          </w:tcPr>
          <w:p w:rsidR="005D2B18" w:rsidRPr="00DE3551" w:rsidRDefault="005D2B18" w:rsidP="00EE0D7D"/>
        </w:tc>
        <w:tc>
          <w:tcPr>
            <w:tcW w:w="880" w:type="pct"/>
            <w:tcBorders>
              <w:top w:val="single" w:sz="4" w:space="0" w:color="auto"/>
              <w:bottom w:val="single" w:sz="4" w:space="0" w:color="auto"/>
            </w:tcBorders>
          </w:tcPr>
          <w:p w:rsidR="005D2B18" w:rsidRPr="00DE3551" w:rsidRDefault="005D2B18" w:rsidP="00EE0D7D">
            <w:r w:rsidRPr="00DE3551">
              <w:t>Pain medication</w:t>
            </w:r>
          </w:p>
        </w:tc>
        <w:tc>
          <w:tcPr>
            <w:tcW w:w="701" w:type="pct"/>
            <w:tcBorders>
              <w:top w:val="single" w:sz="4" w:space="0" w:color="auto"/>
              <w:bottom w:val="single" w:sz="4" w:space="0" w:color="auto"/>
            </w:tcBorders>
          </w:tcPr>
          <w:p w:rsidR="005D2B18" w:rsidRPr="00DE3551" w:rsidRDefault="005D2B18" w:rsidP="00EE0D7D">
            <w:r w:rsidRPr="00DE3551">
              <w:t>Exercise</w:t>
            </w:r>
          </w:p>
        </w:tc>
        <w:tc>
          <w:tcPr>
            <w:tcW w:w="701" w:type="pct"/>
            <w:tcBorders>
              <w:top w:val="single" w:sz="4" w:space="0" w:color="auto"/>
              <w:bottom w:val="single" w:sz="4" w:space="0" w:color="auto"/>
            </w:tcBorders>
          </w:tcPr>
          <w:p w:rsidR="005D2B18" w:rsidRPr="00DE3551" w:rsidRDefault="005D2B18" w:rsidP="00EE0D7D">
            <w:r w:rsidRPr="00DE3551">
              <w:t>Manual therapy</w:t>
            </w:r>
          </w:p>
        </w:tc>
        <w:tc>
          <w:tcPr>
            <w:tcW w:w="832" w:type="pct"/>
            <w:tcBorders>
              <w:top w:val="single" w:sz="4" w:space="0" w:color="auto"/>
              <w:bottom w:val="single" w:sz="4" w:space="0" w:color="auto"/>
            </w:tcBorders>
          </w:tcPr>
          <w:p w:rsidR="005D2B18" w:rsidRPr="00DE3551" w:rsidRDefault="005D2B18" w:rsidP="00EE0D7D">
            <w:r w:rsidRPr="00DE3551">
              <w:t>Acupuncture</w:t>
            </w:r>
          </w:p>
        </w:tc>
      </w:tr>
      <w:tr w:rsidR="005D2B18" w:rsidRPr="00DE3551" w:rsidTr="00EE0D7D">
        <w:tc>
          <w:tcPr>
            <w:tcW w:w="1886" w:type="pct"/>
            <w:tcBorders>
              <w:top w:val="single" w:sz="4" w:space="0" w:color="auto"/>
            </w:tcBorders>
            <w:shd w:val="clear" w:color="auto" w:fill="auto"/>
          </w:tcPr>
          <w:p w:rsidR="005D2B18" w:rsidRPr="00DE3551" w:rsidRDefault="005D2B18" w:rsidP="00EE0D7D">
            <w:r w:rsidRPr="00DE3551">
              <w:t>Credibility</w:t>
            </w:r>
          </w:p>
        </w:tc>
        <w:tc>
          <w:tcPr>
            <w:tcW w:w="880" w:type="pct"/>
            <w:tcBorders>
              <w:top w:val="single" w:sz="4" w:space="0" w:color="auto"/>
            </w:tcBorders>
          </w:tcPr>
          <w:p w:rsidR="005D2B18" w:rsidRPr="00DE3551" w:rsidRDefault="005D2B18" w:rsidP="00EE0D7D">
            <w:r w:rsidRPr="00DE3551">
              <w:t>0.51 (0.04)</w:t>
            </w:r>
          </w:p>
        </w:tc>
        <w:tc>
          <w:tcPr>
            <w:tcW w:w="701" w:type="pct"/>
            <w:tcBorders>
              <w:top w:val="single" w:sz="4" w:space="0" w:color="auto"/>
            </w:tcBorders>
          </w:tcPr>
          <w:p w:rsidR="005D2B18" w:rsidRPr="00DE3551" w:rsidRDefault="005D2B18" w:rsidP="00EE0D7D">
            <w:r w:rsidRPr="00DE3551">
              <w:t>0.67 (0.03)</w:t>
            </w:r>
          </w:p>
        </w:tc>
        <w:tc>
          <w:tcPr>
            <w:tcW w:w="701" w:type="pct"/>
            <w:tcBorders>
              <w:top w:val="single" w:sz="4" w:space="0" w:color="auto"/>
            </w:tcBorders>
          </w:tcPr>
          <w:p w:rsidR="005D2B18" w:rsidRPr="00DE3551" w:rsidRDefault="005D2B18" w:rsidP="00EE0D7D">
            <w:r w:rsidRPr="00DE3551">
              <w:t>0.69 (0.03)</w:t>
            </w:r>
          </w:p>
        </w:tc>
        <w:tc>
          <w:tcPr>
            <w:tcW w:w="832" w:type="pct"/>
            <w:tcBorders>
              <w:top w:val="single" w:sz="4" w:space="0" w:color="auto"/>
            </w:tcBorders>
          </w:tcPr>
          <w:p w:rsidR="005D2B18" w:rsidRPr="00DE3551" w:rsidRDefault="005D2B18" w:rsidP="00EE0D7D">
            <w:r w:rsidRPr="00DE3551">
              <w:t>0.67 (0.04)</w:t>
            </w:r>
          </w:p>
        </w:tc>
      </w:tr>
      <w:tr w:rsidR="005D2B18" w:rsidRPr="00DE3551" w:rsidTr="00EE0D7D">
        <w:tc>
          <w:tcPr>
            <w:tcW w:w="1886" w:type="pct"/>
            <w:tcBorders>
              <w:top w:val="single" w:sz="4" w:space="0" w:color="auto"/>
            </w:tcBorders>
            <w:shd w:val="clear" w:color="auto" w:fill="auto"/>
          </w:tcPr>
          <w:p w:rsidR="005D2B18" w:rsidRPr="00DE3551" w:rsidRDefault="005D2B18" w:rsidP="00EE0D7D">
            <w:r w:rsidRPr="00DE3551">
              <w:t>Taking/Having […] for back pain makes a lot of sense</w:t>
            </w:r>
          </w:p>
        </w:tc>
        <w:tc>
          <w:tcPr>
            <w:tcW w:w="880" w:type="pct"/>
            <w:tcBorders>
              <w:top w:val="single" w:sz="4" w:space="0" w:color="auto"/>
            </w:tcBorders>
          </w:tcPr>
          <w:p w:rsidR="005D2B18" w:rsidRPr="00DE3551" w:rsidRDefault="005D2B18" w:rsidP="00EE0D7D">
            <w:r w:rsidRPr="00DE3551">
              <w:t>0.53 (0.04)</w:t>
            </w:r>
          </w:p>
        </w:tc>
        <w:tc>
          <w:tcPr>
            <w:tcW w:w="701" w:type="pct"/>
            <w:tcBorders>
              <w:top w:val="single" w:sz="4" w:space="0" w:color="auto"/>
            </w:tcBorders>
          </w:tcPr>
          <w:p w:rsidR="005D2B18" w:rsidRPr="00DE3551" w:rsidRDefault="005D2B18" w:rsidP="00EE0D7D">
            <w:r w:rsidRPr="00DE3551">
              <w:t>0.70 (0.03)</w:t>
            </w:r>
          </w:p>
        </w:tc>
        <w:tc>
          <w:tcPr>
            <w:tcW w:w="701" w:type="pct"/>
            <w:tcBorders>
              <w:top w:val="single" w:sz="4" w:space="0" w:color="auto"/>
            </w:tcBorders>
          </w:tcPr>
          <w:p w:rsidR="005D2B18" w:rsidRPr="00DE3551" w:rsidRDefault="005D2B18" w:rsidP="00EE0D7D">
            <w:r w:rsidRPr="00DE3551">
              <w:t>0.71 (0.03)</w:t>
            </w:r>
          </w:p>
        </w:tc>
        <w:tc>
          <w:tcPr>
            <w:tcW w:w="832" w:type="pct"/>
            <w:tcBorders>
              <w:top w:val="single" w:sz="4" w:space="0" w:color="auto"/>
            </w:tcBorders>
          </w:tcPr>
          <w:p w:rsidR="005D2B18" w:rsidRPr="00DE3551" w:rsidRDefault="005D2B18" w:rsidP="00EE0D7D">
            <w:r w:rsidRPr="00DE3551">
              <w:t>0.68 (0.04)</w:t>
            </w:r>
          </w:p>
        </w:tc>
      </w:tr>
      <w:tr w:rsidR="005D2B18" w:rsidRPr="00DE3551" w:rsidTr="00EE0D7D">
        <w:tc>
          <w:tcPr>
            <w:tcW w:w="1886" w:type="pct"/>
            <w:shd w:val="clear" w:color="auto" w:fill="auto"/>
          </w:tcPr>
          <w:p w:rsidR="005D2B18" w:rsidRPr="00DE3551" w:rsidRDefault="005D2B18" w:rsidP="00EE0D7D">
            <w:r w:rsidRPr="00DE3551">
              <w:t>Generally, […] is a believable therapy for back pain</w:t>
            </w:r>
          </w:p>
        </w:tc>
        <w:tc>
          <w:tcPr>
            <w:tcW w:w="880" w:type="pct"/>
          </w:tcPr>
          <w:p w:rsidR="005D2B18" w:rsidRPr="00DE3551" w:rsidRDefault="005D2B18" w:rsidP="00EE0D7D">
            <w:r w:rsidRPr="00DE3551">
              <w:t>0.53 (0.04)</w:t>
            </w:r>
          </w:p>
        </w:tc>
        <w:tc>
          <w:tcPr>
            <w:tcW w:w="701" w:type="pct"/>
          </w:tcPr>
          <w:p w:rsidR="005D2B18" w:rsidRPr="00DE3551" w:rsidRDefault="005D2B18" w:rsidP="00EE0D7D">
            <w:r w:rsidRPr="00DE3551">
              <w:t>0.67 (0.04)</w:t>
            </w:r>
          </w:p>
        </w:tc>
        <w:tc>
          <w:tcPr>
            <w:tcW w:w="701" w:type="pct"/>
          </w:tcPr>
          <w:p w:rsidR="005D2B18" w:rsidRPr="00DE3551" w:rsidRDefault="005D2B18" w:rsidP="00EE0D7D">
            <w:r w:rsidRPr="00DE3551">
              <w:t>0.72 (0.04)</w:t>
            </w:r>
          </w:p>
        </w:tc>
        <w:tc>
          <w:tcPr>
            <w:tcW w:w="832" w:type="pct"/>
          </w:tcPr>
          <w:p w:rsidR="005D2B18" w:rsidRPr="00DE3551" w:rsidRDefault="005D2B18" w:rsidP="00EE0D7D">
            <w:r w:rsidRPr="00DE3551">
              <w:t>0. 71 (0.04)</w:t>
            </w:r>
          </w:p>
        </w:tc>
      </w:tr>
      <w:tr w:rsidR="005D2B18" w:rsidRPr="00DE3551" w:rsidTr="00EE0D7D">
        <w:tc>
          <w:tcPr>
            <w:tcW w:w="1886" w:type="pct"/>
            <w:shd w:val="clear" w:color="auto" w:fill="auto"/>
          </w:tcPr>
          <w:p w:rsidR="005D2B18" w:rsidRPr="00DE3551" w:rsidRDefault="005D2B18" w:rsidP="00EE0D7D">
            <w:r w:rsidRPr="00DE3551">
              <w:t>I am sceptical about […] as a treatment for back pain in general  (r)</w:t>
            </w:r>
          </w:p>
        </w:tc>
        <w:tc>
          <w:tcPr>
            <w:tcW w:w="880" w:type="pct"/>
          </w:tcPr>
          <w:p w:rsidR="005D2B18" w:rsidRPr="00DE3551" w:rsidRDefault="005D2B18" w:rsidP="00EE0D7D">
            <w:r w:rsidRPr="00DE3551">
              <w:t>0.52 (0.05)</w:t>
            </w:r>
          </w:p>
        </w:tc>
        <w:tc>
          <w:tcPr>
            <w:tcW w:w="701" w:type="pct"/>
          </w:tcPr>
          <w:p w:rsidR="005D2B18" w:rsidRPr="00DE3551" w:rsidRDefault="005D2B18" w:rsidP="00EE0D7D">
            <w:r w:rsidRPr="00DE3551">
              <w:t>0.66 (0.04)</w:t>
            </w:r>
          </w:p>
        </w:tc>
        <w:tc>
          <w:tcPr>
            <w:tcW w:w="701" w:type="pct"/>
          </w:tcPr>
          <w:p w:rsidR="005D2B18" w:rsidRPr="00DE3551" w:rsidRDefault="005D2B18" w:rsidP="00EE0D7D">
            <w:r w:rsidRPr="00DE3551">
              <w:t>0.68 (0.04)</w:t>
            </w:r>
          </w:p>
        </w:tc>
        <w:tc>
          <w:tcPr>
            <w:tcW w:w="832" w:type="pct"/>
          </w:tcPr>
          <w:p w:rsidR="005D2B18" w:rsidRPr="00DE3551" w:rsidRDefault="005D2B18" w:rsidP="00EE0D7D">
            <w:pPr>
              <w:rPr>
                <w:b/>
                <w:i/>
              </w:rPr>
            </w:pPr>
            <w:r w:rsidRPr="00DE3551">
              <w:rPr>
                <w:b/>
                <w:i/>
              </w:rPr>
              <w:t>0.62 (0.05)</w:t>
            </w:r>
          </w:p>
        </w:tc>
      </w:tr>
      <w:tr w:rsidR="005D2B18" w:rsidRPr="00DE3551" w:rsidTr="00EE0D7D">
        <w:tc>
          <w:tcPr>
            <w:tcW w:w="1886" w:type="pct"/>
            <w:tcBorders>
              <w:bottom w:val="single" w:sz="4" w:space="0" w:color="auto"/>
            </w:tcBorders>
            <w:shd w:val="clear" w:color="auto" w:fill="auto"/>
          </w:tcPr>
          <w:p w:rsidR="005D2B18" w:rsidRPr="00DE3551" w:rsidRDefault="005D2B18" w:rsidP="00EE0D7D">
            <w:r w:rsidRPr="00DE3551">
              <w:t>I do not understand how […] could help people with back pain  (r)</w:t>
            </w:r>
          </w:p>
        </w:tc>
        <w:tc>
          <w:tcPr>
            <w:tcW w:w="880" w:type="pct"/>
            <w:tcBorders>
              <w:bottom w:val="single" w:sz="4" w:space="0" w:color="auto"/>
            </w:tcBorders>
          </w:tcPr>
          <w:p w:rsidR="005D2B18" w:rsidRPr="00DE3551" w:rsidRDefault="005D2B18" w:rsidP="00EE0D7D">
            <w:r w:rsidRPr="00DE3551">
              <w:t>0.46 (0.05)</w:t>
            </w:r>
          </w:p>
        </w:tc>
        <w:tc>
          <w:tcPr>
            <w:tcW w:w="701" w:type="pct"/>
            <w:tcBorders>
              <w:bottom w:val="single" w:sz="4" w:space="0" w:color="auto"/>
            </w:tcBorders>
          </w:tcPr>
          <w:p w:rsidR="005D2B18" w:rsidRPr="00DE3551" w:rsidRDefault="005D2B18" w:rsidP="00EE0D7D">
            <w:r w:rsidRPr="00DE3551">
              <w:t>0.66 (0.04)</w:t>
            </w:r>
          </w:p>
        </w:tc>
        <w:tc>
          <w:tcPr>
            <w:tcW w:w="701" w:type="pct"/>
            <w:tcBorders>
              <w:bottom w:val="single" w:sz="4" w:space="0" w:color="auto"/>
            </w:tcBorders>
          </w:tcPr>
          <w:p w:rsidR="005D2B18" w:rsidRPr="00DE3551" w:rsidRDefault="005D2B18" w:rsidP="00EE0D7D">
            <w:r w:rsidRPr="00DE3551">
              <w:t>0.65 (0.04)</w:t>
            </w:r>
          </w:p>
        </w:tc>
        <w:tc>
          <w:tcPr>
            <w:tcW w:w="832" w:type="pct"/>
            <w:tcBorders>
              <w:bottom w:val="single" w:sz="4" w:space="0" w:color="auto"/>
            </w:tcBorders>
          </w:tcPr>
          <w:p w:rsidR="005D2B18" w:rsidRPr="00DE3551" w:rsidRDefault="005D2B18" w:rsidP="00EE0D7D">
            <w:r w:rsidRPr="00DE3551">
              <w:t>0.67 (0.04)</w:t>
            </w:r>
          </w:p>
        </w:tc>
      </w:tr>
      <w:tr w:rsidR="005D2B18" w:rsidRPr="00DE3551" w:rsidTr="00EE0D7D">
        <w:tc>
          <w:tcPr>
            <w:tcW w:w="1886" w:type="pct"/>
            <w:tcBorders>
              <w:top w:val="single" w:sz="4" w:space="0" w:color="auto"/>
              <w:bottom w:val="single" w:sz="4" w:space="0" w:color="auto"/>
            </w:tcBorders>
            <w:shd w:val="clear" w:color="auto" w:fill="auto"/>
          </w:tcPr>
          <w:p w:rsidR="005D2B18" w:rsidRPr="00DE3551" w:rsidRDefault="005D2B18" w:rsidP="00EE0D7D">
            <w:r w:rsidRPr="00DE3551">
              <w:t>Effectiveness</w:t>
            </w:r>
          </w:p>
        </w:tc>
        <w:tc>
          <w:tcPr>
            <w:tcW w:w="880" w:type="pct"/>
            <w:tcBorders>
              <w:top w:val="single" w:sz="4" w:space="0" w:color="auto"/>
              <w:bottom w:val="single" w:sz="4" w:space="0" w:color="auto"/>
            </w:tcBorders>
          </w:tcPr>
          <w:p w:rsidR="005D2B18" w:rsidRPr="00DE3551" w:rsidRDefault="005D2B18" w:rsidP="00EE0D7D">
            <w:r w:rsidRPr="00DE3551">
              <w:t>0.57 (0.04)</w:t>
            </w:r>
          </w:p>
        </w:tc>
        <w:tc>
          <w:tcPr>
            <w:tcW w:w="701" w:type="pct"/>
            <w:tcBorders>
              <w:top w:val="single" w:sz="4" w:space="0" w:color="auto"/>
              <w:bottom w:val="single" w:sz="4" w:space="0" w:color="auto"/>
            </w:tcBorders>
          </w:tcPr>
          <w:p w:rsidR="005D2B18" w:rsidRPr="00DE3551" w:rsidRDefault="005D2B18" w:rsidP="00EE0D7D">
            <w:r w:rsidRPr="00DE3551">
              <w:t>0.63 (0.03)</w:t>
            </w:r>
          </w:p>
        </w:tc>
        <w:tc>
          <w:tcPr>
            <w:tcW w:w="701" w:type="pct"/>
            <w:tcBorders>
              <w:top w:val="single" w:sz="4" w:space="0" w:color="auto"/>
              <w:bottom w:val="single" w:sz="4" w:space="0" w:color="auto"/>
            </w:tcBorders>
          </w:tcPr>
          <w:p w:rsidR="005D2B18" w:rsidRPr="00DE3551" w:rsidRDefault="005D2B18" w:rsidP="00EE0D7D">
            <w:r w:rsidRPr="00DE3551">
              <w:t>0.74 (0.03)</w:t>
            </w:r>
          </w:p>
        </w:tc>
        <w:tc>
          <w:tcPr>
            <w:tcW w:w="832" w:type="pct"/>
            <w:tcBorders>
              <w:top w:val="single" w:sz="4" w:space="0" w:color="auto"/>
              <w:bottom w:val="single" w:sz="4" w:space="0" w:color="auto"/>
            </w:tcBorders>
          </w:tcPr>
          <w:p w:rsidR="005D2B18" w:rsidRPr="00DE3551" w:rsidRDefault="005D2B18" w:rsidP="00EE0D7D">
            <w:r w:rsidRPr="00DE3551">
              <w:t>0.72 (0.04)</w:t>
            </w:r>
          </w:p>
        </w:tc>
      </w:tr>
      <w:tr w:rsidR="005D2B18" w:rsidRPr="00DE3551" w:rsidTr="00EE0D7D">
        <w:tc>
          <w:tcPr>
            <w:tcW w:w="1886" w:type="pct"/>
            <w:tcBorders>
              <w:top w:val="single" w:sz="4" w:space="0" w:color="auto"/>
            </w:tcBorders>
            <w:shd w:val="clear" w:color="auto" w:fill="FFFFFF" w:themeFill="background1"/>
          </w:tcPr>
          <w:p w:rsidR="005D2B18" w:rsidRPr="00DE3551" w:rsidRDefault="005D2B18" w:rsidP="00EE0D7D">
            <w:r w:rsidRPr="00DE3551">
              <w:t>[…] cannot help people with back pain  (r)</w:t>
            </w:r>
          </w:p>
        </w:tc>
        <w:tc>
          <w:tcPr>
            <w:tcW w:w="880" w:type="pct"/>
            <w:tcBorders>
              <w:top w:val="single" w:sz="4" w:space="0" w:color="auto"/>
            </w:tcBorders>
            <w:shd w:val="clear" w:color="auto" w:fill="FFFFFF" w:themeFill="background1"/>
          </w:tcPr>
          <w:p w:rsidR="005D2B18" w:rsidRPr="00DE3551" w:rsidRDefault="005D2B18" w:rsidP="00EE0D7D">
            <w:r w:rsidRPr="00DE3551">
              <w:t>0.58 (0.05)</w:t>
            </w:r>
          </w:p>
        </w:tc>
        <w:tc>
          <w:tcPr>
            <w:tcW w:w="701" w:type="pct"/>
            <w:tcBorders>
              <w:top w:val="single" w:sz="4" w:space="0" w:color="auto"/>
            </w:tcBorders>
            <w:shd w:val="clear" w:color="auto" w:fill="FFFFFF" w:themeFill="background1"/>
          </w:tcPr>
          <w:p w:rsidR="005D2B18" w:rsidRPr="00DE3551" w:rsidRDefault="005D2B18" w:rsidP="00EE0D7D">
            <w:r w:rsidRPr="00DE3551">
              <w:t>0.61 (0.05)</w:t>
            </w:r>
          </w:p>
        </w:tc>
        <w:tc>
          <w:tcPr>
            <w:tcW w:w="701" w:type="pct"/>
            <w:tcBorders>
              <w:top w:val="single" w:sz="4" w:space="0" w:color="auto"/>
            </w:tcBorders>
            <w:shd w:val="clear" w:color="auto" w:fill="FFFFFF" w:themeFill="background1"/>
          </w:tcPr>
          <w:p w:rsidR="005D2B18" w:rsidRPr="00DE3551" w:rsidRDefault="005D2B18" w:rsidP="00EE0D7D">
            <w:r w:rsidRPr="00DE3551">
              <w:t>0.72 (0.04)</w:t>
            </w:r>
          </w:p>
        </w:tc>
        <w:tc>
          <w:tcPr>
            <w:tcW w:w="832" w:type="pct"/>
            <w:tcBorders>
              <w:top w:val="single" w:sz="4" w:space="0" w:color="auto"/>
            </w:tcBorders>
            <w:shd w:val="clear" w:color="auto" w:fill="FFFFFF" w:themeFill="background1"/>
          </w:tcPr>
          <w:p w:rsidR="005D2B18" w:rsidRPr="00DE3551" w:rsidRDefault="005D2B18" w:rsidP="00EE0D7D">
            <w:r w:rsidRPr="00DE3551">
              <w:t>0.75 (0.04)</w:t>
            </w:r>
          </w:p>
        </w:tc>
      </w:tr>
      <w:tr w:rsidR="005D2B18" w:rsidRPr="00DE3551" w:rsidTr="00EE0D7D">
        <w:tc>
          <w:tcPr>
            <w:tcW w:w="1886" w:type="pct"/>
            <w:shd w:val="clear" w:color="auto" w:fill="auto"/>
          </w:tcPr>
          <w:p w:rsidR="005D2B18" w:rsidRPr="00DE3551" w:rsidRDefault="005D2B18" w:rsidP="00EE0D7D">
            <w:r w:rsidRPr="00DE3551">
              <w:t>[…] can work well for people with back pain</w:t>
            </w:r>
          </w:p>
        </w:tc>
        <w:tc>
          <w:tcPr>
            <w:tcW w:w="880" w:type="pct"/>
          </w:tcPr>
          <w:p w:rsidR="005D2B18" w:rsidRPr="00DE3551" w:rsidRDefault="005D2B18" w:rsidP="00EE0D7D">
            <w:r w:rsidRPr="00DE3551">
              <w:t>0.56 (0.05)</w:t>
            </w:r>
          </w:p>
        </w:tc>
        <w:tc>
          <w:tcPr>
            <w:tcW w:w="701" w:type="pct"/>
          </w:tcPr>
          <w:p w:rsidR="005D2B18" w:rsidRPr="00DE3551" w:rsidRDefault="005D2B18" w:rsidP="00EE0D7D">
            <w:r w:rsidRPr="00DE3551">
              <w:t>0.61 (0.05)</w:t>
            </w:r>
          </w:p>
        </w:tc>
        <w:tc>
          <w:tcPr>
            <w:tcW w:w="701" w:type="pct"/>
          </w:tcPr>
          <w:p w:rsidR="005D2B18" w:rsidRPr="00DE3551" w:rsidRDefault="005D2B18" w:rsidP="00EE0D7D">
            <w:r w:rsidRPr="00DE3551">
              <w:t>0.79 (0.03)</w:t>
            </w:r>
          </w:p>
        </w:tc>
        <w:tc>
          <w:tcPr>
            <w:tcW w:w="832" w:type="pct"/>
          </w:tcPr>
          <w:p w:rsidR="005D2B18" w:rsidRPr="00DE3551" w:rsidRDefault="005D2B18" w:rsidP="00EE0D7D">
            <w:r w:rsidRPr="00DE3551">
              <w:t>0.70 (0.05)</w:t>
            </w:r>
          </w:p>
        </w:tc>
      </w:tr>
      <w:tr w:rsidR="005D2B18" w:rsidRPr="00DE3551" w:rsidTr="00EE0D7D">
        <w:tc>
          <w:tcPr>
            <w:tcW w:w="1886" w:type="pct"/>
            <w:shd w:val="clear" w:color="auto" w:fill="auto"/>
          </w:tcPr>
          <w:p w:rsidR="005D2B18" w:rsidRPr="00DE3551" w:rsidRDefault="005D2B18" w:rsidP="00EE0D7D">
            <w:r w:rsidRPr="00DE3551">
              <w:t>I think […] is pretty useless for people with back pain (r)</w:t>
            </w:r>
          </w:p>
        </w:tc>
        <w:tc>
          <w:tcPr>
            <w:tcW w:w="880" w:type="pct"/>
          </w:tcPr>
          <w:p w:rsidR="005D2B18" w:rsidRPr="00DE3551" w:rsidRDefault="005D2B18" w:rsidP="00EE0D7D">
            <w:r w:rsidRPr="00DE3551">
              <w:t>0.60 (0.04)</w:t>
            </w:r>
          </w:p>
        </w:tc>
        <w:tc>
          <w:tcPr>
            <w:tcW w:w="701" w:type="pct"/>
          </w:tcPr>
          <w:p w:rsidR="005D2B18" w:rsidRPr="00DE3551" w:rsidRDefault="005D2B18" w:rsidP="00EE0D7D">
            <w:r w:rsidRPr="00DE3551">
              <w:t>0.65 (0.04)</w:t>
            </w:r>
          </w:p>
        </w:tc>
        <w:tc>
          <w:tcPr>
            <w:tcW w:w="701" w:type="pct"/>
          </w:tcPr>
          <w:p w:rsidR="005D2B18" w:rsidRPr="00DE3551" w:rsidRDefault="005D2B18" w:rsidP="00EE0D7D">
            <w:r w:rsidRPr="00DE3551">
              <w:t>0.76 (0.03)</w:t>
            </w:r>
          </w:p>
        </w:tc>
        <w:tc>
          <w:tcPr>
            <w:tcW w:w="832" w:type="pct"/>
          </w:tcPr>
          <w:p w:rsidR="005D2B18" w:rsidRPr="00DE3551" w:rsidRDefault="005D2B18" w:rsidP="00EE0D7D">
            <w:r w:rsidRPr="00DE3551">
              <w:t>0.72 (0.05)</w:t>
            </w:r>
          </w:p>
        </w:tc>
      </w:tr>
      <w:tr w:rsidR="005D2B18" w:rsidRPr="00DE3551" w:rsidTr="00EE0D7D">
        <w:tc>
          <w:tcPr>
            <w:tcW w:w="1886" w:type="pct"/>
            <w:tcBorders>
              <w:bottom w:val="single" w:sz="4" w:space="0" w:color="auto"/>
            </w:tcBorders>
            <w:shd w:val="clear" w:color="auto" w:fill="auto"/>
          </w:tcPr>
          <w:p w:rsidR="005D2B18" w:rsidRPr="00DE3551" w:rsidRDefault="005D2B18" w:rsidP="00EE0D7D">
            <w:r w:rsidRPr="00DE3551">
              <w:t xml:space="preserve">[…] can make it easier for people to cope with back pain </w:t>
            </w:r>
          </w:p>
        </w:tc>
        <w:tc>
          <w:tcPr>
            <w:tcW w:w="880" w:type="pct"/>
            <w:tcBorders>
              <w:bottom w:val="single" w:sz="4" w:space="0" w:color="auto"/>
            </w:tcBorders>
          </w:tcPr>
          <w:p w:rsidR="005D2B18" w:rsidRPr="00DE3551" w:rsidRDefault="005D2B18" w:rsidP="00EE0D7D">
            <w:r w:rsidRPr="00DE3551">
              <w:t>0.54 (0.05)</w:t>
            </w:r>
          </w:p>
        </w:tc>
        <w:tc>
          <w:tcPr>
            <w:tcW w:w="701" w:type="pct"/>
            <w:tcBorders>
              <w:bottom w:val="single" w:sz="4" w:space="0" w:color="auto"/>
            </w:tcBorders>
          </w:tcPr>
          <w:p w:rsidR="005D2B18" w:rsidRPr="00DE3551" w:rsidRDefault="005D2B18" w:rsidP="00EE0D7D">
            <w:r w:rsidRPr="00DE3551">
              <w:t>0.66 (0.04)</w:t>
            </w:r>
          </w:p>
        </w:tc>
        <w:tc>
          <w:tcPr>
            <w:tcW w:w="701" w:type="pct"/>
            <w:tcBorders>
              <w:bottom w:val="single" w:sz="4" w:space="0" w:color="auto"/>
            </w:tcBorders>
          </w:tcPr>
          <w:p w:rsidR="005D2B18" w:rsidRPr="00DE3551" w:rsidRDefault="005D2B18" w:rsidP="00EE0D7D">
            <w:r w:rsidRPr="00DE3551">
              <w:t>0.70 (0.04)</w:t>
            </w:r>
          </w:p>
        </w:tc>
        <w:tc>
          <w:tcPr>
            <w:tcW w:w="832" w:type="pct"/>
            <w:tcBorders>
              <w:bottom w:val="single" w:sz="4" w:space="0" w:color="auto"/>
            </w:tcBorders>
          </w:tcPr>
          <w:p w:rsidR="005D2B18" w:rsidRPr="00DE3551" w:rsidRDefault="005D2B18" w:rsidP="00EE0D7D">
            <w:r w:rsidRPr="00DE3551">
              <w:t>0.73 (0.05)</w:t>
            </w:r>
          </w:p>
        </w:tc>
      </w:tr>
      <w:tr w:rsidR="005D2B18" w:rsidRPr="00DE3551" w:rsidTr="00EE0D7D">
        <w:tc>
          <w:tcPr>
            <w:tcW w:w="1886" w:type="pct"/>
            <w:tcBorders>
              <w:top w:val="single" w:sz="4" w:space="0" w:color="auto"/>
              <w:bottom w:val="single" w:sz="4" w:space="0" w:color="auto"/>
            </w:tcBorders>
            <w:shd w:val="clear" w:color="auto" w:fill="auto"/>
          </w:tcPr>
          <w:p w:rsidR="005D2B18" w:rsidRPr="00DE3551" w:rsidRDefault="005D2B18" w:rsidP="00EE0D7D">
            <w:r w:rsidRPr="00DE3551">
              <w:t>Concerns</w:t>
            </w:r>
          </w:p>
        </w:tc>
        <w:tc>
          <w:tcPr>
            <w:tcW w:w="880" w:type="pct"/>
            <w:tcBorders>
              <w:top w:val="single" w:sz="4" w:space="0" w:color="auto"/>
              <w:bottom w:val="single" w:sz="4" w:space="0" w:color="auto"/>
            </w:tcBorders>
          </w:tcPr>
          <w:p w:rsidR="005D2B18" w:rsidRPr="00DE3551" w:rsidRDefault="005D2B18" w:rsidP="00EE0D7D">
            <w:r w:rsidRPr="00DE3551">
              <w:t>0.46 (0.04)</w:t>
            </w:r>
          </w:p>
        </w:tc>
        <w:tc>
          <w:tcPr>
            <w:tcW w:w="701" w:type="pct"/>
            <w:tcBorders>
              <w:top w:val="single" w:sz="4" w:space="0" w:color="auto"/>
              <w:bottom w:val="single" w:sz="4" w:space="0" w:color="auto"/>
            </w:tcBorders>
          </w:tcPr>
          <w:p w:rsidR="005D2B18" w:rsidRPr="00DE3551" w:rsidRDefault="005D2B18" w:rsidP="00EE0D7D">
            <w:r w:rsidRPr="00DE3551">
              <w:t>0.62 (0.03)</w:t>
            </w:r>
          </w:p>
        </w:tc>
        <w:tc>
          <w:tcPr>
            <w:tcW w:w="701" w:type="pct"/>
            <w:tcBorders>
              <w:top w:val="single" w:sz="4" w:space="0" w:color="auto"/>
              <w:bottom w:val="single" w:sz="4" w:space="0" w:color="auto"/>
            </w:tcBorders>
          </w:tcPr>
          <w:p w:rsidR="005D2B18" w:rsidRPr="00DE3551" w:rsidRDefault="005D2B18" w:rsidP="00EE0D7D">
            <w:r w:rsidRPr="00DE3551">
              <w:t>0.48 (0.03)</w:t>
            </w:r>
          </w:p>
        </w:tc>
        <w:tc>
          <w:tcPr>
            <w:tcW w:w="832" w:type="pct"/>
            <w:tcBorders>
              <w:top w:val="single" w:sz="4" w:space="0" w:color="auto"/>
              <w:bottom w:val="single" w:sz="4" w:space="0" w:color="auto"/>
            </w:tcBorders>
          </w:tcPr>
          <w:p w:rsidR="005D2B18" w:rsidRPr="00DE3551" w:rsidRDefault="005D2B18" w:rsidP="00EE0D7D">
            <w:r w:rsidRPr="00DE3551">
              <w:t>0.64 (0.04)</w:t>
            </w:r>
          </w:p>
        </w:tc>
      </w:tr>
      <w:tr w:rsidR="005D2B18" w:rsidRPr="00DE3551" w:rsidTr="00EE0D7D">
        <w:tc>
          <w:tcPr>
            <w:tcW w:w="1886" w:type="pct"/>
            <w:tcBorders>
              <w:top w:val="single" w:sz="4" w:space="0" w:color="auto"/>
            </w:tcBorders>
            <w:shd w:val="clear" w:color="auto" w:fill="auto"/>
          </w:tcPr>
          <w:p w:rsidR="005D2B18" w:rsidRPr="00DE3551" w:rsidRDefault="005D2B18" w:rsidP="00EE0D7D">
            <w:r w:rsidRPr="00DE3551">
              <w:t>I worry that […] could make my back worse  (r)</w:t>
            </w:r>
          </w:p>
        </w:tc>
        <w:tc>
          <w:tcPr>
            <w:tcW w:w="880" w:type="pct"/>
            <w:tcBorders>
              <w:top w:val="single" w:sz="4" w:space="0" w:color="auto"/>
            </w:tcBorders>
          </w:tcPr>
          <w:p w:rsidR="005D2B18" w:rsidRPr="00DE3551" w:rsidRDefault="005D2B18" w:rsidP="00EE0D7D">
            <w:pPr>
              <w:rPr>
                <w:i/>
              </w:rPr>
            </w:pPr>
            <w:r w:rsidRPr="00DE3551">
              <w:rPr>
                <w:i/>
              </w:rPr>
              <w:t>0.35 (0.04)</w:t>
            </w:r>
          </w:p>
        </w:tc>
        <w:tc>
          <w:tcPr>
            <w:tcW w:w="701" w:type="pct"/>
            <w:tcBorders>
              <w:top w:val="single" w:sz="4" w:space="0" w:color="auto"/>
            </w:tcBorders>
          </w:tcPr>
          <w:p w:rsidR="005D2B18" w:rsidRPr="00DE3551" w:rsidRDefault="005D2B18" w:rsidP="00EE0D7D">
            <w:r w:rsidRPr="00DE3551">
              <w:t>0.61 (0.04)</w:t>
            </w:r>
          </w:p>
        </w:tc>
        <w:tc>
          <w:tcPr>
            <w:tcW w:w="701" w:type="pct"/>
            <w:tcBorders>
              <w:top w:val="single" w:sz="4" w:space="0" w:color="auto"/>
            </w:tcBorders>
          </w:tcPr>
          <w:p w:rsidR="005D2B18" w:rsidRPr="00DE3551" w:rsidRDefault="005D2B18" w:rsidP="00EE0D7D">
            <w:r w:rsidRPr="00DE3551">
              <w:t>0.60 (0.03)</w:t>
            </w:r>
          </w:p>
        </w:tc>
        <w:tc>
          <w:tcPr>
            <w:tcW w:w="832" w:type="pct"/>
            <w:tcBorders>
              <w:top w:val="single" w:sz="4" w:space="0" w:color="auto"/>
            </w:tcBorders>
          </w:tcPr>
          <w:p w:rsidR="005D2B18" w:rsidRPr="00DE3551" w:rsidRDefault="005D2B18" w:rsidP="00EE0D7D">
            <w:r w:rsidRPr="00DE3551">
              <w:t>0.62 (0.04)</w:t>
            </w:r>
          </w:p>
        </w:tc>
      </w:tr>
      <w:tr w:rsidR="005D2B18" w:rsidRPr="00DE3551" w:rsidTr="00EE0D7D">
        <w:tc>
          <w:tcPr>
            <w:tcW w:w="1886" w:type="pct"/>
            <w:shd w:val="clear" w:color="auto" w:fill="auto"/>
          </w:tcPr>
          <w:p w:rsidR="005D2B18" w:rsidRPr="00DE3551" w:rsidRDefault="005D2B18" w:rsidP="00EE0D7D">
            <w:r w:rsidRPr="00DE3551">
              <w:t>I have concerns about taking/having […] for my back pain (r)</w:t>
            </w:r>
          </w:p>
        </w:tc>
        <w:tc>
          <w:tcPr>
            <w:tcW w:w="880" w:type="pct"/>
          </w:tcPr>
          <w:p w:rsidR="005D2B18" w:rsidRPr="00DE3551" w:rsidRDefault="005D2B18" w:rsidP="00EE0D7D">
            <w:r w:rsidRPr="00DE3551">
              <w:t>0.51 (0.04)</w:t>
            </w:r>
          </w:p>
        </w:tc>
        <w:tc>
          <w:tcPr>
            <w:tcW w:w="701" w:type="pct"/>
          </w:tcPr>
          <w:p w:rsidR="005D2B18" w:rsidRPr="00DE3551" w:rsidRDefault="005D2B18" w:rsidP="00EE0D7D">
            <w:r w:rsidRPr="00DE3551">
              <w:t>0.68 (0.03)</w:t>
            </w:r>
          </w:p>
        </w:tc>
        <w:tc>
          <w:tcPr>
            <w:tcW w:w="701" w:type="pct"/>
          </w:tcPr>
          <w:p w:rsidR="005D2B18" w:rsidRPr="00DE3551" w:rsidRDefault="005D2B18" w:rsidP="00EE0D7D">
            <w:r w:rsidRPr="00DE3551">
              <w:t>0.59 (0.03)</w:t>
            </w:r>
          </w:p>
        </w:tc>
        <w:tc>
          <w:tcPr>
            <w:tcW w:w="832" w:type="pct"/>
          </w:tcPr>
          <w:p w:rsidR="005D2B18" w:rsidRPr="00DE3551" w:rsidRDefault="005D2B18" w:rsidP="00EE0D7D">
            <w:r w:rsidRPr="00DE3551">
              <w:t>0.69 (0.03)</w:t>
            </w:r>
          </w:p>
        </w:tc>
      </w:tr>
      <w:tr w:rsidR="005D2B18" w:rsidRPr="00DE3551" w:rsidTr="00EE0D7D">
        <w:tc>
          <w:tcPr>
            <w:tcW w:w="1886" w:type="pct"/>
            <w:shd w:val="clear" w:color="auto" w:fill="auto"/>
          </w:tcPr>
          <w:p w:rsidR="005D2B18" w:rsidRPr="00DE3551" w:rsidRDefault="005D2B18" w:rsidP="00EE0D7D">
            <w:r w:rsidRPr="00DE3551">
              <w:t>I would feel at ease about taking/having […] for my back pain</w:t>
            </w:r>
          </w:p>
        </w:tc>
        <w:tc>
          <w:tcPr>
            <w:tcW w:w="880" w:type="pct"/>
          </w:tcPr>
          <w:p w:rsidR="005D2B18" w:rsidRPr="00DE3551" w:rsidRDefault="005D2B18" w:rsidP="00EE0D7D">
            <w:r w:rsidRPr="00DE3551">
              <w:t>0.50 (0.04)</w:t>
            </w:r>
          </w:p>
        </w:tc>
        <w:tc>
          <w:tcPr>
            <w:tcW w:w="701" w:type="pct"/>
          </w:tcPr>
          <w:p w:rsidR="005D2B18" w:rsidRPr="00DE3551" w:rsidRDefault="005D2B18" w:rsidP="00EE0D7D">
            <w:r w:rsidRPr="00DE3551">
              <w:t>0.64 (0.04)</w:t>
            </w:r>
          </w:p>
        </w:tc>
        <w:tc>
          <w:tcPr>
            <w:tcW w:w="701" w:type="pct"/>
          </w:tcPr>
          <w:p w:rsidR="005D2B18" w:rsidRPr="00DE3551" w:rsidRDefault="005D2B18" w:rsidP="00EE0D7D">
            <w:r w:rsidRPr="00DE3551">
              <w:t>0.58 (0.03)</w:t>
            </w:r>
          </w:p>
        </w:tc>
        <w:tc>
          <w:tcPr>
            <w:tcW w:w="832" w:type="pct"/>
          </w:tcPr>
          <w:p w:rsidR="005D2B18" w:rsidRPr="00DE3551" w:rsidRDefault="005D2B18" w:rsidP="00EE0D7D">
            <w:r w:rsidRPr="00DE3551">
              <w:t>0.62 (0.04)</w:t>
            </w:r>
          </w:p>
        </w:tc>
      </w:tr>
      <w:tr w:rsidR="005D2B18" w:rsidRPr="00DE3551" w:rsidTr="00EE0D7D">
        <w:tc>
          <w:tcPr>
            <w:tcW w:w="1886" w:type="pct"/>
            <w:shd w:val="clear" w:color="auto" w:fill="auto"/>
          </w:tcPr>
          <w:p w:rsidR="005D2B18" w:rsidRPr="00DE3551" w:rsidRDefault="005D2B18" w:rsidP="00EE0D7D">
            <w:r w:rsidRPr="00DE3551">
              <w:t>I feel that […] would not harm me</w:t>
            </w:r>
          </w:p>
        </w:tc>
        <w:tc>
          <w:tcPr>
            <w:tcW w:w="880" w:type="pct"/>
            <w:shd w:val="clear" w:color="auto" w:fill="auto"/>
          </w:tcPr>
          <w:p w:rsidR="005D2B18" w:rsidRPr="00DE3551" w:rsidRDefault="005D2B18" w:rsidP="00EE0D7D">
            <w:r w:rsidRPr="00DE3551">
              <w:t>0.48 (0.04)</w:t>
            </w:r>
          </w:p>
        </w:tc>
        <w:tc>
          <w:tcPr>
            <w:tcW w:w="701" w:type="pct"/>
            <w:shd w:val="clear" w:color="auto" w:fill="auto"/>
          </w:tcPr>
          <w:p w:rsidR="005D2B18" w:rsidRPr="00DE3551" w:rsidRDefault="005D2B18" w:rsidP="00EE0D7D">
            <w:pPr>
              <w:rPr>
                <w:i/>
              </w:rPr>
            </w:pPr>
            <w:r w:rsidRPr="00DE3551">
              <w:rPr>
                <w:i/>
              </w:rPr>
              <w:t>0.55 (0.05)</w:t>
            </w:r>
          </w:p>
        </w:tc>
        <w:tc>
          <w:tcPr>
            <w:tcW w:w="701" w:type="pct"/>
            <w:shd w:val="clear" w:color="auto" w:fill="auto"/>
          </w:tcPr>
          <w:p w:rsidR="005D2B18" w:rsidRPr="00DE3551" w:rsidRDefault="005D2B18" w:rsidP="00EE0D7D">
            <w:r w:rsidRPr="00DE3551">
              <w:t>0.52 (0.03)</w:t>
            </w:r>
          </w:p>
        </w:tc>
        <w:tc>
          <w:tcPr>
            <w:tcW w:w="832" w:type="pct"/>
            <w:shd w:val="clear" w:color="auto" w:fill="auto"/>
          </w:tcPr>
          <w:p w:rsidR="005D2B18" w:rsidRPr="00DE3551" w:rsidRDefault="005D2B18" w:rsidP="00EE0D7D">
            <w:r w:rsidRPr="00DE3551">
              <w:t>0.60 (0.05)</w:t>
            </w:r>
          </w:p>
        </w:tc>
      </w:tr>
      <w:tr w:rsidR="005D2B18" w:rsidRPr="00DE3551" w:rsidTr="00EE0D7D">
        <w:tc>
          <w:tcPr>
            <w:tcW w:w="1886" w:type="pct"/>
            <w:tcBorders>
              <w:top w:val="single" w:sz="4" w:space="0" w:color="auto"/>
              <w:bottom w:val="single" w:sz="4" w:space="0" w:color="auto"/>
            </w:tcBorders>
            <w:shd w:val="clear" w:color="auto" w:fill="auto"/>
          </w:tcPr>
          <w:p w:rsidR="005D2B18" w:rsidRPr="00DE3551" w:rsidRDefault="005D2B18" w:rsidP="00EE0D7D">
            <w:r>
              <w:t>Individual f</w:t>
            </w:r>
            <w:r w:rsidRPr="00DE3551">
              <w:t>it</w:t>
            </w:r>
          </w:p>
        </w:tc>
        <w:tc>
          <w:tcPr>
            <w:tcW w:w="880" w:type="pct"/>
            <w:tcBorders>
              <w:top w:val="single" w:sz="4" w:space="0" w:color="auto"/>
              <w:bottom w:val="single" w:sz="4" w:space="0" w:color="auto"/>
            </w:tcBorders>
          </w:tcPr>
          <w:p w:rsidR="005D2B18" w:rsidRPr="00DE3551" w:rsidRDefault="005D2B18" w:rsidP="00EE0D7D">
            <w:r w:rsidRPr="00DE3551">
              <w:t>0.69 (0.03)</w:t>
            </w:r>
          </w:p>
        </w:tc>
        <w:tc>
          <w:tcPr>
            <w:tcW w:w="701" w:type="pct"/>
            <w:tcBorders>
              <w:top w:val="single" w:sz="4" w:space="0" w:color="auto"/>
              <w:bottom w:val="single" w:sz="4" w:space="0" w:color="auto"/>
            </w:tcBorders>
          </w:tcPr>
          <w:p w:rsidR="005D2B18" w:rsidRPr="00DE3551" w:rsidRDefault="005D2B18" w:rsidP="00EE0D7D">
            <w:r w:rsidRPr="00DE3551">
              <w:t>0.76 (0.03)</w:t>
            </w:r>
          </w:p>
        </w:tc>
        <w:tc>
          <w:tcPr>
            <w:tcW w:w="701" w:type="pct"/>
            <w:tcBorders>
              <w:top w:val="single" w:sz="4" w:space="0" w:color="auto"/>
              <w:bottom w:val="single" w:sz="4" w:space="0" w:color="auto"/>
            </w:tcBorders>
          </w:tcPr>
          <w:p w:rsidR="005D2B18" w:rsidRPr="00DE3551" w:rsidRDefault="005D2B18" w:rsidP="00EE0D7D">
            <w:r w:rsidRPr="00DE3551">
              <w:t>0.85 (0.02)</w:t>
            </w:r>
          </w:p>
        </w:tc>
        <w:tc>
          <w:tcPr>
            <w:tcW w:w="832" w:type="pct"/>
            <w:tcBorders>
              <w:top w:val="single" w:sz="4" w:space="0" w:color="auto"/>
              <w:bottom w:val="single" w:sz="4" w:space="0" w:color="auto"/>
            </w:tcBorders>
          </w:tcPr>
          <w:p w:rsidR="005D2B18" w:rsidRPr="00DE3551" w:rsidRDefault="005D2B18" w:rsidP="00EE0D7D">
            <w:r w:rsidRPr="00DE3551">
              <w:t>0.71 (0.04)</w:t>
            </w:r>
          </w:p>
        </w:tc>
      </w:tr>
      <w:tr w:rsidR="005D2B18" w:rsidRPr="00DE3551" w:rsidTr="00EE0D7D">
        <w:tc>
          <w:tcPr>
            <w:tcW w:w="1886" w:type="pct"/>
            <w:tcBorders>
              <w:top w:val="single" w:sz="4" w:space="0" w:color="auto"/>
            </w:tcBorders>
            <w:shd w:val="clear" w:color="auto" w:fill="auto"/>
          </w:tcPr>
          <w:p w:rsidR="005D2B18" w:rsidRPr="00DE3551" w:rsidRDefault="005D2B18" w:rsidP="00EE0D7D">
            <w:r w:rsidRPr="00DE3551">
              <w:t>I think […] could suit me as a treatment for my back pain</w:t>
            </w:r>
          </w:p>
        </w:tc>
        <w:tc>
          <w:tcPr>
            <w:tcW w:w="880" w:type="pct"/>
            <w:tcBorders>
              <w:top w:val="single" w:sz="4" w:space="0" w:color="auto"/>
            </w:tcBorders>
          </w:tcPr>
          <w:p w:rsidR="005D2B18" w:rsidRPr="00DE3551" w:rsidRDefault="005D2B18" w:rsidP="00EE0D7D">
            <w:r w:rsidRPr="00DE3551">
              <w:t>0.68 (0.03)</w:t>
            </w:r>
          </w:p>
        </w:tc>
        <w:tc>
          <w:tcPr>
            <w:tcW w:w="701" w:type="pct"/>
            <w:tcBorders>
              <w:top w:val="single" w:sz="4" w:space="0" w:color="auto"/>
            </w:tcBorders>
          </w:tcPr>
          <w:p w:rsidR="005D2B18" w:rsidRPr="00DE3551" w:rsidRDefault="005D2B18" w:rsidP="00EE0D7D">
            <w:r w:rsidRPr="00DE3551">
              <w:t>0.74 (0.03)</w:t>
            </w:r>
          </w:p>
        </w:tc>
        <w:tc>
          <w:tcPr>
            <w:tcW w:w="701" w:type="pct"/>
            <w:tcBorders>
              <w:top w:val="single" w:sz="4" w:space="0" w:color="auto"/>
            </w:tcBorders>
          </w:tcPr>
          <w:p w:rsidR="005D2B18" w:rsidRPr="00DE3551" w:rsidRDefault="005D2B18" w:rsidP="00EE0D7D">
            <w:r w:rsidRPr="00DE3551">
              <w:t>0.84 (0.03)</w:t>
            </w:r>
          </w:p>
        </w:tc>
        <w:tc>
          <w:tcPr>
            <w:tcW w:w="832" w:type="pct"/>
            <w:tcBorders>
              <w:top w:val="single" w:sz="4" w:space="0" w:color="auto"/>
            </w:tcBorders>
          </w:tcPr>
          <w:p w:rsidR="005D2B18" w:rsidRPr="00DE3551" w:rsidRDefault="005D2B18" w:rsidP="00EE0D7D">
            <w:pPr>
              <w:rPr>
                <w:b/>
                <w:i/>
              </w:rPr>
            </w:pPr>
            <w:r w:rsidRPr="00DE3551">
              <w:rPr>
                <w:b/>
                <w:i/>
              </w:rPr>
              <w:t>0.72 (0.04)</w:t>
            </w:r>
          </w:p>
        </w:tc>
      </w:tr>
      <w:tr w:rsidR="005D2B18" w:rsidRPr="00DE3551" w:rsidTr="00EE0D7D">
        <w:tc>
          <w:tcPr>
            <w:tcW w:w="1886" w:type="pct"/>
            <w:shd w:val="clear" w:color="auto" w:fill="auto"/>
          </w:tcPr>
          <w:p w:rsidR="005D2B18" w:rsidRPr="00DE3551" w:rsidRDefault="005D2B18" w:rsidP="00EE0D7D">
            <w:r w:rsidRPr="00DE3551">
              <w:t>For me, taking/having […] would be a waste of time (r)</w:t>
            </w:r>
          </w:p>
        </w:tc>
        <w:tc>
          <w:tcPr>
            <w:tcW w:w="880" w:type="pct"/>
          </w:tcPr>
          <w:p w:rsidR="005D2B18" w:rsidRPr="00DE3551" w:rsidRDefault="005D2B18" w:rsidP="00EE0D7D">
            <w:r w:rsidRPr="00DE3551">
              <w:t>0.70 (0.04)</w:t>
            </w:r>
          </w:p>
        </w:tc>
        <w:tc>
          <w:tcPr>
            <w:tcW w:w="701" w:type="pct"/>
          </w:tcPr>
          <w:p w:rsidR="005D2B18" w:rsidRPr="00DE3551" w:rsidRDefault="005D2B18" w:rsidP="00EE0D7D">
            <w:r w:rsidRPr="00DE3551">
              <w:t>0.77 (0.03)</w:t>
            </w:r>
          </w:p>
        </w:tc>
        <w:tc>
          <w:tcPr>
            <w:tcW w:w="701" w:type="pct"/>
          </w:tcPr>
          <w:p w:rsidR="005D2B18" w:rsidRPr="00DE3551" w:rsidRDefault="005D2B18" w:rsidP="00EE0D7D">
            <w:r w:rsidRPr="00DE3551">
              <w:t>0.87 (0.02)</w:t>
            </w:r>
          </w:p>
        </w:tc>
        <w:tc>
          <w:tcPr>
            <w:tcW w:w="832" w:type="pct"/>
          </w:tcPr>
          <w:p w:rsidR="005D2B18" w:rsidRPr="00DE3551" w:rsidRDefault="005D2B18" w:rsidP="00EE0D7D">
            <w:r w:rsidRPr="00DE3551">
              <w:t>0.73 (0.04)</w:t>
            </w:r>
          </w:p>
        </w:tc>
      </w:tr>
      <w:tr w:rsidR="005D2B18" w:rsidRPr="00DE3551" w:rsidTr="00EE0D7D">
        <w:tc>
          <w:tcPr>
            <w:tcW w:w="1886" w:type="pct"/>
            <w:shd w:val="clear" w:color="auto" w:fill="auto"/>
          </w:tcPr>
          <w:p w:rsidR="005D2B18" w:rsidRPr="00DE3551" w:rsidRDefault="005D2B18" w:rsidP="00EE0D7D">
            <w:r w:rsidRPr="00DE3551">
              <w:t>I am confident […] would be a suitable treatment for my back pain</w:t>
            </w:r>
          </w:p>
        </w:tc>
        <w:tc>
          <w:tcPr>
            <w:tcW w:w="880" w:type="pct"/>
          </w:tcPr>
          <w:p w:rsidR="005D2B18" w:rsidRPr="00DE3551" w:rsidRDefault="005D2B18" w:rsidP="00EE0D7D">
            <w:r w:rsidRPr="00DE3551">
              <w:t>0.69 (0.03)</w:t>
            </w:r>
          </w:p>
        </w:tc>
        <w:tc>
          <w:tcPr>
            <w:tcW w:w="701" w:type="pct"/>
          </w:tcPr>
          <w:p w:rsidR="005D2B18" w:rsidRPr="00DE3551" w:rsidRDefault="005D2B18" w:rsidP="00EE0D7D">
            <w:r w:rsidRPr="00DE3551">
              <w:t>0.77 (0.03)</w:t>
            </w:r>
          </w:p>
        </w:tc>
        <w:tc>
          <w:tcPr>
            <w:tcW w:w="701" w:type="pct"/>
          </w:tcPr>
          <w:p w:rsidR="005D2B18" w:rsidRPr="00DE3551" w:rsidRDefault="005D2B18" w:rsidP="00EE0D7D">
            <w:r w:rsidRPr="00DE3551">
              <w:t>0.86 (0.02)</w:t>
            </w:r>
          </w:p>
        </w:tc>
        <w:tc>
          <w:tcPr>
            <w:tcW w:w="832" w:type="pct"/>
          </w:tcPr>
          <w:p w:rsidR="005D2B18" w:rsidRPr="00DE3551" w:rsidRDefault="005D2B18" w:rsidP="00EE0D7D">
            <w:r w:rsidRPr="00DE3551">
              <w:t>0.74 (0.04)</w:t>
            </w:r>
          </w:p>
        </w:tc>
      </w:tr>
      <w:tr w:rsidR="005D2B18" w:rsidRPr="00DE3551" w:rsidTr="00EE0D7D">
        <w:tc>
          <w:tcPr>
            <w:tcW w:w="1886" w:type="pct"/>
            <w:tcBorders>
              <w:bottom w:val="single" w:sz="4" w:space="0" w:color="auto"/>
            </w:tcBorders>
            <w:shd w:val="clear" w:color="auto" w:fill="auto"/>
          </w:tcPr>
          <w:p w:rsidR="005D2B18" w:rsidRPr="00DE3551" w:rsidRDefault="005D2B18" w:rsidP="00EE0D7D">
            <w:r w:rsidRPr="00DE3551">
              <w:t>Given what I know about my back pain, I doubt […] would be right for me (r)</w:t>
            </w:r>
          </w:p>
        </w:tc>
        <w:tc>
          <w:tcPr>
            <w:tcW w:w="880" w:type="pct"/>
            <w:tcBorders>
              <w:bottom w:val="single" w:sz="4" w:space="0" w:color="auto"/>
            </w:tcBorders>
            <w:shd w:val="clear" w:color="auto" w:fill="auto"/>
          </w:tcPr>
          <w:p w:rsidR="005D2B18" w:rsidRPr="00DE3551" w:rsidRDefault="005D2B18" w:rsidP="00EE0D7D">
            <w:r w:rsidRPr="00DE3551">
              <w:t>0.68 (0.03)</w:t>
            </w:r>
          </w:p>
        </w:tc>
        <w:tc>
          <w:tcPr>
            <w:tcW w:w="701" w:type="pct"/>
            <w:tcBorders>
              <w:bottom w:val="single" w:sz="4" w:space="0" w:color="auto"/>
            </w:tcBorders>
            <w:shd w:val="clear" w:color="auto" w:fill="auto"/>
          </w:tcPr>
          <w:p w:rsidR="005D2B18" w:rsidRPr="00DE3551" w:rsidRDefault="005D2B18" w:rsidP="00EE0D7D">
            <w:r w:rsidRPr="00DE3551">
              <w:t>0.75 (0.03)</w:t>
            </w:r>
          </w:p>
        </w:tc>
        <w:tc>
          <w:tcPr>
            <w:tcW w:w="701" w:type="pct"/>
            <w:tcBorders>
              <w:bottom w:val="single" w:sz="4" w:space="0" w:color="auto"/>
            </w:tcBorders>
            <w:shd w:val="clear" w:color="auto" w:fill="auto"/>
          </w:tcPr>
          <w:p w:rsidR="005D2B18" w:rsidRPr="00DE3551" w:rsidRDefault="005D2B18" w:rsidP="00EE0D7D">
            <w:r w:rsidRPr="00DE3551">
              <w:t>0.83 (0.03)</w:t>
            </w:r>
          </w:p>
        </w:tc>
        <w:tc>
          <w:tcPr>
            <w:tcW w:w="832" w:type="pct"/>
            <w:tcBorders>
              <w:bottom w:val="single" w:sz="4" w:space="0" w:color="auto"/>
            </w:tcBorders>
            <w:shd w:val="clear" w:color="auto" w:fill="auto"/>
          </w:tcPr>
          <w:p w:rsidR="005D2B18" w:rsidRPr="00DE3551" w:rsidRDefault="005D2B18" w:rsidP="00EE0D7D">
            <w:pPr>
              <w:rPr>
                <w:b/>
                <w:i/>
              </w:rPr>
            </w:pPr>
            <w:r w:rsidRPr="00DE3551">
              <w:rPr>
                <w:b/>
                <w:i/>
              </w:rPr>
              <w:t>0.66 (0.05)</w:t>
            </w:r>
          </w:p>
        </w:tc>
      </w:tr>
    </w:tbl>
    <w:p w:rsidR="005D2B18" w:rsidRDefault="005D2B18" w:rsidP="005D2B18">
      <w:r w:rsidRPr="00EA5AE8">
        <w:t>Note:</w:t>
      </w:r>
      <w:r>
        <w:t xml:space="preserve"> Higher scores represent better homogeneity.</w:t>
      </w:r>
      <w:r w:rsidRPr="00EA5AE8">
        <w:t xml:space="preserve"> </w:t>
      </w:r>
      <w:r>
        <w:t xml:space="preserve">Italic font is </w:t>
      </w:r>
      <w:r w:rsidRPr="00B20CC8">
        <w:t xml:space="preserve">used for items with violations of </w:t>
      </w:r>
      <w:proofErr w:type="spellStart"/>
      <w:proofErr w:type="gramStart"/>
      <w:r w:rsidRPr="00B20CC8">
        <w:t>monotonicity</w:t>
      </w:r>
      <w:proofErr w:type="spellEnd"/>
      <w:r w:rsidRPr="00B20CC8">
        <w:t>,</w:t>
      </w:r>
      <w:proofErr w:type="gramEnd"/>
      <w:r w:rsidRPr="00B20CC8">
        <w:t xml:space="preserve"> bold font represents significant violations (at default rest group </w:t>
      </w:r>
      <w:proofErr w:type="spellStart"/>
      <w:r w:rsidRPr="00B20CC8">
        <w:t>minsize</w:t>
      </w:r>
      <w:proofErr w:type="spellEnd"/>
      <w:r w:rsidRPr="00B20CC8">
        <w:t>).</w:t>
      </w:r>
      <w:r w:rsidRPr="00C20634">
        <w:t xml:space="preserve"> </w:t>
      </w:r>
      <w:r>
        <w:t xml:space="preserve">Items excluded during these analyses:  […] can help people with back pain to get on with </w:t>
      </w:r>
      <w:r>
        <w:lastRenderedPageBreak/>
        <w:t>their lives; I think I would find it unpleasant to take/have […] for my back pain (r); I am worried that I cannot afford to pay for […] (r); I think […] would not work for my back pain (r)</w:t>
      </w:r>
    </w:p>
    <w:p w:rsidR="005D2B18" w:rsidRPr="008B19F2" w:rsidRDefault="005D2B18" w:rsidP="005D2B18">
      <w:pPr>
        <w:spacing w:line="480" w:lineRule="auto"/>
      </w:pPr>
    </w:p>
    <w:p w:rsidR="005D2B18" w:rsidRDefault="005D2B18" w:rsidP="005D2B18">
      <w:pPr>
        <w:spacing w:line="480" w:lineRule="auto"/>
        <w:sectPr w:rsidR="005D2B18" w:rsidSect="00754BCE">
          <w:footerReference w:type="default" r:id="rId16"/>
          <w:pgSz w:w="11906" w:h="16838"/>
          <w:pgMar w:top="1440" w:right="1440" w:bottom="1440" w:left="1440" w:header="708" w:footer="708" w:gutter="0"/>
          <w:cols w:space="708"/>
          <w:docGrid w:linePitch="360"/>
        </w:sectPr>
      </w:pPr>
    </w:p>
    <w:p w:rsidR="005D2B18" w:rsidRPr="00387022" w:rsidRDefault="005D2B18" w:rsidP="005D2B18">
      <w:pPr>
        <w:spacing w:line="480" w:lineRule="auto"/>
        <w:rPr>
          <w:u w:val="single"/>
        </w:rPr>
      </w:pPr>
      <w:proofErr w:type="gramStart"/>
      <w:r w:rsidRPr="00387022">
        <w:rPr>
          <w:u w:val="single"/>
        </w:rPr>
        <w:lastRenderedPageBreak/>
        <w:t>Table 3.</w:t>
      </w:r>
      <w:proofErr w:type="gramEnd"/>
      <w:r w:rsidRPr="00387022">
        <w:rPr>
          <w:u w:val="single"/>
        </w:rPr>
        <w:t xml:space="preserve"> LBP-TBQ</w:t>
      </w:r>
      <w:r w:rsidRPr="00387022" w:rsidDel="007B3A6E">
        <w:rPr>
          <w:u w:val="single"/>
        </w:rPr>
        <w:t xml:space="preserve"> </w:t>
      </w:r>
      <w:r w:rsidRPr="00387022">
        <w:rPr>
          <w:u w:val="single"/>
        </w:rPr>
        <w:t xml:space="preserve">Subscales Means (M), Standard Deviations (SD), Stability and </w:t>
      </w:r>
      <w:proofErr w:type="spellStart"/>
      <w:r w:rsidRPr="00387022">
        <w:rPr>
          <w:u w:val="single"/>
        </w:rPr>
        <w:t>Cronbach</w:t>
      </w:r>
      <w:proofErr w:type="spellEnd"/>
      <w:r w:rsidRPr="00387022">
        <w:rPr>
          <w:u w:val="single"/>
        </w:rPr>
        <w:t xml:space="preserve"> α</w:t>
      </w:r>
    </w:p>
    <w:tbl>
      <w:tblPr>
        <w:tblW w:w="4990" w:type="pct"/>
        <w:tblInd w:w="108" w:type="dxa"/>
        <w:tblLayout w:type="fixed"/>
        <w:tblLook w:val="01E0"/>
      </w:tblPr>
      <w:tblGrid>
        <w:gridCol w:w="2834"/>
        <w:gridCol w:w="1398"/>
        <w:gridCol w:w="566"/>
        <w:gridCol w:w="852"/>
        <w:gridCol w:w="1392"/>
        <w:gridCol w:w="710"/>
        <w:gridCol w:w="750"/>
        <w:gridCol w:w="1369"/>
        <w:gridCol w:w="566"/>
        <w:gridCol w:w="854"/>
        <w:gridCol w:w="1412"/>
        <w:gridCol w:w="659"/>
        <w:gridCol w:w="784"/>
      </w:tblGrid>
      <w:tr w:rsidR="005D2B18" w:rsidRPr="00DE3551" w:rsidTr="00EE0D7D">
        <w:tc>
          <w:tcPr>
            <w:tcW w:w="1002" w:type="pct"/>
            <w:tcBorders>
              <w:top w:val="single" w:sz="4" w:space="0" w:color="auto"/>
            </w:tcBorders>
            <w:shd w:val="clear" w:color="auto" w:fill="auto"/>
          </w:tcPr>
          <w:p w:rsidR="005D2B18" w:rsidRPr="00DE3551" w:rsidRDefault="005D2B18" w:rsidP="00EE0D7D">
            <w:pPr>
              <w:ind w:right="-108"/>
            </w:pPr>
          </w:p>
        </w:tc>
        <w:tc>
          <w:tcPr>
            <w:tcW w:w="994" w:type="pct"/>
            <w:gridSpan w:val="3"/>
            <w:tcBorders>
              <w:top w:val="single" w:sz="4" w:space="0" w:color="auto"/>
            </w:tcBorders>
          </w:tcPr>
          <w:p w:rsidR="005D2B18" w:rsidRPr="00DE3551" w:rsidRDefault="005D2B18" w:rsidP="00EE0D7D">
            <w:r>
              <w:t xml:space="preserve">Pain </w:t>
            </w:r>
            <w:r w:rsidRPr="00DE3551">
              <w:t>Medication</w:t>
            </w:r>
          </w:p>
        </w:tc>
        <w:tc>
          <w:tcPr>
            <w:tcW w:w="1008" w:type="pct"/>
            <w:gridSpan w:val="3"/>
            <w:tcBorders>
              <w:top w:val="single" w:sz="4" w:space="0" w:color="auto"/>
            </w:tcBorders>
          </w:tcPr>
          <w:p w:rsidR="005D2B18" w:rsidRPr="00DE3551" w:rsidRDefault="005D2B18" w:rsidP="00EE0D7D">
            <w:r w:rsidRPr="00DE3551">
              <w:t>Exercise</w:t>
            </w:r>
          </w:p>
        </w:tc>
        <w:tc>
          <w:tcPr>
            <w:tcW w:w="985" w:type="pct"/>
            <w:gridSpan w:val="3"/>
            <w:tcBorders>
              <w:top w:val="single" w:sz="4" w:space="0" w:color="auto"/>
            </w:tcBorders>
          </w:tcPr>
          <w:p w:rsidR="005D2B18" w:rsidRPr="00DE3551" w:rsidRDefault="005D2B18" w:rsidP="00EE0D7D">
            <w:r w:rsidRPr="00DE3551">
              <w:t>Manual Therapy</w:t>
            </w:r>
          </w:p>
        </w:tc>
        <w:tc>
          <w:tcPr>
            <w:tcW w:w="1011" w:type="pct"/>
            <w:gridSpan w:val="3"/>
            <w:tcBorders>
              <w:top w:val="single" w:sz="4" w:space="0" w:color="auto"/>
            </w:tcBorders>
          </w:tcPr>
          <w:p w:rsidR="005D2B18" w:rsidRPr="00DE3551" w:rsidRDefault="005D2B18" w:rsidP="00EE0D7D">
            <w:r w:rsidRPr="00DE3551">
              <w:t>Acupuncture</w:t>
            </w:r>
          </w:p>
        </w:tc>
      </w:tr>
      <w:tr w:rsidR="005D2B18" w:rsidRPr="00DE3551" w:rsidTr="00EE0D7D">
        <w:tc>
          <w:tcPr>
            <w:tcW w:w="1002" w:type="pct"/>
            <w:tcBorders>
              <w:bottom w:val="single" w:sz="4" w:space="0" w:color="auto"/>
            </w:tcBorders>
            <w:shd w:val="clear" w:color="auto" w:fill="auto"/>
          </w:tcPr>
          <w:p w:rsidR="005D2B18" w:rsidRPr="00DE3551" w:rsidRDefault="005D2B18" w:rsidP="00EE0D7D">
            <w:pPr>
              <w:ind w:right="-108"/>
            </w:pPr>
            <w:r>
              <w:t>Scale/Item</w:t>
            </w:r>
          </w:p>
        </w:tc>
        <w:tc>
          <w:tcPr>
            <w:tcW w:w="494" w:type="pct"/>
            <w:tcBorders>
              <w:bottom w:val="single" w:sz="4" w:space="0" w:color="auto"/>
            </w:tcBorders>
          </w:tcPr>
          <w:p w:rsidR="005D2B18" w:rsidRPr="00DE3551" w:rsidRDefault="005D2B18" w:rsidP="00EE0D7D">
            <w:r w:rsidRPr="00DE3551">
              <w:t>M(SD)</w:t>
            </w:r>
          </w:p>
        </w:tc>
        <w:tc>
          <w:tcPr>
            <w:tcW w:w="200" w:type="pct"/>
            <w:tcBorders>
              <w:bottom w:val="single" w:sz="4" w:space="0" w:color="auto"/>
            </w:tcBorders>
          </w:tcPr>
          <w:p w:rsidR="005D2B18" w:rsidRPr="00DE3551" w:rsidRDefault="005D2B18" w:rsidP="00EE0D7D">
            <w:proofErr w:type="spellStart"/>
            <w:r w:rsidRPr="00DE3551">
              <w:t>α</w:t>
            </w:r>
            <w:r>
              <w:rPr>
                <w:vertAlign w:val="superscript"/>
              </w:rPr>
              <w:t>a</w:t>
            </w:r>
            <w:proofErr w:type="spellEnd"/>
          </w:p>
        </w:tc>
        <w:tc>
          <w:tcPr>
            <w:tcW w:w="301" w:type="pct"/>
            <w:tcBorders>
              <w:bottom w:val="single" w:sz="4" w:space="0" w:color="auto"/>
            </w:tcBorders>
          </w:tcPr>
          <w:p w:rsidR="005D2B18" w:rsidRPr="00DE3551" w:rsidRDefault="005D2B18" w:rsidP="00EE0D7D">
            <w:r>
              <w:t>Test-retest</w:t>
            </w:r>
          </w:p>
        </w:tc>
        <w:tc>
          <w:tcPr>
            <w:tcW w:w="492" w:type="pct"/>
            <w:tcBorders>
              <w:bottom w:val="single" w:sz="4" w:space="0" w:color="auto"/>
            </w:tcBorders>
          </w:tcPr>
          <w:p w:rsidR="005D2B18" w:rsidRPr="00DE3551" w:rsidRDefault="005D2B18" w:rsidP="00EE0D7D">
            <w:r w:rsidRPr="00DE3551">
              <w:t>M(SD)</w:t>
            </w:r>
          </w:p>
        </w:tc>
        <w:tc>
          <w:tcPr>
            <w:tcW w:w="251" w:type="pct"/>
            <w:tcBorders>
              <w:bottom w:val="single" w:sz="4" w:space="0" w:color="auto"/>
            </w:tcBorders>
          </w:tcPr>
          <w:p w:rsidR="005D2B18" w:rsidRPr="00DE3551" w:rsidRDefault="005D2B18" w:rsidP="00EE0D7D">
            <w:proofErr w:type="spellStart"/>
            <w:r w:rsidRPr="00DE3551">
              <w:t>α</w:t>
            </w:r>
            <w:r>
              <w:rPr>
                <w:vertAlign w:val="superscript"/>
              </w:rPr>
              <w:t>a</w:t>
            </w:r>
            <w:proofErr w:type="spellEnd"/>
          </w:p>
        </w:tc>
        <w:tc>
          <w:tcPr>
            <w:tcW w:w="265" w:type="pct"/>
            <w:tcBorders>
              <w:bottom w:val="single" w:sz="4" w:space="0" w:color="auto"/>
            </w:tcBorders>
          </w:tcPr>
          <w:p w:rsidR="005D2B18" w:rsidRPr="00DE3551" w:rsidRDefault="005D2B18" w:rsidP="00EE0D7D">
            <w:r>
              <w:t>Test-retest</w:t>
            </w:r>
          </w:p>
        </w:tc>
        <w:tc>
          <w:tcPr>
            <w:tcW w:w="484" w:type="pct"/>
            <w:tcBorders>
              <w:bottom w:val="single" w:sz="4" w:space="0" w:color="auto"/>
            </w:tcBorders>
          </w:tcPr>
          <w:p w:rsidR="005D2B18" w:rsidRPr="00DE3551" w:rsidRDefault="005D2B18" w:rsidP="00EE0D7D">
            <w:r w:rsidRPr="00DE3551">
              <w:t>M(SD)</w:t>
            </w:r>
          </w:p>
        </w:tc>
        <w:tc>
          <w:tcPr>
            <w:tcW w:w="200" w:type="pct"/>
            <w:tcBorders>
              <w:bottom w:val="single" w:sz="4" w:space="0" w:color="auto"/>
            </w:tcBorders>
          </w:tcPr>
          <w:p w:rsidR="005D2B18" w:rsidRPr="00DE3551" w:rsidRDefault="005D2B18" w:rsidP="00EE0D7D">
            <w:proofErr w:type="spellStart"/>
            <w:r w:rsidRPr="00DE3551">
              <w:t>α</w:t>
            </w:r>
            <w:r>
              <w:rPr>
                <w:vertAlign w:val="superscript"/>
              </w:rPr>
              <w:t>a</w:t>
            </w:r>
            <w:proofErr w:type="spellEnd"/>
          </w:p>
        </w:tc>
        <w:tc>
          <w:tcPr>
            <w:tcW w:w="302" w:type="pct"/>
            <w:tcBorders>
              <w:bottom w:val="single" w:sz="4" w:space="0" w:color="auto"/>
            </w:tcBorders>
          </w:tcPr>
          <w:p w:rsidR="005D2B18" w:rsidRPr="00DE3551" w:rsidRDefault="005D2B18" w:rsidP="00EE0D7D">
            <w:r>
              <w:t>Test-retest</w:t>
            </w:r>
          </w:p>
        </w:tc>
        <w:tc>
          <w:tcPr>
            <w:tcW w:w="499" w:type="pct"/>
            <w:tcBorders>
              <w:bottom w:val="single" w:sz="4" w:space="0" w:color="auto"/>
            </w:tcBorders>
          </w:tcPr>
          <w:p w:rsidR="005D2B18" w:rsidRPr="00DE3551" w:rsidRDefault="005D2B18" w:rsidP="00EE0D7D">
            <w:r w:rsidRPr="00DE3551">
              <w:t>M(SD)</w:t>
            </w:r>
          </w:p>
        </w:tc>
        <w:tc>
          <w:tcPr>
            <w:tcW w:w="233" w:type="pct"/>
            <w:tcBorders>
              <w:bottom w:val="single" w:sz="4" w:space="0" w:color="auto"/>
            </w:tcBorders>
          </w:tcPr>
          <w:p w:rsidR="005D2B18" w:rsidRPr="00DE3551" w:rsidRDefault="005D2B18" w:rsidP="00EE0D7D">
            <w:proofErr w:type="spellStart"/>
            <w:r w:rsidRPr="00DE3551">
              <w:t>α</w:t>
            </w:r>
            <w:r>
              <w:rPr>
                <w:vertAlign w:val="superscript"/>
              </w:rPr>
              <w:t>a</w:t>
            </w:r>
            <w:proofErr w:type="spellEnd"/>
          </w:p>
        </w:tc>
        <w:tc>
          <w:tcPr>
            <w:tcW w:w="278" w:type="pct"/>
            <w:tcBorders>
              <w:bottom w:val="single" w:sz="4" w:space="0" w:color="auto"/>
            </w:tcBorders>
          </w:tcPr>
          <w:p w:rsidR="005D2B18" w:rsidRPr="00DE3551" w:rsidRDefault="005D2B18" w:rsidP="00EE0D7D">
            <w:r>
              <w:t>Test-retest</w:t>
            </w:r>
          </w:p>
        </w:tc>
      </w:tr>
      <w:tr w:rsidR="005D2B18" w:rsidRPr="00DE3551" w:rsidTr="00EE0D7D">
        <w:tc>
          <w:tcPr>
            <w:tcW w:w="1002" w:type="pct"/>
            <w:tcBorders>
              <w:top w:val="single" w:sz="4" w:space="0" w:color="auto"/>
              <w:bottom w:val="single" w:sz="4" w:space="0" w:color="auto"/>
            </w:tcBorders>
          </w:tcPr>
          <w:p w:rsidR="005D2B18" w:rsidRPr="00DE3551" w:rsidRDefault="005D2B18" w:rsidP="00EE0D7D">
            <w:pPr>
              <w:ind w:right="-108"/>
            </w:pPr>
            <w:r w:rsidRPr="00DE3551">
              <w:t>Credibility</w:t>
            </w:r>
          </w:p>
        </w:tc>
        <w:tc>
          <w:tcPr>
            <w:tcW w:w="494" w:type="pct"/>
            <w:tcBorders>
              <w:top w:val="single" w:sz="4" w:space="0" w:color="auto"/>
              <w:bottom w:val="single" w:sz="4" w:space="0" w:color="auto"/>
            </w:tcBorders>
          </w:tcPr>
          <w:p w:rsidR="005D2B18" w:rsidRPr="00DE3551" w:rsidRDefault="005D2B18" w:rsidP="00EE0D7D">
            <w:r>
              <w:t>3.60 (0.74)</w:t>
            </w:r>
          </w:p>
        </w:tc>
        <w:tc>
          <w:tcPr>
            <w:tcW w:w="200" w:type="pct"/>
            <w:tcBorders>
              <w:top w:val="single" w:sz="4" w:space="0" w:color="auto"/>
              <w:bottom w:val="single" w:sz="4" w:space="0" w:color="auto"/>
            </w:tcBorders>
          </w:tcPr>
          <w:p w:rsidR="005D2B18" w:rsidRPr="00DE3551" w:rsidRDefault="005D2B18" w:rsidP="00EE0D7D">
            <w:r w:rsidRPr="00DE3551">
              <w:t>.77</w:t>
            </w:r>
            <w:r>
              <w:t xml:space="preserve"> </w:t>
            </w:r>
          </w:p>
        </w:tc>
        <w:tc>
          <w:tcPr>
            <w:tcW w:w="301" w:type="pct"/>
            <w:tcBorders>
              <w:top w:val="single" w:sz="4" w:space="0" w:color="auto"/>
              <w:bottom w:val="single" w:sz="4" w:space="0" w:color="auto"/>
            </w:tcBorders>
          </w:tcPr>
          <w:p w:rsidR="005D2B18" w:rsidRDefault="005D2B18" w:rsidP="00EE0D7D">
            <w:r>
              <w:t>.72</w:t>
            </w:r>
          </w:p>
        </w:tc>
        <w:tc>
          <w:tcPr>
            <w:tcW w:w="492" w:type="pct"/>
            <w:tcBorders>
              <w:top w:val="single" w:sz="4" w:space="0" w:color="auto"/>
              <w:bottom w:val="single" w:sz="4" w:space="0" w:color="auto"/>
            </w:tcBorders>
          </w:tcPr>
          <w:p w:rsidR="005D2B18" w:rsidRPr="00DE3551" w:rsidRDefault="005D2B18" w:rsidP="00EE0D7D">
            <w:r>
              <w:t>3.81 (0.74)</w:t>
            </w:r>
          </w:p>
        </w:tc>
        <w:tc>
          <w:tcPr>
            <w:tcW w:w="251" w:type="pct"/>
            <w:tcBorders>
              <w:top w:val="single" w:sz="4" w:space="0" w:color="auto"/>
              <w:bottom w:val="single" w:sz="4" w:space="0" w:color="auto"/>
            </w:tcBorders>
          </w:tcPr>
          <w:p w:rsidR="005D2B18" w:rsidRPr="00DE3551" w:rsidRDefault="005D2B18" w:rsidP="00EE0D7D">
            <w:r w:rsidRPr="00DE3551">
              <w:t>87</w:t>
            </w:r>
            <w:r>
              <w:t xml:space="preserve"> </w:t>
            </w:r>
          </w:p>
        </w:tc>
        <w:tc>
          <w:tcPr>
            <w:tcW w:w="265" w:type="pct"/>
            <w:tcBorders>
              <w:top w:val="single" w:sz="4" w:space="0" w:color="auto"/>
              <w:bottom w:val="single" w:sz="4" w:space="0" w:color="auto"/>
            </w:tcBorders>
          </w:tcPr>
          <w:p w:rsidR="005D2B18" w:rsidRDefault="005D2B18" w:rsidP="00EE0D7D">
            <w:r>
              <w:t>.71</w:t>
            </w:r>
          </w:p>
        </w:tc>
        <w:tc>
          <w:tcPr>
            <w:tcW w:w="484" w:type="pct"/>
            <w:tcBorders>
              <w:top w:val="single" w:sz="4" w:space="0" w:color="auto"/>
              <w:bottom w:val="single" w:sz="4" w:space="0" w:color="auto"/>
            </w:tcBorders>
          </w:tcPr>
          <w:p w:rsidR="005D2B18" w:rsidRPr="00DE3551" w:rsidRDefault="005D2B18" w:rsidP="00EE0D7D">
            <w:r>
              <w:t>3.62 (0.83)</w:t>
            </w:r>
          </w:p>
        </w:tc>
        <w:tc>
          <w:tcPr>
            <w:tcW w:w="200" w:type="pct"/>
            <w:tcBorders>
              <w:top w:val="single" w:sz="4" w:space="0" w:color="auto"/>
              <w:bottom w:val="single" w:sz="4" w:space="0" w:color="auto"/>
            </w:tcBorders>
          </w:tcPr>
          <w:p w:rsidR="005D2B18" w:rsidRPr="00DE3551" w:rsidRDefault="005D2B18" w:rsidP="00EE0D7D">
            <w:r w:rsidRPr="00DE3551">
              <w:t>.88</w:t>
            </w:r>
            <w:r>
              <w:t xml:space="preserve"> </w:t>
            </w:r>
          </w:p>
        </w:tc>
        <w:tc>
          <w:tcPr>
            <w:tcW w:w="302" w:type="pct"/>
            <w:tcBorders>
              <w:top w:val="single" w:sz="4" w:space="0" w:color="auto"/>
              <w:bottom w:val="single" w:sz="4" w:space="0" w:color="auto"/>
            </w:tcBorders>
          </w:tcPr>
          <w:p w:rsidR="005D2B18" w:rsidRDefault="005D2B18" w:rsidP="00EE0D7D">
            <w:r>
              <w:t>.79</w:t>
            </w:r>
          </w:p>
        </w:tc>
        <w:tc>
          <w:tcPr>
            <w:tcW w:w="499" w:type="pct"/>
            <w:tcBorders>
              <w:top w:val="single" w:sz="4" w:space="0" w:color="auto"/>
              <w:bottom w:val="single" w:sz="4" w:space="0" w:color="auto"/>
            </w:tcBorders>
          </w:tcPr>
          <w:p w:rsidR="005D2B18" w:rsidRPr="00DE3551" w:rsidRDefault="005D2B18" w:rsidP="00EE0D7D">
            <w:r>
              <w:t>3.17 (0.81)</w:t>
            </w:r>
          </w:p>
        </w:tc>
        <w:tc>
          <w:tcPr>
            <w:tcW w:w="233" w:type="pct"/>
            <w:tcBorders>
              <w:top w:val="single" w:sz="4" w:space="0" w:color="auto"/>
              <w:bottom w:val="single" w:sz="4" w:space="0" w:color="auto"/>
            </w:tcBorders>
          </w:tcPr>
          <w:p w:rsidR="005D2B18" w:rsidRPr="00DE3551" w:rsidRDefault="005D2B18" w:rsidP="00EE0D7D">
            <w:r w:rsidRPr="00DE3551">
              <w:t>.87</w:t>
            </w:r>
            <w:r>
              <w:t xml:space="preserve"> </w:t>
            </w:r>
          </w:p>
        </w:tc>
        <w:tc>
          <w:tcPr>
            <w:tcW w:w="278" w:type="pct"/>
            <w:tcBorders>
              <w:top w:val="single" w:sz="4" w:space="0" w:color="auto"/>
              <w:bottom w:val="single" w:sz="4" w:space="0" w:color="auto"/>
            </w:tcBorders>
          </w:tcPr>
          <w:p w:rsidR="005D2B18" w:rsidRPr="00DE3551" w:rsidRDefault="005D2B18" w:rsidP="00EE0D7D">
            <w:r>
              <w:t>.78</w:t>
            </w:r>
          </w:p>
        </w:tc>
      </w:tr>
      <w:tr w:rsidR="005D2B18" w:rsidRPr="00DE3551" w:rsidTr="00EE0D7D">
        <w:tc>
          <w:tcPr>
            <w:tcW w:w="1002" w:type="pct"/>
            <w:tcBorders>
              <w:top w:val="single" w:sz="4" w:space="0" w:color="auto"/>
            </w:tcBorders>
          </w:tcPr>
          <w:p w:rsidR="005D2B18" w:rsidRPr="00DE3551" w:rsidRDefault="005D2B18" w:rsidP="00EE0D7D">
            <w:pPr>
              <w:ind w:right="-108"/>
            </w:pPr>
            <w:r w:rsidRPr="00DE3551">
              <w:t>Taking/Having […] for back pain makes a lot of sense</w:t>
            </w:r>
          </w:p>
        </w:tc>
        <w:tc>
          <w:tcPr>
            <w:tcW w:w="494" w:type="pct"/>
            <w:tcBorders>
              <w:top w:val="single" w:sz="4" w:space="0" w:color="auto"/>
            </w:tcBorders>
          </w:tcPr>
          <w:p w:rsidR="005D2B18" w:rsidRPr="00DE3551" w:rsidRDefault="005D2B18" w:rsidP="00EE0D7D">
            <w:r w:rsidRPr="00DE3551">
              <w:t>3.75 (0.91)</w:t>
            </w:r>
          </w:p>
        </w:tc>
        <w:tc>
          <w:tcPr>
            <w:tcW w:w="200" w:type="pct"/>
            <w:tcBorders>
              <w:top w:val="single" w:sz="4" w:space="0" w:color="auto"/>
            </w:tcBorders>
          </w:tcPr>
          <w:p w:rsidR="005D2B18" w:rsidRPr="00DE3551" w:rsidRDefault="005D2B18" w:rsidP="00EE0D7D">
            <w:r w:rsidRPr="00DE3551">
              <w:t>.70</w:t>
            </w:r>
          </w:p>
        </w:tc>
        <w:tc>
          <w:tcPr>
            <w:tcW w:w="301" w:type="pct"/>
            <w:tcBorders>
              <w:top w:val="single" w:sz="4" w:space="0" w:color="auto"/>
            </w:tcBorders>
          </w:tcPr>
          <w:p w:rsidR="005D2B18" w:rsidRPr="00DE3551" w:rsidRDefault="005D2B18" w:rsidP="00EE0D7D"/>
        </w:tc>
        <w:tc>
          <w:tcPr>
            <w:tcW w:w="492" w:type="pct"/>
            <w:tcBorders>
              <w:top w:val="single" w:sz="4" w:space="0" w:color="auto"/>
            </w:tcBorders>
          </w:tcPr>
          <w:p w:rsidR="005D2B18" w:rsidRPr="00DE3551" w:rsidRDefault="005D2B18" w:rsidP="00EE0D7D">
            <w:r w:rsidRPr="00DE3551">
              <w:t>3.</w:t>
            </w:r>
            <w:r>
              <w:t>86</w:t>
            </w:r>
            <w:r w:rsidRPr="00DE3551">
              <w:t xml:space="preserve"> (0.</w:t>
            </w:r>
            <w:r>
              <w:t>88</w:t>
            </w:r>
            <w:r w:rsidRPr="00DE3551">
              <w:t>)</w:t>
            </w:r>
          </w:p>
        </w:tc>
        <w:tc>
          <w:tcPr>
            <w:tcW w:w="251" w:type="pct"/>
            <w:tcBorders>
              <w:top w:val="single" w:sz="4" w:space="0" w:color="auto"/>
            </w:tcBorders>
          </w:tcPr>
          <w:p w:rsidR="005D2B18" w:rsidRPr="00DE3551" w:rsidRDefault="005D2B18" w:rsidP="00EE0D7D">
            <w:r w:rsidRPr="00181783">
              <w:t>.81</w:t>
            </w:r>
          </w:p>
        </w:tc>
        <w:tc>
          <w:tcPr>
            <w:tcW w:w="265" w:type="pct"/>
            <w:tcBorders>
              <w:top w:val="single" w:sz="4" w:space="0" w:color="auto"/>
            </w:tcBorders>
          </w:tcPr>
          <w:p w:rsidR="005D2B18" w:rsidRPr="0017346F" w:rsidRDefault="005D2B18" w:rsidP="00EE0D7D"/>
        </w:tc>
        <w:tc>
          <w:tcPr>
            <w:tcW w:w="484" w:type="pct"/>
            <w:tcBorders>
              <w:top w:val="single" w:sz="4" w:space="0" w:color="auto"/>
            </w:tcBorders>
          </w:tcPr>
          <w:p w:rsidR="005D2B18" w:rsidRPr="00DE3551" w:rsidRDefault="005D2B18" w:rsidP="00EE0D7D">
            <w:r w:rsidRPr="0017346F">
              <w:t>3.</w:t>
            </w:r>
            <w:r>
              <w:t>67</w:t>
            </w:r>
            <w:r w:rsidRPr="0017346F">
              <w:t xml:space="preserve"> (0.9</w:t>
            </w:r>
            <w:r>
              <w:t>2</w:t>
            </w:r>
            <w:r w:rsidRPr="0017346F">
              <w:t>)</w:t>
            </w:r>
          </w:p>
        </w:tc>
        <w:tc>
          <w:tcPr>
            <w:tcW w:w="200" w:type="pct"/>
            <w:tcBorders>
              <w:top w:val="single" w:sz="4" w:space="0" w:color="auto"/>
            </w:tcBorders>
          </w:tcPr>
          <w:p w:rsidR="005D2B18" w:rsidRPr="00DE3551" w:rsidRDefault="005D2B18" w:rsidP="00EE0D7D">
            <w:r w:rsidRPr="00884924">
              <w:t>.83</w:t>
            </w:r>
          </w:p>
        </w:tc>
        <w:tc>
          <w:tcPr>
            <w:tcW w:w="302" w:type="pct"/>
            <w:tcBorders>
              <w:top w:val="single" w:sz="4" w:space="0" w:color="auto"/>
            </w:tcBorders>
          </w:tcPr>
          <w:p w:rsidR="005D2B18" w:rsidRPr="0017346F" w:rsidRDefault="005D2B18" w:rsidP="00EE0D7D"/>
        </w:tc>
        <w:tc>
          <w:tcPr>
            <w:tcW w:w="499" w:type="pct"/>
            <w:tcBorders>
              <w:top w:val="single" w:sz="4" w:space="0" w:color="auto"/>
            </w:tcBorders>
          </w:tcPr>
          <w:p w:rsidR="005D2B18" w:rsidRPr="00DE3551" w:rsidRDefault="005D2B18" w:rsidP="00EE0D7D">
            <w:r w:rsidRPr="0017346F">
              <w:t>3.</w:t>
            </w:r>
            <w:r>
              <w:t xml:space="preserve">21 </w:t>
            </w:r>
            <w:r w:rsidRPr="0017346F">
              <w:t>(0.9</w:t>
            </w:r>
            <w:r>
              <w:t>0</w:t>
            </w:r>
            <w:r w:rsidRPr="0017346F">
              <w:t>)</w:t>
            </w:r>
          </w:p>
        </w:tc>
        <w:tc>
          <w:tcPr>
            <w:tcW w:w="233" w:type="pct"/>
            <w:tcBorders>
              <w:top w:val="single" w:sz="4" w:space="0" w:color="auto"/>
            </w:tcBorders>
          </w:tcPr>
          <w:p w:rsidR="005D2B18" w:rsidRPr="00DE3551" w:rsidRDefault="005D2B18" w:rsidP="00EE0D7D">
            <w:r w:rsidRPr="007825AE">
              <w:t>.8</w:t>
            </w:r>
            <w:r>
              <w:t>2</w:t>
            </w:r>
          </w:p>
        </w:tc>
        <w:tc>
          <w:tcPr>
            <w:tcW w:w="278" w:type="pct"/>
            <w:tcBorders>
              <w:top w:val="single" w:sz="4" w:space="0" w:color="auto"/>
            </w:tcBorders>
          </w:tcPr>
          <w:p w:rsidR="005D2B18" w:rsidRPr="007825AE" w:rsidRDefault="005D2B18" w:rsidP="00EE0D7D"/>
        </w:tc>
      </w:tr>
      <w:tr w:rsidR="005D2B18" w:rsidRPr="00DE3551" w:rsidTr="00EE0D7D">
        <w:tc>
          <w:tcPr>
            <w:tcW w:w="1002" w:type="pct"/>
          </w:tcPr>
          <w:p w:rsidR="005D2B18" w:rsidRPr="00DE3551" w:rsidRDefault="005D2B18" w:rsidP="00EE0D7D">
            <w:pPr>
              <w:ind w:right="-108"/>
            </w:pPr>
            <w:r w:rsidRPr="00DE3551">
              <w:t>Generally, […] is a believable therapy for back pain</w:t>
            </w:r>
          </w:p>
        </w:tc>
        <w:tc>
          <w:tcPr>
            <w:tcW w:w="494" w:type="pct"/>
          </w:tcPr>
          <w:p w:rsidR="005D2B18" w:rsidRPr="00DE3551" w:rsidRDefault="005D2B18" w:rsidP="00EE0D7D">
            <w:r w:rsidRPr="00DE3551">
              <w:t>3.53 (0.90)</w:t>
            </w:r>
          </w:p>
        </w:tc>
        <w:tc>
          <w:tcPr>
            <w:tcW w:w="200" w:type="pct"/>
          </w:tcPr>
          <w:p w:rsidR="005D2B18" w:rsidRPr="00DE3551" w:rsidRDefault="005D2B18" w:rsidP="00EE0D7D">
            <w:r w:rsidRPr="00DE3551">
              <w:t>.71</w:t>
            </w:r>
          </w:p>
        </w:tc>
        <w:tc>
          <w:tcPr>
            <w:tcW w:w="301" w:type="pct"/>
          </w:tcPr>
          <w:p w:rsidR="005D2B18" w:rsidRPr="00DE3551" w:rsidRDefault="005D2B18" w:rsidP="00EE0D7D"/>
        </w:tc>
        <w:tc>
          <w:tcPr>
            <w:tcW w:w="492" w:type="pct"/>
          </w:tcPr>
          <w:p w:rsidR="005D2B18" w:rsidRPr="00DE3551" w:rsidRDefault="005D2B18" w:rsidP="00EE0D7D">
            <w:r w:rsidRPr="00DE3551">
              <w:t>3.</w:t>
            </w:r>
            <w:r>
              <w:t>82</w:t>
            </w:r>
            <w:r w:rsidRPr="00DE3551">
              <w:t xml:space="preserve"> (0.</w:t>
            </w:r>
            <w:r>
              <w:t>85</w:t>
            </w:r>
            <w:r w:rsidRPr="00DE3551">
              <w:t>)</w:t>
            </w:r>
          </w:p>
        </w:tc>
        <w:tc>
          <w:tcPr>
            <w:tcW w:w="251" w:type="pct"/>
          </w:tcPr>
          <w:p w:rsidR="005D2B18" w:rsidRPr="00DE3551" w:rsidRDefault="005D2B18" w:rsidP="00EE0D7D">
            <w:r w:rsidRPr="00181783">
              <w:t>.8</w:t>
            </w:r>
            <w:r>
              <w:t>3</w:t>
            </w:r>
          </w:p>
        </w:tc>
        <w:tc>
          <w:tcPr>
            <w:tcW w:w="265" w:type="pct"/>
          </w:tcPr>
          <w:p w:rsidR="005D2B18" w:rsidRPr="0017346F" w:rsidRDefault="005D2B18" w:rsidP="00EE0D7D"/>
        </w:tc>
        <w:tc>
          <w:tcPr>
            <w:tcW w:w="484" w:type="pct"/>
          </w:tcPr>
          <w:p w:rsidR="005D2B18" w:rsidRPr="00DE3551" w:rsidRDefault="005D2B18" w:rsidP="00EE0D7D">
            <w:r w:rsidRPr="0017346F">
              <w:t>3.</w:t>
            </w:r>
            <w:r>
              <w:t>70</w:t>
            </w:r>
            <w:r w:rsidRPr="0017346F">
              <w:t xml:space="preserve"> (0.</w:t>
            </w:r>
            <w:r>
              <w:t>89</w:t>
            </w:r>
            <w:r w:rsidRPr="0017346F">
              <w:t>)</w:t>
            </w:r>
          </w:p>
        </w:tc>
        <w:tc>
          <w:tcPr>
            <w:tcW w:w="200" w:type="pct"/>
          </w:tcPr>
          <w:p w:rsidR="005D2B18" w:rsidRPr="00DE3551" w:rsidRDefault="005D2B18" w:rsidP="00EE0D7D">
            <w:r w:rsidRPr="00884924">
              <w:t>.83</w:t>
            </w:r>
          </w:p>
        </w:tc>
        <w:tc>
          <w:tcPr>
            <w:tcW w:w="302" w:type="pct"/>
          </w:tcPr>
          <w:p w:rsidR="005D2B18" w:rsidRPr="0017346F" w:rsidRDefault="005D2B18" w:rsidP="00EE0D7D"/>
        </w:tc>
        <w:tc>
          <w:tcPr>
            <w:tcW w:w="499" w:type="pct"/>
          </w:tcPr>
          <w:p w:rsidR="005D2B18" w:rsidRPr="00DE3551" w:rsidRDefault="005D2B18" w:rsidP="00EE0D7D">
            <w:r w:rsidRPr="0017346F">
              <w:t>3.</w:t>
            </w:r>
            <w:r>
              <w:t>30</w:t>
            </w:r>
            <w:r w:rsidRPr="0017346F">
              <w:t xml:space="preserve"> (0.</w:t>
            </w:r>
            <w:r>
              <w:t>87</w:t>
            </w:r>
            <w:r w:rsidRPr="0017346F">
              <w:t>)</w:t>
            </w:r>
          </w:p>
        </w:tc>
        <w:tc>
          <w:tcPr>
            <w:tcW w:w="233" w:type="pct"/>
          </w:tcPr>
          <w:p w:rsidR="005D2B18" w:rsidRPr="00DE3551" w:rsidRDefault="005D2B18" w:rsidP="00EE0D7D">
            <w:r w:rsidRPr="007825AE">
              <w:t>.81</w:t>
            </w:r>
          </w:p>
        </w:tc>
        <w:tc>
          <w:tcPr>
            <w:tcW w:w="278" w:type="pct"/>
          </w:tcPr>
          <w:p w:rsidR="005D2B18" w:rsidRPr="007825AE" w:rsidRDefault="005D2B18" w:rsidP="00EE0D7D"/>
        </w:tc>
      </w:tr>
      <w:tr w:rsidR="005D2B18" w:rsidRPr="00DE3551" w:rsidTr="00EE0D7D">
        <w:tc>
          <w:tcPr>
            <w:tcW w:w="1002" w:type="pct"/>
          </w:tcPr>
          <w:p w:rsidR="005D2B18" w:rsidRPr="00DE3551" w:rsidRDefault="005D2B18" w:rsidP="00EE0D7D">
            <w:pPr>
              <w:ind w:right="-108"/>
            </w:pPr>
            <w:r w:rsidRPr="00DE3551">
              <w:t>I am sceptical about […] as a treatment for back pain in general (r)</w:t>
            </w:r>
          </w:p>
        </w:tc>
        <w:tc>
          <w:tcPr>
            <w:tcW w:w="494" w:type="pct"/>
          </w:tcPr>
          <w:p w:rsidR="005D2B18" w:rsidRPr="00DE3551" w:rsidRDefault="005D2B18" w:rsidP="00EE0D7D">
            <w:r w:rsidRPr="00DE3551">
              <w:t>3.35 (1.04)</w:t>
            </w:r>
          </w:p>
        </w:tc>
        <w:tc>
          <w:tcPr>
            <w:tcW w:w="200" w:type="pct"/>
          </w:tcPr>
          <w:p w:rsidR="005D2B18" w:rsidRPr="00DE3551" w:rsidRDefault="005D2B18" w:rsidP="00EE0D7D">
            <w:r w:rsidRPr="00DE3551">
              <w:t>.71</w:t>
            </w:r>
          </w:p>
        </w:tc>
        <w:tc>
          <w:tcPr>
            <w:tcW w:w="301" w:type="pct"/>
          </w:tcPr>
          <w:p w:rsidR="005D2B18" w:rsidRPr="00DE3551" w:rsidRDefault="005D2B18" w:rsidP="00EE0D7D"/>
        </w:tc>
        <w:tc>
          <w:tcPr>
            <w:tcW w:w="492" w:type="pct"/>
          </w:tcPr>
          <w:p w:rsidR="005D2B18" w:rsidRPr="00DE3551" w:rsidRDefault="005D2B18" w:rsidP="00EE0D7D">
            <w:r w:rsidRPr="00DE3551">
              <w:t>3.</w:t>
            </w:r>
            <w:r>
              <w:t>68</w:t>
            </w:r>
            <w:r w:rsidRPr="00DE3551">
              <w:t xml:space="preserve"> (</w:t>
            </w:r>
            <w:r>
              <w:t>0</w:t>
            </w:r>
            <w:r w:rsidRPr="00DE3551">
              <w:t>.</w:t>
            </w:r>
            <w:r>
              <w:t>98</w:t>
            </w:r>
            <w:r w:rsidRPr="00DE3551">
              <w:t>)</w:t>
            </w:r>
          </w:p>
        </w:tc>
        <w:tc>
          <w:tcPr>
            <w:tcW w:w="251" w:type="pct"/>
          </w:tcPr>
          <w:p w:rsidR="005D2B18" w:rsidRPr="00DE3551" w:rsidRDefault="005D2B18" w:rsidP="00EE0D7D">
            <w:r w:rsidRPr="00181783">
              <w:t>.8</w:t>
            </w:r>
            <w:r>
              <w:t>5</w:t>
            </w:r>
          </w:p>
        </w:tc>
        <w:tc>
          <w:tcPr>
            <w:tcW w:w="265" w:type="pct"/>
          </w:tcPr>
          <w:p w:rsidR="005D2B18" w:rsidRPr="006A04F5" w:rsidRDefault="005D2B18" w:rsidP="00EE0D7D"/>
        </w:tc>
        <w:tc>
          <w:tcPr>
            <w:tcW w:w="484" w:type="pct"/>
          </w:tcPr>
          <w:p w:rsidR="005D2B18" w:rsidRPr="00DE3551" w:rsidRDefault="005D2B18" w:rsidP="00EE0D7D">
            <w:r w:rsidRPr="006A04F5">
              <w:t>3.</w:t>
            </w:r>
            <w:r>
              <w:t>50</w:t>
            </w:r>
            <w:r w:rsidRPr="006A04F5">
              <w:t xml:space="preserve"> (1.0</w:t>
            </w:r>
            <w:r>
              <w:t>2</w:t>
            </w:r>
            <w:r w:rsidRPr="006A04F5">
              <w:t>)</w:t>
            </w:r>
          </w:p>
        </w:tc>
        <w:tc>
          <w:tcPr>
            <w:tcW w:w="200" w:type="pct"/>
          </w:tcPr>
          <w:p w:rsidR="005D2B18" w:rsidRPr="00DE3551" w:rsidRDefault="005D2B18" w:rsidP="00EE0D7D">
            <w:r>
              <w:t>.86</w:t>
            </w:r>
          </w:p>
        </w:tc>
        <w:tc>
          <w:tcPr>
            <w:tcW w:w="302" w:type="pct"/>
          </w:tcPr>
          <w:p w:rsidR="005D2B18" w:rsidRPr="006A04F5" w:rsidRDefault="005D2B18" w:rsidP="00EE0D7D"/>
        </w:tc>
        <w:tc>
          <w:tcPr>
            <w:tcW w:w="499" w:type="pct"/>
          </w:tcPr>
          <w:p w:rsidR="005D2B18" w:rsidRPr="00DE3551" w:rsidRDefault="005D2B18" w:rsidP="00EE0D7D">
            <w:r w:rsidRPr="006A04F5">
              <w:t>3.</w:t>
            </w:r>
            <w:r>
              <w:t>10</w:t>
            </w:r>
            <w:r w:rsidRPr="006A04F5">
              <w:t xml:space="preserve"> (1.0</w:t>
            </w:r>
            <w:r>
              <w:t>4</w:t>
            </w:r>
            <w:r w:rsidRPr="006A04F5">
              <w:t>)</w:t>
            </w:r>
          </w:p>
        </w:tc>
        <w:tc>
          <w:tcPr>
            <w:tcW w:w="233" w:type="pct"/>
          </w:tcPr>
          <w:p w:rsidR="005D2B18" w:rsidRPr="00DE3551" w:rsidRDefault="005D2B18" w:rsidP="00EE0D7D">
            <w:r w:rsidRPr="007825AE">
              <w:t>.85</w:t>
            </w:r>
          </w:p>
        </w:tc>
        <w:tc>
          <w:tcPr>
            <w:tcW w:w="278" w:type="pct"/>
          </w:tcPr>
          <w:p w:rsidR="005D2B18" w:rsidRPr="007825AE" w:rsidRDefault="005D2B18" w:rsidP="00EE0D7D"/>
        </w:tc>
      </w:tr>
      <w:tr w:rsidR="005D2B18" w:rsidRPr="00DE3551" w:rsidTr="00EE0D7D">
        <w:tc>
          <w:tcPr>
            <w:tcW w:w="1002" w:type="pct"/>
            <w:tcBorders>
              <w:bottom w:val="single" w:sz="4" w:space="0" w:color="auto"/>
            </w:tcBorders>
          </w:tcPr>
          <w:p w:rsidR="005D2B18" w:rsidRPr="00DE3551" w:rsidRDefault="005D2B18" w:rsidP="00EE0D7D">
            <w:pPr>
              <w:ind w:right="-108"/>
            </w:pPr>
            <w:r w:rsidRPr="00DE3551">
              <w:t>I do not understand how […] could help people with back pain (r)</w:t>
            </w:r>
          </w:p>
        </w:tc>
        <w:tc>
          <w:tcPr>
            <w:tcW w:w="494" w:type="pct"/>
            <w:tcBorders>
              <w:bottom w:val="single" w:sz="4" w:space="0" w:color="auto"/>
            </w:tcBorders>
          </w:tcPr>
          <w:p w:rsidR="005D2B18" w:rsidRPr="00DE3551" w:rsidRDefault="005D2B18" w:rsidP="00EE0D7D">
            <w:r w:rsidRPr="00DE3551">
              <w:t>3.77 (0.97)</w:t>
            </w:r>
          </w:p>
        </w:tc>
        <w:tc>
          <w:tcPr>
            <w:tcW w:w="200" w:type="pct"/>
            <w:tcBorders>
              <w:bottom w:val="single" w:sz="4" w:space="0" w:color="auto"/>
            </w:tcBorders>
          </w:tcPr>
          <w:p w:rsidR="005D2B18" w:rsidRPr="00DE3551" w:rsidRDefault="005D2B18" w:rsidP="00EE0D7D">
            <w:r w:rsidRPr="00DE3551">
              <w:t>.75</w:t>
            </w:r>
          </w:p>
        </w:tc>
        <w:tc>
          <w:tcPr>
            <w:tcW w:w="301" w:type="pct"/>
            <w:tcBorders>
              <w:bottom w:val="single" w:sz="4" w:space="0" w:color="auto"/>
            </w:tcBorders>
          </w:tcPr>
          <w:p w:rsidR="005D2B18" w:rsidRPr="00DE3551" w:rsidRDefault="005D2B18" w:rsidP="00EE0D7D"/>
        </w:tc>
        <w:tc>
          <w:tcPr>
            <w:tcW w:w="492" w:type="pct"/>
            <w:tcBorders>
              <w:bottom w:val="single" w:sz="4" w:space="0" w:color="auto"/>
            </w:tcBorders>
          </w:tcPr>
          <w:p w:rsidR="005D2B18" w:rsidRPr="00DE3551" w:rsidRDefault="005D2B18" w:rsidP="00EE0D7D">
            <w:r w:rsidRPr="00DE3551">
              <w:t>3.</w:t>
            </w:r>
            <w:r>
              <w:t>87</w:t>
            </w:r>
            <w:r w:rsidRPr="00DE3551">
              <w:t xml:space="preserve"> (0.97)</w:t>
            </w:r>
          </w:p>
        </w:tc>
        <w:tc>
          <w:tcPr>
            <w:tcW w:w="251" w:type="pct"/>
            <w:tcBorders>
              <w:bottom w:val="single" w:sz="4" w:space="0" w:color="auto"/>
            </w:tcBorders>
          </w:tcPr>
          <w:p w:rsidR="005D2B18" w:rsidRPr="00DE3551" w:rsidRDefault="005D2B18" w:rsidP="00EE0D7D">
            <w:r w:rsidRPr="00181783">
              <w:t>.83</w:t>
            </w:r>
          </w:p>
        </w:tc>
        <w:tc>
          <w:tcPr>
            <w:tcW w:w="265" w:type="pct"/>
            <w:tcBorders>
              <w:bottom w:val="single" w:sz="4" w:space="0" w:color="auto"/>
            </w:tcBorders>
          </w:tcPr>
          <w:p w:rsidR="005D2B18" w:rsidRPr="006A04F5" w:rsidRDefault="005D2B18" w:rsidP="00EE0D7D"/>
        </w:tc>
        <w:tc>
          <w:tcPr>
            <w:tcW w:w="484" w:type="pct"/>
            <w:tcBorders>
              <w:bottom w:val="single" w:sz="4" w:space="0" w:color="auto"/>
            </w:tcBorders>
          </w:tcPr>
          <w:p w:rsidR="005D2B18" w:rsidRPr="00DE3551" w:rsidRDefault="005D2B18" w:rsidP="00EE0D7D">
            <w:r w:rsidRPr="006A04F5">
              <w:t>3.</w:t>
            </w:r>
            <w:r>
              <w:t>59</w:t>
            </w:r>
            <w:r w:rsidRPr="006A04F5">
              <w:t xml:space="preserve"> (1.</w:t>
            </w:r>
            <w:r>
              <w:t>02</w:t>
            </w:r>
            <w:r w:rsidRPr="006A04F5">
              <w:t>)</w:t>
            </w:r>
          </w:p>
        </w:tc>
        <w:tc>
          <w:tcPr>
            <w:tcW w:w="200" w:type="pct"/>
            <w:tcBorders>
              <w:bottom w:val="single" w:sz="4" w:space="0" w:color="auto"/>
            </w:tcBorders>
          </w:tcPr>
          <w:p w:rsidR="005D2B18" w:rsidRPr="00DE3551" w:rsidRDefault="005D2B18" w:rsidP="00EE0D7D">
            <w:r w:rsidRPr="00884924">
              <w:t>.8</w:t>
            </w:r>
            <w:r>
              <w:t>7</w:t>
            </w:r>
          </w:p>
        </w:tc>
        <w:tc>
          <w:tcPr>
            <w:tcW w:w="302" w:type="pct"/>
            <w:tcBorders>
              <w:bottom w:val="single" w:sz="4" w:space="0" w:color="auto"/>
            </w:tcBorders>
          </w:tcPr>
          <w:p w:rsidR="005D2B18" w:rsidRPr="006A04F5" w:rsidRDefault="005D2B18" w:rsidP="00EE0D7D"/>
        </w:tc>
        <w:tc>
          <w:tcPr>
            <w:tcW w:w="499" w:type="pct"/>
            <w:tcBorders>
              <w:bottom w:val="single" w:sz="4" w:space="0" w:color="auto"/>
            </w:tcBorders>
          </w:tcPr>
          <w:p w:rsidR="005D2B18" w:rsidRPr="00DE3551" w:rsidRDefault="005D2B18" w:rsidP="00EE0D7D">
            <w:r w:rsidRPr="006A04F5">
              <w:t>3.</w:t>
            </w:r>
            <w:r>
              <w:t>08</w:t>
            </w:r>
            <w:r w:rsidRPr="006A04F5">
              <w:t xml:space="preserve"> (1.</w:t>
            </w:r>
            <w:r>
              <w:t>03</w:t>
            </w:r>
            <w:r w:rsidRPr="006A04F5">
              <w:t>)</w:t>
            </w:r>
          </w:p>
        </w:tc>
        <w:tc>
          <w:tcPr>
            <w:tcW w:w="233" w:type="pct"/>
            <w:tcBorders>
              <w:bottom w:val="single" w:sz="4" w:space="0" w:color="auto"/>
            </w:tcBorders>
          </w:tcPr>
          <w:p w:rsidR="005D2B18" w:rsidRPr="00DE3551" w:rsidRDefault="005D2B18" w:rsidP="00EE0D7D">
            <w:r w:rsidRPr="007825AE">
              <w:t>.8</w:t>
            </w:r>
            <w:r>
              <w:t>2</w:t>
            </w:r>
          </w:p>
        </w:tc>
        <w:tc>
          <w:tcPr>
            <w:tcW w:w="278" w:type="pct"/>
            <w:tcBorders>
              <w:bottom w:val="single" w:sz="4" w:space="0" w:color="auto"/>
            </w:tcBorders>
          </w:tcPr>
          <w:p w:rsidR="005D2B18" w:rsidRPr="007825AE" w:rsidRDefault="005D2B18" w:rsidP="00EE0D7D"/>
        </w:tc>
      </w:tr>
      <w:tr w:rsidR="005D2B18" w:rsidRPr="00DE3551" w:rsidTr="00EE0D7D">
        <w:tc>
          <w:tcPr>
            <w:tcW w:w="1002" w:type="pct"/>
            <w:tcBorders>
              <w:top w:val="single" w:sz="4" w:space="0" w:color="auto"/>
              <w:bottom w:val="single" w:sz="4" w:space="0" w:color="auto"/>
            </w:tcBorders>
          </w:tcPr>
          <w:p w:rsidR="005D2B18" w:rsidRPr="00DE3551" w:rsidRDefault="005D2B18" w:rsidP="00EE0D7D">
            <w:pPr>
              <w:ind w:right="-108"/>
            </w:pPr>
            <w:r w:rsidRPr="00DE3551">
              <w:t>Effectiveness</w:t>
            </w:r>
          </w:p>
        </w:tc>
        <w:tc>
          <w:tcPr>
            <w:tcW w:w="494" w:type="pct"/>
            <w:tcBorders>
              <w:top w:val="single" w:sz="4" w:space="0" w:color="auto"/>
              <w:bottom w:val="single" w:sz="4" w:space="0" w:color="auto"/>
            </w:tcBorders>
          </w:tcPr>
          <w:p w:rsidR="005D2B18" w:rsidRPr="00DE3551" w:rsidRDefault="005D2B18" w:rsidP="00EE0D7D">
            <w:r>
              <w:t>3.94 (0.71)</w:t>
            </w:r>
          </w:p>
        </w:tc>
        <w:tc>
          <w:tcPr>
            <w:tcW w:w="200" w:type="pct"/>
            <w:tcBorders>
              <w:top w:val="single" w:sz="4" w:space="0" w:color="auto"/>
              <w:bottom w:val="single" w:sz="4" w:space="0" w:color="auto"/>
            </w:tcBorders>
          </w:tcPr>
          <w:p w:rsidR="005D2B18" w:rsidRPr="00DE3551" w:rsidRDefault="005D2B18" w:rsidP="00EE0D7D">
            <w:r w:rsidRPr="00DE3551">
              <w:t>.81</w:t>
            </w:r>
            <w:r>
              <w:t xml:space="preserve"> </w:t>
            </w:r>
          </w:p>
        </w:tc>
        <w:tc>
          <w:tcPr>
            <w:tcW w:w="301" w:type="pct"/>
            <w:tcBorders>
              <w:top w:val="single" w:sz="4" w:space="0" w:color="auto"/>
              <w:bottom w:val="single" w:sz="4" w:space="0" w:color="auto"/>
            </w:tcBorders>
          </w:tcPr>
          <w:p w:rsidR="005D2B18" w:rsidRDefault="005D2B18" w:rsidP="00EE0D7D">
            <w:r>
              <w:t>.63</w:t>
            </w:r>
          </w:p>
        </w:tc>
        <w:tc>
          <w:tcPr>
            <w:tcW w:w="492" w:type="pct"/>
            <w:tcBorders>
              <w:top w:val="single" w:sz="4" w:space="0" w:color="auto"/>
              <w:bottom w:val="single" w:sz="4" w:space="0" w:color="auto"/>
            </w:tcBorders>
          </w:tcPr>
          <w:p w:rsidR="005D2B18" w:rsidRPr="00DE3551" w:rsidRDefault="005D2B18" w:rsidP="00EE0D7D">
            <w:r>
              <w:t>3.89 (0.72)</w:t>
            </w:r>
          </w:p>
        </w:tc>
        <w:tc>
          <w:tcPr>
            <w:tcW w:w="251" w:type="pct"/>
            <w:tcBorders>
              <w:top w:val="single" w:sz="4" w:space="0" w:color="auto"/>
              <w:bottom w:val="single" w:sz="4" w:space="0" w:color="auto"/>
            </w:tcBorders>
          </w:tcPr>
          <w:p w:rsidR="005D2B18" w:rsidRPr="00DE3551" w:rsidRDefault="005D2B18" w:rsidP="00EE0D7D">
            <w:r w:rsidRPr="00DE3551">
              <w:t>.85</w:t>
            </w:r>
            <w:r>
              <w:t xml:space="preserve"> </w:t>
            </w:r>
          </w:p>
        </w:tc>
        <w:tc>
          <w:tcPr>
            <w:tcW w:w="265" w:type="pct"/>
            <w:tcBorders>
              <w:top w:val="single" w:sz="4" w:space="0" w:color="auto"/>
              <w:bottom w:val="single" w:sz="4" w:space="0" w:color="auto"/>
            </w:tcBorders>
          </w:tcPr>
          <w:p w:rsidR="005D2B18" w:rsidRDefault="005D2B18" w:rsidP="00EE0D7D">
            <w:r>
              <w:t>.69</w:t>
            </w:r>
          </w:p>
        </w:tc>
        <w:tc>
          <w:tcPr>
            <w:tcW w:w="484" w:type="pct"/>
            <w:tcBorders>
              <w:top w:val="single" w:sz="4" w:space="0" w:color="auto"/>
              <w:bottom w:val="single" w:sz="4" w:space="0" w:color="auto"/>
            </w:tcBorders>
          </w:tcPr>
          <w:p w:rsidR="005D2B18" w:rsidRPr="00DE3551" w:rsidRDefault="005D2B18" w:rsidP="00EE0D7D">
            <w:r>
              <w:t>3.80 (0.75)</w:t>
            </w:r>
          </w:p>
        </w:tc>
        <w:tc>
          <w:tcPr>
            <w:tcW w:w="200" w:type="pct"/>
            <w:tcBorders>
              <w:top w:val="single" w:sz="4" w:space="0" w:color="auto"/>
              <w:bottom w:val="single" w:sz="4" w:space="0" w:color="auto"/>
            </w:tcBorders>
          </w:tcPr>
          <w:p w:rsidR="005D2B18" w:rsidRPr="00DE3551" w:rsidRDefault="005D2B18" w:rsidP="00EE0D7D">
            <w:r w:rsidRPr="00DE3551">
              <w:t>.90</w:t>
            </w:r>
            <w:r>
              <w:t xml:space="preserve"> </w:t>
            </w:r>
          </w:p>
        </w:tc>
        <w:tc>
          <w:tcPr>
            <w:tcW w:w="302" w:type="pct"/>
            <w:tcBorders>
              <w:top w:val="single" w:sz="4" w:space="0" w:color="auto"/>
              <w:bottom w:val="single" w:sz="4" w:space="0" w:color="auto"/>
            </w:tcBorders>
          </w:tcPr>
          <w:p w:rsidR="005D2B18" w:rsidRDefault="005D2B18" w:rsidP="00EE0D7D">
            <w:r>
              <w:t>.70</w:t>
            </w:r>
          </w:p>
        </w:tc>
        <w:tc>
          <w:tcPr>
            <w:tcW w:w="499" w:type="pct"/>
            <w:tcBorders>
              <w:top w:val="single" w:sz="4" w:space="0" w:color="auto"/>
              <w:bottom w:val="single" w:sz="4" w:space="0" w:color="auto"/>
            </w:tcBorders>
          </w:tcPr>
          <w:p w:rsidR="005D2B18" w:rsidRPr="00DE3551" w:rsidRDefault="005D2B18" w:rsidP="00EE0D7D">
            <w:r>
              <w:t>3.42 (0.68)</w:t>
            </w:r>
          </w:p>
        </w:tc>
        <w:tc>
          <w:tcPr>
            <w:tcW w:w="233" w:type="pct"/>
            <w:tcBorders>
              <w:top w:val="single" w:sz="4" w:space="0" w:color="auto"/>
              <w:bottom w:val="single" w:sz="4" w:space="0" w:color="auto"/>
            </w:tcBorders>
          </w:tcPr>
          <w:p w:rsidR="005D2B18" w:rsidRPr="00DE3551" w:rsidRDefault="005D2B18" w:rsidP="00EE0D7D">
            <w:r w:rsidRPr="00DE3551">
              <w:t>.89</w:t>
            </w:r>
            <w:r>
              <w:t xml:space="preserve"> </w:t>
            </w:r>
          </w:p>
        </w:tc>
        <w:tc>
          <w:tcPr>
            <w:tcW w:w="278" w:type="pct"/>
            <w:tcBorders>
              <w:top w:val="single" w:sz="4" w:space="0" w:color="auto"/>
              <w:bottom w:val="single" w:sz="4" w:space="0" w:color="auto"/>
            </w:tcBorders>
          </w:tcPr>
          <w:p w:rsidR="005D2B18" w:rsidRPr="00DE3551" w:rsidRDefault="005D2B18" w:rsidP="00EE0D7D">
            <w:r>
              <w:t>.76</w:t>
            </w:r>
          </w:p>
        </w:tc>
      </w:tr>
      <w:tr w:rsidR="005D2B18" w:rsidRPr="00DE3551" w:rsidTr="00EE0D7D">
        <w:tc>
          <w:tcPr>
            <w:tcW w:w="1002" w:type="pct"/>
            <w:tcBorders>
              <w:top w:val="single" w:sz="4" w:space="0" w:color="auto"/>
            </w:tcBorders>
          </w:tcPr>
          <w:p w:rsidR="005D2B18" w:rsidRPr="00DE3551" w:rsidRDefault="005D2B18" w:rsidP="00EE0D7D">
            <w:pPr>
              <w:ind w:right="-108"/>
            </w:pPr>
            <w:r w:rsidRPr="00DE3551">
              <w:t>[…] cannot help people with back pain (r)</w:t>
            </w:r>
          </w:p>
        </w:tc>
        <w:tc>
          <w:tcPr>
            <w:tcW w:w="494" w:type="pct"/>
            <w:tcBorders>
              <w:top w:val="single" w:sz="4" w:space="0" w:color="auto"/>
            </w:tcBorders>
          </w:tcPr>
          <w:p w:rsidR="005D2B18" w:rsidRPr="00DE3551" w:rsidRDefault="005D2B18" w:rsidP="00EE0D7D">
            <w:r w:rsidRPr="00DE3551">
              <w:t>4.01 (0.93)</w:t>
            </w:r>
          </w:p>
        </w:tc>
        <w:tc>
          <w:tcPr>
            <w:tcW w:w="200" w:type="pct"/>
            <w:tcBorders>
              <w:top w:val="single" w:sz="4" w:space="0" w:color="auto"/>
            </w:tcBorders>
          </w:tcPr>
          <w:p w:rsidR="005D2B18" w:rsidRPr="00DE3551" w:rsidRDefault="005D2B18" w:rsidP="00EE0D7D">
            <w:r w:rsidRPr="00DE3551">
              <w:t>.74</w:t>
            </w:r>
          </w:p>
        </w:tc>
        <w:tc>
          <w:tcPr>
            <w:tcW w:w="301" w:type="pct"/>
            <w:tcBorders>
              <w:top w:val="single" w:sz="4" w:space="0" w:color="auto"/>
            </w:tcBorders>
          </w:tcPr>
          <w:p w:rsidR="005D2B18" w:rsidRPr="00DE3551" w:rsidRDefault="005D2B18" w:rsidP="00EE0D7D"/>
        </w:tc>
        <w:tc>
          <w:tcPr>
            <w:tcW w:w="492" w:type="pct"/>
            <w:tcBorders>
              <w:top w:val="single" w:sz="4" w:space="0" w:color="auto"/>
            </w:tcBorders>
          </w:tcPr>
          <w:p w:rsidR="005D2B18" w:rsidRPr="00DE3551" w:rsidRDefault="005D2B18" w:rsidP="00EE0D7D">
            <w:r w:rsidRPr="00DE3551">
              <w:t>3.</w:t>
            </w:r>
            <w:r>
              <w:t>99</w:t>
            </w:r>
            <w:r w:rsidRPr="00DE3551">
              <w:t xml:space="preserve"> (0.</w:t>
            </w:r>
            <w:r>
              <w:t>91</w:t>
            </w:r>
            <w:r w:rsidRPr="00DE3551">
              <w:t>)</w:t>
            </w:r>
          </w:p>
        </w:tc>
        <w:tc>
          <w:tcPr>
            <w:tcW w:w="251" w:type="pct"/>
            <w:tcBorders>
              <w:top w:val="single" w:sz="4" w:space="0" w:color="auto"/>
            </w:tcBorders>
          </w:tcPr>
          <w:p w:rsidR="005D2B18" w:rsidRPr="00DE3551" w:rsidRDefault="005D2B18" w:rsidP="00EE0D7D">
            <w:r w:rsidRPr="008E13D0">
              <w:t>.8</w:t>
            </w:r>
            <w:r>
              <w:t>2</w:t>
            </w:r>
          </w:p>
        </w:tc>
        <w:tc>
          <w:tcPr>
            <w:tcW w:w="265" w:type="pct"/>
            <w:tcBorders>
              <w:top w:val="single" w:sz="4" w:space="0" w:color="auto"/>
            </w:tcBorders>
          </w:tcPr>
          <w:p w:rsidR="005D2B18" w:rsidRPr="00551A82" w:rsidRDefault="005D2B18" w:rsidP="00EE0D7D"/>
        </w:tc>
        <w:tc>
          <w:tcPr>
            <w:tcW w:w="484" w:type="pct"/>
            <w:tcBorders>
              <w:top w:val="single" w:sz="4" w:space="0" w:color="auto"/>
            </w:tcBorders>
          </w:tcPr>
          <w:p w:rsidR="005D2B18" w:rsidRPr="00DE3551" w:rsidRDefault="005D2B18" w:rsidP="00EE0D7D">
            <w:r w:rsidRPr="00551A82">
              <w:t>3.8</w:t>
            </w:r>
            <w:r>
              <w:t>2</w:t>
            </w:r>
            <w:r w:rsidRPr="00551A82">
              <w:t xml:space="preserve"> (0.88)</w:t>
            </w:r>
          </w:p>
        </w:tc>
        <w:tc>
          <w:tcPr>
            <w:tcW w:w="200" w:type="pct"/>
            <w:tcBorders>
              <w:top w:val="single" w:sz="4" w:space="0" w:color="auto"/>
            </w:tcBorders>
          </w:tcPr>
          <w:p w:rsidR="005D2B18" w:rsidRPr="00DE3551" w:rsidRDefault="005D2B18" w:rsidP="00EE0D7D">
            <w:r w:rsidRPr="00562856">
              <w:t>.8</w:t>
            </w:r>
            <w:r>
              <w:t>9</w:t>
            </w:r>
          </w:p>
        </w:tc>
        <w:tc>
          <w:tcPr>
            <w:tcW w:w="302" w:type="pct"/>
            <w:tcBorders>
              <w:top w:val="single" w:sz="4" w:space="0" w:color="auto"/>
            </w:tcBorders>
          </w:tcPr>
          <w:p w:rsidR="005D2B18" w:rsidRPr="00551A82" w:rsidRDefault="005D2B18" w:rsidP="00EE0D7D"/>
        </w:tc>
        <w:tc>
          <w:tcPr>
            <w:tcW w:w="499" w:type="pct"/>
            <w:tcBorders>
              <w:top w:val="single" w:sz="4" w:space="0" w:color="auto"/>
            </w:tcBorders>
          </w:tcPr>
          <w:p w:rsidR="005D2B18" w:rsidRPr="00DE3551" w:rsidRDefault="005D2B18" w:rsidP="00EE0D7D">
            <w:r w:rsidRPr="00551A82">
              <w:t>3.</w:t>
            </w:r>
            <w:r>
              <w:t xml:space="preserve">50 </w:t>
            </w:r>
            <w:r w:rsidRPr="00551A82">
              <w:t>(0.8</w:t>
            </w:r>
            <w:r>
              <w:t>0</w:t>
            </w:r>
            <w:r w:rsidRPr="00551A82">
              <w:t>)</w:t>
            </w:r>
          </w:p>
        </w:tc>
        <w:tc>
          <w:tcPr>
            <w:tcW w:w="233" w:type="pct"/>
            <w:tcBorders>
              <w:top w:val="single" w:sz="4" w:space="0" w:color="auto"/>
            </w:tcBorders>
          </w:tcPr>
          <w:p w:rsidR="005D2B18" w:rsidRPr="00DE3551" w:rsidRDefault="005D2B18" w:rsidP="00EE0D7D">
            <w:r w:rsidRPr="00FD252A">
              <w:t>.85</w:t>
            </w:r>
          </w:p>
        </w:tc>
        <w:tc>
          <w:tcPr>
            <w:tcW w:w="278" w:type="pct"/>
            <w:tcBorders>
              <w:top w:val="single" w:sz="4" w:space="0" w:color="auto"/>
            </w:tcBorders>
          </w:tcPr>
          <w:p w:rsidR="005D2B18" w:rsidRPr="00FD252A" w:rsidRDefault="005D2B18" w:rsidP="00EE0D7D"/>
        </w:tc>
      </w:tr>
      <w:tr w:rsidR="005D2B18" w:rsidRPr="00DE3551" w:rsidTr="00EE0D7D">
        <w:tc>
          <w:tcPr>
            <w:tcW w:w="1002" w:type="pct"/>
          </w:tcPr>
          <w:p w:rsidR="005D2B18" w:rsidRPr="00DE3551" w:rsidRDefault="005D2B18" w:rsidP="00EE0D7D">
            <w:pPr>
              <w:ind w:right="-108"/>
            </w:pPr>
            <w:r w:rsidRPr="00DE3551">
              <w:t>[…] can work well for people with back pain</w:t>
            </w:r>
          </w:p>
        </w:tc>
        <w:tc>
          <w:tcPr>
            <w:tcW w:w="494" w:type="pct"/>
          </w:tcPr>
          <w:p w:rsidR="005D2B18" w:rsidRPr="00DE3551" w:rsidRDefault="005D2B18" w:rsidP="00EE0D7D">
            <w:r w:rsidRPr="00DE3551">
              <w:t>3.74 (0.90)</w:t>
            </w:r>
          </w:p>
        </w:tc>
        <w:tc>
          <w:tcPr>
            <w:tcW w:w="200" w:type="pct"/>
          </w:tcPr>
          <w:p w:rsidR="005D2B18" w:rsidRPr="00DE3551" w:rsidRDefault="005D2B18" w:rsidP="00EE0D7D">
            <w:r w:rsidRPr="00DE3551">
              <w:t>.77</w:t>
            </w:r>
          </w:p>
        </w:tc>
        <w:tc>
          <w:tcPr>
            <w:tcW w:w="301" w:type="pct"/>
          </w:tcPr>
          <w:p w:rsidR="005D2B18" w:rsidRPr="00DE3551" w:rsidRDefault="005D2B18" w:rsidP="00EE0D7D"/>
        </w:tc>
        <w:tc>
          <w:tcPr>
            <w:tcW w:w="492" w:type="pct"/>
          </w:tcPr>
          <w:p w:rsidR="005D2B18" w:rsidRPr="00DE3551" w:rsidRDefault="005D2B18" w:rsidP="00EE0D7D">
            <w:r w:rsidRPr="00DE3551">
              <w:t>3.</w:t>
            </w:r>
            <w:r>
              <w:t>80</w:t>
            </w:r>
            <w:r w:rsidRPr="00DE3551">
              <w:t xml:space="preserve"> (0.</w:t>
            </w:r>
            <w:r>
              <w:t>84</w:t>
            </w:r>
            <w:r w:rsidRPr="00DE3551">
              <w:t>)</w:t>
            </w:r>
          </w:p>
        </w:tc>
        <w:tc>
          <w:tcPr>
            <w:tcW w:w="251" w:type="pct"/>
          </w:tcPr>
          <w:p w:rsidR="005D2B18" w:rsidRPr="00DE3551" w:rsidRDefault="005D2B18" w:rsidP="00EE0D7D">
            <w:r w:rsidRPr="008E13D0">
              <w:t>.8</w:t>
            </w:r>
            <w:r>
              <w:t>2</w:t>
            </w:r>
          </w:p>
        </w:tc>
        <w:tc>
          <w:tcPr>
            <w:tcW w:w="265" w:type="pct"/>
          </w:tcPr>
          <w:p w:rsidR="005D2B18" w:rsidRPr="00551A82" w:rsidRDefault="005D2B18" w:rsidP="00EE0D7D"/>
        </w:tc>
        <w:tc>
          <w:tcPr>
            <w:tcW w:w="484" w:type="pct"/>
          </w:tcPr>
          <w:p w:rsidR="005D2B18" w:rsidRPr="00DE3551" w:rsidRDefault="005D2B18" w:rsidP="00EE0D7D">
            <w:r w:rsidRPr="00551A82">
              <w:t>3.</w:t>
            </w:r>
            <w:r>
              <w:t>7</w:t>
            </w:r>
            <w:r w:rsidRPr="00551A82">
              <w:t>6 (0.8</w:t>
            </w:r>
            <w:r>
              <w:t>3</w:t>
            </w:r>
            <w:r w:rsidRPr="00551A82">
              <w:t>)</w:t>
            </w:r>
          </w:p>
        </w:tc>
        <w:tc>
          <w:tcPr>
            <w:tcW w:w="200" w:type="pct"/>
          </w:tcPr>
          <w:p w:rsidR="005D2B18" w:rsidRPr="00DE3551" w:rsidRDefault="005D2B18" w:rsidP="00EE0D7D">
            <w:r w:rsidRPr="00562856">
              <w:t>.8</w:t>
            </w:r>
            <w:r>
              <w:t>6</w:t>
            </w:r>
          </w:p>
        </w:tc>
        <w:tc>
          <w:tcPr>
            <w:tcW w:w="302" w:type="pct"/>
          </w:tcPr>
          <w:p w:rsidR="005D2B18" w:rsidRPr="00551A82" w:rsidRDefault="005D2B18" w:rsidP="00EE0D7D"/>
        </w:tc>
        <w:tc>
          <w:tcPr>
            <w:tcW w:w="499" w:type="pct"/>
          </w:tcPr>
          <w:p w:rsidR="005D2B18" w:rsidRPr="00DE3551" w:rsidRDefault="005D2B18" w:rsidP="00EE0D7D">
            <w:r w:rsidRPr="00551A82">
              <w:t>3.</w:t>
            </w:r>
            <w:r>
              <w:t>3</w:t>
            </w:r>
            <w:r w:rsidRPr="00551A82">
              <w:t>6 (0.</w:t>
            </w:r>
            <w:r>
              <w:t>75</w:t>
            </w:r>
            <w:r w:rsidRPr="00551A82">
              <w:t>)</w:t>
            </w:r>
          </w:p>
        </w:tc>
        <w:tc>
          <w:tcPr>
            <w:tcW w:w="233" w:type="pct"/>
          </w:tcPr>
          <w:p w:rsidR="005D2B18" w:rsidRPr="00DE3551" w:rsidRDefault="005D2B18" w:rsidP="00EE0D7D">
            <w:r w:rsidRPr="00FD252A">
              <w:t>.87</w:t>
            </w:r>
          </w:p>
        </w:tc>
        <w:tc>
          <w:tcPr>
            <w:tcW w:w="278" w:type="pct"/>
          </w:tcPr>
          <w:p w:rsidR="005D2B18" w:rsidRPr="00FD252A" w:rsidRDefault="005D2B18" w:rsidP="00EE0D7D"/>
        </w:tc>
      </w:tr>
      <w:tr w:rsidR="005D2B18" w:rsidRPr="00DE3551" w:rsidTr="00EE0D7D">
        <w:tc>
          <w:tcPr>
            <w:tcW w:w="1002" w:type="pct"/>
          </w:tcPr>
          <w:p w:rsidR="005D2B18" w:rsidRPr="00DE3551" w:rsidRDefault="005D2B18" w:rsidP="00EE0D7D">
            <w:pPr>
              <w:ind w:right="-108"/>
            </w:pPr>
            <w:r w:rsidRPr="00DE3551">
              <w:t>I think […] is pretty useless for people with back pain (r)</w:t>
            </w:r>
          </w:p>
        </w:tc>
        <w:tc>
          <w:tcPr>
            <w:tcW w:w="494" w:type="pct"/>
          </w:tcPr>
          <w:p w:rsidR="005D2B18" w:rsidRPr="00DE3551" w:rsidRDefault="005D2B18" w:rsidP="00EE0D7D">
            <w:r w:rsidRPr="00DE3551">
              <w:t>3.98 (0.96)</w:t>
            </w:r>
          </w:p>
        </w:tc>
        <w:tc>
          <w:tcPr>
            <w:tcW w:w="200" w:type="pct"/>
          </w:tcPr>
          <w:p w:rsidR="005D2B18" w:rsidRPr="00DE3551" w:rsidRDefault="005D2B18" w:rsidP="00EE0D7D">
            <w:r w:rsidRPr="00DE3551">
              <w:t>.72</w:t>
            </w:r>
          </w:p>
        </w:tc>
        <w:tc>
          <w:tcPr>
            <w:tcW w:w="301" w:type="pct"/>
          </w:tcPr>
          <w:p w:rsidR="005D2B18" w:rsidRPr="00DE3551" w:rsidRDefault="005D2B18" w:rsidP="00EE0D7D"/>
        </w:tc>
        <w:tc>
          <w:tcPr>
            <w:tcW w:w="492" w:type="pct"/>
          </w:tcPr>
          <w:p w:rsidR="005D2B18" w:rsidRPr="00DE3551" w:rsidRDefault="005D2B18" w:rsidP="00EE0D7D">
            <w:r w:rsidRPr="00DE3551">
              <w:t>3.</w:t>
            </w:r>
            <w:r>
              <w:t>99</w:t>
            </w:r>
            <w:r w:rsidRPr="00DE3551">
              <w:t xml:space="preserve"> (</w:t>
            </w:r>
            <w:r>
              <w:t>0</w:t>
            </w:r>
            <w:r w:rsidRPr="00DE3551">
              <w:t>.</w:t>
            </w:r>
            <w:r>
              <w:t>91</w:t>
            </w:r>
            <w:r w:rsidRPr="00DE3551">
              <w:t>)</w:t>
            </w:r>
          </w:p>
        </w:tc>
        <w:tc>
          <w:tcPr>
            <w:tcW w:w="251" w:type="pct"/>
          </w:tcPr>
          <w:p w:rsidR="005D2B18" w:rsidRPr="00DE3551" w:rsidRDefault="005D2B18" w:rsidP="00EE0D7D">
            <w:r w:rsidRPr="008E13D0">
              <w:t>.</w:t>
            </w:r>
            <w:r>
              <w:t>80</w:t>
            </w:r>
          </w:p>
        </w:tc>
        <w:tc>
          <w:tcPr>
            <w:tcW w:w="265" w:type="pct"/>
          </w:tcPr>
          <w:p w:rsidR="005D2B18" w:rsidRPr="00551A82" w:rsidRDefault="005D2B18" w:rsidP="00EE0D7D"/>
        </w:tc>
        <w:tc>
          <w:tcPr>
            <w:tcW w:w="484" w:type="pct"/>
          </w:tcPr>
          <w:p w:rsidR="005D2B18" w:rsidRPr="00DE3551" w:rsidRDefault="005D2B18" w:rsidP="00EE0D7D">
            <w:r w:rsidRPr="00551A82">
              <w:t>3.86 (0.8</w:t>
            </w:r>
            <w:r>
              <w:t>7</w:t>
            </w:r>
            <w:r w:rsidRPr="00551A82">
              <w:t>)</w:t>
            </w:r>
          </w:p>
        </w:tc>
        <w:tc>
          <w:tcPr>
            <w:tcW w:w="200" w:type="pct"/>
          </w:tcPr>
          <w:p w:rsidR="005D2B18" w:rsidRPr="00DE3551" w:rsidRDefault="005D2B18" w:rsidP="00EE0D7D">
            <w:r w:rsidRPr="00562856">
              <w:t>.86</w:t>
            </w:r>
          </w:p>
        </w:tc>
        <w:tc>
          <w:tcPr>
            <w:tcW w:w="302" w:type="pct"/>
          </w:tcPr>
          <w:p w:rsidR="005D2B18" w:rsidRPr="00551A82" w:rsidRDefault="005D2B18" w:rsidP="00EE0D7D"/>
        </w:tc>
        <w:tc>
          <w:tcPr>
            <w:tcW w:w="499" w:type="pct"/>
          </w:tcPr>
          <w:p w:rsidR="005D2B18" w:rsidRPr="00DE3551" w:rsidRDefault="005D2B18" w:rsidP="00EE0D7D">
            <w:r w:rsidRPr="00551A82">
              <w:t>3.</w:t>
            </w:r>
            <w:r>
              <w:t>43</w:t>
            </w:r>
            <w:r w:rsidRPr="00551A82">
              <w:t xml:space="preserve"> (0.8</w:t>
            </w:r>
            <w:r>
              <w:t>2</w:t>
            </w:r>
            <w:r w:rsidRPr="00551A82">
              <w:t>)</w:t>
            </w:r>
          </w:p>
        </w:tc>
        <w:tc>
          <w:tcPr>
            <w:tcW w:w="233" w:type="pct"/>
          </w:tcPr>
          <w:p w:rsidR="005D2B18" w:rsidRPr="00DE3551" w:rsidRDefault="005D2B18" w:rsidP="00EE0D7D">
            <w:r w:rsidRPr="00FD252A">
              <w:t>.8</w:t>
            </w:r>
            <w:r>
              <w:t>7</w:t>
            </w:r>
          </w:p>
        </w:tc>
        <w:tc>
          <w:tcPr>
            <w:tcW w:w="278" w:type="pct"/>
          </w:tcPr>
          <w:p w:rsidR="005D2B18" w:rsidRPr="00FD252A" w:rsidRDefault="005D2B18" w:rsidP="00EE0D7D"/>
        </w:tc>
      </w:tr>
      <w:tr w:rsidR="005D2B18" w:rsidRPr="00DE3551" w:rsidTr="00EE0D7D">
        <w:tc>
          <w:tcPr>
            <w:tcW w:w="1002" w:type="pct"/>
            <w:tcBorders>
              <w:bottom w:val="single" w:sz="4" w:space="0" w:color="auto"/>
            </w:tcBorders>
          </w:tcPr>
          <w:p w:rsidR="005D2B18" w:rsidRPr="00DE3551" w:rsidRDefault="005D2B18" w:rsidP="00EE0D7D">
            <w:pPr>
              <w:ind w:right="-108"/>
            </w:pPr>
            <w:r w:rsidRPr="00DE3551">
              <w:t xml:space="preserve">[…] can make it easier for people to cope with back pain </w:t>
            </w:r>
          </w:p>
        </w:tc>
        <w:tc>
          <w:tcPr>
            <w:tcW w:w="494" w:type="pct"/>
            <w:tcBorders>
              <w:bottom w:val="single" w:sz="4" w:space="0" w:color="auto"/>
            </w:tcBorders>
          </w:tcPr>
          <w:p w:rsidR="005D2B18" w:rsidRPr="00DE3551" w:rsidRDefault="005D2B18" w:rsidP="00EE0D7D">
            <w:r w:rsidRPr="00DE3551">
              <w:t>4.03 (0.79)</w:t>
            </w:r>
          </w:p>
        </w:tc>
        <w:tc>
          <w:tcPr>
            <w:tcW w:w="200" w:type="pct"/>
            <w:tcBorders>
              <w:bottom w:val="single" w:sz="4" w:space="0" w:color="auto"/>
            </w:tcBorders>
          </w:tcPr>
          <w:p w:rsidR="005D2B18" w:rsidRPr="00DE3551" w:rsidRDefault="005D2B18" w:rsidP="00EE0D7D">
            <w:r w:rsidRPr="00DE3551">
              <w:t>.79</w:t>
            </w:r>
          </w:p>
        </w:tc>
        <w:tc>
          <w:tcPr>
            <w:tcW w:w="301" w:type="pct"/>
            <w:tcBorders>
              <w:bottom w:val="single" w:sz="4" w:space="0" w:color="auto"/>
            </w:tcBorders>
          </w:tcPr>
          <w:p w:rsidR="005D2B18" w:rsidRPr="00DE3551" w:rsidRDefault="005D2B18" w:rsidP="00EE0D7D"/>
        </w:tc>
        <w:tc>
          <w:tcPr>
            <w:tcW w:w="492" w:type="pct"/>
            <w:tcBorders>
              <w:bottom w:val="single" w:sz="4" w:space="0" w:color="auto"/>
            </w:tcBorders>
          </w:tcPr>
          <w:p w:rsidR="005D2B18" w:rsidRPr="00DE3551" w:rsidRDefault="005D2B18" w:rsidP="00EE0D7D">
            <w:r w:rsidRPr="00DE3551">
              <w:t>3.</w:t>
            </w:r>
            <w:r>
              <w:t>77</w:t>
            </w:r>
            <w:r w:rsidRPr="00DE3551">
              <w:t xml:space="preserve"> (0.</w:t>
            </w:r>
            <w:r>
              <w:t>82</w:t>
            </w:r>
            <w:r w:rsidRPr="00DE3551">
              <w:t>)</w:t>
            </w:r>
          </w:p>
        </w:tc>
        <w:tc>
          <w:tcPr>
            <w:tcW w:w="251" w:type="pct"/>
            <w:tcBorders>
              <w:bottom w:val="single" w:sz="4" w:space="0" w:color="auto"/>
            </w:tcBorders>
          </w:tcPr>
          <w:p w:rsidR="005D2B18" w:rsidRPr="00DE3551" w:rsidRDefault="005D2B18" w:rsidP="00EE0D7D">
            <w:r w:rsidRPr="008E13D0">
              <w:t>.79</w:t>
            </w:r>
          </w:p>
        </w:tc>
        <w:tc>
          <w:tcPr>
            <w:tcW w:w="265" w:type="pct"/>
            <w:tcBorders>
              <w:bottom w:val="single" w:sz="4" w:space="0" w:color="auto"/>
            </w:tcBorders>
          </w:tcPr>
          <w:p w:rsidR="005D2B18" w:rsidRPr="00551A82" w:rsidRDefault="005D2B18" w:rsidP="00EE0D7D"/>
        </w:tc>
        <w:tc>
          <w:tcPr>
            <w:tcW w:w="484" w:type="pct"/>
            <w:tcBorders>
              <w:bottom w:val="single" w:sz="4" w:space="0" w:color="auto"/>
            </w:tcBorders>
          </w:tcPr>
          <w:p w:rsidR="005D2B18" w:rsidRPr="00DE3551" w:rsidRDefault="005D2B18" w:rsidP="00EE0D7D">
            <w:r w:rsidRPr="00551A82">
              <w:t>3.</w:t>
            </w:r>
            <w:r>
              <w:t>77</w:t>
            </w:r>
            <w:r w:rsidRPr="00551A82">
              <w:t xml:space="preserve"> (0.8</w:t>
            </w:r>
            <w:r>
              <w:t>2</w:t>
            </w:r>
            <w:r w:rsidRPr="00551A82">
              <w:t>)</w:t>
            </w:r>
          </w:p>
        </w:tc>
        <w:tc>
          <w:tcPr>
            <w:tcW w:w="200" w:type="pct"/>
            <w:tcBorders>
              <w:bottom w:val="single" w:sz="4" w:space="0" w:color="auto"/>
            </w:tcBorders>
          </w:tcPr>
          <w:p w:rsidR="005D2B18" w:rsidRPr="00DE3551" w:rsidRDefault="005D2B18" w:rsidP="00EE0D7D">
            <w:r w:rsidRPr="00562856">
              <w:t>.</w:t>
            </w:r>
            <w:r>
              <w:t>90</w:t>
            </w:r>
          </w:p>
        </w:tc>
        <w:tc>
          <w:tcPr>
            <w:tcW w:w="302" w:type="pct"/>
            <w:tcBorders>
              <w:bottom w:val="single" w:sz="4" w:space="0" w:color="auto"/>
            </w:tcBorders>
          </w:tcPr>
          <w:p w:rsidR="005D2B18" w:rsidRPr="00551A82" w:rsidRDefault="005D2B18" w:rsidP="00EE0D7D"/>
        </w:tc>
        <w:tc>
          <w:tcPr>
            <w:tcW w:w="499" w:type="pct"/>
            <w:tcBorders>
              <w:bottom w:val="single" w:sz="4" w:space="0" w:color="auto"/>
            </w:tcBorders>
          </w:tcPr>
          <w:p w:rsidR="005D2B18" w:rsidRPr="00DE3551" w:rsidRDefault="005D2B18" w:rsidP="00EE0D7D">
            <w:r w:rsidRPr="00551A82">
              <w:t>3.</w:t>
            </w:r>
            <w:r>
              <w:t>39</w:t>
            </w:r>
            <w:r w:rsidRPr="00551A82">
              <w:t xml:space="preserve"> (0.</w:t>
            </w:r>
            <w:r>
              <w:t>76</w:t>
            </w:r>
            <w:r w:rsidRPr="00551A82">
              <w:t>)</w:t>
            </w:r>
          </w:p>
        </w:tc>
        <w:tc>
          <w:tcPr>
            <w:tcW w:w="233" w:type="pct"/>
            <w:tcBorders>
              <w:bottom w:val="single" w:sz="4" w:space="0" w:color="auto"/>
            </w:tcBorders>
          </w:tcPr>
          <w:p w:rsidR="005D2B18" w:rsidRPr="00DE3551" w:rsidRDefault="005D2B18" w:rsidP="00EE0D7D">
            <w:r w:rsidRPr="00FD252A">
              <w:t>.8</w:t>
            </w:r>
            <w:r>
              <w:t>6</w:t>
            </w:r>
          </w:p>
        </w:tc>
        <w:tc>
          <w:tcPr>
            <w:tcW w:w="278" w:type="pct"/>
            <w:tcBorders>
              <w:bottom w:val="single" w:sz="4" w:space="0" w:color="auto"/>
            </w:tcBorders>
          </w:tcPr>
          <w:p w:rsidR="005D2B18" w:rsidRPr="00FD252A" w:rsidRDefault="005D2B18" w:rsidP="00EE0D7D"/>
        </w:tc>
      </w:tr>
      <w:tr w:rsidR="005D2B18" w:rsidRPr="00DE3551" w:rsidTr="00EE0D7D">
        <w:tc>
          <w:tcPr>
            <w:tcW w:w="1002" w:type="pct"/>
            <w:tcBorders>
              <w:bottom w:val="single" w:sz="4" w:space="0" w:color="auto"/>
            </w:tcBorders>
          </w:tcPr>
          <w:p w:rsidR="005D2B18" w:rsidRPr="00DE3551" w:rsidRDefault="005D2B18" w:rsidP="00EE0D7D">
            <w:pPr>
              <w:ind w:right="-108"/>
            </w:pPr>
            <w:r w:rsidRPr="00DE3551">
              <w:t>Concerns</w:t>
            </w:r>
          </w:p>
        </w:tc>
        <w:tc>
          <w:tcPr>
            <w:tcW w:w="494" w:type="pct"/>
            <w:tcBorders>
              <w:bottom w:val="single" w:sz="4" w:space="0" w:color="auto"/>
            </w:tcBorders>
          </w:tcPr>
          <w:p w:rsidR="005D2B18" w:rsidRPr="00DE3551" w:rsidRDefault="005D2B18" w:rsidP="00EE0D7D">
            <w:r>
              <w:t>3.48(0.79)</w:t>
            </w:r>
          </w:p>
        </w:tc>
        <w:tc>
          <w:tcPr>
            <w:tcW w:w="200" w:type="pct"/>
            <w:tcBorders>
              <w:bottom w:val="single" w:sz="4" w:space="0" w:color="auto"/>
            </w:tcBorders>
          </w:tcPr>
          <w:p w:rsidR="005D2B18" w:rsidRPr="00DE3551" w:rsidRDefault="005D2B18" w:rsidP="00EE0D7D">
            <w:r w:rsidRPr="00DE3551">
              <w:t>.73</w:t>
            </w:r>
            <w:r>
              <w:t xml:space="preserve"> </w:t>
            </w:r>
          </w:p>
        </w:tc>
        <w:tc>
          <w:tcPr>
            <w:tcW w:w="301" w:type="pct"/>
            <w:tcBorders>
              <w:bottom w:val="single" w:sz="4" w:space="0" w:color="auto"/>
            </w:tcBorders>
          </w:tcPr>
          <w:p w:rsidR="005D2B18" w:rsidRDefault="005D2B18" w:rsidP="00EE0D7D">
            <w:r>
              <w:t>.80</w:t>
            </w:r>
          </w:p>
        </w:tc>
        <w:tc>
          <w:tcPr>
            <w:tcW w:w="492" w:type="pct"/>
            <w:tcBorders>
              <w:bottom w:val="single" w:sz="4" w:space="0" w:color="auto"/>
            </w:tcBorders>
          </w:tcPr>
          <w:p w:rsidR="005D2B18" w:rsidRPr="00DE3551" w:rsidRDefault="005D2B18" w:rsidP="00EE0D7D">
            <w:r>
              <w:t>3.32 (0.91)</w:t>
            </w:r>
          </w:p>
        </w:tc>
        <w:tc>
          <w:tcPr>
            <w:tcW w:w="251" w:type="pct"/>
            <w:tcBorders>
              <w:bottom w:val="single" w:sz="4" w:space="0" w:color="auto"/>
            </w:tcBorders>
          </w:tcPr>
          <w:p w:rsidR="005D2B18" w:rsidRPr="00DE3551" w:rsidRDefault="005D2B18" w:rsidP="00EE0D7D">
            <w:r w:rsidRPr="00DE3551">
              <w:t>.85</w:t>
            </w:r>
            <w:r>
              <w:t xml:space="preserve"> </w:t>
            </w:r>
          </w:p>
        </w:tc>
        <w:tc>
          <w:tcPr>
            <w:tcW w:w="265" w:type="pct"/>
            <w:tcBorders>
              <w:bottom w:val="single" w:sz="4" w:space="0" w:color="auto"/>
            </w:tcBorders>
          </w:tcPr>
          <w:p w:rsidR="005D2B18" w:rsidRDefault="005D2B18" w:rsidP="00EE0D7D">
            <w:r>
              <w:t>.77</w:t>
            </w:r>
          </w:p>
        </w:tc>
        <w:tc>
          <w:tcPr>
            <w:tcW w:w="484" w:type="pct"/>
            <w:tcBorders>
              <w:bottom w:val="single" w:sz="4" w:space="0" w:color="auto"/>
            </w:tcBorders>
          </w:tcPr>
          <w:p w:rsidR="005D2B18" w:rsidRPr="00DE3551" w:rsidRDefault="005D2B18" w:rsidP="00EE0D7D">
            <w:r>
              <w:t>3.33 (0.94)</w:t>
            </w:r>
          </w:p>
        </w:tc>
        <w:tc>
          <w:tcPr>
            <w:tcW w:w="200" w:type="pct"/>
            <w:tcBorders>
              <w:bottom w:val="single" w:sz="4" w:space="0" w:color="auto"/>
            </w:tcBorders>
          </w:tcPr>
          <w:p w:rsidR="005D2B18" w:rsidRPr="00DE3551" w:rsidRDefault="005D2B18" w:rsidP="00EE0D7D">
            <w:r w:rsidRPr="00DE3551">
              <w:t>.89</w:t>
            </w:r>
            <w:r>
              <w:t xml:space="preserve"> </w:t>
            </w:r>
          </w:p>
        </w:tc>
        <w:tc>
          <w:tcPr>
            <w:tcW w:w="302" w:type="pct"/>
            <w:tcBorders>
              <w:bottom w:val="single" w:sz="4" w:space="0" w:color="auto"/>
            </w:tcBorders>
          </w:tcPr>
          <w:p w:rsidR="005D2B18" w:rsidRDefault="005D2B18" w:rsidP="00EE0D7D">
            <w:r>
              <w:t>.83</w:t>
            </w:r>
          </w:p>
        </w:tc>
        <w:tc>
          <w:tcPr>
            <w:tcW w:w="499" w:type="pct"/>
            <w:tcBorders>
              <w:bottom w:val="single" w:sz="4" w:space="0" w:color="auto"/>
            </w:tcBorders>
          </w:tcPr>
          <w:p w:rsidR="005D2B18" w:rsidRPr="00DE3551" w:rsidRDefault="005D2B18" w:rsidP="00EE0D7D">
            <w:r>
              <w:t>3.36 (0.81)</w:t>
            </w:r>
          </w:p>
        </w:tc>
        <w:tc>
          <w:tcPr>
            <w:tcW w:w="233" w:type="pct"/>
            <w:tcBorders>
              <w:bottom w:val="single" w:sz="4" w:space="0" w:color="auto"/>
            </w:tcBorders>
          </w:tcPr>
          <w:p w:rsidR="005D2B18" w:rsidRPr="00DE3551" w:rsidRDefault="005D2B18" w:rsidP="00EE0D7D">
            <w:r w:rsidRPr="00DE3551">
              <w:t>.85</w:t>
            </w:r>
            <w:r>
              <w:t xml:space="preserve"> </w:t>
            </w:r>
          </w:p>
        </w:tc>
        <w:tc>
          <w:tcPr>
            <w:tcW w:w="278" w:type="pct"/>
            <w:tcBorders>
              <w:bottom w:val="single" w:sz="4" w:space="0" w:color="auto"/>
            </w:tcBorders>
          </w:tcPr>
          <w:p w:rsidR="005D2B18" w:rsidRPr="00DE3551" w:rsidRDefault="005D2B18" w:rsidP="00EE0D7D">
            <w:r>
              <w:t>.80</w:t>
            </w:r>
          </w:p>
        </w:tc>
      </w:tr>
      <w:tr w:rsidR="005D2B18" w:rsidRPr="00DE3551" w:rsidTr="00EE0D7D">
        <w:tc>
          <w:tcPr>
            <w:tcW w:w="1002" w:type="pct"/>
            <w:tcBorders>
              <w:top w:val="single" w:sz="4" w:space="0" w:color="auto"/>
            </w:tcBorders>
          </w:tcPr>
          <w:p w:rsidR="005D2B18" w:rsidRPr="00DE3551" w:rsidRDefault="005D2B18" w:rsidP="00EE0D7D">
            <w:pPr>
              <w:ind w:right="-108"/>
            </w:pPr>
            <w:r w:rsidRPr="00DE3551">
              <w:t>I worry that […] could make my back worse  (r)</w:t>
            </w:r>
          </w:p>
        </w:tc>
        <w:tc>
          <w:tcPr>
            <w:tcW w:w="494" w:type="pct"/>
            <w:tcBorders>
              <w:top w:val="single" w:sz="4" w:space="0" w:color="auto"/>
            </w:tcBorders>
          </w:tcPr>
          <w:p w:rsidR="005D2B18" w:rsidRPr="00DE3551" w:rsidRDefault="005D2B18" w:rsidP="00EE0D7D">
            <w:r w:rsidRPr="00DE3551">
              <w:t>3.86 (0.96)</w:t>
            </w:r>
          </w:p>
        </w:tc>
        <w:tc>
          <w:tcPr>
            <w:tcW w:w="200" w:type="pct"/>
            <w:tcBorders>
              <w:top w:val="single" w:sz="4" w:space="0" w:color="auto"/>
            </w:tcBorders>
          </w:tcPr>
          <w:p w:rsidR="005D2B18" w:rsidRPr="00DE3551" w:rsidRDefault="005D2B18" w:rsidP="00EE0D7D">
            <w:r w:rsidRPr="00DE3551">
              <w:t>.75</w:t>
            </w:r>
          </w:p>
        </w:tc>
        <w:tc>
          <w:tcPr>
            <w:tcW w:w="301" w:type="pct"/>
            <w:tcBorders>
              <w:top w:val="single" w:sz="4" w:space="0" w:color="auto"/>
            </w:tcBorders>
          </w:tcPr>
          <w:p w:rsidR="005D2B18" w:rsidRPr="00DE3551" w:rsidRDefault="005D2B18" w:rsidP="00EE0D7D"/>
        </w:tc>
        <w:tc>
          <w:tcPr>
            <w:tcW w:w="492" w:type="pct"/>
            <w:tcBorders>
              <w:top w:val="single" w:sz="4" w:space="0" w:color="auto"/>
            </w:tcBorders>
          </w:tcPr>
          <w:p w:rsidR="005D2B18" w:rsidRPr="00DE3551" w:rsidRDefault="005D2B18" w:rsidP="00EE0D7D">
            <w:r w:rsidRPr="00DE3551">
              <w:t>3.</w:t>
            </w:r>
            <w:r>
              <w:t>15</w:t>
            </w:r>
            <w:r w:rsidRPr="00DE3551">
              <w:t xml:space="preserve"> (</w:t>
            </w:r>
            <w:r>
              <w:t>1</w:t>
            </w:r>
            <w:r w:rsidRPr="00DE3551">
              <w:t>.</w:t>
            </w:r>
            <w:r>
              <w:t>16</w:t>
            </w:r>
            <w:r w:rsidRPr="00DE3551">
              <w:t>)</w:t>
            </w:r>
          </w:p>
        </w:tc>
        <w:tc>
          <w:tcPr>
            <w:tcW w:w="251" w:type="pct"/>
            <w:tcBorders>
              <w:top w:val="single" w:sz="4" w:space="0" w:color="auto"/>
            </w:tcBorders>
          </w:tcPr>
          <w:p w:rsidR="005D2B18" w:rsidRPr="00DE3551" w:rsidRDefault="005D2B18" w:rsidP="00EE0D7D">
            <w:r w:rsidRPr="0093725F">
              <w:t>.81</w:t>
            </w:r>
          </w:p>
        </w:tc>
        <w:tc>
          <w:tcPr>
            <w:tcW w:w="265" w:type="pct"/>
            <w:tcBorders>
              <w:top w:val="single" w:sz="4" w:space="0" w:color="auto"/>
            </w:tcBorders>
          </w:tcPr>
          <w:p w:rsidR="005D2B18" w:rsidRPr="00DE3551" w:rsidRDefault="005D2B18" w:rsidP="00EE0D7D"/>
        </w:tc>
        <w:tc>
          <w:tcPr>
            <w:tcW w:w="484" w:type="pct"/>
            <w:tcBorders>
              <w:top w:val="single" w:sz="4" w:space="0" w:color="auto"/>
            </w:tcBorders>
          </w:tcPr>
          <w:p w:rsidR="005D2B18" w:rsidRPr="00DE3551" w:rsidRDefault="005D2B18" w:rsidP="00EE0D7D">
            <w:r w:rsidRPr="00DE3551">
              <w:t>3.</w:t>
            </w:r>
            <w:r>
              <w:t>15</w:t>
            </w:r>
            <w:r w:rsidRPr="00DE3551">
              <w:t xml:space="preserve"> (</w:t>
            </w:r>
            <w:r>
              <w:t>1</w:t>
            </w:r>
            <w:r w:rsidRPr="00DE3551">
              <w:t>.</w:t>
            </w:r>
            <w:r>
              <w:t>13</w:t>
            </w:r>
            <w:r w:rsidRPr="00DE3551">
              <w:t>)</w:t>
            </w:r>
          </w:p>
        </w:tc>
        <w:tc>
          <w:tcPr>
            <w:tcW w:w="200" w:type="pct"/>
            <w:tcBorders>
              <w:top w:val="single" w:sz="4" w:space="0" w:color="auto"/>
            </w:tcBorders>
          </w:tcPr>
          <w:p w:rsidR="005D2B18" w:rsidRPr="00DE3551" w:rsidRDefault="005D2B18" w:rsidP="00EE0D7D">
            <w:r w:rsidRPr="0084470E">
              <w:t>.8</w:t>
            </w:r>
            <w:r>
              <w:t>5</w:t>
            </w:r>
          </w:p>
        </w:tc>
        <w:tc>
          <w:tcPr>
            <w:tcW w:w="302" w:type="pct"/>
            <w:tcBorders>
              <w:top w:val="single" w:sz="4" w:space="0" w:color="auto"/>
            </w:tcBorders>
          </w:tcPr>
          <w:p w:rsidR="005D2B18" w:rsidRPr="0017346F" w:rsidRDefault="005D2B18" w:rsidP="00EE0D7D"/>
        </w:tc>
        <w:tc>
          <w:tcPr>
            <w:tcW w:w="499" w:type="pct"/>
            <w:tcBorders>
              <w:top w:val="single" w:sz="4" w:space="0" w:color="auto"/>
            </w:tcBorders>
          </w:tcPr>
          <w:p w:rsidR="005D2B18" w:rsidRPr="00DE3551" w:rsidRDefault="005D2B18" w:rsidP="00EE0D7D">
            <w:r w:rsidRPr="0017346F">
              <w:t>3.</w:t>
            </w:r>
            <w:r>
              <w:t>40</w:t>
            </w:r>
            <w:r w:rsidRPr="0017346F">
              <w:t xml:space="preserve"> (0.9</w:t>
            </w:r>
            <w:r>
              <w:t>5</w:t>
            </w:r>
            <w:r w:rsidRPr="0017346F">
              <w:t>)</w:t>
            </w:r>
          </w:p>
        </w:tc>
        <w:tc>
          <w:tcPr>
            <w:tcW w:w="233" w:type="pct"/>
            <w:tcBorders>
              <w:top w:val="single" w:sz="4" w:space="0" w:color="auto"/>
            </w:tcBorders>
          </w:tcPr>
          <w:p w:rsidR="005D2B18" w:rsidRPr="00DE3551" w:rsidRDefault="005D2B18" w:rsidP="00EE0D7D">
            <w:r w:rsidRPr="00E925D0">
              <w:t>.8</w:t>
            </w:r>
            <w:r>
              <w:t>1</w:t>
            </w:r>
          </w:p>
        </w:tc>
        <w:tc>
          <w:tcPr>
            <w:tcW w:w="278" w:type="pct"/>
            <w:tcBorders>
              <w:top w:val="single" w:sz="4" w:space="0" w:color="auto"/>
            </w:tcBorders>
          </w:tcPr>
          <w:p w:rsidR="005D2B18" w:rsidRPr="00E925D0" w:rsidRDefault="005D2B18" w:rsidP="00EE0D7D"/>
        </w:tc>
      </w:tr>
      <w:tr w:rsidR="005D2B18" w:rsidRPr="00DE3551" w:rsidTr="00EE0D7D">
        <w:tc>
          <w:tcPr>
            <w:tcW w:w="1002" w:type="pct"/>
          </w:tcPr>
          <w:p w:rsidR="005D2B18" w:rsidRPr="00DE3551" w:rsidRDefault="005D2B18" w:rsidP="00EE0D7D">
            <w:pPr>
              <w:ind w:right="-108"/>
            </w:pPr>
            <w:r w:rsidRPr="00DE3551">
              <w:lastRenderedPageBreak/>
              <w:t>I have concerns about taking/having […] for my back pain (r)</w:t>
            </w:r>
          </w:p>
        </w:tc>
        <w:tc>
          <w:tcPr>
            <w:tcW w:w="494" w:type="pct"/>
          </w:tcPr>
          <w:p w:rsidR="005D2B18" w:rsidRPr="00DE3551" w:rsidRDefault="005D2B18" w:rsidP="00EE0D7D">
            <w:r w:rsidRPr="00DE3551">
              <w:t>3.25 (1.21)</w:t>
            </w:r>
          </w:p>
        </w:tc>
        <w:tc>
          <w:tcPr>
            <w:tcW w:w="200" w:type="pct"/>
          </w:tcPr>
          <w:p w:rsidR="005D2B18" w:rsidRPr="00DE3551" w:rsidRDefault="005D2B18" w:rsidP="00EE0D7D">
            <w:r w:rsidRPr="00DE3551">
              <w:t>.62</w:t>
            </w:r>
          </w:p>
        </w:tc>
        <w:tc>
          <w:tcPr>
            <w:tcW w:w="301" w:type="pct"/>
          </w:tcPr>
          <w:p w:rsidR="005D2B18" w:rsidRPr="0049533E" w:rsidRDefault="005D2B18" w:rsidP="00EE0D7D"/>
        </w:tc>
        <w:tc>
          <w:tcPr>
            <w:tcW w:w="492" w:type="pct"/>
          </w:tcPr>
          <w:p w:rsidR="005D2B18" w:rsidRPr="00DE3551" w:rsidRDefault="005D2B18" w:rsidP="00EE0D7D">
            <w:r w:rsidRPr="0049533E">
              <w:t>3.</w:t>
            </w:r>
            <w:r>
              <w:t>22</w:t>
            </w:r>
            <w:r w:rsidRPr="0049533E">
              <w:t xml:space="preserve"> (1.1</w:t>
            </w:r>
            <w:r>
              <w:t>5</w:t>
            </w:r>
            <w:r w:rsidRPr="0049533E">
              <w:t>)</w:t>
            </w:r>
          </w:p>
        </w:tc>
        <w:tc>
          <w:tcPr>
            <w:tcW w:w="251" w:type="pct"/>
          </w:tcPr>
          <w:p w:rsidR="005D2B18" w:rsidRPr="00DE3551" w:rsidRDefault="005D2B18" w:rsidP="00EE0D7D">
            <w:r w:rsidRPr="0093725F">
              <w:t>.76</w:t>
            </w:r>
          </w:p>
        </w:tc>
        <w:tc>
          <w:tcPr>
            <w:tcW w:w="265" w:type="pct"/>
          </w:tcPr>
          <w:p w:rsidR="005D2B18" w:rsidRPr="0049533E" w:rsidRDefault="005D2B18" w:rsidP="00EE0D7D"/>
        </w:tc>
        <w:tc>
          <w:tcPr>
            <w:tcW w:w="484" w:type="pct"/>
          </w:tcPr>
          <w:p w:rsidR="005D2B18" w:rsidRPr="00DE3551" w:rsidRDefault="005D2B18" w:rsidP="00EE0D7D">
            <w:r w:rsidRPr="0049533E">
              <w:t>3.</w:t>
            </w:r>
            <w:r>
              <w:t>23</w:t>
            </w:r>
            <w:r w:rsidRPr="0049533E">
              <w:t xml:space="preserve"> (1.1</w:t>
            </w:r>
            <w:r>
              <w:t>7</w:t>
            </w:r>
            <w:r w:rsidRPr="0049533E">
              <w:t>)</w:t>
            </w:r>
          </w:p>
        </w:tc>
        <w:tc>
          <w:tcPr>
            <w:tcW w:w="200" w:type="pct"/>
          </w:tcPr>
          <w:p w:rsidR="005D2B18" w:rsidRPr="00DE3551" w:rsidRDefault="005D2B18" w:rsidP="00EE0D7D">
            <w:r w:rsidRPr="0084470E">
              <w:t>.85</w:t>
            </w:r>
          </w:p>
        </w:tc>
        <w:tc>
          <w:tcPr>
            <w:tcW w:w="302" w:type="pct"/>
          </w:tcPr>
          <w:p w:rsidR="005D2B18" w:rsidRPr="00B50466" w:rsidRDefault="005D2B18" w:rsidP="00EE0D7D"/>
        </w:tc>
        <w:tc>
          <w:tcPr>
            <w:tcW w:w="499" w:type="pct"/>
          </w:tcPr>
          <w:p w:rsidR="005D2B18" w:rsidRPr="00DE3551" w:rsidRDefault="005D2B18" w:rsidP="00EE0D7D">
            <w:r w:rsidRPr="00B50466">
              <w:t>3.</w:t>
            </w:r>
            <w:r>
              <w:t>20</w:t>
            </w:r>
            <w:r w:rsidRPr="00B50466">
              <w:t xml:space="preserve"> (1.0</w:t>
            </w:r>
            <w:r>
              <w:t>6</w:t>
            </w:r>
            <w:r w:rsidRPr="00B50466">
              <w:t>)</w:t>
            </w:r>
          </w:p>
        </w:tc>
        <w:tc>
          <w:tcPr>
            <w:tcW w:w="233" w:type="pct"/>
          </w:tcPr>
          <w:p w:rsidR="005D2B18" w:rsidRPr="00DE3551" w:rsidRDefault="005D2B18" w:rsidP="00EE0D7D">
            <w:r w:rsidRPr="00E925D0">
              <w:t>.7</w:t>
            </w:r>
            <w:r>
              <w:t>6</w:t>
            </w:r>
          </w:p>
        </w:tc>
        <w:tc>
          <w:tcPr>
            <w:tcW w:w="278" w:type="pct"/>
          </w:tcPr>
          <w:p w:rsidR="005D2B18" w:rsidRPr="00E925D0" w:rsidRDefault="005D2B18" w:rsidP="00EE0D7D"/>
        </w:tc>
      </w:tr>
      <w:tr w:rsidR="005D2B18" w:rsidRPr="00DE3551" w:rsidTr="00EE0D7D">
        <w:tc>
          <w:tcPr>
            <w:tcW w:w="1002" w:type="pct"/>
          </w:tcPr>
          <w:p w:rsidR="005D2B18" w:rsidRPr="00DE3551" w:rsidRDefault="005D2B18" w:rsidP="00EE0D7D">
            <w:pPr>
              <w:ind w:right="-108"/>
            </w:pPr>
            <w:r w:rsidRPr="00DE3551">
              <w:t>I would feel at ease about taking/having […] for my back pain</w:t>
            </w:r>
          </w:p>
        </w:tc>
        <w:tc>
          <w:tcPr>
            <w:tcW w:w="494" w:type="pct"/>
          </w:tcPr>
          <w:p w:rsidR="005D2B18" w:rsidRPr="00DE3551" w:rsidRDefault="005D2B18" w:rsidP="00EE0D7D">
            <w:r w:rsidRPr="00DE3551">
              <w:t>3.52 (1.02)</w:t>
            </w:r>
          </w:p>
        </w:tc>
        <w:tc>
          <w:tcPr>
            <w:tcW w:w="200" w:type="pct"/>
          </w:tcPr>
          <w:p w:rsidR="005D2B18" w:rsidRPr="00DE3551" w:rsidRDefault="005D2B18" w:rsidP="00EE0D7D">
            <w:r w:rsidRPr="00DE3551">
              <w:t>.64</w:t>
            </w:r>
          </w:p>
        </w:tc>
        <w:tc>
          <w:tcPr>
            <w:tcW w:w="301" w:type="pct"/>
          </w:tcPr>
          <w:p w:rsidR="005D2B18" w:rsidRPr="0049533E" w:rsidRDefault="005D2B18" w:rsidP="00EE0D7D"/>
        </w:tc>
        <w:tc>
          <w:tcPr>
            <w:tcW w:w="492" w:type="pct"/>
          </w:tcPr>
          <w:p w:rsidR="005D2B18" w:rsidRPr="00DE3551" w:rsidRDefault="005D2B18" w:rsidP="00EE0D7D">
            <w:r w:rsidRPr="0049533E">
              <w:t>3.</w:t>
            </w:r>
            <w:r>
              <w:t>48</w:t>
            </w:r>
            <w:r w:rsidRPr="0049533E">
              <w:t xml:space="preserve"> (1.</w:t>
            </w:r>
            <w:r>
              <w:t>0</w:t>
            </w:r>
            <w:r w:rsidRPr="0049533E">
              <w:t>6)</w:t>
            </w:r>
          </w:p>
        </w:tc>
        <w:tc>
          <w:tcPr>
            <w:tcW w:w="251" w:type="pct"/>
          </w:tcPr>
          <w:p w:rsidR="005D2B18" w:rsidRPr="00DE3551" w:rsidRDefault="005D2B18" w:rsidP="00EE0D7D">
            <w:r w:rsidRPr="0093725F">
              <w:t>.79</w:t>
            </w:r>
          </w:p>
        </w:tc>
        <w:tc>
          <w:tcPr>
            <w:tcW w:w="265" w:type="pct"/>
          </w:tcPr>
          <w:p w:rsidR="005D2B18" w:rsidRPr="0049533E" w:rsidRDefault="005D2B18" w:rsidP="00EE0D7D"/>
        </w:tc>
        <w:tc>
          <w:tcPr>
            <w:tcW w:w="484" w:type="pct"/>
          </w:tcPr>
          <w:p w:rsidR="005D2B18" w:rsidRPr="00DE3551" w:rsidRDefault="005D2B18" w:rsidP="00EE0D7D">
            <w:r w:rsidRPr="0049533E">
              <w:t>3.</w:t>
            </w:r>
            <w:r>
              <w:t>49</w:t>
            </w:r>
            <w:r w:rsidRPr="0049533E">
              <w:t xml:space="preserve"> (1.</w:t>
            </w:r>
            <w:r>
              <w:t>04</w:t>
            </w:r>
            <w:r w:rsidRPr="0049533E">
              <w:t>)</w:t>
            </w:r>
          </w:p>
        </w:tc>
        <w:tc>
          <w:tcPr>
            <w:tcW w:w="200" w:type="pct"/>
          </w:tcPr>
          <w:p w:rsidR="005D2B18" w:rsidRPr="00DE3551" w:rsidRDefault="005D2B18" w:rsidP="00EE0D7D">
            <w:r w:rsidRPr="0084470E">
              <w:t>.8</w:t>
            </w:r>
            <w:r>
              <w:t>5</w:t>
            </w:r>
          </w:p>
        </w:tc>
        <w:tc>
          <w:tcPr>
            <w:tcW w:w="302" w:type="pct"/>
          </w:tcPr>
          <w:p w:rsidR="005D2B18" w:rsidRPr="00B50466" w:rsidRDefault="005D2B18" w:rsidP="00EE0D7D"/>
        </w:tc>
        <w:tc>
          <w:tcPr>
            <w:tcW w:w="499" w:type="pct"/>
          </w:tcPr>
          <w:p w:rsidR="005D2B18" w:rsidRPr="00DE3551" w:rsidRDefault="005D2B18" w:rsidP="00EE0D7D">
            <w:r w:rsidRPr="00B50466">
              <w:t>3.</w:t>
            </w:r>
            <w:r>
              <w:t>26</w:t>
            </w:r>
            <w:r w:rsidRPr="00B50466">
              <w:t xml:space="preserve"> (1.05)</w:t>
            </w:r>
          </w:p>
        </w:tc>
        <w:tc>
          <w:tcPr>
            <w:tcW w:w="233" w:type="pct"/>
          </w:tcPr>
          <w:p w:rsidR="005D2B18" w:rsidRPr="00DE3551" w:rsidRDefault="005D2B18" w:rsidP="00EE0D7D">
            <w:r w:rsidRPr="00E925D0">
              <w:t>.8</w:t>
            </w:r>
            <w:r>
              <w:t>1</w:t>
            </w:r>
          </w:p>
        </w:tc>
        <w:tc>
          <w:tcPr>
            <w:tcW w:w="278" w:type="pct"/>
          </w:tcPr>
          <w:p w:rsidR="005D2B18" w:rsidRPr="00E925D0" w:rsidRDefault="005D2B18" w:rsidP="00EE0D7D"/>
        </w:tc>
      </w:tr>
      <w:tr w:rsidR="005D2B18" w:rsidRPr="00DE3551" w:rsidTr="00EE0D7D">
        <w:tc>
          <w:tcPr>
            <w:tcW w:w="1002" w:type="pct"/>
            <w:tcBorders>
              <w:bottom w:val="single" w:sz="4" w:space="0" w:color="auto"/>
            </w:tcBorders>
          </w:tcPr>
          <w:p w:rsidR="005D2B18" w:rsidRPr="00DE3551" w:rsidRDefault="005D2B18" w:rsidP="00EE0D7D">
            <w:pPr>
              <w:ind w:right="-108"/>
            </w:pPr>
            <w:r w:rsidRPr="00DE3551">
              <w:t>I feel that […] would not harm me</w:t>
            </w:r>
          </w:p>
        </w:tc>
        <w:tc>
          <w:tcPr>
            <w:tcW w:w="494" w:type="pct"/>
            <w:tcBorders>
              <w:bottom w:val="single" w:sz="4" w:space="0" w:color="auto"/>
            </w:tcBorders>
          </w:tcPr>
          <w:p w:rsidR="005D2B18" w:rsidRPr="00DE3551" w:rsidRDefault="005D2B18" w:rsidP="00EE0D7D">
            <w:r w:rsidRPr="00DE3551">
              <w:t>3.28 (0.99)</w:t>
            </w:r>
          </w:p>
        </w:tc>
        <w:tc>
          <w:tcPr>
            <w:tcW w:w="200" w:type="pct"/>
            <w:tcBorders>
              <w:bottom w:val="single" w:sz="4" w:space="0" w:color="auto"/>
            </w:tcBorders>
          </w:tcPr>
          <w:p w:rsidR="005D2B18" w:rsidRPr="00DE3551" w:rsidRDefault="005D2B18" w:rsidP="00EE0D7D">
            <w:r w:rsidRPr="00DE3551">
              <w:t>.66</w:t>
            </w:r>
          </w:p>
        </w:tc>
        <w:tc>
          <w:tcPr>
            <w:tcW w:w="301" w:type="pct"/>
            <w:tcBorders>
              <w:bottom w:val="single" w:sz="4" w:space="0" w:color="auto"/>
            </w:tcBorders>
          </w:tcPr>
          <w:p w:rsidR="005D2B18" w:rsidRPr="0049533E" w:rsidRDefault="005D2B18" w:rsidP="00EE0D7D"/>
        </w:tc>
        <w:tc>
          <w:tcPr>
            <w:tcW w:w="492" w:type="pct"/>
            <w:tcBorders>
              <w:bottom w:val="single" w:sz="4" w:space="0" w:color="auto"/>
            </w:tcBorders>
          </w:tcPr>
          <w:p w:rsidR="005D2B18" w:rsidRPr="00DE3551" w:rsidRDefault="005D2B18" w:rsidP="00EE0D7D">
            <w:r w:rsidRPr="0049533E">
              <w:t>3.</w:t>
            </w:r>
            <w:r>
              <w:t>44</w:t>
            </w:r>
            <w:r w:rsidRPr="0049533E">
              <w:t xml:space="preserve"> (1.</w:t>
            </w:r>
            <w:r>
              <w:t>01</w:t>
            </w:r>
            <w:r w:rsidRPr="0049533E">
              <w:t>)</w:t>
            </w:r>
          </w:p>
        </w:tc>
        <w:tc>
          <w:tcPr>
            <w:tcW w:w="251" w:type="pct"/>
            <w:tcBorders>
              <w:bottom w:val="single" w:sz="4" w:space="0" w:color="auto"/>
            </w:tcBorders>
          </w:tcPr>
          <w:p w:rsidR="005D2B18" w:rsidRPr="00DE3551" w:rsidRDefault="005D2B18" w:rsidP="00EE0D7D">
            <w:r w:rsidRPr="0093725F">
              <w:t>.84</w:t>
            </w:r>
          </w:p>
        </w:tc>
        <w:tc>
          <w:tcPr>
            <w:tcW w:w="265" w:type="pct"/>
            <w:tcBorders>
              <w:bottom w:val="single" w:sz="4" w:space="0" w:color="auto"/>
            </w:tcBorders>
          </w:tcPr>
          <w:p w:rsidR="005D2B18" w:rsidRPr="00DE3551" w:rsidRDefault="005D2B18" w:rsidP="00EE0D7D"/>
        </w:tc>
        <w:tc>
          <w:tcPr>
            <w:tcW w:w="484" w:type="pct"/>
            <w:tcBorders>
              <w:bottom w:val="single" w:sz="4" w:space="0" w:color="auto"/>
            </w:tcBorders>
          </w:tcPr>
          <w:p w:rsidR="005D2B18" w:rsidRPr="00DE3551" w:rsidRDefault="005D2B18" w:rsidP="00EE0D7D">
            <w:r w:rsidRPr="00DE3551">
              <w:t>3.</w:t>
            </w:r>
            <w:r>
              <w:t xml:space="preserve">47 </w:t>
            </w:r>
            <w:r w:rsidRPr="00DE3551">
              <w:t>(</w:t>
            </w:r>
            <w:r>
              <w:t>0</w:t>
            </w:r>
            <w:r w:rsidRPr="00DE3551">
              <w:t>.</w:t>
            </w:r>
            <w:r>
              <w:t>98</w:t>
            </w:r>
            <w:r w:rsidRPr="00DE3551">
              <w:t>)</w:t>
            </w:r>
          </w:p>
        </w:tc>
        <w:tc>
          <w:tcPr>
            <w:tcW w:w="200" w:type="pct"/>
            <w:tcBorders>
              <w:bottom w:val="single" w:sz="4" w:space="0" w:color="auto"/>
            </w:tcBorders>
          </w:tcPr>
          <w:p w:rsidR="005D2B18" w:rsidRPr="00DE3551" w:rsidRDefault="005D2B18" w:rsidP="00EE0D7D">
            <w:r w:rsidRPr="0084470E">
              <w:t>.88</w:t>
            </w:r>
          </w:p>
        </w:tc>
        <w:tc>
          <w:tcPr>
            <w:tcW w:w="302" w:type="pct"/>
            <w:tcBorders>
              <w:bottom w:val="single" w:sz="4" w:space="0" w:color="auto"/>
            </w:tcBorders>
          </w:tcPr>
          <w:p w:rsidR="005D2B18" w:rsidRPr="00DE3551" w:rsidRDefault="005D2B18" w:rsidP="00EE0D7D"/>
        </w:tc>
        <w:tc>
          <w:tcPr>
            <w:tcW w:w="499" w:type="pct"/>
            <w:tcBorders>
              <w:bottom w:val="single" w:sz="4" w:space="0" w:color="auto"/>
            </w:tcBorders>
          </w:tcPr>
          <w:p w:rsidR="005D2B18" w:rsidRPr="00DE3551" w:rsidRDefault="005D2B18" w:rsidP="00EE0D7D">
            <w:r w:rsidRPr="00DE3551">
              <w:t>3.</w:t>
            </w:r>
            <w:r>
              <w:t>58</w:t>
            </w:r>
            <w:r w:rsidRPr="00DE3551">
              <w:t xml:space="preserve"> (0.</w:t>
            </w:r>
            <w:r>
              <w:t>83</w:t>
            </w:r>
            <w:r w:rsidRPr="00DE3551">
              <w:t>)</w:t>
            </w:r>
          </w:p>
        </w:tc>
        <w:tc>
          <w:tcPr>
            <w:tcW w:w="233" w:type="pct"/>
            <w:tcBorders>
              <w:bottom w:val="single" w:sz="4" w:space="0" w:color="auto"/>
            </w:tcBorders>
          </w:tcPr>
          <w:p w:rsidR="005D2B18" w:rsidRPr="00DE3551" w:rsidRDefault="005D2B18" w:rsidP="00EE0D7D">
            <w:r w:rsidRPr="00E925D0">
              <w:t>.8</w:t>
            </w:r>
            <w:r>
              <w:t>3</w:t>
            </w:r>
          </w:p>
        </w:tc>
        <w:tc>
          <w:tcPr>
            <w:tcW w:w="278" w:type="pct"/>
            <w:tcBorders>
              <w:bottom w:val="single" w:sz="4" w:space="0" w:color="auto"/>
            </w:tcBorders>
          </w:tcPr>
          <w:p w:rsidR="005D2B18" w:rsidRPr="00E925D0" w:rsidRDefault="005D2B18" w:rsidP="00EE0D7D"/>
        </w:tc>
      </w:tr>
      <w:tr w:rsidR="005D2B18" w:rsidRPr="00DE3551" w:rsidTr="00EE0D7D">
        <w:tc>
          <w:tcPr>
            <w:tcW w:w="1002" w:type="pct"/>
            <w:tcBorders>
              <w:bottom w:val="single" w:sz="4" w:space="0" w:color="auto"/>
            </w:tcBorders>
          </w:tcPr>
          <w:p w:rsidR="005D2B18" w:rsidRPr="00DE3551" w:rsidRDefault="005D2B18" w:rsidP="00EE0D7D">
            <w:pPr>
              <w:ind w:right="-108"/>
            </w:pPr>
            <w:r>
              <w:t xml:space="preserve">Individual </w:t>
            </w:r>
            <w:r w:rsidRPr="00DE3551">
              <w:t>Fit</w:t>
            </w:r>
          </w:p>
        </w:tc>
        <w:tc>
          <w:tcPr>
            <w:tcW w:w="494" w:type="pct"/>
            <w:tcBorders>
              <w:bottom w:val="single" w:sz="4" w:space="0" w:color="auto"/>
            </w:tcBorders>
          </w:tcPr>
          <w:p w:rsidR="005D2B18" w:rsidRPr="00DE3551" w:rsidRDefault="005D2B18" w:rsidP="00EE0D7D">
            <w:r>
              <w:t>3.51 (0.85)</w:t>
            </w:r>
          </w:p>
        </w:tc>
        <w:tc>
          <w:tcPr>
            <w:tcW w:w="200" w:type="pct"/>
            <w:tcBorders>
              <w:bottom w:val="single" w:sz="4" w:space="0" w:color="auto"/>
            </w:tcBorders>
          </w:tcPr>
          <w:p w:rsidR="005D2B18" w:rsidRPr="00DE3551" w:rsidRDefault="005D2B18" w:rsidP="00EE0D7D">
            <w:r w:rsidRPr="00DE3551">
              <w:t>.87</w:t>
            </w:r>
            <w:r>
              <w:t xml:space="preserve"> </w:t>
            </w:r>
          </w:p>
        </w:tc>
        <w:tc>
          <w:tcPr>
            <w:tcW w:w="301" w:type="pct"/>
            <w:tcBorders>
              <w:bottom w:val="single" w:sz="4" w:space="0" w:color="auto"/>
            </w:tcBorders>
          </w:tcPr>
          <w:p w:rsidR="005D2B18" w:rsidRDefault="005D2B18" w:rsidP="00EE0D7D">
            <w:r>
              <w:t>.77</w:t>
            </w:r>
          </w:p>
        </w:tc>
        <w:tc>
          <w:tcPr>
            <w:tcW w:w="492" w:type="pct"/>
            <w:tcBorders>
              <w:bottom w:val="single" w:sz="4" w:space="0" w:color="auto"/>
            </w:tcBorders>
          </w:tcPr>
          <w:p w:rsidR="005D2B18" w:rsidRPr="00DE3551" w:rsidRDefault="005D2B18" w:rsidP="00EE0D7D">
            <w:r>
              <w:t>3.56 (0.91)</w:t>
            </w:r>
          </w:p>
        </w:tc>
        <w:tc>
          <w:tcPr>
            <w:tcW w:w="251" w:type="pct"/>
            <w:tcBorders>
              <w:bottom w:val="single" w:sz="4" w:space="0" w:color="auto"/>
            </w:tcBorders>
          </w:tcPr>
          <w:p w:rsidR="005D2B18" w:rsidRPr="00DE3551" w:rsidRDefault="005D2B18" w:rsidP="00EE0D7D">
            <w:r w:rsidRPr="00DE3551">
              <w:t>.91</w:t>
            </w:r>
            <w:r>
              <w:t xml:space="preserve"> </w:t>
            </w:r>
          </w:p>
        </w:tc>
        <w:tc>
          <w:tcPr>
            <w:tcW w:w="265" w:type="pct"/>
            <w:tcBorders>
              <w:bottom w:val="single" w:sz="4" w:space="0" w:color="auto"/>
            </w:tcBorders>
          </w:tcPr>
          <w:p w:rsidR="005D2B18" w:rsidRDefault="005D2B18" w:rsidP="00EE0D7D">
            <w:r>
              <w:t>.82</w:t>
            </w:r>
          </w:p>
        </w:tc>
        <w:tc>
          <w:tcPr>
            <w:tcW w:w="484" w:type="pct"/>
            <w:tcBorders>
              <w:bottom w:val="single" w:sz="4" w:space="0" w:color="auto"/>
            </w:tcBorders>
          </w:tcPr>
          <w:p w:rsidR="005D2B18" w:rsidRPr="00DE3551" w:rsidRDefault="005D2B18" w:rsidP="00EE0D7D">
            <w:r>
              <w:t>3.40 (0.98)</w:t>
            </w:r>
          </w:p>
        </w:tc>
        <w:tc>
          <w:tcPr>
            <w:tcW w:w="200" w:type="pct"/>
            <w:tcBorders>
              <w:bottom w:val="single" w:sz="4" w:space="0" w:color="auto"/>
            </w:tcBorders>
          </w:tcPr>
          <w:p w:rsidR="005D2B18" w:rsidRPr="00DE3551" w:rsidRDefault="005D2B18" w:rsidP="00EE0D7D">
            <w:r w:rsidRPr="00DE3551">
              <w:t>.94</w:t>
            </w:r>
            <w:r>
              <w:t xml:space="preserve">  </w:t>
            </w:r>
          </w:p>
        </w:tc>
        <w:tc>
          <w:tcPr>
            <w:tcW w:w="302" w:type="pct"/>
            <w:tcBorders>
              <w:bottom w:val="single" w:sz="4" w:space="0" w:color="auto"/>
            </w:tcBorders>
          </w:tcPr>
          <w:p w:rsidR="005D2B18" w:rsidRDefault="005D2B18" w:rsidP="00EE0D7D">
            <w:r>
              <w:t>.82</w:t>
            </w:r>
          </w:p>
        </w:tc>
        <w:tc>
          <w:tcPr>
            <w:tcW w:w="499" w:type="pct"/>
            <w:tcBorders>
              <w:bottom w:val="single" w:sz="4" w:space="0" w:color="auto"/>
            </w:tcBorders>
          </w:tcPr>
          <w:p w:rsidR="005D2B18" w:rsidRPr="00DE3551" w:rsidRDefault="005D2B18" w:rsidP="00EE0D7D">
            <w:r>
              <w:t>3.05 (0.85)</w:t>
            </w:r>
          </w:p>
        </w:tc>
        <w:tc>
          <w:tcPr>
            <w:tcW w:w="233" w:type="pct"/>
            <w:tcBorders>
              <w:bottom w:val="single" w:sz="4" w:space="0" w:color="auto"/>
            </w:tcBorders>
          </w:tcPr>
          <w:p w:rsidR="005D2B18" w:rsidRPr="00DE3551" w:rsidRDefault="005D2B18" w:rsidP="00EE0D7D">
            <w:r w:rsidRPr="00DE3551">
              <w:t>.89</w:t>
            </w:r>
            <w:r>
              <w:t xml:space="preserve"> </w:t>
            </w:r>
          </w:p>
        </w:tc>
        <w:tc>
          <w:tcPr>
            <w:tcW w:w="278" w:type="pct"/>
            <w:tcBorders>
              <w:bottom w:val="single" w:sz="4" w:space="0" w:color="auto"/>
            </w:tcBorders>
          </w:tcPr>
          <w:p w:rsidR="005D2B18" w:rsidRPr="00DE3551" w:rsidRDefault="005D2B18" w:rsidP="00EE0D7D">
            <w:r>
              <w:t>.80</w:t>
            </w:r>
          </w:p>
        </w:tc>
      </w:tr>
      <w:tr w:rsidR="005D2B18" w:rsidRPr="00DE3551" w:rsidTr="00EE0D7D">
        <w:tc>
          <w:tcPr>
            <w:tcW w:w="1002" w:type="pct"/>
            <w:tcBorders>
              <w:top w:val="single" w:sz="4" w:space="0" w:color="auto"/>
            </w:tcBorders>
          </w:tcPr>
          <w:p w:rsidR="005D2B18" w:rsidRPr="00DE3551" w:rsidRDefault="005D2B18" w:rsidP="00EE0D7D">
            <w:pPr>
              <w:ind w:right="-108"/>
            </w:pPr>
            <w:r w:rsidRPr="00DE3551">
              <w:t>I think […] could suit me as a treatment for my back pain</w:t>
            </w:r>
          </w:p>
        </w:tc>
        <w:tc>
          <w:tcPr>
            <w:tcW w:w="494" w:type="pct"/>
            <w:tcBorders>
              <w:top w:val="single" w:sz="4" w:space="0" w:color="auto"/>
            </w:tcBorders>
          </w:tcPr>
          <w:p w:rsidR="005D2B18" w:rsidRPr="00DE3551" w:rsidRDefault="005D2B18" w:rsidP="00EE0D7D">
            <w:r w:rsidRPr="00DE3551">
              <w:t>3.33 (1.01)</w:t>
            </w:r>
          </w:p>
        </w:tc>
        <w:tc>
          <w:tcPr>
            <w:tcW w:w="200" w:type="pct"/>
            <w:tcBorders>
              <w:top w:val="single" w:sz="4" w:space="0" w:color="auto"/>
            </w:tcBorders>
          </w:tcPr>
          <w:p w:rsidR="005D2B18" w:rsidRPr="00DE3551" w:rsidRDefault="005D2B18" w:rsidP="00EE0D7D">
            <w:r w:rsidRPr="00DE3551">
              <w:t>.83</w:t>
            </w:r>
          </w:p>
        </w:tc>
        <w:tc>
          <w:tcPr>
            <w:tcW w:w="301" w:type="pct"/>
            <w:tcBorders>
              <w:top w:val="single" w:sz="4" w:space="0" w:color="auto"/>
            </w:tcBorders>
          </w:tcPr>
          <w:p w:rsidR="005D2B18" w:rsidRPr="0017346F" w:rsidRDefault="005D2B18" w:rsidP="00EE0D7D"/>
        </w:tc>
        <w:tc>
          <w:tcPr>
            <w:tcW w:w="492" w:type="pct"/>
            <w:tcBorders>
              <w:top w:val="single" w:sz="4" w:space="0" w:color="auto"/>
            </w:tcBorders>
          </w:tcPr>
          <w:p w:rsidR="005D2B18" w:rsidRPr="00DE3551" w:rsidRDefault="005D2B18" w:rsidP="00EE0D7D">
            <w:r w:rsidRPr="0017346F">
              <w:t>3.</w:t>
            </w:r>
            <w:r>
              <w:t>51</w:t>
            </w:r>
            <w:r w:rsidRPr="0017346F">
              <w:t xml:space="preserve"> (0.9</w:t>
            </w:r>
            <w:r>
              <w:t>8</w:t>
            </w:r>
            <w:r w:rsidRPr="0017346F">
              <w:t>)</w:t>
            </w:r>
          </w:p>
        </w:tc>
        <w:tc>
          <w:tcPr>
            <w:tcW w:w="251" w:type="pct"/>
            <w:tcBorders>
              <w:top w:val="single" w:sz="4" w:space="0" w:color="auto"/>
            </w:tcBorders>
          </w:tcPr>
          <w:p w:rsidR="005D2B18" w:rsidRPr="00DE3551" w:rsidRDefault="005D2B18" w:rsidP="00EE0D7D">
            <w:r w:rsidRPr="00931B4A">
              <w:t>.88</w:t>
            </w:r>
          </w:p>
        </w:tc>
        <w:tc>
          <w:tcPr>
            <w:tcW w:w="265" w:type="pct"/>
            <w:tcBorders>
              <w:top w:val="single" w:sz="4" w:space="0" w:color="auto"/>
            </w:tcBorders>
          </w:tcPr>
          <w:p w:rsidR="005D2B18" w:rsidRPr="00DE3551" w:rsidRDefault="005D2B18" w:rsidP="00EE0D7D"/>
        </w:tc>
        <w:tc>
          <w:tcPr>
            <w:tcW w:w="484" w:type="pct"/>
            <w:tcBorders>
              <w:top w:val="single" w:sz="4" w:space="0" w:color="auto"/>
            </w:tcBorders>
          </w:tcPr>
          <w:p w:rsidR="005D2B18" w:rsidRPr="00DE3551" w:rsidRDefault="005D2B18" w:rsidP="00EE0D7D">
            <w:r w:rsidRPr="00DE3551">
              <w:t>3.</w:t>
            </w:r>
            <w:r>
              <w:t xml:space="preserve">43 </w:t>
            </w:r>
            <w:r w:rsidRPr="00DE3551">
              <w:t>(</w:t>
            </w:r>
            <w:r>
              <w:t>0</w:t>
            </w:r>
            <w:r w:rsidRPr="00DE3551">
              <w:t>.</w:t>
            </w:r>
            <w:r>
              <w:t>99</w:t>
            </w:r>
            <w:r w:rsidRPr="00DE3551">
              <w:t>)</w:t>
            </w:r>
          </w:p>
        </w:tc>
        <w:tc>
          <w:tcPr>
            <w:tcW w:w="200" w:type="pct"/>
            <w:tcBorders>
              <w:top w:val="single" w:sz="4" w:space="0" w:color="auto"/>
            </w:tcBorders>
          </w:tcPr>
          <w:p w:rsidR="005D2B18" w:rsidRPr="00DE3551" w:rsidRDefault="005D2B18" w:rsidP="00EE0D7D">
            <w:r w:rsidRPr="003000CA">
              <w:t>.9</w:t>
            </w:r>
            <w:r>
              <w:t>3</w:t>
            </w:r>
          </w:p>
        </w:tc>
        <w:tc>
          <w:tcPr>
            <w:tcW w:w="302" w:type="pct"/>
            <w:tcBorders>
              <w:top w:val="single" w:sz="4" w:space="0" w:color="auto"/>
            </w:tcBorders>
          </w:tcPr>
          <w:p w:rsidR="005D2B18" w:rsidRPr="0017346F" w:rsidRDefault="005D2B18" w:rsidP="00EE0D7D"/>
        </w:tc>
        <w:tc>
          <w:tcPr>
            <w:tcW w:w="499" w:type="pct"/>
            <w:tcBorders>
              <w:top w:val="single" w:sz="4" w:space="0" w:color="auto"/>
            </w:tcBorders>
          </w:tcPr>
          <w:p w:rsidR="005D2B18" w:rsidRPr="00DE3551" w:rsidRDefault="005D2B18" w:rsidP="00EE0D7D">
            <w:r w:rsidRPr="0017346F">
              <w:t>3.</w:t>
            </w:r>
            <w:r>
              <w:t>07</w:t>
            </w:r>
            <w:r w:rsidRPr="0017346F">
              <w:t xml:space="preserve"> (0.9</w:t>
            </w:r>
            <w:r>
              <w:t>2</w:t>
            </w:r>
            <w:r w:rsidRPr="0017346F">
              <w:t>)</w:t>
            </w:r>
          </w:p>
        </w:tc>
        <w:tc>
          <w:tcPr>
            <w:tcW w:w="233" w:type="pct"/>
            <w:tcBorders>
              <w:top w:val="single" w:sz="4" w:space="0" w:color="auto"/>
            </w:tcBorders>
          </w:tcPr>
          <w:p w:rsidR="005D2B18" w:rsidRPr="00DE3551" w:rsidRDefault="005D2B18" w:rsidP="00EE0D7D">
            <w:r w:rsidRPr="007B4A94">
              <w:t>.85</w:t>
            </w:r>
          </w:p>
        </w:tc>
        <w:tc>
          <w:tcPr>
            <w:tcW w:w="278" w:type="pct"/>
            <w:tcBorders>
              <w:top w:val="single" w:sz="4" w:space="0" w:color="auto"/>
            </w:tcBorders>
          </w:tcPr>
          <w:p w:rsidR="005D2B18" w:rsidRPr="007B4A94" w:rsidRDefault="005D2B18" w:rsidP="00EE0D7D"/>
        </w:tc>
      </w:tr>
      <w:tr w:rsidR="005D2B18" w:rsidRPr="00DE3551" w:rsidTr="00EE0D7D">
        <w:tc>
          <w:tcPr>
            <w:tcW w:w="1002" w:type="pct"/>
          </w:tcPr>
          <w:p w:rsidR="005D2B18" w:rsidRPr="00DE3551" w:rsidRDefault="005D2B18" w:rsidP="00EE0D7D">
            <w:pPr>
              <w:ind w:right="-108"/>
            </w:pPr>
            <w:r w:rsidRPr="00DE3551">
              <w:t>For me, taking/having […] would be a waste of time (r)</w:t>
            </w:r>
          </w:p>
        </w:tc>
        <w:tc>
          <w:tcPr>
            <w:tcW w:w="494" w:type="pct"/>
          </w:tcPr>
          <w:p w:rsidR="005D2B18" w:rsidRPr="00DE3551" w:rsidRDefault="005D2B18" w:rsidP="00EE0D7D">
            <w:r w:rsidRPr="00DE3551">
              <w:t>3.85 (0.96)</w:t>
            </w:r>
          </w:p>
        </w:tc>
        <w:tc>
          <w:tcPr>
            <w:tcW w:w="200" w:type="pct"/>
          </w:tcPr>
          <w:p w:rsidR="005D2B18" w:rsidRPr="00DE3551" w:rsidRDefault="005D2B18" w:rsidP="00EE0D7D">
            <w:r w:rsidRPr="00DE3551">
              <w:t>.84</w:t>
            </w:r>
          </w:p>
        </w:tc>
        <w:tc>
          <w:tcPr>
            <w:tcW w:w="301" w:type="pct"/>
          </w:tcPr>
          <w:p w:rsidR="005D2B18" w:rsidRPr="0017346F" w:rsidRDefault="005D2B18" w:rsidP="00EE0D7D"/>
        </w:tc>
        <w:tc>
          <w:tcPr>
            <w:tcW w:w="492" w:type="pct"/>
          </w:tcPr>
          <w:p w:rsidR="005D2B18" w:rsidRPr="00DE3551" w:rsidRDefault="005D2B18" w:rsidP="00EE0D7D">
            <w:r w:rsidRPr="0017346F">
              <w:t>3.</w:t>
            </w:r>
            <w:r>
              <w:t>7</w:t>
            </w:r>
            <w:r w:rsidRPr="0017346F">
              <w:t>7 (0.9</w:t>
            </w:r>
            <w:r>
              <w:t>9</w:t>
            </w:r>
            <w:r w:rsidRPr="0017346F">
              <w:t>)</w:t>
            </w:r>
          </w:p>
        </w:tc>
        <w:tc>
          <w:tcPr>
            <w:tcW w:w="251" w:type="pct"/>
          </w:tcPr>
          <w:p w:rsidR="005D2B18" w:rsidRPr="00DE3551" w:rsidRDefault="005D2B18" w:rsidP="00EE0D7D">
            <w:r w:rsidRPr="00931B4A">
              <w:t>.88</w:t>
            </w:r>
          </w:p>
        </w:tc>
        <w:tc>
          <w:tcPr>
            <w:tcW w:w="265" w:type="pct"/>
          </w:tcPr>
          <w:p w:rsidR="005D2B18" w:rsidRPr="006A04F5" w:rsidRDefault="005D2B18" w:rsidP="00EE0D7D"/>
        </w:tc>
        <w:tc>
          <w:tcPr>
            <w:tcW w:w="484" w:type="pct"/>
          </w:tcPr>
          <w:p w:rsidR="005D2B18" w:rsidRPr="00DE3551" w:rsidRDefault="005D2B18" w:rsidP="00EE0D7D">
            <w:r w:rsidRPr="006A04F5">
              <w:t>3.</w:t>
            </w:r>
            <w:r>
              <w:t xml:space="preserve">51 </w:t>
            </w:r>
            <w:r w:rsidRPr="006A04F5">
              <w:t>(1.0</w:t>
            </w:r>
            <w:r>
              <w:t>5</w:t>
            </w:r>
            <w:r w:rsidRPr="006A04F5">
              <w:t>)</w:t>
            </w:r>
          </w:p>
        </w:tc>
        <w:tc>
          <w:tcPr>
            <w:tcW w:w="200" w:type="pct"/>
          </w:tcPr>
          <w:p w:rsidR="005D2B18" w:rsidRPr="00DE3551" w:rsidRDefault="005D2B18" w:rsidP="00EE0D7D">
            <w:r w:rsidRPr="003000CA">
              <w:t>.9</w:t>
            </w:r>
            <w:r>
              <w:t>2</w:t>
            </w:r>
          </w:p>
        </w:tc>
        <w:tc>
          <w:tcPr>
            <w:tcW w:w="302" w:type="pct"/>
          </w:tcPr>
          <w:p w:rsidR="005D2B18" w:rsidRPr="00B50466" w:rsidRDefault="005D2B18" w:rsidP="00EE0D7D"/>
        </w:tc>
        <w:tc>
          <w:tcPr>
            <w:tcW w:w="499" w:type="pct"/>
          </w:tcPr>
          <w:p w:rsidR="005D2B18" w:rsidRPr="00DE3551" w:rsidRDefault="005D2B18" w:rsidP="00EE0D7D">
            <w:r w:rsidRPr="00B50466">
              <w:t>3.</w:t>
            </w:r>
            <w:r>
              <w:t>17</w:t>
            </w:r>
            <w:r w:rsidRPr="00B50466">
              <w:t xml:space="preserve"> (1.0</w:t>
            </w:r>
            <w:r>
              <w:t>2</w:t>
            </w:r>
            <w:r w:rsidRPr="00B50466">
              <w:t>)</w:t>
            </w:r>
          </w:p>
        </w:tc>
        <w:tc>
          <w:tcPr>
            <w:tcW w:w="233" w:type="pct"/>
          </w:tcPr>
          <w:p w:rsidR="005D2B18" w:rsidRPr="00DE3551" w:rsidRDefault="005D2B18" w:rsidP="00EE0D7D">
            <w:r w:rsidRPr="007B4A94">
              <w:t>.8</w:t>
            </w:r>
            <w:r>
              <w:t>5</w:t>
            </w:r>
          </w:p>
        </w:tc>
        <w:tc>
          <w:tcPr>
            <w:tcW w:w="278" w:type="pct"/>
          </w:tcPr>
          <w:p w:rsidR="005D2B18" w:rsidRPr="007B4A94" w:rsidRDefault="005D2B18" w:rsidP="00EE0D7D"/>
        </w:tc>
      </w:tr>
      <w:tr w:rsidR="005D2B18" w:rsidRPr="00DE3551" w:rsidTr="00EE0D7D">
        <w:tc>
          <w:tcPr>
            <w:tcW w:w="1002" w:type="pct"/>
          </w:tcPr>
          <w:p w:rsidR="005D2B18" w:rsidRPr="00DE3551" w:rsidRDefault="005D2B18" w:rsidP="00EE0D7D">
            <w:pPr>
              <w:ind w:right="-108"/>
            </w:pPr>
            <w:r w:rsidRPr="00DE3551">
              <w:t>I am confident […] would be a suitable treatment for my back pain</w:t>
            </w:r>
          </w:p>
        </w:tc>
        <w:tc>
          <w:tcPr>
            <w:tcW w:w="494" w:type="pct"/>
          </w:tcPr>
          <w:p w:rsidR="005D2B18" w:rsidRPr="00DE3551" w:rsidRDefault="005D2B18" w:rsidP="00EE0D7D">
            <w:r w:rsidRPr="00DE3551">
              <w:t>3.34 (0.98)</w:t>
            </w:r>
          </w:p>
        </w:tc>
        <w:tc>
          <w:tcPr>
            <w:tcW w:w="200" w:type="pct"/>
          </w:tcPr>
          <w:p w:rsidR="005D2B18" w:rsidRPr="00DE3551" w:rsidRDefault="005D2B18" w:rsidP="00EE0D7D">
            <w:r w:rsidRPr="00DE3551">
              <w:t>.83</w:t>
            </w:r>
          </w:p>
        </w:tc>
        <w:tc>
          <w:tcPr>
            <w:tcW w:w="301" w:type="pct"/>
          </w:tcPr>
          <w:p w:rsidR="005D2B18" w:rsidRPr="006A04F5" w:rsidRDefault="005D2B18" w:rsidP="00EE0D7D"/>
        </w:tc>
        <w:tc>
          <w:tcPr>
            <w:tcW w:w="492" w:type="pct"/>
          </w:tcPr>
          <w:p w:rsidR="005D2B18" w:rsidRPr="00DE3551" w:rsidRDefault="005D2B18" w:rsidP="00EE0D7D">
            <w:r w:rsidRPr="006A04F5">
              <w:t>3.4</w:t>
            </w:r>
            <w:r>
              <w:t>5</w:t>
            </w:r>
            <w:r w:rsidRPr="006A04F5">
              <w:t xml:space="preserve"> (1.0</w:t>
            </w:r>
            <w:r>
              <w:t>2</w:t>
            </w:r>
            <w:r w:rsidRPr="006A04F5">
              <w:t>)</w:t>
            </w:r>
          </w:p>
        </w:tc>
        <w:tc>
          <w:tcPr>
            <w:tcW w:w="251" w:type="pct"/>
          </w:tcPr>
          <w:p w:rsidR="005D2B18" w:rsidRPr="00DE3551" w:rsidRDefault="005D2B18" w:rsidP="00EE0D7D">
            <w:r w:rsidRPr="00931B4A">
              <w:t>.8</w:t>
            </w:r>
            <w:r>
              <w:t>7</w:t>
            </w:r>
          </w:p>
        </w:tc>
        <w:tc>
          <w:tcPr>
            <w:tcW w:w="265" w:type="pct"/>
          </w:tcPr>
          <w:p w:rsidR="005D2B18" w:rsidRPr="006A04F5" w:rsidRDefault="005D2B18" w:rsidP="00EE0D7D"/>
        </w:tc>
        <w:tc>
          <w:tcPr>
            <w:tcW w:w="484" w:type="pct"/>
          </w:tcPr>
          <w:p w:rsidR="005D2B18" w:rsidRPr="00DE3551" w:rsidRDefault="005D2B18" w:rsidP="00EE0D7D">
            <w:r w:rsidRPr="006A04F5">
              <w:t>3.</w:t>
            </w:r>
            <w:r>
              <w:t>30</w:t>
            </w:r>
            <w:r w:rsidRPr="006A04F5">
              <w:t xml:space="preserve"> (1.0</w:t>
            </w:r>
            <w:r>
              <w:t>6</w:t>
            </w:r>
            <w:r w:rsidRPr="006A04F5">
              <w:t>)</w:t>
            </w:r>
          </w:p>
        </w:tc>
        <w:tc>
          <w:tcPr>
            <w:tcW w:w="200" w:type="pct"/>
          </w:tcPr>
          <w:p w:rsidR="005D2B18" w:rsidRPr="00DE3551" w:rsidRDefault="005D2B18" w:rsidP="00EE0D7D">
            <w:r w:rsidRPr="003000CA">
              <w:t>.92</w:t>
            </w:r>
          </w:p>
        </w:tc>
        <w:tc>
          <w:tcPr>
            <w:tcW w:w="302" w:type="pct"/>
          </w:tcPr>
          <w:p w:rsidR="005D2B18" w:rsidRDefault="005D2B18" w:rsidP="00EE0D7D"/>
        </w:tc>
        <w:tc>
          <w:tcPr>
            <w:tcW w:w="499" w:type="pct"/>
          </w:tcPr>
          <w:p w:rsidR="005D2B18" w:rsidRPr="00DE3551" w:rsidRDefault="005D2B18" w:rsidP="00EE0D7D">
            <w:r>
              <w:t>2</w:t>
            </w:r>
            <w:r w:rsidRPr="0017346F">
              <w:t>.</w:t>
            </w:r>
            <w:r>
              <w:t>94</w:t>
            </w:r>
            <w:r w:rsidRPr="0017346F">
              <w:t xml:space="preserve"> (0.9</w:t>
            </w:r>
            <w:r>
              <w:t>5</w:t>
            </w:r>
            <w:r w:rsidRPr="0017346F">
              <w:t>)</w:t>
            </w:r>
          </w:p>
        </w:tc>
        <w:tc>
          <w:tcPr>
            <w:tcW w:w="233" w:type="pct"/>
          </w:tcPr>
          <w:p w:rsidR="005D2B18" w:rsidRPr="00DE3551" w:rsidRDefault="005D2B18" w:rsidP="00EE0D7D">
            <w:r w:rsidRPr="007B4A94">
              <w:t>.84</w:t>
            </w:r>
          </w:p>
        </w:tc>
        <w:tc>
          <w:tcPr>
            <w:tcW w:w="278" w:type="pct"/>
          </w:tcPr>
          <w:p w:rsidR="005D2B18" w:rsidRPr="007B4A94" w:rsidRDefault="005D2B18" w:rsidP="00EE0D7D"/>
        </w:tc>
      </w:tr>
      <w:tr w:rsidR="005D2B18" w:rsidRPr="00DE3551" w:rsidTr="00EE0D7D">
        <w:tc>
          <w:tcPr>
            <w:tcW w:w="1002" w:type="pct"/>
            <w:tcBorders>
              <w:bottom w:val="single" w:sz="4" w:space="0" w:color="auto"/>
            </w:tcBorders>
          </w:tcPr>
          <w:p w:rsidR="005D2B18" w:rsidRPr="00DE3551" w:rsidRDefault="005D2B18" w:rsidP="00EE0D7D">
            <w:pPr>
              <w:ind w:right="-108"/>
            </w:pPr>
            <w:r w:rsidRPr="00DE3551">
              <w:t>Given what I know about my back pain, I doubt […] would be right for me (r)</w:t>
            </w:r>
          </w:p>
        </w:tc>
        <w:tc>
          <w:tcPr>
            <w:tcW w:w="494" w:type="pct"/>
            <w:tcBorders>
              <w:bottom w:val="single" w:sz="4" w:space="0" w:color="auto"/>
            </w:tcBorders>
          </w:tcPr>
          <w:p w:rsidR="005D2B18" w:rsidRPr="00DE3551" w:rsidRDefault="005D2B18" w:rsidP="00EE0D7D">
            <w:r w:rsidRPr="00DE3551">
              <w:t>3.52 (1.04)</w:t>
            </w:r>
          </w:p>
        </w:tc>
        <w:tc>
          <w:tcPr>
            <w:tcW w:w="200" w:type="pct"/>
            <w:tcBorders>
              <w:bottom w:val="single" w:sz="4" w:space="0" w:color="auto"/>
            </w:tcBorders>
          </w:tcPr>
          <w:p w:rsidR="005D2B18" w:rsidRPr="00DE3551" w:rsidRDefault="005D2B18" w:rsidP="00EE0D7D">
            <w:r w:rsidRPr="00DE3551">
              <w:t>.84</w:t>
            </w:r>
          </w:p>
        </w:tc>
        <w:tc>
          <w:tcPr>
            <w:tcW w:w="301" w:type="pct"/>
            <w:tcBorders>
              <w:bottom w:val="single" w:sz="4" w:space="0" w:color="auto"/>
            </w:tcBorders>
          </w:tcPr>
          <w:p w:rsidR="005D2B18" w:rsidRPr="006A04F5" w:rsidRDefault="005D2B18" w:rsidP="00EE0D7D"/>
        </w:tc>
        <w:tc>
          <w:tcPr>
            <w:tcW w:w="492" w:type="pct"/>
            <w:tcBorders>
              <w:bottom w:val="single" w:sz="4" w:space="0" w:color="auto"/>
            </w:tcBorders>
          </w:tcPr>
          <w:p w:rsidR="005D2B18" w:rsidRPr="00DE3551" w:rsidRDefault="005D2B18" w:rsidP="00EE0D7D">
            <w:r w:rsidRPr="006A04F5">
              <w:t>3.4</w:t>
            </w:r>
            <w:r>
              <w:t>9</w:t>
            </w:r>
            <w:r w:rsidRPr="006A04F5">
              <w:t xml:space="preserve"> (1.</w:t>
            </w:r>
            <w:r>
              <w:t>11</w:t>
            </w:r>
            <w:r w:rsidRPr="006A04F5">
              <w:t>)</w:t>
            </w:r>
          </w:p>
        </w:tc>
        <w:tc>
          <w:tcPr>
            <w:tcW w:w="251" w:type="pct"/>
            <w:tcBorders>
              <w:bottom w:val="single" w:sz="4" w:space="0" w:color="auto"/>
            </w:tcBorders>
          </w:tcPr>
          <w:p w:rsidR="005D2B18" w:rsidRPr="00DE3551" w:rsidRDefault="005D2B18" w:rsidP="00EE0D7D">
            <w:r>
              <w:t>.8</w:t>
            </w:r>
            <w:r w:rsidRPr="00931B4A">
              <w:t>8</w:t>
            </w:r>
          </w:p>
        </w:tc>
        <w:tc>
          <w:tcPr>
            <w:tcW w:w="265" w:type="pct"/>
            <w:tcBorders>
              <w:bottom w:val="single" w:sz="4" w:space="0" w:color="auto"/>
            </w:tcBorders>
          </w:tcPr>
          <w:p w:rsidR="005D2B18" w:rsidRPr="006A04F5" w:rsidRDefault="005D2B18" w:rsidP="00EE0D7D"/>
        </w:tc>
        <w:tc>
          <w:tcPr>
            <w:tcW w:w="484" w:type="pct"/>
            <w:tcBorders>
              <w:bottom w:val="single" w:sz="4" w:space="0" w:color="auto"/>
            </w:tcBorders>
          </w:tcPr>
          <w:p w:rsidR="005D2B18" w:rsidRPr="00DE3551" w:rsidRDefault="005D2B18" w:rsidP="00EE0D7D">
            <w:r w:rsidRPr="006A04F5">
              <w:t>3.</w:t>
            </w:r>
            <w:r>
              <w:t xml:space="preserve">37 </w:t>
            </w:r>
            <w:r w:rsidRPr="006A04F5">
              <w:t>(1.</w:t>
            </w:r>
            <w:r>
              <w:t>13</w:t>
            </w:r>
            <w:r w:rsidRPr="006A04F5">
              <w:t>)</w:t>
            </w:r>
          </w:p>
        </w:tc>
        <w:tc>
          <w:tcPr>
            <w:tcW w:w="200" w:type="pct"/>
            <w:tcBorders>
              <w:bottom w:val="single" w:sz="4" w:space="0" w:color="auto"/>
            </w:tcBorders>
          </w:tcPr>
          <w:p w:rsidR="005D2B18" w:rsidRPr="00DE3551" w:rsidRDefault="005D2B18" w:rsidP="00EE0D7D">
            <w:r w:rsidRPr="003000CA">
              <w:t>.93</w:t>
            </w:r>
          </w:p>
        </w:tc>
        <w:tc>
          <w:tcPr>
            <w:tcW w:w="302" w:type="pct"/>
            <w:tcBorders>
              <w:bottom w:val="single" w:sz="4" w:space="0" w:color="auto"/>
            </w:tcBorders>
          </w:tcPr>
          <w:p w:rsidR="005D2B18" w:rsidRPr="00B50466" w:rsidRDefault="005D2B18" w:rsidP="00EE0D7D"/>
        </w:tc>
        <w:tc>
          <w:tcPr>
            <w:tcW w:w="499" w:type="pct"/>
            <w:tcBorders>
              <w:bottom w:val="single" w:sz="4" w:space="0" w:color="auto"/>
            </w:tcBorders>
          </w:tcPr>
          <w:p w:rsidR="005D2B18" w:rsidRPr="00DE3551" w:rsidRDefault="005D2B18" w:rsidP="00EE0D7D">
            <w:r w:rsidRPr="00B50466">
              <w:t>3.</w:t>
            </w:r>
            <w:r>
              <w:t>02</w:t>
            </w:r>
            <w:r w:rsidRPr="00B50466">
              <w:t xml:space="preserve"> (1.0</w:t>
            </w:r>
            <w:r>
              <w:t>3</w:t>
            </w:r>
            <w:r w:rsidRPr="00B50466">
              <w:t>)</w:t>
            </w:r>
          </w:p>
        </w:tc>
        <w:tc>
          <w:tcPr>
            <w:tcW w:w="233" w:type="pct"/>
            <w:tcBorders>
              <w:bottom w:val="single" w:sz="4" w:space="0" w:color="auto"/>
            </w:tcBorders>
          </w:tcPr>
          <w:p w:rsidR="005D2B18" w:rsidRPr="00DE3551" w:rsidRDefault="005D2B18" w:rsidP="00EE0D7D">
            <w:r w:rsidRPr="007B4A94">
              <w:t>.88</w:t>
            </w:r>
          </w:p>
        </w:tc>
        <w:tc>
          <w:tcPr>
            <w:tcW w:w="278" w:type="pct"/>
            <w:tcBorders>
              <w:bottom w:val="single" w:sz="4" w:space="0" w:color="auto"/>
            </w:tcBorders>
          </w:tcPr>
          <w:p w:rsidR="005D2B18" w:rsidRPr="007B4A94" w:rsidRDefault="005D2B18" w:rsidP="00EE0D7D"/>
        </w:tc>
      </w:tr>
    </w:tbl>
    <w:p w:rsidR="005D2B18" w:rsidRDefault="005D2B18" w:rsidP="005D2B18">
      <w:pPr>
        <w:spacing w:line="480" w:lineRule="auto"/>
      </w:pPr>
      <w:proofErr w:type="gramStart"/>
      <w:r w:rsidRPr="00387607">
        <w:rPr>
          <w:vertAlign w:val="superscript"/>
        </w:rPr>
        <w:t>a</w:t>
      </w:r>
      <w:proofErr w:type="gramEnd"/>
      <w:r>
        <w:t xml:space="preserve"> </w:t>
      </w:r>
      <w:proofErr w:type="spellStart"/>
      <w:r w:rsidRPr="00202380">
        <w:t>Cronbach</w:t>
      </w:r>
      <w:proofErr w:type="spellEnd"/>
      <w:r w:rsidRPr="00202380">
        <w:t xml:space="preserve"> </w:t>
      </w:r>
      <w:r>
        <w:t xml:space="preserve">α reported at scale level and item level (if item excluded); higher scores represent better internal consistency. </w:t>
      </w:r>
    </w:p>
    <w:p w:rsidR="005D2B18" w:rsidRDefault="005D2B18" w:rsidP="005D2B18">
      <w:pPr>
        <w:spacing w:line="480" w:lineRule="auto"/>
      </w:pPr>
    </w:p>
    <w:p w:rsidR="005D2B18" w:rsidRDefault="005D2B18" w:rsidP="005D2B18">
      <w:pPr>
        <w:spacing w:after="200" w:line="276" w:lineRule="auto"/>
      </w:pPr>
      <w:r>
        <w:br w:type="page"/>
      </w:r>
    </w:p>
    <w:p w:rsidR="005D2B18" w:rsidRPr="00387022" w:rsidRDefault="005D2B18" w:rsidP="005D2B18">
      <w:pPr>
        <w:spacing w:line="480" w:lineRule="auto"/>
        <w:rPr>
          <w:u w:val="single"/>
        </w:rPr>
      </w:pPr>
      <w:proofErr w:type="gramStart"/>
      <w:r w:rsidRPr="00387022">
        <w:rPr>
          <w:u w:val="single"/>
        </w:rPr>
        <w:lastRenderedPageBreak/>
        <w:t>Table 4.</w:t>
      </w:r>
      <w:proofErr w:type="gramEnd"/>
      <w:r w:rsidRPr="00387022">
        <w:rPr>
          <w:u w:val="single"/>
        </w:rPr>
        <w:t xml:space="preserve"> Convergent and </w:t>
      </w:r>
      <w:proofErr w:type="spellStart"/>
      <w:r w:rsidRPr="00387022">
        <w:rPr>
          <w:u w:val="single"/>
        </w:rPr>
        <w:t>Discriminant</w:t>
      </w:r>
      <w:proofErr w:type="spellEnd"/>
      <w:r w:rsidRPr="00387022">
        <w:rPr>
          <w:u w:val="single"/>
        </w:rPr>
        <w:t xml:space="preserve"> Validity for each Treatment Version of the LBP-TBQ</w:t>
      </w:r>
      <w:r w:rsidRPr="00387022" w:rsidDel="007B3A6E">
        <w:rPr>
          <w:u w:val="single"/>
        </w:rPr>
        <w:t xml:space="preserve"> </w:t>
      </w:r>
      <w:r w:rsidRPr="00387022">
        <w:rPr>
          <w:u w:val="single"/>
        </w:rPr>
        <w:t>Subscales</w:t>
      </w:r>
    </w:p>
    <w:tbl>
      <w:tblPr>
        <w:tblStyle w:val="TableGrid"/>
        <w:tblW w:w="5000" w:type="pct"/>
        <w:tblBorders>
          <w:left w:val="none" w:sz="0" w:space="0" w:color="auto"/>
          <w:right w:val="none" w:sz="0" w:space="0" w:color="auto"/>
          <w:insideH w:val="none" w:sz="0" w:space="0" w:color="auto"/>
          <w:insideV w:val="none" w:sz="0" w:space="0" w:color="auto"/>
        </w:tblBorders>
        <w:tblLook w:val="04A0"/>
      </w:tblPr>
      <w:tblGrid>
        <w:gridCol w:w="1509"/>
        <w:gridCol w:w="1581"/>
        <w:gridCol w:w="1581"/>
        <w:gridCol w:w="1582"/>
        <w:gridCol w:w="1582"/>
        <w:gridCol w:w="1582"/>
        <w:gridCol w:w="1582"/>
        <w:gridCol w:w="1590"/>
        <w:gridCol w:w="1585"/>
      </w:tblGrid>
      <w:tr w:rsidR="005D2B18" w:rsidTr="00EE0D7D">
        <w:tc>
          <w:tcPr>
            <w:tcW w:w="532" w:type="pct"/>
            <w:vMerge w:val="restart"/>
            <w:tcBorders>
              <w:top w:val="single" w:sz="4" w:space="0" w:color="auto"/>
            </w:tcBorders>
            <w:vAlign w:val="bottom"/>
          </w:tcPr>
          <w:p w:rsidR="005D2B18" w:rsidRDefault="005D2B18" w:rsidP="00EE0D7D">
            <w:r>
              <w:t>Subscale</w:t>
            </w:r>
          </w:p>
        </w:tc>
        <w:tc>
          <w:tcPr>
            <w:tcW w:w="4468" w:type="pct"/>
            <w:gridSpan w:val="8"/>
            <w:tcBorders>
              <w:top w:val="single" w:sz="4" w:space="0" w:color="auto"/>
            </w:tcBorders>
          </w:tcPr>
          <w:p w:rsidR="005D2B18" w:rsidRDefault="005D2B18" w:rsidP="00EE0D7D">
            <w:pPr>
              <w:jc w:val="center"/>
            </w:pPr>
            <w:r>
              <w:t>Treatment Version</w:t>
            </w:r>
          </w:p>
        </w:tc>
      </w:tr>
      <w:tr w:rsidR="005D2B18" w:rsidTr="00EE0D7D">
        <w:tc>
          <w:tcPr>
            <w:tcW w:w="532" w:type="pct"/>
            <w:vMerge/>
            <w:tcBorders>
              <w:bottom w:val="single" w:sz="4" w:space="0" w:color="auto"/>
            </w:tcBorders>
          </w:tcPr>
          <w:p w:rsidR="005D2B18" w:rsidRDefault="005D2B18" w:rsidP="00EE0D7D"/>
        </w:tc>
        <w:tc>
          <w:tcPr>
            <w:tcW w:w="1115" w:type="pct"/>
            <w:gridSpan w:val="2"/>
            <w:tcBorders>
              <w:top w:val="single" w:sz="4" w:space="0" w:color="auto"/>
              <w:bottom w:val="single" w:sz="4" w:space="0" w:color="auto"/>
            </w:tcBorders>
          </w:tcPr>
          <w:p w:rsidR="005D2B18" w:rsidRDefault="005D2B18" w:rsidP="00EE0D7D">
            <w:pPr>
              <w:jc w:val="center"/>
            </w:pPr>
            <w:r>
              <w:t>Pain Medication</w:t>
            </w:r>
          </w:p>
        </w:tc>
        <w:tc>
          <w:tcPr>
            <w:tcW w:w="1116" w:type="pct"/>
            <w:gridSpan w:val="2"/>
            <w:tcBorders>
              <w:top w:val="single" w:sz="4" w:space="0" w:color="auto"/>
              <w:bottom w:val="single" w:sz="4" w:space="0" w:color="auto"/>
            </w:tcBorders>
          </w:tcPr>
          <w:p w:rsidR="005D2B18" w:rsidRDefault="005D2B18" w:rsidP="00EE0D7D">
            <w:pPr>
              <w:jc w:val="center"/>
            </w:pPr>
            <w:r>
              <w:t>Exercise</w:t>
            </w:r>
          </w:p>
        </w:tc>
        <w:tc>
          <w:tcPr>
            <w:tcW w:w="1116" w:type="pct"/>
            <w:gridSpan w:val="2"/>
            <w:tcBorders>
              <w:top w:val="single" w:sz="4" w:space="0" w:color="auto"/>
              <w:bottom w:val="single" w:sz="4" w:space="0" w:color="auto"/>
            </w:tcBorders>
          </w:tcPr>
          <w:p w:rsidR="005D2B18" w:rsidRDefault="005D2B18" w:rsidP="00EE0D7D">
            <w:pPr>
              <w:jc w:val="center"/>
            </w:pPr>
            <w:r>
              <w:t>Manual Therapy</w:t>
            </w:r>
          </w:p>
        </w:tc>
        <w:tc>
          <w:tcPr>
            <w:tcW w:w="1120" w:type="pct"/>
            <w:gridSpan w:val="2"/>
            <w:tcBorders>
              <w:top w:val="single" w:sz="4" w:space="0" w:color="auto"/>
              <w:bottom w:val="single" w:sz="4" w:space="0" w:color="auto"/>
            </w:tcBorders>
          </w:tcPr>
          <w:p w:rsidR="005D2B18" w:rsidRDefault="005D2B18" w:rsidP="00EE0D7D">
            <w:pPr>
              <w:jc w:val="center"/>
            </w:pPr>
            <w:r>
              <w:t>Acupuncture</w:t>
            </w:r>
          </w:p>
        </w:tc>
      </w:tr>
      <w:tr w:rsidR="005D2B18" w:rsidTr="00EE0D7D">
        <w:tc>
          <w:tcPr>
            <w:tcW w:w="532" w:type="pct"/>
            <w:tcBorders>
              <w:bottom w:val="single" w:sz="4" w:space="0" w:color="auto"/>
            </w:tcBorders>
          </w:tcPr>
          <w:p w:rsidR="005D2B18" w:rsidRDefault="005D2B18" w:rsidP="00EE0D7D"/>
        </w:tc>
        <w:tc>
          <w:tcPr>
            <w:tcW w:w="558" w:type="pct"/>
            <w:tcBorders>
              <w:top w:val="single" w:sz="4" w:space="0" w:color="auto"/>
              <w:bottom w:val="single" w:sz="4" w:space="0" w:color="auto"/>
            </w:tcBorders>
          </w:tcPr>
          <w:p w:rsidR="005D2B18" w:rsidRDefault="005D2B18" w:rsidP="00EE0D7D">
            <w:r>
              <w:t>Hypothesis</w:t>
            </w:r>
          </w:p>
        </w:tc>
        <w:tc>
          <w:tcPr>
            <w:tcW w:w="558" w:type="pct"/>
            <w:tcBorders>
              <w:top w:val="single" w:sz="4" w:space="0" w:color="auto"/>
              <w:bottom w:val="single" w:sz="4" w:space="0" w:color="auto"/>
            </w:tcBorders>
          </w:tcPr>
          <w:p w:rsidR="005D2B18" w:rsidRDefault="005D2B18" w:rsidP="00EE0D7D">
            <w:r>
              <w:t>Pearson’s r</w:t>
            </w:r>
          </w:p>
        </w:tc>
        <w:tc>
          <w:tcPr>
            <w:tcW w:w="558" w:type="pct"/>
            <w:tcBorders>
              <w:top w:val="single" w:sz="4" w:space="0" w:color="auto"/>
              <w:bottom w:val="single" w:sz="4" w:space="0" w:color="auto"/>
            </w:tcBorders>
          </w:tcPr>
          <w:p w:rsidR="005D2B18" w:rsidRDefault="005D2B18" w:rsidP="00EE0D7D">
            <w:r>
              <w:t>Hypothesis</w:t>
            </w:r>
          </w:p>
        </w:tc>
        <w:tc>
          <w:tcPr>
            <w:tcW w:w="558" w:type="pct"/>
            <w:tcBorders>
              <w:top w:val="single" w:sz="4" w:space="0" w:color="auto"/>
              <w:bottom w:val="single" w:sz="4" w:space="0" w:color="auto"/>
            </w:tcBorders>
          </w:tcPr>
          <w:p w:rsidR="005D2B18" w:rsidRDefault="005D2B18" w:rsidP="00EE0D7D">
            <w:r>
              <w:t>Pearson’s r</w:t>
            </w:r>
          </w:p>
        </w:tc>
        <w:tc>
          <w:tcPr>
            <w:tcW w:w="558" w:type="pct"/>
            <w:tcBorders>
              <w:top w:val="single" w:sz="4" w:space="0" w:color="auto"/>
              <w:bottom w:val="single" w:sz="4" w:space="0" w:color="auto"/>
            </w:tcBorders>
          </w:tcPr>
          <w:p w:rsidR="005D2B18" w:rsidRDefault="005D2B18" w:rsidP="00EE0D7D">
            <w:r>
              <w:t>Hypothesis</w:t>
            </w:r>
          </w:p>
        </w:tc>
        <w:tc>
          <w:tcPr>
            <w:tcW w:w="558" w:type="pct"/>
            <w:tcBorders>
              <w:top w:val="single" w:sz="4" w:space="0" w:color="auto"/>
              <w:bottom w:val="single" w:sz="4" w:space="0" w:color="auto"/>
            </w:tcBorders>
          </w:tcPr>
          <w:p w:rsidR="005D2B18" w:rsidRDefault="005D2B18" w:rsidP="00EE0D7D">
            <w:r>
              <w:t>Pearson’s r</w:t>
            </w:r>
          </w:p>
        </w:tc>
        <w:tc>
          <w:tcPr>
            <w:tcW w:w="561" w:type="pct"/>
            <w:tcBorders>
              <w:top w:val="single" w:sz="4" w:space="0" w:color="auto"/>
              <w:bottom w:val="single" w:sz="4" w:space="0" w:color="auto"/>
            </w:tcBorders>
          </w:tcPr>
          <w:p w:rsidR="005D2B18" w:rsidRDefault="005D2B18" w:rsidP="00EE0D7D">
            <w:r>
              <w:t>Hypothesis</w:t>
            </w:r>
          </w:p>
        </w:tc>
        <w:tc>
          <w:tcPr>
            <w:tcW w:w="559" w:type="pct"/>
            <w:tcBorders>
              <w:top w:val="single" w:sz="4" w:space="0" w:color="auto"/>
              <w:bottom w:val="single" w:sz="4" w:space="0" w:color="auto"/>
            </w:tcBorders>
          </w:tcPr>
          <w:p w:rsidR="005D2B18" w:rsidRDefault="005D2B18" w:rsidP="00EE0D7D">
            <w:r>
              <w:t>Pearson’s r</w:t>
            </w:r>
          </w:p>
        </w:tc>
      </w:tr>
      <w:tr w:rsidR="005D2B18" w:rsidTr="00EE0D7D">
        <w:tc>
          <w:tcPr>
            <w:tcW w:w="532" w:type="pct"/>
          </w:tcPr>
          <w:p w:rsidR="005D2B18" w:rsidRDefault="005D2B18" w:rsidP="00EE0D7D"/>
        </w:tc>
        <w:tc>
          <w:tcPr>
            <w:tcW w:w="558" w:type="pct"/>
          </w:tcPr>
          <w:p w:rsidR="005D2B18" w:rsidRDefault="005D2B18" w:rsidP="00EE0D7D"/>
        </w:tc>
        <w:tc>
          <w:tcPr>
            <w:tcW w:w="558" w:type="pct"/>
          </w:tcPr>
          <w:p w:rsidR="005D2B18" w:rsidRPr="00A64B83" w:rsidRDefault="005D2B18" w:rsidP="00EE0D7D"/>
        </w:tc>
        <w:tc>
          <w:tcPr>
            <w:tcW w:w="558" w:type="pct"/>
          </w:tcPr>
          <w:p w:rsidR="005D2B18" w:rsidRDefault="005D2B18" w:rsidP="00EE0D7D"/>
        </w:tc>
        <w:tc>
          <w:tcPr>
            <w:tcW w:w="558" w:type="pct"/>
          </w:tcPr>
          <w:p w:rsidR="005D2B18" w:rsidRPr="00A64B83" w:rsidRDefault="005D2B18" w:rsidP="00EE0D7D"/>
        </w:tc>
        <w:tc>
          <w:tcPr>
            <w:tcW w:w="558" w:type="pct"/>
          </w:tcPr>
          <w:p w:rsidR="005D2B18" w:rsidRDefault="005D2B18" w:rsidP="00EE0D7D"/>
        </w:tc>
        <w:tc>
          <w:tcPr>
            <w:tcW w:w="558" w:type="pct"/>
          </w:tcPr>
          <w:p w:rsidR="005D2B18" w:rsidRPr="00A64B83" w:rsidRDefault="005D2B18" w:rsidP="00EE0D7D"/>
        </w:tc>
        <w:tc>
          <w:tcPr>
            <w:tcW w:w="561" w:type="pct"/>
          </w:tcPr>
          <w:p w:rsidR="005D2B18" w:rsidRDefault="005D2B18" w:rsidP="00EE0D7D"/>
        </w:tc>
        <w:tc>
          <w:tcPr>
            <w:tcW w:w="559" w:type="pct"/>
          </w:tcPr>
          <w:p w:rsidR="005D2B18" w:rsidRDefault="005D2B18" w:rsidP="00EE0D7D"/>
        </w:tc>
      </w:tr>
      <w:tr w:rsidR="005D2B18" w:rsidTr="00EE0D7D">
        <w:tc>
          <w:tcPr>
            <w:tcW w:w="532" w:type="pct"/>
          </w:tcPr>
          <w:p w:rsidR="005D2B18" w:rsidRDefault="005D2B18" w:rsidP="00EE0D7D">
            <w:r>
              <w:t>Credibility</w:t>
            </w:r>
          </w:p>
        </w:tc>
        <w:tc>
          <w:tcPr>
            <w:tcW w:w="558" w:type="pct"/>
          </w:tcPr>
          <w:p w:rsidR="005D2B18" w:rsidRDefault="005D2B18" w:rsidP="00EE0D7D">
            <w:r>
              <w:sym w:font="Wingdings" w:char="F0E1"/>
            </w:r>
            <w:r>
              <w:t xml:space="preserve"> CEQ Credibility</w:t>
            </w:r>
          </w:p>
        </w:tc>
        <w:tc>
          <w:tcPr>
            <w:tcW w:w="558" w:type="pct"/>
          </w:tcPr>
          <w:p w:rsidR="005D2B18" w:rsidRDefault="005D2B18" w:rsidP="00EE0D7D">
            <w:r w:rsidRPr="00A64B83">
              <w:t>.44**</w:t>
            </w:r>
          </w:p>
        </w:tc>
        <w:tc>
          <w:tcPr>
            <w:tcW w:w="558" w:type="pct"/>
          </w:tcPr>
          <w:p w:rsidR="005D2B18" w:rsidRDefault="005D2B18" w:rsidP="00EE0D7D">
            <w:r>
              <w:sym w:font="Wingdings" w:char="F0E1"/>
            </w:r>
            <w:r>
              <w:t xml:space="preserve"> CEQ Credibility</w:t>
            </w:r>
          </w:p>
        </w:tc>
        <w:tc>
          <w:tcPr>
            <w:tcW w:w="558" w:type="pct"/>
          </w:tcPr>
          <w:p w:rsidR="005D2B18" w:rsidRDefault="005D2B18" w:rsidP="00EE0D7D">
            <w:r w:rsidRPr="00A64B83">
              <w:t>.66**</w:t>
            </w:r>
          </w:p>
        </w:tc>
        <w:tc>
          <w:tcPr>
            <w:tcW w:w="558" w:type="pct"/>
          </w:tcPr>
          <w:p w:rsidR="005D2B18" w:rsidRDefault="005D2B18" w:rsidP="00EE0D7D">
            <w:r>
              <w:sym w:font="Wingdings" w:char="F0E1"/>
            </w:r>
            <w:r>
              <w:t xml:space="preserve"> CEQ Credibility</w:t>
            </w:r>
          </w:p>
        </w:tc>
        <w:tc>
          <w:tcPr>
            <w:tcW w:w="558" w:type="pct"/>
          </w:tcPr>
          <w:p w:rsidR="005D2B18" w:rsidRDefault="005D2B18" w:rsidP="00EE0D7D">
            <w:r w:rsidRPr="00A64B83">
              <w:t>.67**</w:t>
            </w:r>
          </w:p>
        </w:tc>
        <w:tc>
          <w:tcPr>
            <w:tcW w:w="561" w:type="pct"/>
          </w:tcPr>
          <w:p w:rsidR="005D2B18" w:rsidRDefault="005D2B18" w:rsidP="00EE0D7D">
            <w:r>
              <w:sym w:font="Wingdings" w:char="F0E1"/>
            </w:r>
            <w:r>
              <w:t xml:space="preserve"> CEQ Credibility</w:t>
            </w:r>
          </w:p>
        </w:tc>
        <w:tc>
          <w:tcPr>
            <w:tcW w:w="559" w:type="pct"/>
          </w:tcPr>
          <w:p w:rsidR="005D2B18" w:rsidRDefault="005D2B18" w:rsidP="00EE0D7D">
            <w:r w:rsidRPr="00936C3F">
              <w:t>.68**</w:t>
            </w:r>
          </w:p>
        </w:tc>
      </w:tr>
      <w:tr w:rsidR="005D2B18" w:rsidTr="00EE0D7D">
        <w:tc>
          <w:tcPr>
            <w:tcW w:w="532" w:type="pct"/>
          </w:tcPr>
          <w:p w:rsidR="005D2B18" w:rsidRDefault="005D2B18" w:rsidP="00EE0D7D"/>
        </w:tc>
        <w:tc>
          <w:tcPr>
            <w:tcW w:w="558" w:type="pct"/>
          </w:tcPr>
          <w:p w:rsidR="005D2B18" w:rsidRDefault="005D2B18" w:rsidP="00EE0D7D">
            <w:r>
              <w:t>= BIPQ Concerns</w:t>
            </w:r>
          </w:p>
        </w:tc>
        <w:tc>
          <w:tcPr>
            <w:tcW w:w="558" w:type="pct"/>
          </w:tcPr>
          <w:p w:rsidR="005D2B18" w:rsidRDefault="005D2B18" w:rsidP="00EE0D7D">
            <w:r w:rsidRPr="00A64B83">
              <w:t>-.05</w:t>
            </w:r>
          </w:p>
        </w:tc>
        <w:tc>
          <w:tcPr>
            <w:tcW w:w="558" w:type="pct"/>
          </w:tcPr>
          <w:p w:rsidR="005D2B18" w:rsidRDefault="005D2B18" w:rsidP="00EE0D7D">
            <w:r>
              <w:t>= BIPQ Concerns</w:t>
            </w:r>
          </w:p>
        </w:tc>
        <w:tc>
          <w:tcPr>
            <w:tcW w:w="558" w:type="pct"/>
          </w:tcPr>
          <w:p w:rsidR="005D2B18" w:rsidRDefault="005D2B18" w:rsidP="00EE0D7D">
            <w:r w:rsidRPr="00A64B83">
              <w:t>-.29**</w:t>
            </w:r>
          </w:p>
        </w:tc>
        <w:tc>
          <w:tcPr>
            <w:tcW w:w="558" w:type="pct"/>
          </w:tcPr>
          <w:p w:rsidR="005D2B18" w:rsidRDefault="005D2B18" w:rsidP="00EE0D7D">
            <w:r>
              <w:t>= BIPQ Concerns</w:t>
            </w:r>
          </w:p>
        </w:tc>
        <w:tc>
          <w:tcPr>
            <w:tcW w:w="558" w:type="pct"/>
          </w:tcPr>
          <w:p w:rsidR="005D2B18" w:rsidRDefault="005D2B18" w:rsidP="00EE0D7D">
            <w:r w:rsidRPr="00936C3F">
              <w:t>-.22**</w:t>
            </w:r>
          </w:p>
        </w:tc>
        <w:tc>
          <w:tcPr>
            <w:tcW w:w="561" w:type="pct"/>
          </w:tcPr>
          <w:p w:rsidR="005D2B18" w:rsidRDefault="005D2B18" w:rsidP="00EE0D7D">
            <w:r>
              <w:t>= BIPQ Concerns</w:t>
            </w:r>
          </w:p>
        </w:tc>
        <w:tc>
          <w:tcPr>
            <w:tcW w:w="559" w:type="pct"/>
          </w:tcPr>
          <w:p w:rsidR="005D2B18" w:rsidRDefault="005D2B18" w:rsidP="00EE0D7D">
            <w:r w:rsidRPr="00936C3F">
              <w:t>.02</w:t>
            </w:r>
          </w:p>
        </w:tc>
      </w:tr>
      <w:tr w:rsidR="005D2B18" w:rsidTr="00EE0D7D">
        <w:tc>
          <w:tcPr>
            <w:tcW w:w="532" w:type="pct"/>
          </w:tcPr>
          <w:p w:rsidR="005D2B18" w:rsidRDefault="005D2B18" w:rsidP="00EE0D7D"/>
        </w:tc>
        <w:tc>
          <w:tcPr>
            <w:tcW w:w="558" w:type="pct"/>
          </w:tcPr>
          <w:p w:rsidR="005D2B18" w:rsidRDefault="005D2B18" w:rsidP="00EE0D7D">
            <w:r>
              <w:t>= BIPQ Emotions</w:t>
            </w:r>
          </w:p>
        </w:tc>
        <w:tc>
          <w:tcPr>
            <w:tcW w:w="558" w:type="pct"/>
          </w:tcPr>
          <w:p w:rsidR="005D2B18" w:rsidRDefault="005D2B18" w:rsidP="00EE0D7D">
            <w:r w:rsidRPr="00A64B83">
              <w:t>-.06</w:t>
            </w:r>
          </w:p>
        </w:tc>
        <w:tc>
          <w:tcPr>
            <w:tcW w:w="558" w:type="pct"/>
          </w:tcPr>
          <w:p w:rsidR="005D2B18" w:rsidRDefault="005D2B18" w:rsidP="00EE0D7D">
            <w:r>
              <w:t>= BIPQ Emotions</w:t>
            </w:r>
          </w:p>
        </w:tc>
        <w:tc>
          <w:tcPr>
            <w:tcW w:w="558" w:type="pct"/>
          </w:tcPr>
          <w:p w:rsidR="005D2B18" w:rsidRDefault="005D2B18" w:rsidP="00EE0D7D">
            <w:r w:rsidRPr="00A64B83">
              <w:t>-.24**</w:t>
            </w:r>
          </w:p>
        </w:tc>
        <w:tc>
          <w:tcPr>
            <w:tcW w:w="558" w:type="pct"/>
          </w:tcPr>
          <w:p w:rsidR="005D2B18" w:rsidRDefault="005D2B18" w:rsidP="00EE0D7D">
            <w:r>
              <w:t>= BIPQ Emotions</w:t>
            </w:r>
          </w:p>
        </w:tc>
        <w:tc>
          <w:tcPr>
            <w:tcW w:w="558" w:type="pct"/>
          </w:tcPr>
          <w:p w:rsidR="005D2B18" w:rsidRDefault="005D2B18" w:rsidP="00EE0D7D">
            <w:r w:rsidRPr="00936C3F">
              <w:t>-.18**</w:t>
            </w:r>
          </w:p>
        </w:tc>
        <w:tc>
          <w:tcPr>
            <w:tcW w:w="561" w:type="pct"/>
          </w:tcPr>
          <w:p w:rsidR="005D2B18" w:rsidRDefault="005D2B18" w:rsidP="00EE0D7D">
            <w:r>
              <w:t>= BIPQ Emotions</w:t>
            </w:r>
          </w:p>
        </w:tc>
        <w:tc>
          <w:tcPr>
            <w:tcW w:w="559" w:type="pct"/>
          </w:tcPr>
          <w:p w:rsidR="005D2B18" w:rsidRDefault="005D2B18" w:rsidP="00EE0D7D">
            <w:r w:rsidRPr="00936C3F">
              <w:t>-.02</w:t>
            </w:r>
          </w:p>
        </w:tc>
      </w:tr>
      <w:tr w:rsidR="005D2B18" w:rsidTr="00EE0D7D">
        <w:tc>
          <w:tcPr>
            <w:tcW w:w="532" w:type="pct"/>
          </w:tcPr>
          <w:p w:rsidR="005D2B18" w:rsidRDefault="005D2B18" w:rsidP="00EE0D7D"/>
        </w:tc>
        <w:tc>
          <w:tcPr>
            <w:tcW w:w="558" w:type="pct"/>
          </w:tcPr>
          <w:p w:rsidR="005D2B18" w:rsidRDefault="005D2B18" w:rsidP="00EE0D7D"/>
        </w:tc>
        <w:tc>
          <w:tcPr>
            <w:tcW w:w="558" w:type="pct"/>
          </w:tcPr>
          <w:p w:rsidR="005D2B18" w:rsidRPr="00A64B83" w:rsidRDefault="005D2B18" w:rsidP="00EE0D7D"/>
        </w:tc>
        <w:tc>
          <w:tcPr>
            <w:tcW w:w="558" w:type="pct"/>
          </w:tcPr>
          <w:p w:rsidR="005D2B18" w:rsidRDefault="005D2B18" w:rsidP="00EE0D7D"/>
        </w:tc>
        <w:tc>
          <w:tcPr>
            <w:tcW w:w="558" w:type="pct"/>
          </w:tcPr>
          <w:p w:rsidR="005D2B18" w:rsidRPr="00A64B83" w:rsidRDefault="005D2B18" w:rsidP="00EE0D7D"/>
        </w:tc>
        <w:tc>
          <w:tcPr>
            <w:tcW w:w="558" w:type="pct"/>
          </w:tcPr>
          <w:p w:rsidR="005D2B18" w:rsidRDefault="005D2B18" w:rsidP="00EE0D7D">
            <w:r w:rsidRPr="00A64B83">
              <w:sym w:font="Wingdings" w:char="F0E2"/>
            </w:r>
            <w:r>
              <w:t xml:space="preserve"> HCAMQ Attitudes</w:t>
            </w:r>
          </w:p>
        </w:tc>
        <w:tc>
          <w:tcPr>
            <w:tcW w:w="558" w:type="pct"/>
          </w:tcPr>
          <w:p w:rsidR="005D2B18" w:rsidRDefault="005D2B18" w:rsidP="00EE0D7D">
            <w:r w:rsidRPr="00A64B83">
              <w:t>-.32**</w:t>
            </w:r>
          </w:p>
        </w:tc>
        <w:tc>
          <w:tcPr>
            <w:tcW w:w="561" w:type="pct"/>
          </w:tcPr>
          <w:p w:rsidR="005D2B18" w:rsidRDefault="005D2B18" w:rsidP="00EE0D7D">
            <w:r w:rsidRPr="00A64B83">
              <w:sym w:font="Wingdings" w:char="F0E2"/>
            </w:r>
            <w:r>
              <w:t xml:space="preserve"> HCAMQ Attitudes</w:t>
            </w:r>
          </w:p>
        </w:tc>
        <w:tc>
          <w:tcPr>
            <w:tcW w:w="559" w:type="pct"/>
          </w:tcPr>
          <w:p w:rsidR="005D2B18" w:rsidRDefault="005D2B18" w:rsidP="00EE0D7D">
            <w:r w:rsidRPr="00936C3F">
              <w:t>-.38**</w:t>
            </w:r>
          </w:p>
        </w:tc>
      </w:tr>
      <w:tr w:rsidR="005D2B18" w:rsidTr="00EE0D7D">
        <w:tc>
          <w:tcPr>
            <w:tcW w:w="532" w:type="pct"/>
          </w:tcPr>
          <w:p w:rsidR="005D2B18" w:rsidRDefault="005D2B18" w:rsidP="00EE0D7D"/>
        </w:tc>
        <w:tc>
          <w:tcPr>
            <w:tcW w:w="558" w:type="pct"/>
          </w:tcPr>
          <w:p w:rsidR="005D2B18" w:rsidRDefault="005D2B18" w:rsidP="00EE0D7D"/>
        </w:tc>
        <w:tc>
          <w:tcPr>
            <w:tcW w:w="558" w:type="pct"/>
          </w:tcPr>
          <w:p w:rsidR="005D2B18" w:rsidRPr="00A64B83" w:rsidRDefault="005D2B18" w:rsidP="00EE0D7D"/>
        </w:tc>
        <w:tc>
          <w:tcPr>
            <w:tcW w:w="558" w:type="pct"/>
          </w:tcPr>
          <w:p w:rsidR="005D2B18" w:rsidRDefault="005D2B18" w:rsidP="00EE0D7D"/>
        </w:tc>
        <w:tc>
          <w:tcPr>
            <w:tcW w:w="558" w:type="pct"/>
          </w:tcPr>
          <w:p w:rsidR="005D2B18" w:rsidRPr="00A64B83" w:rsidRDefault="005D2B18" w:rsidP="00EE0D7D"/>
        </w:tc>
        <w:tc>
          <w:tcPr>
            <w:tcW w:w="558" w:type="pct"/>
          </w:tcPr>
          <w:p w:rsidR="005D2B18" w:rsidRDefault="005D2B18" w:rsidP="00EE0D7D"/>
        </w:tc>
        <w:tc>
          <w:tcPr>
            <w:tcW w:w="558" w:type="pct"/>
          </w:tcPr>
          <w:p w:rsidR="005D2B18" w:rsidRDefault="005D2B18" w:rsidP="00EE0D7D"/>
        </w:tc>
        <w:tc>
          <w:tcPr>
            <w:tcW w:w="561" w:type="pct"/>
          </w:tcPr>
          <w:p w:rsidR="005D2B18" w:rsidRDefault="005D2B18" w:rsidP="00EE0D7D"/>
        </w:tc>
        <w:tc>
          <w:tcPr>
            <w:tcW w:w="559" w:type="pct"/>
          </w:tcPr>
          <w:p w:rsidR="005D2B18" w:rsidRDefault="005D2B18" w:rsidP="00EE0D7D"/>
        </w:tc>
      </w:tr>
      <w:tr w:rsidR="005D2B18" w:rsidTr="00EE0D7D">
        <w:tc>
          <w:tcPr>
            <w:tcW w:w="532" w:type="pct"/>
          </w:tcPr>
          <w:p w:rsidR="005D2B18" w:rsidRDefault="005D2B18" w:rsidP="00EE0D7D">
            <w:r>
              <w:t>Effectiveness</w:t>
            </w:r>
          </w:p>
        </w:tc>
        <w:tc>
          <w:tcPr>
            <w:tcW w:w="558" w:type="pct"/>
          </w:tcPr>
          <w:p w:rsidR="005D2B18" w:rsidRDefault="005D2B18" w:rsidP="00EE0D7D">
            <w:r>
              <w:sym w:font="Wingdings" w:char="F0E1"/>
            </w:r>
            <w:r>
              <w:t xml:space="preserve"> CEQ Expectancy</w:t>
            </w:r>
          </w:p>
        </w:tc>
        <w:tc>
          <w:tcPr>
            <w:tcW w:w="558" w:type="pct"/>
          </w:tcPr>
          <w:p w:rsidR="005D2B18" w:rsidRDefault="005D2B18" w:rsidP="00EE0D7D">
            <w:r w:rsidRPr="00A64B83">
              <w:t>.48**</w:t>
            </w:r>
          </w:p>
        </w:tc>
        <w:tc>
          <w:tcPr>
            <w:tcW w:w="558" w:type="pct"/>
          </w:tcPr>
          <w:p w:rsidR="005D2B18" w:rsidRDefault="005D2B18" w:rsidP="00EE0D7D">
            <w:r>
              <w:sym w:font="Wingdings" w:char="F0E1"/>
            </w:r>
            <w:r>
              <w:t xml:space="preserve"> CEQ Expectancy</w:t>
            </w:r>
          </w:p>
        </w:tc>
        <w:tc>
          <w:tcPr>
            <w:tcW w:w="558" w:type="pct"/>
          </w:tcPr>
          <w:p w:rsidR="005D2B18" w:rsidRDefault="005D2B18" w:rsidP="00EE0D7D">
            <w:r w:rsidRPr="00A64B83">
              <w:t>.59**</w:t>
            </w:r>
          </w:p>
        </w:tc>
        <w:tc>
          <w:tcPr>
            <w:tcW w:w="558" w:type="pct"/>
          </w:tcPr>
          <w:p w:rsidR="005D2B18" w:rsidRDefault="005D2B18" w:rsidP="00EE0D7D">
            <w:r>
              <w:sym w:font="Wingdings" w:char="F0E1"/>
            </w:r>
            <w:r>
              <w:t xml:space="preserve"> CEQ Expectancy</w:t>
            </w:r>
          </w:p>
        </w:tc>
        <w:tc>
          <w:tcPr>
            <w:tcW w:w="558" w:type="pct"/>
          </w:tcPr>
          <w:p w:rsidR="005D2B18" w:rsidRDefault="005D2B18" w:rsidP="00EE0D7D">
            <w:r w:rsidRPr="00936C3F">
              <w:t>53**</w:t>
            </w:r>
          </w:p>
        </w:tc>
        <w:tc>
          <w:tcPr>
            <w:tcW w:w="561" w:type="pct"/>
          </w:tcPr>
          <w:p w:rsidR="005D2B18" w:rsidRDefault="005D2B18" w:rsidP="00EE0D7D">
            <w:r>
              <w:sym w:font="Wingdings" w:char="F0E1"/>
            </w:r>
            <w:r>
              <w:t xml:space="preserve"> CEQ Expectancy</w:t>
            </w:r>
          </w:p>
        </w:tc>
        <w:tc>
          <w:tcPr>
            <w:tcW w:w="559" w:type="pct"/>
          </w:tcPr>
          <w:p w:rsidR="005D2B18" w:rsidRDefault="005D2B18" w:rsidP="00EE0D7D">
            <w:r w:rsidRPr="00936C3F">
              <w:t>.50**</w:t>
            </w:r>
          </w:p>
        </w:tc>
      </w:tr>
      <w:tr w:rsidR="005D2B18" w:rsidTr="00EE0D7D">
        <w:tc>
          <w:tcPr>
            <w:tcW w:w="532" w:type="pct"/>
          </w:tcPr>
          <w:p w:rsidR="005D2B18" w:rsidRDefault="005D2B18" w:rsidP="00EE0D7D"/>
        </w:tc>
        <w:tc>
          <w:tcPr>
            <w:tcW w:w="558" w:type="pct"/>
          </w:tcPr>
          <w:p w:rsidR="005D2B18" w:rsidRDefault="005D2B18" w:rsidP="00EE0D7D">
            <w:r>
              <w:t>= BIPQ Concerns</w:t>
            </w:r>
          </w:p>
        </w:tc>
        <w:tc>
          <w:tcPr>
            <w:tcW w:w="558" w:type="pct"/>
          </w:tcPr>
          <w:p w:rsidR="005D2B18" w:rsidRDefault="005D2B18" w:rsidP="00EE0D7D">
            <w:r w:rsidRPr="00A64B83">
              <w:t>-.15**</w:t>
            </w:r>
          </w:p>
        </w:tc>
        <w:tc>
          <w:tcPr>
            <w:tcW w:w="558" w:type="pct"/>
          </w:tcPr>
          <w:p w:rsidR="005D2B18" w:rsidRDefault="005D2B18" w:rsidP="00EE0D7D">
            <w:r>
              <w:t>= BIPQ Concerns</w:t>
            </w:r>
          </w:p>
        </w:tc>
        <w:tc>
          <w:tcPr>
            <w:tcW w:w="558" w:type="pct"/>
          </w:tcPr>
          <w:p w:rsidR="005D2B18" w:rsidRDefault="005D2B18" w:rsidP="00EE0D7D">
            <w:r w:rsidRPr="00A64B83">
              <w:t>-.27**</w:t>
            </w:r>
          </w:p>
        </w:tc>
        <w:tc>
          <w:tcPr>
            <w:tcW w:w="558" w:type="pct"/>
          </w:tcPr>
          <w:p w:rsidR="005D2B18" w:rsidRDefault="005D2B18" w:rsidP="00EE0D7D">
            <w:r>
              <w:t>= BIPQ Concerns</w:t>
            </w:r>
          </w:p>
        </w:tc>
        <w:tc>
          <w:tcPr>
            <w:tcW w:w="558" w:type="pct"/>
          </w:tcPr>
          <w:p w:rsidR="005D2B18" w:rsidRDefault="005D2B18" w:rsidP="00EE0D7D">
            <w:r w:rsidRPr="00936C3F">
              <w:t>-.24**</w:t>
            </w:r>
          </w:p>
        </w:tc>
        <w:tc>
          <w:tcPr>
            <w:tcW w:w="561" w:type="pct"/>
          </w:tcPr>
          <w:p w:rsidR="005D2B18" w:rsidRDefault="005D2B18" w:rsidP="00EE0D7D">
            <w:r>
              <w:t>= BIPQ Concerns</w:t>
            </w:r>
          </w:p>
        </w:tc>
        <w:tc>
          <w:tcPr>
            <w:tcW w:w="559" w:type="pct"/>
          </w:tcPr>
          <w:p w:rsidR="005D2B18" w:rsidRDefault="005D2B18" w:rsidP="00EE0D7D">
            <w:r w:rsidRPr="00936C3F">
              <w:t>-.03</w:t>
            </w:r>
          </w:p>
        </w:tc>
      </w:tr>
      <w:tr w:rsidR="005D2B18" w:rsidTr="00EE0D7D">
        <w:tc>
          <w:tcPr>
            <w:tcW w:w="532" w:type="pct"/>
          </w:tcPr>
          <w:p w:rsidR="005D2B18" w:rsidRDefault="005D2B18" w:rsidP="00EE0D7D"/>
        </w:tc>
        <w:tc>
          <w:tcPr>
            <w:tcW w:w="558" w:type="pct"/>
          </w:tcPr>
          <w:p w:rsidR="005D2B18" w:rsidRDefault="005D2B18" w:rsidP="00EE0D7D">
            <w:r>
              <w:t>= BIPQ Emotions</w:t>
            </w:r>
          </w:p>
        </w:tc>
        <w:tc>
          <w:tcPr>
            <w:tcW w:w="558" w:type="pct"/>
          </w:tcPr>
          <w:p w:rsidR="005D2B18" w:rsidRDefault="005D2B18" w:rsidP="00EE0D7D">
            <w:r w:rsidRPr="00A64B83">
              <w:t>-.13**</w:t>
            </w:r>
          </w:p>
        </w:tc>
        <w:tc>
          <w:tcPr>
            <w:tcW w:w="558" w:type="pct"/>
          </w:tcPr>
          <w:p w:rsidR="005D2B18" w:rsidRDefault="005D2B18" w:rsidP="00EE0D7D">
            <w:r>
              <w:t>= BIPQ Emotions</w:t>
            </w:r>
          </w:p>
        </w:tc>
        <w:tc>
          <w:tcPr>
            <w:tcW w:w="558" w:type="pct"/>
          </w:tcPr>
          <w:p w:rsidR="005D2B18" w:rsidRDefault="005D2B18" w:rsidP="00EE0D7D">
            <w:r w:rsidRPr="00A64B83">
              <w:t>-.22**</w:t>
            </w:r>
          </w:p>
        </w:tc>
        <w:tc>
          <w:tcPr>
            <w:tcW w:w="558" w:type="pct"/>
          </w:tcPr>
          <w:p w:rsidR="005D2B18" w:rsidRDefault="005D2B18" w:rsidP="00EE0D7D">
            <w:r>
              <w:t>= BIPQ Emotions</w:t>
            </w:r>
          </w:p>
        </w:tc>
        <w:tc>
          <w:tcPr>
            <w:tcW w:w="558" w:type="pct"/>
          </w:tcPr>
          <w:p w:rsidR="005D2B18" w:rsidRDefault="005D2B18" w:rsidP="00EE0D7D">
            <w:r w:rsidRPr="00936C3F">
              <w:t>-.19**</w:t>
            </w:r>
          </w:p>
        </w:tc>
        <w:tc>
          <w:tcPr>
            <w:tcW w:w="561" w:type="pct"/>
          </w:tcPr>
          <w:p w:rsidR="005D2B18" w:rsidRDefault="005D2B18" w:rsidP="00EE0D7D">
            <w:r>
              <w:t>= BIPQ Emotions</w:t>
            </w:r>
          </w:p>
        </w:tc>
        <w:tc>
          <w:tcPr>
            <w:tcW w:w="559" w:type="pct"/>
          </w:tcPr>
          <w:p w:rsidR="005D2B18" w:rsidRDefault="005D2B18" w:rsidP="00EE0D7D">
            <w:r w:rsidRPr="00936C3F">
              <w:t>-.05</w:t>
            </w:r>
          </w:p>
        </w:tc>
      </w:tr>
      <w:tr w:rsidR="005D2B18" w:rsidTr="00EE0D7D">
        <w:tc>
          <w:tcPr>
            <w:tcW w:w="532" w:type="pct"/>
          </w:tcPr>
          <w:p w:rsidR="005D2B18" w:rsidRDefault="005D2B18" w:rsidP="00EE0D7D"/>
        </w:tc>
        <w:tc>
          <w:tcPr>
            <w:tcW w:w="558" w:type="pct"/>
          </w:tcPr>
          <w:p w:rsidR="005D2B18" w:rsidRDefault="005D2B18" w:rsidP="00EE0D7D"/>
        </w:tc>
        <w:tc>
          <w:tcPr>
            <w:tcW w:w="558" w:type="pct"/>
          </w:tcPr>
          <w:p w:rsidR="005D2B18" w:rsidRPr="00A64B83" w:rsidRDefault="005D2B18" w:rsidP="00EE0D7D"/>
        </w:tc>
        <w:tc>
          <w:tcPr>
            <w:tcW w:w="558" w:type="pct"/>
          </w:tcPr>
          <w:p w:rsidR="005D2B18" w:rsidRDefault="005D2B18" w:rsidP="00EE0D7D"/>
        </w:tc>
        <w:tc>
          <w:tcPr>
            <w:tcW w:w="558" w:type="pct"/>
          </w:tcPr>
          <w:p w:rsidR="005D2B18" w:rsidRPr="00A64B83" w:rsidRDefault="005D2B18" w:rsidP="00EE0D7D"/>
        </w:tc>
        <w:tc>
          <w:tcPr>
            <w:tcW w:w="558" w:type="pct"/>
          </w:tcPr>
          <w:p w:rsidR="005D2B18" w:rsidRPr="003D14A2" w:rsidRDefault="005D2B18" w:rsidP="00EE0D7D">
            <w:r w:rsidRPr="003D14A2">
              <w:sym w:font="Wingdings" w:char="F0E2"/>
            </w:r>
            <w:r w:rsidRPr="003D14A2">
              <w:t xml:space="preserve"> HCAMQ Attitudes</w:t>
            </w:r>
          </w:p>
        </w:tc>
        <w:tc>
          <w:tcPr>
            <w:tcW w:w="558" w:type="pct"/>
          </w:tcPr>
          <w:p w:rsidR="005D2B18" w:rsidRPr="003D14A2" w:rsidRDefault="005D2B18" w:rsidP="00EE0D7D">
            <w:r w:rsidRPr="003D14A2">
              <w:t>-.29**</w:t>
            </w:r>
          </w:p>
        </w:tc>
        <w:tc>
          <w:tcPr>
            <w:tcW w:w="561" w:type="pct"/>
          </w:tcPr>
          <w:p w:rsidR="005D2B18" w:rsidRDefault="005D2B18" w:rsidP="00EE0D7D">
            <w:r w:rsidRPr="00A64B83">
              <w:sym w:font="Wingdings" w:char="F0E2"/>
            </w:r>
            <w:r>
              <w:t xml:space="preserve"> HCAMQ Attitudes</w:t>
            </w:r>
          </w:p>
        </w:tc>
        <w:tc>
          <w:tcPr>
            <w:tcW w:w="559" w:type="pct"/>
          </w:tcPr>
          <w:p w:rsidR="005D2B18" w:rsidRDefault="005D2B18" w:rsidP="00EE0D7D">
            <w:r w:rsidRPr="00936C3F">
              <w:t>-.36**</w:t>
            </w:r>
          </w:p>
        </w:tc>
      </w:tr>
      <w:tr w:rsidR="005D2B18" w:rsidTr="00EE0D7D">
        <w:tc>
          <w:tcPr>
            <w:tcW w:w="532" w:type="pct"/>
          </w:tcPr>
          <w:p w:rsidR="005D2B18" w:rsidRDefault="005D2B18" w:rsidP="00EE0D7D"/>
        </w:tc>
        <w:tc>
          <w:tcPr>
            <w:tcW w:w="558" w:type="pct"/>
          </w:tcPr>
          <w:p w:rsidR="005D2B18" w:rsidRDefault="005D2B18" w:rsidP="00EE0D7D"/>
        </w:tc>
        <w:tc>
          <w:tcPr>
            <w:tcW w:w="558" w:type="pct"/>
          </w:tcPr>
          <w:p w:rsidR="005D2B18" w:rsidRPr="00A64B83" w:rsidRDefault="005D2B18" w:rsidP="00EE0D7D"/>
        </w:tc>
        <w:tc>
          <w:tcPr>
            <w:tcW w:w="558" w:type="pct"/>
          </w:tcPr>
          <w:p w:rsidR="005D2B18" w:rsidRDefault="005D2B18" w:rsidP="00EE0D7D"/>
        </w:tc>
        <w:tc>
          <w:tcPr>
            <w:tcW w:w="558" w:type="pct"/>
          </w:tcPr>
          <w:p w:rsidR="005D2B18" w:rsidRPr="00A64B83" w:rsidRDefault="005D2B18" w:rsidP="00EE0D7D"/>
        </w:tc>
        <w:tc>
          <w:tcPr>
            <w:tcW w:w="558" w:type="pct"/>
          </w:tcPr>
          <w:p w:rsidR="005D2B18" w:rsidRPr="00A64B83" w:rsidRDefault="005D2B18" w:rsidP="00EE0D7D"/>
        </w:tc>
        <w:tc>
          <w:tcPr>
            <w:tcW w:w="558" w:type="pct"/>
          </w:tcPr>
          <w:p w:rsidR="005D2B18" w:rsidRDefault="005D2B18" w:rsidP="00EE0D7D"/>
        </w:tc>
        <w:tc>
          <w:tcPr>
            <w:tcW w:w="561" w:type="pct"/>
          </w:tcPr>
          <w:p w:rsidR="005D2B18" w:rsidRDefault="005D2B18" w:rsidP="00EE0D7D"/>
        </w:tc>
        <w:tc>
          <w:tcPr>
            <w:tcW w:w="559" w:type="pct"/>
          </w:tcPr>
          <w:p w:rsidR="005D2B18" w:rsidRDefault="005D2B18" w:rsidP="00EE0D7D"/>
        </w:tc>
      </w:tr>
      <w:tr w:rsidR="005D2B18" w:rsidTr="00EE0D7D">
        <w:tc>
          <w:tcPr>
            <w:tcW w:w="532" w:type="pct"/>
          </w:tcPr>
          <w:p w:rsidR="005D2B18" w:rsidRDefault="005D2B18" w:rsidP="00EE0D7D">
            <w:r>
              <w:t>(Fewer) Concerns</w:t>
            </w:r>
          </w:p>
        </w:tc>
        <w:tc>
          <w:tcPr>
            <w:tcW w:w="558" w:type="pct"/>
          </w:tcPr>
          <w:p w:rsidR="005D2B18" w:rsidRPr="003D14A2" w:rsidRDefault="005D2B18" w:rsidP="00EE0D7D">
            <w:r w:rsidRPr="003D14A2">
              <w:sym w:font="Wingdings" w:char="F0E2"/>
            </w:r>
            <w:r w:rsidRPr="003D14A2">
              <w:t xml:space="preserve"> BMQ Harm</w:t>
            </w:r>
          </w:p>
        </w:tc>
        <w:tc>
          <w:tcPr>
            <w:tcW w:w="558" w:type="pct"/>
          </w:tcPr>
          <w:p w:rsidR="005D2B18" w:rsidRPr="003D14A2" w:rsidRDefault="005D2B18" w:rsidP="00EE0D7D">
            <w:r w:rsidRPr="003D14A2">
              <w:t>-.29**</w:t>
            </w:r>
          </w:p>
        </w:tc>
        <w:tc>
          <w:tcPr>
            <w:tcW w:w="558" w:type="pct"/>
          </w:tcPr>
          <w:p w:rsidR="005D2B18" w:rsidRDefault="005D2B18" w:rsidP="00EE0D7D">
            <w:r>
              <w:sym w:font="Wingdings" w:char="F0E2"/>
            </w:r>
            <w:r>
              <w:t xml:space="preserve"> TSK Activity Avoidance</w:t>
            </w:r>
          </w:p>
        </w:tc>
        <w:tc>
          <w:tcPr>
            <w:tcW w:w="558" w:type="pct"/>
          </w:tcPr>
          <w:p w:rsidR="005D2B18" w:rsidRDefault="005D2B18" w:rsidP="00EE0D7D">
            <w:r w:rsidRPr="00A64B83">
              <w:t>-.60**</w:t>
            </w:r>
          </w:p>
        </w:tc>
        <w:tc>
          <w:tcPr>
            <w:tcW w:w="558" w:type="pct"/>
          </w:tcPr>
          <w:p w:rsidR="005D2B18" w:rsidRDefault="005D2B18" w:rsidP="00EE0D7D">
            <w:r w:rsidRPr="00A64B83">
              <w:sym w:font="Wingdings" w:char="F0E2"/>
            </w:r>
            <w:r>
              <w:t xml:space="preserve"> HCAMQ Attitudes</w:t>
            </w:r>
          </w:p>
        </w:tc>
        <w:tc>
          <w:tcPr>
            <w:tcW w:w="558" w:type="pct"/>
          </w:tcPr>
          <w:p w:rsidR="005D2B18" w:rsidRDefault="005D2B18" w:rsidP="00EE0D7D">
            <w:r w:rsidRPr="00936C3F">
              <w:t>-.32**</w:t>
            </w:r>
          </w:p>
        </w:tc>
        <w:tc>
          <w:tcPr>
            <w:tcW w:w="561" w:type="pct"/>
          </w:tcPr>
          <w:p w:rsidR="005D2B18" w:rsidRDefault="005D2B18" w:rsidP="00EE0D7D">
            <w:r w:rsidRPr="00A64B83">
              <w:sym w:font="Wingdings" w:char="F0E2"/>
            </w:r>
            <w:r>
              <w:t xml:space="preserve"> HCAMQ Attitudes</w:t>
            </w:r>
          </w:p>
        </w:tc>
        <w:tc>
          <w:tcPr>
            <w:tcW w:w="559" w:type="pct"/>
          </w:tcPr>
          <w:p w:rsidR="005D2B18" w:rsidRDefault="005D2B18" w:rsidP="00EE0D7D">
            <w:r w:rsidRPr="00936C3F">
              <w:t>-.35**</w:t>
            </w:r>
          </w:p>
        </w:tc>
      </w:tr>
      <w:tr w:rsidR="005D2B18" w:rsidTr="00EE0D7D">
        <w:tc>
          <w:tcPr>
            <w:tcW w:w="532" w:type="pct"/>
          </w:tcPr>
          <w:p w:rsidR="005D2B18" w:rsidRDefault="005D2B18" w:rsidP="00EE0D7D"/>
        </w:tc>
        <w:tc>
          <w:tcPr>
            <w:tcW w:w="558" w:type="pct"/>
          </w:tcPr>
          <w:p w:rsidR="005D2B18" w:rsidRPr="00A64B83" w:rsidRDefault="005D2B18" w:rsidP="00EE0D7D">
            <w:r w:rsidRPr="00A64B83">
              <w:sym w:font="Wingdings" w:char="F0E2"/>
            </w:r>
            <w:r w:rsidRPr="00A64B83">
              <w:t xml:space="preserve"> BMQ Overuse</w:t>
            </w:r>
          </w:p>
        </w:tc>
        <w:tc>
          <w:tcPr>
            <w:tcW w:w="558" w:type="pct"/>
          </w:tcPr>
          <w:p w:rsidR="005D2B18" w:rsidRDefault="005D2B18" w:rsidP="00EE0D7D">
            <w:r w:rsidRPr="00A64B83">
              <w:t>-.39**</w:t>
            </w:r>
          </w:p>
        </w:tc>
        <w:tc>
          <w:tcPr>
            <w:tcW w:w="558" w:type="pct"/>
          </w:tcPr>
          <w:p w:rsidR="005D2B18" w:rsidRPr="003D14A2" w:rsidRDefault="005D2B18" w:rsidP="00EE0D7D">
            <w:r w:rsidRPr="003D14A2">
              <w:t>= BIPQ Concerns</w:t>
            </w:r>
          </w:p>
        </w:tc>
        <w:tc>
          <w:tcPr>
            <w:tcW w:w="558" w:type="pct"/>
          </w:tcPr>
          <w:p w:rsidR="005D2B18" w:rsidRPr="003D14A2" w:rsidRDefault="005D2B18" w:rsidP="00EE0D7D">
            <w:r w:rsidRPr="003D14A2">
              <w:t>-.39**</w:t>
            </w:r>
          </w:p>
        </w:tc>
        <w:tc>
          <w:tcPr>
            <w:tcW w:w="558" w:type="pct"/>
          </w:tcPr>
          <w:p w:rsidR="005D2B18" w:rsidRDefault="005D2B18" w:rsidP="00EE0D7D">
            <w:r>
              <w:t>= BIPQ Concerns</w:t>
            </w:r>
          </w:p>
        </w:tc>
        <w:tc>
          <w:tcPr>
            <w:tcW w:w="558" w:type="pct"/>
          </w:tcPr>
          <w:p w:rsidR="005D2B18" w:rsidRDefault="005D2B18" w:rsidP="00EE0D7D">
            <w:r w:rsidRPr="00936C3F">
              <w:t>-.24**</w:t>
            </w:r>
          </w:p>
        </w:tc>
        <w:tc>
          <w:tcPr>
            <w:tcW w:w="561" w:type="pct"/>
          </w:tcPr>
          <w:p w:rsidR="005D2B18" w:rsidRDefault="005D2B18" w:rsidP="00EE0D7D">
            <w:r>
              <w:t>= BIPQ Concerns</w:t>
            </w:r>
          </w:p>
        </w:tc>
        <w:tc>
          <w:tcPr>
            <w:tcW w:w="559" w:type="pct"/>
          </w:tcPr>
          <w:p w:rsidR="005D2B18" w:rsidRDefault="005D2B18" w:rsidP="00EE0D7D">
            <w:r w:rsidRPr="006E0F8D">
              <w:t>-.06</w:t>
            </w:r>
          </w:p>
        </w:tc>
      </w:tr>
      <w:tr w:rsidR="005D2B18" w:rsidTr="00EE0D7D">
        <w:tc>
          <w:tcPr>
            <w:tcW w:w="532" w:type="pct"/>
          </w:tcPr>
          <w:p w:rsidR="005D2B18" w:rsidRDefault="005D2B18" w:rsidP="00EE0D7D"/>
        </w:tc>
        <w:tc>
          <w:tcPr>
            <w:tcW w:w="558" w:type="pct"/>
          </w:tcPr>
          <w:p w:rsidR="005D2B18" w:rsidRDefault="005D2B18" w:rsidP="00EE0D7D">
            <w:r>
              <w:t>= BIPQ Concerns</w:t>
            </w:r>
          </w:p>
        </w:tc>
        <w:tc>
          <w:tcPr>
            <w:tcW w:w="558" w:type="pct"/>
          </w:tcPr>
          <w:p w:rsidR="005D2B18" w:rsidRPr="00A64B83" w:rsidRDefault="005D2B18" w:rsidP="00EE0D7D">
            <w:r w:rsidRPr="00A64B83">
              <w:rPr>
                <w:color w:val="000000"/>
                <w:szCs w:val="20"/>
              </w:rPr>
              <w:t>-.10</w:t>
            </w:r>
            <w:r w:rsidRPr="00A64B83">
              <w:rPr>
                <w:color w:val="000000"/>
                <w:szCs w:val="20"/>
                <w:vertAlign w:val="superscript"/>
              </w:rPr>
              <w:t>*</w:t>
            </w:r>
          </w:p>
        </w:tc>
        <w:tc>
          <w:tcPr>
            <w:tcW w:w="558" w:type="pct"/>
          </w:tcPr>
          <w:p w:rsidR="005D2B18" w:rsidRPr="003D14A2" w:rsidRDefault="005D2B18" w:rsidP="00EE0D7D">
            <w:r w:rsidRPr="003D14A2">
              <w:t>= BIPQ Emotions</w:t>
            </w:r>
          </w:p>
        </w:tc>
        <w:tc>
          <w:tcPr>
            <w:tcW w:w="558" w:type="pct"/>
          </w:tcPr>
          <w:p w:rsidR="005D2B18" w:rsidRPr="003D14A2" w:rsidRDefault="005D2B18" w:rsidP="00EE0D7D">
            <w:r w:rsidRPr="003D14A2">
              <w:t>-.38**</w:t>
            </w:r>
          </w:p>
        </w:tc>
        <w:tc>
          <w:tcPr>
            <w:tcW w:w="558" w:type="pct"/>
          </w:tcPr>
          <w:p w:rsidR="005D2B18" w:rsidRDefault="005D2B18" w:rsidP="00EE0D7D">
            <w:r>
              <w:t>= BIPQ Emotions</w:t>
            </w:r>
          </w:p>
        </w:tc>
        <w:tc>
          <w:tcPr>
            <w:tcW w:w="558" w:type="pct"/>
          </w:tcPr>
          <w:p w:rsidR="005D2B18" w:rsidRDefault="005D2B18" w:rsidP="00EE0D7D">
            <w:r w:rsidRPr="00936C3F">
              <w:t>-.27**</w:t>
            </w:r>
          </w:p>
        </w:tc>
        <w:tc>
          <w:tcPr>
            <w:tcW w:w="561" w:type="pct"/>
          </w:tcPr>
          <w:p w:rsidR="005D2B18" w:rsidRDefault="005D2B18" w:rsidP="00EE0D7D">
            <w:r>
              <w:t>= BIPQ Emotions</w:t>
            </w:r>
          </w:p>
        </w:tc>
        <w:tc>
          <w:tcPr>
            <w:tcW w:w="559" w:type="pct"/>
          </w:tcPr>
          <w:p w:rsidR="005D2B18" w:rsidRDefault="005D2B18" w:rsidP="00EE0D7D">
            <w:r w:rsidRPr="006E0F8D">
              <w:t>-.10*</w:t>
            </w:r>
          </w:p>
        </w:tc>
      </w:tr>
      <w:tr w:rsidR="005D2B18" w:rsidTr="00EE0D7D">
        <w:tc>
          <w:tcPr>
            <w:tcW w:w="532" w:type="pct"/>
          </w:tcPr>
          <w:p w:rsidR="005D2B18" w:rsidRDefault="005D2B18" w:rsidP="00EE0D7D"/>
        </w:tc>
        <w:tc>
          <w:tcPr>
            <w:tcW w:w="558" w:type="pct"/>
          </w:tcPr>
          <w:p w:rsidR="005D2B18" w:rsidRDefault="005D2B18" w:rsidP="00EE0D7D">
            <w:r>
              <w:t xml:space="preserve">= BIPQ </w:t>
            </w:r>
            <w:r>
              <w:lastRenderedPageBreak/>
              <w:t>Emotions</w:t>
            </w:r>
          </w:p>
        </w:tc>
        <w:tc>
          <w:tcPr>
            <w:tcW w:w="558" w:type="pct"/>
          </w:tcPr>
          <w:p w:rsidR="005D2B18" w:rsidRDefault="005D2B18" w:rsidP="00EE0D7D">
            <w:r w:rsidRPr="00A64B83">
              <w:lastRenderedPageBreak/>
              <w:t>-.11*</w:t>
            </w:r>
          </w:p>
        </w:tc>
        <w:tc>
          <w:tcPr>
            <w:tcW w:w="558" w:type="pct"/>
          </w:tcPr>
          <w:p w:rsidR="005D2B18" w:rsidRDefault="005D2B18" w:rsidP="00EE0D7D"/>
        </w:tc>
        <w:tc>
          <w:tcPr>
            <w:tcW w:w="558" w:type="pct"/>
          </w:tcPr>
          <w:p w:rsidR="005D2B18" w:rsidRDefault="005D2B18" w:rsidP="00EE0D7D"/>
        </w:tc>
        <w:tc>
          <w:tcPr>
            <w:tcW w:w="558" w:type="pct"/>
          </w:tcPr>
          <w:p w:rsidR="005D2B18" w:rsidRDefault="005D2B18" w:rsidP="00EE0D7D"/>
        </w:tc>
        <w:tc>
          <w:tcPr>
            <w:tcW w:w="558" w:type="pct"/>
          </w:tcPr>
          <w:p w:rsidR="005D2B18" w:rsidRDefault="005D2B18" w:rsidP="00EE0D7D"/>
        </w:tc>
        <w:tc>
          <w:tcPr>
            <w:tcW w:w="561" w:type="pct"/>
          </w:tcPr>
          <w:p w:rsidR="005D2B18" w:rsidRDefault="005D2B18" w:rsidP="00EE0D7D"/>
        </w:tc>
        <w:tc>
          <w:tcPr>
            <w:tcW w:w="559" w:type="pct"/>
          </w:tcPr>
          <w:p w:rsidR="005D2B18" w:rsidRDefault="005D2B18" w:rsidP="00EE0D7D"/>
        </w:tc>
      </w:tr>
      <w:tr w:rsidR="005D2B18" w:rsidTr="00EE0D7D">
        <w:tc>
          <w:tcPr>
            <w:tcW w:w="532" w:type="pct"/>
          </w:tcPr>
          <w:p w:rsidR="005D2B18" w:rsidRDefault="005D2B18" w:rsidP="00EE0D7D"/>
        </w:tc>
        <w:tc>
          <w:tcPr>
            <w:tcW w:w="558" w:type="pct"/>
          </w:tcPr>
          <w:p w:rsidR="005D2B18" w:rsidRDefault="005D2B18" w:rsidP="00EE0D7D"/>
        </w:tc>
        <w:tc>
          <w:tcPr>
            <w:tcW w:w="558" w:type="pct"/>
          </w:tcPr>
          <w:p w:rsidR="005D2B18" w:rsidRPr="00A64B83" w:rsidRDefault="005D2B18" w:rsidP="00EE0D7D"/>
        </w:tc>
        <w:tc>
          <w:tcPr>
            <w:tcW w:w="558" w:type="pct"/>
          </w:tcPr>
          <w:p w:rsidR="005D2B18" w:rsidRDefault="005D2B18" w:rsidP="00EE0D7D"/>
        </w:tc>
        <w:tc>
          <w:tcPr>
            <w:tcW w:w="558" w:type="pct"/>
          </w:tcPr>
          <w:p w:rsidR="005D2B18" w:rsidRPr="00A64B83" w:rsidRDefault="005D2B18" w:rsidP="00EE0D7D"/>
        </w:tc>
        <w:tc>
          <w:tcPr>
            <w:tcW w:w="558" w:type="pct"/>
          </w:tcPr>
          <w:p w:rsidR="005D2B18" w:rsidRPr="00A64B83" w:rsidRDefault="005D2B18" w:rsidP="00EE0D7D"/>
        </w:tc>
        <w:tc>
          <w:tcPr>
            <w:tcW w:w="558" w:type="pct"/>
          </w:tcPr>
          <w:p w:rsidR="005D2B18" w:rsidRDefault="005D2B18" w:rsidP="00EE0D7D"/>
        </w:tc>
        <w:tc>
          <w:tcPr>
            <w:tcW w:w="561" w:type="pct"/>
          </w:tcPr>
          <w:p w:rsidR="005D2B18" w:rsidRPr="00A64B83" w:rsidRDefault="005D2B18" w:rsidP="00EE0D7D"/>
        </w:tc>
        <w:tc>
          <w:tcPr>
            <w:tcW w:w="559" w:type="pct"/>
          </w:tcPr>
          <w:p w:rsidR="005D2B18" w:rsidRDefault="005D2B18" w:rsidP="00EE0D7D"/>
        </w:tc>
      </w:tr>
      <w:tr w:rsidR="005D2B18" w:rsidTr="00EE0D7D">
        <w:tc>
          <w:tcPr>
            <w:tcW w:w="532" w:type="pct"/>
          </w:tcPr>
          <w:p w:rsidR="005D2B18" w:rsidRDefault="005D2B18" w:rsidP="00EE0D7D">
            <w:r>
              <w:t>Individual Fit</w:t>
            </w:r>
          </w:p>
        </w:tc>
        <w:tc>
          <w:tcPr>
            <w:tcW w:w="558" w:type="pct"/>
          </w:tcPr>
          <w:p w:rsidR="005D2B18" w:rsidRDefault="005D2B18" w:rsidP="00EE0D7D">
            <w:r>
              <w:t>= BIPQ Concerns</w:t>
            </w:r>
          </w:p>
        </w:tc>
        <w:tc>
          <w:tcPr>
            <w:tcW w:w="558" w:type="pct"/>
          </w:tcPr>
          <w:p w:rsidR="005D2B18" w:rsidRDefault="005D2B18" w:rsidP="00EE0D7D">
            <w:r w:rsidRPr="00A64B83">
              <w:t>-.04</w:t>
            </w:r>
          </w:p>
        </w:tc>
        <w:tc>
          <w:tcPr>
            <w:tcW w:w="558" w:type="pct"/>
          </w:tcPr>
          <w:p w:rsidR="005D2B18" w:rsidRPr="003D14A2" w:rsidRDefault="005D2B18" w:rsidP="00EE0D7D">
            <w:r w:rsidRPr="003D14A2">
              <w:t>= BIPQ Concerns</w:t>
            </w:r>
          </w:p>
        </w:tc>
        <w:tc>
          <w:tcPr>
            <w:tcW w:w="558" w:type="pct"/>
          </w:tcPr>
          <w:p w:rsidR="005D2B18" w:rsidRPr="003D14A2" w:rsidRDefault="005D2B18" w:rsidP="00EE0D7D">
            <w:r w:rsidRPr="003D14A2">
              <w:t>-.32**</w:t>
            </w:r>
          </w:p>
        </w:tc>
        <w:tc>
          <w:tcPr>
            <w:tcW w:w="558" w:type="pct"/>
          </w:tcPr>
          <w:p w:rsidR="005D2B18" w:rsidRPr="003D14A2" w:rsidRDefault="005D2B18" w:rsidP="00EE0D7D">
            <w:r w:rsidRPr="003D14A2">
              <w:sym w:font="Wingdings" w:char="F0E2"/>
            </w:r>
            <w:r w:rsidRPr="003D14A2">
              <w:t xml:space="preserve"> HCAMQ Attitudes</w:t>
            </w:r>
          </w:p>
        </w:tc>
        <w:tc>
          <w:tcPr>
            <w:tcW w:w="558" w:type="pct"/>
          </w:tcPr>
          <w:p w:rsidR="005D2B18" w:rsidRPr="003D14A2" w:rsidRDefault="005D2B18" w:rsidP="00EE0D7D">
            <w:r w:rsidRPr="003D14A2">
              <w:t>-.29**</w:t>
            </w:r>
          </w:p>
        </w:tc>
        <w:tc>
          <w:tcPr>
            <w:tcW w:w="561" w:type="pct"/>
          </w:tcPr>
          <w:p w:rsidR="005D2B18" w:rsidRDefault="005D2B18" w:rsidP="00EE0D7D">
            <w:r w:rsidRPr="00A64B83">
              <w:sym w:font="Wingdings" w:char="F0E2"/>
            </w:r>
            <w:r>
              <w:t xml:space="preserve"> HCAMQ Attitudes</w:t>
            </w:r>
          </w:p>
        </w:tc>
        <w:tc>
          <w:tcPr>
            <w:tcW w:w="559" w:type="pct"/>
          </w:tcPr>
          <w:p w:rsidR="005D2B18" w:rsidRDefault="005D2B18" w:rsidP="00EE0D7D">
            <w:r w:rsidRPr="006E0F8D">
              <w:t>-.31**</w:t>
            </w:r>
          </w:p>
        </w:tc>
      </w:tr>
      <w:tr w:rsidR="005D2B18" w:rsidTr="00EE0D7D">
        <w:tc>
          <w:tcPr>
            <w:tcW w:w="532" w:type="pct"/>
          </w:tcPr>
          <w:p w:rsidR="005D2B18" w:rsidRDefault="005D2B18" w:rsidP="00EE0D7D"/>
        </w:tc>
        <w:tc>
          <w:tcPr>
            <w:tcW w:w="558" w:type="pct"/>
          </w:tcPr>
          <w:p w:rsidR="005D2B18" w:rsidRDefault="005D2B18" w:rsidP="00EE0D7D">
            <w:r>
              <w:t>= BIPQ Emotions</w:t>
            </w:r>
          </w:p>
        </w:tc>
        <w:tc>
          <w:tcPr>
            <w:tcW w:w="558" w:type="pct"/>
          </w:tcPr>
          <w:p w:rsidR="005D2B18" w:rsidRDefault="005D2B18" w:rsidP="00EE0D7D">
            <w:r w:rsidRPr="00A64B83">
              <w:t>-.06</w:t>
            </w:r>
          </w:p>
        </w:tc>
        <w:tc>
          <w:tcPr>
            <w:tcW w:w="558" w:type="pct"/>
          </w:tcPr>
          <w:p w:rsidR="005D2B18" w:rsidRPr="000966E4" w:rsidRDefault="005D2B18" w:rsidP="00EE0D7D">
            <w:r w:rsidRPr="000966E4">
              <w:t>= BIPQ Emotions</w:t>
            </w:r>
          </w:p>
        </w:tc>
        <w:tc>
          <w:tcPr>
            <w:tcW w:w="558" w:type="pct"/>
          </w:tcPr>
          <w:p w:rsidR="005D2B18" w:rsidRPr="000966E4" w:rsidRDefault="005D2B18" w:rsidP="00EE0D7D">
            <w:r w:rsidRPr="000966E4">
              <w:t>-.27**</w:t>
            </w:r>
          </w:p>
        </w:tc>
        <w:tc>
          <w:tcPr>
            <w:tcW w:w="558" w:type="pct"/>
          </w:tcPr>
          <w:p w:rsidR="005D2B18" w:rsidRDefault="005D2B18" w:rsidP="00EE0D7D">
            <w:r>
              <w:t>= BIPQ Concerns</w:t>
            </w:r>
          </w:p>
        </w:tc>
        <w:tc>
          <w:tcPr>
            <w:tcW w:w="558" w:type="pct"/>
          </w:tcPr>
          <w:p w:rsidR="005D2B18" w:rsidRDefault="005D2B18" w:rsidP="00EE0D7D">
            <w:r w:rsidRPr="00936C3F">
              <w:t>-.23**</w:t>
            </w:r>
          </w:p>
        </w:tc>
        <w:tc>
          <w:tcPr>
            <w:tcW w:w="561" w:type="pct"/>
          </w:tcPr>
          <w:p w:rsidR="005D2B18" w:rsidRDefault="005D2B18" w:rsidP="00EE0D7D">
            <w:r>
              <w:t>= BIPQ Concerns</w:t>
            </w:r>
          </w:p>
        </w:tc>
        <w:tc>
          <w:tcPr>
            <w:tcW w:w="559" w:type="pct"/>
          </w:tcPr>
          <w:p w:rsidR="005D2B18" w:rsidRDefault="005D2B18" w:rsidP="00EE0D7D">
            <w:r w:rsidRPr="006E0F8D">
              <w:t>-.04</w:t>
            </w:r>
          </w:p>
        </w:tc>
      </w:tr>
      <w:tr w:rsidR="005D2B18" w:rsidTr="00EE0D7D">
        <w:tc>
          <w:tcPr>
            <w:tcW w:w="532" w:type="pct"/>
            <w:tcBorders>
              <w:bottom w:val="single" w:sz="4" w:space="0" w:color="auto"/>
            </w:tcBorders>
          </w:tcPr>
          <w:p w:rsidR="005D2B18" w:rsidRDefault="005D2B18" w:rsidP="00EE0D7D"/>
        </w:tc>
        <w:tc>
          <w:tcPr>
            <w:tcW w:w="558" w:type="pct"/>
            <w:tcBorders>
              <w:bottom w:val="single" w:sz="4" w:space="0" w:color="auto"/>
            </w:tcBorders>
          </w:tcPr>
          <w:p w:rsidR="005D2B18" w:rsidRDefault="005D2B18" w:rsidP="00EE0D7D"/>
        </w:tc>
        <w:tc>
          <w:tcPr>
            <w:tcW w:w="558" w:type="pct"/>
            <w:tcBorders>
              <w:bottom w:val="single" w:sz="4" w:space="0" w:color="auto"/>
            </w:tcBorders>
          </w:tcPr>
          <w:p w:rsidR="005D2B18" w:rsidRDefault="005D2B18" w:rsidP="00EE0D7D"/>
        </w:tc>
        <w:tc>
          <w:tcPr>
            <w:tcW w:w="558" w:type="pct"/>
            <w:tcBorders>
              <w:bottom w:val="single" w:sz="4" w:space="0" w:color="auto"/>
            </w:tcBorders>
          </w:tcPr>
          <w:p w:rsidR="005D2B18" w:rsidRDefault="005D2B18" w:rsidP="00EE0D7D"/>
        </w:tc>
        <w:tc>
          <w:tcPr>
            <w:tcW w:w="558" w:type="pct"/>
            <w:tcBorders>
              <w:bottom w:val="single" w:sz="4" w:space="0" w:color="auto"/>
            </w:tcBorders>
          </w:tcPr>
          <w:p w:rsidR="005D2B18" w:rsidRDefault="005D2B18" w:rsidP="00EE0D7D"/>
        </w:tc>
        <w:tc>
          <w:tcPr>
            <w:tcW w:w="558" w:type="pct"/>
            <w:tcBorders>
              <w:bottom w:val="single" w:sz="4" w:space="0" w:color="auto"/>
            </w:tcBorders>
          </w:tcPr>
          <w:p w:rsidR="005D2B18" w:rsidRDefault="005D2B18" w:rsidP="00EE0D7D">
            <w:r>
              <w:t>= BIPQ Emotions</w:t>
            </w:r>
          </w:p>
        </w:tc>
        <w:tc>
          <w:tcPr>
            <w:tcW w:w="558" w:type="pct"/>
            <w:tcBorders>
              <w:bottom w:val="single" w:sz="4" w:space="0" w:color="auto"/>
            </w:tcBorders>
          </w:tcPr>
          <w:p w:rsidR="005D2B18" w:rsidRDefault="005D2B18" w:rsidP="00EE0D7D">
            <w:r w:rsidRPr="00936C3F">
              <w:t>-.23**</w:t>
            </w:r>
          </w:p>
        </w:tc>
        <w:tc>
          <w:tcPr>
            <w:tcW w:w="561" w:type="pct"/>
            <w:tcBorders>
              <w:bottom w:val="single" w:sz="4" w:space="0" w:color="auto"/>
            </w:tcBorders>
          </w:tcPr>
          <w:p w:rsidR="005D2B18" w:rsidRDefault="005D2B18" w:rsidP="00EE0D7D">
            <w:r>
              <w:t>= BIPQ Emotions</w:t>
            </w:r>
          </w:p>
        </w:tc>
        <w:tc>
          <w:tcPr>
            <w:tcW w:w="559" w:type="pct"/>
            <w:tcBorders>
              <w:bottom w:val="single" w:sz="4" w:space="0" w:color="auto"/>
            </w:tcBorders>
          </w:tcPr>
          <w:p w:rsidR="005D2B18" w:rsidRDefault="005D2B18" w:rsidP="00EE0D7D">
            <w:r w:rsidRPr="006E0F8D">
              <w:t>-.05</w:t>
            </w:r>
          </w:p>
        </w:tc>
      </w:tr>
    </w:tbl>
    <w:p w:rsidR="005D2B18" w:rsidRDefault="005D2B18" w:rsidP="005D2B18">
      <w:r>
        <w:t xml:space="preserve">Note.  </w:t>
      </w:r>
      <w:r>
        <w:sym w:font="Wingdings" w:char="F0E1"/>
      </w:r>
      <w:r>
        <w:t xml:space="preserve"> </w:t>
      </w:r>
      <w:proofErr w:type="gramStart"/>
      <w:r>
        <w:t>at</w:t>
      </w:r>
      <w:proofErr w:type="gramEnd"/>
      <w:r>
        <w:t xml:space="preserve"> least moderate positive correlation hypothesised (convergent validity; r ≥ 0.3).  </w:t>
      </w:r>
      <w:r>
        <w:sym w:font="Wingdings" w:char="F0E2"/>
      </w:r>
      <w:r>
        <w:t xml:space="preserve"> </w:t>
      </w:r>
      <w:proofErr w:type="gramStart"/>
      <w:r>
        <w:t>at</w:t>
      </w:r>
      <w:proofErr w:type="gramEnd"/>
      <w:r>
        <w:t xml:space="preserve"> least moderate negative correlation hypothesised (convergent validity; r ≥ 0.3). = at most moderate correlation hypothesised (divergent validity;</w:t>
      </w:r>
      <w:r w:rsidRPr="009A45FE">
        <w:t xml:space="preserve"> </w:t>
      </w:r>
      <w:r>
        <w:t>r &lt; 0.3).</w:t>
      </w:r>
    </w:p>
    <w:p w:rsidR="005D2B18" w:rsidRDefault="005D2B18" w:rsidP="005D2B18">
      <w:r>
        <w:t>* p&lt;.</w:t>
      </w:r>
      <w:proofErr w:type="gramStart"/>
      <w:r>
        <w:t>05  *</w:t>
      </w:r>
      <w:proofErr w:type="gramEnd"/>
      <w:r>
        <w:t>* p&lt;.01.</w:t>
      </w:r>
    </w:p>
    <w:p w:rsidR="005D2B18" w:rsidRDefault="005D2B18" w:rsidP="005D2B18">
      <w:r>
        <w:t xml:space="preserve">Abbreviations: BIPQ = </w:t>
      </w:r>
      <w:r w:rsidRPr="00016C4A">
        <w:t>Brief Illness Perceptions Questionnaire</w:t>
      </w:r>
      <w:r>
        <w:t xml:space="preserve">; BMQ = </w:t>
      </w:r>
      <w:r w:rsidRPr="00016C4A">
        <w:t>Beliefs about Medicine Questionnaire</w:t>
      </w:r>
      <w:r>
        <w:t xml:space="preserve">; CEQ = </w:t>
      </w:r>
      <w:r w:rsidRPr="00016C4A">
        <w:t>Credibility Expectancy Questionnaire</w:t>
      </w:r>
      <w:r>
        <w:t xml:space="preserve">; HCAMQ = </w:t>
      </w:r>
      <w:r w:rsidRPr="00016C4A">
        <w:t>Holistic Complementary and Alternative Medicine Questionnaire</w:t>
      </w:r>
      <w:r>
        <w:t xml:space="preserve">; TSK = </w:t>
      </w:r>
      <w:r w:rsidRPr="00016C4A">
        <w:t xml:space="preserve">Tampa Scale of </w:t>
      </w:r>
      <w:proofErr w:type="spellStart"/>
      <w:r w:rsidRPr="00016C4A">
        <w:t>Kinesiophobia</w:t>
      </w:r>
      <w:proofErr w:type="spellEnd"/>
      <w:r>
        <w:t>.</w:t>
      </w:r>
    </w:p>
    <w:p w:rsidR="005D2B18" w:rsidRDefault="005D2B18" w:rsidP="005D2B18">
      <w:pPr>
        <w:spacing w:line="480" w:lineRule="auto"/>
      </w:pPr>
    </w:p>
    <w:p w:rsidR="005D2B18" w:rsidRDefault="005D2B18" w:rsidP="005D2B18">
      <w:pPr>
        <w:spacing w:after="200" w:line="276" w:lineRule="auto"/>
      </w:pPr>
      <w:r>
        <w:br w:type="page"/>
      </w:r>
    </w:p>
    <w:p w:rsidR="005D2B18" w:rsidRPr="005202A2" w:rsidRDefault="005D2B18" w:rsidP="005D2B18">
      <w:pPr>
        <w:tabs>
          <w:tab w:val="center" w:pos="6979"/>
        </w:tabs>
        <w:spacing w:line="480" w:lineRule="auto"/>
        <w:rPr>
          <w:u w:val="single"/>
        </w:rPr>
      </w:pPr>
      <w:proofErr w:type="gramStart"/>
      <w:r w:rsidRPr="005202A2">
        <w:rPr>
          <w:u w:val="single"/>
        </w:rPr>
        <w:lastRenderedPageBreak/>
        <w:t>Table 5.</w:t>
      </w:r>
      <w:proofErr w:type="gramEnd"/>
      <w:r w:rsidRPr="005202A2">
        <w:rPr>
          <w:u w:val="single"/>
        </w:rPr>
        <w:t xml:space="preserve">  Criterion Validity of LBP-TBQ</w:t>
      </w:r>
      <w:r>
        <w:rPr>
          <w:u w:val="single"/>
        </w:rPr>
        <w:t xml:space="preserve"> </w:t>
      </w:r>
      <w:r w:rsidRPr="005202A2">
        <w:rPr>
          <w:u w:val="single"/>
        </w:rPr>
        <w:t>Subscales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3"/>
        <w:gridCol w:w="1494"/>
        <w:gridCol w:w="1116"/>
        <w:gridCol w:w="924"/>
        <w:gridCol w:w="1116"/>
        <w:gridCol w:w="996"/>
        <w:gridCol w:w="1491"/>
        <w:gridCol w:w="1483"/>
        <w:gridCol w:w="925"/>
        <w:gridCol w:w="1192"/>
      </w:tblGrid>
      <w:tr w:rsidR="005D2B18" w:rsidRPr="008D573C" w:rsidTr="00EE0D7D">
        <w:tc>
          <w:tcPr>
            <w:tcW w:w="2783" w:type="dxa"/>
            <w:tcBorders>
              <w:top w:val="single" w:sz="4" w:space="0" w:color="auto"/>
            </w:tcBorders>
          </w:tcPr>
          <w:p w:rsidR="005D2B18" w:rsidRPr="008D573C" w:rsidRDefault="005D2B18" w:rsidP="00EE0D7D"/>
        </w:tc>
        <w:tc>
          <w:tcPr>
            <w:tcW w:w="3534" w:type="dxa"/>
            <w:gridSpan w:val="3"/>
            <w:tcBorders>
              <w:top w:val="single" w:sz="4" w:space="0" w:color="auto"/>
            </w:tcBorders>
          </w:tcPr>
          <w:p w:rsidR="005D2B18" w:rsidRPr="008D573C" w:rsidRDefault="005D2B18" w:rsidP="00EE0D7D">
            <w:r w:rsidRPr="008D573C">
              <w:t xml:space="preserve">Group 1:  </w:t>
            </w:r>
            <w:r>
              <w:t>Treatment R</w:t>
            </w:r>
            <w:r w:rsidRPr="008D573C">
              <w:t>anked 1</w:t>
            </w:r>
          </w:p>
        </w:tc>
        <w:tc>
          <w:tcPr>
            <w:tcW w:w="3603" w:type="dxa"/>
            <w:gridSpan w:val="3"/>
            <w:tcBorders>
              <w:top w:val="single" w:sz="4" w:space="0" w:color="auto"/>
            </w:tcBorders>
          </w:tcPr>
          <w:p w:rsidR="005D2B18" w:rsidRPr="008D573C" w:rsidRDefault="005D2B18" w:rsidP="00EE0D7D">
            <w:r w:rsidRPr="008D573C">
              <w:t xml:space="preserve">Group 2: </w:t>
            </w:r>
            <w:r>
              <w:t>Treatment R</w:t>
            </w:r>
            <w:r w:rsidRPr="008D573C">
              <w:t>anked 2-4</w:t>
            </w:r>
          </w:p>
        </w:tc>
        <w:tc>
          <w:tcPr>
            <w:tcW w:w="3600" w:type="dxa"/>
            <w:gridSpan w:val="3"/>
            <w:tcBorders>
              <w:top w:val="single" w:sz="4" w:space="0" w:color="auto"/>
            </w:tcBorders>
          </w:tcPr>
          <w:p w:rsidR="005D2B18" w:rsidRPr="008D573C" w:rsidRDefault="005D2B18" w:rsidP="00EE0D7D">
            <w:r w:rsidRPr="008D573C">
              <w:t>Between-</w:t>
            </w:r>
            <w:r>
              <w:t>G</w:t>
            </w:r>
            <w:r w:rsidRPr="008D573C">
              <w:t xml:space="preserve">roup </w:t>
            </w:r>
            <w:r>
              <w:t>C</w:t>
            </w:r>
            <w:r w:rsidRPr="008D573C">
              <w:t>omparison</w:t>
            </w:r>
          </w:p>
        </w:tc>
      </w:tr>
      <w:tr w:rsidR="005D2B18" w:rsidRPr="008D573C" w:rsidTr="00EE0D7D">
        <w:tc>
          <w:tcPr>
            <w:tcW w:w="2783" w:type="dxa"/>
            <w:tcBorders>
              <w:bottom w:val="single" w:sz="4" w:space="0" w:color="auto"/>
            </w:tcBorders>
          </w:tcPr>
          <w:p w:rsidR="005D2B18" w:rsidRPr="008D573C" w:rsidRDefault="005D2B18" w:rsidP="00EE0D7D">
            <w:r w:rsidRPr="008D573C">
              <w:t>Scale</w:t>
            </w:r>
          </w:p>
        </w:tc>
        <w:tc>
          <w:tcPr>
            <w:tcW w:w="1494" w:type="dxa"/>
            <w:tcBorders>
              <w:bottom w:val="single" w:sz="4" w:space="0" w:color="auto"/>
            </w:tcBorders>
          </w:tcPr>
          <w:p w:rsidR="005D2B18" w:rsidRPr="008D573C" w:rsidRDefault="005D2B18" w:rsidP="00EE0D7D">
            <w:r w:rsidRPr="008D573C">
              <w:t>M</w:t>
            </w:r>
          </w:p>
        </w:tc>
        <w:tc>
          <w:tcPr>
            <w:tcW w:w="1116" w:type="dxa"/>
            <w:tcBorders>
              <w:bottom w:val="single" w:sz="4" w:space="0" w:color="auto"/>
            </w:tcBorders>
          </w:tcPr>
          <w:p w:rsidR="005D2B18" w:rsidRPr="008D573C" w:rsidRDefault="005D2B18" w:rsidP="00EE0D7D">
            <w:r w:rsidRPr="008D573C">
              <w:t>SD</w:t>
            </w:r>
          </w:p>
        </w:tc>
        <w:tc>
          <w:tcPr>
            <w:tcW w:w="924" w:type="dxa"/>
            <w:tcBorders>
              <w:bottom w:val="single" w:sz="4" w:space="0" w:color="auto"/>
            </w:tcBorders>
          </w:tcPr>
          <w:p w:rsidR="005D2B18" w:rsidRPr="008D573C" w:rsidRDefault="005D2B18" w:rsidP="00EE0D7D">
            <w:r w:rsidRPr="008D573C">
              <w:t>n</w:t>
            </w:r>
          </w:p>
        </w:tc>
        <w:tc>
          <w:tcPr>
            <w:tcW w:w="1116" w:type="dxa"/>
            <w:tcBorders>
              <w:bottom w:val="single" w:sz="4" w:space="0" w:color="auto"/>
            </w:tcBorders>
          </w:tcPr>
          <w:p w:rsidR="005D2B18" w:rsidRPr="008D573C" w:rsidRDefault="005D2B18" w:rsidP="00EE0D7D">
            <w:r w:rsidRPr="008D573C">
              <w:t>M</w:t>
            </w:r>
          </w:p>
        </w:tc>
        <w:tc>
          <w:tcPr>
            <w:tcW w:w="996" w:type="dxa"/>
            <w:tcBorders>
              <w:bottom w:val="single" w:sz="4" w:space="0" w:color="auto"/>
            </w:tcBorders>
          </w:tcPr>
          <w:p w:rsidR="005D2B18" w:rsidRPr="008D573C" w:rsidRDefault="005D2B18" w:rsidP="00EE0D7D">
            <w:r w:rsidRPr="008D573C">
              <w:t>SD</w:t>
            </w:r>
          </w:p>
        </w:tc>
        <w:tc>
          <w:tcPr>
            <w:tcW w:w="1491" w:type="dxa"/>
            <w:tcBorders>
              <w:bottom w:val="single" w:sz="4" w:space="0" w:color="auto"/>
            </w:tcBorders>
          </w:tcPr>
          <w:p w:rsidR="005D2B18" w:rsidRPr="008D573C" w:rsidRDefault="005D2B18" w:rsidP="00EE0D7D">
            <w:r w:rsidRPr="008D573C">
              <w:t>n</w:t>
            </w:r>
          </w:p>
        </w:tc>
        <w:tc>
          <w:tcPr>
            <w:tcW w:w="1483" w:type="dxa"/>
            <w:tcBorders>
              <w:bottom w:val="single" w:sz="4" w:space="0" w:color="auto"/>
            </w:tcBorders>
          </w:tcPr>
          <w:p w:rsidR="005D2B18" w:rsidRPr="008D573C" w:rsidRDefault="005D2B18" w:rsidP="00EE0D7D">
            <w:r w:rsidRPr="008D573C">
              <w:t>t</w:t>
            </w:r>
          </w:p>
        </w:tc>
        <w:tc>
          <w:tcPr>
            <w:tcW w:w="925" w:type="dxa"/>
            <w:tcBorders>
              <w:bottom w:val="single" w:sz="4" w:space="0" w:color="auto"/>
            </w:tcBorders>
          </w:tcPr>
          <w:p w:rsidR="005D2B18" w:rsidRPr="008D573C" w:rsidRDefault="005D2B18" w:rsidP="00EE0D7D">
            <w:proofErr w:type="spellStart"/>
            <w:r w:rsidRPr="008D573C">
              <w:t>df</w:t>
            </w:r>
            <w:proofErr w:type="spellEnd"/>
          </w:p>
        </w:tc>
        <w:tc>
          <w:tcPr>
            <w:tcW w:w="1192" w:type="dxa"/>
            <w:tcBorders>
              <w:bottom w:val="single" w:sz="4" w:space="0" w:color="auto"/>
            </w:tcBorders>
          </w:tcPr>
          <w:p w:rsidR="005D2B18" w:rsidRPr="008D573C" w:rsidRDefault="005D2B18" w:rsidP="00EE0D7D">
            <w:r w:rsidRPr="008D573C">
              <w:t>p</w:t>
            </w:r>
          </w:p>
        </w:tc>
      </w:tr>
      <w:tr w:rsidR="005D2B18" w:rsidRPr="00DE0833" w:rsidTr="00EE0D7D">
        <w:tc>
          <w:tcPr>
            <w:tcW w:w="2783" w:type="dxa"/>
            <w:tcBorders>
              <w:top w:val="single" w:sz="4" w:space="0" w:color="auto"/>
            </w:tcBorders>
          </w:tcPr>
          <w:p w:rsidR="005D2B18" w:rsidRPr="00DE0833" w:rsidRDefault="005D2B18" w:rsidP="00EE0D7D">
            <w:pPr>
              <w:rPr>
                <w:b/>
              </w:rPr>
            </w:pPr>
          </w:p>
        </w:tc>
        <w:tc>
          <w:tcPr>
            <w:tcW w:w="1494" w:type="dxa"/>
            <w:tcBorders>
              <w:top w:val="single" w:sz="4" w:space="0" w:color="auto"/>
            </w:tcBorders>
          </w:tcPr>
          <w:p w:rsidR="005D2B18" w:rsidRPr="00DE0833" w:rsidRDefault="005D2B18" w:rsidP="00EE0D7D">
            <w:pPr>
              <w:rPr>
                <w:b/>
              </w:rPr>
            </w:pPr>
          </w:p>
        </w:tc>
        <w:tc>
          <w:tcPr>
            <w:tcW w:w="1116" w:type="dxa"/>
            <w:tcBorders>
              <w:top w:val="single" w:sz="4" w:space="0" w:color="auto"/>
            </w:tcBorders>
          </w:tcPr>
          <w:p w:rsidR="005D2B18" w:rsidRPr="00DE0833" w:rsidRDefault="005D2B18" w:rsidP="00EE0D7D">
            <w:pPr>
              <w:rPr>
                <w:b/>
              </w:rPr>
            </w:pPr>
          </w:p>
        </w:tc>
        <w:tc>
          <w:tcPr>
            <w:tcW w:w="924" w:type="dxa"/>
            <w:tcBorders>
              <w:top w:val="single" w:sz="4" w:space="0" w:color="auto"/>
            </w:tcBorders>
          </w:tcPr>
          <w:p w:rsidR="005D2B18" w:rsidRPr="00DE0833" w:rsidRDefault="005D2B18" w:rsidP="00EE0D7D">
            <w:pPr>
              <w:rPr>
                <w:b/>
              </w:rPr>
            </w:pPr>
          </w:p>
        </w:tc>
        <w:tc>
          <w:tcPr>
            <w:tcW w:w="1116" w:type="dxa"/>
            <w:tcBorders>
              <w:top w:val="single" w:sz="4" w:space="0" w:color="auto"/>
            </w:tcBorders>
          </w:tcPr>
          <w:p w:rsidR="005D2B18" w:rsidRPr="00DE0833" w:rsidRDefault="005D2B18" w:rsidP="00EE0D7D">
            <w:pPr>
              <w:rPr>
                <w:b/>
              </w:rPr>
            </w:pPr>
          </w:p>
        </w:tc>
        <w:tc>
          <w:tcPr>
            <w:tcW w:w="996" w:type="dxa"/>
            <w:tcBorders>
              <w:top w:val="single" w:sz="4" w:space="0" w:color="auto"/>
            </w:tcBorders>
          </w:tcPr>
          <w:p w:rsidR="005D2B18" w:rsidRPr="00DE0833" w:rsidRDefault="005D2B18" w:rsidP="00EE0D7D">
            <w:pPr>
              <w:rPr>
                <w:b/>
              </w:rPr>
            </w:pPr>
          </w:p>
        </w:tc>
        <w:tc>
          <w:tcPr>
            <w:tcW w:w="1491" w:type="dxa"/>
            <w:tcBorders>
              <w:top w:val="single" w:sz="4" w:space="0" w:color="auto"/>
            </w:tcBorders>
          </w:tcPr>
          <w:p w:rsidR="005D2B18" w:rsidRPr="00DE0833" w:rsidRDefault="005D2B18" w:rsidP="00EE0D7D">
            <w:pPr>
              <w:rPr>
                <w:b/>
              </w:rPr>
            </w:pPr>
          </w:p>
        </w:tc>
        <w:tc>
          <w:tcPr>
            <w:tcW w:w="1483" w:type="dxa"/>
            <w:tcBorders>
              <w:top w:val="single" w:sz="4" w:space="0" w:color="auto"/>
            </w:tcBorders>
          </w:tcPr>
          <w:p w:rsidR="005D2B18" w:rsidRPr="00DE0833" w:rsidRDefault="005D2B18" w:rsidP="00EE0D7D">
            <w:pPr>
              <w:rPr>
                <w:b/>
              </w:rPr>
            </w:pPr>
          </w:p>
        </w:tc>
        <w:tc>
          <w:tcPr>
            <w:tcW w:w="925" w:type="dxa"/>
            <w:tcBorders>
              <w:top w:val="single" w:sz="4" w:space="0" w:color="auto"/>
            </w:tcBorders>
          </w:tcPr>
          <w:p w:rsidR="005D2B18" w:rsidRPr="00DE0833" w:rsidRDefault="005D2B18" w:rsidP="00EE0D7D">
            <w:pPr>
              <w:rPr>
                <w:b/>
              </w:rPr>
            </w:pPr>
          </w:p>
        </w:tc>
        <w:tc>
          <w:tcPr>
            <w:tcW w:w="1192" w:type="dxa"/>
            <w:tcBorders>
              <w:top w:val="single" w:sz="4" w:space="0" w:color="auto"/>
            </w:tcBorders>
          </w:tcPr>
          <w:p w:rsidR="005D2B18" w:rsidRPr="00DE0833" w:rsidRDefault="005D2B18" w:rsidP="00EE0D7D">
            <w:pPr>
              <w:rPr>
                <w:b/>
              </w:rPr>
            </w:pPr>
          </w:p>
        </w:tc>
      </w:tr>
      <w:tr w:rsidR="005D2B18" w:rsidRPr="00DE0833" w:rsidTr="00EE0D7D">
        <w:tc>
          <w:tcPr>
            <w:tcW w:w="2783" w:type="dxa"/>
          </w:tcPr>
          <w:p w:rsidR="005D2B18" w:rsidRPr="00DE0833" w:rsidRDefault="005D2B18" w:rsidP="00EE0D7D">
            <w:pPr>
              <w:rPr>
                <w:b/>
              </w:rPr>
            </w:pPr>
            <w:r w:rsidRPr="00DE0833">
              <w:rPr>
                <w:b/>
              </w:rPr>
              <w:t xml:space="preserve">Pain Medication </w:t>
            </w:r>
          </w:p>
        </w:tc>
        <w:tc>
          <w:tcPr>
            <w:tcW w:w="1494" w:type="dxa"/>
          </w:tcPr>
          <w:p w:rsidR="005D2B18" w:rsidRPr="00DE0833" w:rsidRDefault="005D2B18" w:rsidP="00EE0D7D">
            <w:pPr>
              <w:rPr>
                <w:b/>
              </w:rPr>
            </w:pPr>
          </w:p>
        </w:tc>
        <w:tc>
          <w:tcPr>
            <w:tcW w:w="1116" w:type="dxa"/>
          </w:tcPr>
          <w:p w:rsidR="005D2B18" w:rsidRPr="00DE0833" w:rsidRDefault="005D2B18" w:rsidP="00EE0D7D">
            <w:pPr>
              <w:rPr>
                <w:b/>
              </w:rPr>
            </w:pPr>
          </w:p>
        </w:tc>
        <w:tc>
          <w:tcPr>
            <w:tcW w:w="924" w:type="dxa"/>
          </w:tcPr>
          <w:p w:rsidR="005D2B18" w:rsidRPr="00DE0833" w:rsidRDefault="005D2B18" w:rsidP="00EE0D7D">
            <w:pPr>
              <w:rPr>
                <w:b/>
              </w:rPr>
            </w:pPr>
          </w:p>
        </w:tc>
        <w:tc>
          <w:tcPr>
            <w:tcW w:w="1116" w:type="dxa"/>
          </w:tcPr>
          <w:p w:rsidR="005D2B18" w:rsidRPr="00DE0833" w:rsidRDefault="005D2B18" w:rsidP="00EE0D7D">
            <w:pPr>
              <w:rPr>
                <w:b/>
              </w:rPr>
            </w:pPr>
          </w:p>
        </w:tc>
        <w:tc>
          <w:tcPr>
            <w:tcW w:w="996" w:type="dxa"/>
          </w:tcPr>
          <w:p w:rsidR="005D2B18" w:rsidRPr="00DE0833" w:rsidRDefault="005D2B18" w:rsidP="00EE0D7D">
            <w:pPr>
              <w:rPr>
                <w:b/>
              </w:rPr>
            </w:pPr>
          </w:p>
        </w:tc>
        <w:tc>
          <w:tcPr>
            <w:tcW w:w="1491" w:type="dxa"/>
          </w:tcPr>
          <w:p w:rsidR="005D2B18" w:rsidRPr="00DE0833" w:rsidRDefault="005D2B18" w:rsidP="00EE0D7D">
            <w:pPr>
              <w:rPr>
                <w:b/>
              </w:rPr>
            </w:pPr>
          </w:p>
        </w:tc>
        <w:tc>
          <w:tcPr>
            <w:tcW w:w="1483" w:type="dxa"/>
          </w:tcPr>
          <w:p w:rsidR="005D2B18" w:rsidRPr="00DE0833" w:rsidRDefault="005D2B18" w:rsidP="00EE0D7D">
            <w:pPr>
              <w:rPr>
                <w:b/>
              </w:rPr>
            </w:pPr>
          </w:p>
        </w:tc>
        <w:tc>
          <w:tcPr>
            <w:tcW w:w="925" w:type="dxa"/>
          </w:tcPr>
          <w:p w:rsidR="005D2B18" w:rsidRPr="00DE0833" w:rsidRDefault="005D2B18" w:rsidP="00EE0D7D">
            <w:pPr>
              <w:rPr>
                <w:b/>
              </w:rPr>
            </w:pPr>
          </w:p>
        </w:tc>
        <w:tc>
          <w:tcPr>
            <w:tcW w:w="1192" w:type="dxa"/>
          </w:tcPr>
          <w:p w:rsidR="005D2B18" w:rsidRPr="00DE0833" w:rsidRDefault="005D2B18" w:rsidP="00EE0D7D">
            <w:pPr>
              <w:rPr>
                <w:b/>
              </w:rPr>
            </w:pPr>
          </w:p>
        </w:tc>
      </w:tr>
      <w:tr w:rsidR="005D2B18" w:rsidRPr="00DE0833" w:rsidTr="00EE0D7D">
        <w:tc>
          <w:tcPr>
            <w:tcW w:w="2783" w:type="dxa"/>
          </w:tcPr>
          <w:p w:rsidR="005D2B18" w:rsidRPr="00DE0833" w:rsidRDefault="005D2B18" w:rsidP="00EE0D7D">
            <w:r>
              <w:tab/>
            </w:r>
            <w:r w:rsidRPr="00DE0833">
              <w:t>Credibility</w:t>
            </w:r>
          </w:p>
        </w:tc>
        <w:tc>
          <w:tcPr>
            <w:tcW w:w="1494" w:type="dxa"/>
          </w:tcPr>
          <w:p w:rsidR="005D2B18" w:rsidRPr="00DE0833" w:rsidRDefault="005D2B18" w:rsidP="00EE0D7D">
            <w:r w:rsidRPr="00DE0833">
              <w:t>3.8</w:t>
            </w:r>
            <w:r>
              <w:t>8</w:t>
            </w:r>
          </w:p>
        </w:tc>
        <w:tc>
          <w:tcPr>
            <w:tcW w:w="1116" w:type="dxa"/>
          </w:tcPr>
          <w:p w:rsidR="005D2B18" w:rsidRPr="00DE0833" w:rsidRDefault="005D2B18" w:rsidP="00EE0D7D">
            <w:r w:rsidRPr="00DE0833">
              <w:t>.60</w:t>
            </w:r>
          </w:p>
        </w:tc>
        <w:tc>
          <w:tcPr>
            <w:tcW w:w="924" w:type="dxa"/>
          </w:tcPr>
          <w:p w:rsidR="005D2B18" w:rsidRPr="00DE0833" w:rsidRDefault="005D2B18" w:rsidP="00EE0D7D">
            <w:r w:rsidRPr="00DE0833">
              <w:t>152</w:t>
            </w:r>
          </w:p>
        </w:tc>
        <w:tc>
          <w:tcPr>
            <w:tcW w:w="1116" w:type="dxa"/>
          </w:tcPr>
          <w:p w:rsidR="005D2B18" w:rsidRPr="00DE0833" w:rsidRDefault="005D2B18" w:rsidP="00EE0D7D">
            <w:r w:rsidRPr="00DE0833">
              <w:t>3.4</w:t>
            </w:r>
            <w:r>
              <w:t>7</w:t>
            </w:r>
          </w:p>
        </w:tc>
        <w:tc>
          <w:tcPr>
            <w:tcW w:w="996" w:type="dxa"/>
          </w:tcPr>
          <w:p w:rsidR="005D2B18" w:rsidRPr="00DE0833" w:rsidRDefault="005D2B18" w:rsidP="00EE0D7D">
            <w:r w:rsidRPr="00DE0833">
              <w:t>.79</w:t>
            </w:r>
          </w:p>
        </w:tc>
        <w:tc>
          <w:tcPr>
            <w:tcW w:w="1491" w:type="dxa"/>
          </w:tcPr>
          <w:p w:rsidR="005D2B18" w:rsidRPr="00DE0833" w:rsidRDefault="005D2B18" w:rsidP="00EE0D7D">
            <w:r w:rsidRPr="00DE0833">
              <w:t>189</w:t>
            </w:r>
          </w:p>
        </w:tc>
        <w:tc>
          <w:tcPr>
            <w:tcW w:w="1483" w:type="dxa"/>
          </w:tcPr>
          <w:p w:rsidR="005D2B18" w:rsidRPr="00DE0833" w:rsidRDefault="005D2B18" w:rsidP="00EE0D7D">
            <w:r w:rsidRPr="00DE0833">
              <w:t>-5.4</w:t>
            </w:r>
            <w:r>
              <w:t>4</w:t>
            </w:r>
            <w:r w:rsidRPr="00B81528">
              <w:rPr>
                <w:vertAlign w:val="superscript"/>
              </w:rPr>
              <w:t xml:space="preserve"> a</w:t>
            </w:r>
          </w:p>
        </w:tc>
        <w:tc>
          <w:tcPr>
            <w:tcW w:w="925" w:type="dxa"/>
          </w:tcPr>
          <w:p w:rsidR="005D2B18" w:rsidRPr="00DE0833" w:rsidRDefault="005D2B18" w:rsidP="00EE0D7D">
            <w:r w:rsidRPr="00DE0833">
              <w:t>337.8</w:t>
            </w:r>
          </w:p>
        </w:tc>
        <w:tc>
          <w:tcPr>
            <w:tcW w:w="1192" w:type="dxa"/>
          </w:tcPr>
          <w:p w:rsidR="005D2B18" w:rsidRPr="00DE0833" w:rsidRDefault="005D2B18" w:rsidP="00EE0D7D">
            <w:r>
              <w:t>&lt;</w:t>
            </w:r>
            <w:r w:rsidRPr="00DE0833">
              <w:t>.00</w:t>
            </w:r>
            <w:r>
              <w:t>1</w:t>
            </w:r>
          </w:p>
        </w:tc>
      </w:tr>
      <w:tr w:rsidR="005D2B18" w:rsidRPr="00DE0833" w:rsidTr="00EE0D7D">
        <w:tc>
          <w:tcPr>
            <w:tcW w:w="2783" w:type="dxa"/>
          </w:tcPr>
          <w:p w:rsidR="005D2B18" w:rsidRPr="00DE0833" w:rsidRDefault="005D2B18" w:rsidP="00EE0D7D">
            <w:r>
              <w:tab/>
            </w:r>
            <w:r w:rsidRPr="00DE0833">
              <w:t>Effectiveness</w:t>
            </w:r>
          </w:p>
        </w:tc>
        <w:tc>
          <w:tcPr>
            <w:tcW w:w="1494" w:type="dxa"/>
          </w:tcPr>
          <w:p w:rsidR="005D2B18" w:rsidRPr="00DE0833" w:rsidRDefault="005D2B18" w:rsidP="00EE0D7D">
            <w:r w:rsidRPr="00DE0833">
              <w:t>4.0</w:t>
            </w:r>
            <w:r>
              <w:t>5</w:t>
            </w:r>
          </w:p>
        </w:tc>
        <w:tc>
          <w:tcPr>
            <w:tcW w:w="1116" w:type="dxa"/>
          </w:tcPr>
          <w:p w:rsidR="005D2B18" w:rsidRPr="00DE0833" w:rsidRDefault="005D2B18" w:rsidP="00EE0D7D">
            <w:r w:rsidRPr="00DE0833">
              <w:t>.</w:t>
            </w:r>
            <w:r>
              <w:t>70</w:t>
            </w:r>
          </w:p>
        </w:tc>
        <w:tc>
          <w:tcPr>
            <w:tcW w:w="924" w:type="dxa"/>
          </w:tcPr>
          <w:p w:rsidR="005D2B18" w:rsidRPr="00DE0833" w:rsidRDefault="005D2B18" w:rsidP="00EE0D7D">
            <w:r w:rsidRPr="00DE0833">
              <w:t>152</w:t>
            </w:r>
          </w:p>
        </w:tc>
        <w:tc>
          <w:tcPr>
            <w:tcW w:w="1116" w:type="dxa"/>
          </w:tcPr>
          <w:p w:rsidR="005D2B18" w:rsidRPr="00DE0833" w:rsidRDefault="005D2B18" w:rsidP="00EE0D7D">
            <w:r w:rsidRPr="00DE0833">
              <w:t>3.94</w:t>
            </w:r>
          </w:p>
        </w:tc>
        <w:tc>
          <w:tcPr>
            <w:tcW w:w="996" w:type="dxa"/>
          </w:tcPr>
          <w:p w:rsidR="005D2B18" w:rsidRPr="00DE0833" w:rsidRDefault="005D2B18" w:rsidP="00EE0D7D">
            <w:r w:rsidRPr="00DE0833">
              <w:t>.7</w:t>
            </w:r>
            <w:r>
              <w:t>2</w:t>
            </w:r>
          </w:p>
        </w:tc>
        <w:tc>
          <w:tcPr>
            <w:tcW w:w="1491" w:type="dxa"/>
          </w:tcPr>
          <w:p w:rsidR="005D2B18" w:rsidRPr="00DE0833" w:rsidRDefault="005D2B18" w:rsidP="00EE0D7D">
            <w:r w:rsidRPr="00DE0833">
              <w:t>189</w:t>
            </w:r>
          </w:p>
        </w:tc>
        <w:tc>
          <w:tcPr>
            <w:tcW w:w="1483" w:type="dxa"/>
          </w:tcPr>
          <w:p w:rsidR="005D2B18" w:rsidRPr="00DE0833" w:rsidRDefault="005D2B18" w:rsidP="00EE0D7D">
            <w:r w:rsidRPr="00DE0833">
              <w:t>-1.35</w:t>
            </w:r>
          </w:p>
        </w:tc>
        <w:tc>
          <w:tcPr>
            <w:tcW w:w="925" w:type="dxa"/>
          </w:tcPr>
          <w:p w:rsidR="005D2B18" w:rsidRPr="00DE0833" w:rsidRDefault="005D2B18" w:rsidP="00EE0D7D">
            <w:r w:rsidRPr="00DE0833">
              <w:t>339</w:t>
            </w:r>
          </w:p>
        </w:tc>
        <w:tc>
          <w:tcPr>
            <w:tcW w:w="1192" w:type="dxa"/>
          </w:tcPr>
          <w:p w:rsidR="005D2B18" w:rsidRPr="00DE0833" w:rsidRDefault="005D2B18" w:rsidP="00EE0D7D">
            <w:r w:rsidRPr="00DE0833">
              <w:t>.177</w:t>
            </w:r>
          </w:p>
        </w:tc>
      </w:tr>
      <w:tr w:rsidR="005D2B18" w:rsidRPr="00DE0833" w:rsidTr="00EE0D7D">
        <w:tc>
          <w:tcPr>
            <w:tcW w:w="2783" w:type="dxa"/>
          </w:tcPr>
          <w:p w:rsidR="005D2B18" w:rsidRPr="00DE0833" w:rsidRDefault="005D2B18" w:rsidP="00EE0D7D">
            <w:r>
              <w:tab/>
            </w:r>
            <w:r w:rsidRPr="00DE0833">
              <w:t>(Fewer) Concerns</w:t>
            </w:r>
          </w:p>
        </w:tc>
        <w:tc>
          <w:tcPr>
            <w:tcW w:w="1494" w:type="dxa"/>
          </w:tcPr>
          <w:p w:rsidR="005D2B18" w:rsidRPr="00DE0833" w:rsidRDefault="005D2B18" w:rsidP="00EE0D7D">
            <w:r w:rsidRPr="00DE0833">
              <w:t>3.7</w:t>
            </w:r>
            <w:r>
              <w:t>4</w:t>
            </w:r>
          </w:p>
        </w:tc>
        <w:tc>
          <w:tcPr>
            <w:tcW w:w="1116" w:type="dxa"/>
          </w:tcPr>
          <w:p w:rsidR="005D2B18" w:rsidRPr="00DE0833" w:rsidRDefault="005D2B18" w:rsidP="00EE0D7D">
            <w:r w:rsidRPr="00DE0833">
              <w:t>.68</w:t>
            </w:r>
          </w:p>
        </w:tc>
        <w:tc>
          <w:tcPr>
            <w:tcW w:w="924" w:type="dxa"/>
          </w:tcPr>
          <w:p w:rsidR="005D2B18" w:rsidRPr="00DE0833" w:rsidRDefault="005D2B18" w:rsidP="00EE0D7D">
            <w:r w:rsidRPr="00DE0833">
              <w:t>152</w:t>
            </w:r>
          </w:p>
        </w:tc>
        <w:tc>
          <w:tcPr>
            <w:tcW w:w="1116" w:type="dxa"/>
          </w:tcPr>
          <w:p w:rsidR="005D2B18" w:rsidRPr="00DE0833" w:rsidRDefault="005D2B18" w:rsidP="00EE0D7D">
            <w:r w:rsidRPr="00DE0833">
              <w:t>3.</w:t>
            </w:r>
            <w:r>
              <w:t>30</w:t>
            </w:r>
          </w:p>
        </w:tc>
        <w:tc>
          <w:tcPr>
            <w:tcW w:w="996" w:type="dxa"/>
          </w:tcPr>
          <w:p w:rsidR="005D2B18" w:rsidRPr="00DE0833" w:rsidRDefault="005D2B18" w:rsidP="00EE0D7D">
            <w:r w:rsidRPr="00DE0833">
              <w:t>.82</w:t>
            </w:r>
          </w:p>
        </w:tc>
        <w:tc>
          <w:tcPr>
            <w:tcW w:w="1491" w:type="dxa"/>
          </w:tcPr>
          <w:p w:rsidR="005D2B18" w:rsidRPr="00DE0833" w:rsidRDefault="005D2B18" w:rsidP="00EE0D7D">
            <w:r w:rsidRPr="00DE0833">
              <w:t>189</w:t>
            </w:r>
          </w:p>
        </w:tc>
        <w:tc>
          <w:tcPr>
            <w:tcW w:w="1483" w:type="dxa"/>
          </w:tcPr>
          <w:p w:rsidR="005D2B18" w:rsidRPr="00DE0833" w:rsidRDefault="005D2B18" w:rsidP="00EE0D7D">
            <w:r w:rsidRPr="00DE0833">
              <w:t>-5.29</w:t>
            </w:r>
          </w:p>
        </w:tc>
        <w:tc>
          <w:tcPr>
            <w:tcW w:w="925" w:type="dxa"/>
          </w:tcPr>
          <w:p w:rsidR="005D2B18" w:rsidRPr="00DE0833" w:rsidRDefault="005D2B18" w:rsidP="00EE0D7D">
            <w:r w:rsidRPr="00DE0833">
              <w:t>339</w:t>
            </w:r>
          </w:p>
        </w:tc>
        <w:tc>
          <w:tcPr>
            <w:tcW w:w="1192" w:type="dxa"/>
          </w:tcPr>
          <w:p w:rsidR="005D2B18" w:rsidRPr="00DE0833" w:rsidRDefault="005D2B18" w:rsidP="00EE0D7D">
            <w:r w:rsidRPr="00FC0ABD">
              <w:t>&lt;.001</w:t>
            </w:r>
          </w:p>
        </w:tc>
      </w:tr>
      <w:tr w:rsidR="005D2B18" w:rsidRPr="00DE0833" w:rsidTr="00EE0D7D">
        <w:tc>
          <w:tcPr>
            <w:tcW w:w="2783" w:type="dxa"/>
          </w:tcPr>
          <w:p w:rsidR="005D2B18" w:rsidRPr="00DE0833" w:rsidRDefault="005D2B18" w:rsidP="00EE0D7D">
            <w:r>
              <w:tab/>
            </w:r>
            <w:r w:rsidRPr="00DE0833">
              <w:t>Individual Fit</w:t>
            </w:r>
          </w:p>
        </w:tc>
        <w:tc>
          <w:tcPr>
            <w:tcW w:w="1494" w:type="dxa"/>
          </w:tcPr>
          <w:p w:rsidR="005D2B18" w:rsidRPr="00DE0833" w:rsidRDefault="005D2B18" w:rsidP="00EE0D7D">
            <w:r w:rsidRPr="00DE0833">
              <w:t>3.82</w:t>
            </w:r>
          </w:p>
        </w:tc>
        <w:tc>
          <w:tcPr>
            <w:tcW w:w="1116" w:type="dxa"/>
          </w:tcPr>
          <w:p w:rsidR="005D2B18" w:rsidRPr="00DE0833" w:rsidRDefault="005D2B18" w:rsidP="00EE0D7D">
            <w:r w:rsidRPr="00DE0833">
              <w:t>.</w:t>
            </w:r>
            <w:r>
              <w:t>70</w:t>
            </w:r>
          </w:p>
        </w:tc>
        <w:tc>
          <w:tcPr>
            <w:tcW w:w="924" w:type="dxa"/>
          </w:tcPr>
          <w:p w:rsidR="005D2B18" w:rsidRPr="00DE0833" w:rsidRDefault="005D2B18" w:rsidP="00EE0D7D">
            <w:r w:rsidRPr="00DE0833">
              <w:t>152</w:t>
            </w:r>
          </w:p>
        </w:tc>
        <w:tc>
          <w:tcPr>
            <w:tcW w:w="1116" w:type="dxa"/>
          </w:tcPr>
          <w:p w:rsidR="005D2B18" w:rsidRPr="00DE0833" w:rsidRDefault="005D2B18" w:rsidP="00EE0D7D">
            <w:r w:rsidRPr="00DE0833">
              <w:t>3.32</w:t>
            </w:r>
          </w:p>
        </w:tc>
        <w:tc>
          <w:tcPr>
            <w:tcW w:w="996" w:type="dxa"/>
          </w:tcPr>
          <w:p w:rsidR="005D2B18" w:rsidRPr="00DE0833" w:rsidRDefault="005D2B18" w:rsidP="00EE0D7D">
            <w:r w:rsidRPr="00DE0833">
              <w:t>.89</w:t>
            </w:r>
          </w:p>
        </w:tc>
        <w:tc>
          <w:tcPr>
            <w:tcW w:w="1491" w:type="dxa"/>
          </w:tcPr>
          <w:p w:rsidR="005D2B18" w:rsidRPr="00DE0833" w:rsidRDefault="005D2B18" w:rsidP="00EE0D7D">
            <w:r w:rsidRPr="00DE0833">
              <w:t>189</w:t>
            </w:r>
          </w:p>
        </w:tc>
        <w:tc>
          <w:tcPr>
            <w:tcW w:w="1483" w:type="dxa"/>
          </w:tcPr>
          <w:p w:rsidR="005D2B18" w:rsidRPr="00DE0833" w:rsidRDefault="005D2B18" w:rsidP="00EE0D7D">
            <w:r w:rsidRPr="00DE0833">
              <w:t>-5.87</w:t>
            </w:r>
            <w:r w:rsidRPr="00B81528">
              <w:rPr>
                <w:vertAlign w:val="superscript"/>
              </w:rPr>
              <w:t xml:space="preserve"> a</w:t>
            </w:r>
          </w:p>
        </w:tc>
        <w:tc>
          <w:tcPr>
            <w:tcW w:w="925" w:type="dxa"/>
          </w:tcPr>
          <w:p w:rsidR="005D2B18" w:rsidRPr="00DE0833" w:rsidRDefault="005D2B18" w:rsidP="00EE0D7D">
            <w:r w:rsidRPr="00DE0833">
              <w:t>338.8</w:t>
            </w:r>
          </w:p>
        </w:tc>
        <w:tc>
          <w:tcPr>
            <w:tcW w:w="1192" w:type="dxa"/>
          </w:tcPr>
          <w:p w:rsidR="005D2B18" w:rsidRPr="00DE0833" w:rsidRDefault="005D2B18" w:rsidP="00EE0D7D">
            <w:r w:rsidRPr="00FC0ABD">
              <w:t>&lt;.001</w:t>
            </w:r>
          </w:p>
        </w:tc>
      </w:tr>
      <w:tr w:rsidR="005D2B18" w:rsidRPr="00DE0833" w:rsidTr="00EE0D7D">
        <w:tc>
          <w:tcPr>
            <w:tcW w:w="2783" w:type="dxa"/>
          </w:tcPr>
          <w:p w:rsidR="005D2B18" w:rsidRPr="00DE0833" w:rsidRDefault="005D2B18" w:rsidP="00EE0D7D">
            <w:pPr>
              <w:rPr>
                <w:b/>
              </w:rPr>
            </w:pPr>
          </w:p>
        </w:tc>
        <w:tc>
          <w:tcPr>
            <w:tcW w:w="1494" w:type="dxa"/>
          </w:tcPr>
          <w:p w:rsidR="005D2B18" w:rsidRPr="00DE0833" w:rsidRDefault="005D2B18" w:rsidP="00EE0D7D">
            <w:pPr>
              <w:rPr>
                <w:b/>
              </w:rPr>
            </w:pPr>
          </w:p>
        </w:tc>
        <w:tc>
          <w:tcPr>
            <w:tcW w:w="1116" w:type="dxa"/>
          </w:tcPr>
          <w:p w:rsidR="005D2B18" w:rsidRPr="00DE0833" w:rsidRDefault="005D2B18" w:rsidP="00EE0D7D">
            <w:pPr>
              <w:rPr>
                <w:b/>
              </w:rPr>
            </w:pPr>
          </w:p>
        </w:tc>
        <w:tc>
          <w:tcPr>
            <w:tcW w:w="924" w:type="dxa"/>
          </w:tcPr>
          <w:p w:rsidR="005D2B18" w:rsidRPr="00DE0833" w:rsidRDefault="005D2B18" w:rsidP="00EE0D7D"/>
        </w:tc>
        <w:tc>
          <w:tcPr>
            <w:tcW w:w="1116" w:type="dxa"/>
          </w:tcPr>
          <w:p w:rsidR="005D2B18" w:rsidRPr="00DE0833" w:rsidRDefault="005D2B18" w:rsidP="00EE0D7D">
            <w:pPr>
              <w:rPr>
                <w:b/>
              </w:rPr>
            </w:pPr>
          </w:p>
        </w:tc>
        <w:tc>
          <w:tcPr>
            <w:tcW w:w="996" w:type="dxa"/>
          </w:tcPr>
          <w:p w:rsidR="005D2B18" w:rsidRPr="00DE0833" w:rsidRDefault="005D2B18" w:rsidP="00EE0D7D">
            <w:pPr>
              <w:rPr>
                <w:b/>
              </w:rPr>
            </w:pPr>
          </w:p>
        </w:tc>
        <w:tc>
          <w:tcPr>
            <w:tcW w:w="1491" w:type="dxa"/>
          </w:tcPr>
          <w:p w:rsidR="005D2B18" w:rsidRPr="00DE0833" w:rsidRDefault="005D2B18" w:rsidP="00EE0D7D"/>
        </w:tc>
        <w:tc>
          <w:tcPr>
            <w:tcW w:w="1483" w:type="dxa"/>
          </w:tcPr>
          <w:p w:rsidR="005D2B18" w:rsidRPr="00DE0833" w:rsidRDefault="005D2B18" w:rsidP="00EE0D7D"/>
        </w:tc>
        <w:tc>
          <w:tcPr>
            <w:tcW w:w="925" w:type="dxa"/>
          </w:tcPr>
          <w:p w:rsidR="005D2B18" w:rsidRPr="00DE0833" w:rsidRDefault="005D2B18" w:rsidP="00EE0D7D"/>
        </w:tc>
        <w:tc>
          <w:tcPr>
            <w:tcW w:w="1192" w:type="dxa"/>
          </w:tcPr>
          <w:p w:rsidR="005D2B18" w:rsidRPr="00DE0833" w:rsidRDefault="005D2B18" w:rsidP="00EE0D7D"/>
        </w:tc>
      </w:tr>
      <w:tr w:rsidR="005D2B18" w:rsidRPr="00DE0833" w:rsidTr="00EE0D7D">
        <w:tc>
          <w:tcPr>
            <w:tcW w:w="2783" w:type="dxa"/>
          </w:tcPr>
          <w:p w:rsidR="005D2B18" w:rsidRPr="00DE0833" w:rsidRDefault="005D2B18" w:rsidP="00EE0D7D">
            <w:pPr>
              <w:rPr>
                <w:b/>
              </w:rPr>
            </w:pPr>
            <w:r w:rsidRPr="00DE0833">
              <w:rPr>
                <w:b/>
              </w:rPr>
              <w:t>Exercise</w:t>
            </w:r>
          </w:p>
        </w:tc>
        <w:tc>
          <w:tcPr>
            <w:tcW w:w="1494" w:type="dxa"/>
          </w:tcPr>
          <w:p w:rsidR="005D2B18" w:rsidRPr="00DE0833" w:rsidRDefault="005D2B18" w:rsidP="00EE0D7D">
            <w:pPr>
              <w:rPr>
                <w:b/>
              </w:rPr>
            </w:pPr>
          </w:p>
        </w:tc>
        <w:tc>
          <w:tcPr>
            <w:tcW w:w="1116" w:type="dxa"/>
          </w:tcPr>
          <w:p w:rsidR="005D2B18" w:rsidRPr="00DE0833" w:rsidRDefault="005D2B18" w:rsidP="00EE0D7D">
            <w:pPr>
              <w:rPr>
                <w:b/>
              </w:rPr>
            </w:pPr>
          </w:p>
        </w:tc>
        <w:tc>
          <w:tcPr>
            <w:tcW w:w="924" w:type="dxa"/>
          </w:tcPr>
          <w:p w:rsidR="005D2B18" w:rsidRPr="00DE0833" w:rsidRDefault="005D2B18" w:rsidP="00EE0D7D"/>
        </w:tc>
        <w:tc>
          <w:tcPr>
            <w:tcW w:w="1116" w:type="dxa"/>
          </w:tcPr>
          <w:p w:rsidR="005D2B18" w:rsidRPr="00DE0833" w:rsidRDefault="005D2B18" w:rsidP="00EE0D7D">
            <w:pPr>
              <w:rPr>
                <w:b/>
              </w:rPr>
            </w:pPr>
          </w:p>
        </w:tc>
        <w:tc>
          <w:tcPr>
            <w:tcW w:w="996" w:type="dxa"/>
          </w:tcPr>
          <w:p w:rsidR="005D2B18" w:rsidRPr="00DE0833" w:rsidRDefault="005D2B18" w:rsidP="00EE0D7D">
            <w:pPr>
              <w:rPr>
                <w:b/>
              </w:rPr>
            </w:pPr>
          </w:p>
        </w:tc>
        <w:tc>
          <w:tcPr>
            <w:tcW w:w="1491" w:type="dxa"/>
          </w:tcPr>
          <w:p w:rsidR="005D2B18" w:rsidRPr="00DE0833" w:rsidRDefault="005D2B18" w:rsidP="00EE0D7D"/>
        </w:tc>
        <w:tc>
          <w:tcPr>
            <w:tcW w:w="1483" w:type="dxa"/>
          </w:tcPr>
          <w:p w:rsidR="005D2B18" w:rsidRPr="00DE0833" w:rsidRDefault="005D2B18" w:rsidP="00EE0D7D"/>
        </w:tc>
        <w:tc>
          <w:tcPr>
            <w:tcW w:w="925" w:type="dxa"/>
          </w:tcPr>
          <w:p w:rsidR="005D2B18" w:rsidRPr="00DE0833" w:rsidRDefault="005D2B18" w:rsidP="00EE0D7D"/>
        </w:tc>
        <w:tc>
          <w:tcPr>
            <w:tcW w:w="1192" w:type="dxa"/>
          </w:tcPr>
          <w:p w:rsidR="005D2B18" w:rsidRPr="00DE0833" w:rsidRDefault="005D2B18" w:rsidP="00EE0D7D"/>
        </w:tc>
      </w:tr>
      <w:tr w:rsidR="005D2B18" w:rsidRPr="00DE0833" w:rsidTr="00EE0D7D">
        <w:tc>
          <w:tcPr>
            <w:tcW w:w="2783" w:type="dxa"/>
          </w:tcPr>
          <w:p w:rsidR="005D2B18" w:rsidRPr="00DE0833" w:rsidRDefault="005D2B18" w:rsidP="00EE0D7D">
            <w:r>
              <w:tab/>
            </w:r>
            <w:r w:rsidRPr="00DE0833">
              <w:t>Credibility</w:t>
            </w:r>
          </w:p>
        </w:tc>
        <w:tc>
          <w:tcPr>
            <w:tcW w:w="1494" w:type="dxa"/>
          </w:tcPr>
          <w:p w:rsidR="005D2B18" w:rsidRPr="00DE0833" w:rsidRDefault="005D2B18" w:rsidP="00EE0D7D">
            <w:r w:rsidRPr="00DE0833">
              <w:t>4.24</w:t>
            </w:r>
          </w:p>
        </w:tc>
        <w:tc>
          <w:tcPr>
            <w:tcW w:w="1116" w:type="dxa"/>
          </w:tcPr>
          <w:p w:rsidR="005D2B18" w:rsidRPr="00DE0833" w:rsidRDefault="005D2B18" w:rsidP="00EE0D7D">
            <w:r w:rsidRPr="00DE0833">
              <w:t>.5</w:t>
            </w:r>
            <w:r>
              <w:t>6</w:t>
            </w:r>
          </w:p>
        </w:tc>
        <w:tc>
          <w:tcPr>
            <w:tcW w:w="924" w:type="dxa"/>
          </w:tcPr>
          <w:p w:rsidR="005D2B18" w:rsidRPr="00DE0833" w:rsidRDefault="005D2B18" w:rsidP="00EE0D7D">
            <w:r w:rsidRPr="00DE0833">
              <w:t>88</w:t>
            </w:r>
          </w:p>
        </w:tc>
        <w:tc>
          <w:tcPr>
            <w:tcW w:w="1116" w:type="dxa"/>
          </w:tcPr>
          <w:p w:rsidR="005D2B18" w:rsidRPr="00DE0833" w:rsidRDefault="005D2B18" w:rsidP="00EE0D7D">
            <w:r w:rsidRPr="00DE0833">
              <w:t>3.75</w:t>
            </w:r>
          </w:p>
        </w:tc>
        <w:tc>
          <w:tcPr>
            <w:tcW w:w="996" w:type="dxa"/>
          </w:tcPr>
          <w:p w:rsidR="005D2B18" w:rsidRPr="00DE0833" w:rsidRDefault="005D2B18" w:rsidP="00EE0D7D">
            <w:r w:rsidRPr="00DE0833">
              <w:t>.8</w:t>
            </w:r>
            <w:r>
              <w:t>1</w:t>
            </w:r>
          </w:p>
        </w:tc>
        <w:tc>
          <w:tcPr>
            <w:tcW w:w="1491" w:type="dxa"/>
          </w:tcPr>
          <w:p w:rsidR="005D2B18" w:rsidRPr="00DE0833" w:rsidRDefault="005D2B18" w:rsidP="00EE0D7D">
            <w:r w:rsidRPr="00DE0833">
              <w:t>239</w:t>
            </w:r>
          </w:p>
        </w:tc>
        <w:tc>
          <w:tcPr>
            <w:tcW w:w="1483" w:type="dxa"/>
          </w:tcPr>
          <w:p w:rsidR="005D2B18" w:rsidRPr="00DE0833" w:rsidRDefault="005D2B18" w:rsidP="00EE0D7D">
            <w:r w:rsidRPr="00DE0833">
              <w:t>-6.22</w:t>
            </w:r>
            <w:r w:rsidRPr="00B81528">
              <w:rPr>
                <w:vertAlign w:val="superscript"/>
              </w:rPr>
              <w:t xml:space="preserve"> a</w:t>
            </w:r>
          </w:p>
        </w:tc>
        <w:tc>
          <w:tcPr>
            <w:tcW w:w="925" w:type="dxa"/>
          </w:tcPr>
          <w:p w:rsidR="005D2B18" w:rsidRPr="00DE0833" w:rsidRDefault="005D2B18" w:rsidP="00EE0D7D">
            <w:r w:rsidRPr="00DE0833">
              <w:t>223.3</w:t>
            </w:r>
          </w:p>
        </w:tc>
        <w:tc>
          <w:tcPr>
            <w:tcW w:w="1192" w:type="dxa"/>
          </w:tcPr>
          <w:p w:rsidR="005D2B18" w:rsidRPr="00DE0833" w:rsidRDefault="005D2B18" w:rsidP="00EE0D7D">
            <w:r w:rsidRPr="00BF4D51">
              <w:t>&lt;.001</w:t>
            </w:r>
          </w:p>
        </w:tc>
      </w:tr>
      <w:tr w:rsidR="005D2B18" w:rsidRPr="00DE0833" w:rsidTr="00EE0D7D">
        <w:tc>
          <w:tcPr>
            <w:tcW w:w="2783" w:type="dxa"/>
          </w:tcPr>
          <w:p w:rsidR="005D2B18" w:rsidRPr="00DE0833" w:rsidRDefault="005D2B18" w:rsidP="00EE0D7D">
            <w:r>
              <w:tab/>
            </w:r>
            <w:r w:rsidRPr="00DE0833">
              <w:t>Effectiveness</w:t>
            </w:r>
          </w:p>
        </w:tc>
        <w:tc>
          <w:tcPr>
            <w:tcW w:w="1494" w:type="dxa"/>
          </w:tcPr>
          <w:p w:rsidR="005D2B18" w:rsidRPr="00DE0833" w:rsidRDefault="005D2B18" w:rsidP="00EE0D7D">
            <w:r w:rsidRPr="00DE0833">
              <w:t>4.27</w:t>
            </w:r>
          </w:p>
        </w:tc>
        <w:tc>
          <w:tcPr>
            <w:tcW w:w="1116" w:type="dxa"/>
          </w:tcPr>
          <w:p w:rsidR="005D2B18" w:rsidRPr="00DE0833" w:rsidRDefault="005D2B18" w:rsidP="00EE0D7D">
            <w:r w:rsidRPr="00DE0833">
              <w:t>.58</w:t>
            </w:r>
          </w:p>
        </w:tc>
        <w:tc>
          <w:tcPr>
            <w:tcW w:w="924" w:type="dxa"/>
          </w:tcPr>
          <w:p w:rsidR="005D2B18" w:rsidRPr="00DE0833" w:rsidRDefault="005D2B18" w:rsidP="00EE0D7D">
            <w:r w:rsidRPr="00DE0833">
              <w:t>88</w:t>
            </w:r>
          </w:p>
        </w:tc>
        <w:tc>
          <w:tcPr>
            <w:tcW w:w="1116" w:type="dxa"/>
          </w:tcPr>
          <w:p w:rsidR="005D2B18" w:rsidRPr="00DE0833" w:rsidRDefault="005D2B18" w:rsidP="00EE0D7D">
            <w:r w:rsidRPr="00DE0833">
              <w:t>3.84</w:t>
            </w:r>
          </w:p>
        </w:tc>
        <w:tc>
          <w:tcPr>
            <w:tcW w:w="996" w:type="dxa"/>
          </w:tcPr>
          <w:p w:rsidR="005D2B18" w:rsidRPr="00DE0833" w:rsidRDefault="005D2B18" w:rsidP="00EE0D7D">
            <w:r w:rsidRPr="00DE0833">
              <w:t>.7</w:t>
            </w:r>
            <w:r>
              <w:t>1</w:t>
            </w:r>
          </w:p>
        </w:tc>
        <w:tc>
          <w:tcPr>
            <w:tcW w:w="1491" w:type="dxa"/>
          </w:tcPr>
          <w:p w:rsidR="005D2B18" w:rsidRPr="00DE0833" w:rsidRDefault="005D2B18" w:rsidP="00EE0D7D">
            <w:r w:rsidRPr="00DE0833">
              <w:t>239</w:t>
            </w:r>
          </w:p>
        </w:tc>
        <w:tc>
          <w:tcPr>
            <w:tcW w:w="1483" w:type="dxa"/>
          </w:tcPr>
          <w:p w:rsidR="005D2B18" w:rsidRPr="00DE0833" w:rsidRDefault="005D2B18" w:rsidP="00EE0D7D">
            <w:r w:rsidRPr="00DE0833">
              <w:t>-6.0</w:t>
            </w:r>
            <w:r>
              <w:t>5</w:t>
            </w:r>
          </w:p>
        </w:tc>
        <w:tc>
          <w:tcPr>
            <w:tcW w:w="925" w:type="dxa"/>
          </w:tcPr>
          <w:p w:rsidR="005D2B18" w:rsidRPr="00DE0833" w:rsidRDefault="005D2B18" w:rsidP="00EE0D7D">
            <w:r w:rsidRPr="00DE0833">
              <w:t>325</w:t>
            </w:r>
          </w:p>
        </w:tc>
        <w:tc>
          <w:tcPr>
            <w:tcW w:w="1192" w:type="dxa"/>
          </w:tcPr>
          <w:p w:rsidR="005D2B18" w:rsidRPr="00DE0833" w:rsidRDefault="005D2B18" w:rsidP="00EE0D7D">
            <w:r w:rsidRPr="00BF4D51">
              <w:t>&lt;.001</w:t>
            </w:r>
          </w:p>
        </w:tc>
      </w:tr>
      <w:tr w:rsidR="005D2B18" w:rsidRPr="00DE0833" w:rsidTr="00EE0D7D">
        <w:tc>
          <w:tcPr>
            <w:tcW w:w="2783" w:type="dxa"/>
          </w:tcPr>
          <w:p w:rsidR="005D2B18" w:rsidRPr="00DE0833" w:rsidRDefault="005D2B18" w:rsidP="00EE0D7D">
            <w:r>
              <w:tab/>
            </w:r>
            <w:r w:rsidRPr="00DE0833">
              <w:t>(Fewer) Concerns</w:t>
            </w:r>
          </w:p>
        </w:tc>
        <w:tc>
          <w:tcPr>
            <w:tcW w:w="1494" w:type="dxa"/>
          </w:tcPr>
          <w:p w:rsidR="005D2B18" w:rsidRPr="00DE0833" w:rsidRDefault="005D2B18" w:rsidP="00EE0D7D">
            <w:r w:rsidRPr="00DE0833">
              <w:t>3.73</w:t>
            </w:r>
          </w:p>
        </w:tc>
        <w:tc>
          <w:tcPr>
            <w:tcW w:w="1116" w:type="dxa"/>
          </w:tcPr>
          <w:p w:rsidR="005D2B18" w:rsidRPr="00DE0833" w:rsidRDefault="005D2B18" w:rsidP="00EE0D7D">
            <w:r w:rsidRPr="00DE0833">
              <w:t>.8</w:t>
            </w:r>
            <w:r>
              <w:t>2</w:t>
            </w:r>
          </w:p>
        </w:tc>
        <w:tc>
          <w:tcPr>
            <w:tcW w:w="924" w:type="dxa"/>
          </w:tcPr>
          <w:p w:rsidR="005D2B18" w:rsidRPr="00DE0833" w:rsidRDefault="005D2B18" w:rsidP="00EE0D7D">
            <w:r w:rsidRPr="00DE0833">
              <w:t>88</w:t>
            </w:r>
          </w:p>
        </w:tc>
        <w:tc>
          <w:tcPr>
            <w:tcW w:w="1116" w:type="dxa"/>
          </w:tcPr>
          <w:p w:rsidR="005D2B18" w:rsidRPr="00DE0833" w:rsidRDefault="005D2B18" w:rsidP="00EE0D7D">
            <w:r w:rsidRPr="00DE0833">
              <w:t>3.1</w:t>
            </w:r>
            <w:r>
              <w:t>9</w:t>
            </w:r>
          </w:p>
        </w:tc>
        <w:tc>
          <w:tcPr>
            <w:tcW w:w="996" w:type="dxa"/>
          </w:tcPr>
          <w:p w:rsidR="005D2B18" w:rsidRPr="00DE0833" w:rsidRDefault="005D2B18" w:rsidP="00EE0D7D">
            <w:r w:rsidRPr="00DE0833">
              <w:t>.90</w:t>
            </w:r>
          </w:p>
        </w:tc>
        <w:tc>
          <w:tcPr>
            <w:tcW w:w="1491" w:type="dxa"/>
          </w:tcPr>
          <w:p w:rsidR="005D2B18" w:rsidRPr="00DE0833" w:rsidRDefault="005D2B18" w:rsidP="00EE0D7D">
            <w:r w:rsidRPr="00DE0833">
              <w:t>239</w:t>
            </w:r>
          </w:p>
        </w:tc>
        <w:tc>
          <w:tcPr>
            <w:tcW w:w="1483" w:type="dxa"/>
          </w:tcPr>
          <w:p w:rsidR="005D2B18" w:rsidRPr="00DE0833" w:rsidRDefault="005D2B18" w:rsidP="00EE0D7D">
            <w:r w:rsidRPr="00DE0833">
              <w:t>-4.94</w:t>
            </w:r>
          </w:p>
        </w:tc>
        <w:tc>
          <w:tcPr>
            <w:tcW w:w="925" w:type="dxa"/>
          </w:tcPr>
          <w:p w:rsidR="005D2B18" w:rsidRPr="00DE0833" w:rsidRDefault="005D2B18" w:rsidP="00EE0D7D">
            <w:r w:rsidRPr="00DE0833">
              <w:t>325</w:t>
            </w:r>
          </w:p>
        </w:tc>
        <w:tc>
          <w:tcPr>
            <w:tcW w:w="1192" w:type="dxa"/>
          </w:tcPr>
          <w:p w:rsidR="005D2B18" w:rsidRPr="00DE0833" w:rsidRDefault="005D2B18" w:rsidP="00EE0D7D">
            <w:r w:rsidRPr="00BF4D51">
              <w:t>&lt;.001</w:t>
            </w:r>
          </w:p>
        </w:tc>
      </w:tr>
      <w:tr w:rsidR="005D2B18" w:rsidRPr="00DE0833" w:rsidTr="00EE0D7D">
        <w:tc>
          <w:tcPr>
            <w:tcW w:w="2783" w:type="dxa"/>
          </w:tcPr>
          <w:p w:rsidR="005D2B18" w:rsidRPr="00DE0833" w:rsidRDefault="005D2B18" w:rsidP="00EE0D7D">
            <w:r>
              <w:tab/>
            </w:r>
            <w:r w:rsidRPr="00DE0833">
              <w:t>Individual Fit</w:t>
            </w:r>
          </w:p>
        </w:tc>
        <w:tc>
          <w:tcPr>
            <w:tcW w:w="1494" w:type="dxa"/>
          </w:tcPr>
          <w:p w:rsidR="005D2B18" w:rsidRPr="00DE0833" w:rsidRDefault="005D2B18" w:rsidP="00EE0D7D">
            <w:r w:rsidRPr="00DE0833">
              <w:t>4.07</w:t>
            </w:r>
          </w:p>
        </w:tc>
        <w:tc>
          <w:tcPr>
            <w:tcW w:w="1116" w:type="dxa"/>
          </w:tcPr>
          <w:p w:rsidR="005D2B18" w:rsidRPr="00DE0833" w:rsidRDefault="005D2B18" w:rsidP="00EE0D7D">
            <w:r w:rsidRPr="00DE0833">
              <w:t>.62</w:t>
            </w:r>
          </w:p>
        </w:tc>
        <w:tc>
          <w:tcPr>
            <w:tcW w:w="924" w:type="dxa"/>
          </w:tcPr>
          <w:p w:rsidR="005D2B18" w:rsidRPr="00DE0833" w:rsidRDefault="005D2B18" w:rsidP="00EE0D7D">
            <w:r w:rsidRPr="00DE0833">
              <w:t>88</w:t>
            </w:r>
          </w:p>
        </w:tc>
        <w:tc>
          <w:tcPr>
            <w:tcW w:w="1116" w:type="dxa"/>
          </w:tcPr>
          <w:p w:rsidR="005D2B18" w:rsidRPr="00DE0833" w:rsidRDefault="005D2B18" w:rsidP="00EE0D7D">
            <w:r w:rsidRPr="00DE0833">
              <w:t>3.4</w:t>
            </w:r>
            <w:r>
              <w:t>6</w:t>
            </w:r>
          </w:p>
        </w:tc>
        <w:tc>
          <w:tcPr>
            <w:tcW w:w="996" w:type="dxa"/>
          </w:tcPr>
          <w:p w:rsidR="005D2B18" w:rsidRPr="00DE0833" w:rsidRDefault="005D2B18" w:rsidP="00EE0D7D">
            <w:r w:rsidRPr="00DE0833">
              <w:t>.9</w:t>
            </w:r>
            <w:r>
              <w:t>4</w:t>
            </w:r>
          </w:p>
        </w:tc>
        <w:tc>
          <w:tcPr>
            <w:tcW w:w="1491" w:type="dxa"/>
          </w:tcPr>
          <w:p w:rsidR="005D2B18" w:rsidRPr="00DE0833" w:rsidRDefault="005D2B18" w:rsidP="00EE0D7D">
            <w:r w:rsidRPr="00DE0833">
              <w:t>239</w:t>
            </w:r>
          </w:p>
        </w:tc>
        <w:tc>
          <w:tcPr>
            <w:tcW w:w="1483" w:type="dxa"/>
          </w:tcPr>
          <w:p w:rsidR="005D2B18" w:rsidRPr="00DE0833" w:rsidRDefault="005D2B18" w:rsidP="00EE0D7D">
            <w:r w:rsidRPr="00DE0833">
              <w:t>-6.8</w:t>
            </w:r>
            <w:r>
              <w:t>4</w:t>
            </w:r>
            <w:r w:rsidRPr="00B81528">
              <w:rPr>
                <w:vertAlign w:val="superscript"/>
              </w:rPr>
              <w:t xml:space="preserve"> a</w:t>
            </w:r>
          </w:p>
        </w:tc>
        <w:tc>
          <w:tcPr>
            <w:tcW w:w="925" w:type="dxa"/>
          </w:tcPr>
          <w:p w:rsidR="005D2B18" w:rsidRPr="00DE0833" w:rsidRDefault="005D2B18" w:rsidP="00EE0D7D">
            <w:r w:rsidRPr="00DE0833">
              <w:t>233.1</w:t>
            </w:r>
          </w:p>
        </w:tc>
        <w:tc>
          <w:tcPr>
            <w:tcW w:w="1192" w:type="dxa"/>
          </w:tcPr>
          <w:p w:rsidR="005D2B18" w:rsidRPr="00DE0833" w:rsidRDefault="005D2B18" w:rsidP="00EE0D7D">
            <w:r w:rsidRPr="00BF4D51">
              <w:t>&lt;.001</w:t>
            </w:r>
          </w:p>
        </w:tc>
      </w:tr>
      <w:tr w:rsidR="005D2B18" w:rsidRPr="00DE0833" w:rsidTr="00EE0D7D">
        <w:tc>
          <w:tcPr>
            <w:tcW w:w="2783" w:type="dxa"/>
          </w:tcPr>
          <w:p w:rsidR="005D2B18" w:rsidRPr="00DE0833" w:rsidRDefault="005D2B18" w:rsidP="00EE0D7D">
            <w:pPr>
              <w:rPr>
                <w:b/>
              </w:rPr>
            </w:pPr>
          </w:p>
        </w:tc>
        <w:tc>
          <w:tcPr>
            <w:tcW w:w="1494" w:type="dxa"/>
          </w:tcPr>
          <w:p w:rsidR="005D2B18" w:rsidRPr="00DE0833" w:rsidRDefault="005D2B18" w:rsidP="00EE0D7D">
            <w:pPr>
              <w:rPr>
                <w:b/>
              </w:rPr>
            </w:pPr>
          </w:p>
        </w:tc>
        <w:tc>
          <w:tcPr>
            <w:tcW w:w="1116" w:type="dxa"/>
          </w:tcPr>
          <w:p w:rsidR="005D2B18" w:rsidRPr="00DE0833" w:rsidRDefault="005D2B18" w:rsidP="00EE0D7D">
            <w:pPr>
              <w:rPr>
                <w:b/>
              </w:rPr>
            </w:pPr>
          </w:p>
        </w:tc>
        <w:tc>
          <w:tcPr>
            <w:tcW w:w="924" w:type="dxa"/>
          </w:tcPr>
          <w:p w:rsidR="005D2B18" w:rsidRPr="00DE0833" w:rsidRDefault="005D2B18" w:rsidP="00EE0D7D"/>
        </w:tc>
        <w:tc>
          <w:tcPr>
            <w:tcW w:w="1116" w:type="dxa"/>
          </w:tcPr>
          <w:p w:rsidR="005D2B18" w:rsidRPr="00DE0833" w:rsidRDefault="005D2B18" w:rsidP="00EE0D7D">
            <w:pPr>
              <w:rPr>
                <w:b/>
              </w:rPr>
            </w:pPr>
          </w:p>
        </w:tc>
        <w:tc>
          <w:tcPr>
            <w:tcW w:w="996" w:type="dxa"/>
          </w:tcPr>
          <w:p w:rsidR="005D2B18" w:rsidRPr="00DE0833" w:rsidRDefault="005D2B18" w:rsidP="00EE0D7D">
            <w:pPr>
              <w:rPr>
                <w:b/>
              </w:rPr>
            </w:pPr>
          </w:p>
        </w:tc>
        <w:tc>
          <w:tcPr>
            <w:tcW w:w="1491" w:type="dxa"/>
          </w:tcPr>
          <w:p w:rsidR="005D2B18" w:rsidRPr="00DE0833" w:rsidRDefault="005D2B18" w:rsidP="00EE0D7D"/>
        </w:tc>
        <w:tc>
          <w:tcPr>
            <w:tcW w:w="1483" w:type="dxa"/>
          </w:tcPr>
          <w:p w:rsidR="005D2B18" w:rsidRPr="00DE0833" w:rsidRDefault="005D2B18" w:rsidP="00EE0D7D"/>
        </w:tc>
        <w:tc>
          <w:tcPr>
            <w:tcW w:w="925" w:type="dxa"/>
          </w:tcPr>
          <w:p w:rsidR="005D2B18" w:rsidRPr="00DE0833" w:rsidRDefault="005D2B18" w:rsidP="00EE0D7D"/>
        </w:tc>
        <w:tc>
          <w:tcPr>
            <w:tcW w:w="1192" w:type="dxa"/>
          </w:tcPr>
          <w:p w:rsidR="005D2B18" w:rsidRPr="00DE0833" w:rsidRDefault="005D2B18" w:rsidP="00EE0D7D"/>
        </w:tc>
      </w:tr>
      <w:tr w:rsidR="005D2B18" w:rsidRPr="00DE0833" w:rsidTr="00EE0D7D">
        <w:tc>
          <w:tcPr>
            <w:tcW w:w="2783" w:type="dxa"/>
          </w:tcPr>
          <w:p w:rsidR="005D2B18" w:rsidRPr="00DE0833" w:rsidRDefault="005D2B18" w:rsidP="00EE0D7D">
            <w:pPr>
              <w:rPr>
                <w:b/>
              </w:rPr>
            </w:pPr>
            <w:r w:rsidRPr="00DE0833">
              <w:rPr>
                <w:b/>
              </w:rPr>
              <w:t>Manual Therapy</w:t>
            </w:r>
          </w:p>
        </w:tc>
        <w:tc>
          <w:tcPr>
            <w:tcW w:w="1494" w:type="dxa"/>
          </w:tcPr>
          <w:p w:rsidR="005D2B18" w:rsidRPr="00DE0833" w:rsidRDefault="005D2B18" w:rsidP="00EE0D7D">
            <w:pPr>
              <w:rPr>
                <w:b/>
              </w:rPr>
            </w:pPr>
          </w:p>
        </w:tc>
        <w:tc>
          <w:tcPr>
            <w:tcW w:w="1116" w:type="dxa"/>
          </w:tcPr>
          <w:p w:rsidR="005D2B18" w:rsidRPr="00DE0833" w:rsidRDefault="005D2B18" w:rsidP="00EE0D7D">
            <w:pPr>
              <w:rPr>
                <w:b/>
              </w:rPr>
            </w:pPr>
          </w:p>
        </w:tc>
        <w:tc>
          <w:tcPr>
            <w:tcW w:w="924" w:type="dxa"/>
          </w:tcPr>
          <w:p w:rsidR="005D2B18" w:rsidRPr="00DE0833" w:rsidRDefault="005D2B18" w:rsidP="00EE0D7D"/>
        </w:tc>
        <w:tc>
          <w:tcPr>
            <w:tcW w:w="1116" w:type="dxa"/>
          </w:tcPr>
          <w:p w:rsidR="005D2B18" w:rsidRPr="00DE0833" w:rsidRDefault="005D2B18" w:rsidP="00EE0D7D">
            <w:pPr>
              <w:rPr>
                <w:b/>
              </w:rPr>
            </w:pPr>
          </w:p>
        </w:tc>
        <w:tc>
          <w:tcPr>
            <w:tcW w:w="996" w:type="dxa"/>
          </w:tcPr>
          <w:p w:rsidR="005D2B18" w:rsidRPr="00DE0833" w:rsidRDefault="005D2B18" w:rsidP="00EE0D7D">
            <w:pPr>
              <w:rPr>
                <w:b/>
              </w:rPr>
            </w:pPr>
          </w:p>
        </w:tc>
        <w:tc>
          <w:tcPr>
            <w:tcW w:w="1491" w:type="dxa"/>
          </w:tcPr>
          <w:p w:rsidR="005D2B18" w:rsidRPr="00DE0833" w:rsidRDefault="005D2B18" w:rsidP="00EE0D7D"/>
        </w:tc>
        <w:tc>
          <w:tcPr>
            <w:tcW w:w="1483" w:type="dxa"/>
          </w:tcPr>
          <w:p w:rsidR="005D2B18" w:rsidRPr="00DE0833" w:rsidRDefault="005D2B18" w:rsidP="00EE0D7D"/>
        </w:tc>
        <w:tc>
          <w:tcPr>
            <w:tcW w:w="925" w:type="dxa"/>
          </w:tcPr>
          <w:p w:rsidR="005D2B18" w:rsidRPr="00DE0833" w:rsidRDefault="005D2B18" w:rsidP="00EE0D7D"/>
        </w:tc>
        <w:tc>
          <w:tcPr>
            <w:tcW w:w="1192" w:type="dxa"/>
          </w:tcPr>
          <w:p w:rsidR="005D2B18" w:rsidRPr="00DE0833" w:rsidRDefault="005D2B18" w:rsidP="00EE0D7D"/>
        </w:tc>
      </w:tr>
      <w:tr w:rsidR="005D2B18" w:rsidRPr="00DE0833" w:rsidTr="00EE0D7D">
        <w:tc>
          <w:tcPr>
            <w:tcW w:w="2783" w:type="dxa"/>
          </w:tcPr>
          <w:p w:rsidR="005D2B18" w:rsidRPr="00DE0833" w:rsidRDefault="005D2B18" w:rsidP="00EE0D7D">
            <w:r>
              <w:tab/>
            </w:r>
            <w:r w:rsidRPr="00DE0833">
              <w:t>Credibility</w:t>
            </w:r>
          </w:p>
        </w:tc>
        <w:tc>
          <w:tcPr>
            <w:tcW w:w="1494" w:type="dxa"/>
          </w:tcPr>
          <w:p w:rsidR="005D2B18" w:rsidRPr="00DE0833" w:rsidRDefault="005D2B18" w:rsidP="00EE0D7D">
            <w:r w:rsidRPr="00DE0833">
              <w:t>4.14</w:t>
            </w:r>
          </w:p>
        </w:tc>
        <w:tc>
          <w:tcPr>
            <w:tcW w:w="1116" w:type="dxa"/>
          </w:tcPr>
          <w:p w:rsidR="005D2B18" w:rsidRPr="00DE0833" w:rsidRDefault="005D2B18" w:rsidP="00EE0D7D">
            <w:r w:rsidRPr="00DE0833">
              <w:t>.72</w:t>
            </w:r>
          </w:p>
        </w:tc>
        <w:tc>
          <w:tcPr>
            <w:tcW w:w="924" w:type="dxa"/>
          </w:tcPr>
          <w:p w:rsidR="005D2B18" w:rsidRPr="00DE0833" w:rsidRDefault="005D2B18" w:rsidP="00EE0D7D">
            <w:r w:rsidRPr="00DE0833">
              <w:t>89</w:t>
            </w:r>
          </w:p>
        </w:tc>
        <w:tc>
          <w:tcPr>
            <w:tcW w:w="1116" w:type="dxa"/>
          </w:tcPr>
          <w:p w:rsidR="005D2B18" w:rsidRPr="00DE0833" w:rsidRDefault="005D2B18" w:rsidP="00EE0D7D">
            <w:r w:rsidRPr="00DE0833">
              <w:t>3.4</w:t>
            </w:r>
            <w:r>
              <w:t>4</w:t>
            </w:r>
          </w:p>
        </w:tc>
        <w:tc>
          <w:tcPr>
            <w:tcW w:w="996" w:type="dxa"/>
          </w:tcPr>
          <w:p w:rsidR="005D2B18" w:rsidRPr="00DE0833" w:rsidRDefault="005D2B18" w:rsidP="00EE0D7D">
            <w:r w:rsidRPr="00DE0833">
              <w:t>.7</w:t>
            </w:r>
            <w:r>
              <w:t>8</w:t>
            </w:r>
          </w:p>
        </w:tc>
        <w:tc>
          <w:tcPr>
            <w:tcW w:w="1491" w:type="dxa"/>
          </w:tcPr>
          <w:p w:rsidR="005D2B18" w:rsidRPr="00DE0833" w:rsidRDefault="005D2B18" w:rsidP="00EE0D7D">
            <w:r w:rsidRPr="00DE0833">
              <w:t>240</w:t>
            </w:r>
          </w:p>
        </w:tc>
        <w:tc>
          <w:tcPr>
            <w:tcW w:w="1483" w:type="dxa"/>
          </w:tcPr>
          <w:p w:rsidR="005D2B18" w:rsidRPr="00DE0833" w:rsidRDefault="005D2B18" w:rsidP="00EE0D7D">
            <w:r w:rsidRPr="00DE0833">
              <w:t>-7.34</w:t>
            </w:r>
          </w:p>
        </w:tc>
        <w:tc>
          <w:tcPr>
            <w:tcW w:w="925" w:type="dxa"/>
          </w:tcPr>
          <w:p w:rsidR="005D2B18" w:rsidRPr="00DE0833" w:rsidRDefault="005D2B18" w:rsidP="00EE0D7D">
            <w:r w:rsidRPr="00DE0833">
              <w:t>327</w:t>
            </w:r>
          </w:p>
        </w:tc>
        <w:tc>
          <w:tcPr>
            <w:tcW w:w="1192" w:type="dxa"/>
          </w:tcPr>
          <w:p w:rsidR="005D2B18" w:rsidRPr="00DE0833" w:rsidRDefault="005D2B18" w:rsidP="00EE0D7D">
            <w:r w:rsidRPr="00D721C6">
              <w:t>&lt;.001</w:t>
            </w:r>
          </w:p>
        </w:tc>
      </w:tr>
      <w:tr w:rsidR="005D2B18" w:rsidRPr="00DE0833" w:rsidTr="00EE0D7D">
        <w:tc>
          <w:tcPr>
            <w:tcW w:w="2783" w:type="dxa"/>
          </w:tcPr>
          <w:p w:rsidR="005D2B18" w:rsidRPr="00DE0833" w:rsidRDefault="005D2B18" w:rsidP="00EE0D7D">
            <w:r>
              <w:tab/>
            </w:r>
            <w:r w:rsidRPr="00DE0833">
              <w:t>Effectiveness</w:t>
            </w:r>
          </w:p>
        </w:tc>
        <w:tc>
          <w:tcPr>
            <w:tcW w:w="1494" w:type="dxa"/>
          </w:tcPr>
          <w:p w:rsidR="005D2B18" w:rsidRPr="00DE0833" w:rsidRDefault="005D2B18" w:rsidP="00EE0D7D">
            <w:r w:rsidRPr="00DE0833">
              <w:t>4.24</w:t>
            </w:r>
          </w:p>
        </w:tc>
        <w:tc>
          <w:tcPr>
            <w:tcW w:w="1116" w:type="dxa"/>
          </w:tcPr>
          <w:p w:rsidR="005D2B18" w:rsidRPr="00DE0833" w:rsidRDefault="005D2B18" w:rsidP="00EE0D7D">
            <w:r w:rsidRPr="00DE0833">
              <w:t>.63</w:t>
            </w:r>
          </w:p>
        </w:tc>
        <w:tc>
          <w:tcPr>
            <w:tcW w:w="924" w:type="dxa"/>
          </w:tcPr>
          <w:p w:rsidR="005D2B18" w:rsidRPr="00DE0833" w:rsidRDefault="005D2B18" w:rsidP="00EE0D7D">
            <w:r w:rsidRPr="00DE0833">
              <w:t>89</w:t>
            </w:r>
          </w:p>
        </w:tc>
        <w:tc>
          <w:tcPr>
            <w:tcW w:w="1116" w:type="dxa"/>
          </w:tcPr>
          <w:p w:rsidR="005D2B18" w:rsidRPr="00DE0833" w:rsidRDefault="005D2B18" w:rsidP="00EE0D7D">
            <w:r w:rsidRPr="00DE0833">
              <w:t>3.68</w:t>
            </w:r>
          </w:p>
        </w:tc>
        <w:tc>
          <w:tcPr>
            <w:tcW w:w="996" w:type="dxa"/>
          </w:tcPr>
          <w:p w:rsidR="005D2B18" w:rsidRPr="00DE0833" w:rsidRDefault="005D2B18" w:rsidP="00EE0D7D">
            <w:r w:rsidRPr="00DE0833">
              <w:t>.72</w:t>
            </w:r>
          </w:p>
        </w:tc>
        <w:tc>
          <w:tcPr>
            <w:tcW w:w="1491" w:type="dxa"/>
          </w:tcPr>
          <w:p w:rsidR="005D2B18" w:rsidRPr="00DE0833" w:rsidRDefault="005D2B18" w:rsidP="00EE0D7D">
            <w:r w:rsidRPr="00DE0833">
              <w:t>240</w:t>
            </w:r>
          </w:p>
        </w:tc>
        <w:tc>
          <w:tcPr>
            <w:tcW w:w="1483" w:type="dxa"/>
          </w:tcPr>
          <w:p w:rsidR="005D2B18" w:rsidRPr="00DE0833" w:rsidRDefault="005D2B18" w:rsidP="00EE0D7D">
            <w:r w:rsidRPr="00DE0833">
              <w:t>-6.</w:t>
            </w:r>
            <w:r>
              <w:t>50</w:t>
            </w:r>
          </w:p>
        </w:tc>
        <w:tc>
          <w:tcPr>
            <w:tcW w:w="925" w:type="dxa"/>
          </w:tcPr>
          <w:p w:rsidR="005D2B18" w:rsidRPr="00DE0833" w:rsidRDefault="005D2B18" w:rsidP="00EE0D7D">
            <w:r w:rsidRPr="00DE0833">
              <w:t>327</w:t>
            </w:r>
          </w:p>
        </w:tc>
        <w:tc>
          <w:tcPr>
            <w:tcW w:w="1192" w:type="dxa"/>
          </w:tcPr>
          <w:p w:rsidR="005D2B18" w:rsidRPr="00DE0833" w:rsidRDefault="005D2B18" w:rsidP="00EE0D7D">
            <w:r w:rsidRPr="00D721C6">
              <w:t>&lt;.001</w:t>
            </w:r>
          </w:p>
        </w:tc>
      </w:tr>
      <w:tr w:rsidR="005D2B18" w:rsidRPr="00DE0833" w:rsidTr="00EE0D7D">
        <w:tc>
          <w:tcPr>
            <w:tcW w:w="2783" w:type="dxa"/>
          </w:tcPr>
          <w:p w:rsidR="005D2B18" w:rsidRPr="00DE0833" w:rsidRDefault="005D2B18" w:rsidP="00EE0D7D">
            <w:r>
              <w:tab/>
            </w:r>
            <w:r w:rsidRPr="00DE0833">
              <w:t>(Fewer) Concerns</w:t>
            </w:r>
          </w:p>
        </w:tc>
        <w:tc>
          <w:tcPr>
            <w:tcW w:w="1494" w:type="dxa"/>
          </w:tcPr>
          <w:p w:rsidR="005D2B18" w:rsidRPr="00DE0833" w:rsidRDefault="005D2B18" w:rsidP="00EE0D7D">
            <w:r w:rsidRPr="00DE0833">
              <w:t>3.98</w:t>
            </w:r>
          </w:p>
        </w:tc>
        <w:tc>
          <w:tcPr>
            <w:tcW w:w="1116" w:type="dxa"/>
          </w:tcPr>
          <w:p w:rsidR="005D2B18" w:rsidRPr="00DE0833" w:rsidRDefault="005D2B18" w:rsidP="00EE0D7D">
            <w:r w:rsidRPr="00DE0833">
              <w:t>.79</w:t>
            </w:r>
          </w:p>
        </w:tc>
        <w:tc>
          <w:tcPr>
            <w:tcW w:w="924" w:type="dxa"/>
          </w:tcPr>
          <w:p w:rsidR="005D2B18" w:rsidRPr="00DE0833" w:rsidRDefault="005D2B18" w:rsidP="00EE0D7D">
            <w:r w:rsidRPr="00DE0833">
              <w:t>89</w:t>
            </w:r>
          </w:p>
        </w:tc>
        <w:tc>
          <w:tcPr>
            <w:tcW w:w="1116" w:type="dxa"/>
          </w:tcPr>
          <w:p w:rsidR="005D2B18" w:rsidRPr="00DE0833" w:rsidRDefault="005D2B18" w:rsidP="00EE0D7D">
            <w:r w:rsidRPr="00DE0833">
              <w:t>3.0</w:t>
            </w:r>
            <w:r>
              <w:t>9</w:t>
            </w:r>
          </w:p>
        </w:tc>
        <w:tc>
          <w:tcPr>
            <w:tcW w:w="996" w:type="dxa"/>
          </w:tcPr>
          <w:p w:rsidR="005D2B18" w:rsidRPr="00DE0833" w:rsidRDefault="005D2B18" w:rsidP="00EE0D7D">
            <w:r w:rsidRPr="00DE0833">
              <w:t>.8</w:t>
            </w:r>
            <w:r>
              <w:t>9</w:t>
            </w:r>
          </w:p>
        </w:tc>
        <w:tc>
          <w:tcPr>
            <w:tcW w:w="1491" w:type="dxa"/>
          </w:tcPr>
          <w:p w:rsidR="005D2B18" w:rsidRPr="00DE0833" w:rsidRDefault="005D2B18" w:rsidP="00EE0D7D">
            <w:r w:rsidRPr="00DE0833">
              <w:t>240</w:t>
            </w:r>
          </w:p>
        </w:tc>
        <w:tc>
          <w:tcPr>
            <w:tcW w:w="1483" w:type="dxa"/>
          </w:tcPr>
          <w:p w:rsidR="005D2B18" w:rsidRPr="00DE0833" w:rsidRDefault="005D2B18" w:rsidP="00EE0D7D">
            <w:r w:rsidRPr="00DE0833">
              <w:t>-8.3</w:t>
            </w:r>
            <w:r>
              <w:t>4</w:t>
            </w:r>
          </w:p>
        </w:tc>
        <w:tc>
          <w:tcPr>
            <w:tcW w:w="925" w:type="dxa"/>
          </w:tcPr>
          <w:p w:rsidR="005D2B18" w:rsidRPr="00DE0833" w:rsidRDefault="005D2B18" w:rsidP="00EE0D7D">
            <w:r w:rsidRPr="00DE0833">
              <w:t>327</w:t>
            </w:r>
          </w:p>
        </w:tc>
        <w:tc>
          <w:tcPr>
            <w:tcW w:w="1192" w:type="dxa"/>
          </w:tcPr>
          <w:p w:rsidR="005D2B18" w:rsidRPr="00DE0833" w:rsidRDefault="005D2B18" w:rsidP="00EE0D7D">
            <w:r w:rsidRPr="00D721C6">
              <w:t>&lt;.001</w:t>
            </w:r>
          </w:p>
        </w:tc>
      </w:tr>
      <w:tr w:rsidR="005D2B18" w:rsidRPr="00DE0833" w:rsidTr="00EE0D7D">
        <w:tc>
          <w:tcPr>
            <w:tcW w:w="2783" w:type="dxa"/>
          </w:tcPr>
          <w:p w:rsidR="005D2B18" w:rsidRPr="00DE0833" w:rsidRDefault="005D2B18" w:rsidP="00EE0D7D">
            <w:r>
              <w:tab/>
            </w:r>
            <w:r w:rsidRPr="00DE0833">
              <w:t>Individual Fit</w:t>
            </w:r>
          </w:p>
        </w:tc>
        <w:tc>
          <w:tcPr>
            <w:tcW w:w="1494" w:type="dxa"/>
          </w:tcPr>
          <w:p w:rsidR="005D2B18" w:rsidRPr="00DE0833" w:rsidRDefault="005D2B18" w:rsidP="00EE0D7D">
            <w:r w:rsidRPr="00DE0833">
              <w:t>4.1</w:t>
            </w:r>
            <w:r>
              <w:t>4</w:t>
            </w:r>
          </w:p>
        </w:tc>
        <w:tc>
          <w:tcPr>
            <w:tcW w:w="1116" w:type="dxa"/>
          </w:tcPr>
          <w:p w:rsidR="005D2B18" w:rsidRPr="00DE0833" w:rsidRDefault="005D2B18" w:rsidP="00EE0D7D">
            <w:r w:rsidRPr="00DE0833">
              <w:t>.7</w:t>
            </w:r>
            <w:r>
              <w:t>3</w:t>
            </w:r>
          </w:p>
        </w:tc>
        <w:tc>
          <w:tcPr>
            <w:tcW w:w="924" w:type="dxa"/>
          </w:tcPr>
          <w:p w:rsidR="005D2B18" w:rsidRPr="00DE0833" w:rsidRDefault="005D2B18" w:rsidP="00EE0D7D">
            <w:r w:rsidRPr="00DE0833">
              <w:t>89</w:t>
            </w:r>
          </w:p>
        </w:tc>
        <w:tc>
          <w:tcPr>
            <w:tcW w:w="1116" w:type="dxa"/>
          </w:tcPr>
          <w:p w:rsidR="005D2B18" w:rsidRPr="00DE0833" w:rsidRDefault="005D2B18" w:rsidP="00EE0D7D">
            <w:r w:rsidRPr="00DE0833">
              <w:t>3.1</w:t>
            </w:r>
            <w:r>
              <w:t>7</w:t>
            </w:r>
          </w:p>
        </w:tc>
        <w:tc>
          <w:tcPr>
            <w:tcW w:w="996" w:type="dxa"/>
          </w:tcPr>
          <w:p w:rsidR="005D2B18" w:rsidRPr="00DE0833" w:rsidRDefault="005D2B18" w:rsidP="00EE0D7D">
            <w:r w:rsidRPr="00DE0833">
              <w:t>.9</w:t>
            </w:r>
            <w:r>
              <w:t>4</w:t>
            </w:r>
          </w:p>
        </w:tc>
        <w:tc>
          <w:tcPr>
            <w:tcW w:w="1491" w:type="dxa"/>
          </w:tcPr>
          <w:p w:rsidR="005D2B18" w:rsidRPr="00DE0833" w:rsidRDefault="005D2B18" w:rsidP="00EE0D7D">
            <w:r w:rsidRPr="00DE0833">
              <w:t>240</w:t>
            </w:r>
          </w:p>
        </w:tc>
        <w:tc>
          <w:tcPr>
            <w:tcW w:w="1483" w:type="dxa"/>
          </w:tcPr>
          <w:p w:rsidR="005D2B18" w:rsidRPr="00DE0833" w:rsidRDefault="005D2B18" w:rsidP="00EE0D7D">
            <w:r w:rsidRPr="00DE0833">
              <w:t>-9.8</w:t>
            </w:r>
            <w:r>
              <w:t>0</w:t>
            </w:r>
            <w:r w:rsidRPr="00B81528">
              <w:rPr>
                <w:vertAlign w:val="superscript"/>
              </w:rPr>
              <w:t xml:space="preserve"> a</w:t>
            </w:r>
          </w:p>
        </w:tc>
        <w:tc>
          <w:tcPr>
            <w:tcW w:w="925" w:type="dxa"/>
          </w:tcPr>
          <w:p w:rsidR="005D2B18" w:rsidRPr="00DE0833" w:rsidRDefault="005D2B18" w:rsidP="00EE0D7D">
            <w:r w:rsidRPr="00DE0833">
              <w:t>202.0</w:t>
            </w:r>
          </w:p>
        </w:tc>
        <w:tc>
          <w:tcPr>
            <w:tcW w:w="1192" w:type="dxa"/>
          </w:tcPr>
          <w:p w:rsidR="005D2B18" w:rsidRPr="00DE0833" w:rsidRDefault="005D2B18" w:rsidP="00EE0D7D">
            <w:r w:rsidRPr="00D721C6">
              <w:t>&lt;.001</w:t>
            </w:r>
          </w:p>
        </w:tc>
      </w:tr>
      <w:tr w:rsidR="005D2B18" w:rsidRPr="00DE0833" w:rsidTr="00EE0D7D">
        <w:tc>
          <w:tcPr>
            <w:tcW w:w="2783" w:type="dxa"/>
          </w:tcPr>
          <w:p w:rsidR="005D2B18" w:rsidRPr="00DE0833" w:rsidRDefault="005D2B18" w:rsidP="00EE0D7D">
            <w:pPr>
              <w:rPr>
                <w:b/>
              </w:rPr>
            </w:pPr>
          </w:p>
        </w:tc>
        <w:tc>
          <w:tcPr>
            <w:tcW w:w="1494" w:type="dxa"/>
          </w:tcPr>
          <w:p w:rsidR="005D2B18" w:rsidRPr="00DE0833" w:rsidRDefault="005D2B18" w:rsidP="00EE0D7D">
            <w:pPr>
              <w:rPr>
                <w:b/>
              </w:rPr>
            </w:pPr>
          </w:p>
        </w:tc>
        <w:tc>
          <w:tcPr>
            <w:tcW w:w="1116" w:type="dxa"/>
          </w:tcPr>
          <w:p w:rsidR="005D2B18" w:rsidRPr="00DE0833" w:rsidRDefault="005D2B18" w:rsidP="00EE0D7D">
            <w:pPr>
              <w:rPr>
                <w:b/>
              </w:rPr>
            </w:pPr>
          </w:p>
        </w:tc>
        <w:tc>
          <w:tcPr>
            <w:tcW w:w="924" w:type="dxa"/>
          </w:tcPr>
          <w:p w:rsidR="005D2B18" w:rsidRPr="00DE0833" w:rsidRDefault="005D2B18" w:rsidP="00EE0D7D"/>
        </w:tc>
        <w:tc>
          <w:tcPr>
            <w:tcW w:w="1116" w:type="dxa"/>
          </w:tcPr>
          <w:p w:rsidR="005D2B18" w:rsidRPr="00DE0833" w:rsidRDefault="005D2B18" w:rsidP="00EE0D7D">
            <w:pPr>
              <w:rPr>
                <w:b/>
              </w:rPr>
            </w:pPr>
          </w:p>
        </w:tc>
        <w:tc>
          <w:tcPr>
            <w:tcW w:w="996" w:type="dxa"/>
          </w:tcPr>
          <w:p w:rsidR="005D2B18" w:rsidRPr="00DE0833" w:rsidRDefault="005D2B18" w:rsidP="00EE0D7D">
            <w:pPr>
              <w:rPr>
                <w:b/>
              </w:rPr>
            </w:pPr>
          </w:p>
        </w:tc>
        <w:tc>
          <w:tcPr>
            <w:tcW w:w="1491" w:type="dxa"/>
          </w:tcPr>
          <w:p w:rsidR="005D2B18" w:rsidRPr="00DE0833" w:rsidRDefault="005D2B18" w:rsidP="00EE0D7D"/>
        </w:tc>
        <w:tc>
          <w:tcPr>
            <w:tcW w:w="1483" w:type="dxa"/>
          </w:tcPr>
          <w:p w:rsidR="005D2B18" w:rsidRPr="00DE0833" w:rsidRDefault="005D2B18" w:rsidP="00EE0D7D"/>
        </w:tc>
        <w:tc>
          <w:tcPr>
            <w:tcW w:w="925" w:type="dxa"/>
          </w:tcPr>
          <w:p w:rsidR="005D2B18" w:rsidRPr="00DE0833" w:rsidRDefault="005D2B18" w:rsidP="00EE0D7D"/>
        </w:tc>
        <w:tc>
          <w:tcPr>
            <w:tcW w:w="1192" w:type="dxa"/>
          </w:tcPr>
          <w:p w:rsidR="005D2B18" w:rsidRPr="00DE0833" w:rsidRDefault="005D2B18" w:rsidP="00EE0D7D"/>
        </w:tc>
      </w:tr>
      <w:tr w:rsidR="005D2B18" w:rsidRPr="00DE0833" w:rsidTr="00EE0D7D">
        <w:tc>
          <w:tcPr>
            <w:tcW w:w="2783" w:type="dxa"/>
          </w:tcPr>
          <w:p w:rsidR="005D2B18" w:rsidRPr="00DE0833" w:rsidRDefault="005D2B18" w:rsidP="00EE0D7D">
            <w:pPr>
              <w:rPr>
                <w:b/>
              </w:rPr>
            </w:pPr>
            <w:r w:rsidRPr="00DE0833">
              <w:rPr>
                <w:b/>
              </w:rPr>
              <w:t>Acupuncture</w:t>
            </w:r>
          </w:p>
        </w:tc>
        <w:tc>
          <w:tcPr>
            <w:tcW w:w="1494" w:type="dxa"/>
          </w:tcPr>
          <w:p w:rsidR="005D2B18" w:rsidRPr="00DE0833" w:rsidRDefault="005D2B18" w:rsidP="00EE0D7D">
            <w:pPr>
              <w:rPr>
                <w:b/>
              </w:rPr>
            </w:pPr>
          </w:p>
        </w:tc>
        <w:tc>
          <w:tcPr>
            <w:tcW w:w="1116" w:type="dxa"/>
          </w:tcPr>
          <w:p w:rsidR="005D2B18" w:rsidRPr="00DE0833" w:rsidRDefault="005D2B18" w:rsidP="00EE0D7D">
            <w:pPr>
              <w:rPr>
                <w:b/>
              </w:rPr>
            </w:pPr>
          </w:p>
        </w:tc>
        <w:tc>
          <w:tcPr>
            <w:tcW w:w="924" w:type="dxa"/>
          </w:tcPr>
          <w:p w:rsidR="005D2B18" w:rsidRPr="00DE0833" w:rsidRDefault="005D2B18" w:rsidP="00EE0D7D"/>
        </w:tc>
        <w:tc>
          <w:tcPr>
            <w:tcW w:w="1116" w:type="dxa"/>
          </w:tcPr>
          <w:p w:rsidR="005D2B18" w:rsidRPr="00DE0833" w:rsidRDefault="005D2B18" w:rsidP="00EE0D7D">
            <w:pPr>
              <w:rPr>
                <w:b/>
              </w:rPr>
            </w:pPr>
          </w:p>
        </w:tc>
        <w:tc>
          <w:tcPr>
            <w:tcW w:w="996" w:type="dxa"/>
          </w:tcPr>
          <w:p w:rsidR="005D2B18" w:rsidRPr="00DE0833" w:rsidRDefault="005D2B18" w:rsidP="00EE0D7D">
            <w:pPr>
              <w:rPr>
                <w:b/>
              </w:rPr>
            </w:pPr>
          </w:p>
        </w:tc>
        <w:tc>
          <w:tcPr>
            <w:tcW w:w="1491" w:type="dxa"/>
          </w:tcPr>
          <w:p w:rsidR="005D2B18" w:rsidRPr="00DE0833" w:rsidRDefault="005D2B18" w:rsidP="00EE0D7D"/>
        </w:tc>
        <w:tc>
          <w:tcPr>
            <w:tcW w:w="1483" w:type="dxa"/>
          </w:tcPr>
          <w:p w:rsidR="005D2B18" w:rsidRPr="00DE0833" w:rsidRDefault="005D2B18" w:rsidP="00EE0D7D"/>
        </w:tc>
        <w:tc>
          <w:tcPr>
            <w:tcW w:w="925" w:type="dxa"/>
          </w:tcPr>
          <w:p w:rsidR="005D2B18" w:rsidRPr="00DE0833" w:rsidRDefault="005D2B18" w:rsidP="00EE0D7D"/>
        </w:tc>
        <w:tc>
          <w:tcPr>
            <w:tcW w:w="1192" w:type="dxa"/>
          </w:tcPr>
          <w:p w:rsidR="005D2B18" w:rsidRPr="00DE0833" w:rsidRDefault="005D2B18" w:rsidP="00EE0D7D"/>
        </w:tc>
      </w:tr>
      <w:tr w:rsidR="005D2B18" w:rsidRPr="00DE0833" w:rsidTr="00EE0D7D">
        <w:tc>
          <w:tcPr>
            <w:tcW w:w="2783" w:type="dxa"/>
          </w:tcPr>
          <w:p w:rsidR="005D2B18" w:rsidRPr="00DE0833" w:rsidRDefault="005D2B18" w:rsidP="00EE0D7D">
            <w:r>
              <w:tab/>
            </w:r>
            <w:r w:rsidRPr="00DE0833">
              <w:t>Credibility</w:t>
            </w:r>
          </w:p>
        </w:tc>
        <w:tc>
          <w:tcPr>
            <w:tcW w:w="1494" w:type="dxa"/>
          </w:tcPr>
          <w:p w:rsidR="005D2B18" w:rsidRPr="00DE0833" w:rsidRDefault="005D2B18" w:rsidP="00EE0D7D">
            <w:r w:rsidRPr="00DE0833">
              <w:t>3.99</w:t>
            </w:r>
          </w:p>
        </w:tc>
        <w:tc>
          <w:tcPr>
            <w:tcW w:w="1116" w:type="dxa"/>
          </w:tcPr>
          <w:p w:rsidR="005D2B18" w:rsidRPr="00DE0833" w:rsidRDefault="005D2B18" w:rsidP="00EE0D7D">
            <w:r w:rsidRPr="00DE0833">
              <w:t>.7</w:t>
            </w:r>
            <w:r>
              <w:t>1</w:t>
            </w:r>
          </w:p>
        </w:tc>
        <w:tc>
          <w:tcPr>
            <w:tcW w:w="924" w:type="dxa"/>
          </w:tcPr>
          <w:p w:rsidR="005D2B18" w:rsidRPr="00DE0833" w:rsidRDefault="005D2B18" w:rsidP="00EE0D7D">
            <w:r w:rsidRPr="00DE0833">
              <w:t>24</w:t>
            </w:r>
          </w:p>
        </w:tc>
        <w:tc>
          <w:tcPr>
            <w:tcW w:w="1116" w:type="dxa"/>
          </w:tcPr>
          <w:p w:rsidR="005D2B18" w:rsidRPr="00DE0833" w:rsidRDefault="005D2B18" w:rsidP="00EE0D7D">
            <w:r w:rsidRPr="00DE0833">
              <w:t>3.1</w:t>
            </w:r>
            <w:r>
              <w:t>2</w:t>
            </w:r>
          </w:p>
        </w:tc>
        <w:tc>
          <w:tcPr>
            <w:tcW w:w="996" w:type="dxa"/>
          </w:tcPr>
          <w:p w:rsidR="005D2B18" w:rsidRPr="00DE0833" w:rsidRDefault="005D2B18" w:rsidP="00EE0D7D">
            <w:r w:rsidRPr="00DE0833">
              <w:t>.8</w:t>
            </w:r>
            <w:r>
              <w:t>1</w:t>
            </w:r>
          </w:p>
        </w:tc>
        <w:tc>
          <w:tcPr>
            <w:tcW w:w="1491" w:type="dxa"/>
          </w:tcPr>
          <w:p w:rsidR="005D2B18" w:rsidRPr="00DE0833" w:rsidRDefault="005D2B18" w:rsidP="00EE0D7D">
            <w:r w:rsidRPr="00DE0833">
              <w:t>299</w:t>
            </w:r>
          </w:p>
        </w:tc>
        <w:tc>
          <w:tcPr>
            <w:tcW w:w="1483" w:type="dxa"/>
          </w:tcPr>
          <w:p w:rsidR="005D2B18" w:rsidRPr="00DE0833" w:rsidRDefault="005D2B18" w:rsidP="00EE0D7D">
            <w:r w:rsidRPr="00DE0833">
              <w:t>-5.15</w:t>
            </w:r>
          </w:p>
        </w:tc>
        <w:tc>
          <w:tcPr>
            <w:tcW w:w="925" w:type="dxa"/>
          </w:tcPr>
          <w:p w:rsidR="005D2B18" w:rsidRPr="00DE0833" w:rsidRDefault="005D2B18" w:rsidP="00EE0D7D">
            <w:r w:rsidRPr="00DE0833">
              <w:t>321</w:t>
            </w:r>
          </w:p>
        </w:tc>
        <w:tc>
          <w:tcPr>
            <w:tcW w:w="1192" w:type="dxa"/>
          </w:tcPr>
          <w:p w:rsidR="005D2B18" w:rsidRPr="00DE0833" w:rsidRDefault="005D2B18" w:rsidP="00EE0D7D">
            <w:r w:rsidRPr="00EA31D6">
              <w:t>&lt;.001</w:t>
            </w:r>
          </w:p>
        </w:tc>
      </w:tr>
      <w:tr w:rsidR="005D2B18" w:rsidRPr="00DE0833" w:rsidTr="00EE0D7D">
        <w:tc>
          <w:tcPr>
            <w:tcW w:w="2783" w:type="dxa"/>
          </w:tcPr>
          <w:p w:rsidR="005D2B18" w:rsidRPr="00DE0833" w:rsidRDefault="005D2B18" w:rsidP="00EE0D7D">
            <w:r>
              <w:tab/>
            </w:r>
            <w:r w:rsidRPr="00DE0833">
              <w:t>Effectiveness</w:t>
            </w:r>
          </w:p>
        </w:tc>
        <w:tc>
          <w:tcPr>
            <w:tcW w:w="1494" w:type="dxa"/>
          </w:tcPr>
          <w:p w:rsidR="005D2B18" w:rsidRPr="00DE0833" w:rsidRDefault="005D2B18" w:rsidP="00EE0D7D">
            <w:r w:rsidRPr="00DE0833">
              <w:t>3.9</w:t>
            </w:r>
            <w:r>
              <w:t>4</w:t>
            </w:r>
          </w:p>
        </w:tc>
        <w:tc>
          <w:tcPr>
            <w:tcW w:w="1116" w:type="dxa"/>
          </w:tcPr>
          <w:p w:rsidR="005D2B18" w:rsidRPr="00DE0833" w:rsidRDefault="005D2B18" w:rsidP="00EE0D7D">
            <w:r w:rsidRPr="00DE0833">
              <w:t>.</w:t>
            </w:r>
            <w:r>
              <w:t>80</w:t>
            </w:r>
          </w:p>
        </w:tc>
        <w:tc>
          <w:tcPr>
            <w:tcW w:w="924" w:type="dxa"/>
          </w:tcPr>
          <w:p w:rsidR="005D2B18" w:rsidRPr="00DE0833" w:rsidRDefault="005D2B18" w:rsidP="00EE0D7D">
            <w:r w:rsidRPr="00DE0833">
              <w:t>24</w:t>
            </w:r>
          </w:p>
        </w:tc>
        <w:tc>
          <w:tcPr>
            <w:tcW w:w="1116" w:type="dxa"/>
          </w:tcPr>
          <w:p w:rsidR="005D2B18" w:rsidRPr="00DE0833" w:rsidRDefault="005D2B18" w:rsidP="00EE0D7D">
            <w:r w:rsidRPr="00DE0833">
              <w:t>3.4</w:t>
            </w:r>
            <w:r>
              <w:t>1</w:t>
            </w:r>
          </w:p>
        </w:tc>
        <w:tc>
          <w:tcPr>
            <w:tcW w:w="996" w:type="dxa"/>
          </w:tcPr>
          <w:p w:rsidR="005D2B18" w:rsidRPr="00DE0833" w:rsidRDefault="005D2B18" w:rsidP="00EE0D7D">
            <w:r w:rsidRPr="00DE0833">
              <w:t>.65</w:t>
            </w:r>
          </w:p>
        </w:tc>
        <w:tc>
          <w:tcPr>
            <w:tcW w:w="1491" w:type="dxa"/>
          </w:tcPr>
          <w:p w:rsidR="005D2B18" w:rsidRPr="00DE0833" w:rsidRDefault="005D2B18" w:rsidP="00EE0D7D">
            <w:r w:rsidRPr="00DE0833">
              <w:t>299</w:t>
            </w:r>
          </w:p>
        </w:tc>
        <w:tc>
          <w:tcPr>
            <w:tcW w:w="1483" w:type="dxa"/>
          </w:tcPr>
          <w:p w:rsidR="005D2B18" w:rsidRPr="00DE0833" w:rsidRDefault="005D2B18" w:rsidP="00EE0D7D">
            <w:r w:rsidRPr="00DE0833">
              <w:t>-3.7</w:t>
            </w:r>
            <w:r>
              <w:t>8</w:t>
            </w:r>
          </w:p>
        </w:tc>
        <w:tc>
          <w:tcPr>
            <w:tcW w:w="925" w:type="dxa"/>
          </w:tcPr>
          <w:p w:rsidR="005D2B18" w:rsidRPr="00DE0833" w:rsidRDefault="005D2B18" w:rsidP="00EE0D7D">
            <w:r w:rsidRPr="00DE0833">
              <w:t>321</w:t>
            </w:r>
          </w:p>
        </w:tc>
        <w:tc>
          <w:tcPr>
            <w:tcW w:w="1192" w:type="dxa"/>
          </w:tcPr>
          <w:p w:rsidR="005D2B18" w:rsidRPr="00DE0833" w:rsidRDefault="005D2B18" w:rsidP="00EE0D7D">
            <w:r w:rsidRPr="00EA31D6">
              <w:t>&lt;.001</w:t>
            </w:r>
          </w:p>
        </w:tc>
      </w:tr>
      <w:tr w:rsidR="005D2B18" w:rsidRPr="00DE0833" w:rsidTr="00EE0D7D">
        <w:tc>
          <w:tcPr>
            <w:tcW w:w="2783" w:type="dxa"/>
          </w:tcPr>
          <w:p w:rsidR="005D2B18" w:rsidRPr="00DE0833" w:rsidRDefault="005D2B18" w:rsidP="00EE0D7D">
            <w:r>
              <w:tab/>
            </w:r>
            <w:r w:rsidRPr="00DE0833">
              <w:t>(Fewer) Concerns</w:t>
            </w:r>
          </w:p>
        </w:tc>
        <w:tc>
          <w:tcPr>
            <w:tcW w:w="1494" w:type="dxa"/>
          </w:tcPr>
          <w:p w:rsidR="005D2B18" w:rsidRPr="00DE0833" w:rsidRDefault="005D2B18" w:rsidP="00EE0D7D">
            <w:r w:rsidRPr="00DE0833">
              <w:t>3.87</w:t>
            </w:r>
            <w:r>
              <w:t>8</w:t>
            </w:r>
          </w:p>
        </w:tc>
        <w:tc>
          <w:tcPr>
            <w:tcW w:w="1116" w:type="dxa"/>
          </w:tcPr>
          <w:p w:rsidR="005D2B18" w:rsidRPr="00DE0833" w:rsidRDefault="005D2B18" w:rsidP="00EE0D7D">
            <w:r w:rsidRPr="00DE0833">
              <w:t>.88</w:t>
            </w:r>
          </w:p>
        </w:tc>
        <w:tc>
          <w:tcPr>
            <w:tcW w:w="924" w:type="dxa"/>
          </w:tcPr>
          <w:p w:rsidR="005D2B18" w:rsidRPr="00DE0833" w:rsidRDefault="005D2B18" w:rsidP="00EE0D7D">
            <w:r w:rsidRPr="00DE0833">
              <w:t>24</w:t>
            </w:r>
          </w:p>
        </w:tc>
        <w:tc>
          <w:tcPr>
            <w:tcW w:w="1116" w:type="dxa"/>
          </w:tcPr>
          <w:p w:rsidR="005D2B18" w:rsidRPr="00DE0833" w:rsidRDefault="005D2B18" w:rsidP="00EE0D7D">
            <w:r w:rsidRPr="00DE0833">
              <w:t>3.34</w:t>
            </w:r>
          </w:p>
        </w:tc>
        <w:tc>
          <w:tcPr>
            <w:tcW w:w="996" w:type="dxa"/>
          </w:tcPr>
          <w:p w:rsidR="005D2B18" w:rsidRPr="00DE0833" w:rsidRDefault="005D2B18" w:rsidP="00EE0D7D">
            <w:r w:rsidRPr="00DE0833">
              <w:t>.80</w:t>
            </w:r>
          </w:p>
        </w:tc>
        <w:tc>
          <w:tcPr>
            <w:tcW w:w="1491" w:type="dxa"/>
          </w:tcPr>
          <w:p w:rsidR="005D2B18" w:rsidRPr="00DE0833" w:rsidRDefault="005D2B18" w:rsidP="00EE0D7D">
            <w:r w:rsidRPr="00DE0833">
              <w:t>299</w:t>
            </w:r>
          </w:p>
        </w:tc>
        <w:tc>
          <w:tcPr>
            <w:tcW w:w="1483" w:type="dxa"/>
          </w:tcPr>
          <w:p w:rsidR="005D2B18" w:rsidRPr="00DE0833" w:rsidRDefault="005D2B18" w:rsidP="00EE0D7D">
            <w:r w:rsidRPr="00DE0833">
              <w:t>-3.11</w:t>
            </w:r>
          </w:p>
        </w:tc>
        <w:tc>
          <w:tcPr>
            <w:tcW w:w="925" w:type="dxa"/>
          </w:tcPr>
          <w:p w:rsidR="005D2B18" w:rsidRPr="00DE0833" w:rsidRDefault="005D2B18" w:rsidP="00EE0D7D">
            <w:r w:rsidRPr="00DE0833">
              <w:t>321</w:t>
            </w:r>
          </w:p>
        </w:tc>
        <w:tc>
          <w:tcPr>
            <w:tcW w:w="1192" w:type="dxa"/>
          </w:tcPr>
          <w:p w:rsidR="005D2B18" w:rsidRPr="00DE0833" w:rsidRDefault="005D2B18" w:rsidP="00EE0D7D">
            <w:r w:rsidRPr="00DE0833">
              <w:t>.002</w:t>
            </w:r>
          </w:p>
        </w:tc>
      </w:tr>
      <w:tr w:rsidR="005D2B18" w:rsidRPr="00DE0833" w:rsidTr="00EE0D7D">
        <w:tc>
          <w:tcPr>
            <w:tcW w:w="2783" w:type="dxa"/>
            <w:tcBorders>
              <w:bottom w:val="single" w:sz="4" w:space="0" w:color="auto"/>
            </w:tcBorders>
          </w:tcPr>
          <w:p w:rsidR="005D2B18" w:rsidRPr="00DE0833" w:rsidRDefault="005D2B18" w:rsidP="00EE0D7D">
            <w:r>
              <w:tab/>
            </w:r>
            <w:r w:rsidRPr="00DE0833">
              <w:t>Individual Fit</w:t>
            </w:r>
          </w:p>
        </w:tc>
        <w:tc>
          <w:tcPr>
            <w:tcW w:w="1494" w:type="dxa"/>
            <w:tcBorders>
              <w:bottom w:val="single" w:sz="4" w:space="0" w:color="auto"/>
            </w:tcBorders>
          </w:tcPr>
          <w:p w:rsidR="005D2B18" w:rsidRPr="00DE0833" w:rsidRDefault="005D2B18" w:rsidP="00EE0D7D">
            <w:r w:rsidRPr="00DE0833">
              <w:t>3.7</w:t>
            </w:r>
            <w:r>
              <w:t>1</w:t>
            </w:r>
          </w:p>
        </w:tc>
        <w:tc>
          <w:tcPr>
            <w:tcW w:w="1116" w:type="dxa"/>
            <w:tcBorders>
              <w:bottom w:val="single" w:sz="4" w:space="0" w:color="auto"/>
            </w:tcBorders>
          </w:tcPr>
          <w:p w:rsidR="005D2B18" w:rsidRPr="00DE0833" w:rsidRDefault="005D2B18" w:rsidP="00EE0D7D">
            <w:r w:rsidRPr="00DE0833">
              <w:t>1.10</w:t>
            </w:r>
          </w:p>
        </w:tc>
        <w:tc>
          <w:tcPr>
            <w:tcW w:w="924" w:type="dxa"/>
            <w:tcBorders>
              <w:bottom w:val="single" w:sz="4" w:space="0" w:color="auto"/>
            </w:tcBorders>
          </w:tcPr>
          <w:p w:rsidR="005D2B18" w:rsidRPr="00DE0833" w:rsidRDefault="005D2B18" w:rsidP="00EE0D7D">
            <w:r w:rsidRPr="00DE0833">
              <w:t>24</w:t>
            </w:r>
          </w:p>
        </w:tc>
        <w:tc>
          <w:tcPr>
            <w:tcW w:w="1116" w:type="dxa"/>
            <w:tcBorders>
              <w:bottom w:val="single" w:sz="4" w:space="0" w:color="auto"/>
            </w:tcBorders>
          </w:tcPr>
          <w:p w:rsidR="005D2B18" w:rsidRPr="00DE0833" w:rsidRDefault="005D2B18" w:rsidP="00EE0D7D">
            <w:r w:rsidRPr="00DE0833">
              <w:t>2.98</w:t>
            </w:r>
          </w:p>
        </w:tc>
        <w:tc>
          <w:tcPr>
            <w:tcW w:w="996" w:type="dxa"/>
            <w:tcBorders>
              <w:bottom w:val="single" w:sz="4" w:space="0" w:color="auto"/>
            </w:tcBorders>
          </w:tcPr>
          <w:p w:rsidR="005D2B18" w:rsidRPr="00DE0833" w:rsidRDefault="005D2B18" w:rsidP="00EE0D7D">
            <w:r w:rsidRPr="00DE0833">
              <w:t>.8</w:t>
            </w:r>
            <w:r>
              <w:t>3</w:t>
            </w:r>
          </w:p>
        </w:tc>
        <w:tc>
          <w:tcPr>
            <w:tcW w:w="1491" w:type="dxa"/>
            <w:tcBorders>
              <w:bottom w:val="single" w:sz="4" w:space="0" w:color="auto"/>
            </w:tcBorders>
          </w:tcPr>
          <w:p w:rsidR="005D2B18" w:rsidRPr="00DE0833" w:rsidRDefault="005D2B18" w:rsidP="00EE0D7D">
            <w:r w:rsidRPr="00DE0833">
              <w:t>299</w:t>
            </w:r>
          </w:p>
        </w:tc>
        <w:tc>
          <w:tcPr>
            <w:tcW w:w="1483" w:type="dxa"/>
            <w:tcBorders>
              <w:bottom w:val="single" w:sz="4" w:space="0" w:color="auto"/>
            </w:tcBorders>
          </w:tcPr>
          <w:p w:rsidR="005D2B18" w:rsidRPr="00DE0833" w:rsidRDefault="005D2B18" w:rsidP="00EE0D7D">
            <w:r w:rsidRPr="00DE0833">
              <w:t>-4.0</w:t>
            </w:r>
            <w:r>
              <w:t>2</w:t>
            </w:r>
          </w:p>
        </w:tc>
        <w:tc>
          <w:tcPr>
            <w:tcW w:w="925" w:type="dxa"/>
            <w:tcBorders>
              <w:bottom w:val="single" w:sz="4" w:space="0" w:color="auto"/>
            </w:tcBorders>
          </w:tcPr>
          <w:p w:rsidR="005D2B18" w:rsidRPr="00DE0833" w:rsidRDefault="005D2B18" w:rsidP="00EE0D7D">
            <w:r w:rsidRPr="00DE0833">
              <w:t>321</w:t>
            </w:r>
          </w:p>
        </w:tc>
        <w:tc>
          <w:tcPr>
            <w:tcW w:w="1192" w:type="dxa"/>
            <w:tcBorders>
              <w:bottom w:val="single" w:sz="4" w:space="0" w:color="auto"/>
            </w:tcBorders>
          </w:tcPr>
          <w:p w:rsidR="005D2B18" w:rsidRPr="00DE0833" w:rsidRDefault="005D2B18" w:rsidP="00EE0D7D">
            <w:r>
              <w:t>&lt;</w:t>
            </w:r>
            <w:r w:rsidRPr="00DE0833">
              <w:t>.00</w:t>
            </w:r>
            <w:r>
              <w:t>1</w:t>
            </w:r>
          </w:p>
        </w:tc>
      </w:tr>
    </w:tbl>
    <w:p w:rsidR="005D2B18" w:rsidRPr="00B81528" w:rsidRDefault="005D2B18" w:rsidP="005D2B18">
      <w:pPr>
        <w:spacing w:line="480" w:lineRule="auto"/>
      </w:pPr>
      <w:proofErr w:type="gramStart"/>
      <w:r w:rsidRPr="00B81528">
        <w:rPr>
          <w:vertAlign w:val="superscript"/>
        </w:rPr>
        <w:t>a</w:t>
      </w:r>
      <w:proofErr w:type="gramEnd"/>
      <w:r w:rsidRPr="00B81528">
        <w:t xml:space="preserve"> Equal variances not assumed</w:t>
      </w:r>
    </w:p>
    <w:p w:rsidR="005D2B18" w:rsidRDefault="005D2B18" w:rsidP="005D2B18">
      <w:pPr>
        <w:spacing w:line="480" w:lineRule="auto"/>
      </w:pPr>
    </w:p>
    <w:p w:rsidR="005D2B18" w:rsidRDefault="005D2B18" w:rsidP="005D2B18">
      <w:pPr>
        <w:spacing w:line="480" w:lineRule="auto"/>
        <w:sectPr w:rsidR="005D2B18" w:rsidSect="008B3580">
          <w:pgSz w:w="16838" w:h="11906" w:orient="landscape"/>
          <w:pgMar w:top="1440" w:right="1440" w:bottom="1440" w:left="1440" w:header="706" w:footer="706" w:gutter="0"/>
          <w:cols w:space="708"/>
          <w:docGrid w:linePitch="360"/>
        </w:sectPr>
      </w:pPr>
    </w:p>
    <w:p w:rsidR="005D2B18" w:rsidRPr="005202A2" w:rsidRDefault="005D2B18" w:rsidP="005D2B18">
      <w:pPr>
        <w:spacing w:line="480" w:lineRule="auto"/>
        <w:rPr>
          <w:u w:val="single"/>
        </w:rPr>
      </w:pPr>
      <w:proofErr w:type="gramStart"/>
      <w:r w:rsidRPr="005202A2">
        <w:rPr>
          <w:u w:val="single"/>
        </w:rPr>
        <w:lastRenderedPageBreak/>
        <w:t>Table 6.</w:t>
      </w:r>
      <w:proofErr w:type="gramEnd"/>
      <w:r w:rsidRPr="005202A2">
        <w:rPr>
          <w:u w:val="single"/>
        </w:rPr>
        <w:t xml:space="preserve">  Measurement invariance of the LBP-TBQ for each treatment</w:t>
      </w:r>
    </w:p>
    <w:tbl>
      <w:tblPr>
        <w:tblStyle w:val="TableGrid"/>
        <w:tblW w:w="4466" w:type="pct"/>
        <w:tblInd w:w="18" w:type="dxa"/>
        <w:tblBorders>
          <w:top w:val="none" w:sz="0" w:space="0" w:color="auto"/>
          <w:left w:val="none" w:sz="0" w:space="0" w:color="auto"/>
          <w:right w:val="none" w:sz="0" w:space="0" w:color="auto"/>
          <w:insideV w:val="none" w:sz="0" w:space="0" w:color="auto"/>
        </w:tblBorders>
        <w:tblLayout w:type="fixed"/>
        <w:tblLook w:val="04A0"/>
      </w:tblPr>
      <w:tblGrid>
        <w:gridCol w:w="1521"/>
        <w:gridCol w:w="1484"/>
        <w:gridCol w:w="1255"/>
        <w:gridCol w:w="1255"/>
        <w:gridCol w:w="1493"/>
        <w:gridCol w:w="1247"/>
      </w:tblGrid>
      <w:tr w:rsidR="005D2B18" w:rsidTr="00EE0D7D">
        <w:tc>
          <w:tcPr>
            <w:tcW w:w="921" w:type="pct"/>
            <w:tcBorders>
              <w:top w:val="single" w:sz="4" w:space="0" w:color="auto"/>
            </w:tcBorders>
          </w:tcPr>
          <w:p w:rsidR="005D2B18" w:rsidRDefault="005D2B18" w:rsidP="00EE0D7D">
            <w:r>
              <w:t>Treatment</w:t>
            </w:r>
          </w:p>
        </w:tc>
        <w:tc>
          <w:tcPr>
            <w:tcW w:w="899" w:type="pct"/>
            <w:tcBorders>
              <w:top w:val="single" w:sz="4" w:space="0" w:color="auto"/>
            </w:tcBorders>
          </w:tcPr>
          <w:p w:rsidR="005D2B18" w:rsidRDefault="005D2B18" w:rsidP="00EE0D7D">
            <w:r>
              <w:t>Nerve compression (present or absent)</w:t>
            </w:r>
          </w:p>
        </w:tc>
        <w:tc>
          <w:tcPr>
            <w:tcW w:w="760" w:type="pct"/>
            <w:tcBorders>
              <w:top w:val="single" w:sz="4" w:space="0" w:color="auto"/>
            </w:tcBorders>
          </w:tcPr>
          <w:p w:rsidR="005D2B18" w:rsidRDefault="005D2B18" w:rsidP="00EE0D7D">
            <w:r>
              <w:t>Sciatica (present or absent)</w:t>
            </w:r>
          </w:p>
        </w:tc>
        <w:tc>
          <w:tcPr>
            <w:tcW w:w="760" w:type="pct"/>
            <w:tcBorders>
              <w:top w:val="single" w:sz="4" w:space="0" w:color="auto"/>
            </w:tcBorders>
          </w:tcPr>
          <w:p w:rsidR="005D2B18" w:rsidRDefault="005D2B18" w:rsidP="00EE0D7D">
            <w:r>
              <w:t>Pain duration (&lt;3yrs or ≥ 3 yrs)</w:t>
            </w:r>
          </w:p>
        </w:tc>
        <w:tc>
          <w:tcPr>
            <w:tcW w:w="904" w:type="pct"/>
            <w:tcBorders>
              <w:top w:val="single" w:sz="4" w:space="0" w:color="auto"/>
            </w:tcBorders>
          </w:tcPr>
          <w:p w:rsidR="005D2B18" w:rsidRDefault="005D2B18" w:rsidP="00EE0D7D">
            <w:r>
              <w:t>Treatment experience (present or absent)</w:t>
            </w:r>
          </w:p>
        </w:tc>
        <w:tc>
          <w:tcPr>
            <w:tcW w:w="755" w:type="pct"/>
            <w:tcBorders>
              <w:top w:val="single" w:sz="4" w:space="0" w:color="auto"/>
            </w:tcBorders>
          </w:tcPr>
          <w:p w:rsidR="005D2B18" w:rsidRDefault="005D2B18" w:rsidP="00EE0D7D">
            <w:r>
              <w:t>Time (1</w:t>
            </w:r>
            <w:r w:rsidRPr="006603DD">
              <w:rPr>
                <w:vertAlign w:val="superscript"/>
              </w:rPr>
              <w:t>st</w:t>
            </w:r>
            <w:r>
              <w:t xml:space="preserve"> or 2</w:t>
            </w:r>
            <w:r w:rsidRPr="006603DD">
              <w:rPr>
                <w:vertAlign w:val="superscript"/>
              </w:rPr>
              <w:t>nd</w:t>
            </w:r>
            <w:r>
              <w:t xml:space="preserve"> survey)</w:t>
            </w:r>
          </w:p>
        </w:tc>
      </w:tr>
      <w:tr w:rsidR="005D2B18" w:rsidTr="00EE0D7D">
        <w:tc>
          <w:tcPr>
            <w:tcW w:w="921" w:type="pct"/>
          </w:tcPr>
          <w:p w:rsidR="005D2B18" w:rsidRDefault="005D2B18" w:rsidP="00EE0D7D">
            <w:r>
              <w:t>Medication</w:t>
            </w:r>
          </w:p>
        </w:tc>
        <w:tc>
          <w:tcPr>
            <w:tcW w:w="899" w:type="pct"/>
          </w:tcPr>
          <w:p w:rsidR="005D2B18" w:rsidRDefault="005D2B18" w:rsidP="00EE0D7D">
            <w:r>
              <w:t xml:space="preserve">None </w:t>
            </w:r>
          </w:p>
        </w:tc>
        <w:tc>
          <w:tcPr>
            <w:tcW w:w="760" w:type="pct"/>
          </w:tcPr>
          <w:p w:rsidR="005D2B18" w:rsidRDefault="005D2B18" w:rsidP="00EE0D7D">
            <w:r>
              <w:t>Scalar</w:t>
            </w:r>
          </w:p>
        </w:tc>
        <w:tc>
          <w:tcPr>
            <w:tcW w:w="760" w:type="pct"/>
          </w:tcPr>
          <w:p w:rsidR="005D2B18" w:rsidRDefault="005D2B18" w:rsidP="00EE0D7D">
            <w:r>
              <w:t>Scalar</w:t>
            </w:r>
          </w:p>
        </w:tc>
        <w:tc>
          <w:tcPr>
            <w:tcW w:w="904" w:type="pct"/>
          </w:tcPr>
          <w:p w:rsidR="005D2B18" w:rsidRDefault="005D2B18" w:rsidP="00EE0D7D">
            <w:proofErr w:type="spellStart"/>
            <w:r>
              <w:t>NA</w:t>
            </w:r>
            <w:r w:rsidRPr="002E6377">
              <w:rPr>
                <w:vertAlign w:val="superscript"/>
              </w:rPr>
              <w:t>a</w:t>
            </w:r>
            <w:proofErr w:type="spellEnd"/>
          </w:p>
        </w:tc>
        <w:tc>
          <w:tcPr>
            <w:tcW w:w="755" w:type="pct"/>
          </w:tcPr>
          <w:p w:rsidR="005D2B18" w:rsidRDefault="005D2B18" w:rsidP="00EE0D7D">
            <w:r>
              <w:t>Scalar</w:t>
            </w:r>
          </w:p>
        </w:tc>
      </w:tr>
      <w:tr w:rsidR="005D2B18" w:rsidTr="00EE0D7D">
        <w:tc>
          <w:tcPr>
            <w:tcW w:w="921" w:type="pct"/>
          </w:tcPr>
          <w:p w:rsidR="005D2B18" w:rsidRDefault="005D2B18" w:rsidP="00EE0D7D">
            <w:r>
              <w:t>Exercise</w:t>
            </w:r>
          </w:p>
        </w:tc>
        <w:tc>
          <w:tcPr>
            <w:tcW w:w="899" w:type="pct"/>
          </w:tcPr>
          <w:p w:rsidR="005D2B18" w:rsidRDefault="005D2B18" w:rsidP="00EE0D7D">
            <w:r>
              <w:t>Scalar</w:t>
            </w:r>
          </w:p>
        </w:tc>
        <w:tc>
          <w:tcPr>
            <w:tcW w:w="760" w:type="pct"/>
          </w:tcPr>
          <w:p w:rsidR="005D2B18" w:rsidRDefault="005D2B18" w:rsidP="00EE0D7D">
            <w:r>
              <w:t>Scalar</w:t>
            </w:r>
          </w:p>
        </w:tc>
        <w:tc>
          <w:tcPr>
            <w:tcW w:w="760" w:type="pct"/>
          </w:tcPr>
          <w:p w:rsidR="005D2B18" w:rsidRDefault="005D2B18" w:rsidP="00EE0D7D">
            <w:r>
              <w:t xml:space="preserve">Scalar </w:t>
            </w:r>
          </w:p>
        </w:tc>
        <w:tc>
          <w:tcPr>
            <w:tcW w:w="904" w:type="pct"/>
          </w:tcPr>
          <w:p w:rsidR="005D2B18" w:rsidRDefault="005D2B18" w:rsidP="00EE0D7D">
            <w:r>
              <w:t xml:space="preserve">Metric </w:t>
            </w:r>
          </w:p>
        </w:tc>
        <w:tc>
          <w:tcPr>
            <w:tcW w:w="755" w:type="pct"/>
          </w:tcPr>
          <w:p w:rsidR="005D2B18" w:rsidRDefault="005D2B18" w:rsidP="00EE0D7D">
            <w:r>
              <w:t>Scalar</w:t>
            </w:r>
          </w:p>
        </w:tc>
      </w:tr>
      <w:tr w:rsidR="005D2B18" w:rsidTr="00EE0D7D">
        <w:tc>
          <w:tcPr>
            <w:tcW w:w="921" w:type="pct"/>
          </w:tcPr>
          <w:p w:rsidR="005D2B18" w:rsidRDefault="005D2B18" w:rsidP="00EE0D7D">
            <w:r>
              <w:t>Manual therapy</w:t>
            </w:r>
          </w:p>
        </w:tc>
        <w:tc>
          <w:tcPr>
            <w:tcW w:w="899" w:type="pct"/>
          </w:tcPr>
          <w:p w:rsidR="005D2B18" w:rsidRDefault="005D2B18" w:rsidP="00EE0D7D">
            <w:r>
              <w:t xml:space="preserve">Metric </w:t>
            </w:r>
          </w:p>
        </w:tc>
        <w:tc>
          <w:tcPr>
            <w:tcW w:w="760" w:type="pct"/>
          </w:tcPr>
          <w:p w:rsidR="005D2B18" w:rsidRDefault="005D2B18" w:rsidP="00EE0D7D">
            <w:r>
              <w:t>Metric</w:t>
            </w:r>
          </w:p>
        </w:tc>
        <w:tc>
          <w:tcPr>
            <w:tcW w:w="760" w:type="pct"/>
          </w:tcPr>
          <w:p w:rsidR="005D2B18" w:rsidRDefault="005D2B18" w:rsidP="00EE0D7D">
            <w:r>
              <w:t>Scalar</w:t>
            </w:r>
          </w:p>
        </w:tc>
        <w:tc>
          <w:tcPr>
            <w:tcW w:w="904" w:type="pct"/>
          </w:tcPr>
          <w:p w:rsidR="005D2B18" w:rsidRDefault="005D2B18" w:rsidP="00EE0D7D">
            <w:proofErr w:type="spellStart"/>
            <w:r>
              <w:t>NA</w:t>
            </w:r>
            <w:r w:rsidRPr="002E6377">
              <w:rPr>
                <w:vertAlign w:val="superscript"/>
              </w:rPr>
              <w:t>a</w:t>
            </w:r>
            <w:proofErr w:type="spellEnd"/>
          </w:p>
        </w:tc>
        <w:tc>
          <w:tcPr>
            <w:tcW w:w="755" w:type="pct"/>
          </w:tcPr>
          <w:p w:rsidR="005D2B18" w:rsidRDefault="005D2B18" w:rsidP="00EE0D7D">
            <w:r>
              <w:t>Scalar</w:t>
            </w:r>
          </w:p>
        </w:tc>
      </w:tr>
      <w:tr w:rsidR="005D2B18" w:rsidTr="00EE0D7D">
        <w:tc>
          <w:tcPr>
            <w:tcW w:w="921" w:type="pct"/>
          </w:tcPr>
          <w:p w:rsidR="005D2B18" w:rsidRDefault="005D2B18" w:rsidP="00EE0D7D">
            <w:r>
              <w:t>Acupuncture</w:t>
            </w:r>
          </w:p>
        </w:tc>
        <w:tc>
          <w:tcPr>
            <w:tcW w:w="899" w:type="pct"/>
          </w:tcPr>
          <w:p w:rsidR="005D2B18" w:rsidRDefault="005D2B18" w:rsidP="00EE0D7D">
            <w:r>
              <w:t>Scalar</w:t>
            </w:r>
          </w:p>
        </w:tc>
        <w:tc>
          <w:tcPr>
            <w:tcW w:w="760" w:type="pct"/>
          </w:tcPr>
          <w:p w:rsidR="005D2B18" w:rsidRDefault="005D2B18" w:rsidP="00EE0D7D">
            <w:r>
              <w:t xml:space="preserve">None </w:t>
            </w:r>
          </w:p>
        </w:tc>
        <w:tc>
          <w:tcPr>
            <w:tcW w:w="760" w:type="pct"/>
          </w:tcPr>
          <w:p w:rsidR="005D2B18" w:rsidRDefault="005D2B18" w:rsidP="00EE0D7D">
            <w:r>
              <w:t>Scalar</w:t>
            </w:r>
          </w:p>
        </w:tc>
        <w:tc>
          <w:tcPr>
            <w:tcW w:w="904" w:type="pct"/>
          </w:tcPr>
          <w:p w:rsidR="005D2B18" w:rsidRDefault="005D2B18" w:rsidP="00EE0D7D">
            <w:r>
              <w:t>None</w:t>
            </w:r>
          </w:p>
        </w:tc>
        <w:tc>
          <w:tcPr>
            <w:tcW w:w="755" w:type="pct"/>
          </w:tcPr>
          <w:p w:rsidR="005D2B18" w:rsidRDefault="005D2B18" w:rsidP="00EE0D7D">
            <w:r>
              <w:t xml:space="preserve">Scalar </w:t>
            </w:r>
          </w:p>
        </w:tc>
      </w:tr>
    </w:tbl>
    <w:p w:rsidR="005D2B18" w:rsidRDefault="005D2B18" w:rsidP="005D2B18">
      <w:pPr>
        <w:spacing w:line="480" w:lineRule="auto"/>
      </w:pPr>
      <w:proofErr w:type="gramStart"/>
      <w:r w:rsidRPr="002E6377">
        <w:rPr>
          <w:vertAlign w:val="superscript"/>
        </w:rPr>
        <w:t>a</w:t>
      </w:r>
      <w:proofErr w:type="gramEnd"/>
      <w:r>
        <w:rPr>
          <w:vertAlign w:val="superscript"/>
        </w:rPr>
        <w:t xml:space="preserve"> </w:t>
      </w:r>
      <w:r w:rsidRPr="003F1E95">
        <w:t xml:space="preserve">NA = data not available due to low numbers of </w:t>
      </w:r>
      <w:r>
        <w:t>treatment naive</w:t>
      </w:r>
      <w:r w:rsidRPr="003F1E95">
        <w:t xml:space="preserve"> patients.</w:t>
      </w:r>
    </w:p>
    <w:p w:rsidR="005D2B18" w:rsidRDefault="005D2B18" w:rsidP="005D2B18">
      <w:pPr>
        <w:spacing w:after="200" w:line="276" w:lineRule="auto"/>
      </w:pPr>
      <w:r>
        <w:br w:type="page"/>
      </w:r>
    </w:p>
    <w:p w:rsidR="005D2B18" w:rsidRPr="005202A2" w:rsidRDefault="005D2B18" w:rsidP="005D2B18">
      <w:pPr>
        <w:spacing w:line="480" w:lineRule="auto"/>
        <w:rPr>
          <w:u w:val="single"/>
        </w:rPr>
      </w:pPr>
      <w:proofErr w:type="gramStart"/>
      <w:r w:rsidRPr="005202A2">
        <w:rPr>
          <w:u w:val="single"/>
        </w:rPr>
        <w:lastRenderedPageBreak/>
        <w:t>Table 7.</w:t>
      </w:r>
      <w:proofErr w:type="gramEnd"/>
      <w:r w:rsidRPr="005202A2">
        <w:rPr>
          <w:u w:val="single"/>
        </w:rPr>
        <w:t xml:space="preserve">  4-item LBP-TBQ Scale and Item Homogeneity</w:t>
      </w:r>
    </w:p>
    <w:tbl>
      <w:tblPr>
        <w:tblW w:w="9010" w:type="dxa"/>
        <w:tblLayout w:type="fixed"/>
        <w:tblLook w:val="01E0"/>
      </w:tblPr>
      <w:tblGrid>
        <w:gridCol w:w="3399"/>
        <w:gridCol w:w="1586"/>
        <w:gridCol w:w="1263"/>
        <w:gridCol w:w="1263"/>
        <w:gridCol w:w="1499"/>
      </w:tblGrid>
      <w:tr w:rsidR="005D2B18" w:rsidRPr="00DE3551" w:rsidTr="00EE0D7D">
        <w:tc>
          <w:tcPr>
            <w:tcW w:w="3399" w:type="dxa"/>
            <w:tcBorders>
              <w:top w:val="single" w:sz="4" w:space="0" w:color="auto"/>
              <w:bottom w:val="single" w:sz="4" w:space="0" w:color="auto"/>
            </w:tcBorders>
            <w:shd w:val="clear" w:color="auto" w:fill="auto"/>
          </w:tcPr>
          <w:p w:rsidR="005D2B18" w:rsidRPr="00DE3551" w:rsidRDefault="005D2B18" w:rsidP="00EE0D7D">
            <w:r w:rsidRPr="00DE3551">
              <w:t>Content</w:t>
            </w:r>
          </w:p>
        </w:tc>
        <w:tc>
          <w:tcPr>
            <w:tcW w:w="5611" w:type="dxa"/>
            <w:gridSpan w:val="4"/>
            <w:tcBorders>
              <w:top w:val="single" w:sz="4" w:space="0" w:color="auto"/>
              <w:bottom w:val="single" w:sz="4" w:space="0" w:color="auto"/>
            </w:tcBorders>
          </w:tcPr>
          <w:p w:rsidR="005D2B18" w:rsidRPr="00DE3551" w:rsidRDefault="005D2B18" w:rsidP="00EE0D7D">
            <w:r w:rsidRPr="00DE3551">
              <w:t>H (SE)</w:t>
            </w:r>
          </w:p>
        </w:tc>
      </w:tr>
      <w:tr w:rsidR="005D2B18" w:rsidRPr="00DE3551" w:rsidTr="00EE0D7D">
        <w:tc>
          <w:tcPr>
            <w:tcW w:w="3399" w:type="dxa"/>
            <w:tcBorders>
              <w:top w:val="single" w:sz="4" w:space="0" w:color="auto"/>
              <w:bottom w:val="single" w:sz="4" w:space="0" w:color="auto"/>
            </w:tcBorders>
            <w:shd w:val="clear" w:color="auto" w:fill="auto"/>
          </w:tcPr>
          <w:p w:rsidR="005D2B18" w:rsidRPr="00DE3551" w:rsidRDefault="005D2B18" w:rsidP="00EE0D7D"/>
        </w:tc>
        <w:tc>
          <w:tcPr>
            <w:tcW w:w="1586" w:type="dxa"/>
            <w:tcBorders>
              <w:top w:val="single" w:sz="4" w:space="0" w:color="auto"/>
              <w:bottom w:val="single" w:sz="4" w:space="0" w:color="auto"/>
            </w:tcBorders>
          </w:tcPr>
          <w:p w:rsidR="005D2B18" w:rsidRPr="00DE3551" w:rsidRDefault="005D2B18" w:rsidP="00EE0D7D">
            <w:r w:rsidRPr="00DE3551">
              <w:t>Pain medication</w:t>
            </w:r>
          </w:p>
        </w:tc>
        <w:tc>
          <w:tcPr>
            <w:tcW w:w="1263" w:type="dxa"/>
            <w:tcBorders>
              <w:top w:val="single" w:sz="4" w:space="0" w:color="auto"/>
              <w:bottom w:val="single" w:sz="4" w:space="0" w:color="auto"/>
            </w:tcBorders>
          </w:tcPr>
          <w:p w:rsidR="005D2B18" w:rsidRPr="00DE3551" w:rsidRDefault="005D2B18" w:rsidP="00EE0D7D">
            <w:r w:rsidRPr="00DE3551">
              <w:t>Exercise</w:t>
            </w:r>
          </w:p>
        </w:tc>
        <w:tc>
          <w:tcPr>
            <w:tcW w:w="1263" w:type="dxa"/>
            <w:tcBorders>
              <w:top w:val="single" w:sz="4" w:space="0" w:color="auto"/>
              <w:bottom w:val="single" w:sz="4" w:space="0" w:color="auto"/>
            </w:tcBorders>
          </w:tcPr>
          <w:p w:rsidR="005D2B18" w:rsidRPr="00DE3551" w:rsidRDefault="005D2B18" w:rsidP="00EE0D7D">
            <w:r w:rsidRPr="00DE3551">
              <w:t>Manual therapy</w:t>
            </w:r>
          </w:p>
        </w:tc>
        <w:tc>
          <w:tcPr>
            <w:tcW w:w="1499" w:type="dxa"/>
            <w:tcBorders>
              <w:top w:val="single" w:sz="4" w:space="0" w:color="auto"/>
              <w:bottom w:val="single" w:sz="4" w:space="0" w:color="auto"/>
            </w:tcBorders>
          </w:tcPr>
          <w:p w:rsidR="005D2B18" w:rsidRPr="00DE3551" w:rsidRDefault="005D2B18" w:rsidP="00EE0D7D">
            <w:r w:rsidRPr="00DE3551">
              <w:t>Acupuncture</w:t>
            </w:r>
          </w:p>
        </w:tc>
      </w:tr>
      <w:tr w:rsidR="005D2B18" w:rsidRPr="00DE3551" w:rsidTr="00EE0D7D">
        <w:tc>
          <w:tcPr>
            <w:tcW w:w="3399" w:type="dxa"/>
            <w:tcBorders>
              <w:top w:val="single" w:sz="4" w:space="0" w:color="auto"/>
            </w:tcBorders>
            <w:shd w:val="clear" w:color="auto" w:fill="auto"/>
          </w:tcPr>
          <w:p w:rsidR="005D2B18" w:rsidRPr="00DE3551" w:rsidRDefault="005D2B18" w:rsidP="00EE0D7D">
            <w:r>
              <w:t>Short form</w:t>
            </w:r>
          </w:p>
        </w:tc>
        <w:tc>
          <w:tcPr>
            <w:tcW w:w="1586" w:type="dxa"/>
            <w:tcBorders>
              <w:top w:val="single" w:sz="4" w:space="0" w:color="auto"/>
            </w:tcBorders>
          </w:tcPr>
          <w:p w:rsidR="005D2B18" w:rsidRPr="00DE3551" w:rsidRDefault="005D2B18" w:rsidP="00EE0D7D">
            <w:r w:rsidRPr="00DE3551">
              <w:t>0.</w:t>
            </w:r>
            <w:r>
              <w:t>43</w:t>
            </w:r>
            <w:r w:rsidRPr="00DE3551">
              <w:t xml:space="preserve"> (0.04)</w:t>
            </w:r>
          </w:p>
        </w:tc>
        <w:tc>
          <w:tcPr>
            <w:tcW w:w="1263" w:type="dxa"/>
            <w:tcBorders>
              <w:top w:val="single" w:sz="4" w:space="0" w:color="auto"/>
            </w:tcBorders>
          </w:tcPr>
          <w:p w:rsidR="005D2B18" w:rsidRPr="00DE3551" w:rsidRDefault="005D2B18" w:rsidP="00EE0D7D">
            <w:r w:rsidRPr="00DE3551">
              <w:t>0.</w:t>
            </w:r>
            <w:r>
              <w:t>58</w:t>
            </w:r>
            <w:r w:rsidRPr="00DE3551">
              <w:t xml:space="preserve"> (0.0</w:t>
            </w:r>
            <w:r>
              <w:t>4</w:t>
            </w:r>
            <w:r w:rsidRPr="00DE3551">
              <w:t>)</w:t>
            </w:r>
          </w:p>
        </w:tc>
        <w:tc>
          <w:tcPr>
            <w:tcW w:w="1263" w:type="dxa"/>
            <w:tcBorders>
              <w:top w:val="single" w:sz="4" w:space="0" w:color="auto"/>
            </w:tcBorders>
          </w:tcPr>
          <w:p w:rsidR="005D2B18" w:rsidRPr="00DE3551" w:rsidRDefault="005D2B18" w:rsidP="00EE0D7D">
            <w:r w:rsidRPr="00DE3551">
              <w:t>0.6</w:t>
            </w:r>
            <w:r>
              <w:t>6</w:t>
            </w:r>
            <w:r w:rsidRPr="00DE3551">
              <w:t xml:space="preserve"> (0.03)</w:t>
            </w:r>
          </w:p>
        </w:tc>
        <w:tc>
          <w:tcPr>
            <w:tcW w:w="1499" w:type="dxa"/>
            <w:tcBorders>
              <w:top w:val="single" w:sz="4" w:space="0" w:color="auto"/>
            </w:tcBorders>
          </w:tcPr>
          <w:p w:rsidR="005D2B18" w:rsidRPr="00DE3551" w:rsidRDefault="005D2B18" w:rsidP="00EE0D7D">
            <w:r w:rsidRPr="00DE3551">
              <w:t>0.6</w:t>
            </w:r>
            <w:r>
              <w:t>1</w:t>
            </w:r>
            <w:r w:rsidRPr="00DE3551">
              <w:t xml:space="preserve"> (0.0</w:t>
            </w:r>
            <w:r>
              <w:t>3</w:t>
            </w:r>
            <w:r w:rsidRPr="00DE3551">
              <w:t>)</w:t>
            </w:r>
          </w:p>
        </w:tc>
      </w:tr>
      <w:tr w:rsidR="005D2B18" w:rsidRPr="00DE3551" w:rsidTr="00EE0D7D">
        <w:tc>
          <w:tcPr>
            <w:tcW w:w="3399" w:type="dxa"/>
            <w:tcBorders>
              <w:top w:val="single" w:sz="4" w:space="0" w:color="auto"/>
            </w:tcBorders>
            <w:shd w:val="clear" w:color="auto" w:fill="auto"/>
          </w:tcPr>
          <w:p w:rsidR="005D2B18" w:rsidRPr="0093396E" w:rsidRDefault="005D2B18" w:rsidP="00EE0D7D">
            <w:pPr>
              <w:rPr>
                <w:lang w:val="en-US"/>
              </w:rPr>
            </w:pPr>
            <w:r w:rsidRPr="0093396E">
              <w:rPr>
                <w:lang w:val="en-US"/>
              </w:rPr>
              <w:t>Taking/Having […] for back pain makes a lot of sense</w:t>
            </w:r>
          </w:p>
        </w:tc>
        <w:tc>
          <w:tcPr>
            <w:tcW w:w="1586" w:type="dxa"/>
            <w:tcBorders>
              <w:top w:val="single" w:sz="4" w:space="0" w:color="auto"/>
            </w:tcBorders>
          </w:tcPr>
          <w:p w:rsidR="005D2B18" w:rsidRPr="00DE3551" w:rsidRDefault="005D2B18" w:rsidP="00EE0D7D">
            <w:r w:rsidRPr="00DE3551">
              <w:t>0.</w:t>
            </w:r>
            <w:r>
              <w:t>48</w:t>
            </w:r>
            <w:r w:rsidRPr="00DE3551">
              <w:t xml:space="preserve"> (0.04)</w:t>
            </w:r>
          </w:p>
        </w:tc>
        <w:tc>
          <w:tcPr>
            <w:tcW w:w="1263" w:type="dxa"/>
            <w:tcBorders>
              <w:top w:val="single" w:sz="4" w:space="0" w:color="auto"/>
            </w:tcBorders>
          </w:tcPr>
          <w:p w:rsidR="005D2B18" w:rsidRPr="00DE3551" w:rsidRDefault="005D2B18" w:rsidP="00EE0D7D">
            <w:r w:rsidRPr="00DE3551">
              <w:t>0.</w:t>
            </w:r>
            <w:r>
              <w:t>62</w:t>
            </w:r>
            <w:r w:rsidRPr="00DE3551">
              <w:t xml:space="preserve"> (0.0</w:t>
            </w:r>
            <w:r>
              <w:t>4</w:t>
            </w:r>
            <w:r w:rsidRPr="00DE3551">
              <w:t>)</w:t>
            </w:r>
          </w:p>
        </w:tc>
        <w:tc>
          <w:tcPr>
            <w:tcW w:w="1263" w:type="dxa"/>
            <w:tcBorders>
              <w:top w:val="single" w:sz="4" w:space="0" w:color="auto"/>
            </w:tcBorders>
          </w:tcPr>
          <w:p w:rsidR="005D2B18" w:rsidRPr="00DE3551" w:rsidRDefault="005D2B18" w:rsidP="00EE0D7D">
            <w:r w:rsidRPr="00DE3551">
              <w:t>0.</w:t>
            </w:r>
            <w:r>
              <w:t>69</w:t>
            </w:r>
            <w:r w:rsidRPr="00DE3551">
              <w:t xml:space="preserve"> (0.03)</w:t>
            </w:r>
          </w:p>
        </w:tc>
        <w:tc>
          <w:tcPr>
            <w:tcW w:w="1499" w:type="dxa"/>
            <w:tcBorders>
              <w:top w:val="single" w:sz="4" w:space="0" w:color="auto"/>
            </w:tcBorders>
          </w:tcPr>
          <w:p w:rsidR="005D2B18" w:rsidRPr="00DE3551" w:rsidRDefault="005D2B18" w:rsidP="00EE0D7D">
            <w:r w:rsidRPr="00DE3551">
              <w:t>0.6</w:t>
            </w:r>
            <w:r>
              <w:t>4</w:t>
            </w:r>
            <w:r w:rsidRPr="00DE3551">
              <w:t xml:space="preserve"> (0.04)</w:t>
            </w:r>
          </w:p>
        </w:tc>
      </w:tr>
      <w:tr w:rsidR="005D2B18" w:rsidRPr="00DE3551" w:rsidTr="00EE0D7D">
        <w:tc>
          <w:tcPr>
            <w:tcW w:w="3399" w:type="dxa"/>
            <w:shd w:val="clear" w:color="auto" w:fill="auto"/>
          </w:tcPr>
          <w:p w:rsidR="005D2B18" w:rsidRPr="0093396E" w:rsidRDefault="005D2B18" w:rsidP="00EE0D7D">
            <w:pPr>
              <w:rPr>
                <w:lang w:val="en-US"/>
              </w:rPr>
            </w:pPr>
            <w:r w:rsidRPr="0093396E">
              <w:rPr>
                <w:lang w:val="en-US"/>
              </w:rPr>
              <w:t>I think […] is pretty useless for people with back pain (r)</w:t>
            </w:r>
          </w:p>
        </w:tc>
        <w:tc>
          <w:tcPr>
            <w:tcW w:w="1586" w:type="dxa"/>
          </w:tcPr>
          <w:p w:rsidR="005D2B18" w:rsidRPr="00DE3551" w:rsidRDefault="005D2B18" w:rsidP="00EE0D7D">
            <w:r w:rsidRPr="00DE3551">
              <w:t>0.</w:t>
            </w:r>
            <w:r>
              <w:t>39</w:t>
            </w:r>
            <w:r w:rsidRPr="00DE3551">
              <w:t xml:space="preserve"> (0.04)</w:t>
            </w:r>
          </w:p>
        </w:tc>
        <w:tc>
          <w:tcPr>
            <w:tcW w:w="1263" w:type="dxa"/>
          </w:tcPr>
          <w:p w:rsidR="005D2B18" w:rsidRPr="00DE3551" w:rsidRDefault="005D2B18" w:rsidP="00EE0D7D">
            <w:r w:rsidRPr="00DE3551">
              <w:t>0.</w:t>
            </w:r>
            <w:r>
              <w:t>53</w:t>
            </w:r>
            <w:r w:rsidRPr="00DE3551">
              <w:t xml:space="preserve"> (0.0</w:t>
            </w:r>
            <w:r>
              <w:t>5</w:t>
            </w:r>
            <w:r w:rsidRPr="00DE3551">
              <w:t>)</w:t>
            </w:r>
          </w:p>
        </w:tc>
        <w:tc>
          <w:tcPr>
            <w:tcW w:w="1263" w:type="dxa"/>
          </w:tcPr>
          <w:p w:rsidR="005D2B18" w:rsidRPr="00DE3551" w:rsidRDefault="005D2B18" w:rsidP="00EE0D7D">
            <w:r w:rsidRPr="00DE3551">
              <w:t xml:space="preserve">0. </w:t>
            </w:r>
            <w:r>
              <w:t>64</w:t>
            </w:r>
            <w:r w:rsidRPr="00DE3551">
              <w:t xml:space="preserve"> (0.04)</w:t>
            </w:r>
          </w:p>
        </w:tc>
        <w:tc>
          <w:tcPr>
            <w:tcW w:w="1499" w:type="dxa"/>
          </w:tcPr>
          <w:p w:rsidR="005D2B18" w:rsidRPr="00DE3551" w:rsidRDefault="005D2B18" w:rsidP="00EE0D7D">
            <w:r w:rsidRPr="00DE3551">
              <w:t xml:space="preserve">0. </w:t>
            </w:r>
            <w:r>
              <w:t>6</w:t>
            </w:r>
            <w:r w:rsidRPr="00DE3551">
              <w:t>1 (0.04)</w:t>
            </w:r>
          </w:p>
        </w:tc>
      </w:tr>
      <w:tr w:rsidR="005D2B18" w:rsidRPr="00DE3551" w:rsidTr="00EE0D7D">
        <w:tc>
          <w:tcPr>
            <w:tcW w:w="3399" w:type="dxa"/>
            <w:shd w:val="clear" w:color="auto" w:fill="auto"/>
          </w:tcPr>
          <w:p w:rsidR="005D2B18" w:rsidRPr="0093396E" w:rsidRDefault="005D2B18" w:rsidP="00EE0D7D">
            <w:pPr>
              <w:rPr>
                <w:lang w:val="en-US"/>
              </w:rPr>
            </w:pPr>
            <w:r w:rsidRPr="0093396E">
              <w:rPr>
                <w:lang w:val="en-US"/>
              </w:rPr>
              <w:t>I have concerns about taking/having […] for my back pain (r)</w:t>
            </w:r>
          </w:p>
        </w:tc>
        <w:tc>
          <w:tcPr>
            <w:tcW w:w="1586" w:type="dxa"/>
          </w:tcPr>
          <w:p w:rsidR="005D2B18" w:rsidRPr="00DE3551" w:rsidRDefault="005D2B18" w:rsidP="00EE0D7D">
            <w:r w:rsidRPr="00DE3551">
              <w:t>0.</w:t>
            </w:r>
            <w:r>
              <w:t>37</w:t>
            </w:r>
            <w:r w:rsidRPr="00DE3551">
              <w:t xml:space="preserve"> (0.0</w:t>
            </w:r>
            <w:r>
              <w:t>4</w:t>
            </w:r>
            <w:r w:rsidRPr="00DE3551">
              <w:t>)</w:t>
            </w:r>
          </w:p>
        </w:tc>
        <w:tc>
          <w:tcPr>
            <w:tcW w:w="1263" w:type="dxa"/>
          </w:tcPr>
          <w:p w:rsidR="005D2B18" w:rsidRPr="00DE3551" w:rsidRDefault="005D2B18" w:rsidP="00EE0D7D">
            <w:r w:rsidRPr="00DE3551">
              <w:t>0.</w:t>
            </w:r>
            <w:r>
              <w:t>5</w:t>
            </w:r>
            <w:r w:rsidRPr="00DE3551">
              <w:t>6 (0.04)</w:t>
            </w:r>
          </w:p>
        </w:tc>
        <w:tc>
          <w:tcPr>
            <w:tcW w:w="1263" w:type="dxa"/>
          </w:tcPr>
          <w:p w:rsidR="005D2B18" w:rsidRPr="00DE3551" w:rsidRDefault="005D2B18" w:rsidP="00EE0D7D">
            <w:r w:rsidRPr="00DE3551">
              <w:t>0.6</w:t>
            </w:r>
            <w:r>
              <w:t>3</w:t>
            </w:r>
            <w:r w:rsidRPr="00DE3551">
              <w:t xml:space="preserve"> (0.0</w:t>
            </w:r>
            <w:r>
              <w:t>3</w:t>
            </w:r>
            <w:r w:rsidRPr="00DE3551">
              <w:t>)</w:t>
            </w:r>
          </w:p>
        </w:tc>
        <w:tc>
          <w:tcPr>
            <w:tcW w:w="1499" w:type="dxa"/>
          </w:tcPr>
          <w:p w:rsidR="005D2B18" w:rsidRPr="00934A5F" w:rsidRDefault="005D2B18" w:rsidP="00EE0D7D">
            <w:r w:rsidRPr="00934A5F">
              <w:t>0.56 (0.04)</w:t>
            </w:r>
          </w:p>
        </w:tc>
      </w:tr>
      <w:tr w:rsidR="005D2B18" w:rsidRPr="00DE3551" w:rsidTr="00EE0D7D">
        <w:tc>
          <w:tcPr>
            <w:tcW w:w="3399" w:type="dxa"/>
            <w:tcBorders>
              <w:bottom w:val="single" w:sz="4" w:space="0" w:color="auto"/>
            </w:tcBorders>
            <w:shd w:val="clear" w:color="auto" w:fill="auto"/>
          </w:tcPr>
          <w:p w:rsidR="005D2B18" w:rsidRPr="0093396E" w:rsidRDefault="005D2B18" w:rsidP="00EE0D7D">
            <w:pPr>
              <w:rPr>
                <w:lang w:val="en-US"/>
              </w:rPr>
            </w:pPr>
            <w:r w:rsidRPr="0093396E">
              <w:rPr>
                <w:lang w:val="en-US"/>
              </w:rPr>
              <w:t>I am confident […] would be a suitable treatment for my back pain</w:t>
            </w:r>
          </w:p>
        </w:tc>
        <w:tc>
          <w:tcPr>
            <w:tcW w:w="1586" w:type="dxa"/>
            <w:tcBorders>
              <w:bottom w:val="single" w:sz="4" w:space="0" w:color="auto"/>
            </w:tcBorders>
          </w:tcPr>
          <w:p w:rsidR="005D2B18" w:rsidRPr="00DE3551" w:rsidRDefault="005D2B18" w:rsidP="00EE0D7D">
            <w:r w:rsidRPr="00DE3551">
              <w:t>0.4</w:t>
            </w:r>
            <w:r>
              <w:t>9</w:t>
            </w:r>
            <w:r w:rsidRPr="00DE3551">
              <w:t xml:space="preserve"> (0.0</w:t>
            </w:r>
            <w:r>
              <w:t>4</w:t>
            </w:r>
            <w:r w:rsidRPr="00DE3551">
              <w:t>)</w:t>
            </w:r>
          </w:p>
        </w:tc>
        <w:tc>
          <w:tcPr>
            <w:tcW w:w="1263" w:type="dxa"/>
            <w:tcBorders>
              <w:bottom w:val="single" w:sz="4" w:space="0" w:color="auto"/>
            </w:tcBorders>
          </w:tcPr>
          <w:p w:rsidR="005D2B18" w:rsidRPr="00DE3551" w:rsidRDefault="005D2B18" w:rsidP="00EE0D7D">
            <w:r w:rsidRPr="00DE3551">
              <w:t>0.6</w:t>
            </w:r>
            <w:r>
              <w:t>2</w:t>
            </w:r>
            <w:r w:rsidRPr="00DE3551">
              <w:t xml:space="preserve"> (0.04)</w:t>
            </w:r>
          </w:p>
        </w:tc>
        <w:tc>
          <w:tcPr>
            <w:tcW w:w="1263" w:type="dxa"/>
            <w:tcBorders>
              <w:bottom w:val="single" w:sz="4" w:space="0" w:color="auto"/>
            </w:tcBorders>
          </w:tcPr>
          <w:p w:rsidR="005D2B18" w:rsidRPr="00DE3551" w:rsidRDefault="005D2B18" w:rsidP="00EE0D7D">
            <w:r w:rsidRPr="00DE3551">
              <w:t>0.6</w:t>
            </w:r>
            <w:r>
              <w:t>8</w:t>
            </w:r>
            <w:r w:rsidRPr="00DE3551">
              <w:t xml:space="preserve"> (0.0</w:t>
            </w:r>
            <w:r>
              <w:t>3</w:t>
            </w:r>
            <w:r w:rsidRPr="00DE3551">
              <w:t>)</w:t>
            </w:r>
          </w:p>
        </w:tc>
        <w:tc>
          <w:tcPr>
            <w:tcW w:w="1499" w:type="dxa"/>
            <w:tcBorders>
              <w:bottom w:val="single" w:sz="4" w:space="0" w:color="auto"/>
            </w:tcBorders>
          </w:tcPr>
          <w:p w:rsidR="005D2B18" w:rsidRPr="00934A5F" w:rsidRDefault="005D2B18" w:rsidP="00EE0D7D">
            <w:pPr>
              <w:rPr>
                <w:b/>
                <w:i/>
              </w:rPr>
            </w:pPr>
            <w:r w:rsidRPr="00934A5F">
              <w:rPr>
                <w:b/>
                <w:i/>
              </w:rPr>
              <w:t>0.64 (0.03)</w:t>
            </w:r>
          </w:p>
        </w:tc>
      </w:tr>
    </w:tbl>
    <w:p w:rsidR="005D2B18" w:rsidRDefault="005D2B18" w:rsidP="005D2B18"/>
    <w:p w:rsidR="005D2B18" w:rsidRDefault="005D2B18" w:rsidP="005D2B18">
      <w:pPr>
        <w:spacing w:after="200" w:line="276" w:lineRule="auto"/>
      </w:pPr>
    </w:p>
    <w:p w:rsidR="005D2B18" w:rsidRDefault="005D2B18" w:rsidP="005D2B18">
      <w:pPr>
        <w:sectPr w:rsidR="005D2B18">
          <w:pgSz w:w="11906" w:h="16838"/>
          <w:pgMar w:top="1440" w:right="1440" w:bottom="1440" w:left="1440" w:header="708" w:footer="708" w:gutter="0"/>
          <w:cols w:space="708"/>
          <w:docGrid w:linePitch="360"/>
        </w:sectPr>
      </w:pPr>
    </w:p>
    <w:p w:rsidR="005D2B18" w:rsidRDefault="005D2B18" w:rsidP="005D2B18">
      <w:pPr>
        <w:rPr>
          <w:u w:val="single"/>
        </w:rPr>
      </w:pPr>
      <w:proofErr w:type="gramStart"/>
      <w:r w:rsidRPr="005202A2">
        <w:rPr>
          <w:u w:val="single"/>
        </w:rPr>
        <w:lastRenderedPageBreak/>
        <w:t>Table 8.</w:t>
      </w:r>
      <w:proofErr w:type="gramEnd"/>
      <w:r w:rsidRPr="005202A2">
        <w:rPr>
          <w:u w:val="single"/>
        </w:rPr>
        <w:t xml:space="preserve"> 4-item LBP-TBQ: Means (M), Standard Deviations (SD), Stability and </w:t>
      </w:r>
      <w:proofErr w:type="spellStart"/>
      <w:r w:rsidRPr="005202A2">
        <w:rPr>
          <w:u w:val="single"/>
        </w:rPr>
        <w:t>Cronbach</w:t>
      </w:r>
      <w:proofErr w:type="spellEnd"/>
      <w:r w:rsidRPr="005202A2">
        <w:rPr>
          <w:u w:val="single"/>
        </w:rPr>
        <w:t xml:space="preserve"> α</w:t>
      </w:r>
    </w:p>
    <w:p w:rsidR="005D2B18" w:rsidRPr="005202A2" w:rsidRDefault="005D2B18" w:rsidP="005D2B18">
      <w:pPr>
        <w:rPr>
          <w:u w:val="single"/>
        </w:rPr>
      </w:pPr>
    </w:p>
    <w:tbl>
      <w:tblPr>
        <w:tblW w:w="4990" w:type="pct"/>
        <w:tblInd w:w="108" w:type="dxa"/>
        <w:tblLayout w:type="fixed"/>
        <w:tblLook w:val="01E0"/>
      </w:tblPr>
      <w:tblGrid>
        <w:gridCol w:w="2837"/>
        <w:gridCol w:w="1398"/>
        <w:gridCol w:w="566"/>
        <w:gridCol w:w="852"/>
        <w:gridCol w:w="1392"/>
        <w:gridCol w:w="710"/>
        <w:gridCol w:w="750"/>
        <w:gridCol w:w="1369"/>
        <w:gridCol w:w="566"/>
        <w:gridCol w:w="854"/>
        <w:gridCol w:w="1412"/>
        <w:gridCol w:w="659"/>
        <w:gridCol w:w="781"/>
      </w:tblGrid>
      <w:tr w:rsidR="005D2B18" w:rsidRPr="00DE3551" w:rsidTr="00EE0D7D">
        <w:tc>
          <w:tcPr>
            <w:tcW w:w="1003" w:type="pct"/>
            <w:tcBorders>
              <w:top w:val="single" w:sz="4" w:space="0" w:color="auto"/>
            </w:tcBorders>
            <w:shd w:val="clear" w:color="auto" w:fill="auto"/>
          </w:tcPr>
          <w:p w:rsidR="005D2B18" w:rsidRPr="00DE3551" w:rsidRDefault="005D2B18" w:rsidP="00EE0D7D">
            <w:pPr>
              <w:ind w:right="-108"/>
            </w:pPr>
          </w:p>
        </w:tc>
        <w:tc>
          <w:tcPr>
            <w:tcW w:w="995" w:type="pct"/>
            <w:gridSpan w:val="3"/>
            <w:tcBorders>
              <w:top w:val="single" w:sz="4" w:space="0" w:color="auto"/>
            </w:tcBorders>
          </w:tcPr>
          <w:p w:rsidR="005D2B18" w:rsidRPr="00DE3551" w:rsidRDefault="005D2B18" w:rsidP="00EE0D7D">
            <w:r>
              <w:t xml:space="preserve">Pain </w:t>
            </w:r>
            <w:r w:rsidRPr="00DE3551">
              <w:t>Medication</w:t>
            </w:r>
          </w:p>
        </w:tc>
        <w:tc>
          <w:tcPr>
            <w:tcW w:w="1008" w:type="pct"/>
            <w:gridSpan w:val="3"/>
            <w:tcBorders>
              <w:top w:val="single" w:sz="4" w:space="0" w:color="auto"/>
            </w:tcBorders>
          </w:tcPr>
          <w:p w:rsidR="005D2B18" w:rsidRPr="00DE3551" w:rsidRDefault="005D2B18" w:rsidP="00EE0D7D">
            <w:r w:rsidRPr="00DE3551">
              <w:t>Exercise</w:t>
            </w:r>
          </w:p>
        </w:tc>
        <w:tc>
          <w:tcPr>
            <w:tcW w:w="986" w:type="pct"/>
            <w:gridSpan w:val="3"/>
            <w:tcBorders>
              <w:top w:val="single" w:sz="4" w:space="0" w:color="auto"/>
            </w:tcBorders>
          </w:tcPr>
          <w:p w:rsidR="005D2B18" w:rsidRPr="00DE3551" w:rsidRDefault="005D2B18" w:rsidP="00EE0D7D">
            <w:r w:rsidRPr="00DE3551">
              <w:t>Manual Therapy</w:t>
            </w:r>
          </w:p>
        </w:tc>
        <w:tc>
          <w:tcPr>
            <w:tcW w:w="1009" w:type="pct"/>
            <w:gridSpan w:val="3"/>
            <w:tcBorders>
              <w:top w:val="single" w:sz="4" w:space="0" w:color="auto"/>
            </w:tcBorders>
          </w:tcPr>
          <w:p w:rsidR="005D2B18" w:rsidRPr="00DE3551" w:rsidRDefault="005D2B18" w:rsidP="00EE0D7D">
            <w:r w:rsidRPr="00DE3551">
              <w:t>Acupuncture</w:t>
            </w:r>
          </w:p>
        </w:tc>
      </w:tr>
      <w:tr w:rsidR="005D2B18" w:rsidRPr="00DE3551" w:rsidTr="00EE0D7D">
        <w:tc>
          <w:tcPr>
            <w:tcW w:w="1003" w:type="pct"/>
            <w:tcBorders>
              <w:bottom w:val="single" w:sz="4" w:space="0" w:color="auto"/>
            </w:tcBorders>
            <w:shd w:val="clear" w:color="auto" w:fill="auto"/>
          </w:tcPr>
          <w:p w:rsidR="005D2B18" w:rsidRPr="00DE3551" w:rsidRDefault="005D2B18" w:rsidP="00EE0D7D">
            <w:pPr>
              <w:ind w:right="-108"/>
            </w:pPr>
            <w:r>
              <w:t>Scale/Item</w:t>
            </w:r>
          </w:p>
        </w:tc>
        <w:tc>
          <w:tcPr>
            <w:tcW w:w="494" w:type="pct"/>
            <w:tcBorders>
              <w:bottom w:val="single" w:sz="4" w:space="0" w:color="auto"/>
            </w:tcBorders>
          </w:tcPr>
          <w:p w:rsidR="005D2B18" w:rsidRPr="00DE3551" w:rsidRDefault="005D2B18" w:rsidP="00EE0D7D">
            <w:r w:rsidRPr="00DE3551">
              <w:t>M(SD)</w:t>
            </w:r>
          </w:p>
        </w:tc>
        <w:tc>
          <w:tcPr>
            <w:tcW w:w="200" w:type="pct"/>
            <w:tcBorders>
              <w:bottom w:val="single" w:sz="4" w:space="0" w:color="auto"/>
            </w:tcBorders>
          </w:tcPr>
          <w:p w:rsidR="005D2B18" w:rsidRPr="00DE3551" w:rsidRDefault="005D2B18" w:rsidP="00EE0D7D">
            <w:r w:rsidRPr="00DE3551">
              <w:t>α</w:t>
            </w:r>
            <w:r w:rsidRPr="00DE3551">
              <w:rPr>
                <w:vertAlign w:val="superscript"/>
              </w:rPr>
              <w:t>†</w:t>
            </w:r>
          </w:p>
        </w:tc>
        <w:tc>
          <w:tcPr>
            <w:tcW w:w="301" w:type="pct"/>
            <w:tcBorders>
              <w:bottom w:val="single" w:sz="4" w:space="0" w:color="auto"/>
            </w:tcBorders>
          </w:tcPr>
          <w:p w:rsidR="005D2B18" w:rsidRPr="00DE3551" w:rsidRDefault="005D2B18" w:rsidP="00EE0D7D">
            <w:r>
              <w:t>Test-retest</w:t>
            </w:r>
          </w:p>
        </w:tc>
        <w:tc>
          <w:tcPr>
            <w:tcW w:w="492" w:type="pct"/>
            <w:tcBorders>
              <w:bottom w:val="single" w:sz="4" w:space="0" w:color="auto"/>
            </w:tcBorders>
          </w:tcPr>
          <w:p w:rsidR="005D2B18" w:rsidRPr="00DE3551" w:rsidRDefault="005D2B18" w:rsidP="00EE0D7D">
            <w:r w:rsidRPr="00DE3551">
              <w:t>M(SD)</w:t>
            </w:r>
          </w:p>
        </w:tc>
        <w:tc>
          <w:tcPr>
            <w:tcW w:w="251" w:type="pct"/>
            <w:tcBorders>
              <w:bottom w:val="single" w:sz="4" w:space="0" w:color="auto"/>
            </w:tcBorders>
          </w:tcPr>
          <w:p w:rsidR="005D2B18" w:rsidRPr="00DE3551" w:rsidRDefault="005D2B18" w:rsidP="00EE0D7D">
            <w:r w:rsidRPr="00DE3551">
              <w:t>α</w:t>
            </w:r>
            <w:r w:rsidRPr="00DE3551">
              <w:rPr>
                <w:vertAlign w:val="superscript"/>
              </w:rPr>
              <w:t>†</w:t>
            </w:r>
          </w:p>
        </w:tc>
        <w:tc>
          <w:tcPr>
            <w:tcW w:w="265" w:type="pct"/>
            <w:tcBorders>
              <w:bottom w:val="single" w:sz="4" w:space="0" w:color="auto"/>
            </w:tcBorders>
          </w:tcPr>
          <w:p w:rsidR="005D2B18" w:rsidRPr="00DE3551" w:rsidRDefault="005D2B18" w:rsidP="00EE0D7D">
            <w:r>
              <w:t>Test-retest</w:t>
            </w:r>
          </w:p>
        </w:tc>
        <w:tc>
          <w:tcPr>
            <w:tcW w:w="484" w:type="pct"/>
            <w:tcBorders>
              <w:bottom w:val="single" w:sz="4" w:space="0" w:color="auto"/>
            </w:tcBorders>
          </w:tcPr>
          <w:p w:rsidR="005D2B18" w:rsidRPr="00DE3551" w:rsidRDefault="005D2B18" w:rsidP="00EE0D7D">
            <w:r w:rsidRPr="00DE3551">
              <w:t>M(SD)</w:t>
            </w:r>
          </w:p>
        </w:tc>
        <w:tc>
          <w:tcPr>
            <w:tcW w:w="200" w:type="pct"/>
            <w:tcBorders>
              <w:bottom w:val="single" w:sz="4" w:space="0" w:color="auto"/>
            </w:tcBorders>
          </w:tcPr>
          <w:p w:rsidR="005D2B18" w:rsidRPr="00DE3551" w:rsidRDefault="005D2B18" w:rsidP="00EE0D7D">
            <w:r w:rsidRPr="00DE3551">
              <w:t>α</w:t>
            </w:r>
            <w:r w:rsidRPr="00DE3551">
              <w:rPr>
                <w:vertAlign w:val="superscript"/>
              </w:rPr>
              <w:t>†</w:t>
            </w:r>
          </w:p>
        </w:tc>
        <w:tc>
          <w:tcPr>
            <w:tcW w:w="302" w:type="pct"/>
            <w:tcBorders>
              <w:bottom w:val="single" w:sz="4" w:space="0" w:color="auto"/>
            </w:tcBorders>
          </w:tcPr>
          <w:p w:rsidR="005D2B18" w:rsidRPr="00DE3551" w:rsidRDefault="005D2B18" w:rsidP="00EE0D7D">
            <w:r>
              <w:t>Test-retest</w:t>
            </w:r>
          </w:p>
        </w:tc>
        <w:tc>
          <w:tcPr>
            <w:tcW w:w="499" w:type="pct"/>
            <w:tcBorders>
              <w:bottom w:val="single" w:sz="4" w:space="0" w:color="auto"/>
            </w:tcBorders>
          </w:tcPr>
          <w:p w:rsidR="005D2B18" w:rsidRPr="00DE3551" w:rsidRDefault="005D2B18" w:rsidP="00EE0D7D">
            <w:r w:rsidRPr="00DE3551">
              <w:t>M(SD)</w:t>
            </w:r>
          </w:p>
        </w:tc>
        <w:tc>
          <w:tcPr>
            <w:tcW w:w="233" w:type="pct"/>
            <w:tcBorders>
              <w:bottom w:val="single" w:sz="4" w:space="0" w:color="auto"/>
            </w:tcBorders>
          </w:tcPr>
          <w:p w:rsidR="005D2B18" w:rsidRPr="00DE3551" w:rsidRDefault="005D2B18" w:rsidP="00EE0D7D">
            <w:r w:rsidRPr="00DE3551">
              <w:t>α</w:t>
            </w:r>
            <w:r w:rsidRPr="00DE3551">
              <w:rPr>
                <w:vertAlign w:val="superscript"/>
              </w:rPr>
              <w:t>†</w:t>
            </w:r>
          </w:p>
        </w:tc>
        <w:tc>
          <w:tcPr>
            <w:tcW w:w="277" w:type="pct"/>
            <w:tcBorders>
              <w:bottom w:val="single" w:sz="4" w:space="0" w:color="auto"/>
            </w:tcBorders>
          </w:tcPr>
          <w:p w:rsidR="005D2B18" w:rsidRPr="00DE3551" w:rsidRDefault="005D2B18" w:rsidP="00EE0D7D">
            <w:r>
              <w:t>Test-retest</w:t>
            </w:r>
          </w:p>
        </w:tc>
      </w:tr>
      <w:tr w:rsidR="005D2B18" w:rsidRPr="00DE3551" w:rsidTr="00EE0D7D">
        <w:tc>
          <w:tcPr>
            <w:tcW w:w="1003" w:type="pct"/>
            <w:tcBorders>
              <w:top w:val="single" w:sz="4" w:space="0" w:color="auto"/>
              <w:bottom w:val="single" w:sz="4" w:space="0" w:color="auto"/>
            </w:tcBorders>
          </w:tcPr>
          <w:p w:rsidR="005D2B18" w:rsidRPr="00DE3551" w:rsidRDefault="005D2B18" w:rsidP="00EE0D7D">
            <w:pPr>
              <w:ind w:right="-108"/>
            </w:pPr>
            <w:r>
              <w:t>Short form</w:t>
            </w:r>
          </w:p>
        </w:tc>
        <w:tc>
          <w:tcPr>
            <w:tcW w:w="494" w:type="pct"/>
            <w:tcBorders>
              <w:top w:val="single" w:sz="4" w:space="0" w:color="auto"/>
              <w:bottom w:val="single" w:sz="4" w:space="0" w:color="auto"/>
            </w:tcBorders>
          </w:tcPr>
          <w:p w:rsidR="005D2B18" w:rsidRPr="00DE3551" w:rsidRDefault="005D2B18" w:rsidP="00EE0D7D">
            <w:r>
              <w:t>3.58 (0.75)</w:t>
            </w:r>
          </w:p>
        </w:tc>
        <w:tc>
          <w:tcPr>
            <w:tcW w:w="200" w:type="pct"/>
            <w:tcBorders>
              <w:top w:val="single" w:sz="4" w:space="0" w:color="auto"/>
              <w:bottom w:val="single" w:sz="4" w:space="0" w:color="auto"/>
            </w:tcBorders>
          </w:tcPr>
          <w:p w:rsidR="005D2B18" w:rsidRPr="00DE3551" w:rsidRDefault="005D2B18" w:rsidP="00EE0D7D">
            <w:r w:rsidRPr="00DE3551">
              <w:t>.7</w:t>
            </w:r>
            <w:r>
              <w:t xml:space="preserve">0 </w:t>
            </w:r>
          </w:p>
        </w:tc>
        <w:tc>
          <w:tcPr>
            <w:tcW w:w="301" w:type="pct"/>
            <w:tcBorders>
              <w:top w:val="single" w:sz="4" w:space="0" w:color="auto"/>
              <w:bottom w:val="single" w:sz="4" w:space="0" w:color="auto"/>
            </w:tcBorders>
          </w:tcPr>
          <w:p w:rsidR="005D2B18" w:rsidRDefault="005D2B18" w:rsidP="00EE0D7D">
            <w:r>
              <w:t>.82</w:t>
            </w:r>
          </w:p>
        </w:tc>
        <w:tc>
          <w:tcPr>
            <w:tcW w:w="492" w:type="pct"/>
            <w:tcBorders>
              <w:top w:val="single" w:sz="4" w:space="0" w:color="auto"/>
              <w:bottom w:val="single" w:sz="4" w:space="0" w:color="auto"/>
            </w:tcBorders>
          </w:tcPr>
          <w:p w:rsidR="005D2B18" w:rsidRPr="00DE3551" w:rsidRDefault="005D2B18" w:rsidP="00EE0D7D">
            <w:r>
              <w:t>3.63 (0.79)</w:t>
            </w:r>
          </w:p>
        </w:tc>
        <w:tc>
          <w:tcPr>
            <w:tcW w:w="251" w:type="pct"/>
            <w:tcBorders>
              <w:top w:val="single" w:sz="4" w:space="0" w:color="auto"/>
              <w:bottom w:val="single" w:sz="4" w:space="0" w:color="auto"/>
            </w:tcBorders>
          </w:tcPr>
          <w:p w:rsidR="005D2B18" w:rsidRPr="00DE3551" w:rsidRDefault="005D2B18" w:rsidP="00EE0D7D">
            <w:r w:rsidRPr="00DE3551">
              <w:t>8</w:t>
            </w:r>
            <w:r>
              <w:t xml:space="preserve">1 </w:t>
            </w:r>
          </w:p>
        </w:tc>
        <w:tc>
          <w:tcPr>
            <w:tcW w:w="265" w:type="pct"/>
            <w:tcBorders>
              <w:top w:val="single" w:sz="4" w:space="0" w:color="auto"/>
              <w:bottom w:val="single" w:sz="4" w:space="0" w:color="auto"/>
            </w:tcBorders>
          </w:tcPr>
          <w:p w:rsidR="005D2B18" w:rsidRDefault="005D2B18" w:rsidP="00EE0D7D">
            <w:r>
              <w:t>.84</w:t>
            </w:r>
          </w:p>
        </w:tc>
        <w:tc>
          <w:tcPr>
            <w:tcW w:w="484" w:type="pct"/>
            <w:tcBorders>
              <w:top w:val="single" w:sz="4" w:space="0" w:color="auto"/>
              <w:bottom w:val="single" w:sz="4" w:space="0" w:color="auto"/>
            </w:tcBorders>
          </w:tcPr>
          <w:p w:rsidR="005D2B18" w:rsidRPr="00DE3551" w:rsidRDefault="005D2B18" w:rsidP="00EE0D7D">
            <w:r>
              <w:t>3.51 (0.84)</w:t>
            </w:r>
          </w:p>
        </w:tc>
        <w:tc>
          <w:tcPr>
            <w:tcW w:w="200" w:type="pct"/>
            <w:tcBorders>
              <w:top w:val="single" w:sz="4" w:space="0" w:color="auto"/>
              <w:bottom w:val="single" w:sz="4" w:space="0" w:color="auto"/>
            </w:tcBorders>
          </w:tcPr>
          <w:p w:rsidR="005D2B18" w:rsidRPr="00DE3551" w:rsidRDefault="005D2B18" w:rsidP="00EE0D7D">
            <w:r w:rsidRPr="00DE3551">
              <w:t>.8</w:t>
            </w:r>
            <w:r>
              <w:t xml:space="preserve">6 </w:t>
            </w:r>
          </w:p>
        </w:tc>
        <w:tc>
          <w:tcPr>
            <w:tcW w:w="302" w:type="pct"/>
            <w:tcBorders>
              <w:top w:val="single" w:sz="4" w:space="0" w:color="auto"/>
              <w:bottom w:val="single" w:sz="4" w:space="0" w:color="auto"/>
            </w:tcBorders>
          </w:tcPr>
          <w:p w:rsidR="005D2B18" w:rsidRDefault="005D2B18" w:rsidP="00EE0D7D">
            <w:r>
              <w:t>.85</w:t>
            </w:r>
          </w:p>
        </w:tc>
        <w:tc>
          <w:tcPr>
            <w:tcW w:w="499" w:type="pct"/>
            <w:tcBorders>
              <w:top w:val="single" w:sz="4" w:space="0" w:color="auto"/>
              <w:bottom w:val="single" w:sz="4" w:space="0" w:color="auto"/>
            </w:tcBorders>
          </w:tcPr>
          <w:p w:rsidR="005D2B18" w:rsidRPr="00DE3551" w:rsidRDefault="005D2B18" w:rsidP="00EE0D7D">
            <w:r>
              <w:t>3.19 (0.76)</w:t>
            </w:r>
          </w:p>
        </w:tc>
        <w:tc>
          <w:tcPr>
            <w:tcW w:w="233" w:type="pct"/>
            <w:tcBorders>
              <w:top w:val="single" w:sz="4" w:space="0" w:color="auto"/>
              <w:bottom w:val="single" w:sz="4" w:space="0" w:color="auto"/>
            </w:tcBorders>
          </w:tcPr>
          <w:p w:rsidR="005D2B18" w:rsidRPr="00DE3551" w:rsidRDefault="005D2B18" w:rsidP="00EE0D7D">
            <w:r w:rsidRPr="00DE3551">
              <w:t>.8</w:t>
            </w:r>
            <w:r>
              <w:t xml:space="preserve">3 </w:t>
            </w:r>
          </w:p>
        </w:tc>
        <w:tc>
          <w:tcPr>
            <w:tcW w:w="277" w:type="pct"/>
            <w:tcBorders>
              <w:top w:val="single" w:sz="4" w:space="0" w:color="auto"/>
              <w:bottom w:val="single" w:sz="4" w:space="0" w:color="auto"/>
            </w:tcBorders>
          </w:tcPr>
          <w:p w:rsidR="005D2B18" w:rsidRPr="00DE3551" w:rsidRDefault="005D2B18" w:rsidP="00EE0D7D">
            <w:r>
              <w:t>.82</w:t>
            </w:r>
          </w:p>
        </w:tc>
      </w:tr>
      <w:tr w:rsidR="005D2B18" w:rsidRPr="00DE3551" w:rsidTr="00EE0D7D">
        <w:tc>
          <w:tcPr>
            <w:tcW w:w="1003" w:type="pct"/>
            <w:tcBorders>
              <w:top w:val="single" w:sz="4" w:space="0" w:color="auto"/>
            </w:tcBorders>
          </w:tcPr>
          <w:p w:rsidR="005D2B18" w:rsidRPr="0093396E" w:rsidRDefault="005D2B18" w:rsidP="00EE0D7D">
            <w:pPr>
              <w:rPr>
                <w:lang w:val="en-US"/>
              </w:rPr>
            </w:pPr>
            <w:r w:rsidRPr="0093396E">
              <w:rPr>
                <w:lang w:val="en-US"/>
              </w:rPr>
              <w:t>Taking/Having […] for back pain makes a lot of sense</w:t>
            </w:r>
          </w:p>
        </w:tc>
        <w:tc>
          <w:tcPr>
            <w:tcW w:w="494" w:type="pct"/>
            <w:tcBorders>
              <w:top w:val="single" w:sz="4" w:space="0" w:color="auto"/>
            </w:tcBorders>
          </w:tcPr>
          <w:p w:rsidR="005D2B18" w:rsidRPr="00DE3551" w:rsidRDefault="005D2B18" w:rsidP="00EE0D7D">
            <w:r w:rsidRPr="00DE3551">
              <w:t>3.75 (0.91)</w:t>
            </w:r>
          </w:p>
        </w:tc>
        <w:tc>
          <w:tcPr>
            <w:tcW w:w="200" w:type="pct"/>
            <w:tcBorders>
              <w:top w:val="single" w:sz="4" w:space="0" w:color="auto"/>
            </w:tcBorders>
          </w:tcPr>
          <w:p w:rsidR="005D2B18" w:rsidRPr="00DE3551" w:rsidRDefault="005D2B18" w:rsidP="00EE0D7D">
            <w:r w:rsidRPr="00DE3551">
              <w:t>.</w:t>
            </w:r>
            <w:r>
              <w:t>6</w:t>
            </w:r>
            <w:r w:rsidRPr="00DE3551">
              <w:t>0</w:t>
            </w:r>
          </w:p>
        </w:tc>
        <w:tc>
          <w:tcPr>
            <w:tcW w:w="301" w:type="pct"/>
            <w:tcBorders>
              <w:top w:val="single" w:sz="4" w:space="0" w:color="auto"/>
            </w:tcBorders>
          </w:tcPr>
          <w:p w:rsidR="005D2B18" w:rsidRPr="00DE3551" w:rsidRDefault="005D2B18" w:rsidP="00EE0D7D"/>
        </w:tc>
        <w:tc>
          <w:tcPr>
            <w:tcW w:w="492" w:type="pct"/>
            <w:tcBorders>
              <w:top w:val="single" w:sz="4" w:space="0" w:color="auto"/>
            </w:tcBorders>
          </w:tcPr>
          <w:p w:rsidR="005D2B18" w:rsidRPr="00DE3551" w:rsidRDefault="005D2B18" w:rsidP="00EE0D7D">
            <w:r w:rsidRPr="00DE3551">
              <w:t>3.</w:t>
            </w:r>
            <w:r>
              <w:t>86</w:t>
            </w:r>
            <w:r w:rsidRPr="00DE3551">
              <w:t xml:space="preserve"> (0.</w:t>
            </w:r>
            <w:r>
              <w:t>88</w:t>
            </w:r>
            <w:r w:rsidRPr="00DE3551">
              <w:t>)</w:t>
            </w:r>
          </w:p>
        </w:tc>
        <w:tc>
          <w:tcPr>
            <w:tcW w:w="251" w:type="pct"/>
            <w:tcBorders>
              <w:top w:val="single" w:sz="4" w:space="0" w:color="auto"/>
            </w:tcBorders>
          </w:tcPr>
          <w:p w:rsidR="005D2B18" w:rsidRPr="00DE3551" w:rsidRDefault="005D2B18" w:rsidP="00EE0D7D">
            <w:r w:rsidRPr="00181783">
              <w:t>.</w:t>
            </w:r>
            <w:r>
              <w:t>74</w:t>
            </w:r>
          </w:p>
        </w:tc>
        <w:tc>
          <w:tcPr>
            <w:tcW w:w="265" w:type="pct"/>
            <w:tcBorders>
              <w:top w:val="single" w:sz="4" w:space="0" w:color="auto"/>
            </w:tcBorders>
          </w:tcPr>
          <w:p w:rsidR="005D2B18" w:rsidRPr="0017346F" w:rsidRDefault="005D2B18" w:rsidP="00EE0D7D"/>
        </w:tc>
        <w:tc>
          <w:tcPr>
            <w:tcW w:w="484" w:type="pct"/>
            <w:tcBorders>
              <w:top w:val="single" w:sz="4" w:space="0" w:color="auto"/>
            </w:tcBorders>
          </w:tcPr>
          <w:p w:rsidR="005D2B18" w:rsidRPr="00DE3551" w:rsidRDefault="005D2B18" w:rsidP="00EE0D7D">
            <w:r w:rsidRPr="0017346F">
              <w:t>3.</w:t>
            </w:r>
            <w:r>
              <w:t>67</w:t>
            </w:r>
            <w:r w:rsidRPr="0017346F">
              <w:t xml:space="preserve"> (0.9</w:t>
            </w:r>
            <w:r>
              <w:t>2</w:t>
            </w:r>
            <w:r w:rsidRPr="0017346F">
              <w:t>)</w:t>
            </w:r>
          </w:p>
        </w:tc>
        <w:tc>
          <w:tcPr>
            <w:tcW w:w="200" w:type="pct"/>
            <w:tcBorders>
              <w:top w:val="single" w:sz="4" w:space="0" w:color="auto"/>
            </w:tcBorders>
          </w:tcPr>
          <w:p w:rsidR="005D2B18" w:rsidRPr="00DE3551" w:rsidRDefault="005D2B18" w:rsidP="00EE0D7D">
            <w:r w:rsidRPr="00884924">
              <w:t>.8</w:t>
            </w:r>
            <w:r>
              <w:t>0</w:t>
            </w:r>
          </w:p>
        </w:tc>
        <w:tc>
          <w:tcPr>
            <w:tcW w:w="302" w:type="pct"/>
            <w:tcBorders>
              <w:top w:val="single" w:sz="4" w:space="0" w:color="auto"/>
            </w:tcBorders>
          </w:tcPr>
          <w:p w:rsidR="005D2B18" w:rsidRPr="0017346F" w:rsidRDefault="005D2B18" w:rsidP="00EE0D7D"/>
        </w:tc>
        <w:tc>
          <w:tcPr>
            <w:tcW w:w="499" w:type="pct"/>
            <w:tcBorders>
              <w:top w:val="single" w:sz="4" w:space="0" w:color="auto"/>
            </w:tcBorders>
          </w:tcPr>
          <w:p w:rsidR="005D2B18" w:rsidRPr="00DE3551" w:rsidRDefault="005D2B18" w:rsidP="00EE0D7D">
            <w:r w:rsidRPr="0017346F">
              <w:t>3.</w:t>
            </w:r>
            <w:r>
              <w:t xml:space="preserve">21 </w:t>
            </w:r>
            <w:r w:rsidRPr="0017346F">
              <w:t>(0.9</w:t>
            </w:r>
            <w:r>
              <w:t>0</w:t>
            </w:r>
            <w:r w:rsidRPr="0017346F">
              <w:t>)</w:t>
            </w:r>
          </w:p>
        </w:tc>
        <w:tc>
          <w:tcPr>
            <w:tcW w:w="233" w:type="pct"/>
            <w:tcBorders>
              <w:top w:val="single" w:sz="4" w:space="0" w:color="auto"/>
            </w:tcBorders>
          </w:tcPr>
          <w:p w:rsidR="005D2B18" w:rsidRPr="00DE3551" w:rsidRDefault="005D2B18" w:rsidP="00EE0D7D">
            <w:r w:rsidRPr="007825AE">
              <w:t>.</w:t>
            </w:r>
            <w:r>
              <w:t>76</w:t>
            </w:r>
          </w:p>
        </w:tc>
        <w:tc>
          <w:tcPr>
            <w:tcW w:w="277" w:type="pct"/>
            <w:tcBorders>
              <w:top w:val="single" w:sz="4" w:space="0" w:color="auto"/>
            </w:tcBorders>
          </w:tcPr>
          <w:p w:rsidR="005D2B18" w:rsidRPr="007825AE" w:rsidRDefault="005D2B18" w:rsidP="00EE0D7D"/>
        </w:tc>
      </w:tr>
      <w:tr w:rsidR="005D2B18" w:rsidRPr="00DE3551" w:rsidTr="00EE0D7D">
        <w:tc>
          <w:tcPr>
            <w:tcW w:w="1003" w:type="pct"/>
          </w:tcPr>
          <w:p w:rsidR="005D2B18" w:rsidRPr="0093396E" w:rsidRDefault="005D2B18" w:rsidP="00EE0D7D">
            <w:pPr>
              <w:rPr>
                <w:lang w:val="en-US"/>
              </w:rPr>
            </w:pPr>
            <w:r w:rsidRPr="0093396E">
              <w:rPr>
                <w:lang w:val="en-US"/>
              </w:rPr>
              <w:t>I think […] is pretty useless for people with back pain (r)</w:t>
            </w:r>
          </w:p>
        </w:tc>
        <w:tc>
          <w:tcPr>
            <w:tcW w:w="494" w:type="pct"/>
          </w:tcPr>
          <w:p w:rsidR="005D2B18" w:rsidRPr="00DE3551" w:rsidRDefault="005D2B18" w:rsidP="00EE0D7D">
            <w:r w:rsidRPr="00DE3551">
              <w:t>3.98 (0.96)</w:t>
            </w:r>
          </w:p>
        </w:tc>
        <w:tc>
          <w:tcPr>
            <w:tcW w:w="200" w:type="pct"/>
          </w:tcPr>
          <w:p w:rsidR="005D2B18" w:rsidRPr="00DE3551" w:rsidRDefault="005D2B18" w:rsidP="00EE0D7D">
            <w:r w:rsidRPr="00DE3551">
              <w:t>.</w:t>
            </w:r>
            <w:r>
              <w:t>67</w:t>
            </w:r>
          </w:p>
        </w:tc>
        <w:tc>
          <w:tcPr>
            <w:tcW w:w="301" w:type="pct"/>
          </w:tcPr>
          <w:p w:rsidR="005D2B18" w:rsidRPr="00DE3551" w:rsidRDefault="005D2B18" w:rsidP="00EE0D7D"/>
        </w:tc>
        <w:tc>
          <w:tcPr>
            <w:tcW w:w="492" w:type="pct"/>
          </w:tcPr>
          <w:p w:rsidR="005D2B18" w:rsidRPr="00DE3551" w:rsidRDefault="005D2B18" w:rsidP="00EE0D7D">
            <w:r w:rsidRPr="00DE3551">
              <w:t>3.</w:t>
            </w:r>
            <w:r>
              <w:t>99</w:t>
            </w:r>
            <w:r w:rsidRPr="00DE3551">
              <w:t xml:space="preserve"> (</w:t>
            </w:r>
            <w:r>
              <w:t>0</w:t>
            </w:r>
            <w:r w:rsidRPr="00DE3551">
              <w:t>.</w:t>
            </w:r>
            <w:r>
              <w:t>91</w:t>
            </w:r>
            <w:r w:rsidRPr="00DE3551">
              <w:t>)</w:t>
            </w:r>
          </w:p>
        </w:tc>
        <w:tc>
          <w:tcPr>
            <w:tcW w:w="251" w:type="pct"/>
          </w:tcPr>
          <w:p w:rsidR="005D2B18" w:rsidRPr="00DE3551" w:rsidRDefault="005D2B18" w:rsidP="00EE0D7D">
            <w:r w:rsidRPr="008E13D0">
              <w:t>.</w:t>
            </w:r>
            <w:r>
              <w:t>79</w:t>
            </w:r>
          </w:p>
        </w:tc>
        <w:tc>
          <w:tcPr>
            <w:tcW w:w="265" w:type="pct"/>
          </w:tcPr>
          <w:p w:rsidR="005D2B18" w:rsidRPr="00551A82" w:rsidRDefault="005D2B18" w:rsidP="00EE0D7D"/>
        </w:tc>
        <w:tc>
          <w:tcPr>
            <w:tcW w:w="484" w:type="pct"/>
          </w:tcPr>
          <w:p w:rsidR="005D2B18" w:rsidRPr="00DE3551" w:rsidRDefault="005D2B18" w:rsidP="00EE0D7D">
            <w:r w:rsidRPr="00551A82">
              <w:t>3.86 (0.8</w:t>
            </w:r>
            <w:r>
              <w:t>7</w:t>
            </w:r>
            <w:r w:rsidRPr="00551A82">
              <w:t>)</w:t>
            </w:r>
          </w:p>
        </w:tc>
        <w:tc>
          <w:tcPr>
            <w:tcW w:w="200" w:type="pct"/>
          </w:tcPr>
          <w:p w:rsidR="005D2B18" w:rsidRPr="00DE3551" w:rsidRDefault="005D2B18" w:rsidP="00EE0D7D">
            <w:r w:rsidRPr="00562856">
              <w:t>.8</w:t>
            </w:r>
            <w:r>
              <w:t>3</w:t>
            </w:r>
          </w:p>
        </w:tc>
        <w:tc>
          <w:tcPr>
            <w:tcW w:w="302" w:type="pct"/>
          </w:tcPr>
          <w:p w:rsidR="005D2B18" w:rsidRPr="00551A82" w:rsidRDefault="005D2B18" w:rsidP="00EE0D7D"/>
        </w:tc>
        <w:tc>
          <w:tcPr>
            <w:tcW w:w="499" w:type="pct"/>
          </w:tcPr>
          <w:p w:rsidR="005D2B18" w:rsidRPr="00DE3551" w:rsidRDefault="005D2B18" w:rsidP="00EE0D7D">
            <w:r w:rsidRPr="00551A82">
              <w:t>3.</w:t>
            </w:r>
            <w:r>
              <w:t>43</w:t>
            </w:r>
            <w:r w:rsidRPr="00551A82">
              <w:t xml:space="preserve"> (0.8</w:t>
            </w:r>
            <w:r>
              <w:t>2</w:t>
            </w:r>
            <w:r w:rsidRPr="00551A82">
              <w:t>)</w:t>
            </w:r>
          </w:p>
        </w:tc>
        <w:tc>
          <w:tcPr>
            <w:tcW w:w="233" w:type="pct"/>
          </w:tcPr>
          <w:p w:rsidR="005D2B18" w:rsidRPr="00DE3551" w:rsidRDefault="005D2B18" w:rsidP="00EE0D7D">
            <w:r w:rsidRPr="00FD252A">
              <w:t>.</w:t>
            </w:r>
            <w:r>
              <w:t>78</w:t>
            </w:r>
          </w:p>
        </w:tc>
        <w:tc>
          <w:tcPr>
            <w:tcW w:w="277" w:type="pct"/>
          </w:tcPr>
          <w:p w:rsidR="005D2B18" w:rsidRPr="00DE3551" w:rsidRDefault="005D2B18" w:rsidP="00EE0D7D"/>
        </w:tc>
      </w:tr>
      <w:tr w:rsidR="005D2B18" w:rsidRPr="00DE3551" w:rsidTr="00EE0D7D">
        <w:tc>
          <w:tcPr>
            <w:tcW w:w="1003" w:type="pct"/>
          </w:tcPr>
          <w:p w:rsidR="005D2B18" w:rsidRPr="0093396E" w:rsidRDefault="005D2B18" w:rsidP="00EE0D7D">
            <w:pPr>
              <w:rPr>
                <w:lang w:val="en-US"/>
              </w:rPr>
            </w:pPr>
            <w:r w:rsidRPr="0093396E">
              <w:rPr>
                <w:lang w:val="en-US"/>
              </w:rPr>
              <w:t>I have concerns about taking/having […] for my back pain (r)</w:t>
            </w:r>
          </w:p>
        </w:tc>
        <w:tc>
          <w:tcPr>
            <w:tcW w:w="494" w:type="pct"/>
          </w:tcPr>
          <w:p w:rsidR="005D2B18" w:rsidRPr="00DE3551" w:rsidRDefault="005D2B18" w:rsidP="00EE0D7D">
            <w:r w:rsidRPr="00DE3551">
              <w:t>3.25 (1.21)</w:t>
            </w:r>
          </w:p>
        </w:tc>
        <w:tc>
          <w:tcPr>
            <w:tcW w:w="200" w:type="pct"/>
          </w:tcPr>
          <w:p w:rsidR="005D2B18" w:rsidRPr="00DE3551" w:rsidRDefault="005D2B18" w:rsidP="00EE0D7D">
            <w:r w:rsidRPr="00DE3551">
              <w:t>.</w:t>
            </w:r>
            <w:r>
              <w:t>71</w:t>
            </w:r>
          </w:p>
        </w:tc>
        <w:tc>
          <w:tcPr>
            <w:tcW w:w="301" w:type="pct"/>
          </w:tcPr>
          <w:p w:rsidR="005D2B18" w:rsidRPr="0049533E" w:rsidRDefault="005D2B18" w:rsidP="00EE0D7D"/>
        </w:tc>
        <w:tc>
          <w:tcPr>
            <w:tcW w:w="492" w:type="pct"/>
          </w:tcPr>
          <w:p w:rsidR="005D2B18" w:rsidRPr="00DE3551" w:rsidRDefault="005D2B18" w:rsidP="00EE0D7D">
            <w:r w:rsidRPr="0049533E">
              <w:t>3.</w:t>
            </w:r>
            <w:r>
              <w:t>22</w:t>
            </w:r>
            <w:r w:rsidRPr="0049533E">
              <w:t xml:space="preserve"> (1.1</w:t>
            </w:r>
            <w:r>
              <w:t>5</w:t>
            </w:r>
            <w:r w:rsidRPr="0049533E">
              <w:t>)</w:t>
            </w:r>
          </w:p>
        </w:tc>
        <w:tc>
          <w:tcPr>
            <w:tcW w:w="251" w:type="pct"/>
          </w:tcPr>
          <w:p w:rsidR="005D2B18" w:rsidRPr="00DE3551" w:rsidRDefault="005D2B18" w:rsidP="00EE0D7D">
            <w:r w:rsidRPr="0093725F">
              <w:t>.7</w:t>
            </w:r>
            <w:r>
              <w:t>7</w:t>
            </w:r>
          </w:p>
        </w:tc>
        <w:tc>
          <w:tcPr>
            <w:tcW w:w="265" w:type="pct"/>
          </w:tcPr>
          <w:p w:rsidR="005D2B18" w:rsidRPr="0049533E" w:rsidRDefault="005D2B18" w:rsidP="00EE0D7D"/>
        </w:tc>
        <w:tc>
          <w:tcPr>
            <w:tcW w:w="484" w:type="pct"/>
          </w:tcPr>
          <w:p w:rsidR="005D2B18" w:rsidRPr="00DE3551" w:rsidRDefault="005D2B18" w:rsidP="00EE0D7D">
            <w:r w:rsidRPr="0049533E">
              <w:t>3.</w:t>
            </w:r>
            <w:r>
              <w:t>23</w:t>
            </w:r>
            <w:r w:rsidRPr="0049533E">
              <w:t xml:space="preserve"> (1.1</w:t>
            </w:r>
            <w:r>
              <w:t>7</w:t>
            </w:r>
            <w:r w:rsidRPr="0049533E">
              <w:t>)</w:t>
            </w:r>
          </w:p>
        </w:tc>
        <w:tc>
          <w:tcPr>
            <w:tcW w:w="200" w:type="pct"/>
          </w:tcPr>
          <w:p w:rsidR="005D2B18" w:rsidRPr="00DE3551" w:rsidRDefault="005D2B18" w:rsidP="00EE0D7D">
            <w:r w:rsidRPr="0084470E">
              <w:t>.8</w:t>
            </w:r>
            <w:r>
              <w:t>3</w:t>
            </w:r>
          </w:p>
        </w:tc>
        <w:tc>
          <w:tcPr>
            <w:tcW w:w="302" w:type="pct"/>
          </w:tcPr>
          <w:p w:rsidR="005D2B18" w:rsidRPr="00B50466" w:rsidRDefault="005D2B18" w:rsidP="00EE0D7D"/>
        </w:tc>
        <w:tc>
          <w:tcPr>
            <w:tcW w:w="499" w:type="pct"/>
          </w:tcPr>
          <w:p w:rsidR="005D2B18" w:rsidRPr="00DE3551" w:rsidRDefault="005D2B18" w:rsidP="00EE0D7D">
            <w:r w:rsidRPr="00B50466">
              <w:t>3.</w:t>
            </w:r>
            <w:r>
              <w:t>20</w:t>
            </w:r>
            <w:r w:rsidRPr="00B50466">
              <w:t xml:space="preserve"> (1.0</w:t>
            </w:r>
            <w:r>
              <w:t>6</w:t>
            </w:r>
            <w:r w:rsidRPr="00B50466">
              <w:t>)</w:t>
            </w:r>
          </w:p>
        </w:tc>
        <w:tc>
          <w:tcPr>
            <w:tcW w:w="233" w:type="pct"/>
          </w:tcPr>
          <w:p w:rsidR="005D2B18" w:rsidRPr="00DE3551" w:rsidRDefault="005D2B18" w:rsidP="00EE0D7D">
            <w:r w:rsidRPr="00E925D0">
              <w:t>.</w:t>
            </w:r>
            <w:r>
              <w:t>81</w:t>
            </w:r>
          </w:p>
        </w:tc>
        <w:tc>
          <w:tcPr>
            <w:tcW w:w="277" w:type="pct"/>
          </w:tcPr>
          <w:p w:rsidR="005D2B18" w:rsidRPr="007825AE" w:rsidRDefault="005D2B18" w:rsidP="00EE0D7D"/>
        </w:tc>
      </w:tr>
      <w:tr w:rsidR="005D2B18" w:rsidRPr="00DE3551" w:rsidTr="00EE0D7D">
        <w:tc>
          <w:tcPr>
            <w:tcW w:w="1003" w:type="pct"/>
            <w:tcBorders>
              <w:bottom w:val="single" w:sz="4" w:space="0" w:color="auto"/>
            </w:tcBorders>
          </w:tcPr>
          <w:p w:rsidR="005D2B18" w:rsidRPr="0093396E" w:rsidRDefault="005D2B18" w:rsidP="00EE0D7D">
            <w:pPr>
              <w:rPr>
                <w:lang w:val="en-US"/>
              </w:rPr>
            </w:pPr>
            <w:r w:rsidRPr="0093396E">
              <w:rPr>
                <w:lang w:val="en-US"/>
              </w:rPr>
              <w:t>I am confident […] would be a suitable treatment for my back pain</w:t>
            </w:r>
          </w:p>
        </w:tc>
        <w:tc>
          <w:tcPr>
            <w:tcW w:w="494" w:type="pct"/>
            <w:tcBorders>
              <w:bottom w:val="single" w:sz="4" w:space="0" w:color="auto"/>
            </w:tcBorders>
          </w:tcPr>
          <w:p w:rsidR="005D2B18" w:rsidRPr="00DE3551" w:rsidRDefault="005D2B18" w:rsidP="00EE0D7D">
            <w:r w:rsidRPr="00DE3551">
              <w:t>3.34 (0.98)</w:t>
            </w:r>
          </w:p>
        </w:tc>
        <w:tc>
          <w:tcPr>
            <w:tcW w:w="200" w:type="pct"/>
            <w:tcBorders>
              <w:bottom w:val="single" w:sz="4" w:space="0" w:color="auto"/>
            </w:tcBorders>
          </w:tcPr>
          <w:p w:rsidR="005D2B18" w:rsidRPr="00DE3551" w:rsidRDefault="005D2B18" w:rsidP="00EE0D7D">
            <w:r w:rsidRPr="00DE3551">
              <w:t>.</w:t>
            </w:r>
            <w:r>
              <w:t>59</w:t>
            </w:r>
          </w:p>
        </w:tc>
        <w:tc>
          <w:tcPr>
            <w:tcW w:w="301" w:type="pct"/>
            <w:tcBorders>
              <w:bottom w:val="single" w:sz="4" w:space="0" w:color="auto"/>
            </w:tcBorders>
          </w:tcPr>
          <w:p w:rsidR="005D2B18" w:rsidRPr="006A04F5" w:rsidRDefault="005D2B18" w:rsidP="00EE0D7D"/>
        </w:tc>
        <w:tc>
          <w:tcPr>
            <w:tcW w:w="492" w:type="pct"/>
            <w:tcBorders>
              <w:bottom w:val="single" w:sz="4" w:space="0" w:color="auto"/>
            </w:tcBorders>
          </w:tcPr>
          <w:p w:rsidR="005D2B18" w:rsidRPr="00DE3551" w:rsidRDefault="005D2B18" w:rsidP="00EE0D7D">
            <w:r w:rsidRPr="006A04F5">
              <w:t>3.4</w:t>
            </w:r>
            <w:r>
              <w:t>5</w:t>
            </w:r>
            <w:r w:rsidRPr="006A04F5">
              <w:t xml:space="preserve"> (1.0</w:t>
            </w:r>
            <w:r>
              <w:t>2</w:t>
            </w:r>
            <w:r w:rsidRPr="006A04F5">
              <w:t>)</w:t>
            </w:r>
          </w:p>
        </w:tc>
        <w:tc>
          <w:tcPr>
            <w:tcW w:w="251" w:type="pct"/>
            <w:tcBorders>
              <w:bottom w:val="single" w:sz="4" w:space="0" w:color="auto"/>
            </w:tcBorders>
          </w:tcPr>
          <w:p w:rsidR="005D2B18" w:rsidRPr="00DE3551" w:rsidRDefault="005D2B18" w:rsidP="00EE0D7D">
            <w:r w:rsidRPr="00931B4A">
              <w:t>.</w:t>
            </w:r>
            <w:r>
              <w:t>73</w:t>
            </w:r>
          </w:p>
        </w:tc>
        <w:tc>
          <w:tcPr>
            <w:tcW w:w="265" w:type="pct"/>
            <w:tcBorders>
              <w:bottom w:val="single" w:sz="4" w:space="0" w:color="auto"/>
            </w:tcBorders>
          </w:tcPr>
          <w:p w:rsidR="005D2B18" w:rsidRPr="006A04F5" w:rsidRDefault="005D2B18" w:rsidP="00EE0D7D"/>
        </w:tc>
        <w:tc>
          <w:tcPr>
            <w:tcW w:w="484" w:type="pct"/>
            <w:tcBorders>
              <w:bottom w:val="single" w:sz="4" w:space="0" w:color="auto"/>
            </w:tcBorders>
          </w:tcPr>
          <w:p w:rsidR="005D2B18" w:rsidRPr="00DE3551" w:rsidRDefault="005D2B18" w:rsidP="00EE0D7D">
            <w:r w:rsidRPr="006A04F5">
              <w:t>3.</w:t>
            </w:r>
            <w:r>
              <w:t>30</w:t>
            </w:r>
            <w:r w:rsidRPr="006A04F5">
              <w:t xml:space="preserve"> (1.0</w:t>
            </w:r>
            <w:r>
              <w:t>6</w:t>
            </w:r>
            <w:r w:rsidRPr="006A04F5">
              <w:t>)</w:t>
            </w:r>
          </w:p>
        </w:tc>
        <w:tc>
          <w:tcPr>
            <w:tcW w:w="200" w:type="pct"/>
            <w:tcBorders>
              <w:bottom w:val="single" w:sz="4" w:space="0" w:color="auto"/>
            </w:tcBorders>
          </w:tcPr>
          <w:p w:rsidR="005D2B18" w:rsidRPr="00DE3551" w:rsidRDefault="005D2B18" w:rsidP="00EE0D7D">
            <w:r w:rsidRPr="003000CA">
              <w:t>.</w:t>
            </w:r>
            <w:r>
              <w:t>80</w:t>
            </w:r>
          </w:p>
        </w:tc>
        <w:tc>
          <w:tcPr>
            <w:tcW w:w="302" w:type="pct"/>
            <w:tcBorders>
              <w:bottom w:val="single" w:sz="4" w:space="0" w:color="auto"/>
            </w:tcBorders>
          </w:tcPr>
          <w:p w:rsidR="005D2B18" w:rsidRDefault="005D2B18" w:rsidP="00EE0D7D"/>
        </w:tc>
        <w:tc>
          <w:tcPr>
            <w:tcW w:w="499" w:type="pct"/>
            <w:tcBorders>
              <w:bottom w:val="single" w:sz="4" w:space="0" w:color="auto"/>
            </w:tcBorders>
          </w:tcPr>
          <w:p w:rsidR="005D2B18" w:rsidRPr="00DE3551" w:rsidRDefault="005D2B18" w:rsidP="00EE0D7D">
            <w:r>
              <w:t>2</w:t>
            </w:r>
            <w:r w:rsidRPr="0017346F">
              <w:t>.</w:t>
            </w:r>
            <w:r>
              <w:t>94</w:t>
            </w:r>
            <w:r w:rsidRPr="0017346F">
              <w:t xml:space="preserve"> (0.9</w:t>
            </w:r>
            <w:r>
              <w:t>5</w:t>
            </w:r>
            <w:r w:rsidRPr="0017346F">
              <w:t>)</w:t>
            </w:r>
          </w:p>
        </w:tc>
        <w:tc>
          <w:tcPr>
            <w:tcW w:w="233" w:type="pct"/>
            <w:tcBorders>
              <w:bottom w:val="single" w:sz="4" w:space="0" w:color="auto"/>
            </w:tcBorders>
          </w:tcPr>
          <w:p w:rsidR="005D2B18" w:rsidRPr="00DE3551" w:rsidRDefault="005D2B18" w:rsidP="00EE0D7D">
            <w:r w:rsidRPr="007B4A94">
              <w:t>.</w:t>
            </w:r>
            <w:r>
              <w:t>76</w:t>
            </w:r>
          </w:p>
        </w:tc>
        <w:tc>
          <w:tcPr>
            <w:tcW w:w="277" w:type="pct"/>
            <w:tcBorders>
              <w:bottom w:val="single" w:sz="4" w:space="0" w:color="auto"/>
            </w:tcBorders>
          </w:tcPr>
          <w:p w:rsidR="005D2B18" w:rsidRPr="007825AE" w:rsidRDefault="005D2B18" w:rsidP="00EE0D7D"/>
        </w:tc>
      </w:tr>
    </w:tbl>
    <w:p w:rsidR="005D2B18" w:rsidRDefault="005D2B18" w:rsidP="005D2B18">
      <w:pPr>
        <w:sectPr w:rsidR="005D2B18" w:rsidSect="004F1A05">
          <w:pgSz w:w="16838" w:h="11906" w:orient="landscape"/>
          <w:pgMar w:top="1440" w:right="1440" w:bottom="1440" w:left="1440" w:header="708" w:footer="708" w:gutter="0"/>
          <w:cols w:space="708"/>
          <w:docGrid w:linePitch="360"/>
        </w:sectPr>
      </w:pPr>
    </w:p>
    <w:p w:rsidR="005D2B18" w:rsidRPr="005202A2" w:rsidRDefault="005D2B18" w:rsidP="005D2B18">
      <w:pPr>
        <w:tabs>
          <w:tab w:val="center" w:pos="6979"/>
        </w:tabs>
        <w:spacing w:line="480" w:lineRule="auto"/>
        <w:rPr>
          <w:u w:val="single"/>
        </w:rPr>
      </w:pPr>
      <w:proofErr w:type="gramStart"/>
      <w:r w:rsidRPr="005202A2">
        <w:rPr>
          <w:u w:val="single"/>
          <w:lang w:val="en-US"/>
        </w:rPr>
        <w:lastRenderedPageBreak/>
        <w:t>Table 9.</w:t>
      </w:r>
      <w:proofErr w:type="gramEnd"/>
      <w:r w:rsidRPr="005202A2">
        <w:rPr>
          <w:u w:val="single"/>
          <w:lang w:val="en-US"/>
        </w:rPr>
        <w:t xml:space="preserve">  4-item LBP-TBQ Criterion Validity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38"/>
        <w:gridCol w:w="883"/>
        <w:gridCol w:w="694"/>
        <w:gridCol w:w="676"/>
        <w:gridCol w:w="774"/>
        <w:gridCol w:w="659"/>
        <w:gridCol w:w="839"/>
        <w:gridCol w:w="880"/>
        <w:gridCol w:w="890"/>
        <w:gridCol w:w="893"/>
      </w:tblGrid>
      <w:tr w:rsidR="005D2B18" w:rsidRPr="008D573C" w:rsidTr="00EE0D7D">
        <w:tc>
          <w:tcPr>
            <w:tcW w:w="1838" w:type="dxa"/>
            <w:tcBorders>
              <w:top w:val="single" w:sz="4" w:space="0" w:color="auto"/>
            </w:tcBorders>
          </w:tcPr>
          <w:p w:rsidR="005D2B18" w:rsidRPr="008D573C" w:rsidRDefault="005D2B18" w:rsidP="00EE0D7D"/>
        </w:tc>
        <w:tc>
          <w:tcPr>
            <w:tcW w:w="2253" w:type="dxa"/>
            <w:gridSpan w:val="3"/>
            <w:tcBorders>
              <w:top w:val="single" w:sz="4" w:space="0" w:color="auto"/>
            </w:tcBorders>
          </w:tcPr>
          <w:p w:rsidR="005D2B18" w:rsidRPr="008D573C" w:rsidRDefault="005D2B18" w:rsidP="00EE0D7D">
            <w:r w:rsidRPr="008D573C">
              <w:t xml:space="preserve">Group 1:  </w:t>
            </w:r>
            <w:r>
              <w:t>Treatment R</w:t>
            </w:r>
            <w:r w:rsidRPr="008D573C">
              <w:t>anked 1</w:t>
            </w:r>
          </w:p>
        </w:tc>
        <w:tc>
          <w:tcPr>
            <w:tcW w:w="2272" w:type="dxa"/>
            <w:gridSpan w:val="3"/>
            <w:tcBorders>
              <w:top w:val="single" w:sz="4" w:space="0" w:color="auto"/>
            </w:tcBorders>
          </w:tcPr>
          <w:p w:rsidR="005D2B18" w:rsidRPr="008D573C" w:rsidRDefault="005D2B18" w:rsidP="00EE0D7D">
            <w:r w:rsidRPr="008D573C">
              <w:t xml:space="preserve">Group 2: </w:t>
            </w:r>
            <w:r>
              <w:t>Treatment R</w:t>
            </w:r>
            <w:r w:rsidRPr="008D573C">
              <w:t>anked 2-4</w:t>
            </w:r>
          </w:p>
        </w:tc>
        <w:tc>
          <w:tcPr>
            <w:tcW w:w="2663" w:type="dxa"/>
            <w:gridSpan w:val="3"/>
            <w:tcBorders>
              <w:top w:val="single" w:sz="4" w:space="0" w:color="auto"/>
            </w:tcBorders>
          </w:tcPr>
          <w:p w:rsidR="005D2B18" w:rsidRPr="008D573C" w:rsidRDefault="005D2B18" w:rsidP="00EE0D7D">
            <w:r w:rsidRPr="008D573C">
              <w:t>Between-</w:t>
            </w:r>
            <w:r>
              <w:t>G</w:t>
            </w:r>
            <w:r w:rsidRPr="008D573C">
              <w:t xml:space="preserve">roup </w:t>
            </w:r>
            <w:r>
              <w:t>C</w:t>
            </w:r>
            <w:r w:rsidRPr="008D573C">
              <w:t>omparison</w:t>
            </w:r>
          </w:p>
        </w:tc>
      </w:tr>
      <w:tr w:rsidR="005D2B18" w:rsidRPr="008D573C" w:rsidTr="00EE0D7D">
        <w:tc>
          <w:tcPr>
            <w:tcW w:w="1838" w:type="dxa"/>
            <w:tcBorders>
              <w:bottom w:val="single" w:sz="4" w:space="0" w:color="auto"/>
            </w:tcBorders>
          </w:tcPr>
          <w:p w:rsidR="005D2B18" w:rsidRPr="008D573C" w:rsidRDefault="005D2B18" w:rsidP="00EE0D7D"/>
        </w:tc>
        <w:tc>
          <w:tcPr>
            <w:tcW w:w="883" w:type="dxa"/>
            <w:tcBorders>
              <w:bottom w:val="single" w:sz="4" w:space="0" w:color="auto"/>
            </w:tcBorders>
          </w:tcPr>
          <w:p w:rsidR="005D2B18" w:rsidRPr="008D573C" w:rsidRDefault="005D2B18" w:rsidP="00EE0D7D">
            <w:r w:rsidRPr="008D573C">
              <w:t>M</w:t>
            </w:r>
          </w:p>
        </w:tc>
        <w:tc>
          <w:tcPr>
            <w:tcW w:w="694" w:type="dxa"/>
            <w:tcBorders>
              <w:bottom w:val="single" w:sz="4" w:space="0" w:color="auto"/>
            </w:tcBorders>
          </w:tcPr>
          <w:p w:rsidR="005D2B18" w:rsidRPr="008D573C" w:rsidRDefault="005D2B18" w:rsidP="00EE0D7D">
            <w:r w:rsidRPr="008D573C">
              <w:t>SD</w:t>
            </w:r>
          </w:p>
        </w:tc>
        <w:tc>
          <w:tcPr>
            <w:tcW w:w="676" w:type="dxa"/>
            <w:tcBorders>
              <w:bottom w:val="single" w:sz="4" w:space="0" w:color="auto"/>
            </w:tcBorders>
          </w:tcPr>
          <w:p w:rsidR="005D2B18" w:rsidRPr="008D573C" w:rsidRDefault="005D2B18" w:rsidP="00EE0D7D">
            <w:r w:rsidRPr="008D573C">
              <w:t>n</w:t>
            </w:r>
          </w:p>
        </w:tc>
        <w:tc>
          <w:tcPr>
            <w:tcW w:w="774" w:type="dxa"/>
            <w:tcBorders>
              <w:bottom w:val="single" w:sz="4" w:space="0" w:color="auto"/>
            </w:tcBorders>
          </w:tcPr>
          <w:p w:rsidR="005D2B18" w:rsidRPr="008D573C" w:rsidRDefault="005D2B18" w:rsidP="00EE0D7D">
            <w:r w:rsidRPr="008D573C">
              <w:t>M</w:t>
            </w:r>
          </w:p>
        </w:tc>
        <w:tc>
          <w:tcPr>
            <w:tcW w:w="659" w:type="dxa"/>
            <w:tcBorders>
              <w:bottom w:val="single" w:sz="4" w:space="0" w:color="auto"/>
            </w:tcBorders>
          </w:tcPr>
          <w:p w:rsidR="005D2B18" w:rsidRPr="008D573C" w:rsidRDefault="005D2B18" w:rsidP="00EE0D7D">
            <w:r w:rsidRPr="008D573C">
              <w:t>SD</w:t>
            </w:r>
          </w:p>
        </w:tc>
        <w:tc>
          <w:tcPr>
            <w:tcW w:w="839" w:type="dxa"/>
            <w:tcBorders>
              <w:bottom w:val="single" w:sz="4" w:space="0" w:color="auto"/>
            </w:tcBorders>
          </w:tcPr>
          <w:p w:rsidR="005D2B18" w:rsidRPr="008D573C" w:rsidRDefault="005D2B18" w:rsidP="00EE0D7D">
            <w:r w:rsidRPr="008D573C">
              <w:t>n</w:t>
            </w:r>
          </w:p>
        </w:tc>
        <w:tc>
          <w:tcPr>
            <w:tcW w:w="880" w:type="dxa"/>
            <w:tcBorders>
              <w:bottom w:val="single" w:sz="4" w:space="0" w:color="auto"/>
            </w:tcBorders>
          </w:tcPr>
          <w:p w:rsidR="005D2B18" w:rsidRPr="008D573C" w:rsidRDefault="005D2B18" w:rsidP="00EE0D7D">
            <w:r w:rsidRPr="008D573C">
              <w:t>t</w:t>
            </w:r>
          </w:p>
        </w:tc>
        <w:tc>
          <w:tcPr>
            <w:tcW w:w="890" w:type="dxa"/>
            <w:tcBorders>
              <w:bottom w:val="single" w:sz="4" w:space="0" w:color="auto"/>
            </w:tcBorders>
          </w:tcPr>
          <w:p w:rsidR="005D2B18" w:rsidRPr="008D573C" w:rsidRDefault="005D2B18" w:rsidP="00EE0D7D">
            <w:proofErr w:type="spellStart"/>
            <w:r w:rsidRPr="008D573C">
              <w:t>df</w:t>
            </w:r>
            <w:proofErr w:type="spellEnd"/>
          </w:p>
        </w:tc>
        <w:tc>
          <w:tcPr>
            <w:tcW w:w="893" w:type="dxa"/>
            <w:tcBorders>
              <w:bottom w:val="single" w:sz="4" w:space="0" w:color="auto"/>
            </w:tcBorders>
          </w:tcPr>
          <w:p w:rsidR="005D2B18" w:rsidRPr="008D573C" w:rsidRDefault="005D2B18" w:rsidP="00EE0D7D">
            <w:r w:rsidRPr="008D573C">
              <w:t>p</w:t>
            </w:r>
          </w:p>
        </w:tc>
      </w:tr>
      <w:tr w:rsidR="005D2B18" w:rsidRPr="00DE0833" w:rsidTr="00EE0D7D">
        <w:tc>
          <w:tcPr>
            <w:tcW w:w="1838" w:type="dxa"/>
          </w:tcPr>
          <w:p w:rsidR="005D2B18" w:rsidRPr="00DE0833" w:rsidRDefault="005D2B18" w:rsidP="00EE0D7D">
            <w:r>
              <w:t xml:space="preserve">Medication </w:t>
            </w:r>
          </w:p>
        </w:tc>
        <w:tc>
          <w:tcPr>
            <w:tcW w:w="883" w:type="dxa"/>
          </w:tcPr>
          <w:p w:rsidR="005D2B18" w:rsidRPr="00DE0833" w:rsidRDefault="005D2B18" w:rsidP="00EE0D7D">
            <w:r w:rsidRPr="00DE0833">
              <w:t>3.</w:t>
            </w:r>
            <w:r>
              <w:t>86</w:t>
            </w:r>
          </w:p>
        </w:tc>
        <w:tc>
          <w:tcPr>
            <w:tcW w:w="694" w:type="dxa"/>
          </w:tcPr>
          <w:p w:rsidR="005D2B18" w:rsidRPr="00DE0833" w:rsidRDefault="005D2B18" w:rsidP="00EE0D7D">
            <w:r w:rsidRPr="00DE0833">
              <w:t>.</w:t>
            </w:r>
            <w:r>
              <w:t>62</w:t>
            </w:r>
          </w:p>
        </w:tc>
        <w:tc>
          <w:tcPr>
            <w:tcW w:w="676" w:type="dxa"/>
          </w:tcPr>
          <w:p w:rsidR="005D2B18" w:rsidRPr="00DE0833" w:rsidRDefault="005D2B18" w:rsidP="00EE0D7D">
            <w:r w:rsidRPr="00DE0833">
              <w:t>1</w:t>
            </w:r>
            <w:r>
              <w:t>52</w:t>
            </w:r>
          </w:p>
        </w:tc>
        <w:tc>
          <w:tcPr>
            <w:tcW w:w="774" w:type="dxa"/>
          </w:tcPr>
          <w:p w:rsidR="005D2B18" w:rsidRPr="00DE0833" w:rsidRDefault="005D2B18" w:rsidP="00EE0D7D">
            <w:r w:rsidRPr="00DE0833">
              <w:t>3.</w:t>
            </w:r>
            <w:r>
              <w:t>41</w:t>
            </w:r>
          </w:p>
        </w:tc>
        <w:tc>
          <w:tcPr>
            <w:tcW w:w="659" w:type="dxa"/>
          </w:tcPr>
          <w:p w:rsidR="005D2B18" w:rsidRPr="00DE0833" w:rsidRDefault="005D2B18" w:rsidP="00EE0D7D">
            <w:r w:rsidRPr="00DE0833">
              <w:t>.</w:t>
            </w:r>
            <w:r>
              <w:t>78</w:t>
            </w:r>
          </w:p>
        </w:tc>
        <w:tc>
          <w:tcPr>
            <w:tcW w:w="839" w:type="dxa"/>
          </w:tcPr>
          <w:p w:rsidR="005D2B18" w:rsidRPr="00DE0833" w:rsidRDefault="005D2B18" w:rsidP="00EE0D7D">
            <w:r>
              <w:t>189</w:t>
            </w:r>
          </w:p>
        </w:tc>
        <w:tc>
          <w:tcPr>
            <w:tcW w:w="880" w:type="dxa"/>
          </w:tcPr>
          <w:p w:rsidR="005D2B18" w:rsidRPr="00DE0833" w:rsidRDefault="005D2B18" w:rsidP="00EE0D7D">
            <w:r w:rsidRPr="00DE0833">
              <w:t>-5.</w:t>
            </w:r>
            <w:r>
              <w:t>78</w:t>
            </w:r>
          </w:p>
        </w:tc>
        <w:tc>
          <w:tcPr>
            <w:tcW w:w="890" w:type="dxa"/>
          </w:tcPr>
          <w:p w:rsidR="005D2B18" w:rsidRPr="00DE0833" w:rsidRDefault="005D2B18" w:rsidP="00EE0D7D">
            <w:r w:rsidRPr="00DE0833">
              <w:t>33</w:t>
            </w:r>
            <w:r>
              <w:t>9</w:t>
            </w:r>
          </w:p>
        </w:tc>
        <w:tc>
          <w:tcPr>
            <w:tcW w:w="893" w:type="dxa"/>
          </w:tcPr>
          <w:p w:rsidR="005D2B18" w:rsidRPr="00DE0833" w:rsidRDefault="005D2B18" w:rsidP="00EE0D7D">
            <w:r>
              <w:t>&lt;</w:t>
            </w:r>
            <w:r w:rsidRPr="00DE0833">
              <w:t>.00</w:t>
            </w:r>
            <w:r>
              <w:t>1</w:t>
            </w:r>
          </w:p>
        </w:tc>
      </w:tr>
      <w:tr w:rsidR="005D2B18" w:rsidRPr="00DE0833" w:rsidTr="00EE0D7D">
        <w:tc>
          <w:tcPr>
            <w:tcW w:w="1838" w:type="dxa"/>
          </w:tcPr>
          <w:p w:rsidR="005D2B18" w:rsidRPr="00DE0833" w:rsidRDefault="005D2B18" w:rsidP="00EE0D7D">
            <w:r>
              <w:t>Exercise</w:t>
            </w:r>
          </w:p>
        </w:tc>
        <w:tc>
          <w:tcPr>
            <w:tcW w:w="883" w:type="dxa"/>
          </w:tcPr>
          <w:p w:rsidR="005D2B18" w:rsidRPr="00DE0833" w:rsidRDefault="005D2B18" w:rsidP="00EE0D7D">
            <w:r>
              <w:t>4</w:t>
            </w:r>
            <w:r w:rsidRPr="00DE0833">
              <w:t>.</w:t>
            </w:r>
            <w:r>
              <w:t>07</w:t>
            </w:r>
          </w:p>
        </w:tc>
        <w:tc>
          <w:tcPr>
            <w:tcW w:w="694" w:type="dxa"/>
          </w:tcPr>
          <w:p w:rsidR="005D2B18" w:rsidRPr="00DE0833" w:rsidRDefault="005D2B18" w:rsidP="00EE0D7D">
            <w:r w:rsidRPr="00DE0833">
              <w:t>.</w:t>
            </w:r>
            <w:r>
              <w:t>58</w:t>
            </w:r>
          </w:p>
        </w:tc>
        <w:tc>
          <w:tcPr>
            <w:tcW w:w="676" w:type="dxa"/>
          </w:tcPr>
          <w:p w:rsidR="005D2B18" w:rsidRPr="00DE0833" w:rsidRDefault="005D2B18" w:rsidP="00EE0D7D">
            <w:r>
              <w:t>88</w:t>
            </w:r>
          </w:p>
        </w:tc>
        <w:tc>
          <w:tcPr>
            <w:tcW w:w="774" w:type="dxa"/>
          </w:tcPr>
          <w:p w:rsidR="005D2B18" w:rsidRPr="00DE0833" w:rsidRDefault="005D2B18" w:rsidP="00EE0D7D">
            <w:r>
              <w:t>3</w:t>
            </w:r>
            <w:r w:rsidRPr="00DE0833">
              <w:t>.</w:t>
            </w:r>
            <w:r>
              <w:t>55</w:t>
            </w:r>
          </w:p>
        </w:tc>
        <w:tc>
          <w:tcPr>
            <w:tcW w:w="659" w:type="dxa"/>
          </w:tcPr>
          <w:p w:rsidR="005D2B18" w:rsidRPr="00DE0833" w:rsidRDefault="005D2B18" w:rsidP="00EE0D7D">
            <w:r w:rsidRPr="00DE0833">
              <w:t>.</w:t>
            </w:r>
            <w:r>
              <w:t>81</w:t>
            </w:r>
          </w:p>
        </w:tc>
        <w:tc>
          <w:tcPr>
            <w:tcW w:w="839" w:type="dxa"/>
          </w:tcPr>
          <w:p w:rsidR="005D2B18" w:rsidRPr="00DE0833" w:rsidRDefault="005D2B18" w:rsidP="00EE0D7D">
            <w:r>
              <w:t>239</w:t>
            </w:r>
          </w:p>
        </w:tc>
        <w:tc>
          <w:tcPr>
            <w:tcW w:w="880" w:type="dxa"/>
          </w:tcPr>
          <w:p w:rsidR="005D2B18" w:rsidRPr="00DE0833" w:rsidRDefault="005D2B18" w:rsidP="00EE0D7D">
            <w:r w:rsidRPr="00DE0833">
              <w:t>-</w:t>
            </w:r>
            <w:r>
              <w:t>5</w:t>
            </w:r>
            <w:r w:rsidRPr="00DE0833">
              <w:t>.</w:t>
            </w:r>
            <w:r>
              <w:t>58</w:t>
            </w:r>
          </w:p>
        </w:tc>
        <w:tc>
          <w:tcPr>
            <w:tcW w:w="890" w:type="dxa"/>
          </w:tcPr>
          <w:p w:rsidR="005D2B18" w:rsidRPr="00DE0833" w:rsidRDefault="005D2B18" w:rsidP="00EE0D7D">
            <w:r>
              <w:t>325</w:t>
            </w:r>
          </w:p>
        </w:tc>
        <w:tc>
          <w:tcPr>
            <w:tcW w:w="893" w:type="dxa"/>
          </w:tcPr>
          <w:p w:rsidR="005D2B18" w:rsidRPr="00DE0833" w:rsidRDefault="005D2B18" w:rsidP="00EE0D7D">
            <w:r>
              <w:t>&lt;</w:t>
            </w:r>
            <w:r w:rsidRPr="00DE0833">
              <w:t>.00</w:t>
            </w:r>
            <w:r>
              <w:t>1</w:t>
            </w:r>
          </w:p>
        </w:tc>
      </w:tr>
      <w:tr w:rsidR="005D2B18" w:rsidRPr="00DE0833" w:rsidTr="00EE0D7D">
        <w:tc>
          <w:tcPr>
            <w:tcW w:w="1838" w:type="dxa"/>
          </w:tcPr>
          <w:p w:rsidR="005D2B18" w:rsidRPr="00DE0833" w:rsidRDefault="005D2B18" w:rsidP="00EE0D7D">
            <w:r>
              <w:t>Manual therapy</w:t>
            </w:r>
          </w:p>
        </w:tc>
        <w:tc>
          <w:tcPr>
            <w:tcW w:w="883" w:type="dxa"/>
          </w:tcPr>
          <w:p w:rsidR="005D2B18" w:rsidRPr="00DE0833" w:rsidRDefault="005D2B18" w:rsidP="00EE0D7D">
            <w:r>
              <w:t>4</w:t>
            </w:r>
            <w:r w:rsidRPr="00DE0833">
              <w:t>.</w:t>
            </w:r>
            <w:r>
              <w:t>14</w:t>
            </w:r>
          </w:p>
        </w:tc>
        <w:tc>
          <w:tcPr>
            <w:tcW w:w="694" w:type="dxa"/>
          </w:tcPr>
          <w:p w:rsidR="005D2B18" w:rsidRPr="00DE0833" w:rsidRDefault="005D2B18" w:rsidP="00EE0D7D">
            <w:r w:rsidRPr="00DE0833">
              <w:t>.</w:t>
            </w:r>
            <w:r>
              <w:t>71</w:t>
            </w:r>
          </w:p>
        </w:tc>
        <w:tc>
          <w:tcPr>
            <w:tcW w:w="676" w:type="dxa"/>
          </w:tcPr>
          <w:p w:rsidR="005D2B18" w:rsidRPr="00DE0833" w:rsidRDefault="005D2B18" w:rsidP="00EE0D7D">
            <w:r>
              <w:t>89</w:t>
            </w:r>
          </w:p>
        </w:tc>
        <w:tc>
          <w:tcPr>
            <w:tcW w:w="774" w:type="dxa"/>
          </w:tcPr>
          <w:p w:rsidR="005D2B18" w:rsidRPr="00DE0833" w:rsidRDefault="005D2B18" w:rsidP="00EE0D7D">
            <w:r w:rsidRPr="00DE0833">
              <w:t>3.</w:t>
            </w:r>
            <w:r>
              <w:t>30</w:t>
            </w:r>
          </w:p>
        </w:tc>
        <w:tc>
          <w:tcPr>
            <w:tcW w:w="659" w:type="dxa"/>
          </w:tcPr>
          <w:p w:rsidR="005D2B18" w:rsidRPr="00DE0833" w:rsidRDefault="005D2B18" w:rsidP="00EE0D7D">
            <w:r w:rsidRPr="00DE0833">
              <w:t>.</w:t>
            </w:r>
            <w:r>
              <w:t>7</w:t>
            </w:r>
            <w:r w:rsidRPr="00DE0833">
              <w:t>8</w:t>
            </w:r>
          </w:p>
        </w:tc>
        <w:tc>
          <w:tcPr>
            <w:tcW w:w="839" w:type="dxa"/>
          </w:tcPr>
          <w:p w:rsidR="005D2B18" w:rsidRPr="00DE0833" w:rsidRDefault="005D2B18" w:rsidP="00EE0D7D">
            <w:r>
              <w:t>240</w:t>
            </w:r>
          </w:p>
        </w:tc>
        <w:tc>
          <w:tcPr>
            <w:tcW w:w="880" w:type="dxa"/>
          </w:tcPr>
          <w:p w:rsidR="005D2B18" w:rsidRPr="00DE0833" w:rsidRDefault="005D2B18" w:rsidP="00EE0D7D">
            <w:r w:rsidRPr="00DE0833">
              <w:t>-</w:t>
            </w:r>
            <w:r>
              <w:t>9</w:t>
            </w:r>
            <w:r w:rsidRPr="00DE0833">
              <w:t>.2</w:t>
            </w:r>
            <w:r>
              <w:t>5</w:t>
            </w:r>
            <w:r w:rsidRPr="00B81528">
              <w:rPr>
                <w:vertAlign w:val="superscript"/>
              </w:rPr>
              <w:t xml:space="preserve"> a</w:t>
            </w:r>
          </w:p>
        </w:tc>
        <w:tc>
          <w:tcPr>
            <w:tcW w:w="890" w:type="dxa"/>
          </w:tcPr>
          <w:p w:rsidR="005D2B18" w:rsidRPr="00DE0833" w:rsidRDefault="005D2B18" w:rsidP="00EE0D7D">
            <w:r>
              <w:t>171.02</w:t>
            </w:r>
          </w:p>
        </w:tc>
        <w:tc>
          <w:tcPr>
            <w:tcW w:w="893" w:type="dxa"/>
          </w:tcPr>
          <w:p w:rsidR="005D2B18" w:rsidRPr="00DE0833" w:rsidRDefault="005D2B18" w:rsidP="00EE0D7D">
            <w:r w:rsidRPr="00FC0ABD">
              <w:t>&lt;.001</w:t>
            </w:r>
          </w:p>
        </w:tc>
      </w:tr>
      <w:tr w:rsidR="005D2B18" w:rsidRPr="00DE0833" w:rsidTr="00EE0D7D">
        <w:tc>
          <w:tcPr>
            <w:tcW w:w="1838" w:type="dxa"/>
            <w:tcBorders>
              <w:bottom w:val="single" w:sz="4" w:space="0" w:color="auto"/>
            </w:tcBorders>
          </w:tcPr>
          <w:p w:rsidR="005D2B18" w:rsidRPr="00DE0833" w:rsidRDefault="005D2B18" w:rsidP="00EE0D7D">
            <w:r>
              <w:t>Acupuncture</w:t>
            </w:r>
          </w:p>
        </w:tc>
        <w:tc>
          <w:tcPr>
            <w:tcW w:w="883" w:type="dxa"/>
            <w:tcBorders>
              <w:bottom w:val="single" w:sz="4" w:space="0" w:color="auto"/>
            </w:tcBorders>
          </w:tcPr>
          <w:p w:rsidR="005D2B18" w:rsidRPr="00DE0833" w:rsidRDefault="005D2B18" w:rsidP="00EE0D7D">
            <w:r w:rsidRPr="00DE0833">
              <w:t>3.</w:t>
            </w:r>
            <w:r>
              <w:t>83</w:t>
            </w:r>
          </w:p>
        </w:tc>
        <w:tc>
          <w:tcPr>
            <w:tcW w:w="694" w:type="dxa"/>
            <w:tcBorders>
              <w:bottom w:val="single" w:sz="4" w:space="0" w:color="auto"/>
            </w:tcBorders>
          </w:tcPr>
          <w:p w:rsidR="005D2B18" w:rsidRPr="00DE0833" w:rsidRDefault="005D2B18" w:rsidP="00EE0D7D">
            <w:r w:rsidRPr="00DE0833">
              <w:t>.</w:t>
            </w:r>
            <w:r>
              <w:t>93</w:t>
            </w:r>
          </w:p>
        </w:tc>
        <w:tc>
          <w:tcPr>
            <w:tcW w:w="676" w:type="dxa"/>
            <w:tcBorders>
              <w:bottom w:val="single" w:sz="4" w:space="0" w:color="auto"/>
            </w:tcBorders>
          </w:tcPr>
          <w:p w:rsidR="005D2B18" w:rsidRPr="00DE0833" w:rsidRDefault="005D2B18" w:rsidP="00EE0D7D">
            <w:r>
              <w:t>24</w:t>
            </w:r>
          </w:p>
        </w:tc>
        <w:tc>
          <w:tcPr>
            <w:tcW w:w="774" w:type="dxa"/>
            <w:tcBorders>
              <w:bottom w:val="single" w:sz="4" w:space="0" w:color="auto"/>
            </w:tcBorders>
          </w:tcPr>
          <w:p w:rsidR="005D2B18" w:rsidRPr="00DE0833" w:rsidRDefault="005D2B18" w:rsidP="00EE0D7D">
            <w:r w:rsidRPr="00DE0833">
              <w:t>3.</w:t>
            </w:r>
            <w:r>
              <w:t>14</w:t>
            </w:r>
          </w:p>
        </w:tc>
        <w:tc>
          <w:tcPr>
            <w:tcW w:w="659" w:type="dxa"/>
            <w:tcBorders>
              <w:bottom w:val="single" w:sz="4" w:space="0" w:color="auto"/>
            </w:tcBorders>
          </w:tcPr>
          <w:p w:rsidR="005D2B18" w:rsidRPr="00DE0833" w:rsidRDefault="005D2B18" w:rsidP="00EE0D7D">
            <w:r w:rsidRPr="00DE0833">
              <w:t>.</w:t>
            </w:r>
            <w:r>
              <w:t>73</w:t>
            </w:r>
          </w:p>
        </w:tc>
        <w:tc>
          <w:tcPr>
            <w:tcW w:w="839" w:type="dxa"/>
            <w:tcBorders>
              <w:bottom w:val="single" w:sz="4" w:space="0" w:color="auto"/>
            </w:tcBorders>
          </w:tcPr>
          <w:p w:rsidR="005D2B18" w:rsidRPr="00DE0833" w:rsidRDefault="005D2B18" w:rsidP="00EE0D7D">
            <w:r>
              <w:t>299</w:t>
            </w:r>
          </w:p>
        </w:tc>
        <w:tc>
          <w:tcPr>
            <w:tcW w:w="880" w:type="dxa"/>
            <w:tcBorders>
              <w:bottom w:val="single" w:sz="4" w:space="0" w:color="auto"/>
            </w:tcBorders>
          </w:tcPr>
          <w:p w:rsidR="005D2B18" w:rsidRPr="00DE0833" w:rsidRDefault="005D2B18" w:rsidP="00EE0D7D">
            <w:r w:rsidRPr="00DE0833">
              <w:t>-</w:t>
            </w:r>
            <w:r>
              <w:t>4</w:t>
            </w:r>
            <w:r w:rsidRPr="00DE0833">
              <w:t>.</w:t>
            </w:r>
            <w:r>
              <w:t>33</w:t>
            </w:r>
          </w:p>
        </w:tc>
        <w:tc>
          <w:tcPr>
            <w:tcW w:w="890" w:type="dxa"/>
            <w:tcBorders>
              <w:bottom w:val="single" w:sz="4" w:space="0" w:color="auto"/>
            </w:tcBorders>
          </w:tcPr>
          <w:p w:rsidR="005D2B18" w:rsidRPr="00DE0833" w:rsidRDefault="005D2B18" w:rsidP="00EE0D7D">
            <w:r w:rsidRPr="00DE0833">
              <w:t>3</w:t>
            </w:r>
            <w:r>
              <w:t>21</w:t>
            </w:r>
          </w:p>
        </w:tc>
        <w:tc>
          <w:tcPr>
            <w:tcW w:w="893" w:type="dxa"/>
            <w:tcBorders>
              <w:bottom w:val="single" w:sz="4" w:space="0" w:color="auto"/>
            </w:tcBorders>
          </w:tcPr>
          <w:p w:rsidR="005D2B18" w:rsidRPr="00DE0833" w:rsidRDefault="005D2B18" w:rsidP="00EE0D7D">
            <w:r w:rsidRPr="00FC0ABD">
              <w:t>&lt;.001</w:t>
            </w:r>
          </w:p>
        </w:tc>
      </w:tr>
    </w:tbl>
    <w:p w:rsidR="005D2B18" w:rsidRDefault="005D2B18" w:rsidP="005D2B18">
      <w:pPr>
        <w:spacing w:line="480" w:lineRule="auto"/>
      </w:pPr>
      <w:proofErr w:type="gramStart"/>
      <w:r w:rsidRPr="00B81528">
        <w:rPr>
          <w:vertAlign w:val="superscript"/>
        </w:rPr>
        <w:t>a</w:t>
      </w:r>
      <w:proofErr w:type="gramEnd"/>
      <w:r w:rsidRPr="00B81528">
        <w:t xml:space="preserve"> Equal variances not assumed</w:t>
      </w:r>
    </w:p>
    <w:p w:rsidR="005D2B18" w:rsidRDefault="005D2B18" w:rsidP="005D2B18"/>
    <w:p w:rsidR="00417A5F" w:rsidRPr="005D2B18" w:rsidRDefault="00417A5F"/>
    <w:sectPr w:rsidR="00417A5F" w:rsidRPr="005D2B18" w:rsidSect="00C552D3">
      <w:footerReference w:type="default" r:id="rI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691" w:rsidRDefault="004A4691">
      <w:r>
        <w:separator/>
      </w:r>
    </w:p>
  </w:endnote>
  <w:endnote w:type="continuationSeparator" w:id="0">
    <w:p w:rsidR="004A4691" w:rsidRDefault="004A46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534501"/>
      <w:docPartObj>
        <w:docPartGallery w:val="Page Numbers (Bottom of Page)"/>
        <w:docPartUnique/>
      </w:docPartObj>
    </w:sdtPr>
    <w:sdtEndPr>
      <w:rPr>
        <w:noProof/>
      </w:rPr>
    </w:sdtEndPr>
    <w:sdtContent>
      <w:p w:rsidR="005D2B18" w:rsidRDefault="005D2B18">
        <w:pPr>
          <w:pStyle w:val="Footer"/>
          <w:jc w:val="right"/>
        </w:pPr>
        <w:fldSimple w:instr=" PAGE   \* MERGEFORMAT ">
          <w:r>
            <w:rPr>
              <w:noProof/>
            </w:rPr>
            <w:t>45</w:t>
          </w:r>
        </w:fldSimple>
      </w:p>
    </w:sdtContent>
  </w:sdt>
  <w:p w:rsidR="005D2B18" w:rsidRDefault="005D2B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801447"/>
      <w:docPartObj>
        <w:docPartGallery w:val="Page Numbers (Bottom of Page)"/>
        <w:docPartUnique/>
      </w:docPartObj>
    </w:sdtPr>
    <w:sdtEndPr>
      <w:rPr>
        <w:noProof/>
      </w:rPr>
    </w:sdtEndPr>
    <w:sdtContent>
      <w:p w:rsidR="00C87DDD" w:rsidRDefault="00F04967">
        <w:pPr>
          <w:pStyle w:val="Footer"/>
          <w:jc w:val="right"/>
        </w:pPr>
        <w:r>
          <w:fldChar w:fldCharType="begin"/>
        </w:r>
        <w:r w:rsidR="0025756E">
          <w:instrText xml:space="preserve"> PAGE   \* MERGEFORMAT </w:instrText>
        </w:r>
        <w:r>
          <w:fldChar w:fldCharType="separate"/>
        </w:r>
        <w:r w:rsidR="005D2B18">
          <w:rPr>
            <w:noProof/>
          </w:rPr>
          <w:t>46</w:t>
        </w:r>
        <w:r>
          <w:rPr>
            <w:noProof/>
          </w:rPr>
          <w:fldChar w:fldCharType="end"/>
        </w:r>
      </w:p>
    </w:sdtContent>
  </w:sdt>
  <w:p w:rsidR="00C87DDD" w:rsidRDefault="004A46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691" w:rsidRDefault="004A4691">
      <w:r>
        <w:separator/>
      </w:r>
    </w:p>
  </w:footnote>
  <w:footnote w:type="continuationSeparator" w:id="0">
    <w:p w:rsidR="004A4691" w:rsidRDefault="004A46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4D6"/>
    <w:multiLevelType w:val="hybridMultilevel"/>
    <w:tmpl w:val="56F670D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294C784E"/>
    <w:multiLevelType w:val="hybridMultilevel"/>
    <w:tmpl w:val="2BE41916"/>
    <w:lvl w:ilvl="0" w:tplc="161C997A">
      <w:start w:val="1"/>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F3E66F6"/>
    <w:multiLevelType w:val="hybridMultilevel"/>
    <w:tmpl w:val="7BBC5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13007E9"/>
    <w:multiLevelType w:val="hybridMultilevel"/>
    <w:tmpl w:val="59988A86"/>
    <w:lvl w:ilvl="0" w:tplc="545CD02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3C67A9"/>
    <w:multiLevelType w:val="hybridMultilevel"/>
    <w:tmpl w:val="24ECC00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48202661"/>
    <w:multiLevelType w:val="hybridMultilevel"/>
    <w:tmpl w:val="87C2A03E"/>
    <w:lvl w:ilvl="0" w:tplc="2042E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971150"/>
    <w:multiLevelType w:val="hybridMultilevel"/>
    <w:tmpl w:val="D8DE4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4A6B24F1"/>
    <w:multiLevelType w:val="hybridMultilevel"/>
    <w:tmpl w:val="51F0C330"/>
    <w:lvl w:ilvl="0" w:tplc="161C997A">
      <w:start w:val="1"/>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ABB39D6"/>
    <w:multiLevelType w:val="hybridMultilevel"/>
    <w:tmpl w:val="EBB89404"/>
    <w:lvl w:ilvl="0" w:tplc="08090011">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134672"/>
    <w:multiLevelType w:val="hybridMultilevel"/>
    <w:tmpl w:val="85545ADA"/>
    <w:lvl w:ilvl="0" w:tplc="161C997A">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BAD45FA"/>
    <w:multiLevelType w:val="hybridMultilevel"/>
    <w:tmpl w:val="9C0AAEA4"/>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706B3D"/>
    <w:multiLevelType w:val="hybridMultilevel"/>
    <w:tmpl w:val="46D4A23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8B1B25"/>
    <w:multiLevelType w:val="hybridMultilevel"/>
    <w:tmpl w:val="0B62EC54"/>
    <w:lvl w:ilvl="0" w:tplc="98F0B3AC">
      <w:start w:val="2009"/>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9"/>
  </w:num>
  <w:num w:numId="4">
    <w:abstractNumId w:val="0"/>
  </w:num>
  <w:num w:numId="5">
    <w:abstractNumId w:val="12"/>
  </w:num>
  <w:num w:numId="6">
    <w:abstractNumId w:val="2"/>
  </w:num>
  <w:num w:numId="7">
    <w:abstractNumId w:val="6"/>
  </w:num>
  <w:num w:numId="8">
    <w:abstractNumId w:val="10"/>
  </w:num>
  <w:num w:numId="9">
    <w:abstractNumId w:val="8"/>
  </w:num>
  <w:num w:numId="10">
    <w:abstractNumId w:val="3"/>
  </w:num>
  <w:num w:numId="11">
    <w:abstractNumId w:val="11"/>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footnotePr>
    <w:footnote w:id="-1"/>
    <w:footnote w:id="0"/>
  </w:footnotePr>
  <w:endnotePr>
    <w:endnote w:id="-1"/>
    <w:endnote w:id="0"/>
  </w:endnotePr>
  <w:compat/>
  <w:docVars>
    <w:docVar w:name="REFMGR.InstantFormat" w:val="&lt;ENInstantFormat&gt;&lt;Enabled&gt;0&lt;/Enabled&gt;&lt;ScanUnformatted&gt;1&lt;/ScanUnformatted&gt;&lt;ScanChanges&gt;1&lt;/ScanChanges&gt;&lt;/ENInstantFormat&gt;"/>
  </w:docVars>
  <w:rsids>
    <w:rsidRoot w:val="00700108"/>
    <w:rsid w:val="000003AD"/>
    <w:rsid w:val="000004AC"/>
    <w:rsid w:val="0000117F"/>
    <w:rsid w:val="000011E6"/>
    <w:rsid w:val="000015E3"/>
    <w:rsid w:val="00001DD9"/>
    <w:rsid w:val="00002B86"/>
    <w:rsid w:val="00003E8C"/>
    <w:rsid w:val="000054F6"/>
    <w:rsid w:val="00005B80"/>
    <w:rsid w:val="000063A4"/>
    <w:rsid w:val="00006656"/>
    <w:rsid w:val="0000749F"/>
    <w:rsid w:val="00007BF9"/>
    <w:rsid w:val="00012F2C"/>
    <w:rsid w:val="00013762"/>
    <w:rsid w:val="00013BDE"/>
    <w:rsid w:val="000147C1"/>
    <w:rsid w:val="00015453"/>
    <w:rsid w:val="00015891"/>
    <w:rsid w:val="0001662F"/>
    <w:rsid w:val="00016994"/>
    <w:rsid w:val="0002240B"/>
    <w:rsid w:val="00022527"/>
    <w:rsid w:val="000228AB"/>
    <w:rsid w:val="00023A0F"/>
    <w:rsid w:val="000241DF"/>
    <w:rsid w:val="00024486"/>
    <w:rsid w:val="00026425"/>
    <w:rsid w:val="000301C7"/>
    <w:rsid w:val="0003073F"/>
    <w:rsid w:val="00031266"/>
    <w:rsid w:val="000322B6"/>
    <w:rsid w:val="00032B90"/>
    <w:rsid w:val="0003583A"/>
    <w:rsid w:val="0003700A"/>
    <w:rsid w:val="000400CE"/>
    <w:rsid w:val="00040A86"/>
    <w:rsid w:val="00040E71"/>
    <w:rsid w:val="0004118A"/>
    <w:rsid w:val="00042E8A"/>
    <w:rsid w:val="00042F31"/>
    <w:rsid w:val="00043327"/>
    <w:rsid w:val="0004341D"/>
    <w:rsid w:val="00044CF4"/>
    <w:rsid w:val="00045083"/>
    <w:rsid w:val="00045F90"/>
    <w:rsid w:val="00047BA1"/>
    <w:rsid w:val="00047BEF"/>
    <w:rsid w:val="00052BAF"/>
    <w:rsid w:val="00053836"/>
    <w:rsid w:val="00055479"/>
    <w:rsid w:val="00055A70"/>
    <w:rsid w:val="000574A3"/>
    <w:rsid w:val="000577B7"/>
    <w:rsid w:val="00057B91"/>
    <w:rsid w:val="0006173F"/>
    <w:rsid w:val="00062126"/>
    <w:rsid w:val="00065064"/>
    <w:rsid w:val="00065DAE"/>
    <w:rsid w:val="00067867"/>
    <w:rsid w:val="000702F9"/>
    <w:rsid w:val="000707A6"/>
    <w:rsid w:val="00070CB4"/>
    <w:rsid w:val="00071FBE"/>
    <w:rsid w:val="000723E3"/>
    <w:rsid w:val="0007383C"/>
    <w:rsid w:val="00074AAD"/>
    <w:rsid w:val="000754FA"/>
    <w:rsid w:val="00076500"/>
    <w:rsid w:val="0007653C"/>
    <w:rsid w:val="00076723"/>
    <w:rsid w:val="00076CE1"/>
    <w:rsid w:val="0007715B"/>
    <w:rsid w:val="00077AEE"/>
    <w:rsid w:val="00081690"/>
    <w:rsid w:val="000820D4"/>
    <w:rsid w:val="00082F7B"/>
    <w:rsid w:val="00083980"/>
    <w:rsid w:val="00083EF8"/>
    <w:rsid w:val="00084128"/>
    <w:rsid w:val="00084B1D"/>
    <w:rsid w:val="000854FD"/>
    <w:rsid w:val="00085A7B"/>
    <w:rsid w:val="00091651"/>
    <w:rsid w:val="00091E63"/>
    <w:rsid w:val="00092FD3"/>
    <w:rsid w:val="00094E1C"/>
    <w:rsid w:val="00095E16"/>
    <w:rsid w:val="00096D19"/>
    <w:rsid w:val="000972FF"/>
    <w:rsid w:val="00097C67"/>
    <w:rsid w:val="000A122C"/>
    <w:rsid w:val="000A143B"/>
    <w:rsid w:val="000A16F4"/>
    <w:rsid w:val="000A1D4C"/>
    <w:rsid w:val="000A2897"/>
    <w:rsid w:val="000A2E69"/>
    <w:rsid w:val="000A3CC8"/>
    <w:rsid w:val="000A4B9C"/>
    <w:rsid w:val="000A4DD3"/>
    <w:rsid w:val="000A586F"/>
    <w:rsid w:val="000A5D42"/>
    <w:rsid w:val="000A6A49"/>
    <w:rsid w:val="000A6D09"/>
    <w:rsid w:val="000A776B"/>
    <w:rsid w:val="000A7A4B"/>
    <w:rsid w:val="000B00A7"/>
    <w:rsid w:val="000B06B3"/>
    <w:rsid w:val="000B2942"/>
    <w:rsid w:val="000B2A2E"/>
    <w:rsid w:val="000B3277"/>
    <w:rsid w:val="000B3BCE"/>
    <w:rsid w:val="000B3D78"/>
    <w:rsid w:val="000B53B8"/>
    <w:rsid w:val="000B76EE"/>
    <w:rsid w:val="000B7835"/>
    <w:rsid w:val="000B78F1"/>
    <w:rsid w:val="000C0097"/>
    <w:rsid w:val="000C02C2"/>
    <w:rsid w:val="000C1573"/>
    <w:rsid w:val="000C178C"/>
    <w:rsid w:val="000C1EB1"/>
    <w:rsid w:val="000C3066"/>
    <w:rsid w:val="000C5114"/>
    <w:rsid w:val="000C679C"/>
    <w:rsid w:val="000C6915"/>
    <w:rsid w:val="000C6C8F"/>
    <w:rsid w:val="000C79A5"/>
    <w:rsid w:val="000D0913"/>
    <w:rsid w:val="000D2296"/>
    <w:rsid w:val="000D2420"/>
    <w:rsid w:val="000D2458"/>
    <w:rsid w:val="000D3327"/>
    <w:rsid w:val="000D3B5A"/>
    <w:rsid w:val="000D4509"/>
    <w:rsid w:val="000D51B1"/>
    <w:rsid w:val="000D5E9F"/>
    <w:rsid w:val="000D607A"/>
    <w:rsid w:val="000D6752"/>
    <w:rsid w:val="000D75AE"/>
    <w:rsid w:val="000D7788"/>
    <w:rsid w:val="000D79E1"/>
    <w:rsid w:val="000D7F2E"/>
    <w:rsid w:val="000E0286"/>
    <w:rsid w:val="000E15A8"/>
    <w:rsid w:val="000E3FE8"/>
    <w:rsid w:val="000E4C08"/>
    <w:rsid w:val="000E4EB8"/>
    <w:rsid w:val="000E547D"/>
    <w:rsid w:val="000E6B1D"/>
    <w:rsid w:val="000E7930"/>
    <w:rsid w:val="000F06D9"/>
    <w:rsid w:val="000F0857"/>
    <w:rsid w:val="000F0A91"/>
    <w:rsid w:val="000F144C"/>
    <w:rsid w:val="000F16A8"/>
    <w:rsid w:val="000F25BB"/>
    <w:rsid w:val="000F2C00"/>
    <w:rsid w:val="000F356B"/>
    <w:rsid w:val="000F3CAA"/>
    <w:rsid w:val="000F48BE"/>
    <w:rsid w:val="000F511A"/>
    <w:rsid w:val="000F585B"/>
    <w:rsid w:val="000F5A9C"/>
    <w:rsid w:val="000F6A56"/>
    <w:rsid w:val="000F70D0"/>
    <w:rsid w:val="000F7972"/>
    <w:rsid w:val="000F7EFD"/>
    <w:rsid w:val="001000F6"/>
    <w:rsid w:val="00100297"/>
    <w:rsid w:val="001010F3"/>
    <w:rsid w:val="00101B26"/>
    <w:rsid w:val="00102D4E"/>
    <w:rsid w:val="0010452E"/>
    <w:rsid w:val="001055A6"/>
    <w:rsid w:val="001058CC"/>
    <w:rsid w:val="00105EAB"/>
    <w:rsid w:val="0010689A"/>
    <w:rsid w:val="00107240"/>
    <w:rsid w:val="00107F32"/>
    <w:rsid w:val="00110249"/>
    <w:rsid w:val="0011049B"/>
    <w:rsid w:val="0011077F"/>
    <w:rsid w:val="00110A13"/>
    <w:rsid w:val="001128D9"/>
    <w:rsid w:val="00112AD9"/>
    <w:rsid w:val="00112F0E"/>
    <w:rsid w:val="001140BC"/>
    <w:rsid w:val="00114B90"/>
    <w:rsid w:val="00114C2E"/>
    <w:rsid w:val="00114DE4"/>
    <w:rsid w:val="00115306"/>
    <w:rsid w:val="00120330"/>
    <w:rsid w:val="00120F16"/>
    <w:rsid w:val="00121911"/>
    <w:rsid w:val="001229FD"/>
    <w:rsid w:val="00122B68"/>
    <w:rsid w:val="00122D5F"/>
    <w:rsid w:val="001235CF"/>
    <w:rsid w:val="0012483B"/>
    <w:rsid w:val="0012493B"/>
    <w:rsid w:val="00124AAD"/>
    <w:rsid w:val="00125DAA"/>
    <w:rsid w:val="00125E39"/>
    <w:rsid w:val="001260D9"/>
    <w:rsid w:val="001266F8"/>
    <w:rsid w:val="00126FD3"/>
    <w:rsid w:val="0012702F"/>
    <w:rsid w:val="0012741A"/>
    <w:rsid w:val="00127516"/>
    <w:rsid w:val="00130A45"/>
    <w:rsid w:val="00130EB4"/>
    <w:rsid w:val="001320F8"/>
    <w:rsid w:val="00135E6A"/>
    <w:rsid w:val="00135ED5"/>
    <w:rsid w:val="001363A2"/>
    <w:rsid w:val="00137649"/>
    <w:rsid w:val="00137833"/>
    <w:rsid w:val="00137EDE"/>
    <w:rsid w:val="00140234"/>
    <w:rsid w:val="00141DD9"/>
    <w:rsid w:val="0014242E"/>
    <w:rsid w:val="001424BA"/>
    <w:rsid w:val="00142734"/>
    <w:rsid w:val="00143096"/>
    <w:rsid w:val="001451B5"/>
    <w:rsid w:val="001455CB"/>
    <w:rsid w:val="0014597F"/>
    <w:rsid w:val="00146CE3"/>
    <w:rsid w:val="00150007"/>
    <w:rsid w:val="0015068B"/>
    <w:rsid w:val="00151318"/>
    <w:rsid w:val="00151EB6"/>
    <w:rsid w:val="00152F6A"/>
    <w:rsid w:val="001535E6"/>
    <w:rsid w:val="00153664"/>
    <w:rsid w:val="00153D31"/>
    <w:rsid w:val="00153FA5"/>
    <w:rsid w:val="00154E25"/>
    <w:rsid w:val="00155382"/>
    <w:rsid w:val="001553C2"/>
    <w:rsid w:val="00155D64"/>
    <w:rsid w:val="00156214"/>
    <w:rsid w:val="001567FD"/>
    <w:rsid w:val="00156ECA"/>
    <w:rsid w:val="0015710B"/>
    <w:rsid w:val="00161ADE"/>
    <w:rsid w:val="001622DB"/>
    <w:rsid w:val="00162C61"/>
    <w:rsid w:val="00162E9B"/>
    <w:rsid w:val="00164325"/>
    <w:rsid w:val="00166E3B"/>
    <w:rsid w:val="0016765A"/>
    <w:rsid w:val="00170EB6"/>
    <w:rsid w:val="0017150D"/>
    <w:rsid w:val="001719A9"/>
    <w:rsid w:val="00171B26"/>
    <w:rsid w:val="00171CD2"/>
    <w:rsid w:val="00172366"/>
    <w:rsid w:val="00172554"/>
    <w:rsid w:val="00173DAC"/>
    <w:rsid w:val="001740F8"/>
    <w:rsid w:val="0017596F"/>
    <w:rsid w:val="00176B19"/>
    <w:rsid w:val="00180FBC"/>
    <w:rsid w:val="00181116"/>
    <w:rsid w:val="001815FC"/>
    <w:rsid w:val="001816DA"/>
    <w:rsid w:val="00182D96"/>
    <w:rsid w:val="00183F67"/>
    <w:rsid w:val="001859CF"/>
    <w:rsid w:val="0018628A"/>
    <w:rsid w:val="00186C21"/>
    <w:rsid w:val="00190AD5"/>
    <w:rsid w:val="00191404"/>
    <w:rsid w:val="00191689"/>
    <w:rsid w:val="0019253E"/>
    <w:rsid w:val="00194766"/>
    <w:rsid w:val="00194C99"/>
    <w:rsid w:val="00195B53"/>
    <w:rsid w:val="00195E31"/>
    <w:rsid w:val="00196A85"/>
    <w:rsid w:val="00197E19"/>
    <w:rsid w:val="00197E6B"/>
    <w:rsid w:val="001A032A"/>
    <w:rsid w:val="001A187B"/>
    <w:rsid w:val="001A24F9"/>
    <w:rsid w:val="001A2AFD"/>
    <w:rsid w:val="001A31FF"/>
    <w:rsid w:val="001A3981"/>
    <w:rsid w:val="001A3BB6"/>
    <w:rsid w:val="001A5FFC"/>
    <w:rsid w:val="001B06A1"/>
    <w:rsid w:val="001B37ED"/>
    <w:rsid w:val="001B3A0D"/>
    <w:rsid w:val="001B45AE"/>
    <w:rsid w:val="001B46E9"/>
    <w:rsid w:val="001B4A92"/>
    <w:rsid w:val="001B68F4"/>
    <w:rsid w:val="001B6AE3"/>
    <w:rsid w:val="001C06DA"/>
    <w:rsid w:val="001C0D74"/>
    <w:rsid w:val="001C154E"/>
    <w:rsid w:val="001C1B81"/>
    <w:rsid w:val="001C27E3"/>
    <w:rsid w:val="001C2BF4"/>
    <w:rsid w:val="001C2E1D"/>
    <w:rsid w:val="001C3D1B"/>
    <w:rsid w:val="001C3E53"/>
    <w:rsid w:val="001C6602"/>
    <w:rsid w:val="001C67D6"/>
    <w:rsid w:val="001C775D"/>
    <w:rsid w:val="001D0B82"/>
    <w:rsid w:val="001D0FBC"/>
    <w:rsid w:val="001D14E0"/>
    <w:rsid w:val="001D1A42"/>
    <w:rsid w:val="001D27C8"/>
    <w:rsid w:val="001D2C49"/>
    <w:rsid w:val="001D405E"/>
    <w:rsid w:val="001D535A"/>
    <w:rsid w:val="001D6084"/>
    <w:rsid w:val="001D77BB"/>
    <w:rsid w:val="001D7B5A"/>
    <w:rsid w:val="001E04B1"/>
    <w:rsid w:val="001E09B8"/>
    <w:rsid w:val="001E0C5E"/>
    <w:rsid w:val="001E11CF"/>
    <w:rsid w:val="001E189A"/>
    <w:rsid w:val="001E3C2A"/>
    <w:rsid w:val="001E422B"/>
    <w:rsid w:val="001E548E"/>
    <w:rsid w:val="001E5B89"/>
    <w:rsid w:val="001E7175"/>
    <w:rsid w:val="001E7F45"/>
    <w:rsid w:val="001E7FC9"/>
    <w:rsid w:val="001F0B0F"/>
    <w:rsid w:val="001F14BD"/>
    <w:rsid w:val="001F1B03"/>
    <w:rsid w:val="001F1CE2"/>
    <w:rsid w:val="001F261A"/>
    <w:rsid w:val="001F2CD6"/>
    <w:rsid w:val="001F326D"/>
    <w:rsid w:val="001F4C40"/>
    <w:rsid w:val="001F5DF5"/>
    <w:rsid w:val="001F7457"/>
    <w:rsid w:val="001F7C3D"/>
    <w:rsid w:val="001F7E9A"/>
    <w:rsid w:val="0020014A"/>
    <w:rsid w:val="002004BE"/>
    <w:rsid w:val="00202A1C"/>
    <w:rsid w:val="00203718"/>
    <w:rsid w:val="00203D1E"/>
    <w:rsid w:val="00205760"/>
    <w:rsid w:val="00205D8A"/>
    <w:rsid w:val="00205F70"/>
    <w:rsid w:val="00206EC8"/>
    <w:rsid w:val="00207A80"/>
    <w:rsid w:val="00210799"/>
    <w:rsid w:val="00210E12"/>
    <w:rsid w:val="002119B3"/>
    <w:rsid w:val="002121DB"/>
    <w:rsid w:val="002123B5"/>
    <w:rsid w:val="0021397F"/>
    <w:rsid w:val="00213FF1"/>
    <w:rsid w:val="002157E2"/>
    <w:rsid w:val="00215D59"/>
    <w:rsid w:val="00215DD8"/>
    <w:rsid w:val="00216506"/>
    <w:rsid w:val="002176ED"/>
    <w:rsid w:val="002178C3"/>
    <w:rsid w:val="00220370"/>
    <w:rsid w:val="002203E9"/>
    <w:rsid w:val="002205EB"/>
    <w:rsid w:val="00221829"/>
    <w:rsid w:val="00221EDB"/>
    <w:rsid w:val="00222051"/>
    <w:rsid w:val="002225F3"/>
    <w:rsid w:val="00222897"/>
    <w:rsid w:val="0022349D"/>
    <w:rsid w:val="00223E9C"/>
    <w:rsid w:val="00223F17"/>
    <w:rsid w:val="00226EE3"/>
    <w:rsid w:val="002307F3"/>
    <w:rsid w:val="0023267E"/>
    <w:rsid w:val="00234532"/>
    <w:rsid w:val="002345F4"/>
    <w:rsid w:val="002369EC"/>
    <w:rsid w:val="00236FF8"/>
    <w:rsid w:val="00237D0C"/>
    <w:rsid w:val="002414A5"/>
    <w:rsid w:val="0024432D"/>
    <w:rsid w:val="00244EC7"/>
    <w:rsid w:val="00246711"/>
    <w:rsid w:val="00247EC8"/>
    <w:rsid w:val="002502FC"/>
    <w:rsid w:val="002502FE"/>
    <w:rsid w:val="0025090B"/>
    <w:rsid w:val="00251856"/>
    <w:rsid w:val="00251960"/>
    <w:rsid w:val="00251A54"/>
    <w:rsid w:val="002525CA"/>
    <w:rsid w:val="00253982"/>
    <w:rsid w:val="00254E70"/>
    <w:rsid w:val="00254E89"/>
    <w:rsid w:val="00255CF2"/>
    <w:rsid w:val="00256C03"/>
    <w:rsid w:val="0025756E"/>
    <w:rsid w:val="00257B27"/>
    <w:rsid w:val="00260E74"/>
    <w:rsid w:val="0026121B"/>
    <w:rsid w:val="00261353"/>
    <w:rsid w:val="00261C0C"/>
    <w:rsid w:val="00261FE3"/>
    <w:rsid w:val="0026208F"/>
    <w:rsid w:val="002626DC"/>
    <w:rsid w:val="002634E1"/>
    <w:rsid w:val="002642E0"/>
    <w:rsid w:val="002644A1"/>
    <w:rsid w:val="0026474A"/>
    <w:rsid w:val="00264C7D"/>
    <w:rsid w:val="00264CED"/>
    <w:rsid w:val="00265119"/>
    <w:rsid w:val="002666DF"/>
    <w:rsid w:val="00266CD9"/>
    <w:rsid w:val="00267003"/>
    <w:rsid w:val="0026757E"/>
    <w:rsid w:val="002707EF"/>
    <w:rsid w:val="00270C6A"/>
    <w:rsid w:val="00271DAA"/>
    <w:rsid w:val="002728C6"/>
    <w:rsid w:val="0027309F"/>
    <w:rsid w:val="00273766"/>
    <w:rsid w:val="00273855"/>
    <w:rsid w:val="0027431D"/>
    <w:rsid w:val="00274EBE"/>
    <w:rsid w:val="00275A54"/>
    <w:rsid w:val="00275E3E"/>
    <w:rsid w:val="00275F12"/>
    <w:rsid w:val="00276FCE"/>
    <w:rsid w:val="00280DB9"/>
    <w:rsid w:val="0028118A"/>
    <w:rsid w:val="002816C3"/>
    <w:rsid w:val="00281AA7"/>
    <w:rsid w:val="002830CD"/>
    <w:rsid w:val="00283D3B"/>
    <w:rsid w:val="00284231"/>
    <w:rsid w:val="00285092"/>
    <w:rsid w:val="0028518A"/>
    <w:rsid w:val="002851FB"/>
    <w:rsid w:val="0028594E"/>
    <w:rsid w:val="00286220"/>
    <w:rsid w:val="00286235"/>
    <w:rsid w:val="00287160"/>
    <w:rsid w:val="00287F98"/>
    <w:rsid w:val="002907D3"/>
    <w:rsid w:val="00290B5E"/>
    <w:rsid w:val="0029215C"/>
    <w:rsid w:val="00292479"/>
    <w:rsid w:val="00292A81"/>
    <w:rsid w:val="002931D0"/>
    <w:rsid w:val="002932C8"/>
    <w:rsid w:val="002940AD"/>
    <w:rsid w:val="002959AA"/>
    <w:rsid w:val="00295C78"/>
    <w:rsid w:val="0029612B"/>
    <w:rsid w:val="00296750"/>
    <w:rsid w:val="00296AAC"/>
    <w:rsid w:val="002A02F9"/>
    <w:rsid w:val="002A2947"/>
    <w:rsid w:val="002A2F0E"/>
    <w:rsid w:val="002A2F3D"/>
    <w:rsid w:val="002A3676"/>
    <w:rsid w:val="002A3D01"/>
    <w:rsid w:val="002A3DF4"/>
    <w:rsid w:val="002A4F71"/>
    <w:rsid w:val="002A6016"/>
    <w:rsid w:val="002A619A"/>
    <w:rsid w:val="002A7180"/>
    <w:rsid w:val="002A7D41"/>
    <w:rsid w:val="002B047A"/>
    <w:rsid w:val="002B0A9B"/>
    <w:rsid w:val="002B2C19"/>
    <w:rsid w:val="002B4118"/>
    <w:rsid w:val="002B47DB"/>
    <w:rsid w:val="002B4942"/>
    <w:rsid w:val="002B5A42"/>
    <w:rsid w:val="002C08F5"/>
    <w:rsid w:val="002C1270"/>
    <w:rsid w:val="002C2C6B"/>
    <w:rsid w:val="002C2FDC"/>
    <w:rsid w:val="002C3652"/>
    <w:rsid w:val="002C3FD4"/>
    <w:rsid w:val="002C4712"/>
    <w:rsid w:val="002C5C5B"/>
    <w:rsid w:val="002C6970"/>
    <w:rsid w:val="002C6F10"/>
    <w:rsid w:val="002D05DA"/>
    <w:rsid w:val="002D1804"/>
    <w:rsid w:val="002D1DE8"/>
    <w:rsid w:val="002D2F2B"/>
    <w:rsid w:val="002D312A"/>
    <w:rsid w:val="002D3AC5"/>
    <w:rsid w:val="002D3BD3"/>
    <w:rsid w:val="002D3C1D"/>
    <w:rsid w:val="002D651F"/>
    <w:rsid w:val="002D7947"/>
    <w:rsid w:val="002E0390"/>
    <w:rsid w:val="002E10A6"/>
    <w:rsid w:val="002E10F0"/>
    <w:rsid w:val="002E114E"/>
    <w:rsid w:val="002E17D1"/>
    <w:rsid w:val="002E1B9A"/>
    <w:rsid w:val="002E1D20"/>
    <w:rsid w:val="002E23AB"/>
    <w:rsid w:val="002E2539"/>
    <w:rsid w:val="002E3C19"/>
    <w:rsid w:val="002E415F"/>
    <w:rsid w:val="002E6348"/>
    <w:rsid w:val="002E6466"/>
    <w:rsid w:val="002E6EA7"/>
    <w:rsid w:val="002E7045"/>
    <w:rsid w:val="002E726A"/>
    <w:rsid w:val="002E756C"/>
    <w:rsid w:val="002F19E3"/>
    <w:rsid w:val="002F2995"/>
    <w:rsid w:val="002F3FFC"/>
    <w:rsid w:val="002F4484"/>
    <w:rsid w:val="002F487D"/>
    <w:rsid w:val="002F4DC8"/>
    <w:rsid w:val="002F67F0"/>
    <w:rsid w:val="002F6ACD"/>
    <w:rsid w:val="00300750"/>
    <w:rsid w:val="00300B1F"/>
    <w:rsid w:val="00302727"/>
    <w:rsid w:val="00302F75"/>
    <w:rsid w:val="00303869"/>
    <w:rsid w:val="00303D12"/>
    <w:rsid w:val="00304604"/>
    <w:rsid w:val="003063C1"/>
    <w:rsid w:val="003069D0"/>
    <w:rsid w:val="00306DC4"/>
    <w:rsid w:val="00306E19"/>
    <w:rsid w:val="003072E8"/>
    <w:rsid w:val="0030757F"/>
    <w:rsid w:val="003101F5"/>
    <w:rsid w:val="00310E76"/>
    <w:rsid w:val="00311A05"/>
    <w:rsid w:val="00317FFE"/>
    <w:rsid w:val="00320934"/>
    <w:rsid w:val="003212D1"/>
    <w:rsid w:val="003214EB"/>
    <w:rsid w:val="00321898"/>
    <w:rsid w:val="003219E0"/>
    <w:rsid w:val="00321B07"/>
    <w:rsid w:val="00322117"/>
    <w:rsid w:val="003221D9"/>
    <w:rsid w:val="00322824"/>
    <w:rsid w:val="00327158"/>
    <w:rsid w:val="00331119"/>
    <w:rsid w:val="00331202"/>
    <w:rsid w:val="0033163F"/>
    <w:rsid w:val="00331B0C"/>
    <w:rsid w:val="00331B1F"/>
    <w:rsid w:val="00333627"/>
    <w:rsid w:val="00333687"/>
    <w:rsid w:val="00333991"/>
    <w:rsid w:val="00334CCC"/>
    <w:rsid w:val="00337226"/>
    <w:rsid w:val="003376C9"/>
    <w:rsid w:val="0033784D"/>
    <w:rsid w:val="00340864"/>
    <w:rsid w:val="00340E77"/>
    <w:rsid w:val="00341A32"/>
    <w:rsid w:val="0034247B"/>
    <w:rsid w:val="00342B43"/>
    <w:rsid w:val="0034434D"/>
    <w:rsid w:val="003445EA"/>
    <w:rsid w:val="00344B22"/>
    <w:rsid w:val="00344FF7"/>
    <w:rsid w:val="003455F5"/>
    <w:rsid w:val="00346643"/>
    <w:rsid w:val="0034677C"/>
    <w:rsid w:val="00346D55"/>
    <w:rsid w:val="00347159"/>
    <w:rsid w:val="0035001D"/>
    <w:rsid w:val="0035036C"/>
    <w:rsid w:val="0035069F"/>
    <w:rsid w:val="003509B4"/>
    <w:rsid w:val="00350FD1"/>
    <w:rsid w:val="0035207C"/>
    <w:rsid w:val="00352357"/>
    <w:rsid w:val="00352B02"/>
    <w:rsid w:val="00353898"/>
    <w:rsid w:val="00355218"/>
    <w:rsid w:val="00355B20"/>
    <w:rsid w:val="00356E64"/>
    <w:rsid w:val="00357BC2"/>
    <w:rsid w:val="0036003E"/>
    <w:rsid w:val="003605F2"/>
    <w:rsid w:val="0036060A"/>
    <w:rsid w:val="00360B47"/>
    <w:rsid w:val="00361256"/>
    <w:rsid w:val="003619A7"/>
    <w:rsid w:val="00362FF2"/>
    <w:rsid w:val="00363FB0"/>
    <w:rsid w:val="00364FF7"/>
    <w:rsid w:val="00366083"/>
    <w:rsid w:val="003665B4"/>
    <w:rsid w:val="003670DB"/>
    <w:rsid w:val="00371D67"/>
    <w:rsid w:val="00371FFC"/>
    <w:rsid w:val="0037312C"/>
    <w:rsid w:val="00373D4E"/>
    <w:rsid w:val="00374502"/>
    <w:rsid w:val="00374948"/>
    <w:rsid w:val="0037497E"/>
    <w:rsid w:val="00375493"/>
    <w:rsid w:val="00375B84"/>
    <w:rsid w:val="00376167"/>
    <w:rsid w:val="00376221"/>
    <w:rsid w:val="00376D7B"/>
    <w:rsid w:val="003803D4"/>
    <w:rsid w:val="0038106B"/>
    <w:rsid w:val="003815CB"/>
    <w:rsid w:val="00383087"/>
    <w:rsid w:val="00383202"/>
    <w:rsid w:val="00383D2A"/>
    <w:rsid w:val="003847F9"/>
    <w:rsid w:val="00385CB8"/>
    <w:rsid w:val="003861A8"/>
    <w:rsid w:val="00386EF5"/>
    <w:rsid w:val="00387091"/>
    <w:rsid w:val="0039017F"/>
    <w:rsid w:val="00390FF7"/>
    <w:rsid w:val="0039173C"/>
    <w:rsid w:val="003920A5"/>
    <w:rsid w:val="003925B7"/>
    <w:rsid w:val="00392C8E"/>
    <w:rsid w:val="00393279"/>
    <w:rsid w:val="00393562"/>
    <w:rsid w:val="00393937"/>
    <w:rsid w:val="00393E3F"/>
    <w:rsid w:val="003944F8"/>
    <w:rsid w:val="00394B02"/>
    <w:rsid w:val="00397660"/>
    <w:rsid w:val="00397CC5"/>
    <w:rsid w:val="003A0745"/>
    <w:rsid w:val="003A0917"/>
    <w:rsid w:val="003A0961"/>
    <w:rsid w:val="003A1A21"/>
    <w:rsid w:val="003A23FD"/>
    <w:rsid w:val="003A2EEC"/>
    <w:rsid w:val="003A3265"/>
    <w:rsid w:val="003A3639"/>
    <w:rsid w:val="003A42CD"/>
    <w:rsid w:val="003A434E"/>
    <w:rsid w:val="003A4B97"/>
    <w:rsid w:val="003A5B5B"/>
    <w:rsid w:val="003A6380"/>
    <w:rsid w:val="003A644A"/>
    <w:rsid w:val="003A6FAB"/>
    <w:rsid w:val="003A754B"/>
    <w:rsid w:val="003A7A3D"/>
    <w:rsid w:val="003A7A57"/>
    <w:rsid w:val="003A7A63"/>
    <w:rsid w:val="003B03E5"/>
    <w:rsid w:val="003B0DB5"/>
    <w:rsid w:val="003B2A54"/>
    <w:rsid w:val="003B2DE3"/>
    <w:rsid w:val="003B33A6"/>
    <w:rsid w:val="003B3710"/>
    <w:rsid w:val="003B4BF5"/>
    <w:rsid w:val="003B4C15"/>
    <w:rsid w:val="003B4F9F"/>
    <w:rsid w:val="003B56FE"/>
    <w:rsid w:val="003B5971"/>
    <w:rsid w:val="003B652B"/>
    <w:rsid w:val="003B6D9C"/>
    <w:rsid w:val="003B75E2"/>
    <w:rsid w:val="003C332A"/>
    <w:rsid w:val="003C46AF"/>
    <w:rsid w:val="003C5934"/>
    <w:rsid w:val="003C613F"/>
    <w:rsid w:val="003C6498"/>
    <w:rsid w:val="003C6A05"/>
    <w:rsid w:val="003C6D22"/>
    <w:rsid w:val="003C7B40"/>
    <w:rsid w:val="003D00B5"/>
    <w:rsid w:val="003D20C4"/>
    <w:rsid w:val="003D2873"/>
    <w:rsid w:val="003D2CBC"/>
    <w:rsid w:val="003D2DAA"/>
    <w:rsid w:val="003D3F03"/>
    <w:rsid w:val="003D50E1"/>
    <w:rsid w:val="003D53E0"/>
    <w:rsid w:val="003D53EF"/>
    <w:rsid w:val="003D53F9"/>
    <w:rsid w:val="003D5829"/>
    <w:rsid w:val="003E043F"/>
    <w:rsid w:val="003E1DA3"/>
    <w:rsid w:val="003E2B27"/>
    <w:rsid w:val="003E3491"/>
    <w:rsid w:val="003E4F82"/>
    <w:rsid w:val="003E626A"/>
    <w:rsid w:val="003E6514"/>
    <w:rsid w:val="003E6765"/>
    <w:rsid w:val="003E7C51"/>
    <w:rsid w:val="003E7C8F"/>
    <w:rsid w:val="003F00D3"/>
    <w:rsid w:val="003F041E"/>
    <w:rsid w:val="003F04DB"/>
    <w:rsid w:val="003F1A53"/>
    <w:rsid w:val="003F1AE7"/>
    <w:rsid w:val="003F206D"/>
    <w:rsid w:val="003F259C"/>
    <w:rsid w:val="003F3F38"/>
    <w:rsid w:val="003F6054"/>
    <w:rsid w:val="003F641D"/>
    <w:rsid w:val="003F6742"/>
    <w:rsid w:val="003F68FF"/>
    <w:rsid w:val="003F7D30"/>
    <w:rsid w:val="004001BC"/>
    <w:rsid w:val="004003BB"/>
    <w:rsid w:val="004004BB"/>
    <w:rsid w:val="0040184B"/>
    <w:rsid w:val="0040392C"/>
    <w:rsid w:val="004041EB"/>
    <w:rsid w:val="00404217"/>
    <w:rsid w:val="004047EE"/>
    <w:rsid w:val="00406D8F"/>
    <w:rsid w:val="00407F70"/>
    <w:rsid w:val="00411731"/>
    <w:rsid w:val="00411DAB"/>
    <w:rsid w:val="00413B06"/>
    <w:rsid w:val="00415903"/>
    <w:rsid w:val="004179CC"/>
    <w:rsid w:val="00417A5F"/>
    <w:rsid w:val="00417E93"/>
    <w:rsid w:val="004213C4"/>
    <w:rsid w:val="004220B2"/>
    <w:rsid w:val="0042287A"/>
    <w:rsid w:val="00422CDD"/>
    <w:rsid w:val="00422E9C"/>
    <w:rsid w:val="004231FC"/>
    <w:rsid w:val="0042459E"/>
    <w:rsid w:val="00426875"/>
    <w:rsid w:val="00431004"/>
    <w:rsid w:val="004317B1"/>
    <w:rsid w:val="00431997"/>
    <w:rsid w:val="0043242F"/>
    <w:rsid w:val="0043293A"/>
    <w:rsid w:val="004329C0"/>
    <w:rsid w:val="00432BFE"/>
    <w:rsid w:val="00434E2F"/>
    <w:rsid w:val="00435E19"/>
    <w:rsid w:val="00436C27"/>
    <w:rsid w:val="00437560"/>
    <w:rsid w:val="0044177C"/>
    <w:rsid w:val="00441866"/>
    <w:rsid w:val="004427E8"/>
    <w:rsid w:val="00444AB5"/>
    <w:rsid w:val="00446034"/>
    <w:rsid w:val="00447748"/>
    <w:rsid w:val="004502BF"/>
    <w:rsid w:val="00450801"/>
    <w:rsid w:val="00450F0C"/>
    <w:rsid w:val="00451095"/>
    <w:rsid w:val="004528C0"/>
    <w:rsid w:val="004538AB"/>
    <w:rsid w:val="00454417"/>
    <w:rsid w:val="004563F6"/>
    <w:rsid w:val="00456B68"/>
    <w:rsid w:val="00460257"/>
    <w:rsid w:val="00460870"/>
    <w:rsid w:val="00462222"/>
    <w:rsid w:val="00462B53"/>
    <w:rsid w:val="00464359"/>
    <w:rsid w:val="0046456C"/>
    <w:rsid w:val="0046493D"/>
    <w:rsid w:val="00464ED3"/>
    <w:rsid w:val="00465678"/>
    <w:rsid w:val="0046644B"/>
    <w:rsid w:val="00466755"/>
    <w:rsid w:val="004667F3"/>
    <w:rsid w:val="0047113F"/>
    <w:rsid w:val="004714B0"/>
    <w:rsid w:val="0047176E"/>
    <w:rsid w:val="004754C7"/>
    <w:rsid w:val="00475847"/>
    <w:rsid w:val="004758E3"/>
    <w:rsid w:val="00475A03"/>
    <w:rsid w:val="00475FAC"/>
    <w:rsid w:val="0047670F"/>
    <w:rsid w:val="0047703E"/>
    <w:rsid w:val="00477AA2"/>
    <w:rsid w:val="00477D15"/>
    <w:rsid w:val="00477E83"/>
    <w:rsid w:val="00480FD1"/>
    <w:rsid w:val="00481A55"/>
    <w:rsid w:val="00482423"/>
    <w:rsid w:val="00482908"/>
    <w:rsid w:val="00482D9F"/>
    <w:rsid w:val="00483A34"/>
    <w:rsid w:val="004844A6"/>
    <w:rsid w:val="00484A4B"/>
    <w:rsid w:val="00486EB1"/>
    <w:rsid w:val="0048748D"/>
    <w:rsid w:val="0049024E"/>
    <w:rsid w:val="00490736"/>
    <w:rsid w:val="0049105A"/>
    <w:rsid w:val="00492F62"/>
    <w:rsid w:val="00493BE4"/>
    <w:rsid w:val="004950F2"/>
    <w:rsid w:val="0049532B"/>
    <w:rsid w:val="00495DC3"/>
    <w:rsid w:val="00496148"/>
    <w:rsid w:val="004A3075"/>
    <w:rsid w:val="004A3670"/>
    <w:rsid w:val="004A3FAE"/>
    <w:rsid w:val="004A4691"/>
    <w:rsid w:val="004A59D5"/>
    <w:rsid w:val="004A6013"/>
    <w:rsid w:val="004A69EB"/>
    <w:rsid w:val="004B01BB"/>
    <w:rsid w:val="004B0B83"/>
    <w:rsid w:val="004B0C52"/>
    <w:rsid w:val="004B1559"/>
    <w:rsid w:val="004B1A17"/>
    <w:rsid w:val="004B227B"/>
    <w:rsid w:val="004B271A"/>
    <w:rsid w:val="004B2CE9"/>
    <w:rsid w:val="004B3304"/>
    <w:rsid w:val="004B4A7A"/>
    <w:rsid w:val="004B6AE4"/>
    <w:rsid w:val="004B6BE3"/>
    <w:rsid w:val="004B70F2"/>
    <w:rsid w:val="004B7677"/>
    <w:rsid w:val="004B78B1"/>
    <w:rsid w:val="004B7D35"/>
    <w:rsid w:val="004C027E"/>
    <w:rsid w:val="004C02A3"/>
    <w:rsid w:val="004C08FC"/>
    <w:rsid w:val="004C13F0"/>
    <w:rsid w:val="004C2604"/>
    <w:rsid w:val="004C2658"/>
    <w:rsid w:val="004C2B41"/>
    <w:rsid w:val="004C3A68"/>
    <w:rsid w:val="004C49D9"/>
    <w:rsid w:val="004C4A21"/>
    <w:rsid w:val="004C4E7F"/>
    <w:rsid w:val="004C4F9B"/>
    <w:rsid w:val="004C5C77"/>
    <w:rsid w:val="004C6F21"/>
    <w:rsid w:val="004C7718"/>
    <w:rsid w:val="004C7B6E"/>
    <w:rsid w:val="004D0048"/>
    <w:rsid w:val="004D2B9E"/>
    <w:rsid w:val="004D3085"/>
    <w:rsid w:val="004D330A"/>
    <w:rsid w:val="004D3928"/>
    <w:rsid w:val="004D3B41"/>
    <w:rsid w:val="004D52D8"/>
    <w:rsid w:val="004D5DEA"/>
    <w:rsid w:val="004D5E37"/>
    <w:rsid w:val="004D60DE"/>
    <w:rsid w:val="004D62FF"/>
    <w:rsid w:val="004D6A32"/>
    <w:rsid w:val="004D6ADD"/>
    <w:rsid w:val="004D6CA6"/>
    <w:rsid w:val="004D77E2"/>
    <w:rsid w:val="004E01DB"/>
    <w:rsid w:val="004E0283"/>
    <w:rsid w:val="004E0D4A"/>
    <w:rsid w:val="004E173E"/>
    <w:rsid w:val="004E1FEB"/>
    <w:rsid w:val="004E24B7"/>
    <w:rsid w:val="004E3FC5"/>
    <w:rsid w:val="004E4163"/>
    <w:rsid w:val="004E4311"/>
    <w:rsid w:val="004E4469"/>
    <w:rsid w:val="004E5162"/>
    <w:rsid w:val="004E6784"/>
    <w:rsid w:val="004E6B89"/>
    <w:rsid w:val="004E6EE9"/>
    <w:rsid w:val="004E75B3"/>
    <w:rsid w:val="004F0058"/>
    <w:rsid w:val="004F1154"/>
    <w:rsid w:val="004F11C6"/>
    <w:rsid w:val="004F1AD6"/>
    <w:rsid w:val="004F34BF"/>
    <w:rsid w:val="004F3CBB"/>
    <w:rsid w:val="004F4223"/>
    <w:rsid w:val="004F42E4"/>
    <w:rsid w:val="004F4941"/>
    <w:rsid w:val="004F4E59"/>
    <w:rsid w:val="004F51EA"/>
    <w:rsid w:val="004F5CFC"/>
    <w:rsid w:val="004F64EC"/>
    <w:rsid w:val="004F69CB"/>
    <w:rsid w:val="00502AA4"/>
    <w:rsid w:val="00502D06"/>
    <w:rsid w:val="00503CE4"/>
    <w:rsid w:val="00505C90"/>
    <w:rsid w:val="0050671C"/>
    <w:rsid w:val="005069EC"/>
    <w:rsid w:val="00507B5F"/>
    <w:rsid w:val="00507EE7"/>
    <w:rsid w:val="005119E3"/>
    <w:rsid w:val="00512466"/>
    <w:rsid w:val="00512AC8"/>
    <w:rsid w:val="00512EAA"/>
    <w:rsid w:val="00514240"/>
    <w:rsid w:val="005143C9"/>
    <w:rsid w:val="00515130"/>
    <w:rsid w:val="005156FB"/>
    <w:rsid w:val="00515B17"/>
    <w:rsid w:val="005160B9"/>
    <w:rsid w:val="005162A3"/>
    <w:rsid w:val="0051646D"/>
    <w:rsid w:val="00516A24"/>
    <w:rsid w:val="0051714C"/>
    <w:rsid w:val="0051720C"/>
    <w:rsid w:val="0052002B"/>
    <w:rsid w:val="0052063E"/>
    <w:rsid w:val="0052094C"/>
    <w:rsid w:val="00521FC3"/>
    <w:rsid w:val="00522291"/>
    <w:rsid w:val="005229CE"/>
    <w:rsid w:val="00523011"/>
    <w:rsid w:val="00523E40"/>
    <w:rsid w:val="005249E9"/>
    <w:rsid w:val="00524DBB"/>
    <w:rsid w:val="00525B95"/>
    <w:rsid w:val="00526551"/>
    <w:rsid w:val="00527047"/>
    <w:rsid w:val="0053021B"/>
    <w:rsid w:val="00530D5F"/>
    <w:rsid w:val="00530F37"/>
    <w:rsid w:val="00531F86"/>
    <w:rsid w:val="00533451"/>
    <w:rsid w:val="00533E0C"/>
    <w:rsid w:val="00534143"/>
    <w:rsid w:val="00534D9C"/>
    <w:rsid w:val="00535716"/>
    <w:rsid w:val="00535B28"/>
    <w:rsid w:val="00535F66"/>
    <w:rsid w:val="0053718D"/>
    <w:rsid w:val="00537C24"/>
    <w:rsid w:val="005402A6"/>
    <w:rsid w:val="00540BBA"/>
    <w:rsid w:val="00541C82"/>
    <w:rsid w:val="00541ED2"/>
    <w:rsid w:val="00542A76"/>
    <w:rsid w:val="005457B3"/>
    <w:rsid w:val="00546E35"/>
    <w:rsid w:val="00546F9E"/>
    <w:rsid w:val="00550635"/>
    <w:rsid w:val="00551340"/>
    <w:rsid w:val="00551757"/>
    <w:rsid w:val="005531C7"/>
    <w:rsid w:val="00554D61"/>
    <w:rsid w:val="005550F7"/>
    <w:rsid w:val="005554FD"/>
    <w:rsid w:val="0055567F"/>
    <w:rsid w:val="00556AF6"/>
    <w:rsid w:val="00557AFA"/>
    <w:rsid w:val="00560737"/>
    <w:rsid w:val="00560BD4"/>
    <w:rsid w:val="0056236A"/>
    <w:rsid w:val="00563615"/>
    <w:rsid w:val="00563D78"/>
    <w:rsid w:val="005649F0"/>
    <w:rsid w:val="00566D6F"/>
    <w:rsid w:val="00566DE6"/>
    <w:rsid w:val="005671AF"/>
    <w:rsid w:val="00570394"/>
    <w:rsid w:val="005705F3"/>
    <w:rsid w:val="005713BA"/>
    <w:rsid w:val="005713D0"/>
    <w:rsid w:val="00573838"/>
    <w:rsid w:val="00573B65"/>
    <w:rsid w:val="005747C9"/>
    <w:rsid w:val="00574D32"/>
    <w:rsid w:val="005754C3"/>
    <w:rsid w:val="00576165"/>
    <w:rsid w:val="0057668D"/>
    <w:rsid w:val="005771A9"/>
    <w:rsid w:val="00580C09"/>
    <w:rsid w:val="00580E9C"/>
    <w:rsid w:val="00581081"/>
    <w:rsid w:val="005812C9"/>
    <w:rsid w:val="00581964"/>
    <w:rsid w:val="00581B1C"/>
    <w:rsid w:val="0058206B"/>
    <w:rsid w:val="00582B2E"/>
    <w:rsid w:val="0058412D"/>
    <w:rsid w:val="00584FEA"/>
    <w:rsid w:val="005851B3"/>
    <w:rsid w:val="00585C6C"/>
    <w:rsid w:val="0058609F"/>
    <w:rsid w:val="00586A7E"/>
    <w:rsid w:val="0058750B"/>
    <w:rsid w:val="00587A4A"/>
    <w:rsid w:val="00587B5C"/>
    <w:rsid w:val="00591F13"/>
    <w:rsid w:val="00592E3F"/>
    <w:rsid w:val="005934F4"/>
    <w:rsid w:val="0059382D"/>
    <w:rsid w:val="00593BD7"/>
    <w:rsid w:val="0059467D"/>
    <w:rsid w:val="00595A24"/>
    <w:rsid w:val="00595DDE"/>
    <w:rsid w:val="00597799"/>
    <w:rsid w:val="005A0736"/>
    <w:rsid w:val="005A09D9"/>
    <w:rsid w:val="005A1662"/>
    <w:rsid w:val="005A3DB9"/>
    <w:rsid w:val="005A60D7"/>
    <w:rsid w:val="005A7BB7"/>
    <w:rsid w:val="005B0568"/>
    <w:rsid w:val="005B1174"/>
    <w:rsid w:val="005B2355"/>
    <w:rsid w:val="005B2C60"/>
    <w:rsid w:val="005B402C"/>
    <w:rsid w:val="005B6491"/>
    <w:rsid w:val="005B6AD4"/>
    <w:rsid w:val="005B719D"/>
    <w:rsid w:val="005B7674"/>
    <w:rsid w:val="005B7CB0"/>
    <w:rsid w:val="005C00EA"/>
    <w:rsid w:val="005C02FA"/>
    <w:rsid w:val="005C0B7A"/>
    <w:rsid w:val="005C32B9"/>
    <w:rsid w:val="005C3609"/>
    <w:rsid w:val="005C3986"/>
    <w:rsid w:val="005C433C"/>
    <w:rsid w:val="005C4510"/>
    <w:rsid w:val="005C4656"/>
    <w:rsid w:val="005C47AF"/>
    <w:rsid w:val="005C5AB1"/>
    <w:rsid w:val="005C5FAD"/>
    <w:rsid w:val="005D093D"/>
    <w:rsid w:val="005D123F"/>
    <w:rsid w:val="005D14C5"/>
    <w:rsid w:val="005D1837"/>
    <w:rsid w:val="005D184E"/>
    <w:rsid w:val="005D18FB"/>
    <w:rsid w:val="005D1A0A"/>
    <w:rsid w:val="005D2571"/>
    <w:rsid w:val="005D2B18"/>
    <w:rsid w:val="005D341F"/>
    <w:rsid w:val="005D40A6"/>
    <w:rsid w:val="005D40FC"/>
    <w:rsid w:val="005D64FB"/>
    <w:rsid w:val="005D6F2C"/>
    <w:rsid w:val="005D7550"/>
    <w:rsid w:val="005E18C8"/>
    <w:rsid w:val="005E2563"/>
    <w:rsid w:val="005E2E16"/>
    <w:rsid w:val="005E2FEF"/>
    <w:rsid w:val="005E35FB"/>
    <w:rsid w:val="005E3949"/>
    <w:rsid w:val="005E63D8"/>
    <w:rsid w:val="005E65C2"/>
    <w:rsid w:val="005E6D89"/>
    <w:rsid w:val="005E6F40"/>
    <w:rsid w:val="005E6F45"/>
    <w:rsid w:val="005F039C"/>
    <w:rsid w:val="005F1ED0"/>
    <w:rsid w:val="005F2530"/>
    <w:rsid w:val="005F281F"/>
    <w:rsid w:val="005F30A0"/>
    <w:rsid w:val="005F3295"/>
    <w:rsid w:val="005F3896"/>
    <w:rsid w:val="005F4494"/>
    <w:rsid w:val="005F52BB"/>
    <w:rsid w:val="005F5878"/>
    <w:rsid w:val="005F66A2"/>
    <w:rsid w:val="005F7763"/>
    <w:rsid w:val="00600A95"/>
    <w:rsid w:val="00601704"/>
    <w:rsid w:val="00601E89"/>
    <w:rsid w:val="00602A93"/>
    <w:rsid w:val="0060360A"/>
    <w:rsid w:val="006045F9"/>
    <w:rsid w:val="006048A5"/>
    <w:rsid w:val="006050A0"/>
    <w:rsid w:val="00605F4E"/>
    <w:rsid w:val="00606394"/>
    <w:rsid w:val="00606F6D"/>
    <w:rsid w:val="00607E48"/>
    <w:rsid w:val="006103CF"/>
    <w:rsid w:val="00611349"/>
    <w:rsid w:val="00612237"/>
    <w:rsid w:val="006127C0"/>
    <w:rsid w:val="00615050"/>
    <w:rsid w:val="006152BB"/>
    <w:rsid w:val="00615D8C"/>
    <w:rsid w:val="006168AF"/>
    <w:rsid w:val="0062106F"/>
    <w:rsid w:val="00621B90"/>
    <w:rsid w:val="00621E42"/>
    <w:rsid w:val="00621F5B"/>
    <w:rsid w:val="00622B1C"/>
    <w:rsid w:val="006233E4"/>
    <w:rsid w:val="006238F9"/>
    <w:rsid w:val="006247B0"/>
    <w:rsid w:val="00626663"/>
    <w:rsid w:val="006267C1"/>
    <w:rsid w:val="006276FC"/>
    <w:rsid w:val="006278B5"/>
    <w:rsid w:val="006300F6"/>
    <w:rsid w:val="00630AF3"/>
    <w:rsid w:val="006327C1"/>
    <w:rsid w:val="00632C3A"/>
    <w:rsid w:val="00632D57"/>
    <w:rsid w:val="006339E0"/>
    <w:rsid w:val="00634C78"/>
    <w:rsid w:val="00636687"/>
    <w:rsid w:val="006367F2"/>
    <w:rsid w:val="006372D9"/>
    <w:rsid w:val="00637A39"/>
    <w:rsid w:val="006407F4"/>
    <w:rsid w:val="00640ED8"/>
    <w:rsid w:val="006414B8"/>
    <w:rsid w:val="006418CE"/>
    <w:rsid w:val="00641CE8"/>
    <w:rsid w:val="006422E1"/>
    <w:rsid w:val="0064286D"/>
    <w:rsid w:val="0064328E"/>
    <w:rsid w:val="006432F5"/>
    <w:rsid w:val="00643448"/>
    <w:rsid w:val="00643B74"/>
    <w:rsid w:val="00643E00"/>
    <w:rsid w:val="00643ECD"/>
    <w:rsid w:val="00644118"/>
    <w:rsid w:val="00644950"/>
    <w:rsid w:val="00644EED"/>
    <w:rsid w:val="00646E7B"/>
    <w:rsid w:val="00646F8F"/>
    <w:rsid w:val="006470DD"/>
    <w:rsid w:val="006476DE"/>
    <w:rsid w:val="00650044"/>
    <w:rsid w:val="006503A4"/>
    <w:rsid w:val="0065075E"/>
    <w:rsid w:val="0065088C"/>
    <w:rsid w:val="00650F40"/>
    <w:rsid w:val="006510C3"/>
    <w:rsid w:val="006514BB"/>
    <w:rsid w:val="00653882"/>
    <w:rsid w:val="0065408E"/>
    <w:rsid w:val="006547F0"/>
    <w:rsid w:val="00654995"/>
    <w:rsid w:val="006551E9"/>
    <w:rsid w:val="00655858"/>
    <w:rsid w:val="006559FD"/>
    <w:rsid w:val="00656445"/>
    <w:rsid w:val="0065675B"/>
    <w:rsid w:val="00657C45"/>
    <w:rsid w:val="006600EA"/>
    <w:rsid w:val="00660291"/>
    <w:rsid w:val="00660923"/>
    <w:rsid w:val="006611A0"/>
    <w:rsid w:val="006612F3"/>
    <w:rsid w:val="006617CF"/>
    <w:rsid w:val="00662BAA"/>
    <w:rsid w:val="006666B3"/>
    <w:rsid w:val="00666B7A"/>
    <w:rsid w:val="00667574"/>
    <w:rsid w:val="00671293"/>
    <w:rsid w:val="006713B8"/>
    <w:rsid w:val="00671711"/>
    <w:rsid w:val="006718FA"/>
    <w:rsid w:val="00672173"/>
    <w:rsid w:val="0067258E"/>
    <w:rsid w:val="0067271D"/>
    <w:rsid w:val="006753CB"/>
    <w:rsid w:val="00675E67"/>
    <w:rsid w:val="006760A0"/>
    <w:rsid w:val="006764BB"/>
    <w:rsid w:val="0067688D"/>
    <w:rsid w:val="00677DCB"/>
    <w:rsid w:val="0068043C"/>
    <w:rsid w:val="00680D60"/>
    <w:rsid w:val="0068192B"/>
    <w:rsid w:val="00681AF0"/>
    <w:rsid w:val="00681EDF"/>
    <w:rsid w:val="00682690"/>
    <w:rsid w:val="00683759"/>
    <w:rsid w:val="006841FA"/>
    <w:rsid w:val="006842D4"/>
    <w:rsid w:val="00685B19"/>
    <w:rsid w:val="00686840"/>
    <w:rsid w:val="00686D9A"/>
    <w:rsid w:val="0068767E"/>
    <w:rsid w:val="00690538"/>
    <w:rsid w:val="006933DF"/>
    <w:rsid w:val="00694445"/>
    <w:rsid w:val="00694492"/>
    <w:rsid w:val="006958B6"/>
    <w:rsid w:val="00696864"/>
    <w:rsid w:val="00697449"/>
    <w:rsid w:val="00697FAD"/>
    <w:rsid w:val="006A007C"/>
    <w:rsid w:val="006A0B44"/>
    <w:rsid w:val="006A169C"/>
    <w:rsid w:val="006A1B48"/>
    <w:rsid w:val="006A1D25"/>
    <w:rsid w:val="006A271C"/>
    <w:rsid w:val="006A2B02"/>
    <w:rsid w:val="006A3EFC"/>
    <w:rsid w:val="006A5450"/>
    <w:rsid w:val="006A550E"/>
    <w:rsid w:val="006A783D"/>
    <w:rsid w:val="006B0444"/>
    <w:rsid w:val="006B06E8"/>
    <w:rsid w:val="006B53FF"/>
    <w:rsid w:val="006B6ADA"/>
    <w:rsid w:val="006B6DB4"/>
    <w:rsid w:val="006B790C"/>
    <w:rsid w:val="006B7B7C"/>
    <w:rsid w:val="006B7DD5"/>
    <w:rsid w:val="006C0C9C"/>
    <w:rsid w:val="006C1330"/>
    <w:rsid w:val="006C1351"/>
    <w:rsid w:val="006C2077"/>
    <w:rsid w:val="006C2F21"/>
    <w:rsid w:val="006C5F1F"/>
    <w:rsid w:val="006C6315"/>
    <w:rsid w:val="006C6343"/>
    <w:rsid w:val="006C686D"/>
    <w:rsid w:val="006C73B5"/>
    <w:rsid w:val="006D0A5D"/>
    <w:rsid w:val="006D12F4"/>
    <w:rsid w:val="006D15BD"/>
    <w:rsid w:val="006D2E4B"/>
    <w:rsid w:val="006D3133"/>
    <w:rsid w:val="006D4758"/>
    <w:rsid w:val="006D5C98"/>
    <w:rsid w:val="006D606A"/>
    <w:rsid w:val="006D641D"/>
    <w:rsid w:val="006D6F51"/>
    <w:rsid w:val="006D7006"/>
    <w:rsid w:val="006D730E"/>
    <w:rsid w:val="006E025B"/>
    <w:rsid w:val="006E30D9"/>
    <w:rsid w:val="006E4947"/>
    <w:rsid w:val="006E563A"/>
    <w:rsid w:val="006E5B29"/>
    <w:rsid w:val="006E7DBE"/>
    <w:rsid w:val="006E7F24"/>
    <w:rsid w:val="006F0A47"/>
    <w:rsid w:val="006F396D"/>
    <w:rsid w:val="006F422A"/>
    <w:rsid w:val="006F4510"/>
    <w:rsid w:val="006F453A"/>
    <w:rsid w:val="006F485E"/>
    <w:rsid w:val="006F4EAC"/>
    <w:rsid w:val="006F5525"/>
    <w:rsid w:val="006F5F70"/>
    <w:rsid w:val="006F6854"/>
    <w:rsid w:val="006F6B8E"/>
    <w:rsid w:val="00700108"/>
    <w:rsid w:val="007007E5"/>
    <w:rsid w:val="00702183"/>
    <w:rsid w:val="0070378C"/>
    <w:rsid w:val="00703DBE"/>
    <w:rsid w:val="00706DAE"/>
    <w:rsid w:val="0070710B"/>
    <w:rsid w:val="00707F0F"/>
    <w:rsid w:val="00711D15"/>
    <w:rsid w:val="00711FBF"/>
    <w:rsid w:val="0071210D"/>
    <w:rsid w:val="007124D0"/>
    <w:rsid w:val="007125F5"/>
    <w:rsid w:val="007145E1"/>
    <w:rsid w:val="007156CB"/>
    <w:rsid w:val="00716683"/>
    <w:rsid w:val="00716954"/>
    <w:rsid w:val="00716D91"/>
    <w:rsid w:val="00717A72"/>
    <w:rsid w:val="00720A21"/>
    <w:rsid w:val="00722306"/>
    <w:rsid w:val="00722893"/>
    <w:rsid w:val="00723A45"/>
    <w:rsid w:val="007321D1"/>
    <w:rsid w:val="00732EDF"/>
    <w:rsid w:val="00732FF1"/>
    <w:rsid w:val="0073322B"/>
    <w:rsid w:val="00733E30"/>
    <w:rsid w:val="0073414F"/>
    <w:rsid w:val="0073473D"/>
    <w:rsid w:val="00735067"/>
    <w:rsid w:val="00737047"/>
    <w:rsid w:val="0074076D"/>
    <w:rsid w:val="00740F2F"/>
    <w:rsid w:val="00741049"/>
    <w:rsid w:val="0074108B"/>
    <w:rsid w:val="0074136A"/>
    <w:rsid w:val="0074148C"/>
    <w:rsid w:val="0074185C"/>
    <w:rsid w:val="00741DFA"/>
    <w:rsid w:val="00741FB6"/>
    <w:rsid w:val="0074244C"/>
    <w:rsid w:val="007440A7"/>
    <w:rsid w:val="007441E4"/>
    <w:rsid w:val="007442A7"/>
    <w:rsid w:val="00744D3A"/>
    <w:rsid w:val="00744D47"/>
    <w:rsid w:val="00745198"/>
    <w:rsid w:val="00745ACA"/>
    <w:rsid w:val="0074665E"/>
    <w:rsid w:val="00746A83"/>
    <w:rsid w:val="00747FB3"/>
    <w:rsid w:val="00750F54"/>
    <w:rsid w:val="007512DD"/>
    <w:rsid w:val="007518A5"/>
    <w:rsid w:val="00751C48"/>
    <w:rsid w:val="0075283F"/>
    <w:rsid w:val="0075361A"/>
    <w:rsid w:val="007537F0"/>
    <w:rsid w:val="0075383E"/>
    <w:rsid w:val="0075441E"/>
    <w:rsid w:val="00754F83"/>
    <w:rsid w:val="00754FA8"/>
    <w:rsid w:val="00755E6A"/>
    <w:rsid w:val="0075673A"/>
    <w:rsid w:val="00756C31"/>
    <w:rsid w:val="00756E2F"/>
    <w:rsid w:val="00757327"/>
    <w:rsid w:val="00760B62"/>
    <w:rsid w:val="007617C9"/>
    <w:rsid w:val="0076194F"/>
    <w:rsid w:val="00763B85"/>
    <w:rsid w:val="00763E87"/>
    <w:rsid w:val="007640FD"/>
    <w:rsid w:val="00764355"/>
    <w:rsid w:val="00764462"/>
    <w:rsid w:val="0076576E"/>
    <w:rsid w:val="00765EBC"/>
    <w:rsid w:val="00766A00"/>
    <w:rsid w:val="007670C4"/>
    <w:rsid w:val="007702EB"/>
    <w:rsid w:val="007704CC"/>
    <w:rsid w:val="00770BB8"/>
    <w:rsid w:val="00770D84"/>
    <w:rsid w:val="007716C7"/>
    <w:rsid w:val="00771ABF"/>
    <w:rsid w:val="00773B81"/>
    <w:rsid w:val="00775EE0"/>
    <w:rsid w:val="00775F0C"/>
    <w:rsid w:val="00776051"/>
    <w:rsid w:val="00776C0C"/>
    <w:rsid w:val="00776DA3"/>
    <w:rsid w:val="0077710D"/>
    <w:rsid w:val="00777864"/>
    <w:rsid w:val="00777D07"/>
    <w:rsid w:val="00777E3D"/>
    <w:rsid w:val="00777EB1"/>
    <w:rsid w:val="00780F04"/>
    <w:rsid w:val="007813D0"/>
    <w:rsid w:val="007823AC"/>
    <w:rsid w:val="00782508"/>
    <w:rsid w:val="00782C60"/>
    <w:rsid w:val="007843E0"/>
    <w:rsid w:val="00785500"/>
    <w:rsid w:val="00785AF6"/>
    <w:rsid w:val="007866D6"/>
    <w:rsid w:val="00786F3C"/>
    <w:rsid w:val="00786F6C"/>
    <w:rsid w:val="00790179"/>
    <w:rsid w:val="00792B3B"/>
    <w:rsid w:val="00793AD0"/>
    <w:rsid w:val="00794009"/>
    <w:rsid w:val="0079509C"/>
    <w:rsid w:val="00796453"/>
    <w:rsid w:val="007969DB"/>
    <w:rsid w:val="00796BE3"/>
    <w:rsid w:val="00796C4A"/>
    <w:rsid w:val="00796DB2"/>
    <w:rsid w:val="007A023D"/>
    <w:rsid w:val="007A0464"/>
    <w:rsid w:val="007A0A1D"/>
    <w:rsid w:val="007A108E"/>
    <w:rsid w:val="007A1CDE"/>
    <w:rsid w:val="007A1D69"/>
    <w:rsid w:val="007A284C"/>
    <w:rsid w:val="007A2D09"/>
    <w:rsid w:val="007A325A"/>
    <w:rsid w:val="007A428E"/>
    <w:rsid w:val="007A42E6"/>
    <w:rsid w:val="007A4513"/>
    <w:rsid w:val="007A52B0"/>
    <w:rsid w:val="007A5682"/>
    <w:rsid w:val="007A5B30"/>
    <w:rsid w:val="007A648B"/>
    <w:rsid w:val="007A6784"/>
    <w:rsid w:val="007A6842"/>
    <w:rsid w:val="007A6B3C"/>
    <w:rsid w:val="007A6BD0"/>
    <w:rsid w:val="007A6DC6"/>
    <w:rsid w:val="007A7886"/>
    <w:rsid w:val="007A791F"/>
    <w:rsid w:val="007A7D50"/>
    <w:rsid w:val="007B01CF"/>
    <w:rsid w:val="007B0BD8"/>
    <w:rsid w:val="007B1054"/>
    <w:rsid w:val="007B1174"/>
    <w:rsid w:val="007B15F7"/>
    <w:rsid w:val="007B27C0"/>
    <w:rsid w:val="007B2DBE"/>
    <w:rsid w:val="007B3922"/>
    <w:rsid w:val="007B3E40"/>
    <w:rsid w:val="007B50E1"/>
    <w:rsid w:val="007B5D5B"/>
    <w:rsid w:val="007B6576"/>
    <w:rsid w:val="007C0252"/>
    <w:rsid w:val="007C08A8"/>
    <w:rsid w:val="007C1A58"/>
    <w:rsid w:val="007C2F07"/>
    <w:rsid w:val="007C2FFF"/>
    <w:rsid w:val="007C36F2"/>
    <w:rsid w:val="007C4B8B"/>
    <w:rsid w:val="007C4D58"/>
    <w:rsid w:val="007C5567"/>
    <w:rsid w:val="007C67D7"/>
    <w:rsid w:val="007C6B0A"/>
    <w:rsid w:val="007C78CD"/>
    <w:rsid w:val="007D0DB3"/>
    <w:rsid w:val="007D1DB3"/>
    <w:rsid w:val="007D1E6F"/>
    <w:rsid w:val="007D2138"/>
    <w:rsid w:val="007D2914"/>
    <w:rsid w:val="007D2E18"/>
    <w:rsid w:val="007D31B0"/>
    <w:rsid w:val="007D46DC"/>
    <w:rsid w:val="007D5796"/>
    <w:rsid w:val="007D6798"/>
    <w:rsid w:val="007D7360"/>
    <w:rsid w:val="007D73E8"/>
    <w:rsid w:val="007D7C33"/>
    <w:rsid w:val="007D7EA0"/>
    <w:rsid w:val="007E02B7"/>
    <w:rsid w:val="007E035D"/>
    <w:rsid w:val="007E250B"/>
    <w:rsid w:val="007E2A72"/>
    <w:rsid w:val="007E310F"/>
    <w:rsid w:val="007E3370"/>
    <w:rsid w:val="007E3DA1"/>
    <w:rsid w:val="007E43A7"/>
    <w:rsid w:val="007E452B"/>
    <w:rsid w:val="007E4A94"/>
    <w:rsid w:val="007E5C30"/>
    <w:rsid w:val="007E5CFE"/>
    <w:rsid w:val="007E5D57"/>
    <w:rsid w:val="007E6249"/>
    <w:rsid w:val="007E6535"/>
    <w:rsid w:val="007E65E7"/>
    <w:rsid w:val="007E71DF"/>
    <w:rsid w:val="007E753C"/>
    <w:rsid w:val="007F095C"/>
    <w:rsid w:val="007F1ADB"/>
    <w:rsid w:val="007F1E95"/>
    <w:rsid w:val="007F4113"/>
    <w:rsid w:val="007F4A9C"/>
    <w:rsid w:val="007F598A"/>
    <w:rsid w:val="007F5C16"/>
    <w:rsid w:val="007F6DF2"/>
    <w:rsid w:val="007F7E4F"/>
    <w:rsid w:val="008009F7"/>
    <w:rsid w:val="00801735"/>
    <w:rsid w:val="00801A76"/>
    <w:rsid w:val="00801B42"/>
    <w:rsid w:val="0080266C"/>
    <w:rsid w:val="0080327D"/>
    <w:rsid w:val="00804052"/>
    <w:rsid w:val="00805610"/>
    <w:rsid w:val="008060F5"/>
    <w:rsid w:val="00806521"/>
    <w:rsid w:val="00806642"/>
    <w:rsid w:val="00806731"/>
    <w:rsid w:val="0081105A"/>
    <w:rsid w:val="008118DF"/>
    <w:rsid w:val="008137BF"/>
    <w:rsid w:val="00814424"/>
    <w:rsid w:val="00814C71"/>
    <w:rsid w:val="00814CB1"/>
    <w:rsid w:val="00816908"/>
    <w:rsid w:val="00817077"/>
    <w:rsid w:val="0081712C"/>
    <w:rsid w:val="00817622"/>
    <w:rsid w:val="00820AF6"/>
    <w:rsid w:val="00820B9A"/>
    <w:rsid w:val="00822339"/>
    <w:rsid w:val="00822DA6"/>
    <w:rsid w:val="00822E3A"/>
    <w:rsid w:val="00823438"/>
    <w:rsid w:val="00824C4F"/>
    <w:rsid w:val="00825B04"/>
    <w:rsid w:val="00826441"/>
    <w:rsid w:val="008269F8"/>
    <w:rsid w:val="00826B71"/>
    <w:rsid w:val="008277CC"/>
    <w:rsid w:val="00830FD7"/>
    <w:rsid w:val="00831638"/>
    <w:rsid w:val="008321D3"/>
    <w:rsid w:val="008326C8"/>
    <w:rsid w:val="00832758"/>
    <w:rsid w:val="00834AFA"/>
    <w:rsid w:val="0083646F"/>
    <w:rsid w:val="00836E1D"/>
    <w:rsid w:val="008378BB"/>
    <w:rsid w:val="00841201"/>
    <w:rsid w:val="00843A91"/>
    <w:rsid w:val="008448A7"/>
    <w:rsid w:val="0084499A"/>
    <w:rsid w:val="00844BC1"/>
    <w:rsid w:val="00845DC4"/>
    <w:rsid w:val="008460DE"/>
    <w:rsid w:val="00846576"/>
    <w:rsid w:val="008476BF"/>
    <w:rsid w:val="00847992"/>
    <w:rsid w:val="00847E53"/>
    <w:rsid w:val="00847F1C"/>
    <w:rsid w:val="008520D1"/>
    <w:rsid w:val="00852AAD"/>
    <w:rsid w:val="00853F0C"/>
    <w:rsid w:val="00854A60"/>
    <w:rsid w:val="00854DFF"/>
    <w:rsid w:val="00856415"/>
    <w:rsid w:val="00856D7D"/>
    <w:rsid w:val="00856DFD"/>
    <w:rsid w:val="0085735C"/>
    <w:rsid w:val="008600D9"/>
    <w:rsid w:val="00860CA6"/>
    <w:rsid w:val="0086156F"/>
    <w:rsid w:val="008621D1"/>
    <w:rsid w:val="008621D5"/>
    <w:rsid w:val="008625F4"/>
    <w:rsid w:val="00862933"/>
    <w:rsid w:val="0086303C"/>
    <w:rsid w:val="00863120"/>
    <w:rsid w:val="00863441"/>
    <w:rsid w:val="0086428E"/>
    <w:rsid w:val="0086578F"/>
    <w:rsid w:val="00870A83"/>
    <w:rsid w:val="00871333"/>
    <w:rsid w:val="00871750"/>
    <w:rsid w:val="00871CA6"/>
    <w:rsid w:val="00873417"/>
    <w:rsid w:val="008738CE"/>
    <w:rsid w:val="00873C8B"/>
    <w:rsid w:val="00875CF7"/>
    <w:rsid w:val="0087652A"/>
    <w:rsid w:val="00880E0C"/>
    <w:rsid w:val="00881AD4"/>
    <w:rsid w:val="008825AE"/>
    <w:rsid w:val="008838B7"/>
    <w:rsid w:val="00883CE2"/>
    <w:rsid w:val="00883D9D"/>
    <w:rsid w:val="00884333"/>
    <w:rsid w:val="008849F1"/>
    <w:rsid w:val="00884CEB"/>
    <w:rsid w:val="00884FBA"/>
    <w:rsid w:val="008850BB"/>
    <w:rsid w:val="00885B40"/>
    <w:rsid w:val="00886F2C"/>
    <w:rsid w:val="0088767E"/>
    <w:rsid w:val="0088770C"/>
    <w:rsid w:val="008904C6"/>
    <w:rsid w:val="008911B4"/>
    <w:rsid w:val="00892E69"/>
    <w:rsid w:val="008930A4"/>
    <w:rsid w:val="00893793"/>
    <w:rsid w:val="00893B7D"/>
    <w:rsid w:val="00893C78"/>
    <w:rsid w:val="00893FA0"/>
    <w:rsid w:val="008956BB"/>
    <w:rsid w:val="00895FDF"/>
    <w:rsid w:val="00895FE2"/>
    <w:rsid w:val="008966D5"/>
    <w:rsid w:val="0089693E"/>
    <w:rsid w:val="00896DBE"/>
    <w:rsid w:val="008971E8"/>
    <w:rsid w:val="00897822"/>
    <w:rsid w:val="00897855"/>
    <w:rsid w:val="008A0694"/>
    <w:rsid w:val="008A09AF"/>
    <w:rsid w:val="008A22D1"/>
    <w:rsid w:val="008A366C"/>
    <w:rsid w:val="008A3762"/>
    <w:rsid w:val="008A4014"/>
    <w:rsid w:val="008A44B0"/>
    <w:rsid w:val="008A4F91"/>
    <w:rsid w:val="008A53CF"/>
    <w:rsid w:val="008A5725"/>
    <w:rsid w:val="008A6A1E"/>
    <w:rsid w:val="008A6E93"/>
    <w:rsid w:val="008A7263"/>
    <w:rsid w:val="008A77A0"/>
    <w:rsid w:val="008B2226"/>
    <w:rsid w:val="008B6198"/>
    <w:rsid w:val="008B653C"/>
    <w:rsid w:val="008B69D8"/>
    <w:rsid w:val="008B7445"/>
    <w:rsid w:val="008B7A90"/>
    <w:rsid w:val="008C0AE8"/>
    <w:rsid w:val="008C29B5"/>
    <w:rsid w:val="008C2ED7"/>
    <w:rsid w:val="008C30D6"/>
    <w:rsid w:val="008C3D76"/>
    <w:rsid w:val="008C3E87"/>
    <w:rsid w:val="008C4018"/>
    <w:rsid w:val="008C5A8F"/>
    <w:rsid w:val="008C6169"/>
    <w:rsid w:val="008C6BB7"/>
    <w:rsid w:val="008C6E40"/>
    <w:rsid w:val="008C771E"/>
    <w:rsid w:val="008D2893"/>
    <w:rsid w:val="008D2915"/>
    <w:rsid w:val="008D36C7"/>
    <w:rsid w:val="008D3E3D"/>
    <w:rsid w:val="008D4257"/>
    <w:rsid w:val="008D4B0A"/>
    <w:rsid w:val="008D5F66"/>
    <w:rsid w:val="008D7B56"/>
    <w:rsid w:val="008E04BF"/>
    <w:rsid w:val="008E1349"/>
    <w:rsid w:val="008E17ED"/>
    <w:rsid w:val="008E1C05"/>
    <w:rsid w:val="008E1D60"/>
    <w:rsid w:val="008E225B"/>
    <w:rsid w:val="008E24C2"/>
    <w:rsid w:val="008E2708"/>
    <w:rsid w:val="008E2A53"/>
    <w:rsid w:val="008E3635"/>
    <w:rsid w:val="008E3A50"/>
    <w:rsid w:val="008E4236"/>
    <w:rsid w:val="008E465D"/>
    <w:rsid w:val="008E50F8"/>
    <w:rsid w:val="008E5D2D"/>
    <w:rsid w:val="008E5FB2"/>
    <w:rsid w:val="008E6B48"/>
    <w:rsid w:val="008F19EE"/>
    <w:rsid w:val="008F2504"/>
    <w:rsid w:val="008F284A"/>
    <w:rsid w:val="008F306F"/>
    <w:rsid w:val="008F4CB5"/>
    <w:rsid w:val="008F70BF"/>
    <w:rsid w:val="008F7A7A"/>
    <w:rsid w:val="008F7E01"/>
    <w:rsid w:val="009006AD"/>
    <w:rsid w:val="009006B5"/>
    <w:rsid w:val="00900BF3"/>
    <w:rsid w:val="00900F3C"/>
    <w:rsid w:val="0090111B"/>
    <w:rsid w:val="009016E3"/>
    <w:rsid w:val="00902097"/>
    <w:rsid w:val="009026A2"/>
    <w:rsid w:val="0090406A"/>
    <w:rsid w:val="009040E5"/>
    <w:rsid w:val="009045D2"/>
    <w:rsid w:val="00904E70"/>
    <w:rsid w:val="009052D1"/>
    <w:rsid w:val="0090538E"/>
    <w:rsid w:val="00906FEC"/>
    <w:rsid w:val="00907B91"/>
    <w:rsid w:val="00907C26"/>
    <w:rsid w:val="00912026"/>
    <w:rsid w:val="009126B4"/>
    <w:rsid w:val="00912837"/>
    <w:rsid w:val="00912A3D"/>
    <w:rsid w:val="00913C22"/>
    <w:rsid w:val="00913D93"/>
    <w:rsid w:val="0091574D"/>
    <w:rsid w:val="00916D3D"/>
    <w:rsid w:val="00920700"/>
    <w:rsid w:val="009222F4"/>
    <w:rsid w:val="009229A5"/>
    <w:rsid w:val="00922DA1"/>
    <w:rsid w:val="009251C0"/>
    <w:rsid w:val="009252FF"/>
    <w:rsid w:val="00925396"/>
    <w:rsid w:val="00925FB7"/>
    <w:rsid w:val="0092751C"/>
    <w:rsid w:val="009275B5"/>
    <w:rsid w:val="00927755"/>
    <w:rsid w:val="00930A3C"/>
    <w:rsid w:val="00931F11"/>
    <w:rsid w:val="00931FC9"/>
    <w:rsid w:val="00933843"/>
    <w:rsid w:val="00933C39"/>
    <w:rsid w:val="0093642F"/>
    <w:rsid w:val="009367D8"/>
    <w:rsid w:val="00936BBE"/>
    <w:rsid w:val="0094135A"/>
    <w:rsid w:val="00944F0B"/>
    <w:rsid w:val="0094532F"/>
    <w:rsid w:val="0094539A"/>
    <w:rsid w:val="00945789"/>
    <w:rsid w:val="00945D93"/>
    <w:rsid w:val="009469FF"/>
    <w:rsid w:val="00946A3E"/>
    <w:rsid w:val="00946B35"/>
    <w:rsid w:val="009470C3"/>
    <w:rsid w:val="009512E5"/>
    <w:rsid w:val="00951D4F"/>
    <w:rsid w:val="00951D71"/>
    <w:rsid w:val="00952584"/>
    <w:rsid w:val="00952C68"/>
    <w:rsid w:val="009533BE"/>
    <w:rsid w:val="009543FA"/>
    <w:rsid w:val="00955072"/>
    <w:rsid w:val="00956AD8"/>
    <w:rsid w:val="00956F16"/>
    <w:rsid w:val="0096060A"/>
    <w:rsid w:val="00960612"/>
    <w:rsid w:val="00960647"/>
    <w:rsid w:val="00960FAA"/>
    <w:rsid w:val="009611F0"/>
    <w:rsid w:val="00961FD1"/>
    <w:rsid w:val="009625E8"/>
    <w:rsid w:val="00962A78"/>
    <w:rsid w:val="00964570"/>
    <w:rsid w:val="009650F9"/>
    <w:rsid w:val="0096532A"/>
    <w:rsid w:val="00965431"/>
    <w:rsid w:val="00965607"/>
    <w:rsid w:val="00966A6C"/>
    <w:rsid w:val="009679B5"/>
    <w:rsid w:val="00971002"/>
    <w:rsid w:val="009731CD"/>
    <w:rsid w:val="00974AC7"/>
    <w:rsid w:val="0097596A"/>
    <w:rsid w:val="00975C5C"/>
    <w:rsid w:val="00975F96"/>
    <w:rsid w:val="00976A8D"/>
    <w:rsid w:val="009776FD"/>
    <w:rsid w:val="00977E8B"/>
    <w:rsid w:val="009805EA"/>
    <w:rsid w:val="00980654"/>
    <w:rsid w:val="00980E0D"/>
    <w:rsid w:val="009810DB"/>
    <w:rsid w:val="0098244A"/>
    <w:rsid w:val="00982F89"/>
    <w:rsid w:val="00983EE2"/>
    <w:rsid w:val="00984A8E"/>
    <w:rsid w:val="00984EC4"/>
    <w:rsid w:val="009856F4"/>
    <w:rsid w:val="00986B32"/>
    <w:rsid w:val="0098743A"/>
    <w:rsid w:val="009908BE"/>
    <w:rsid w:val="0099131A"/>
    <w:rsid w:val="00992B15"/>
    <w:rsid w:val="009965BA"/>
    <w:rsid w:val="00996FEC"/>
    <w:rsid w:val="009A0B6F"/>
    <w:rsid w:val="009A1DB7"/>
    <w:rsid w:val="009A21A5"/>
    <w:rsid w:val="009A25CF"/>
    <w:rsid w:val="009A2B94"/>
    <w:rsid w:val="009A42A9"/>
    <w:rsid w:val="009A4334"/>
    <w:rsid w:val="009A438E"/>
    <w:rsid w:val="009A46ED"/>
    <w:rsid w:val="009A4BEE"/>
    <w:rsid w:val="009A4E83"/>
    <w:rsid w:val="009A5C42"/>
    <w:rsid w:val="009A6598"/>
    <w:rsid w:val="009A671C"/>
    <w:rsid w:val="009A6BD8"/>
    <w:rsid w:val="009B075A"/>
    <w:rsid w:val="009B17BE"/>
    <w:rsid w:val="009B5360"/>
    <w:rsid w:val="009B5515"/>
    <w:rsid w:val="009B6941"/>
    <w:rsid w:val="009B6AC8"/>
    <w:rsid w:val="009B708E"/>
    <w:rsid w:val="009B773C"/>
    <w:rsid w:val="009B77F4"/>
    <w:rsid w:val="009C0BA6"/>
    <w:rsid w:val="009C0D50"/>
    <w:rsid w:val="009C14A9"/>
    <w:rsid w:val="009C1DBB"/>
    <w:rsid w:val="009C3614"/>
    <w:rsid w:val="009C3AF3"/>
    <w:rsid w:val="009C3CEF"/>
    <w:rsid w:val="009C48C5"/>
    <w:rsid w:val="009C5B4C"/>
    <w:rsid w:val="009C6322"/>
    <w:rsid w:val="009C6D05"/>
    <w:rsid w:val="009C7DFF"/>
    <w:rsid w:val="009C7EEA"/>
    <w:rsid w:val="009D11A4"/>
    <w:rsid w:val="009D1C87"/>
    <w:rsid w:val="009D2C8B"/>
    <w:rsid w:val="009D3297"/>
    <w:rsid w:val="009D3713"/>
    <w:rsid w:val="009D3AE8"/>
    <w:rsid w:val="009D3EFA"/>
    <w:rsid w:val="009D4295"/>
    <w:rsid w:val="009D4654"/>
    <w:rsid w:val="009D4A18"/>
    <w:rsid w:val="009D5A49"/>
    <w:rsid w:val="009D782C"/>
    <w:rsid w:val="009E05D5"/>
    <w:rsid w:val="009E0996"/>
    <w:rsid w:val="009E11AA"/>
    <w:rsid w:val="009E136D"/>
    <w:rsid w:val="009E139D"/>
    <w:rsid w:val="009E1F43"/>
    <w:rsid w:val="009E22EF"/>
    <w:rsid w:val="009E272C"/>
    <w:rsid w:val="009E30FD"/>
    <w:rsid w:val="009E3220"/>
    <w:rsid w:val="009E5484"/>
    <w:rsid w:val="009E5B44"/>
    <w:rsid w:val="009E5C56"/>
    <w:rsid w:val="009E644B"/>
    <w:rsid w:val="009E7381"/>
    <w:rsid w:val="009F021D"/>
    <w:rsid w:val="009F10A1"/>
    <w:rsid w:val="009F18FE"/>
    <w:rsid w:val="009F26EF"/>
    <w:rsid w:val="009F3E34"/>
    <w:rsid w:val="009F4F4F"/>
    <w:rsid w:val="009F52FA"/>
    <w:rsid w:val="009F55D6"/>
    <w:rsid w:val="009F6780"/>
    <w:rsid w:val="009F6B88"/>
    <w:rsid w:val="009F7434"/>
    <w:rsid w:val="00A01247"/>
    <w:rsid w:val="00A0174F"/>
    <w:rsid w:val="00A02B7F"/>
    <w:rsid w:val="00A02D2E"/>
    <w:rsid w:val="00A02E9C"/>
    <w:rsid w:val="00A03540"/>
    <w:rsid w:val="00A04915"/>
    <w:rsid w:val="00A049A4"/>
    <w:rsid w:val="00A06486"/>
    <w:rsid w:val="00A10B67"/>
    <w:rsid w:val="00A11125"/>
    <w:rsid w:val="00A11D1A"/>
    <w:rsid w:val="00A12832"/>
    <w:rsid w:val="00A140D2"/>
    <w:rsid w:val="00A1525C"/>
    <w:rsid w:val="00A15A08"/>
    <w:rsid w:val="00A16797"/>
    <w:rsid w:val="00A172CE"/>
    <w:rsid w:val="00A2040B"/>
    <w:rsid w:val="00A21A52"/>
    <w:rsid w:val="00A21E32"/>
    <w:rsid w:val="00A21FDA"/>
    <w:rsid w:val="00A244B2"/>
    <w:rsid w:val="00A25C2E"/>
    <w:rsid w:val="00A25D23"/>
    <w:rsid w:val="00A26A81"/>
    <w:rsid w:val="00A2731B"/>
    <w:rsid w:val="00A27BF9"/>
    <w:rsid w:val="00A30560"/>
    <w:rsid w:val="00A32D9E"/>
    <w:rsid w:val="00A333A1"/>
    <w:rsid w:val="00A33A4D"/>
    <w:rsid w:val="00A33CBC"/>
    <w:rsid w:val="00A3540D"/>
    <w:rsid w:val="00A3571F"/>
    <w:rsid w:val="00A360B2"/>
    <w:rsid w:val="00A3678F"/>
    <w:rsid w:val="00A37277"/>
    <w:rsid w:val="00A37745"/>
    <w:rsid w:val="00A4046D"/>
    <w:rsid w:val="00A409A6"/>
    <w:rsid w:val="00A40AC2"/>
    <w:rsid w:val="00A41558"/>
    <w:rsid w:val="00A43854"/>
    <w:rsid w:val="00A44BB3"/>
    <w:rsid w:val="00A44FFA"/>
    <w:rsid w:val="00A456D8"/>
    <w:rsid w:val="00A46015"/>
    <w:rsid w:val="00A5005F"/>
    <w:rsid w:val="00A51606"/>
    <w:rsid w:val="00A51862"/>
    <w:rsid w:val="00A5210B"/>
    <w:rsid w:val="00A52372"/>
    <w:rsid w:val="00A529D7"/>
    <w:rsid w:val="00A52DB8"/>
    <w:rsid w:val="00A5440F"/>
    <w:rsid w:val="00A56191"/>
    <w:rsid w:val="00A56923"/>
    <w:rsid w:val="00A5703F"/>
    <w:rsid w:val="00A5717B"/>
    <w:rsid w:val="00A57C44"/>
    <w:rsid w:val="00A57D3E"/>
    <w:rsid w:val="00A60C73"/>
    <w:rsid w:val="00A61DDF"/>
    <w:rsid w:val="00A627E8"/>
    <w:rsid w:val="00A635C3"/>
    <w:rsid w:val="00A63B2A"/>
    <w:rsid w:val="00A63C49"/>
    <w:rsid w:val="00A64AA1"/>
    <w:rsid w:val="00A64CA9"/>
    <w:rsid w:val="00A66736"/>
    <w:rsid w:val="00A67C19"/>
    <w:rsid w:val="00A70B2D"/>
    <w:rsid w:val="00A733D5"/>
    <w:rsid w:val="00A73415"/>
    <w:rsid w:val="00A7421E"/>
    <w:rsid w:val="00A76470"/>
    <w:rsid w:val="00A81355"/>
    <w:rsid w:val="00A825D4"/>
    <w:rsid w:val="00A8287D"/>
    <w:rsid w:val="00A82B52"/>
    <w:rsid w:val="00A84007"/>
    <w:rsid w:val="00A84922"/>
    <w:rsid w:val="00A874D7"/>
    <w:rsid w:val="00A87975"/>
    <w:rsid w:val="00A90478"/>
    <w:rsid w:val="00A9125E"/>
    <w:rsid w:val="00A91733"/>
    <w:rsid w:val="00A920C3"/>
    <w:rsid w:val="00A92802"/>
    <w:rsid w:val="00A95052"/>
    <w:rsid w:val="00AA0C46"/>
    <w:rsid w:val="00AA18F4"/>
    <w:rsid w:val="00AA19C4"/>
    <w:rsid w:val="00AA1CFF"/>
    <w:rsid w:val="00AA20DD"/>
    <w:rsid w:val="00AA2822"/>
    <w:rsid w:val="00AA2AAB"/>
    <w:rsid w:val="00AA35CC"/>
    <w:rsid w:val="00AA3630"/>
    <w:rsid w:val="00AA496D"/>
    <w:rsid w:val="00AA5694"/>
    <w:rsid w:val="00AA5D84"/>
    <w:rsid w:val="00AA5DD4"/>
    <w:rsid w:val="00AA669F"/>
    <w:rsid w:val="00AA7D78"/>
    <w:rsid w:val="00AA7E90"/>
    <w:rsid w:val="00AB0FD7"/>
    <w:rsid w:val="00AB2513"/>
    <w:rsid w:val="00AB3C29"/>
    <w:rsid w:val="00AB3C94"/>
    <w:rsid w:val="00AB5125"/>
    <w:rsid w:val="00AB56FA"/>
    <w:rsid w:val="00AB5823"/>
    <w:rsid w:val="00AB659A"/>
    <w:rsid w:val="00AC1314"/>
    <w:rsid w:val="00AC1394"/>
    <w:rsid w:val="00AC160E"/>
    <w:rsid w:val="00AC1CBB"/>
    <w:rsid w:val="00AC2067"/>
    <w:rsid w:val="00AC2217"/>
    <w:rsid w:val="00AC22BB"/>
    <w:rsid w:val="00AC239A"/>
    <w:rsid w:val="00AC2900"/>
    <w:rsid w:val="00AC2BB0"/>
    <w:rsid w:val="00AC40CB"/>
    <w:rsid w:val="00AC478F"/>
    <w:rsid w:val="00AC49A3"/>
    <w:rsid w:val="00AC4F2A"/>
    <w:rsid w:val="00AC6C25"/>
    <w:rsid w:val="00AC77CC"/>
    <w:rsid w:val="00AC79F4"/>
    <w:rsid w:val="00AC7D38"/>
    <w:rsid w:val="00AD017D"/>
    <w:rsid w:val="00AD097B"/>
    <w:rsid w:val="00AD0A3E"/>
    <w:rsid w:val="00AD0D96"/>
    <w:rsid w:val="00AD1D9A"/>
    <w:rsid w:val="00AD1DAB"/>
    <w:rsid w:val="00AD21E4"/>
    <w:rsid w:val="00AD2DD1"/>
    <w:rsid w:val="00AD4B63"/>
    <w:rsid w:val="00AD658E"/>
    <w:rsid w:val="00AD65E1"/>
    <w:rsid w:val="00AD7EF4"/>
    <w:rsid w:val="00AE1444"/>
    <w:rsid w:val="00AE1936"/>
    <w:rsid w:val="00AE31ED"/>
    <w:rsid w:val="00AE32E4"/>
    <w:rsid w:val="00AE335C"/>
    <w:rsid w:val="00AE3C6B"/>
    <w:rsid w:val="00AE4B88"/>
    <w:rsid w:val="00AE4C2E"/>
    <w:rsid w:val="00AE578A"/>
    <w:rsid w:val="00AF0415"/>
    <w:rsid w:val="00AF1C33"/>
    <w:rsid w:val="00AF2131"/>
    <w:rsid w:val="00AF275B"/>
    <w:rsid w:val="00AF44F4"/>
    <w:rsid w:val="00AF66E5"/>
    <w:rsid w:val="00AF689E"/>
    <w:rsid w:val="00AF68AC"/>
    <w:rsid w:val="00AF6933"/>
    <w:rsid w:val="00AF74AF"/>
    <w:rsid w:val="00AF75E5"/>
    <w:rsid w:val="00B007CA"/>
    <w:rsid w:val="00B0168C"/>
    <w:rsid w:val="00B024D9"/>
    <w:rsid w:val="00B0350D"/>
    <w:rsid w:val="00B03650"/>
    <w:rsid w:val="00B0433A"/>
    <w:rsid w:val="00B04804"/>
    <w:rsid w:val="00B05CEE"/>
    <w:rsid w:val="00B05E27"/>
    <w:rsid w:val="00B105EF"/>
    <w:rsid w:val="00B126A3"/>
    <w:rsid w:val="00B131EE"/>
    <w:rsid w:val="00B140E3"/>
    <w:rsid w:val="00B14EC3"/>
    <w:rsid w:val="00B1501C"/>
    <w:rsid w:val="00B159E6"/>
    <w:rsid w:val="00B15E84"/>
    <w:rsid w:val="00B16196"/>
    <w:rsid w:val="00B16A5B"/>
    <w:rsid w:val="00B16C1B"/>
    <w:rsid w:val="00B1737E"/>
    <w:rsid w:val="00B203D1"/>
    <w:rsid w:val="00B20BE6"/>
    <w:rsid w:val="00B21CA2"/>
    <w:rsid w:val="00B231B4"/>
    <w:rsid w:val="00B24989"/>
    <w:rsid w:val="00B24B4E"/>
    <w:rsid w:val="00B25A49"/>
    <w:rsid w:val="00B26145"/>
    <w:rsid w:val="00B261D1"/>
    <w:rsid w:val="00B26326"/>
    <w:rsid w:val="00B266BB"/>
    <w:rsid w:val="00B26F6D"/>
    <w:rsid w:val="00B27405"/>
    <w:rsid w:val="00B3060A"/>
    <w:rsid w:val="00B3104E"/>
    <w:rsid w:val="00B313C2"/>
    <w:rsid w:val="00B31851"/>
    <w:rsid w:val="00B31CC6"/>
    <w:rsid w:val="00B31F41"/>
    <w:rsid w:val="00B320F5"/>
    <w:rsid w:val="00B33173"/>
    <w:rsid w:val="00B33447"/>
    <w:rsid w:val="00B336FE"/>
    <w:rsid w:val="00B33974"/>
    <w:rsid w:val="00B34D7F"/>
    <w:rsid w:val="00B3507B"/>
    <w:rsid w:val="00B36510"/>
    <w:rsid w:val="00B36976"/>
    <w:rsid w:val="00B37CC9"/>
    <w:rsid w:val="00B4006A"/>
    <w:rsid w:val="00B40458"/>
    <w:rsid w:val="00B405F3"/>
    <w:rsid w:val="00B40C7A"/>
    <w:rsid w:val="00B41533"/>
    <w:rsid w:val="00B4297F"/>
    <w:rsid w:val="00B42F9A"/>
    <w:rsid w:val="00B43E3A"/>
    <w:rsid w:val="00B441D4"/>
    <w:rsid w:val="00B44E6E"/>
    <w:rsid w:val="00B456C0"/>
    <w:rsid w:val="00B4589F"/>
    <w:rsid w:val="00B46C31"/>
    <w:rsid w:val="00B474F5"/>
    <w:rsid w:val="00B506B5"/>
    <w:rsid w:val="00B50A6A"/>
    <w:rsid w:val="00B51080"/>
    <w:rsid w:val="00B5391C"/>
    <w:rsid w:val="00B55151"/>
    <w:rsid w:val="00B559DA"/>
    <w:rsid w:val="00B56546"/>
    <w:rsid w:val="00B56E0D"/>
    <w:rsid w:val="00B6073A"/>
    <w:rsid w:val="00B61151"/>
    <w:rsid w:val="00B61328"/>
    <w:rsid w:val="00B61F50"/>
    <w:rsid w:val="00B61FAC"/>
    <w:rsid w:val="00B633E2"/>
    <w:rsid w:val="00B64A02"/>
    <w:rsid w:val="00B6556B"/>
    <w:rsid w:val="00B67C1C"/>
    <w:rsid w:val="00B7000A"/>
    <w:rsid w:val="00B705DC"/>
    <w:rsid w:val="00B7106B"/>
    <w:rsid w:val="00B710EA"/>
    <w:rsid w:val="00B71932"/>
    <w:rsid w:val="00B71A30"/>
    <w:rsid w:val="00B72FA8"/>
    <w:rsid w:val="00B74C70"/>
    <w:rsid w:val="00B7579B"/>
    <w:rsid w:val="00B7596D"/>
    <w:rsid w:val="00B75BD5"/>
    <w:rsid w:val="00B76365"/>
    <w:rsid w:val="00B80419"/>
    <w:rsid w:val="00B80DDB"/>
    <w:rsid w:val="00B81913"/>
    <w:rsid w:val="00B81C06"/>
    <w:rsid w:val="00B82002"/>
    <w:rsid w:val="00B82303"/>
    <w:rsid w:val="00B836A5"/>
    <w:rsid w:val="00B83F04"/>
    <w:rsid w:val="00B84838"/>
    <w:rsid w:val="00B85779"/>
    <w:rsid w:val="00B85E73"/>
    <w:rsid w:val="00B86667"/>
    <w:rsid w:val="00B87E62"/>
    <w:rsid w:val="00B904D0"/>
    <w:rsid w:val="00B90E9F"/>
    <w:rsid w:val="00B916C5"/>
    <w:rsid w:val="00B9276F"/>
    <w:rsid w:val="00B92886"/>
    <w:rsid w:val="00B92BF2"/>
    <w:rsid w:val="00B9358C"/>
    <w:rsid w:val="00B93D42"/>
    <w:rsid w:val="00B973DC"/>
    <w:rsid w:val="00B97CDD"/>
    <w:rsid w:val="00BA01F7"/>
    <w:rsid w:val="00BA083B"/>
    <w:rsid w:val="00BA2006"/>
    <w:rsid w:val="00BA26AE"/>
    <w:rsid w:val="00BA2A32"/>
    <w:rsid w:val="00BA3853"/>
    <w:rsid w:val="00BA446D"/>
    <w:rsid w:val="00BA5B63"/>
    <w:rsid w:val="00BA6C24"/>
    <w:rsid w:val="00BA79DE"/>
    <w:rsid w:val="00BA7D30"/>
    <w:rsid w:val="00BB05A6"/>
    <w:rsid w:val="00BB0E41"/>
    <w:rsid w:val="00BB1A5F"/>
    <w:rsid w:val="00BB40B5"/>
    <w:rsid w:val="00BB4A02"/>
    <w:rsid w:val="00BB4F48"/>
    <w:rsid w:val="00BB57EF"/>
    <w:rsid w:val="00BB6470"/>
    <w:rsid w:val="00BB7123"/>
    <w:rsid w:val="00BC1456"/>
    <w:rsid w:val="00BC1A75"/>
    <w:rsid w:val="00BC2AF4"/>
    <w:rsid w:val="00BC3717"/>
    <w:rsid w:val="00BC5E9D"/>
    <w:rsid w:val="00BC6470"/>
    <w:rsid w:val="00BC648E"/>
    <w:rsid w:val="00BC7532"/>
    <w:rsid w:val="00BD0869"/>
    <w:rsid w:val="00BD0A4C"/>
    <w:rsid w:val="00BD0F4E"/>
    <w:rsid w:val="00BD119C"/>
    <w:rsid w:val="00BD1703"/>
    <w:rsid w:val="00BD18EE"/>
    <w:rsid w:val="00BD1B34"/>
    <w:rsid w:val="00BD1B92"/>
    <w:rsid w:val="00BD1E43"/>
    <w:rsid w:val="00BD2DEC"/>
    <w:rsid w:val="00BD3DEB"/>
    <w:rsid w:val="00BD430A"/>
    <w:rsid w:val="00BD50C2"/>
    <w:rsid w:val="00BD714D"/>
    <w:rsid w:val="00BE148C"/>
    <w:rsid w:val="00BE1D06"/>
    <w:rsid w:val="00BE57C3"/>
    <w:rsid w:val="00BE74B4"/>
    <w:rsid w:val="00BE7ED3"/>
    <w:rsid w:val="00BF084A"/>
    <w:rsid w:val="00BF0CCE"/>
    <w:rsid w:val="00BF1112"/>
    <w:rsid w:val="00BF4252"/>
    <w:rsid w:val="00BF4319"/>
    <w:rsid w:val="00BF4841"/>
    <w:rsid w:val="00BF5145"/>
    <w:rsid w:val="00BF5F26"/>
    <w:rsid w:val="00BF61DD"/>
    <w:rsid w:val="00BF7745"/>
    <w:rsid w:val="00C016C3"/>
    <w:rsid w:val="00C01F50"/>
    <w:rsid w:val="00C020A9"/>
    <w:rsid w:val="00C0247F"/>
    <w:rsid w:val="00C03200"/>
    <w:rsid w:val="00C0335C"/>
    <w:rsid w:val="00C034CF"/>
    <w:rsid w:val="00C03A99"/>
    <w:rsid w:val="00C04191"/>
    <w:rsid w:val="00C0597F"/>
    <w:rsid w:val="00C05CDA"/>
    <w:rsid w:val="00C06641"/>
    <w:rsid w:val="00C07BB7"/>
    <w:rsid w:val="00C117C6"/>
    <w:rsid w:val="00C11820"/>
    <w:rsid w:val="00C119C7"/>
    <w:rsid w:val="00C124D2"/>
    <w:rsid w:val="00C126F3"/>
    <w:rsid w:val="00C129AC"/>
    <w:rsid w:val="00C13133"/>
    <w:rsid w:val="00C13483"/>
    <w:rsid w:val="00C16E32"/>
    <w:rsid w:val="00C20CEF"/>
    <w:rsid w:val="00C20FF7"/>
    <w:rsid w:val="00C228DD"/>
    <w:rsid w:val="00C23FEA"/>
    <w:rsid w:val="00C24F61"/>
    <w:rsid w:val="00C276BD"/>
    <w:rsid w:val="00C27722"/>
    <w:rsid w:val="00C27ABE"/>
    <w:rsid w:val="00C30011"/>
    <w:rsid w:val="00C30A8C"/>
    <w:rsid w:val="00C31840"/>
    <w:rsid w:val="00C3296B"/>
    <w:rsid w:val="00C33FD4"/>
    <w:rsid w:val="00C34949"/>
    <w:rsid w:val="00C36BB6"/>
    <w:rsid w:val="00C40347"/>
    <w:rsid w:val="00C405C4"/>
    <w:rsid w:val="00C41BA0"/>
    <w:rsid w:val="00C42035"/>
    <w:rsid w:val="00C42D66"/>
    <w:rsid w:val="00C43074"/>
    <w:rsid w:val="00C433A7"/>
    <w:rsid w:val="00C43A23"/>
    <w:rsid w:val="00C446A7"/>
    <w:rsid w:val="00C4555D"/>
    <w:rsid w:val="00C4579C"/>
    <w:rsid w:val="00C45C8F"/>
    <w:rsid w:val="00C466EE"/>
    <w:rsid w:val="00C50DC5"/>
    <w:rsid w:val="00C51535"/>
    <w:rsid w:val="00C5156C"/>
    <w:rsid w:val="00C515C8"/>
    <w:rsid w:val="00C51830"/>
    <w:rsid w:val="00C51923"/>
    <w:rsid w:val="00C51C8C"/>
    <w:rsid w:val="00C51F44"/>
    <w:rsid w:val="00C521FE"/>
    <w:rsid w:val="00C52978"/>
    <w:rsid w:val="00C53943"/>
    <w:rsid w:val="00C54D26"/>
    <w:rsid w:val="00C55150"/>
    <w:rsid w:val="00C5541E"/>
    <w:rsid w:val="00C5670F"/>
    <w:rsid w:val="00C573B0"/>
    <w:rsid w:val="00C57EDE"/>
    <w:rsid w:val="00C616A9"/>
    <w:rsid w:val="00C6305F"/>
    <w:rsid w:val="00C63765"/>
    <w:rsid w:val="00C63C81"/>
    <w:rsid w:val="00C644F9"/>
    <w:rsid w:val="00C64750"/>
    <w:rsid w:val="00C64F48"/>
    <w:rsid w:val="00C65686"/>
    <w:rsid w:val="00C65FC6"/>
    <w:rsid w:val="00C66927"/>
    <w:rsid w:val="00C66BAE"/>
    <w:rsid w:val="00C66FCB"/>
    <w:rsid w:val="00C670A3"/>
    <w:rsid w:val="00C67A63"/>
    <w:rsid w:val="00C703DD"/>
    <w:rsid w:val="00C70521"/>
    <w:rsid w:val="00C71372"/>
    <w:rsid w:val="00C7227B"/>
    <w:rsid w:val="00C72BA0"/>
    <w:rsid w:val="00C72BA5"/>
    <w:rsid w:val="00C7300B"/>
    <w:rsid w:val="00C76BC7"/>
    <w:rsid w:val="00C76EBB"/>
    <w:rsid w:val="00C770CA"/>
    <w:rsid w:val="00C77BE8"/>
    <w:rsid w:val="00C77EBE"/>
    <w:rsid w:val="00C801C2"/>
    <w:rsid w:val="00C80257"/>
    <w:rsid w:val="00C81F2D"/>
    <w:rsid w:val="00C81FED"/>
    <w:rsid w:val="00C8263E"/>
    <w:rsid w:val="00C83069"/>
    <w:rsid w:val="00C8440F"/>
    <w:rsid w:val="00C85CBC"/>
    <w:rsid w:val="00C87928"/>
    <w:rsid w:val="00C9059F"/>
    <w:rsid w:val="00C917AE"/>
    <w:rsid w:val="00C91D49"/>
    <w:rsid w:val="00C92774"/>
    <w:rsid w:val="00C92811"/>
    <w:rsid w:val="00C92838"/>
    <w:rsid w:val="00C928F4"/>
    <w:rsid w:val="00C9379B"/>
    <w:rsid w:val="00C9427F"/>
    <w:rsid w:val="00C94B1F"/>
    <w:rsid w:val="00C96E20"/>
    <w:rsid w:val="00C9718E"/>
    <w:rsid w:val="00CA03C0"/>
    <w:rsid w:val="00CA0531"/>
    <w:rsid w:val="00CA0834"/>
    <w:rsid w:val="00CA09EB"/>
    <w:rsid w:val="00CA0A40"/>
    <w:rsid w:val="00CA1353"/>
    <w:rsid w:val="00CA3008"/>
    <w:rsid w:val="00CA3F7C"/>
    <w:rsid w:val="00CA589A"/>
    <w:rsid w:val="00CA694E"/>
    <w:rsid w:val="00CA7C2D"/>
    <w:rsid w:val="00CA7C9C"/>
    <w:rsid w:val="00CA7D15"/>
    <w:rsid w:val="00CB0734"/>
    <w:rsid w:val="00CB0F00"/>
    <w:rsid w:val="00CB13C9"/>
    <w:rsid w:val="00CB26C1"/>
    <w:rsid w:val="00CB298F"/>
    <w:rsid w:val="00CB37DC"/>
    <w:rsid w:val="00CB3F3C"/>
    <w:rsid w:val="00CB542E"/>
    <w:rsid w:val="00CB5611"/>
    <w:rsid w:val="00CC05EA"/>
    <w:rsid w:val="00CC10F8"/>
    <w:rsid w:val="00CC140C"/>
    <w:rsid w:val="00CC165C"/>
    <w:rsid w:val="00CC3D41"/>
    <w:rsid w:val="00CC42AD"/>
    <w:rsid w:val="00CC5AD0"/>
    <w:rsid w:val="00CC5CFB"/>
    <w:rsid w:val="00CC6DB1"/>
    <w:rsid w:val="00CC7746"/>
    <w:rsid w:val="00CC7B2B"/>
    <w:rsid w:val="00CD112F"/>
    <w:rsid w:val="00CD1175"/>
    <w:rsid w:val="00CD1C8C"/>
    <w:rsid w:val="00CD2040"/>
    <w:rsid w:val="00CD386C"/>
    <w:rsid w:val="00CD3DBB"/>
    <w:rsid w:val="00CD410F"/>
    <w:rsid w:val="00CD4C94"/>
    <w:rsid w:val="00CD5E35"/>
    <w:rsid w:val="00CD6F08"/>
    <w:rsid w:val="00CE0ADE"/>
    <w:rsid w:val="00CE0B49"/>
    <w:rsid w:val="00CE1567"/>
    <w:rsid w:val="00CE1673"/>
    <w:rsid w:val="00CE1894"/>
    <w:rsid w:val="00CE2845"/>
    <w:rsid w:val="00CE2A7D"/>
    <w:rsid w:val="00CE415E"/>
    <w:rsid w:val="00CE429C"/>
    <w:rsid w:val="00CE45F3"/>
    <w:rsid w:val="00CE4B9A"/>
    <w:rsid w:val="00CE55DE"/>
    <w:rsid w:val="00CE6346"/>
    <w:rsid w:val="00CE6C0A"/>
    <w:rsid w:val="00CE6D7E"/>
    <w:rsid w:val="00CE7630"/>
    <w:rsid w:val="00CE7C26"/>
    <w:rsid w:val="00CE7E61"/>
    <w:rsid w:val="00CF0569"/>
    <w:rsid w:val="00CF1910"/>
    <w:rsid w:val="00CF3426"/>
    <w:rsid w:val="00CF5263"/>
    <w:rsid w:val="00CF545C"/>
    <w:rsid w:val="00CF70DB"/>
    <w:rsid w:val="00CF7306"/>
    <w:rsid w:val="00CF742F"/>
    <w:rsid w:val="00CF798B"/>
    <w:rsid w:val="00CF7AB9"/>
    <w:rsid w:val="00D00ABC"/>
    <w:rsid w:val="00D010F6"/>
    <w:rsid w:val="00D0408E"/>
    <w:rsid w:val="00D0447D"/>
    <w:rsid w:val="00D063F3"/>
    <w:rsid w:val="00D06EAA"/>
    <w:rsid w:val="00D11622"/>
    <w:rsid w:val="00D11708"/>
    <w:rsid w:val="00D11A39"/>
    <w:rsid w:val="00D1308B"/>
    <w:rsid w:val="00D1386B"/>
    <w:rsid w:val="00D144B7"/>
    <w:rsid w:val="00D151A6"/>
    <w:rsid w:val="00D166BC"/>
    <w:rsid w:val="00D166CA"/>
    <w:rsid w:val="00D169B3"/>
    <w:rsid w:val="00D16F30"/>
    <w:rsid w:val="00D17403"/>
    <w:rsid w:val="00D20493"/>
    <w:rsid w:val="00D20D36"/>
    <w:rsid w:val="00D221DA"/>
    <w:rsid w:val="00D23274"/>
    <w:rsid w:val="00D2423B"/>
    <w:rsid w:val="00D24702"/>
    <w:rsid w:val="00D25093"/>
    <w:rsid w:val="00D2560E"/>
    <w:rsid w:val="00D25AC8"/>
    <w:rsid w:val="00D25B91"/>
    <w:rsid w:val="00D2612B"/>
    <w:rsid w:val="00D3001A"/>
    <w:rsid w:val="00D301B4"/>
    <w:rsid w:val="00D30F80"/>
    <w:rsid w:val="00D31549"/>
    <w:rsid w:val="00D323DD"/>
    <w:rsid w:val="00D32DAA"/>
    <w:rsid w:val="00D32DDA"/>
    <w:rsid w:val="00D32F80"/>
    <w:rsid w:val="00D340D7"/>
    <w:rsid w:val="00D35821"/>
    <w:rsid w:val="00D35AA9"/>
    <w:rsid w:val="00D370D5"/>
    <w:rsid w:val="00D371E1"/>
    <w:rsid w:val="00D379AC"/>
    <w:rsid w:val="00D403C7"/>
    <w:rsid w:val="00D41C9D"/>
    <w:rsid w:val="00D42C9A"/>
    <w:rsid w:val="00D436C9"/>
    <w:rsid w:val="00D43EAE"/>
    <w:rsid w:val="00D44D60"/>
    <w:rsid w:val="00D454B2"/>
    <w:rsid w:val="00D46D03"/>
    <w:rsid w:val="00D4775F"/>
    <w:rsid w:val="00D479A6"/>
    <w:rsid w:val="00D47F50"/>
    <w:rsid w:val="00D50007"/>
    <w:rsid w:val="00D5016D"/>
    <w:rsid w:val="00D5073D"/>
    <w:rsid w:val="00D50759"/>
    <w:rsid w:val="00D50C6E"/>
    <w:rsid w:val="00D50D15"/>
    <w:rsid w:val="00D50EF3"/>
    <w:rsid w:val="00D5190F"/>
    <w:rsid w:val="00D51BD0"/>
    <w:rsid w:val="00D51E1D"/>
    <w:rsid w:val="00D51FE7"/>
    <w:rsid w:val="00D52348"/>
    <w:rsid w:val="00D52CDA"/>
    <w:rsid w:val="00D53BB1"/>
    <w:rsid w:val="00D54D10"/>
    <w:rsid w:val="00D5556E"/>
    <w:rsid w:val="00D55928"/>
    <w:rsid w:val="00D5604C"/>
    <w:rsid w:val="00D56093"/>
    <w:rsid w:val="00D56FFC"/>
    <w:rsid w:val="00D6047B"/>
    <w:rsid w:val="00D604CF"/>
    <w:rsid w:val="00D61BAA"/>
    <w:rsid w:val="00D61BD3"/>
    <w:rsid w:val="00D61FDE"/>
    <w:rsid w:val="00D66AB7"/>
    <w:rsid w:val="00D66EC2"/>
    <w:rsid w:val="00D67BEB"/>
    <w:rsid w:val="00D70427"/>
    <w:rsid w:val="00D704F1"/>
    <w:rsid w:val="00D70680"/>
    <w:rsid w:val="00D7081D"/>
    <w:rsid w:val="00D708A1"/>
    <w:rsid w:val="00D71C71"/>
    <w:rsid w:val="00D72085"/>
    <w:rsid w:val="00D7296B"/>
    <w:rsid w:val="00D72F42"/>
    <w:rsid w:val="00D73B4A"/>
    <w:rsid w:val="00D73C28"/>
    <w:rsid w:val="00D73FAB"/>
    <w:rsid w:val="00D743E0"/>
    <w:rsid w:val="00D75281"/>
    <w:rsid w:val="00D754A3"/>
    <w:rsid w:val="00D77DBF"/>
    <w:rsid w:val="00D8074A"/>
    <w:rsid w:val="00D80818"/>
    <w:rsid w:val="00D817E3"/>
    <w:rsid w:val="00D81EF6"/>
    <w:rsid w:val="00D82937"/>
    <w:rsid w:val="00D82C28"/>
    <w:rsid w:val="00D82CF2"/>
    <w:rsid w:val="00D83756"/>
    <w:rsid w:val="00D845CC"/>
    <w:rsid w:val="00D85214"/>
    <w:rsid w:val="00D862B2"/>
    <w:rsid w:val="00D863D7"/>
    <w:rsid w:val="00D86923"/>
    <w:rsid w:val="00D86D06"/>
    <w:rsid w:val="00D86F82"/>
    <w:rsid w:val="00D8742E"/>
    <w:rsid w:val="00D87BED"/>
    <w:rsid w:val="00D87D8D"/>
    <w:rsid w:val="00D9026C"/>
    <w:rsid w:val="00D91535"/>
    <w:rsid w:val="00D918C3"/>
    <w:rsid w:val="00D9205E"/>
    <w:rsid w:val="00D92611"/>
    <w:rsid w:val="00D93744"/>
    <w:rsid w:val="00D95796"/>
    <w:rsid w:val="00D9704B"/>
    <w:rsid w:val="00DA0A09"/>
    <w:rsid w:val="00DA0FA5"/>
    <w:rsid w:val="00DA1788"/>
    <w:rsid w:val="00DA1B69"/>
    <w:rsid w:val="00DA45E0"/>
    <w:rsid w:val="00DA47D7"/>
    <w:rsid w:val="00DA4AB1"/>
    <w:rsid w:val="00DA53AE"/>
    <w:rsid w:val="00DA5918"/>
    <w:rsid w:val="00DA5DEE"/>
    <w:rsid w:val="00DA5F30"/>
    <w:rsid w:val="00DA5FB4"/>
    <w:rsid w:val="00DA6F65"/>
    <w:rsid w:val="00DA70DB"/>
    <w:rsid w:val="00DB0053"/>
    <w:rsid w:val="00DB099A"/>
    <w:rsid w:val="00DB1E72"/>
    <w:rsid w:val="00DB3376"/>
    <w:rsid w:val="00DB3929"/>
    <w:rsid w:val="00DB4367"/>
    <w:rsid w:val="00DB4ADF"/>
    <w:rsid w:val="00DB4E59"/>
    <w:rsid w:val="00DB4F83"/>
    <w:rsid w:val="00DB6323"/>
    <w:rsid w:val="00DB6D16"/>
    <w:rsid w:val="00DB7E06"/>
    <w:rsid w:val="00DB7EDD"/>
    <w:rsid w:val="00DC18F3"/>
    <w:rsid w:val="00DC3116"/>
    <w:rsid w:val="00DC3658"/>
    <w:rsid w:val="00DC445D"/>
    <w:rsid w:val="00DC65E3"/>
    <w:rsid w:val="00DC7EE8"/>
    <w:rsid w:val="00DD0B99"/>
    <w:rsid w:val="00DD16E8"/>
    <w:rsid w:val="00DD2110"/>
    <w:rsid w:val="00DD3829"/>
    <w:rsid w:val="00DD3D1F"/>
    <w:rsid w:val="00DD4683"/>
    <w:rsid w:val="00DD57D3"/>
    <w:rsid w:val="00DD5B54"/>
    <w:rsid w:val="00DD74C9"/>
    <w:rsid w:val="00DE182D"/>
    <w:rsid w:val="00DE18D4"/>
    <w:rsid w:val="00DE2C74"/>
    <w:rsid w:val="00DE48EE"/>
    <w:rsid w:val="00DE4A3E"/>
    <w:rsid w:val="00DE4F19"/>
    <w:rsid w:val="00DE588E"/>
    <w:rsid w:val="00DE673A"/>
    <w:rsid w:val="00DE6AE6"/>
    <w:rsid w:val="00DE7F76"/>
    <w:rsid w:val="00DF2638"/>
    <w:rsid w:val="00DF36F1"/>
    <w:rsid w:val="00DF47DF"/>
    <w:rsid w:val="00DF49F9"/>
    <w:rsid w:val="00DF55AB"/>
    <w:rsid w:val="00DF5E02"/>
    <w:rsid w:val="00DF63F7"/>
    <w:rsid w:val="00DF68BB"/>
    <w:rsid w:val="00DF6E53"/>
    <w:rsid w:val="00DF7546"/>
    <w:rsid w:val="00DF7EC3"/>
    <w:rsid w:val="00E00209"/>
    <w:rsid w:val="00E01545"/>
    <w:rsid w:val="00E01A19"/>
    <w:rsid w:val="00E02DFA"/>
    <w:rsid w:val="00E02FCB"/>
    <w:rsid w:val="00E03430"/>
    <w:rsid w:val="00E037F2"/>
    <w:rsid w:val="00E04739"/>
    <w:rsid w:val="00E048AA"/>
    <w:rsid w:val="00E04B6D"/>
    <w:rsid w:val="00E05F1D"/>
    <w:rsid w:val="00E065DC"/>
    <w:rsid w:val="00E07134"/>
    <w:rsid w:val="00E07F10"/>
    <w:rsid w:val="00E10086"/>
    <w:rsid w:val="00E12274"/>
    <w:rsid w:val="00E129D2"/>
    <w:rsid w:val="00E13556"/>
    <w:rsid w:val="00E14BB3"/>
    <w:rsid w:val="00E15F44"/>
    <w:rsid w:val="00E16356"/>
    <w:rsid w:val="00E1673B"/>
    <w:rsid w:val="00E17059"/>
    <w:rsid w:val="00E227CC"/>
    <w:rsid w:val="00E22E69"/>
    <w:rsid w:val="00E234E9"/>
    <w:rsid w:val="00E235F4"/>
    <w:rsid w:val="00E24E23"/>
    <w:rsid w:val="00E2528E"/>
    <w:rsid w:val="00E26084"/>
    <w:rsid w:val="00E267B2"/>
    <w:rsid w:val="00E27463"/>
    <w:rsid w:val="00E31812"/>
    <w:rsid w:val="00E33355"/>
    <w:rsid w:val="00E33655"/>
    <w:rsid w:val="00E3374B"/>
    <w:rsid w:val="00E33EE3"/>
    <w:rsid w:val="00E342A1"/>
    <w:rsid w:val="00E34508"/>
    <w:rsid w:val="00E34EE1"/>
    <w:rsid w:val="00E3536E"/>
    <w:rsid w:val="00E35746"/>
    <w:rsid w:val="00E35D45"/>
    <w:rsid w:val="00E36045"/>
    <w:rsid w:val="00E3746D"/>
    <w:rsid w:val="00E37EC6"/>
    <w:rsid w:val="00E40BC0"/>
    <w:rsid w:val="00E42331"/>
    <w:rsid w:val="00E42CF2"/>
    <w:rsid w:val="00E43BF6"/>
    <w:rsid w:val="00E44280"/>
    <w:rsid w:val="00E44F2C"/>
    <w:rsid w:val="00E46110"/>
    <w:rsid w:val="00E5064E"/>
    <w:rsid w:val="00E51D3B"/>
    <w:rsid w:val="00E52695"/>
    <w:rsid w:val="00E52BDA"/>
    <w:rsid w:val="00E52D16"/>
    <w:rsid w:val="00E5490A"/>
    <w:rsid w:val="00E54F9F"/>
    <w:rsid w:val="00E55A3B"/>
    <w:rsid w:val="00E55ACE"/>
    <w:rsid w:val="00E5646D"/>
    <w:rsid w:val="00E56846"/>
    <w:rsid w:val="00E5735D"/>
    <w:rsid w:val="00E57D61"/>
    <w:rsid w:val="00E57E27"/>
    <w:rsid w:val="00E61BB4"/>
    <w:rsid w:val="00E61C40"/>
    <w:rsid w:val="00E61F33"/>
    <w:rsid w:val="00E6388B"/>
    <w:rsid w:val="00E63971"/>
    <w:rsid w:val="00E64ACF"/>
    <w:rsid w:val="00E64CEB"/>
    <w:rsid w:val="00E64D7D"/>
    <w:rsid w:val="00E64F3F"/>
    <w:rsid w:val="00E65DE1"/>
    <w:rsid w:val="00E65FAA"/>
    <w:rsid w:val="00E6610B"/>
    <w:rsid w:val="00E67322"/>
    <w:rsid w:val="00E709E9"/>
    <w:rsid w:val="00E712E6"/>
    <w:rsid w:val="00E71E28"/>
    <w:rsid w:val="00E72992"/>
    <w:rsid w:val="00E7440F"/>
    <w:rsid w:val="00E747E4"/>
    <w:rsid w:val="00E75240"/>
    <w:rsid w:val="00E75672"/>
    <w:rsid w:val="00E75A68"/>
    <w:rsid w:val="00E75CB8"/>
    <w:rsid w:val="00E764E7"/>
    <w:rsid w:val="00E765B0"/>
    <w:rsid w:val="00E76BD3"/>
    <w:rsid w:val="00E77072"/>
    <w:rsid w:val="00E772FF"/>
    <w:rsid w:val="00E7784E"/>
    <w:rsid w:val="00E8010F"/>
    <w:rsid w:val="00E8158F"/>
    <w:rsid w:val="00E81838"/>
    <w:rsid w:val="00E8189D"/>
    <w:rsid w:val="00E8271F"/>
    <w:rsid w:val="00E828C3"/>
    <w:rsid w:val="00E83F1A"/>
    <w:rsid w:val="00E84E72"/>
    <w:rsid w:val="00E90CE1"/>
    <w:rsid w:val="00E93356"/>
    <w:rsid w:val="00E93B37"/>
    <w:rsid w:val="00E941E5"/>
    <w:rsid w:val="00E94524"/>
    <w:rsid w:val="00E950C3"/>
    <w:rsid w:val="00E96499"/>
    <w:rsid w:val="00E9706A"/>
    <w:rsid w:val="00E976CA"/>
    <w:rsid w:val="00EA013F"/>
    <w:rsid w:val="00EA2B2D"/>
    <w:rsid w:val="00EA2C7D"/>
    <w:rsid w:val="00EA4250"/>
    <w:rsid w:val="00EA4412"/>
    <w:rsid w:val="00EA45A3"/>
    <w:rsid w:val="00EA50CE"/>
    <w:rsid w:val="00EA5460"/>
    <w:rsid w:val="00EA5C40"/>
    <w:rsid w:val="00EA7E6C"/>
    <w:rsid w:val="00EB25B3"/>
    <w:rsid w:val="00EB27A0"/>
    <w:rsid w:val="00EB2F23"/>
    <w:rsid w:val="00EB3075"/>
    <w:rsid w:val="00EB30E4"/>
    <w:rsid w:val="00EB3571"/>
    <w:rsid w:val="00EB3F22"/>
    <w:rsid w:val="00EB4D0B"/>
    <w:rsid w:val="00EB54A4"/>
    <w:rsid w:val="00EB558F"/>
    <w:rsid w:val="00EB6BA0"/>
    <w:rsid w:val="00EB7410"/>
    <w:rsid w:val="00EB776E"/>
    <w:rsid w:val="00EC0746"/>
    <w:rsid w:val="00EC21AB"/>
    <w:rsid w:val="00EC4184"/>
    <w:rsid w:val="00EC4676"/>
    <w:rsid w:val="00EC5A70"/>
    <w:rsid w:val="00EC5ADF"/>
    <w:rsid w:val="00EC67B0"/>
    <w:rsid w:val="00EC7457"/>
    <w:rsid w:val="00EC7475"/>
    <w:rsid w:val="00EC7AD1"/>
    <w:rsid w:val="00ED02F6"/>
    <w:rsid w:val="00ED119C"/>
    <w:rsid w:val="00ED1301"/>
    <w:rsid w:val="00ED1587"/>
    <w:rsid w:val="00ED179A"/>
    <w:rsid w:val="00ED1D33"/>
    <w:rsid w:val="00ED252E"/>
    <w:rsid w:val="00ED2ABA"/>
    <w:rsid w:val="00ED3577"/>
    <w:rsid w:val="00ED4E22"/>
    <w:rsid w:val="00ED4E35"/>
    <w:rsid w:val="00ED697A"/>
    <w:rsid w:val="00EE00FE"/>
    <w:rsid w:val="00EE05A4"/>
    <w:rsid w:val="00EE21C2"/>
    <w:rsid w:val="00EE29B4"/>
    <w:rsid w:val="00EE3147"/>
    <w:rsid w:val="00EE3170"/>
    <w:rsid w:val="00EE325B"/>
    <w:rsid w:val="00EE3D61"/>
    <w:rsid w:val="00EE4789"/>
    <w:rsid w:val="00EE5D19"/>
    <w:rsid w:val="00EE69BF"/>
    <w:rsid w:val="00EE7165"/>
    <w:rsid w:val="00EE789C"/>
    <w:rsid w:val="00EF02A8"/>
    <w:rsid w:val="00EF0831"/>
    <w:rsid w:val="00EF119E"/>
    <w:rsid w:val="00EF23E5"/>
    <w:rsid w:val="00EF3826"/>
    <w:rsid w:val="00EF3B72"/>
    <w:rsid w:val="00EF4A8F"/>
    <w:rsid w:val="00EF4DDF"/>
    <w:rsid w:val="00EF68DB"/>
    <w:rsid w:val="00EF7166"/>
    <w:rsid w:val="00EF7988"/>
    <w:rsid w:val="00F01369"/>
    <w:rsid w:val="00F01A0A"/>
    <w:rsid w:val="00F01BDC"/>
    <w:rsid w:val="00F01F44"/>
    <w:rsid w:val="00F02B03"/>
    <w:rsid w:val="00F02E5B"/>
    <w:rsid w:val="00F03905"/>
    <w:rsid w:val="00F03F1C"/>
    <w:rsid w:val="00F041B7"/>
    <w:rsid w:val="00F04967"/>
    <w:rsid w:val="00F06426"/>
    <w:rsid w:val="00F0704E"/>
    <w:rsid w:val="00F078A4"/>
    <w:rsid w:val="00F1089C"/>
    <w:rsid w:val="00F10E76"/>
    <w:rsid w:val="00F11019"/>
    <w:rsid w:val="00F124FA"/>
    <w:rsid w:val="00F13191"/>
    <w:rsid w:val="00F15FCF"/>
    <w:rsid w:val="00F176E1"/>
    <w:rsid w:val="00F176E9"/>
    <w:rsid w:val="00F17D8B"/>
    <w:rsid w:val="00F22578"/>
    <w:rsid w:val="00F22812"/>
    <w:rsid w:val="00F22C75"/>
    <w:rsid w:val="00F233F1"/>
    <w:rsid w:val="00F24609"/>
    <w:rsid w:val="00F24633"/>
    <w:rsid w:val="00F25464"/>
    <w:rsid w:val="00F25E34"/>
    <w:rsid w:val="00F25E37"/>
    <w:rsid w:val="00F270B3"/>
    <w:rsid w:val="00F276DB"/>
    <w:rsid w:val="00F30E4D"/>
    <w:rsid w:val="00F31138"/>
    <w:rsid w:val="00F31168"/>
    <w:rsid w:val="00F316B5"/>
    <w:rsid w:val="00F31BE0"/>
    <w:rsid w:val="00F3237F"/>
    <w:rsid w:val="00F32633"/>
    <w:rsid w:val="00F34231"/>
    <w:rsid w:val="00F34790"/>
    <w:rsid w:val="00F34D1E"/>
    <w:rsid w:val="00F35218"/>
    <w:rsid w:val="00F359ED"/>
    <w:rsid w:val="00F36B08"/>
    <w:rsid w:val="00F36F48"/>
    <w:rsid w:val="00F42E4A"/>
    <w:rsid w:val="00F43045"/>
    <w:rsid w:val="00F432F8"/>
    <w:rsid w:val="00F43390"/>
    <w:rsid w:val="00F45111"/>
    <w:rsid w:val="00F4511D"/>
    <w:rsid w:val="00F45B25"/>
    <w:rsid w:val="00F467C9"/>
    <w:rsid w:val="00F46ADB"/>
    <w:rsid w:val="00F473BA"/>
    <w:rsid w:val="00F47B38"/>
    <w:rsid w:val="00F47FB9"/>
    <w:rsid w:val="00F50155"/>
    <w:rsid w:val="00F50B8B"/>
    <w:rsid w:val="00F510BB"/>
    <w:rsid w:val="00F5186A"/>
    <w:rsid w:val="00F51E3A"/>
    <w:rsid w:val="00F52838"/>
    <w:rsid w:val="00F53119"/>
    <w:rsid w:val="00F536AC"/>
    <w:rsid w:val="00F53DD6"/>
    <w:rsid w:val="00F54A9B"/>
    <w:rsid w:val="00F54C27"/>
    <w:rsid w:val="00F54DEC"/>
    <w:rsid w:val="00F5593C"/>
    <w:rsid w:val="00F561C8"/>
    <w:rsid w:val="00F5657E"/>
    <w:rsid w:val="00F56B8F"/>
    <w:rsid w:val="00F56CA7"/>
    <w:rsid w:val="00F6427E"/>
    <w:rsid w:val="00F64B54"/>
    <w:rsid w:val="00F64F9B"/>
    <w:rsid w:val="00F653A5"/>
    <w:rsid w:val="00F6578C"/>
    <w:rsid w:val="00F65A86"/>
    <w:rsid w:val="00F6690E"/>
    <w:rsid w:val="00F66A83"/>
    <w:rsid w:val="00F7006E"/>
    <w:rsid w:val="00F714F5"/>
    <w:rsid w:val="00F715C5"/>
    <w:rsid w:val="00F717CD"/>
    <w:rsid w:val="00F71E12"/>
    <w:rsid w:val="00F72608"/>
    <w:rsid w:val="00F72B88"/>
    <w:rsid w:val="00F72DCB"/>
    <w:rsid w:val="00F73F55"/>
    <w:rsid w:val="00F742E1"/>
    <w:rsid w:val="00F7504C"/>
    <w:rsid w:val="00F76C4A"/>
    <w:rsid w:val="00F76C5F"/>
    <w:rsid w:val="00F77856"/>
    <w:rsid w:val="00F80287"/>
    <w:rsid w:val="00F80483"/>
    <w:rsid w:val="00F807A1"/>
    <w:rsid w:val="00F8230D"/>
    <w:rsid w:val="00F83B82"/>
    <w:rsid w:val="00F84B54"/>
    <w:rsid w:val="00F84FB8"/>
    <w:rsid w:val="00F86045"/>
    <w:rsid w:val="00F864A6"/>
    <w:rsid w:val="00F873D5"/>
    <w:rsid w:val="00F87FED"/>
    <w:rsid w:val="00F9064C"/>
    <w:rsid w:val="00F91788"/>
    <w:rsid w:val="00F91A0C"/>
    <w:rsid w:val="00F924B4"/>
    <w:rsid w:val="00F92682"/>
    <w:rsid w:val="00F9346A"/>
    <w:rsid w:val="00F937EF"/>
    <w:rsid w:val="00F93B33"/>
    <w:rsid w:val="00F93F6D"/>
    <w:rsid w:val="00F9403E"/>
    <w:rsid w:val="00F94E2B"/>
    <w:rsid w:val="00F956DC"/>
    <w:rsid w:val="00F96B6D"/>
    <w:rsid w:val="00F974BF"/>
    <w:rsid w:val="00F97564"/>
    <w:rsid w:val="00FA074E"/>
    <w:rsid w:val="00FA2B44"/>
    <w:rsid w:val="00FA360E"/>
    <w:rsid w:val="00FA5304"/>
    <w:rsid w:val="00FA5C87"/>
    <w:rsid w:val="00FA6A97"/>
    <w:rsid w:val="00FA6CBB"/>
    <w:rsid w:val="00FA7C53"/>
    <w:rsid w:val="00FB0717"/>
    <w:rsid w:val="00FB1C32"/>
    <w:rsid w:val="00FB27AD"/>
    <w:rsid w:val="00FB29D1"/>
    <w:rsid w:val="00FB2ABD"/>
    <w:rsid w:val="00FB3008"/>
    <w:rsid w:val="00FB4658"/>
    <w:rsid w:val="00FB489A"/>
    <w:rsid w:val="00FB6213"/>
    <w:rsid w:val="00FB6EA2"/>
    <w:rsid w:val="00FB7D94"/>
    <w:rsid w:val="00FC0DCF"/>
    <w:rsid w:val="00FC2343"/>
    <w:rsid w:val="00FC2AEF"/>
    <w:rsid w:val="00FC2D7D"/>
    <w:rsid w:val="00FC3458"/>
    <w:rsid w:val="00FC4CB6"/>
    <w:rsid w:val="00FC4DFD"/>
    <w:rsid w:val="00FC5564"/>
    <w:rsid w:val="00FC55CC"/>
    <w:rsid w:val="00FC576C"/>
    <w:rsid w:val="00FC6FAD"/>
    <w:rsid w:val="00FC720F"/>
    <w:rsid w:val="00FC77E4"/>
    <w:rsid w:val="00FD0598"/>
    <w:rsid w:val="00FD0F85"/>
    <w:rsid w:val="00FD13D6"/>
    <w:rsid w:val="00FD160C"/>
    <w:rsid w:val="00FD1771"/>
    <w:rsid w:val="00FD195C"/>
    <w:rsid w:val="00FD19D4"/>
    <w:rsid w:val="00FD2DA9"/>
    <w:rsid w:val="00FD3A1E"/>
    <w:rsid w:val="00FD4414"/>
    <w:rsid w:val="00FD4670"/>
    <w:rsid w:val="00FD4AEF"/>
    <w:rsid w:val="00FD4EF1"/>
    <w:rsid w:val="00FD6052"/>
    <w:rsid w:val="00FD682A"/>
    <w:rsid w:val="00FD789A"/>
    <w:rsid w:val="00FE02E2"/>
    <w:rsid w:val="00FE0B01"/>
    <w:rsid w:val="00FE10E7"/>
    <w:rsid w:val="00FE172D"/>
    <w:rsid w:val="00FE24D6"/>
    <w:rsid w:val="00FE2574"/>
    <w:rsid w:val="00FE2873"/>
    <w:rsid w:val="00FE2A25"/>
    <w:rsid w:val="00FE38D1"/>
    <w:rsid w:val="00FE3905"/>
    <w:rsid w:val="00FE4C74"/>
    <w:rsid w:val="00FE4DF3"/>
    <w:rsid w:val="00FE4E6D"/>
    <w:rsid w:val="00FE5CD8"/>
    <w:rsid w:val="00FE5D2E"/>
    <w:rsid w:val="00FE6477"/>
    <w:rsid w:val="00FE6932"/>
    <w:rsid w:val="00FE75E5"/>
    <w:rsid w:val="00FE7AA2"/>
    <w:rsid w:val="00FF00C6"/>
    <w:rsid w:val="00FF1A12"/>
    <w:rsid w:val="00FF1FD1"/>
    <w:rsid w:val="00FF2234"/>
    <w:rsid w:val="00FF2439"/>
    <w:rsid w:val="00FF2723"/>
    <w:rsid w:val="00FF2D8B"/>
    <w:rsid w:val="00FF4DC2"/>
    <w:rsid w:val="00FF5736"/>
    <w:rsid w:val="00FF6713"/>
    <w:rsid w:val="00FF67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0010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108"/>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rsid w:val="00700108"/>
    <w:rPr>
      <w:rFonts w:cs="Times New Roman"/>
      <w:sz w:val="16"/>
    </w:rPr>
  </w:style>
  <w:style w:type="paragraph" w:styleId="CommentText">
    <w:name w:val="annotation text"/>
    <w:basedOn w:val="Normal"/>
    <w:link w:val="CommentTextChar"/>
    <w:uiPriority w:val="99"/>
    <w:semiHidden/>
    <w:rsid w:val="00700108"/>
    <w:rPr>
      <w:sz w:val="20"/>
      <w:szCs w:val="20"/>
    </w:rPr>
  </w:style>
  <w:style w:type="character" w:customStyle="1" w:styleId="CommentTextChar">
    <w:name w:val="Comment Text Char"/>
    <w:basedOn w:val="DefaultParagraphFont"/>
    <w:link w:val="CommentText"/>
    <w:uiPriority w:val="99"/>
    <w:semiHidden/>
    <w:rsid w:val="007001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00108"/>
    <w:rPr>
      <w:b/>
      <w:bCs/>
    </w:rPr>
  </w:style>
  <w:style w:type="character" w:customStyle="1" w:styleId="CommentSubjectChar">
    <w:name w:val="Comment Subject Char"/>
    <w:basedOn w:val="CommentTextChar"/>
    <w:link w:val="CommentSubject"/>
    <w:uiPriority w:val="99"/>
    <w:semiHidden/>
    <w:rsid w:val="0070010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700108"/>
    <w:rPr>
      <w:rFonts w:ascii="Tahoma" w:hAnsi="Tahoma" w:cs="Tahoma"/>
      <w:sz w:val="16"/>
      <w:szCs w:val="16"/>
    </w:rPr>
  </w:style>
  <w:style w:type="character" w:customStyle="1" w:styleId="BalloonTextChar">
    <w:name w:val="Balloon Text Char"/>
    <w:basedOn w:val="DefaultParagraphFont"/>
    <w:link w:val="BalloonText"/>
    <w:uiPriority w:val="99"/>
    <w:semiHidden/>
    <w:rsid w:val="00700108"/>
    <w:rPr>
      <w:rFonts w:ascii="Tahoma" w:eastAsia="Times New Roman" w:hAnsi="Tahoma" w:cs="Tahoma"/>
      <w:sz w:val="16"/>
      <w:szCs w:val="16"/>
    </w:rPr>
  </w:style>
  <w:style w:type="table" w:styleId="TableGrid">
    <w:name w:val="Table Grid"/>
    <w:basedOn w:val="TableNormal"/>
    <w:uiPriority w:val="99"/>
    <w:rsid w:val="007001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700108"/>
    <w:rPr>
      <w:sz w:val="20"/>
      <w:szCs w:val="20"/>
    </w:rPr>
  </w:style>
  <w:style w:type="character" w:customStyle="1" w:styleId="FootnoteTextChar">
    <w:name w:val="Footnote Text Char"/>
    <w:basedOn w:val="DefaultParagraphFont"/>
    <w:link w:val="FootnoteText"/>
    <w:uiPriority w:val="99"/>
    <w:semiHidden/>
    <w:rsid w:val="0070010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700108"/>
    <w:rPr>
      <w:rFonts w:cs="Times New Roman"/>
      <w:vertAlign w:val="superscript"/>
    </w:rPr>
  </w:style>
  <w:style w:type="paragraph" w:styleId="Revision">
    <w:name w:val="Revision"/>
    <w:hidden/>
    <w:uiPriority w:val="99"/>
    <w:semiHidden/>
    <w:rsid w:val="00700108"/>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700108"/>
    <w:rPr>
      <w:rFonts w:cs="Times New Roman"/>
      <w:color w:val="0000FF"/>
      <w:u w:val="single"/>
    </w:rPr>
  </w:style>
  <w:style w:type="paragraph" w:styleId="ListParagraph">
    <w:name w:val="List Paragraph"/>
    <w:basedOn w:val="Normal"/>
    <w:uiPriority w:val="34"/>
    <w:qFormat/>
    <w:rsid w:val="00700108"/>
    <w:pPr>
      <w:ind w:left="720"/>
      <w:contextualSpacing/>
    </w:pPr>
  </w:style>
  <w:style w:type="paragraph" w:customStyle="1" w:styleId="Title1">
    <w:name w:val="Title1"/>
    <w:basedOn w:val="Normal"/>
    <w:rsid w:val="00700108"/>
    <w:pPr>
      <w:spacing w:before="100" w:beforeAutospacing="1" w:after="100" w:afterAutospacing="1"/>
    </w:pPr>
  </w:style>
  <w:style w:type="paragraph" w:customStyle="1" w:styleId="desc">
    <w:name w:val="desc"/>
    <w:basedOn w:val="Normal"/>
    <w:rsid w:val="00700108"/>
    <w:pPr>
      <w:spacing w:before="100" w:beforeAutospacing="1" w:after="100" w:afterAutospacing="1"/>
    </w:pPr>
  </w:style>
  <w:style w:type="paragraph" w:customStyle="1" w:styleId="details">
    <w:name w:val="details"/>
    <w:basedOn w:val="Normal"/>
    <w:rsid w:val="00700108"/>
    <w:pPr>
      <w:spacing w:before="100" w:beforeAutospacing="1" w:after="100" w:afterAutospacing="1"/>
    </w:pPr>
  </w:style>
  <w:style w:type="character" w:customStyle="1" w:styleId="jrnl">
    <w:name w:val="jrnl"/>
    <w:basedOn w:val="DefaultParagraphFont"/>
    <w:rsid w:val="00700108"/>
  </w:style>
  <w:style w:type="character" w:customStyle="1" w:styleId="highlight">
    <w:name w:val="highlight"/>
    <w:basedOn w:val="DefaultParagraphFont"/>
    <w:rsid w:val="00700108"/>
  </w:style>
  <w:style w:type="paragraph" w:styleId="Header">
    <w:name w:val="header"/>
    <w:basedOn w:val="Normal"/>
    <w:link w:val="HeaderChar"/>
    <w:uiPriority w:val="99"/>
    <w:unhideWhenUsed/>
    <w:rsid w:val="00700108"/>
    <w:pPr>
      <w:tabs>
        <w:tab w:val="center" w:pos="4513"/>
        <w:tab w:val="right" w:pos="9026"/>
      </w:tabs>
    </w:pPr>
  </w:style>
  <w:style w:type="character" w:customStyle="1" w:styleId="HeaderChar">
    <w:name w:val="Header Char"/>
    <w:basedOn w:val="DefaultParagraphFont"/>
    <w:link w:val="Header"/>
    <w:uiPriority w:val="99"/>
    <w:rsid w:val="007001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0108"/>
    <w:pPr>
      <w:tabs>
        <w:tab w:val="center" w:pos="4513"/>
        <w:tab w:val="right" w:pos="9026"/>
      </w:tabs>
    </w:pPr>
  </w:style>
  <w:style w:type="character" w:customStyle="1" w:styleId="FooterChar">
    <w:name w:val="Footer Char"/>
    <w:basedOn w:val="DefaultParagraphFont"/>
    <w:link w:val="Footer"/>
    <w:uiPriority w:val="99"/>
    <w:rsid w:val="00700108"/>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00108"/>
    <w:rPr>
      <w:sz w:val="20"/>
      <w:szCs w:val="20"/>
    </w:rPr>
  </w:style>
  <w:style w:type="character" w:customStyle="1" w:styleId="EndnoteTextChar">
    <w:name w:val="Endnote Text Char"/>
    <w:basedOn w:val="DefaultParagraphFont"/>
    <w:link w:val="EndnoteText"/>
    <w:uiPriority w:val="99"/>
    <w:semiHidden/>
    <w:rsid w:val="0070010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00108"/>
    <w:rPr>
      <w:vertAlign w:val="superscript"/>
    </w:rPr>
  </w:style>
  <w:style w:type="paragraph" w:styleId="HTMLPreformatted">
    <w:name w:val="HTML Preformatted"/>
    <w:basedOn w:val="Normal"/>
    <w:link w:val="HTMLPreformattedChar"/>
    <w:uiPriority w:val="99"/>
    <w:rsid w:val="0070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00108"/>
    <w:rPr>
      <w:rFonts w:ascii="Courier New" w:eastAsia="Times New Roman" w:hAnsi="Courier New" w:cs="Courier New"/>
      <w:sz w:val="20"/>
      <w:szCs w:val="20"/>
      <w:lang w:val="en-US" w:eastAsia="en-US"/>
    </w:rPr>
  </w:style>
  <w:style w:type="character" w:styleId="PageNumber">
    <w:name w:val="page number"/>
    <w:basedOn w:val="DefaultParagraphFont"/>
    <w:rsid w:val="00700108"/>
  </w:style>
  <w:style w:type="character" w:styleId="FollowedHyperlink">
    <w:name w:val="FollowedHyperlink"/>
    <w:basedOn w:val="DefaultParagraphFont"/>
    <w:uiPriority w:val="99"/>
    <w:semiHidden/>
    <w:unhideWhenUsed/>
    <w:rsid w:val="00700108"/>
    <w:rPr>
      <w:color w:val="800080" w:themeColor="followedHyperlink"/>
      <w:u w:val="single"/>
    </w:rPr>
  </w:style>
  <w:style w:type="character" w:styleId="PlaceholderText">
    <w:name w:val="Placeholder Text"/>
    <w:basedOn w:val="DefaultParagraphFont"/>
    <w:uiPriority w:val="99"/>
    <w:semiHidden/>
    <w:rsid w:val="00700108"/>
    <w:rPr>
      <w:color w:val="808080"/>
    </w:rPr>
  </w:style>
  <w:style w:type="paragraph" w:styleId="Caption">
    <w:name w:val="caption"/>
    <w:basedOn w:val="Normal"/>
    <w:next w:val="Normal"/>
    <w:uiPriority w:val="35"/>
    <w:unhideWhenUsed/>
    <w:qFormat/>
    <w:rsid w:val="00700108"/>
    <w:pPr>
      <w:spacing w:after="200"/>
    </w:pPr>
    <w:rPr>
      <w:i/>
      <w:iCs/>
      <w:color w:val="1F497D" w:themeColor="text2"/>
      <w:sz w:val="18"/>
      <w:szCs w:val="18"/>
    </w:rPr>
  </w:style>
  <w:style w:type="paragraph" w:styleId="NormalWeb">
    <w:name w:val="Normal (Web)"/>
    <w:basedOn w:val="Normal"/>
    <w:uiPriority w:val="99"/>
    <w:semiHidden/>
    <w:unhideWhenUsed/>
    <w:rsid w:val="00700108"/>
    <w:pPr>
      <w:spacing w:before="100" w:beforeAutospacing="1" w:after="100" w:afterAutospacing="1"/>
    </w:pPr>
    <w:rPr>
      <w:lang w:val="nl-NL" w:eastAsia="nl-NL"/>
    </w:rPr>
  </w:style>
  <w:style w:type="character" w:styleId="Strong">
    <w:name w:val="Strong"/>
    <w:basedOn w:val="DefaultParagraphFont"/>
    <w:uiPriority w:val="22"/>
    <w:qFormat/>
    <w:rsid w:val="00700108"/>
    <w:rPr>
      <w:b/>
      <w:bCs/>
    </w:rPr>
  </w:style>
  <w:style w:type="character" w:customStyle="1" w:styleId="apple-converted-space">
    <w:name w:val="apple-converted-space"/>
    <w:basedOn w:val="DefaultParagraphFont"/>
    <w:rsid w:val="00700108"/>
  </w:style>
  <w:style w:type="paragraph" w:styleId="DocumentMap">
    <w:name w:val="Document Map"/>
    <w:basedOn w:val="Normal"/>
    <w:link w:val="DocumentMapChar"/>
    <w:uiPriority w:val="99"/>
    <w:semiHidden/>
    <w:unhideWhenUsed/>
    <w:rsid w:val="00700108"/>
    <w:rPr>
      <w:rFonts w:ascii="Tahoma" w:hAnsi="Tahoma" w:cs="Tahoma"/>
      <w:sz w:val="16"/>
      <w:szCs w:val="16"/>
    </w:rPr>
  </w:style>
  <w:style w:type="character" w:customStyle="1" w:styleId="DocumentMapChar">
    <w:name w:val="Document Map Char"/>
    <w:basedOn w:val="DefaultParagraphFont"/>
    <w:link w:val="DocumentMap"/>
    <w:uiPriority w:val="99"/>
    <w:semiHidden/>
    <w:rsid w:val="0070010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0010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108"/>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rsid w:val="00700108"/>
    <w:rPr>
      <w:rFonts w:cs="Times New Roman"/>
      <w:sz w:val="16"/>
    </w:rPr>
  </w:style>
  <w:style w:type="paragraph" w:styleId="CommentText">
    <w:name w:val="annotation text"/>
    <w:basedOn w:val="Normal"/>
    <w:link w:val="CommentTextChar"/>
    <w:uiPriority w:val="99"/>
    <w:semiHidden/>
    <w:rsid w:val="00700108"/>
    <w:rPr>
      <w:sz w:val="20"/>
      <w:szCs w:val="20"/>
    </w:rPr>
  </w:style>
  <w:style w:type="character" w:customStyle="1" w:styleId="CommentTextChar">
    <w:name w:val="Comment Text Char"/>
    <w:basedOn w:val="DefaultParagraphFont"/>
    <w:link w:val="CommentText"/>
    <w:uiPriority w:val="99"/>
    <w:semiHidden/>
    <w:rsid w:val="007001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00108"/>
    <w:rPr>
      <w:b/>
      <w:bCs/>
    </w:rPr>
  </w:style>
  <w:style w:type="character" w:customStyle="1" w:styleId="CommentSubjectChar">
    <w:name w:val="Comment Subject Char"/>
    <w:basedOn w:val="CommentTextChar"/>
    <w:link w:val="CommentSubject"/>
    <w:uiPriority w:val="99"/>
    <w:semiHidden/>
    <w:rsid w:val="0070010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700108"/>
    <w:rPr>
      <w:rFonts w:ascii="Tahoma" w:hAnsi="Tahoma" w:cs="Tahoma"/>
      <w:sz w:val="16"/>
      <w:szCs w:val="16"/>
    </w:rPr>
  </w:style>
  <w:style w:type="character" w:customStyle="1" w:styleId="BalloonTextChar">
    <w:name w:val="Balloon Text Char"/>
    <w:basedOn w:val="DefaultParagraphFont"/>
    <w:link w:val="BalloonText"/>
    <w:uiPriority w:val="99"/>
    <w:semiHidden/>
    <w:rsid w:val="00700108"/>
    <w:rPr>
      <w:rFonts w:ascii="Tahoma" w:eastAsia="Times New Roman" w:hAnsi="Tahoma" w:cs="Tahoma"/>
      <w:sz w:val="16"/>
      <w:szCs w:val="16"/>
    </w:rPr>
  </w:style>
  <w:style w:type="table" w:styleId="TableGrid">
    <w:name w:val="Table Grid"/>
    <w:basedOn w:val="TableNormal"/>
    <w:uiPriority w:val="99"/>
    <w:rsid w:val="007001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700108"/>
    <w:rPr>
      <w:sz w:val="20"/>
      <w:szCs w:val="20"/>
    </w:rPr>
  </w:style>
  <w:style w:type="character" w:customStyle="1" w:styleId="FootnoteTextChar">
    <w:name w:val="Footnote Text Char"/>
    <w:basedOn w:val="DefaultParagraphFont"/>
    <w:link w:val="FootnoteText"/>
    <w:uiPriority w:val="99"/>
    <w:semiHidden/>
    <w:rsid w:val="0070010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700108"/>
    <w:rPr>
      <w:rFonts w:cs="Times New Roman"/>
      <w:vertAlign w:val="superscript"/>
    </w:rPr>
  </w:style>
  <w:style w:type="paragraph" w:styleId="Revision">
    <w:name w:val="Revision"/>
    <w:hidden/>
    <w:uiPriority w:val="99"/>
    <w:semiHidden/>
    <w:rsid w:val="00700108"/>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700108"/>
    <w:rPr>
      <w:rFonts w:cs="Times New Roman"/>
      <w:color w:val="0000FF"/>
      <w:u w:val="single"/>
    </w:rPr>
  </w:style>
  <w:style w:type="paragraph" w:styleId="ListParagraph">
    <w:name w:val="List Paragraph"/>
    <w:basedOn w:val="Normal"/>
    <w:uiPriority w:val="34"/>
    <w:qFormat/>
    <w:rsid w:val="00700108"/>
    <w:pPr>
      <w:ind w:left="720"/>
      <w:contextualSpacing/>
    </w:pPr>
  </w:style>
  <w:style w:type="paragraph" w:customStyle="1" w:styleId="Title1">
    <w:name w:val="Title1"/>
    <w:basedOn w:val="Normal"/>
    <w:rsid w:val="00700108"/>
    <w:pPr>
      <w:spacing w:before="100" w:beforeAutospacing="1" w:after="100" w:afterAutospacing="1"/>
    </w:pPr>
  </w:style>
  <w:style w:type="paragraph" w:customStyle="1" w:styleId="desc">
    <w:name w:val="desc"/>
    <w:basedOn w:val="Normal"/>
    <w:rsid w:val="00700108"/>
    <w:pPr>
      <w:spacing w:before="100" w:beforeAutospacing="1" w:after="100" w:afterAutospacing="1"/>
    </w:pPr>
  </w:style>
  <w:style w:type="paragraph" w:customStyle="1" w:styleId="details">
    <w:name w:val="details"/>
    <w:basedOn w:val="Normal"/>
    <w:rsid w:val="00700108"/>
    <w:pPr>
      <w:spacing w:before="100" w:beforeAutospacing="1" w:after="100" w:afterAutospacing="1"/>
    </w:pPr>
  </w:style>
  <w:style w:type="character" w:customStyle="1" w:styleId="jrnl">
    <w:name w:val="jrnl"/>
    <w:basedOn w:val="DefaultParagraphFont"/>
    <w:rsid w:val="00700108"/>
  </w:style>
  <w:style w:type="character" w:customStyle="1" w:styleId="highlight">
    <w:name w:val="highlight"/>
    <w:basedOn w:val="DefaultParagraphFont"/>
    <w:rsid w:val="00700108"/>
  </w:style>
  <w:style w:type="paragraph" w:styleId="Header">
    <w:name w:val="header"/>
    <w:basedOn w:val="Normal"/>
    <w:link w:val="HeaderChar"/>
    <w:uiPriority w:val="99"/>
    <w:unhideWhenUsed/>
    <w:rsid w:val="00700108"/>
    <w:pPr>
      <w:tabs>
        <w:tab w:val="center" w:pos="4513"/>
        <w:tab w:val="right" w:pos="9026"/>
      </w:tabs>
    </w:pPr>
  </w:style>
  <w:style w:type="character" w:customStyle="1" w:styleId="HeaderChar">
    <w:name w:val="Header Char"/>
    <w:basedOn w:val="DefaultParagraphFont"/>
    <w:link w:val="Header"/>
    <w:uiPriority w:val="99"/>
    <w:rsid w:val="007001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0108"/>
    <w:pPr>
      <w:tabs>
        <w:tab w:val="center" w:pos="4513"/>
        <w:tab w:val="right" w:pos="9026"/>
      </w:tabs>
    </w:pPr>
  </w:style>
  <w:style w:type="character" w:customStyle="1" w:styleId="FooterChar">
    <w:name w:val="Footer Char"/>
    <w:basedOn w:val="DefaultParagraphFont"/>
    <w:link w:val="Footer"/>
    <w:uiPriority w:val="99"/>
    <w:rsid w:val="00700108"/>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00108"/>
    <w:rPr>
      <w:sz w:val="20"/>
      <w:szCs w:val="20"/>
    </w:rPr>
  </w:style>
  <w:style w:type="character" w:customStyle="1" w:styleId="EndnoteTextChar">
    <w:name w:val="Endnote Text Char"/>
    <w:basedOn w:val="DefaultParagraphFont"/>
    <w:link w:val="EndnoteText"/>
    <w:uiPriority w:val="99"/>
    <w:semiHidden/>
    <w:rsid w:val="0070010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00108"/>
    <w:rPr>
      <w:vertAlign w:val="superscript"/>
    </w:rPr>
  </w:style>
  <w:style w:type="paragraph" w:styleId="HTMLPreformatted">
    <w:name w:val="HTML Preformatted"/>
    <w:basedOn w:val="Normal"/>
    <w:link w:val="HTMLPreformattedChar"/>
    <w:uiPriority w:val="99"/>
    <w:rsid w:val="00700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00108"/>
    <w:rPr>
      <w:rFonts w:ascii="Courier New" w:eastAsia="Times New Roman" w:hAnsi="Courier New" w:cs="Courier New"/>
      <w:sz w:val="20"/>
      <w:szCs w:val="20"/>
      <w:lang w:val="en-US" w:eastAsia="en-US"/>
    </w:rPr>
  </w:style>
  <w:style w:type="character" w:styleId="PageNumber">
    <w:name w:val="page number"/>
    <w:basedOn w:val="DefaultParagraphFont"/>
    <w:rsid w:val="00700108"/>
  </w:style>
  <w:style w:type="character" w:styleId="FollowedHyperlink">
    <w:name w:val="FollowedHyperlink"/>
    <w:basedOn w:val="DefaultParagraphFont"/>
    <w:uiPriority w:val="99"/>
    <w:semiHidden/>
    <w:unhideWhenUsed/>
    <w:rsid w:val="00700108"/>
    <w:rPr>
      <w:color w:val="800080" w:themeColor="followedHyperlink"/>
      <w:u w:val="single"/>
    </w:rPr>
  </w:style>
  <w:style w:type="character" w:styleId="PlaceholderText">
    <w:name w:val="Placeholder Text"/>
    <w:basedOn w:val="DefaultParagraphFont"/>
    <w:uiPriority w:val="99"/>
    <w:semiHidden/>
    <w:rsid w:val="00700108"/>
    <w:rPr>
      <w:color w:val="808080"/>
    </w:rPr>
  </w:style>
  <w:style w:type="paragraph" w:styleId="Caption">
    <w:name w:val="caption"/>
    <w:basedOn w:val="Normal"/>
    <w:next w:val="Normal"/>
    <w:uiPriority w:val="35"/>
    <w:unhideWhenUsed/>
    <w:qFormat/>
    <w:rsid w:val="00700108"/>
    <w:pPr>
      <w:spacing w:after="200"/>
    </w:pPr>
    <w:rPr>
      <w:i/>
      <w:iCs/>
      <w:color w:val="1F497D" w:themeColor="text2"/>
      <w:sz w:val="18"/>
      <w:szCs w:val="18"/>
    </w:rPr>
  </w:style>
  <w:style w:type="paragraph" w:styleId="NormalWeb">
    <w:name w:val="Normal (Web)"/>
    <w:basedOn w:val="Normal"/>
    <w:uiPriority w:val="99"/>
    <w:semiHidden/>
    <w:unhideWhenUsed/>
    <w:rsid w:val="00700108"/>
    <w:pPr>
      <w:spacing w:before="100" w:beforeAutospacing="1" w:after="100" w:afterAutospacing="1"/>
    </w:pPr>
    <w:rPr>
      <w:lang w:val="nl-NL" w:eastAsia="nl-NL"/>
    </w:rPr>
  </w:style>
  <w:style w:type="character" w:styleId="Strong">
    <w:name w:val="Strong"/>
    <w:basedOn w:val="DefaultParagraphFont"/>
    <w:uiPriority w:val="22"/>
    <w:qFormat/>
    <w:rsid w:val="00700108"/>
    <w:rPr>
      <w:b/>
      <w:bCs/>
    </w:rPr>
  </w:style>
  <w:style w:type="character" w:customStyle="1" w:styleId="apple-converted-space">
    <w:name w:val="apple-converted-space"/>
    <w:basedOn w:val="DefaultParagraphFont"/>
    <w:rsid w:val="00700108"/>
  </w:style>
  <w:style w:type="paragraph" w:styleId="DocumentMap">
    <w:name w:val="Document Map"/>
    <w:basedOn w:val="Normal"/>
    <w:link w:val="DocumentMapChar"/>
    <w:uiPriority w:val="99"/>
    <w:semiHidden/>
    <w:unhideWhenUsed/>
    <w:rsid w:val="00700108"/>
    <w:rPr>
      <w:rFonts w:ascii="Tahoma" w:hAnsi="Tahoma" w:cs="Tahoma"/>
      <w:sz w:val="16"/>
      <w:szCs w:val="16"/>
    </w:rPr>
  </w:style>
  <w:style w:type="character" w:customStyle="1" w:styleId="DocumentMapChar">
    <w:name w:val="Document Map Char"/>
    <w:basedOn w:val="DefaultParagraphFont"/>
    <w:link w:val="DocumentMap"/>
    <w:uiPriority w:val="99"/>
    <w:semiHidden/>
    <w:rsid w:val="0070010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3@soton.ac.uk" TargetMode="External"/><Relationship Id="rId13" Type="http://schemas.openxmlformats.org/officeDocument/2006/relationships/hyperlink" Target="mailto:n.foster@keele.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yperlink" Target="mailto:rona.moss-morris@kcl.ac.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L.Bishop@southampton.ac.uk"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mailto:george.surtees@doctors.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Little@soton.ac.uk" TargetMode="External"/><Relationship Id="rId14" Type="http://schemas.openxmlformats.org/officeDocument/2006/relationships/hyperlink" Target="mailto:M.Hankins@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46</Pages>
  <Words>10750</Words>
  <Characters>61275</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Flis</dc:creator>
  <cp:lastModifiedBy>Flis</cp:lastModifiedBy>
  <cp:revision>5</cp:revision>
  <dcterms:created xsi:type="dcterms:W3CDTF">2015-03-28T17:49:00Z</dcterms:created>
  <dcterms:modified xsi:type="dcterms:W3CDTF">2015-04-09T14:11:00Z</dcterms:modified>
</cp:coreProperties>
</file>