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15742" w14:textId="77777777" w:rsidR="00D6576A" w:rsidRPr="00D52B58" w:rsidRDefault="00D6576A" w:rsidP="00A61B64">
      <w:pPr>
        <w:spacing w:line="480" w:lineRule="auto"/>
        <w:rPr>
          <w:b/>
        </w:rPr>
      </w:pPr>
      <w:r w:rsidRPr="00D52B58">
        <w:rPr>
          <w:b/>
        </w:rPr>
        <w:t xml:space="preserve">Folic </w:t>
      </w:r>
      <w:r>
        <w:rPr>
          <w:b/>
        </w:rPr>
        <w:t>a</w:t>
      </w:r>
      <w:r w:rsidRPr="00D52B58">
        <w:rPr>
          <w:b/>
        </w:rPr>
        <w:t xml:space="preserve">cid </w:t>
      </w:r>
      <w:r>
        <w:rPr>
          <w:b/>
        </w:rPr>
        <w:t>s</w:t>
      </w:r>
      <w:r w:rsidRPr="00D52B58">
        <w:rPr>
          <w:b/>
        </w:rPr>
        <w:t xml:space="preserve">upplementation </w:t>
      </w:r>
      <w:r>
        <w:rPr>
          <w:b/>
          <w:i/>
        </w:rPr>
        <w:t>i</w:t>
      </w:r>
      <w:r w:rsidRPr="00D52B58">
        <w:rPr>
          <w:b/>
          <w:i/>
        </w:rPr>
        <w:t xml:space="preserve">n </w:t>
      </w:r>
      <w:r>
        <w:rPr>
          <w:b/>
          <w:i/>
        </w:rPr>
        <w:t>v</w:t>
      </w:r>
      <w:r w:rsidRPr="00D52B58">
        <w:rPr>
          <w:b/>
          <w:i/>
        </w:rPr>
        <w:t>itro</w:t>
      </w:r>
      <w:r w:rsidRPr="00D52B58">
        <w:rPr>
          <w:b/>
        </w:rPr>
        <w:t xml:space="preserve"> </w:t>
      </w:r>
      <w:r>
        <w:rPr>
          <w:b/>
        </w:rPr>
        <w:t>i</w:t>
      </w:r>
      <w:r w:rsidRPr="00D52B58">
        <w:rPr>
          <w:b/>
        </w:rPr>
        <w:t xml:space="preserve">nduces </w:t>
      </w:r>
      <w:r>
        <w:rPr>
          <w:b/>
        </w:rPr>
        <w:t>c</w:t>
      </w:r>
      <w:r w:rsidRPr="00D52B58">
        <w:rPr>
          <w:b/>
        </w:rPr>
        <w:t xml:space="preserve">ell </w:t>
      </w:r>
      <w:r>
        <w:rPr>
          <w:b/>
        </w:rPr>
        <w:t>t</w:t>
      </w:r>
      <w:r w:rsidRPr="00D52B58">
        <w:rPr>
          <w:b/>
        </w:rPr>
        <w:t>ype-</w:t>
      </w:r>
      <w:r>
        <w:rPr>
          <w:b/>
        </w:rPr>
        <w:t>s</w:t>
      </w:r>
      <w:r w:rsidRPr="00D52B58">
        <w:rPr>
          <w:b/>
        </w:rPr>
        <w:t xml:space="preserve">pecific </w:t>
      </w:r>
      <w:r>
        <w:rPr>
          <w:b/>
        </w:rPr>
        <w:t>c</w:t>
      </w:r>
      <w:r w:rsidRPr="00D52B58">
        <w:rPr>
          <w:b/>
        </w:rPr>
        <w:t xml:space="preserve">hanges </w:t>
      </w:r>
      <w:r>
        <w:rPr>
          <w:b/>
        </w:rPr>
        <w:t xml:space="preserve">in </w:t>
      </w:r>
      <w:r w:rsidRPr="00D52B58">
        <w:rPr>
          <w:b/>
        </w:rPr>
        <w:t xml:space="preserve">BRCA1 and BRCA 2 mRNA </w:t>
      </w:r>
      <w:r>
        <w:rPr>
          <w:b/>
        </w:rPr>
        <w:t>E</w:t>
      </w:r>
      <w:r w:rsidRPr="00D52B58">
        <w:rPr>
          <w:b/>
        </w:rPr>
        <w:t xml:space="preserve">xpression, but does not alter DNA </w:t>
      </w:r>
      <w:r>
        <w:rPr>
          <w:b/>
        </w:rPr>
        <w:t>m</w:t>
      </w:r>
      <w:r w:rsidRPr="00D52B58">
        <w:rPr>
          <w:b/>
        </w:rPr>
        <w:t xml:space="preserve">ethylation of </w:t>
      </w:r>
      <w:r>
        <w:rPr>
          <w:b/>
        </w:rPr>
        <w:t>t</w:t>
      </w:r>
      <w:r w:rsidRPr="00D52B58">
        <w:rPr>
          <w:b/>
        </w:rPr>
        <w:t xml:space="preserve">heir </w:t>
      </w:r>
      <w:r>
        <w:rPr>
          <w:b/>
        </w:rPr>
        <w:t>p</w:t>
      </w:r>
      <w:r w:rsidRPr="00D52B58">
        <w:rPr>
          <w:b/>
        </w:rPr>
        <w:t>romoters</w:t>
      </w:r>
      <w:r>
        <w:rPr>
          <w:b/>
        </w:rPr>
        <w:t xml:space="preserve"> or DNA repair</w:t>
      </w:r>
      <w:r w:rsidRPr="00221827">
        <w:rPr>
          <w:b/>
          <w:color w:val="000000"/>
          <w:vertAlign w:val="superscript"/>
        </w:rPr>
        <w:t>§</w:t>
      </w:r>
    </w:p>
    <w:p w14:paraId="30AD6195" w14:textId="77777777" w:rsidR="00D6576A" w:rsidRPr="00D52B58" w:rsidRDefault="00D6576A" w:rsidP="00A61B64">
      <w:pPr>
        <w:spacing w:line="480" w:lineRule="auto"/>
      </w:pPr>
    </w:p>
    <w:p w14:paraId="06856C78" w14:textId="77777777" w:rsidR="00D6576A" w:rsidRPr="00707C88" w:rsidRDefault="00D6576A" w:rsidP="00A61B64">
      <w:pPr>
        <w:spacing w:line="480" w:lineRule="auto"/>
        <w:rPr>
          <w:i/>
        </w:rPr>
      </w:pPr>
      <w:r w:rsidRPr="00707C88">
        <w:rPr>
          <w:i/>
        </w:rPr>
        <w:t>R. Jordan Price</w:t>
      </w:r>
      <w:r w:rsidRPr="00707C88">
        <w:rPr>
          <w:i/>
          <w:vertAlign w:val="superscript"/>
        </w:rPr>
        <w:t>a</w:t>
      </w:r>
      <w:r w:rsidRPr="00707C88">
        <w:rPr>
          <w:i/>
        </w:rPr>
        <w:t>, Karen A. Lillycrop</w:t>
      </w:r>
      <w:r w:rsidRPr="00707C88">
        <w:rPr>
          <w:i/>
          <w:vertAlign w:val="superscript"/>
        </w:rPr>
        <w:t>b</w:t>
      </w:r>
      <w:r w:rsidRPr="00707C88">
        <w:rPr>
          <w:i/>
        </w:rPr>
        <w:t>, Graham C. Burdge</w:t>
      </w:r>
      <w:r w:rsidRPr="00707C88">
        <w:rPr>
          <w:i/>
          <w:vertAlign w:val="superscript"/>
        </w:rPr>
        <w:t>a</w:t>
      </w:r>
      <w:r w:rsidRPr="00707C88">
        <w:rPr>
          <w:i/>
        </w:rPr>
        <w:t>*</w:t>
      </w:r>
    </w:p>
    <w:p w14:paraId="479EFB2E" w14:textId="77777777" w:rsidR="00D6576A" w:rsidRDefault="00D6576A" w:rsidP="00A61B64">
      <w:pPr>
        <w:spacing w:line="480" w:lineRule="auto"/>
        <w:rPr>
          <w:i/>
        </w:rPr>
      </w:pPr>
    </w:p>
    <w:p w14:paraId="3916E768" w14:textId="77777777" w:rsidR="00D6576A" w:rsidRDefault="00D6576A" w:rsidP="00A61B64">
      <w:pPr>
        <w:spacing w:line="480" w:lineRule="auto"/>
        <w:rPr>
          <w:i/>
        </w:rPr>
      </w:pPr>
      <w:r w:rsidRPr="00221827">
        <w:rPr>
          <w:i/>
          <w:vertAlign w:val="superscript"/>
        </w:rPr>
        <w:t>a</w:t>
      </w:r>
      <w:r w:rsidRPr="00153E13">
        <w:rPr>
          <w:i/>
        </w:rPr>
        <w:t xml:space="preserve">Academic Unit of Human Health and Development, Faculty of Medicine University of Southampton, Southampton, UK. </w:t>
      </w:r>
    </w:p>
    <w:p w14:paraId="3EB85680" w14:textId="77777777" w:rsidR="00D6576A" w:rsidRPr="001F5281" w:rsidRDefault="00D6576A" w:rsidP="00A61B64">
      <w:pPr>
        <w:spacing w:line="480" w:lineRule="auto"/>
      </w:pPr>
      <w:r w:rsidRPr="00221827">
        <w:rPr>
          <w:i/>
          <w:vertAlign w:val="superscript"/>
        </w:rPr>
        <w:t>b</w:t>
      </w:r>
      <w:r w:rsidRPr="00153E13">
        <w:rPr>
          <w:i/>
        </w:rPr>
        <w:t>Centre for Biological Sciences, Faculty of Natural and Environmental Sciences, University of Southampton, Southampton, UK</w:t>
      </w:r>
      <w:r w:rsidRPr="001F5281">
        <w:t>.</w:t>
      </w:r>
    </w:p>
    <w:p w14:paraId="40DB3E8C" w14:textId="77777777" w:rsidR="00D6576A" w:rsidRDefault="00D6576A" w:rsidP="00A61B64">
      <w:pPr>
        <w:spacing w:line="480" w:lineRule="auto"/>
      </w:pPr>
    </w:p>
    <w:p w14:paraId="35FB56BA" w14:textId="77777777" w:rsidR="00D6576A" w:rsidRDefault="00D6576A" w:rsidP="00A61B64">
      <w:pPr>
        <w:spacing w:line="480" w:lineRule="auto"/>
      </w:pPr>
      <w:r w:rsidRPr="00D52B58">
        <w:t>*Correspond</w:t>
      </w:r>
      <w:r>
        <w:t xml:space="preserve">ing author at:- </w:t>
      </w:r>
      <w:r w:rsidRPr="00D52B58">
        <w:t>Institute of Developmental Sciences Building (MP887), Academic Unit of Human Health and Development, Faculty of Medicine, University of Southampton, Southampton General Hospital, Tremona Road, Southampton, SO16 6YD, UK</w:t>
      </w:r>
      <w:r>
        <w:t>.</w:t>
      </w:r>
      <w:r w:rsidRPr="00D52B58">
        <w:t xml:space="preserve"> Tel</w:t>
      </w:r>
      <w:r>
        <w:t>:</w:t>
      </w:r>
      <w:r w:rsidRPr="00D52B58">
        <w:t xml:space="preserve"> +44(0)2380795259; Fax</w:t>
      </w:r>
      <w:r>
        <w:t>:</w:t>
      </w:r>
      <w:r w:rsidRPr="00D52B58">
        <w:t xml:space="preserve"> +44(0)23804221; </w:t>
      </w:r>
      <w:r w:rsidRPr="0012429D">
        <w:t>E-mail address:</w:t>
      </w:r>
      <w:r w:rsidRPr="00123446">
        <w:rPr>
          <w:i/>
        </w:rPr>
        <w:t xml:space="preserve"> </w:t>
      </w:r>
      <w:r w:rsidRPr="00123446">
        <w:t>g.c.burdge@soton.ac.uk</w:t>
      </w:r>
      <w:r>
        <w:t xml:space="preserve">  </w:t>
      </w:r>
    </w:p>
    <w:p w14:paraId="65BC35FF" w14:textId="77777777" w:rsidR="00001EED" w:rsidRDefault="00001EED" w:rsidP="00A61B64">
      <w:pPr>
        <w:spacing w:line="480" w:lineRule="auto"/>
      </w:pPr>
    </w:p>
    <w:p w14:paraId="063AFD8F" w14:textId="1DBB496D" w:rsidR="00D6576A" w:rsidRPr="00221827" w:rsidRDefault="00D6576A" w:rsidP="00A61B64">
      <w:pPr>
        <w:spacing w:line="480" w:lineRule="auto"/>
        <w:rPr>
          <w:vertAlign w:val="superscript"/>
        </w:rPr>
      </w:pPr>
      <w:r w:rsidRPr="00221827">
        <w:rPr>
          <w:b/>
          <w:color w:val="000000"/>
          <w:vertAlign w:val="superscript"/>
        </w:rPr>
        <w:t>§</w:t>
      </w:r>
      <w:r w:rsidRPr="00221827">
        <w:rPr>
          <w:color w:val="000000"/>
        </w:rPr>
        <w:t>This work as supported by</w:t>
      </w:r>
      <w:r w:rsidRPr="00221827">
        <w:rPr>
          <w:b/>
          <w:color w:val="000000"/>
        </w:rPr>
        <w:t xml:space="preserve"> </w:t>
      </w:r>
      <w:r w:rsidRPr="00221827">
        <w:rPr>
          <w:rFonts w:eastAsia="MS Gothic"/>
          <w:color w:val="000000"/>
          <w:lang w:val="en-US"/>
        </w:rPr>
        <w:t>an award (</w:t>
      </w:r>
      <w:r w:rsidRPr="00221827">
        <w:t xml:space="preserve">2011/42) </w:t>
      </w:r>
      <w:r w:rsidRPr="00221827">
        <w:rPr>
          <w:rFonts w:eastAsia="MS Gothic"/>
          <w:color w:val="000000"/>
          <w:lang w:val="en-US"/>
        </w:rPr>
        <w:t xml:space="preserve">by the </w:t>
      </w:r>
      <w:r w:rsidRPr="00221827">
        <w:rPr>
          <w:lang w:val="en-US"/>
        </w:rPr>
        <w:t>World cancer Research Fund UK (WCRF UK)</w:t>
      </w:r>
      <w:r w:rsidRPr="00221827">
        <w:rPr>
          <w:rFonts w:eastAsia="MS Gothic"/>
          <w:color w:val="000000"/>
          <w:lang w:val="en-US"/>
        </w:rPr>
        <w:t xml:space="preserve"> to GCB and KAL</w:t>
      </w:r>
      <w:r>
        <w:rPr>
          <w:rFonts w:eastAsia="MS Gothic"/>
          <w:color w:val="000000"/>
          <w:lang w:val="en-US"/>
        </w:rPr>
        <w:t>.</w:t>
      </w:r>
    </w:p>
    <w:p w14:paraId="201DFE37" w14:textId="77777777" w:rsidR="00D6576A" w:rsidRPr="00D52B58" w:rsidRDefault="00D6576A"/>
    <w:p w14:paraId="39AE3E5A" w14:textId="77777777" w:rsidR="00D6576A" w:rsidRPr="00D52B58" w:rsidRDefault="00D6576A">
      <w:r w:rsidRPr="00D52B58">
        <w:br w:type="page"/>
      </w:r>
    </w:p>
    <w:p w14:paraId="6C9AC946" w14:textId="77777777" w:rsidR="00D6576A" w:rsidRDefault="00D6576A" w:rsidP="00A61B64">
      <w:pPr>
        <w:spacing w:line="480" w:lineRule="auto"/>
        <w:rPr>
          <w:b/>
        </w:rPr>
      </w:pPr>
      <w:r>
        <w:rPr>
          <w:b/>
        </w:rPr>
        <w:lastRenderedPageBreak/>
        <w:t>ABSTRACT</w:t>
      </w:r>
    </w:p>
    <w:p w14:paraId="092886AF" w14:textId="77777777" w:rsidR="00D6576A" w:rsidRPr="009D2E9A" w:rsidRDefault="00D6576A" w:rsidP="00A61B64">
      <w:pPr>
        <w:spacing w:line="480" w:lineRule="auto"/>
      </w:pPr>
      <w:r w:rsidRPr="00EF2241">
        <w:t>Dietary supplementation with folic acid (FA) has been shown to induce opposing effects on cancer-related outcomes. The mechanism underlying such heterogeneity is unclear. We hypothesized that FA supplementation induces changes in breast cancer-associated (BRCA) genes 1 and 2 expression and function through altered epigenetic regulation in a cell-type dependent manner. We investigated the effect of treating normal and cancer cells with physiologically-relevant FA concentrations on the mRNA and protein expression, capacity for DNA repair and DNA methylation of BRCA1 and 2. FA treatment induced dose-related increases in BRCA1 mRNA expression in HepG2, Huh-7D12, Hs578T, and JURKAT and in BRCA2 in HepG2, Hs578T, MCF7 and MDA-MB-157 cells. FA did not affect the corresponding normal cells or on any of the ovarian cell lines. FA induced increased BRCA1 protein expression in Hs578T, but not HepG2 cells, while BRCA2 protein levels were undetectable. FA treatment did not alter DNA repair in liver-derived cells, while there were transient effects on breast-derived cells</w:t>
      </w:r>
      <w:r w:rsidRPr="009D2E9A">
        <w:t xml:space="preserve">. There was no effect of FA treatment on BRCA1 or BRCA2 DNA methylation, although there was some variation in the methylation of specific CpG loci between some cell lines. Overall, these findings show that the effects of FA on BRCA-related outcomes differ between cells lines, but the biological consequences of induced changes in BRCA expression appear to be at most limited. </w:t>
      </w:r>
    </w:p>
    <w:p w14:paraId="72C38B9D" w14:textId="77777777" w:rsidR="00D6576A" w:rsidRPr="00514A3A" w:rsidRDefault="00D6576A" w:rsidP="00A61B64">
      <w:pPr>
        <w:spacing w:line="480" w:lineRule="auto"/>
      </w:pPr>
    </w:p>
    <w:p w14:paraId="52CFEE09" w14:textId="77777777" w:rsidR="00D6576A" w:rsidRDefault="00D6576A" w:rsidP="00A61B64">
      <w:pPr>
        <w:spacing w:line="480" w:lineRule="auto"/>
        <w:rPr>
          <w:b/>
        </w:rPr>
      </w:pPr>
    </w:p>
    <w:p w14:paraId="0DEBAD9C" w14:textId="77777777" w:rsidR="00D6576A" w:rsidRPr="00BF055B" w:rsidRDefault="00D6576A" w:rsidP="00A61B64">
      <w:pPr>
        <w:spacing w:line="480" w:lineRule="auto"/>
      </w:pPr>
      <w:r w:rsidRPr="00BF055B">
        <w:rPr>
          <w:i/>
        </w:rPr>
        <w:t xml:space="preserve">Abbreviations: </w:t>
      </w:r>
      <w:r>
        <w:rPr>
          <w:i/>
        </w:rPr>
        <w:t xml:space="preserve">ECCAC, European collection of animal cell cultures; </w:t>
      </w:r>
      <w:r w:rsidRPr="00BF055B">
        <w:rPr>
          <w:i/>
        </w:rPr>
        <w:t xml:space="preserve">EGF, </w:t>
      </w:r>
      <w:r w:rsidRPr="00BF055B">
        <w:rPr>
          <w:rFonts w:eastAsia="Times New Roman"/>
          <w:iCs/>
        </w:rPr>
        <w:t xml:space="preserve">epidermal growth factor; </w:t>
      </w:r>
      <w:r w:rsidRPr="00BF055B">
        <w:rPr>
          <w:i/>
        </w:rPr>
        <w:t xml:space="preserve">BRCA, breast cancer-associated gene;  </w:t>
      </w:r>
      <w:r w:rsidRPr="00BF055B">
        <w:t>FA, folic acid</w:t>
      </w:r>
      <w:r>
        <w:t xml:space="preserve">; FBS, fetal bovine serum; PBMC, </w:t>
      </w:r>
      <w:r w:rsidRPr="00D52B58">
        <w:rPr>
          <w:rFonts w:eastAsia="Times New Roman"/>
        </w:rPr>
        <w:t>peripheral blood mononuclear cells</w:t>
      </w:r>
      <w:r>
        <w:rPr>
          <w:rFonts w:eastAsia="Times New Roman"/>
        </w:rPr>
        <w:t xml:space="preserve">; </w:t>
      </w:r>
    </w:p>
    <w:p w14:paraId="256FE116" w14:textId="77777777" w:rsidR="00D6576A" w:rsidRDefault="00D6576A" w:rsidP="00A61B64">
      <w:pPr>
        <w:spacing w:line="480" w:lineRule="auto"/>
      </w:pPr>
    </w:p>
    <w:p w14:paraId="501AD14C" w14:textId="77777777" w:rsidR="00D6576A" w:rsidRDefault="00D6576A" w:rsidP="00A61B64">
      <w:pPr>
        <w:spacing w:line="480" w:lineRule="auto"/>
      </w:pPr>
      <w:r w:rsidRPr="0052055F">
        <w:rPr>
          <w:i/>
        </w:rPr>
        <w:t>Key words</w:t>
      </w:r>
      <w:r>
        <w:t xml:space="preserve">: BRCA; folic acid; cancer; gene expression; DNA methylation; DNA repair </w:t>
      </w:r>
      <w:r>
        <w:br w:type="page"/>
      </w:r>
    </w:p>
    <w:p w14:paraId="2FDC3550" w14:textId="77777777" w:rsidR="00D6576A" w:rsidRPr="00221827" w:rsidRDefault="00D6576A" w:rsidP="00A61B64">
      <w:pPr>
        <w:spacing w:line="480" w:lineRule="auto"/>
        <w:rPr>
          <w:b/>
        </w:rPr>
      </w:pPr>
      <w:r>
        <w:rPr>
          <w:b/>
        </w:rPr>
        <w:t>1.</w:t>
      </w:r>
      <w:r>
        <w:rPr>
          <w:b/>
        </w:rPr>
        <w:tab/>
      </w:r>
      <w:r w:rsidRPr="00221827">
        <w:rPr>
          <w:b/>
        </w:rPr>
        <w:t>INTRODUCTION</w:t>
      </w:r>
    </w:p>
    <w:p w14:paraId="2DF61CB3" w14:textId="77777777" w:rsidR="00D6576A" w:rsidRPr="00D52B58" w:rsidRDefault="00D6576A" w:rsidP="00A61B64">
      <w:pPr>
        <w:spacing w:line="480" w:lineRule="auto"/>
      </w:pPr>
      <w:r w:rsidRPr="00D52B58">
        <w:t>Folic acid (FA) is the synthetic form of folate that is used widely as a nutritional supplement or in dietary fortification.</w:t>
      </w:r>
      <w:r>
        <w:t xml:space="preserve"> </w:t>
      </w:r>
      <w:r w:rsidRPr="00D52B58">
        <w:rPr>
          <w:rFonts w:eastAsia="Times New Roman"/>
        </w:rPr>
        <w:t xml:space="preserve">The effect of </w:t>
      </w:r>
      <w:r>
        <w:rPr>
          <w:rFonts w:eastAsia="Times New Roman"/>
        </w:rPr>
        <w:t>FA</w:t>
      </w:r>
      <w:r w:rsidRPr="00D52B58">
        <w:rPr>
          <w:rFonts w:eastAsia="Times New Roman"/>
        </w:rPr>
        <w:t xml:space="preserve"> on cancer risk is unclear and there are conflicting reports that suggest that FA intake is either associated with increased or decreased risk of cancer, in particular colorectal cancer </w:t>
      </w:r>
      <w:r>
        <w:rPr>
          <w:rFonts w:eastAsia="Times New Roman"/>
          <w:noProof/>
        </w:rPr>
        <w:t>[1]</w:t>
      </w:r>
      <w:r w:rsidRPr="00D52B58">
        <w:rPr>
          <w:rFonts w:eastAsia="Times New Roman"/>
        </w:rPr>
        <w:t>.</w:t>
      </w:r>
      <w:r>
        <w:rPr>
          <w:rFonts w:eastAsia="Times New Roman"/>
        </w:rPr>
        <w:t xml:space="preserve"> </w:t>
      </w:r>
      <w:r w:rsidRPr="00D52B58">
        <w:rPr>
          <w:rFonts w:eastAsia="Times New Roman"/>
        </w:rPr>
        <w:t xml:space="preserve">FA fortification </w:t>
      </w:r>
      <w:r>
        <w:rPr>
          <w:rFonts w:eastAsia="Times New Roman"/>
        </w:rPr>
        <w:t xml:space="preserve">has been associated with a lower </w:t>
      </w:r>
      <w:r w:rsidRPr="00D52B58">
        <w:rPr>
          <w:rFonts w:eastAsia="Times New Roman"/>
        </w:rPr>
        <w:t>incidence of neuroblastoma</w:t>
      </w:r>
      <w:r>
        <w:rPr>
          <w:rFonts w:eastAsia="Times New Roman"/>
        </w:rPr>
        <w:t xml:space="preserve">, </w:t>
      </w:r>
      <w:r w:rsidRPr="00D52B58">
        <w:rPr>
          <w:rFonts w:eastAsia="Times New Roman"/>
        </w:rPr>
        <w:t xml:space="preserve">but had no effect on lymphoblastic leukaemia or hepatoblastoma </w:t>
      </w:r>
      <w:r>
        <w:rPr>
          <w:rFonts w:eastAsia="Times New Roman"/>
          <w:noProof/>
        </w:rPr>
        <w:t>[2]</w:t>
      </w:r>
      <w:r w:rsidRPr="00D52B58">
        <w:rPr>
          <w:rFonts w:eastAsia="Times New Roman"/>
        </w:rPr>
        <w:t>. Maternal FA intake has been associated negatively with risk of childhood neuroectodermal tumou</w:t>
      </w:r>
      <w:r>
        <w:rPr>
          <w:rFonts w:eastAsia="Times New Roman"/>
        </w:rPr>
        <w:t>r</w:t>
      </w:r>
      <w:r w:rsidRPr="00D52B58">
        <w:rPr>
          <w:rFonts w:eastAsia="Times New Roman"/>
        </w:rPr>
        <w:t xml:space="preserve">s </w:t>
      </w:r>
      <w:r>
        <w:rPr>
          <w:rFonts w:eastAsia="Times New Roman"/>
          <w:noProof/>
        </w:rPr>
        <w:t>[3]</w:t>
      </w:r>
      <w:r w:rsidRPr="00D52B58">
        <w:rPr>
          <w:rFonts w:eastAsia="Times New Roman"/>
        </w:rPr>
        <w:t xml:space="preserve"> and neuroblastoma </w:t>
      </w:r>
      <w:r>
        <w:rPr>
          <w:rFonts w:eastAsia="Times New Roman"/>
          <w:noProof/>
        </w:rPr>
        <w:t>[4]</w:t>
      </w:r>
      <w:r w:rsidRPr="00D52B58">
        <w:rPr>
          <w:rFonts w:eastAsia="Times New Roman"/>
        </w:rPr>
        <w:t>.</w:t>
      </w:r>
      <w:r>
        <w:rPr>
          <w:rFonts w:eastAsia="Times New Roman"/>
        </w:rPr>
        <w:t xml:space="preserve">  </w:t>
      </w:r>
      <w:r w:rsidRPr="00D52B58">
        <w:rPr>
          <w:rFonts w:eastAsia="Times New Roman"/>
        </w:rPr>
        <w:t xml:space="preserve">In adults, supplementation with 5mg FA/day for reduced reoccurrence of adenomas by 56% </w:t>
      </w:r>
      <w:r>
        <w:rPr>
          <w:rFonts w:eastAsia="Times New Roman"/>
          <w:noProof/>
        </w:rPr>
        <w:t>[5]</w:t>
      </w:r>
      <w:r w:rsidRPr="00D52B58">
        <w:rPr>
          <w:rFonts w:eastAsia="Times New Roman"/>
        </w:rPr>
        <w:t xml:space="preserve"> compared to placebo, while co-supplementation of FA and aspirin had no significant effect on reoccurrence </w:t>
      </w:r>
      <w:r>
        <w:rPr>
          <w:rFonts w:eastAsia="Times New Roman"/>
          <w:noProof/>
        </w:rPr>
        <w:t>[6, 7]</w:t>
      </w:r>
      <w:r w:rsidRPr="00D52B58">
        <w:rPr>
          <w:rFonts w:eastAsia="Times New Roman"/>
        </w:rPr>
        <w:t>.</w:t>
      </w:r>
      <w:r>
        <w:rPr>
          <w:rFonts w:eastAsia="Times New Roman"/>
        </w:rPr>
        <w:t xml:space="preserve"> </w:t>
      </w:r>
      <w:r w:rsidRPr="00D52B58">
        <w:rPr>
          <w:rFonts w:eastAsia="Times New Roman"/>
        </w:rPr>
        <w:t xml:space="preserve">The extent to which such effects are associative rather than causal is unclear </w:t>
      </w:r>
      <w:r>
        <w:rPr>
          <w:rFonts w:eastAsia="Times New Roman"/>
          <w:noProof/>
        </w:rPr>
        <w:t>[8]</w:t>
      </w:r>
      <w:r w:rsidRPr="00D52B58">
        <w:rPr>
          <w:rFonts w:eastAsia="Times New Roman"/>
        </w:rPr>
        <w:t>.</w:t>
      </w:r>
      <w:r>
        <w:rPr>
          <w:rFonts w:eastAsia="Times New Roman"/>
        </w:rPr>
        <w:t xml:space="preserve"> </w:t>
      </w:r>
      <w:r w:rsidRPr="00D52B58">
        <w:rPr>
          <w:rFonts w:eastAsia="Times New Roman"/>
        </w:rPr>
        <w:t xml:space="preserve">Furthermore, the incidence of colorectal cancer in the United States of America and Canada appeared to increase transiently following the introduction of mandatory FA fortification </w:t>
      </w:r>
      <w:r>
        <w:rPr>
          <w:rFonts w:eastAsia="Times New Roman"/>
          <w:noProof/>
        </w:rPr>
        <w:t>[9]</w:t>
      </w:r>
      <w:r w:rsidRPr="00D52B58">
        <w:rPr>
          <w:rFonts w:eastAsia="Times New Roman"/>
        </w:rPr>
        <w:t>.</w:t>
      </w:r>
      <w:r>
        <w:rPr>
          <w:rFonts w:eastAsia="Times New Roman"/>
        </w:rPr>
        <w:t xml:space="preserve"> </w:t>
      </w:r>
      <w:r w:rsidRPr="00D52B58">
        <w:rPr>
          <w:rFonts w:eastAsia="Times New Roman"/>
        </w:rPr>
        <w:t>This positive association between FA and risk of colon cancer is supported by</w:t>
      </w:r>
      <w:r>
        <w:rPr>
          <w:rFonts w:eastAsia="Times New Roman"/>
        </w:rPr>
        <w:t xml:space="preserve"> an</w:t>
      </w:r>
      <w:r w:rsidRPr="00D52B58">
        <w:rPr>
          <w:rFonts w:eastAsia="Times New Roman"/>
        </w:rPr>
        <w:t xml:space="preserve"> increase in incidence by 2.6 to 2.9 between pre and post introduction of FA fortification in Chile </w:t>
      </w:r>
      <w:r>
        <w:rPr>
          <w:rFonts w:eastAsia="Times New Roman"/>
          <w:noProof/>
        </w:rPr>
        <w:t>[10]</w:t>
      </w:r>
      <w:r w:rsidRPr="00D52B58">
        <w:rPr>
          <w:rFonts w:eastAsia="Times New Roman"/>
        </w:rPr>
        <w:t>.</w:t>
      </w:r>
      <w:r>
        <w:rPr>
          <w:rFonts w:eastAsia="Times New Roman"/>
        </w:rPr>
        <w:t xml:space="preserve"> </w:t>
      </w:r>
      <w:r w:rsidRPr="00D52B58">
        <w:rPr>
          <w:rFonts w:eastAsia="Times New Roman"/>
        </w:rPr>
        <w:t>In contrast, FA intake was negative</w:t>
      </w:r>
      <w:r>
        <w:rPr>
          <w:rFonts w:eastAsia="Times New Roman"/>
        </w:rPr>
        <w:t>ly</w:t>
      </w:r>
      <w:r w:rsidRPr="00D52B58">
        <w:rPr>
          <w:rFonts w:eastAsia="Times New Roman"/>
        </w:rPr>
        <w:t xml:space="preserve"> associated with colorectal cancer risk in a case-cohort study of 5,629 women </w:t>
      </w:r>
      <w:r>
        <w:rPr>
          <w:rFonts w:eastAsia="Times New Roman"/>
          <w:noProof/>
        </w:rPr>
        <w:t>[11]</w:t>
      </w:r>
      <w:r w:rsidRPr="00D52B58">
        <w:rPr>
          <w:rFonts w:eastAsia="Times New Roman"/>
        </w:rPr>
        <w:t>.</w:t>
      </w:r>
      <w:r>
        <w:rPr>
          <w:rFonts w:eastAsia="Times New Roman"/>
        </w:rPr>
        <w:t xml:space="preserve"> </w:t>
      </w:r>
      <w:r w:rsidRPr="00D52B58">
        <w:rPr>
          <w:rFonts w:eastAsia="Times New Roman"/>
        </w:rPr>
        <w:t xml:space="preserve">A meta-analysis of randomised controlled trials of FA supplementation based on thirteen studies failed to show a significant effect on total cancer incidence, or the incidence of specific cancers </w:t>
      </w:r>
      <w:r>
        <w:rPr>
          <w:rFonts w:eastAsia="Times New Roman"/>
          <w:noProof/>
        </w:rPr>
        <w:t>[12]</w:t>
      </w:r>
      <w:r w:rsidRPr="00D52B58">
        <w:rPr>
          <w:rFonts w:eastAsia="Times New Roman"/>
        </w:rPr>
        <w:t>.</w:t>
      </w:r>
      <w:r>
        <w:rPr>
          <w:rFonts w:eastAsia="Times New Roman"/>
        </w:rPr>
        <w:t xml:space="preserve"> </w:t>
      </w:r>
      <w:r w:rsidRPr="00D52B58">
        <w:rPr>
          <w:rFonts w:eastAsia="Times New Roman"/>
        </w:rPr>
        <w:t xml:space="preserve">Women who received a supplement containing FA and vitamins B12 and B6 showed reduction in risk of total invasive cancer and of breast cancer, although these effects were not statistically significant </w:t>
      </w:r>
      <w:r>
        <w:rPr>
          <w:rFonts w:eastAsia="Times New Roman"/>
          <w:noProof/>
        </w:rPr>
        <w:t>[13]</w:t>
      </w:r>
      <w:r w:rsidRPr="00D52B58">
        <w:rPr>
          <w:rFonts w:eastAsia="Times New Roman"/>
        </w:rPr>
        <w:t>.</w:t>
      </w:r>
      <w:r>
        <w:rPr>
          <w:rFonts w:eastAsia="Times New Roman"/>
        </w:rPr>
        <w:t xml:space="preserve">  </w:t>
      </w:r>
      <w:r w:rsidRPr="00D52B58">
        <w:rPr>
          <w:rFonts w:eastAsia="Times New Roman"/>
        </w:rPr>
        <w:t xml:space="preserve">While such heterogeneity may reflect differences between study cohorts and between the design of the intervention, </w:t>
      </w:r>
      <w:r>
        <w:rPr>
          <w:rFonts w:eastAsia="Times New Roman"/>
        </w:rPr>
        <w:t xml:space="preserve">and level of FA given </w:t>
      </w:r>
      <w:r w:rsidRPr="00D52B58">
        <w:rPr>
          <w:rFonts w:eastAsia="Times New Roman"/>
        </w:rPr>
        <w:t>is also possible that different tissues or cancer subtypes may differ in their response to FA.</w:t>
      </w:r>
    </w:p>
    <w:p w14:paraId="55B7C250" w14:textId="77777777" w:rsidR="00D6576A" w:rsidRPr="00D52B58" w:rsidRDefault="00D6576A" w:rsidP="00A61B64">
      <w:pPr>
        <w:widowControl w:val="0"/>
        <w:autoSpaceDE w:val="0"/>
        <w:autoSpaceDN w:val="0"/>
        <w:adjustRightInd w:val="0"/>
        <w:spacing w:line="480" w:lineRule="auto"/>
        <w:ind w:firstLine="720"/>
      </w:pPr>
      <w:r w:rsidRPr="00D52B58">
        <w:rPr>
          <w:rFonts w:eastAsia="Times New Roman"/>
        </w:rPr>
        <w:t>Tetrahydrofolate is the biologically active metabolite of FA and is a co-factor for the rate limiting reaction in the supply of methyl groups to the homocysteine/ methionine remethylation cycle in which DNA is a terminal acceptor.</w:t>
      </w:r>
      <w:r>
        <w:rPr>
          <w:rFonts w:eastAsia="Times New Roman"/>
        </w:rPr>
        <w:t xml:space="preserve"> </w:t>
      </w:r>
      <w:r w:rsidRPr="00D52B58">
        <w:rPr>
          <w:rFonts w:eastAsia="Times New Roman"/>
        </w:rPr>
        <w:t xml:space="preserve">Epigenetic regulation of transcription by DNA methylation involves differential methylation of CpG dinucleotides in gene promoters as well as covalent modifications of histones and </w:t>
      </w:r>
      <w:r>
        <w:rPr>
          <w:rFonts w:eastAsia="Times New Roman"/>
        </w:rPr>
        <w:t xml:space="preserve">non-coding </w:t>
      </w:r>
      <w:r w:rsidRPr="00D52B58">
        <w:rPr>
          <w:rFonts w:eastAsia="Times New Roman"/>
        </w:rPr>
        <w:t xml:space="preserve">RNAs </w:t>
      </w:r>
      <w:r>
        <w:rPr>
          <w:rFonts w:eastAsia="Times New Roman"/>
          <w:noProof/>
        </w:rPr>
        <w:t>[14]</w:t>
      </w:r>
      <w:r w:rsidRPr="00D52B58">
        <w:rPr>
          <w:rFonts w:eastAsia="Times New Roman"/>
        </w:rPr>
        <w:t>.</w:t>
      </w:r>
      <w:r>
        <w:rPr>
          <w:rFonts w:eastAsia="Times New Roman"/>
        </w:rPr>
        <w:t xml:space="preserve"> </w:t>
      </w:r>
      <w:r w:rsidRPr="00D52B58">
        <w:rPr>
          <w:rFonts w:eastAsia="Times New Roman"/>
        </w:rPr>
        <w:t>Methylation of gene promoters is a relatively stable epigenetic mark that is induced during development.</w:t>
      </w:r>
      <w:r>
        <w:rPr>
          <w:rFonts w:eastAsia="Times New Roman"/>
        </w:rPr>
        <w:t xml:space="preserve"> However, s</w:t>
      </w:r>
      <w:r w:rsidRPr="00D52B58">
        <w:rPr>
          <w:rFonts w:eastAsia="Times New Roman"/>
        </w:rPr>
        <w:t xml:space="preserve">ome genes retain epigenetic plasticity beyond early development and are susceptible to interventions in later life, including folic acid intake </w:t>
      </w:r>
      <w:r>
        <w:rPr>
          <w:rFonts w:eastAsia="Times New Roman"/>
          <w:noProof/>
        </w:rPr>
        <w:t>[15]</w:t>
      </w:r>
      <w:r w:rsidRPr="00D52B58">
        <w:rPr>
          <w:rFonts w:eastAsia="Times New Roman"/>
        </w:rPr>
        <w:t>.</w:t>
      </w:r>
      <w:r>
        <w:rPr>
          <w:rFonts w:eastAsia="Times New Roman"/>
        </w:rPr>
        <w:t xml:space="preserve"> </w:t>
      </w:r>
      <w:r w:rsidRPr="00D52B58">
        <w:rPr>
          <w:rFonts w:eastAsia="Times New Roman"/>
        </w:rPr>
        <w:t>Furthermore, aging is associated with carcinogenesis</w:t>
      </w:r>
      <w:r>
        <w:rPr>
          <w:rFonts w:eastAsia="Times New Roman"/>
        </w:rPr>
        <w:t xml:space="preserve"> with both global hypomethylation and </w:t>
      </w:r>
      <w:r w:rsidRPr="00D52B58">
        <w:rPr>
          <w:rFonts w:eastAsia="Times New Roman"/>
        </w:rPr>
        <w:t xml:space="preserve">hypermethylation of tumour suppressor genes </w:t>
      </w:r>
      <w:r>
        <w:rPr>
          <w:rFonts w:eastAsia="Times New Roman"/>
          <w:noProof/>
        </w:rPr>
        <w:t>[16]</w:t>
      </w:r>
      <w:r w:rsidRPr="00D52B58">
        <w:rPr>
          <w:rFonts w:eastAsia="Times New Roman"/>
        </w:rPr>
        <w:t>.</w:t>
      </w:r>
      <w:r>
        <w:rPr>
          <w:rFonts w:eastAsia="Times New Roman"/>
        </w:rPr>
        <w:t xml:space="preserve">  </w:t>
      </w:r>
      <w:r w:rsidRPr="00D52B58">
        <w:rPr>
          <w:rFonts w:eastAsia="Times New Roman"/>
        </w:rPr>
        <w:t xml:space="preserve">Diets low or enriched in folic acid have been shown to induce altered DNA methylation in experimental models </w:t>
      </w:r>
      <w:r>
        <w:rPr>
          <w:rFonts w:eastAsia="Times New Roman"/>
          <w:noProof/>
        </w:rPr>
        <w:t>[17-20] and I humans</w:t>
      </w:r>
      <w:r>
        <w:rPr>
          <w:rFonts w:eastAsia="Times New Roman"/>
        </w:rPr>
        <w:t xml:space="preserve"> </w:t>
      </w:r>
      <w:r>
        <w:rPr>
          <w:rFonts w:eastAsia="Times New Roman"/>
          <w:noProof/>
        </w:rPr>
        <w:t>[21]</w:t>
      </w:r>
      <w:r w:rsidRPr="00D52B58">
        <w:rPr>
          <w:rFonts w:eastAsia="Times New Roman"/>
        </w:rPr>
        <w:t>.</w:t>
      </w:r>
      <w:r>
        <w:rPr>
          <w:rFonts w:eastAsia="Times New Roman"/>
        </w:rPr>
        <w:t xml:space="preserve"> </w:t>
      </w:r>
      <w:r w:rsidRPr="00D52B58">
        <w:rPr>
          <w:rFonts w:eastAsia="Times New Roman"/>
        </w:rPr>
        <w:t>Thus variations in folate status or FA intake may modify cancer risk by altering the epigenetic regulation of genes.</w:t>
      </w:r>
      <w:r>
        <w:rPr>
          <w:rFonts w:eastAsia="Times New Roman"/>
        </w:rPr>
        <w:t xml:space="preserve"> </w:t>
      </w:r>
      <w:r w:rsidRPr="00D52B58">
        <w:rPr>
          <w:rFonts w:eastAsia="Times New Roman"/>
        </w:rPr>
        <w:t xml:space="preserve"> </w:t>
      </w:r>
    </w:p>
    <w:p w14:paraId="05A65540" w14:textId="77777777" w:rsidR="00D6576A" w:rsidRPr="00D52B58" w:rsidRDefault="00D6576A" w:rsidP="00A61B64">
      <w:pPr>
        <w:spacing w:line="480" w:lineRule="auto"/>
        <w:rPr>
          <w:rFonts w:eastAsia="Times New Roman"/>
        </w:rPr>
      </w:pPr>
      <w:r w:rsidRPr="00D52B58">
        <w:tab/>
        <w:t>The breast cancer associated genes (</w:t>
      </w:r>
      <w:r w:rsidRPr="00D52B58">
        <w:rPr>
          <w:rFonts w:eastAsia="Times New Roman"/>
        </w:rPr>
        <w:t>BRCA) 1 and 2 are tumour suppress</w:t>
      </w:r>
      <w:r>
        <w:rPr>
          <w:rFonts w:eastAsia="Times New Roman"/>
        </w:rPr>
        <w:t>or</w:t>
      </w:r>
      <w:r w:rsidRPr="00D52B58">
        <w:rPr>
          <w:rFonts w:eastAsia="Times New Roman"/>
        </w:rPr>
        <w:t xml:space="preserve"> genes with several key functions related to maintaining DNA integrity </w:t>
      </w:r>
      <w:r>
        <w:rPr>
          <w:rFonts w:eastAsia="Times New Roman"/>
          <w:noProof/>
        </w:rPr>
        <w:t>[22]</w:t>
      </w:r>
      <w:r w:rsidRPr="00D52B58">
        <w:rPr>
          <w:rFonts w:eastAsia="Times New Roman"/>
        </w:rPr>
        <w:t>.</w:t>
      </w:r>
      <w:r>
        <w:rPr>
          <w:rFonts w:eastAsia="Times New Roman"/>
        </w:rPr>
        <w:t xml:space="preserve"> </w:t>
      </w:r>
      <w:r w:rsidRPr="00D52B58">
        <w:rPr>
          <w:rFonts w:eastAsia="Times New Roman"/>
        </w:rPr>
        <w:t xml:space="preserve">The </w:t>
      </w:r>
      <w:r>
        <w:rPr>
          <w:rFonts w:eastAsia="Times New Roman"/>
        </w:rPr>
        <w:t>proteins</w:t>
      </w:r>
      <w:r w:rsidRPr="00D52B58">
        <w:rPr>
          <w:rFonts w:eastAsia="Times New Roman"/>
        </w:rPr>
        <w:t xml:space="preserve"> encoded by these genes are expressed in all cells and are critical for repair of single and double stranded DNA breaks. Mutations in the BRCA1 and 2 genes have been implicated in </w:t>
      </w:r>
      <w:r>
        <w:rPr>
          <w:rFonts w:eastAsia="Times New Roman"/>
        </w:rPr>
        <w:t xml:space="preserve">primarily in the </w:t>
      </w:r>
      <w:r w:rsidRPr="00D52B58">
        <w:rPr>
          <w:rFonts w:eastAsia="Times New Roman"/>
        </w:rPr>
        <w:t xml:space="preserve">development of </w:t>
      </w:r>
      <w:r>
        <w:rPr>
          <w:rFonts w:eastAsia="Times New Roman"/>
        </w:rPr>
        <w:t xml:space="preserve">breast and ovarian </w:t>
      </w:r>
      <w:r w:rsidRPr="00D52B58">
        <w:rPr>
          <w:rFonts w:eastAsia="Times New Roman"/>
        </w:rPr>
        <w:t>cancers</w:t>
      </w:r>
      <w:r>
        <w:rPr>
          <w:rFonts w:eastAsia="Times New Roman"/>
        </w:rPr>
        <w:t xml:space="preserve">, but germline mutation carriers of BRCA1 and BRCA2 also have a small increased risk of </w:t>
      </w:r>
      <w:r w:rsidRPr="00D52B58">
        <w:rPr>
          <w:rFonts w:eastAsia="Times New Roman"/>
        </w:rPr>
        <w:t xml:space="preserve">stomach, pancreas, prostate and colon </w:t>
      </w:r>
      <w:r>
        <w:rPr>
          <w:rFonts w:eastAsia="Times New Roman"/>
        </w:rPr>
        <w:t xml:space="preserve">cancer </w:t>
      </w:r>
      <w:r>
        <w:rPr>
          <w:rFonts w:eastAsia="Times New Roman"/>
          <w:noProof/>
        </w:rPr>
        <w:t>[23]</w:t>
      </w:r>
      <w:r w:rsidRPr="00D52B58">
        <w:rPr>
          <w:rFonts w:eastAsia="Times New Roman"/>
        </w:rPr>
        <w:t>.</w:t>
      </w:r>
      <w:r>
        <w:rPr>
          <w:rFonts w:eastAsia="Times New Roman"/>
        </w:rPr>
        <w:t xml:space="preserve"> </w:t>
      </w:r>
      <w:r w:rsidRPr="00D52B58">
        <w:rPr>
          <w:rFonts w:eastAsia="Times New Roman"/>
        </w:rPr>
        <w:t xml:space="preserve">Impaired BRCA 1 and 2 activities lead to gross chromosomal rearrangements and gene dysregulation </w:t>
      </w:r>
      <w:r>
        <w:rPr>
          <w:rFonts w:eastAsia="Times New Roman"/>
          <w:noProof/>
        </w:rPr>
        <w:t>[22]</w:t>
      </w:r>
      <w:r w:rsidRPr="00D52B58">
        <w:rPr>
          <w:rFonts w:eastAsia="Times New Roman"/>
        </w:rPr>
        <w:t xml:space="preserve">. Approximately 90% of cases of breast and ovarian cancer are sporadic and are not associated with mutations in the BRCA genes </w:t>
      </w:r>
      <w:r>
        <w:rPr>
          <w:rFonts w:eastAsia="Times New Roman"/>
          <w:noProof/>
        </w:rPr>
        <w:t>[24]</w:t>
      </w:r>
      <w:r w:rsidRPr="00D52B58">
        <w:rPr>
          <w:rFonts w:eastAsia="Times New Roman"/>
        </w:rPr>
        <w:t>.</w:t>
      </w:r>
      <w:r>
        <w:rPr>
          <w:rFonts w:eastAsia="Times New Roman"/>
        </w:rPr>
        <w:t xml:space="preserve"> </w:t>
      </w:r>
      <w:r w:rsidRPr="00D52B58">
        <w:rPr>
          <w:rFonts w:eastAsia="Times New Roman"/>
        </w:rPr>
        <w:t xml:space="preserve">In these cases, reduced BRCA1 activity involves hypermethylation of its promoter leading to transcriptional repression </w:t>
      </w:r>
      <w:r>
        <w:rPr>
          <w:rFonts w:eastAsia="Times New Roman"/>
          <w:noProof/>
        </w:rPr>
        <w:t>[25-29]</w:t>
      </w:r>
      <w:r w:rsidRPr="00D52B58">
        <w:rPr>
          <w:rFonts w:eastAsia="Times New Roman"/>
        </w:rPr>
        <w:t>.</w:t>
      </w:r>
      <w:r>
        <w:rPr>
          <w:rFonts w:eastAsia="Times New Roman"/>
        </w:rPr>
        <w:t xml:space="preserve"> </w:t>
      </w:r>
      <w:r w:rsidRPr="00D52B58">
        <w:rPr>
          <w:rFonts w:eastAsia="Times New Roman"/>
        </w:rPr>
        <w:t xml:space="preserve">In contrast, the BRCA2 promoter has been shown to be hypomethylated and over-expressed in ovarian cancers compared to normal tissue </w:t>
      </w:r>
      <w:r>
        <w:rPr>
          <w:rFonts w:eastAsia="Times New Roman"/>
          <w:noProof/>
        </w:rPr>
        <w:t>[29]</w:t>
      </w:r>
      <w:r w:rsidRPr="00D52B58">
        <w:rPr>
          <w:rFonts w:eastAsia="Times New Roman"/>
        </w:rPr>
        <w:t>.</w:t>
      </w:r>
      <w:r>
        <w:rPr>
          <w:rFonts w:eastAsia="Times New Roman"/>
        </w:rPr>
        <w:t xml:space="preserve"> </w:t>
      </w:r>
      <w:r w:rsidRPr="00D52B58">
        <w:rPr>
          <w:rFonts w:eastAsia="Times New Roman"/>
        </w:rPr>
        <w:t xml:space="preserve">Thus one possible additional source of heterogeneity in the effects of FA on cancer risk is the differential effects on the epigenetic regulation of BRCA 1 and 2 leading to genomic instability </w:t>
      </w:r>
      <w:r>
        <w:rPr>
          <w:rFonts w:eastAsia="Times New Roman"/>
          <w:noProof/>
        </w:rPr>
        <w:t>[30-32]</w:t>
      </w:r>
      <w:r w:rsidRPr="00D52B58">
        <w:rPr>
          <w:rFonts w:eastAsia="Times New Roman"/>
        </w:rPr>
        <w:t>.</w:t>
      </w:r>
      <w:r>
        <w:rPr>
          <w:rFonts w:eastAsia="Times New Roman"/>
        </w:rPr>
        <w:t xml:space="preserve"> </w:t>
      </w:r>
      <w:r w:rsidRPr="00D52B58">
        <w:rPr>
          <w:rFonts w:eastAsia="Times New Roman"/>
        </w:rPr>
        <w:t>In order to inform nutritional guidelines about FA intake and cancer risk, it is important to know if FA supplementation induces differential effects on the epigenetic regulation of BRCA 1 and 2, and whether such effects are specific to individual tissues or cancer subtypes and if such effects differ between cancer and normal cells.</w:t>
      </w:r>
    </w:p>
    <w:p w14:paraId="59213816" w14:textId="77777777" w:rsidR="00D6576A" w:rsidRPr="00D52B58" w:rsidRDefault="00D6576A" w:rsidP="00A61B64">
      <w:pPr>
        <w:spacing w:line="480" w:lineRule="auto"/>
        <w:rPr>
          <w:rFonts w:eastAsia="Times New Roman"/>
        </w:rPr>
      </w:pPr>
      <w:r w:rsidRPr="00D52B58">
        <w:rPr>
          <w:rFonts w:eastAsia="Times New Roman"/>
        </w:rPr>
        <w:tab/>
      </w:r>
      <w:r w:rsidRPr="00EF2241">
        <w:rPr>
          <w:rFonts w:eastAsia="Times New Roman"/>
        </w:rPr>
        <w:t xml:space="preserve">We tested the hypothesis that treatment with FA induces differential effects of the epigenetic regulation of BRCA 1 and 2 transcription leading to variation between cell types in capacity for DNA repair.  To address this, normal and cancer cells were treated </w:t>
      </w:r>
      <w:r w:rsidRPr="00EF2241">
        <w:rPr>
          <w:rFonts w:eastAsia="Times New Roman"/>
          <w:i/>
        </w:rPr>
        <w:t xml:space="preserve">in vitro </w:t>
      </w:r>
      <w:r w:rsidRPr="00EF2241">
        <w:rPr>
          <w:rFonts w:eastAsia="Times New Roman"/>
        </w:rPr>
        <w:t xml:space="preserve">with concentrations of FA that were within the range of unmetabolised FA in plasma (0 – 100nmoles/l) </w:t>
      </w:r>
      <w:r w:rsidRPr="00EF2241">
        <w:rPr>
          <w:rFonts w:eastAsia="Times New Roman"/>
          <w:noProof/>
        </w:rPr>
        <w:t>[33-37]</w:t>
      </w:r>
      <w:r w:rsidRPr="00EF2241">
        <w:rPr>
          <w:rFonts w:eastAsia="Times New Roman"/>
        </w:rPr>
        <w:t xml:space="preserve"> reported in humans taking </w:t>
      </w:r>
      <w:r w:rsidRPr="00EF2241">
        <w:rPr>
          <w:rFonts w:eastAsia="ＭＳ ゴシック"/>
        </w:rPr>
        <w:t>≥ 200</w:t>
      </w:r>
      <w:r w:rsidRPr="00EF2241">
        <w:t xml:space="preserve">μg/day FA per day </w:t>
      </w:r>
      <w:r w:rsidRPr="00EF2241">
        <w:rPr>
          <w:rFonts w:eastAsia="Times New Roman"/>
        </w:rPr>
        <w:t>on the mRNA expression of BRCA 1 and 2.  Cells arising from different tissues were tested in order to determine whether any effects of FA on BRCA 1 and 2 were specific to a specific cancer type or subtype.  In order to determine whether any changes in BRCA 1 or 2 mRNA expression were associated altered function of these genes, we investigated the effect of FA treatment on BRCA 1 and 2 protein expression and on the DNA methylation of their promoters, and on capacity of cells to repair radiation-induced DNA damage.</w:t>
      </w:r>
    </w:p>
    <w:p w14:paraId="6A719AE7" w14:textId="77777777" w:rsidR="00D6576A" w:rsidRPr="00D52B58" w:rsidRDefault="00D6576A" w:rsidP="00A61B64">
      <w:pPr>
        <w:spacing w:line="480" w:lineRule="auto"/>
        <w:rPr>
          <w:rFonts w:eastAsia="Times New Roman"/>
        </w:rPr>
      </w:pPr>
    </w:p>
    <w:p w14:paraId="235073E0" w14:textId="77777777" w:rsidR="00D6576A" w:rsidRPr="00D52B58" w:rsidRDefault="00D6576A" w:rsidP="00A61B64">
      <w:pPr>
        <w:spacing w:line="480" w:lineRule="auto"/>
        <w:rPr>
          <w:rFonts w:eastAsia="Times New Roman"/>
          <w:b/>
        </w:rPr>
      </w:pPr>
      <w:r>
        <w:rPr>
          <w:rFonts w:eastAsia="Times New Roman"/>
          <w:b/>
        </w:rPr>
        <w:t>2.</w:t>
      </w:r>
      <w:r>
        <w:rPr>
          <w:rFonts w:eastAsia="Times New Roman"/>
          <w:b/>
        </w:rPr>
        <w:tab/>
        <w:t>Methods and materials</w:t>
      </w:r>
    </w:p>
    <w:p w14:paraId="607A17B0" w14:textId="77777777" w:rsidR="00D6576A" w:rsidRPr="000070A1" w:rsidRDefault="00D6576A" w:rsidP="00A61B64">
      <w:pPr>
        <w:spacing w:line="480" w:lineRule="auto"/>
        <w:rPr>
          <w:rFonts w:eastAsia="Times New Roman"/>
          <w:i/>
        </w:rPr>
      </w:pPr>
      <w:r>
        <w:rPr>
          <w:rFonts w:eastAsia="Times New Roman"/>
          <w:i/>
        </w:rPr>
        <w:t>2.1</w:t>
      </w:r>
      <w:r>
        <w:rPr>
          <w:rFonts w:eastAsia="Times New Roman"/>
          <w:i/>
        </w:rPr>
        <w:tab/>
      </w:r>
      <w:r w:rsidRPr="000070A1">
        <w:rPr>
          <w:rFonts w:eastAsia="Times New Roman"/>
          <w:i/>
        </w:rPr>
        <w:t>Cell lines</w:t>
      </w:r>
    </w:p>
    <w:p w14:paraId="46EBA76F" w14:textId="77777777" w:rsidR="00D6576A" w:rsidRPr="00D52B58" w:rsidRDefault="00D6576A" w:rsidP="00A61B64">
      <w:pPr>
        <w:spacing w:line="480" w:lineRule="auto"/>
        <w:rPr>
          <w:rFonts w:eastAsia="Times New Roman"/>
        </w:rPr>
      </w:pPr>
      <w:r w:rsidRPr="00D52B58">
        <w:rPr>
          <w:rFonts w:eastAsia="Times New Roman"/>
        </w:rPr>
        <w:t>SK-HEP-1 human liver adenocarcinoma, PLC/PRF/5 human liver hepatoma, Huh-7D12 human hepatocellular carcinoma, HMT-3522 S1 human breast epithelia, Hs578T human breast adenocarcinoma, MDA-MB-157 human breast medulla carcinoma, MDA-MB-231 human breast adenocarcinoma, A2780 human ovarian carcinoma, COV434 human ovarian granulosa tumour and PEA1 human ovarian carcinoma were obtained from the European Collection of Cell Cultures</w:t>
      </w:r>
      <w:r>
        <w:rPr>
          <w:rFonts w:eastAsia="Times New Roman"/>
        </w:rPr>
        <w:t xml:space="preserve"> (ECACC)</w:t>
      </w:r>
      <w:r w:rsidRPr="00D52B58">
        <w:rPr>
          <w:rFonts w:eastAsia="Times New Roman"/>
        </w:rPr>
        <w:t>. MCF10a human non-tumourigenic breast epithelia were obtained from American Type Culture Collection, peripheral blood mononuclear cells (PBMC) were obtained from Stem Cell Technologies, and primary hepatocytes were obtained from Life Technologies. HepG2 human hepatocellular carcinoma, MCF7 human breast adenocarcinoma, THP1 human acute monocytic leukaemia and JURKAT human acute T cell leukaemia cells were from our archive</w:t>
      </w:r>
      <w:r>
        <w:rPr>
          <w:rFonts w:eastAsia="Times New Roman"/>
        </w:rPr>
        <w:t xml:space="preserve"> which was derived originally from cells purchased from ECACC</w:t>
      </w:r>
      <w:r w:rsidRPr="00D52B58">
        <w:rPr>
          <w:rFonts w:eastAsia="Times New Roman"/>
        </w:rPr>
        <w:t>.</w:t>
      </w:r>
    </w:p>
    <w:p w14:paraId="598327C3" w14:textId="77777777" w:rsidR="00D6576A" w:rsidRPr="00D52B58" w:rsidRDefault="00D6576A" w:rsidP="00A61B64">
      <w:pPr>
        <w:spacing w:line="480" w:lineRule="auto"/>
        <w:rPr>
          <w:rFonts w:eastAsia="Times New Roman"/>
          <w:i/>
        </w:rPr>
      </w:pPr>
    </w:p>
    <w:p w14:paraId="179946E6" w14:textId="77777777" w:rsidR="00D6576A" w:rsidRPr="006F0B60" w:rsidRDefault="00D6576A" w:rsidP="00A61B64">
      <w:pPr>
        <w:spacing w:line="480" w:lineRule="auto"/>
        <w:rPr>
          <w:rFonts w:eastAsia="Times New Roman"/>
          <w:i/>
        </w:rPr>
      </w:pPr>
      <w:r>
        <w:rPr>
          <w:rFonts w:eastAsia="Times New Roman"/>
          <w:i/>
        </w:rPr>
        <w:t>2.2</w:t>
      </w:r>
      <w:r>
        <w:rPr>
          <w:rFonts w:eastAsia="Times New Roman"/>
          <w:i/>
        </w:rPr>
        <w:tab/>
      </w:r>
      <w:r w:rsidRPr="006F0B60">
        <w:rPr>
          <w:rFonts w:eastAsia="Times New Roman"/>
          <w:i/>
        </w:rPr>
        <w:t xml:space="preserve">Cell culture procedures </w:t>
      </w:r>
    </w:p>
    <w:p w14:paraId="6E419DF9" w14:textId="77777777" w:rsidR="00D6576A" w:rsidRPr="00D52B58" w:rsidRDefault="00D6576A" w:rsidP="00A61B64">
      <w:pPr>
        <w:spacing w:line="480" w:lineRule="auto"/>
        <w:ind w:firstLine="720"/>
        <w:rPr>
          <w:rFonts w:eastAsia="Times New Roman"/>
          <w:iCs/>
        </w:rPr>
      </w:pPr>
      <w:r w:rsidRPr="00D52B58">
        <w:rPr>
          <w:rFonts w:eastAsia="Times New Roman"/>
          <w:iCs/>
        </w:rPr>
        <w:t>All cell lines were cultured at 37</w:t>
      </w:r>
      <w:r w:rsidRPr="00D52B58">
        <w:rPr>
          <w:rFonts w:eastAsia="Times New Roman"/>
          <w:iCs/>
          <w:vertAlign w:val="superscript"/>
        </w:rPr>
        <w:t>o</w:t>
      </w:r>
      <w:r w:rsidRPr="00D52B58">
        <w:rPr>
          <w:rFonts w:eastAsia="Times New Roman"/>
          <w:iCs/>
        </w:rPr>
        <w:t>C in an atmosphere containing 5% (v/v) CO</w:t>
      </w:r>
      <w:r w:rsidRPr="00D52B58">
        <w:rPr>
          <w:rFonts w:eastAsia="Times New Roman"/>
          <w:iCs/>
          <w:vertAlign w:val="subscript"/>
        </w:rPr>
        <w:t>2</w:t>
      </w:r>
      <w:r w:rsidRPr="00D52B58">
        <w:rPr>
          <w:rFonts w:eastAsia="Times New Roman"/>
          <w:iCs/>
        </w:rPr>
        <w:t>, in Dulbecco’s Modified Eagle Medium without folic acid (Sigma), supplemented with 10% (v/v) fetal bovine serum (FBS), 2mM glutamine, 10U/ml penicillin and 100µg/ml streptomycin.</w:t>
      </w:r>
      <w:r>
        <w:rPr>
          <w:rFonts w:eastAsia="Times New Roman"/>
          <w:iCs/>
        </w:rPr>
        <w:t xml:space="preserve"> </w:t>
      </w:r>
      <w:r w:rsidRPr="00D52B58">
        <w:rPr>
          <w:rFonts w:eastAsia="Times New Roman"/>
          <w:iCs/>
        </w:rPr>
        <w:t>The media for the MCF10a cell line was further supplemented with 20ng/ml epidermal growth factor (EGF) and 100µg/ml hydrocortisone.</w:t>
      </w:r>
      <w:r>
        <w:rPr>
          <w:rFonts w:eastAsia="Times New Roman"/>
          <w:iCs/>
        </w:rPr>
        <w:t xml:space="preserve"> </w:t>
      </w:r>
      <w:r w:rsidRPr="00D52B58">
        <w:rPr>
          <w:rFonts w:eastAsia="Times New Roman"/>
          <w:iCs/>
        </w:rPr>
        <w:t xml:space="preserve">The media for the HMT-3522 S1 cell line was also supplemented with 10ng/ml EGF and 500ng/ml hydrocortisone. </w:t>
      </w:r>
    </w:p>
    <w:p w14:paraId="6656510A" w14:textId="77777777" w:rsidR="00D6576A" w:rsidRPr="00D52B58" w:rsidRDefault="00D6576A" w:rsidP="00A61B64">
      <w:pPr>
        <w:spacing w:line="480" w:lineRule="auto"/>
        <w:rPr>
          <w:rFonts w:eastAsia="Times New Roman"/>
          <w:iCs/>
        </w:rPr>
      </w:pPr>
    </w:p>
    <w:p w14:paraId="186FE8F1" w14:textId="77777777" w:rsidR="00D6576A" w:rsidRPr="006F0B60" w:rsidRDefault="00D6576A" w:rsidP="00A61B64">
      <w:pPr>
        <w:spacing w:line="480" w:lineRule="auto"/>
        <w:rPr>
          <w:i/>
        </w:rPr>
      </w:pPr>
      <w:r>
        <w:rPr>
          <w:i/>
        </w:rPr>
        <w:t>2.3</w:t>
      </w:r>
      <w:r>
        <w:rPr>
          <w:i/>
        </w:rPr>
        <w:tab/>
      </w:r>
      <w:r w:rsidRPr="006F0B60">
        <w:rPr>
          <w:i/>
        </w:rPr>
        <w:t>Measurement of BRCA 1 and 2 mRNA expression by real time RTPCR</w:t>
      </w:r>
    </w:p>
    <w:p w14:paraId="18482624" w14:textId="77777777" w:rsidR="00D6576A" w:rsidRPr="00D52B58" w:rsidRDefault="00D6576A" w:rsidP="00A61B64">
      <w:pPr>
        <w:spacing w:line="480" w:lineRule="auto"/>
        <w:rPr>
          <w:iCs/>
        </w:rPr>
      </w:pPr>
      <w:r w:rsidRPr="00D52B58">
        <w:rPr>
          <w:rFonts w:eastAsia="Times New Roman"/>
          <w:iCs/>
        </w:rPr>
        <w:t>To determine the effect of FA supplementation on BRCA1 and 2 mRNA expression, all cell lines were treated with 0, 25, 50, 75 or 100 nmoles/l FA for 72 hours before harvesting in TRI Reagent (Sigma) according to the manufacturer’s instructions.</w:t>
      </w:r>
      <w:r>
        <w:rPr>
          <w:rFonts w:eastAsia="Times New Roman"/>
          <w:iCs/>
        </w:rPr>
        <w:t xml:space="preserve"> </w:t>
      </w:r>
      <w:r w:rsidRPr="00D52B58">
        <w:rPr>
          <w:rFonts w:eastAsia="Times New Roman"/>
          <w:iCs/>
        </w:rPr>
        <w:t>Background folate concentration</w:t>
      </w:r>
      <w:r>
        <w:rPr>
          <w:rFonts w:eastAsia="Times New Roman"/>
          <w:iCs/>
        </w:rPr>
        <w:t xml:space="preserve"> derived from FBS</w:t>
      </w:r>
      <w:r w:rsidRPr="00D52B58">
        <w:rPr>
          <w:rFonts w:eastAsia="Times New Roman"/>
          <w:iCs/>
        </w:rPr>
        <w:t xml:space="preserve"> was </w:t>
      </w:r>
      <w:r w:rsidRPr="000A52C0">
        <w:rPr>
          <w:rFonts w:eastAsia="Times New Roman"/>
          <w:iCs/>
        </w:rPr>
        <w:t>1.5 nmoles/l</w:t>
      </w:r>
      <w:r w:rsidRPr="00D52B58">
        <w:rPr>
          <w:rFonts w:eastAsia="Times New Roman"/>
          <w:iCs/>
        </w:rPr>
        <w:t>.</w:t>
      </w:r>
      <w:r>
        <w:rPr>
          <w:rFonts w:eastAsia="Times New Roman"/>
          <w:iCs/>
        </w:rPr>
        <w:t xml:space="preserve"> </w:t>
      </w:r>
      <w:r w:rsidRPr="00D52B58">
        <w:rPr>
          <w:iCs/>
        </w:rPr>
        <w:t xml:space="preserve">Measurement of mRNA expression was carried out essentially as described previously </w:t>
      </w:r>
      <w:r>
        <w:rPr>
          <w:iCs/>
          <w:noProof/>
        </w:rPr>
        <w:t>[38]</w:t>
      </w:r>
      <w:r w:rsidRPr="00D52B58">
        <w:rPr>
          <w:iCs/>
        </w:rPr>
        <w:t>.</w:t>
      </w:r>
      <w:r>
        <w:rPr>
          <w:iCs/>
        </w:rPr>
        <w:t xml:space="preserve"> </w:t>
      </w:r>
      <w:r w:rsidRPr="00D52B58">
        <w:rPr>
          <w:iCs/>
        </w:rPr>
        <w:t xml:space="preserve"> Briefly, complementary DNA was prepared using Moloney-murine leukaemia virus reverse transcriptase (Promega).</w:t>
      </w:r>
      <w:r>
        <w:rPr>
          <w:iCs/>
        </w:rPr>
        <w:t xml:space="preserve"> </w:t>
      </w:r>
      <w:r w:rsidRPr="00D52B58">
        <w:rPr>
          <w:iCs/>
        </w:rPr>
        <w:t>Real time RTPCR was performed with SYBR Green JumpStart Taq ReadyMix (Sigma) to amplify BRCA1 and BRCA2 mRNA using QuantiTect Primer assays (Qiagen) QT00039305 and QT00008449, respectively.</w:t>
      </w:r>
      <w:r>
        <w:rPr>
          <w:iCs/>
        </w:rPr>
        <w:t xml:space="preserve"> </w:t>
      </w:r>
      <w:r w:rsidRPr="00D52B58">
        <w:rPr>
          <w:iCs/>
        </w:rPr>
        <w:t xml:space="preserve">mRNA levels were determined by the standard curve method </w:t>
      </w:r>
      <w:r>
        <w:rPr>
          <w:iCs/>
          <w:noProof/>
        </w:rPr>
        <w:t>[39]</w:t>
      </w:r>
      <w:r w:rsidRPr="00D52B58">
        <w:rPr>
          <w:iCs/>
        </w:rPr>
        <w:t xml:space="preserve"> and normalised to cyclophilin expression (QuantiTect assay QT01866137) </w:t>
      </w:r>
      <w:r>
        <w:rPr>
          <w:iCs/>
          <w:noProof/>
        </w:rPr>
        <w:t>[38]</w:t>
      </w:r>
      <w:r w:rsidRPr="00D52B58">
        <w:rPr>
          <w:iCs/>
        </w:rPr>
        <w:t>. All samples were analysed in duplicate.</w:t>
      </w:r>
    </w:p>
    <w:p w14:paraId="22EBFC96" w14:textId="77777777" w:rsidR="00D6576A" w:rsidRPr="00D52B58" w:rsidRDefault="00D6576A" w:rsidP="00A61B64">
      <w:pPr>
        <w:spacing w:line="480" w:lineRule="auto"/>
      </w:pPr>
    </w:p>
    <w:p w14:paraId="5245C13C" w14:textId="77777777" w:rsidR="00D6576A" w:rsidRPr="006F0B60" w:rsidRDefault="00D6576A" w:rsidP="00A61B64">
      <w:pPr>
        <w:spacing w:line="480" w:lineRule="auto"/>
        <w:rPr>
          <w:i/>
        </w:rPr>
      </w:pPr>
      <w:r>
        <w:rPr>
          <w:i/>
        </w:rPr>
        <w:t>2.4</w:t>
      </w:r>
      <w:r>
        <w:rPr>
          <w:i/>
        </w:rPr>
        <w:tab/>
      </w:r>
      <w:r w:rsidRPr="006F0B60">
        <w:rPr>
          <w:i/>
        </w:rPr>
        <w:t>Measurement of BRCA 1 and 2 protein expression by western blotting</w:t>
      </w:r>
    </w:p>
    <w:p w14:paraId="59130438" w14:textId="77777777" w:rsidR="00D6576A" w:rsidRPr="00D52B58" w:rsidRDefault="00D6576A" w:rsidP="00A61B64">
      <w:pPr>
        <w:spacing w:line="480" w:lineRule="auto"/>
        <w:ind w:firstLine="720"/>
      </w:pPr>
      <w:r w:rsidRPr="00D52B58">
        <w:rPr>
          <w:rFonts w:eastAsia="Times New Roman"/>
          <w:iCs/>
        </w:rPr>
        <w:t>BRCA1 and BRCA2 protein levels were assessed in cell lines in which FA treatment induced significant changes in BRCA1 and/or BRCA2 mRNA expression.</w:t>
      </w:r>
      <w:r>
        <w:rPr>
          <w:rFonts w:eastAsia="Times New Roman"/>
          <w:iCs/>
        </w:rPr>
        <w:t xml:space="preserve"> </w:t>
      </w:r>
      <w:r w:rsidRPr="00D52B58">
        <w:rPr>
          <w:rFonts w:eastAsia="Times New Roman"/>
          <w:iCs/>
        </w:rPr>
        <w:t>Cells were treated with either 0 or 100 nmoles/l FA.</w:t>
      </w:r>
      <w:r>
        <w:rPr>
          <w:rFonts w:eastAsia="Times New Roman"/>
          <w:iCs/>
        </w:rPr>
        <w:t xml:space="preserve"> </w:t>
      </w:r>
      <w:r w:rsidRPr="00D52B58">
        <w:t>Protein extracts were prepared in 50mM Tris pH8, 150mM NaCl, 0.5% sodium deoxycholate and 1% nonidet-P40 containing 10% (v/v) Protease Inhibitor Cocktail (Sigma).</w:t>
      </w:r>
      <w:r>
        <w:t xml:space="preserve"> </w:t>
      </w:r>
      <w:r w:rsidRPr="00D52B58">
        <w:t>Protein concentrations were determined using a Pierce BCA Protein Assay Kit (Thermo Scientific).</w:t>
      </w:r>
      <w:r>
        <w:t xml:space="preserve"> </w:t>
      </w:r>
      <w:r w:rsidRPr="00D52B58">
        <w:t xml:space="preserve">Western blot analysis of protein expression was performed as described previously </w:t>
      </w:r>
      <w:r>
        <w:rPr>
          <w:noProof/>
        </w:rPr>
        <w:t>[40]</w:t>
      </w:r>
      <w:r w:rsidRPr="00D52B58">
        <w:t>.</w:t>
      </w:r>
      <w:r>
        <w:t xml:space="preserve"> </w:t>
      </w:r>
      <w:r w:rsidRPr="00D52B58">
        <w:t>25µg of cell extract was resolved by SDS PAGE using a 4-15% polyacrylamide gradient gel (Bio-Rad) and transferred to PVDF membrane (Amersham) in 25mM Tris pH8, 192mM glycine, 20% (v/v) methanol and 0.1% (w/v) SDS for 3hr at 4</w:t>
      </w:r>
      <w:r w:rsidRPr="00D52B58">
        <w:rPr>
          <w:vertAlign w:val="superscript"/>
        </w:rPr>
        <w:t>o</w:t>
      </w:r>
      <w:r w:rsidRPr="00D52B58">
        <w:t>C. The membrane was blocked with 5% (w/v) skimmed milk powder/tris-buffered saline (TBS</w:t>
      </w:r>
      <w:r>
        <w:t>; 10mM Tris pH8.0, 150mM NaCl</w:t>
      </w:r>
      <w:r w:rsidRPr="00D52B58">
        <w:t>) containing 0.1% (v/v) Tween-20 for 1hr at room temperature and then incubated overnight at 4</w:t>
      </w:r>
      <w:r w:rsidRPr="00D52B58">
        <w:rPr>
          <w:vertAlign w:val="superscript"/>
        </w:rPr>
        <w:t>o</w:t>
      </w:r>
      <w:r w:rsidRPr="00D52B58">
        <w:t>C with anti-BRCA1 antibody (1µg/ml; Abcam) or</w:t>
      </w:r>
      <w:r>
        <w:t xml:space="preserve"> anti-BRCA2 antibody (2</w:t>
      </w:r>
      <w:r w:rsidRPr="00635528">
        <w:t xml:space="preserve"> </w:t>
      </w:r>
      <w:r w:rsidRPr="00D52B58">
        <w:t>µg/ml; Abcam) in 2% (w/v) skimmed milk powder/TBS/0.1% Tween-20.</w:t>
      </w:r>
      <w:r>
        <w:t xml:space="preserve"> </w:t>
      </w:r>
      <w:r w:rsidRPr="00D52B58">
        <w:t>The membrane was then washed four times for 10min each in TBS/0.1% Tween-20 before being incubated with a horseradish peroxidase- conjugated anti-mouse secondary antibody (1:50 000; Sigma) in 2% (w/v) skimmed milk powder/TBS/0.1% Tween-20 for 1hr at room temperature. After washing in TBS/0.1% Tween-20, the protein bands were detected using SuperSignal West Femto Maximum Sensitivity Substrate (Thermo Scientific) and were visualised on a VersaDoc 4000MP imaging system (Bio-Rad). Protein molecular weights were determined using a Fermentas Spectra Multicolor Broad Range protein ladder (Fisher Scientific) and protein band intensities were analysed using ImageJ software (NIH). Anti-β-actin (1:2000; Sigma) was used as the primary antibody to normalise for differences in protein loading.</w:t>
      </w:r>
    </w:p>
    <w:p w14:paraId="4995C7FD" w14:textId="77777777" w:rsidR="00D6576A" w:rsidRPr="00D52B58" w:rsidRDefault="00D6576A" w:rsidP="00A61B64">
      <w:pPr>
        <w:spacing w:line="480" w:lineRule="auto"/>
      </w:pPr>
    </w:p>
    <w:p w14:paraId="1226011E" w14:textId="77777777" w:rsidR="00D6576A" w:rsidRPr="006F0B60" w:rsidRDefault="00D6576A" w:rsidP="00A61B64">
      <w:pPr>
        <w:spacing w:line="480" w:lineRule="auto"/>
        <w:rPr>
          <w:i/>
        </w:rPr>
      </w:pPr>
      <w:r>
        <w:rPr>
          <w:i/>
        </w:rPr>
        <w:t>2.5</w:t>
      </w:r>
      <w:r>
        <w:rPr>
          <w:i/>
        </w:rPr>
        <w:tab/>
      </w:r>
      <w:r w:rsidRPr="006F0B60">
        <w:rPr>
          <w:i/>
        </w:rPr>
        <w:t>Measurement of BRCA 1 and 2 promoter methylation by sodium bisulphite pyrosequencing</w:t>
      </w:r>
    </w:p>
    <w:p w14:paraId="570584F5" w14:textId="77777777" w:rsidR="00D6576A" w:rsidRDefault="00D6576A" w:rsidP="00A61B64">
      <w:pPr>
        <w:spacing w:line="480" w:lineRule="auto"/>
      </w:pPr>
      <w:r>
        <w:t xml:space="preserve">The regions of the BRCA1 and 2 genes that were analysed for DNA methylation by pyrosequencing are indicated in Fig. 1. </w:t>
      </w:r>
      <w:r w:rsidRPr="00994B8A">
        <w:t xml:space="preserve">The region of the BRCA1 promoter </w:t>
      </w:r>
      <w:r>
        <w:t xml:space="preserve">that was analysed has been shown </w:t>
      </w:r>
      <w:r w:rsidRPr="00994B8A">
        <w:t>to be unmethylated in normal cells</w:t>
      </w:r>
      <w:r>
        <w:t xml:space="preserve"> and hypermethylated in cancer </w:t>
      </w:r>
      <w:r>
        <w:rPr>
          <w:noProof/>
        </w:rPr>
        <w:t>[41]</w:t>
      </w:r>
      <w:r>
        <w:t xml:space="preserve">, to be involved in the regulation of transcription </w:t>
      </w:r>
      <w:r>
        <w:rPr>
          <w:noProof/>
        </w:rPr>
        <w:t>[42]</w:t>
      </w:r>
      <w:r>
        <w:t xml:space="preserve"> and</w:t>
      </w:r>
      <w:r w:rsidRPr="00994B8A">
        <w:t xml:space="preserve"> </w:t>
      </w:r>
      <w:r>
        <w:t xml:space="preserve">to </w:t>
      </w:r>
      <w:r w:rsidRPr="00994B8A">
        <w:t>contain</w:t>
      </w:r>
      <w:r>
        <w:t xml:space="preserve"> the minimal promoter </w:t>
      </w:r>
      <w:r>
        <w:rPr>
          <w:noProof/>
        </w:rPr>
        <w:t>[43]</w:t>
      </w:r>
      <w:r>
        <w:t xml:space="preserve"> and </w:t>
      </w:r>
      <w:r w:rsidRPr="00994B8A">
        <w:t>several transcription factor binding sites</w:t>
      </w:r>
      <w:r>
        <w:t xml:space="preserve"> </w:t>
      </w:r>
      <w:r>
        <w:rPr>
          <w:noProof/>
        </w:rPr>
        <w:t>[44-46]</w:t>
      </w:r>
      <w:r w:rsidRPr="00994B8A">
        <w:t>.</w:t>
      </w:r>
      <w:r>
        <w:t xml:space="preserve"> T</w:t>
      </w:r>
      <w:r w:rsidRPr="00994B8A">
        <w:t xml:space="preserve">he region </w:t>
      </w:r>
      <w:r>
        <w:t xml:space="preserve">of the BRCA 2 gene that was analysed </w:t>
      </w:r>
      <w:r w:rsidRPr="00994B8A">
        <w:t xml:space="preserve">has previously been shown to be </w:t>
      </w:r>
      <w:r>
        <w:t>hyper</w:t>
      </w:r>
      <w:r w:rsidRPr="00994B8A">
        <w:t xml:space="preserve">methylated in sporadic breast cancers </w:t>
      </w:r>
      <w:r>
        <w:rPr>
          <w:noProof/>
        </w:rPr>
        <w:t>[47]</w:t>
      </w:r>
      <w:r w:rsidRPr="00994B8A">
        <w:t xml:space="preserve">. </w:t>
      </w:r>
      <w:r>
        <w:t>T</w:t>
      </w:r>
      <w:r w:rsidRPr="00994B8A">
        <w:t>h</w:t>
      </w:r>
      <w:r>
        <w:t>is region encompasses</w:t>
      </w:r>
      <w:r w:rsidRPr="00994B8A">
        <w:t xml:space="preserve"> the BRCA2 minimal promoter region </w:t>
      </w:r>
      <w:r>
        <w:rPr>
          <w:noProof/>
        </w:rPr>
        <w:t>[48]</w:t>
      </w:r>
      <w:r>
        <w:t xml:space="preserve"> and </w:t>
      </w:r>
      <w:r w:rsidRPr="00994B8A">
        <w:t xml:space="preserve">contains a number of transcription factor binding sites that </w:t>
      </w:r>
      <w:r>
        <w:t xml:space="preserve">regulate </w:t>
      </w:r>
      <w:r w:rsidRPr="00994B8A">
        <w:t xml:space="preserve">BRCA2 expression </w:t>
      </w:r>
      <w:r>
        <w:rPr>
          <w:noProof/>
        </w:rPr>
        <w:t>[48-50]</w:t>
      </w:r>
      <w:r>
        <w:t>.</w:t>
      </w:r>
    </w:p>
    <w:p w14:paraId="09CA9987" w14:textId="77777777" w:rsidR="00D6576A" w:rsidRPr="00D52B58" w:rsidRDefault="00D6576A" w:rsidP="00A61B64">
      <w:pPr>
        <w:autoSpaceDE w:val="0"/>
        <w:autoSpaceDN w:val="0"/>
        <w:adjustRightInd w:val="0"/>
        <w:spacing w:line="480" w:lineRule="auto"/>
        <w:ind w:firstLine="720"/>
        <w:rPr>
          <w:lang w:eastAsia="zh-CN"/>
        </w:rPr>
      </w:pPr>
      <w:r w:rsidRPr="00D52B58">
        <w:rPr>
          <w:lang w:eastAsia="zh-CN"/>
        </w:rPr>
        <w:t xml:space="preserve">The level of methylation of individual CpG dinucleotides in the BRCA1 </w:t>
      </w:r>
      <w:r w:rsidRPr="002A6CE0">
        <w:rPr>
          <w:lang w:eastAsia="zh-CN"/>
        </w:rPr>
        <w:t>(F</w:t>
      </w:r>
      <w:r>
        <w:rPr>
          <w:lang w:eastAsia="zh-CN"/>
        </w:rPr>
        <w:t>ig.</w:t>
      </w:r>
      <w:r w:rsidRPr="002A6CE0">
        <w:rPr>
          <w:lang w:eastAsia="zh-CN"/>
        </w:rPr>
        <w:t xml:space="preserve"> 1A) and BRCA2 (</w:t>
      </w:r>
      <w:r>
        <w:rPr>
          <w:lang w:eastAsia="zh-CN"/>
        </w:rPr>
        <w:t>Fig.</w:t>
      </w:r>
      <w:r w:rsidRPr="002A6CE0">
        <w:rPr>
          <w:lang w:eastAsia="zh-CN"/>
        </w:rPr>
        <w:t xml:space="preserve"> 1B)</w:t>
      </w:r>
      <w:r w:rsidRPr="00D52B58">
        <w:rPr>
          <w:lang w:eastAsia="zh-CN"/>
        </w:rPr>
        <w:t xml:space="preserve"> promoters was measured using bisulphite pyrosequencing essentially as described previously </w:t>
      </w:r>
      <w:r>
        <w:rPr>
          <w:noProof/>
          <w:lang w:eastAsia="zh-CN"/>
        </w:rPr>
        <w:t>[38]</w:t>
      </w:r>
      <w:r w:rsidRPr="00D52B58">
        <w:rPr>
          <w:lang w:eastAsia="zh-CN"/>
        </w:rPr>
        <w:t>. Genomic DNA was isolated and bisulphite conversion was performed using the EZ DNA Methylation-Gold kit (ZymoResearch). The bisulphite-modified DNA was then amplified using the primers listed in Table 1 with KAPA2G Robust HotStart ReadyMix (Labtech). Biotinylation of the PCR products allowed them to be immobilised on streptavidin-sepharose beads (GE Healthcare), washed and denatured, and then released into annealing buffer containing the sequencing primers in Table 1. Pyrosequencing was performed using PyroMark Gold Q96 CDT reagents (Qiagen) on a PSQ 96MA machine (Biotage) and the percentage methylation for each CpG loci was calculated using the PyroQ CpG software (Biotage). Internal controls were included within each pyrosequencing assay to verify bisulphite-conversion efficiency. Human genomic DNA methylated at 100% of CpG loci (Millipore) or at 0% CpG loci (Promega) were included for each assay.</w:t>
      </w:r>
    </w:p>
    <w:p w14:paraId="3C708072" w14:textId="77777777" w:rsidR="00D6576A" w:rsidRPr="00D52B58" w:rsidRDefault="00D6576A" w:rsidP="00A61B64">
      <w:pPr>
        <w:spacing w:line="480" w:lineRule="auto"/>
        <w:rPr>
          <w:iCs/>
        </w:rPr>
      </w:pPr>
    </w:p>
    <w:p w14:paraId="42FC7C4A" w14:textId="77777777" w:rsidR="00D6576A" w:rsidRPr="006F0B60" w:rsidRDefault="00D6576A" w:rsidP="00A61B64">
      <w:pPr>
        <w:spacing w:line="480" w:lineRule="auto"/>
        <w:rPr>
          <w:i/>
        </w:rPr>
      </w:pPr>
      <w:r>
        <w:rPr>
          <w:i/>
        </w:rPr>
        <w:t>2.6</w:t>
      </w:r>
      <w:r>
        <w:rPr>
          <w:i/>
        </w:rPr>
        <w:tab/>
      </w:r>
      <w:r w:rsidRPr="006F0B60">
        <w:rPr>
          <w:i/>
        </w:rPr>
        <w:t>Measurement of DNA repair</w:t>
      </w:r>
    </w:p>
    <w:p w14:paraId="6B390BC8" w14:textId="77777777" w:rsidR="00D6576A" w:rsidRPr="00D52B58" w:rsidRDefault="00D6576A" w:rsidP="00A61B64">
      <w:pPr>
        <w:spacing w:line="480" w:lineRule="auto"/>
        <w:ind w:firstLine="720"/>
        <w:rPr>
          <w:iCs/>
        </w:rPr>
      </w:pPr>
      <w:r w:rsidRPr="00D52B58">
        <w:rPr>
          <w:rFonts w:eastAsia="Times New Roman"/>
          <w:iCs/>
        </w:rPr>
        <w:t xml:space="preserve">Cells were treated with either 0 or 100 nmoles/l FA for 72 hours prior to </w:t>
      </w:r>
      <w:r w:rsidRPr="00D52B58">
        <w:rPr>
          <w:iCs/>
        </w:rPr>
        <w:t>irradiation with UVC (</w:t>
      </w:r>
      <w:r w:rsidRPr="00D52B58">
        <w:rPr>
          <w:color w:val="000000"/>
        </w:rPr>
        <w:t>λ</w:t>
      </w:r>
      <w:r>
        <w:rPr>
          <w:iCs/>
        </w:rPr>
        <w:t xml:space="preserve"> </w:t>
      </w:r>
      <w:r w:rsidRPr="00D52B58">
        <w:rPr>
          <w:iCs/>
        </w:rPr>
        <w:t>= 254nm) at a dose of 0.1J/m</w:t>
      </w:r>
      <w:r w:rsidRPr="00D52B58">
        <w:rPr>
          <w:iCs/>
          <w:vertAlign w:val="superscript"/>
        </w:rPr>
        <w:t>2</w:t>
      </w:r>
      <w:r w:rsidRPr="00D52B58">
        <w:rPr>
          <w:iCs/>
        </w:rPr>
        <w:t>/s for 18 seconds (1.8J/m</w:t>
      </w:r>
      <w:r w:rsidRPr="00D52B58">
        <w:rPr>
          <w:iCs/>
          <w:vertAlign w:val="superscript"/>
        </w:rPr>
        <w:t>2</w:t>
      </w:r>
      <w:r w:rsidRPr="00D52B58">
        <w:rPr>
          <w:iCs/>
        </w:rPr>
        <w:t>) using a CL-1000 UV X-linker (UVP).</w:t>
      </w:r>
      <w:r>
        <w:rPr>
          <w:iCs/>
        </w:rPr>
        <w:t xml:space="preserve"> </w:t>
      </w:r>
      <w:r w:rsidRPr="00D52B58">
        <w:rPr>
          <w:iCs/>
        </w:rPr>
        <w:t>Cells were cultured for a further 0, 1 or 4 hours and then collected in Ca</w:t>
      </w:r>
      <w:r w:rsidRPr="00D52B58">
        <w:rPr>
          <w:iCs/>
          <w:vertAlign w:val="superscript"/>
        </w:rPr>
        <w:t>2+</w:t>
      </w:r>
      <w:r w:rsidRPr="00D52B58">
        <w:rPr>
          <w:iCs/>
        </w:rPr>
        <w:t xml:space="preserve"> and Mg</w:t>
      </w:r>
      <w:r w:rsidRPr="00D52B58">
        <w:rPr>
          <w:iCs/>
          <w:vertAlign w:val="superscript"/>
        </w:rPr>
        <w:t>2+</w:t>
      </w:r>
      <w:r w:rsidRPr="00D52B58">
        <w:rPr>
          <w:iCs/>
        </w:rPr>
        <w:t>-free PBS at approximately 10</w:t>
      </w:r>
      <w:r w:rsidRPr="00D52B58">
        <w:rPr>
          <w:iCs/>
          <w:vertAlign w:val="superscript"/>
        </w:rPr>
        <w:t>5</w:t>
      </w:r>
      <w:r w:rsidRPr="00D52B58">
        <w:rPr>
          <w:iCs/>
        </w:rPr>
        <w:t>cells/ml.</w:t>
      </w:r>
      <w:r>
        <w:rPr>
          <w:iCs/>
        </w:rPr>
        <w:t xml:space="preserve"> </w:t>
      </w:r>
      <w:r w:rsidRPr="00D52B58">
        <w:rPr>
          <w:iCs/>
        </w:rPr>
        <w:t xml:space="preserve">Cell viability was determined using trypan blue exclusion (in all experiments viability was </w:t>
      </w:r>
      <w:r w:rsidRPr="00D52B58">
        <w:rPr>
          <w:color w:val="000000"/>
          <w:shd w:val="clear" w:color="auto" w:fill="FFFFFF"/>
        </w:rPr>
        <w:t>≥90%)</w:t>
      </w:r>
      <w:r w:rsidRPr="00D52B58">
        <w:rPr>
          <w:iCs/>
        </w:rPr>
        <w:t xml:space="preserve">. The single cell gel electrophoresis assay </w:t>
      </w:r>
      <w:r>
        <w:rPr>
          <w:iCs/>
          <w:noProof/>
        </w:rPr>
        <w:t>[51]</w:t>
      </w:r>
      <w:r w:rsidRPr="00D52B58">
        <w:rPr>
          <w:iCs/>
        </w:rPr>
        <w:t xml:space="preserve"> was performed under alkaline conditions using a Comet</w:t>
      </w:r>
      <w:r>
        <w:rPr>
          <w:iCs/>
        </w:rPr>
        <w:t xml:space="preserve"> </w:t>
      </w:r>
      <w:r w:rsidRPr="00D52B58">
        <w:rPr>
          <w:iCs/>
        </w:rPr>
        <w:t>Assay Kit (Trevigen).</w:t>
      </w:r>
      <w:r>
        <w:rPr>
          <w:iCs/>
        </w:rPr>
        <w:t xml:space="preserve"> </w:t>
      </w:r>
      <w:r w:rsidRPr="00D52B58">
        <w:rPr>
          <w:iCs/>
        </w:rPr>
        <w:t>All steps were performed in low light level conditions and at 4</w:t>
      </w:r>
      <w:r w:rsidRPr="00D52B58">
        <w:rPr>
          <w:iCs/>
          <w:vertAlign w:val="superscript"/>
        </w:rPr>
        <w:t>o</w:t>
      </w:r>
      <w:r w:rsidRPr="00D52B58">
        <w:rPr>
          <w:iCs/>
        </w:rPr>
        <w:t>C, unless otherwise stated. Cells were combined with molten low melting point agarose at 37</w:t>
      </w:r>
      <w:r w:rsidRPr="00D52B58">
        <w:rPr>
          <w:iCs/>
          <w:vertAlign w:val="superscript"/>
        </w:rPr>
        <w:t>o</w:t>
      </w:r>
      <w:r w:rsidRPr="00D52B58">
        <w:rPr>
          <w:iCs/>
        </w:rPr>
        <w:t>C at a ratio of 1:10 (v/v), 50µl was spread onto a CometSlide and the agarose was left to adhere for 30min. The slides were immersed in cold Lysis Solution overnight and then in freshly prepared, cold Alkaline Solution (300nM NaOH, 1mM EDTA, pH13) for 1 hour. Slides were then placed in a horizontal electrophoresis tank on ice in Alkaline Solution and electrophoresis was performed at 15V (1V/cm), 300mA for 1 hour. The slides were washed twice in distilled water and then in 70% ethanol, before being dried for 20min at 37</w:t>
      </w:r>
      <w:r w:rsidRPr="00D52B58">
        <w:rPr>
          <w:iCs/>
          <w:vertAlign w:val="superscript"/>
        </w:rPr>
        <w:t>o</w:t>
      </w:r>
      <w:r w:rsidRPr="00D52B58">
        <w:rPr>
          <w:iCs/>
        </w:rPr>
        <w:t>C.</w:t>
      </w:r>
      <w:r>
        <w:rPr>
          <w:iCs/>
        </w:rPr>
        <w:t xml:space="preserve"> </w:t>
      </w:r>
      <w:r w:rsidRPr="00D52B58">
        <w:rPr>
          <w:iCs/>
        </w:rPr>
        <w:t>SYBR Gold (Life Technologies) was used to stain the DNA for 30min at RT and the slides were then rinsed with distilled water before being completely dried at 37</w:t>
      </w:r>
      <w:r w:rsidRPr="00D52B58">
        <w:rPr>
          <w:iCs/>
          <w:vertAlign w:val="superscript"/>
        </w:rPr>
        <w:t>o</w:t>
      </w:r>
      <w:r w:rsidRPr="00D52B58">
        <w:rPr>
          <w:iCs/>
        </w:rPr>
        <w:t>C. Comets were imaged using a Nikon D3100 DSLR camera attached to an Axiovert 25CFL microscope (Zeiss). For each treatment, at least 50 cells were analysed using CASP software (CaspLab) and the amount of DNA damage was expressed as the percentage of total DNA in the comet tail.</w:t>
      </w:r>
    </w:p>
    <w:p w14:paraId="0685DCE3" w14:textId="77777777" w:rsidR="00D6576A" w:rsidRPr="00D52B58" w:rsidRDefault="00D6576A" w:rsidP="00A61B64">
      <w:pPr>
        <w:spacing w:line="480" w:lineRule="auto"/>
        <w:rPr>
          <w:iCs/>
        </w:rPr>
      </w:pPr>
    </w:p>
    <w:p w14:paraId="5877B33A" w14:textId="77777777" w:rsidR="00D6576A" w:rsidRPr="006F0B60" w:rsidRDefault="00D6576A" w:rsidP="00A61B64">
      <w:pPr>
        <w:spacing w:line="480" w:lineRule="auto"/>
        <w:rPr>
          <w:i/>
        </w:rPr>
      </w:pPr>
      <w:r>
        <w:rPr>
          <w:i/>
        </w:rPr>
        <w:t>2.7</w:t>
      </w:r>
      <w:r>
        <w:rPr>
          <w:i/>
        </w:rPr>
        <w:tab/>
      </w:r>
      <w:r w:rsidRPr="006F0B60">
        <w:rPr>
          <w:i/>
        </w:rPr>
        <w:t>Statistical analysis</w:t>
      </w:r>
    </w:p>
    <w:p w14:paraId="03238BD8" w14:textId="77777777" w:rsidR="00D6576A" w:rsidRPr="00D52B58" w:rsidRDefault="00D6576A" w:rsidP="00A61B64">
      <w:pPr>
        <w:autoSpaceDE w:val="0"/>
        <w:autoSpaceDN w:val="0"/>
        <w:adjustRightInd w:val="0"/>
        <w:spacing w:line="480" w:lineRule="auto"/>
        <w:ind w:firstLine="720"/>
        <w:rPr>
          <w:lang w:eastAsia="zh-CN"/>
        </w:rPr>
      </w:pPr>
      <w:r w:rsidRPr="00D52B58">
        <w:rPr>
          <w:lang w:eastAsia="zh-CN"/>
        </w:rPr>
        <w:t>Data are expressed as mean ± SE.</w:t>
      </w:r>
      <w:r>
        <w:rPr>
          <w:lang w:eastAsia="zh-CN"/>
        </w:rPr>
        <w:t xml:space="preserve"> </w:t>
      </w:r>
      <w:r w:rsidRPr="00D52B58">
        <w:rPr>
          <w:lang w:eastAsia="zh-CN"/>
        </w:rPr>
        <w:t xml:space="preserve">Statistical analyses were carried out using SPSS (v21, IBM Corporation, </w:t>
      </w:r>
      <w:r w:rsidRPr="00D52B58">
        <w:rPr>
          <w:rFonts w:eastAsia="Times New Roman" w:cs="Times New Roman"/>
        </w:rPr>
        <w:t>Armonk, NY)</w:t>
      </w:r>
      <w:r w:rsidRPr="00D52B58">
        <w:rPr>
          <w:lang w:eastAsia="zh-CN"/>
        </w:rPr>
        <w:t>.</w:t>
      </w:r>
      <w:r>
        <w:rPr>
          <w:lang w:eastAsia="zh-CN"/>
        </w:rPr>
        <w:t xml:space="preserve"> </w:t>
      </w:r>
      <w:r w:rsidRPr="00D52B58">
        <w:rPr>
          <w:lang w:eastAsia="zh-CN"/>
        </w:rPr>
        <w:t xml:space="preserve"> FA dose-response groups for each cell line were compared by 1-way ANOVA with Dunnett’s </w:t>
      </w:r>
      <w:r w:rsidRPr="00D52B58">
        <w:rPr>
          <w:i/>
          <w:lang w:eastAsia="zh-CN"/>
        </w:rPr>
        <w:t>post hoc</w:t>
      </w:r>
      <w:r w:rsidRPr="00D52B58">
        <w:rPr>
          <w:lang w:eastAsia="zh-CN"/>
        </w:rPr>
        <w:t xml:space="preserve"> test.</w:t>
      </w:r>
      <w:r>
        <w:rPr>
          <w:lang w:eastAsia="zh-CN"/>
        </w:rPr>
        <w:t xml:space="preserve"> </w:t>
      </w:r>
      <w:r w:rsidRPr="00D52B58">
        <w:rPr>
          <w:lang w:eastAsia="zh-CN"/>
        </w:rPr>
        <w:t>Pairwise comparisons of protein expression and DNA methylation were by Student’s unpaired t-test.</w:t>
      </w:r>
      <w:r>
        <w:rPr>
          <w:lang w:eastAsia="zh-CN"/>
        </w:rPr>
        <w:t xml:space="preserve"> </w:t>
      </w:r>
      <w:r w:rsidRPr="00D52B58">
        <w:rPr>
          <w:lang w:eastAsia="zh-CN"/>
        </w:rPr>
        <w:t xml:space="preserve">DNA repair capacity was compared by 2-way ANOVA with Bonferroni’s </w:t>
      </w:r>
      <w:r w:rsidRPr="006F0B60">
        <w:rPr>
          <w:i/>
          <w:lang w:eastAsia="zh-CN"/>
        </w:rPr>
        <w:t>post hoc</w:t>
      </w:r>
      <w:r w:rsidRPr="00D52B58">
        <w:rPr>
          <w:lang w:eastAsia="zh-CN"/>
        </w:rPr>
        <w:t xml:space="preserve"> test. Differences were considered to be statistically significant at P &lt;0.05.</w:t>
      </w:r>
      <w:r>
        <w:rPr>
          <w:lang w:eastAsia="zh-CN"/>
        </w:rPr>
        <w:t xml:space="preserve"> </w:t>
      </w:r>
      <w:r w:rsidRPr="00D52B58">
        <w:rPr>
          <w:lang w:eastAsia="zh-CN"/>
        </w:rPr>
        <w:t>For the primary outcome measure, mRNA expression, a sample size of 10 cultures provided statistical power of at least 85% for detecting a 10% difference with a two-tailed probability of &lt; 0.05.</w:t>
      </w:r>
      <w:r>
        <w:rPr>
          <w:lang w:eastAsia="zh-CN"/>
        </w:rPr>
        <w:t xml:space="preserve"> </w:t>
      </w:r>
      <w:r w:rsidRPr="00D52B58">
        <w:rPr>
          <w:lang w:eastAsia="zh-CN"/>
        </w:rPr>
        <w:t>This sample size provided at least this level of statistical power for the other outcomes.</w:t>
      </w:r>
    </w:p>
    <w:p w14:paraId="05B893CC" w14:textId="77777777" w:rsidR="00D6576A" w:rsidRPr="00D52B58" w:rsidRDefault="00D6576A" w:rsidP="00A61B64">
      <w:pPr>
        <w:spacing w:line="480" w:lineRule="auto"/>
      </w:pPr>
    </w:p>
    <w:p w14:paraId="150AA0AD" w14:textId="77777777" w:rsidR="00D6576A" w:rsidRPr="00D52B58" w:rsidRDefault="00D6576A">
      <w:r>
        <w:rPr>
          <w:b/>
        </w:rPr>
        <w:t>3.</w:t>
      </w:r>
      <w:r>
        <w:rPr>
          <w:b/>
        </w:rPr>
        <w:tab/>
        <w:t>Results</w:t>
      </w:r>
    </w:p>
    <w:p w14:paraId="53C2D3B8" w14:textId="77777777" w:rsidR="00D6576A" w:rsidRPr="00D52B58" w:rsidRDefault="00D6576A"/>
    <w:p w14:paraId="7441245A" w14:textId="77777777" w:rsidR="00D6576A" w:rsidRPr="006F0B60" w:rsidRDefault="00D6576A" w:rsidP="00A61B64">
      <w:pPr>
        <w:spacing w:line="480" w:lineRule="auto"/>
        <w:rPr>
          <w:i/>
        </w:rPr>
      </w:pPr>
      <w:r>
        <w:rPr>
          <w:i/>
        </w:rPr>
        <w:t>3.1</w:t>
      </w:r>
      <w:r>
        <w:rPr>
          <w:i/>
        </w:rPr>
        <w:tab/>
      </w:r>
      <w:r w:rsidRPr="006F0B60">
        <w:rPr>
          <w:i/>
        </w:rPr>
        <w:t>Effect of FA supplementation on BRCA 1 and 2 mRNA expression</w:t>
      </w:r>
    </w:p>
    <w:p w14:paraId="021C8570" w14:textId="77777777" w:rsidR="00D6576A" w:rsidRPr="00D52B58" w:rsidRDefault="00D6576A" w:rsidP="00A61B64">
      <w:pPr>
        <w:spacing w:line="480" w:lineRule="auto"/>
      </w:pPr>
      <w:r>
        <w:t xml:space="preserve">FA treatment of liver cancer cell lines induced cell type and cell line specific effects on BRCA1 and BRCA2 expression. </w:t>
      </w:r>
      <w:r w:rsidRPr="00D52B58">
        <w:t xml:space="preserve">FA treatment induced a significant increase in BRCA1 and BRCA2 mRNA expression in </w:t>
      </w:r>
      <w:r>
        <w:t xml:space="preserve">the hepatocellular carcinoma cell line </w:t>
      </w:r>
      <w:r w:rsidRPr="00D52B58">
        <w:t>HepG2  (Tables 2 and 3)</w:t>
      </w:r>
      <w:r>
        <w:t xml:space="preserve">. </w:t>
      </w:r>
      <w:r w:rsidRPr="005F44C6">
        <w:t xml:space="preserve"> </w:t>
      </w:r>
      <w:r w:rsidRPr="00D52B58">
        <w:t xml:space="preserve">FA treatment induced a dose-related increase in BRCA2 expression in </w:t>
      </w:r>
      <w:r>
        <w:t xml:space="preserve">hepatocellular </w:t>
      </w:r>
      <w:r w:rsidRPr="00D52B58">
        <w:t>PLC/PRF/5 cells, but did not alter BRCA1 mRNA expression significantly.</w:t>
      </w:r>
      <w:r>
        <w:t xml:space="preserve">  In contrast in FA treated hepatocellular carcinoma Huh-7D12 cells, </w:t>
      </w:r>
      <w:r w:rsidRPr="00D52B58">
        <w:t xml:space="preserve">BRCA1 mRNA expression was lower </w:t>
      </w:r>
      <w:r>
        <w:t xml:space="preserve">and </w:t>
      </w:r>
      <w:r w:rsidRPr="00D52B58">
        <w:t xml:space="preserve"> BRCA2 expression was unchanged.</w:t>
      </w:r>
      <w:r>
        <w:t xml:space="preserve"> </w:t>
      </w:r>
      <w:r w:rsidRPr="00D52B58">
        <w:t xml:space="preserve">There was no significant effect of FA treatment on BRCA1 or 2 mRNA levels in </w:t>
      </w:r>
      <w:r>
        <w:t xml:space="preserve">the liver adenocarcinoma SK-HEP-1 cells  or </w:t>
      </w:r>
      <w:r w:rsidRPr="00D52B58">
        <w:t>primary hepatocytes (Tables 2 and 3).</w:t>
      </w:r>
    </w:p>
    <w:p w14:paraId="1B37CD2A" w14:textId="77777777" w:rsidR="00D6576A" w:rsidRPr="00D52B58" w:rsidRDefault="00D6576A" w:rsidP="00A61B64">
      <w:pPr>
        <w:spacing w:line="480" w:lineRule="auto"/>
      </w:pPr>
      <w:r w:rsidRPr="00D52B58">
        <w:tab/>
        <w:t xml:space="preserve">There was no significant effect of FA treatment on BRCA1 or 2 mRNA expression in </w:t>
      </w:r>
      <w:r>
        <w:t xml:space="preserve">transformed mammary epithelial </w:t>
      </w:r>
      <w:r w:rsidRPr="00D52B58">
        <w:t xml:space="preserve">HMT-3522 cells </w:t>
      </w:r>
      <w:r>
        <w:t xml:space="preserve">nor on </w:t>
      </w:r>
      <w:r w:rsidRPr="00D52B58">
        <w:t xml:space="preserve">BRCA1 mRNA expression in </w:t>
      </w:r>
      <w:r>
        <w:t xml:space="preserve">the immortalised but non transformed mammary epithelial </w:t>
      </w:r>
      <w:r w:rsidRPr="00D52B58">
        <w:t>MCF10a cells</w:t>
      </w:r>
      <w:r>
        <w:t xml:space="preserve">. </w:t>
      </w:r>
      <w:r w:rsidRPr="00D52B58">
        <w:t xml:space="preserve">BRCA2 </w:t>
      </w:r>
      <w:r>
        <w:t xml:space="preserve">expression in MCF10a cells </w:t>
      </w:r>
      <w:r w:rsidRPr="00D52B58">
        <w:t>was consistently below the detection limit of the assay (Tables 2 and 3).</w:t>
      </w:r>
      <w:r>
        <w:t xml:space="preserve"> </w:t>
      </w:r>
      <w:r w:rsidRPr="00D52B58">
        <w:t xml:space="preserve">FA treatment increased BRCA1 and 2 mRNA expression in </w:t>
      </w:r>
      <w:r>
        <w:t>breast adenocarcinoma M</w:t>
      </w:r>
      <w:r w:rsidRPr="00D52B58">
        <w:t>CF7 cells.</w:t>
      </w:r>
      <w:r>
        <w:t xml:space="preserve"> </w:t>
      </w:r>
      <w:r w:rsidRPr="00D52B58">
        <w:t xml:space="preserve"> Treatment with FA did not alter BRCA1 mRNA expression significantly in </w:t>
      </w:r>
      <w:r>
        <w:t xml:space="preserve">breast medullary </w:t>
      </w:r>
      <w:r w:rsidRPr="00D52B58">
        <w:t>MDA-MB-157 cells, but decreased the expression of BRCA2 in a dose-related manner.</w:t>
      </w:r>
      <w:r>
        <w:t xml:space="preserve"> </w:t>
      </w:r>
      <w:r w:rsidRPr="00D52B58">
        <w:t>In contrast, FA treatment induced increased BRCA1 and 2 expression at 25 nmoles/l, but the expression of these genes was reduced at higher FA concentrations.</w:t>
      </w:r>
      <w:r>
        <w:t xml:space="preserve"> </w:t>
      </w:r>
    </w:p>
    <w:p w14:paraId="46C695EF" w14:textId="77777777" w:rsidR="00D6576A" w:rsidRPr="00D52B58" w:rsidRDefault="00D6576A" w:rsidP="00A61B64">
      <w:pPr>
        <w:spacing w:line="480" w:lineRule="auto"/>
      </w:pPr>
      <w:r w:rsidRPr="00D52B58">
        <w:tab/>
      </w:r>
      <w:r>
        <w:t xml:space="preserve"> </w:t>
      </w:r>
      <w:r w:rsidRPr="00D52B58">
        <w:t>There was no significant effect of FA treatment on BRCA1 expression in any of the ovarian cancer cell lines tested (Table 2), while BRCA2 expression was below the assay detection limit (Table 3).</w:t>
      </w:r>
      <w:r>
        <w:t xml:space="preserve"> </w:t>
      </w:r>
      <w:r w:rsidRPr="00D52B58">
        <w:t>Treatment with FA decreased BRCA1 mRNA expression in JURKAT cells, but did not significantly alter its expression in primary peripheral blood mononuclear cells (PBMC) or THP1 cells (Table 2).</w:t>
      </w:r>
      <w:r>
        <w:t xml:space="preserve"> </w:t>
      </w:r>
      <w:r w:rsidRPr="00D52B58">
        <w:t>There was no significant effect of FA treatment on BRCA2 mRNA expression in PBMC, while the level of BRCA2</w:t>
      </w:r>
      <w:r>
        <w:t xml:space="preserve"> in THP1 and JURKAT cells</w:t>
      </w:r>
      <w:r w:rsidRPr="00D52B58">
        <w:t xml:space="preserve"> was below the detection limit of the assay (Table 3).</w:t>
      </w:r>
      <w:r>
        <w:t xml:space="preserve"> </w:t>
      </w:r>
      <w:r w:rsidRPr="00D52B58">
        <w:t xml:space="preserve"> </w:t>
      </w:r>
    </w:p>
    <w:p w14:paraId="4B72BBDA" w14:textId="77777777" w:rsidR="00D6576A" w:rsidRPr="00D52B58" w:rsidRDefault="00D6576A" w:rsidP="00A61B64">
      <w:pPr>
        <w:spacing w:line="480" w:lineRule="auto"/>
      </w:pPr>
    </w:p>
    <w:p w14:paraId="0B9D85B9" w14:textId="77777777" w:rsidR="00D6576A" w:rsidRPr="006F0B60" w:rsidRDefault="00D6576A" w:rsidP="00A61B64">
      <w:pPr>
        <w:spacing w:line="480" w:lineRule="auto"/>
        <w:rPr>
          <w:i/>
        </w:rPr>
      </w:pPr>
      <w:r>
        <w:rPr>
          <w:i/>
        </w:rPr>
        <w:t>3.2</w:t>
      </w:r>
      <w:r>
        <w:rPr>
          <w:i/>
        </w:rPr>
        <w:tab/>
      </w:r>
      <w:r w:rsidRPr="006F0B60">
        <w:rPr>
          <w:i/>
        </w:rPr>
        <w:t>Effect of FA supplementation on BRCA 1 and 2 protein expression</w:t>
      </w:r>
    </w:p>
    <w:p w14:paraId="351FB06C" w14:textId="77777777" w:rsidR="00D6576A" w:rsidRPr="00D52B58" w:rsidRDefault="00D6576A" w:rsidP="00A61B64">
      <w:pPr>
        <w:spacing w:line="480" w:lineRule="auto"/>
      </w:pPr>
      <w:r w:rsidRPr="00D52B58">
        <w:t>BRCA1 protein expression was not significantly altered in HepG2 cells exposed to 100 nmoles/l FA (</w:t>
      </w:r>
      <w:r>
        <w:t xml:space="preserve">Fig. </w:t>
      </w:r>
      <w:r w:rsidRPr="00D52B58">
        <w:t xml:space="preserve"> 2</w:t>
      </w:r>
      <w:r>
        <w:t>A</w:t>
      </w:r>
      <w:r w:rsidRPr="00D52B58">
        <w:t>). In contrast, FA treatment of Hs578T cells induced a significant increase in BRCA1 protein (</w:t>
      </w:r>
      <w:r>
        <w:t xml:space="preserve">Fig. </w:t>
      </w:r>
      <w:r w:rsidRPr="00D52B58">
        <w:t xml:space="preserve"> 2</w:t>
      </w:r>
      <w:r>
        <w:t>B</w:t>
      </w:r>
      <w:r w:rsidRPr="00D52B58">
        <w:t xml:space="preserve">). The level of BRCA2 protein was below the level of detection in all cells tested (data not shown). </w:t>
      </w:r>
    </w:p>
    <w:p w14:paraId="1BBFEB24" w14:textId="77777777" w:rsidR="00D6576A" w:rsidRPr="00D52B58" w:rsidRDefault="00D6576A" w:rsidP="00A61B64">
      <w:pPr>
        <w:spacing w:line="480" w:lineRule="auto"/>
      </w:pPr>
    </w:p>
    <w:p w14:paraId="2CAC77A1" w14:textId="77777777" w:rsidR="00D6576A" w:rsidRPr="006F0B60" w:rsidRDefault="00D6576A" w:rsidP="00A61B64">
      <w:pPr>
        <w:spacing w:line="480" w:lineRule="auto"/>
        <w:rPr>
          <w:i/>
        </w:rPr>
      </w:pPr>
      <w:r>
        <w:rPr>
          <w:i/>
        </w:rPr>
        <w:t>3.3</w:t>
      </w:r>
      <w:r>
        <w:rPr>
          <w:i/>
        </w:rPr>
        <w:tab/>
      </w:r>
      <w:r w:rsidRPr="006F0B60">
        <w:rPr>
          <w:i/>
        </w:rPr>
        <w:t xml:space="preserve">Effect of FA supplementation on DNA repair </w:t>
      </w:r>
    </w:p>
    <w:p w14:paraId="6F763420" w14:textId="77777777" w:rsidR="00D6576A" w:rsidRPr="00D52B58" w:rsidRDefault="00D6576A" w:rsidP="00A61B64">
      <w:pPr>
        <w:spacing w:line="480" w:lineRule="auto"/>
      </w:pPr>
      <w:r w:rsidRPr="00D52B58">
        <w:t>Significant DNA damage was induced in all of the liver cell lines which were tested (all P &lt; 0.0001).</w:t>
      </w:r>
      <w:r>
        <w:t xml:space="preserve"> </w:t>
      </w:r>
      <w:r w:rsidRPr="00D52B58">
        <w:t>Treatment with 100 nmoles/l FA had no effect on DNA damage in any of the cell lines at any of the time points that were measured (</w:t>
      </w:r>
      <w:r>
        <w:t xml:space="preserve">Fig. </w:t>
      </w:r>
      <w:r w:rsidRPr="00D52B58">
        <w:t xml:space="preserve"> 3). DNA damage increased significantly in primary hepatocytes one hour after being irradiated and the amount of damage returned to similar levels prior to irradiation (</w:t>
      </w:r>
      <w:r>
        <w:t xml:space="preserve">Fig. </w:t>
      </w:r>
      <w:r w:rsidRPr="00D52B58">
        <w:t xml:space="preserve"> 3A). HepG2 cells had much lower levels of DNA damage, which were highest immediately after irradiation and then decreased to baseline damage levels after four hours (</w:t>
      </w:r>
      <w:r>
        <w:t xml:space="preserve">Fig. </w:t>
      </w:r>
      <w:r w:rsidRPr="00D52B58">
        <w:t xml:space="preserve"> 3B). Conversely, the damage observed in the PLC/PRF/5 cell line significantly increased with every time point (</w:t>
      </w:r>
      <w:r>
        <w:t xml:space="preserve">Fig. </w:t>
      </w:r>
      <w:r w:rsidRPr="00D52B58">
        <w:t xml:space="preserve"> 3C).</w:t>
      </w:r>
    </w:p>
    <w:p w14:paraId="24BAAB42" w14:textId="77777777" w:rsidR="00D6576A" w:rsidRPr="00D52B58" w:rsidRDefault="00D6576A" w:rsidP="00A61B64">
      <w:pPr>
        <w:spacing w:line="480" w:lineRule="auto"/>
      </w:pPr>
      <w:r w:rsidRPr="00D52B58">
        <w:tab/>
        <w:t>Significant DNA damage was also induced in all of the breast lines that were tested (all P &lt; 0.0001) (Fig</w:t>
      </w:r>
      <w:r>
        <w:t>.</w:t>
      </w:r>
      <w:r w:rsidRPr="00D52B58">
        <w:t xml:space="preserve"> 4).</w:t>
      </w:r>
      <w:r>
        <w:t xml:space="preserve"> </w:t>
      </w:r>
      <w:r w:rsidRPr="00D52B58">
        <w:t>There was a significant time*treatment interaction effect on DNA damage in MCF10a cells (F= (3,907) 12.0, P &lt;0.0001) (</w:t>
      </w:r>
      <w:r>
        <w:t xml:space="preserve">Fig. </w:t>
      </w:r>
      <w:r w:rsidRPr="00D52B58">
        <w:t xml:space="preserve"> 4A). Treatment with 100nmoles/l FA decreased the amount of damage observed in MCF10a cells after one hour, however, the damage in both treatment groups had returned to baseline levels after 4 hours (</w:t>
      </w:r>
      <w:r>
        <w:t xml:space="preserve">Fig. </w:t>
      </w:r>
      <w:r w:rsidRPr="00D52B58">
        <w:t xml:space="preserve"> 4A).</w:t>
      </w:r>
      <w:r>
        <w:t xml:space="preserve"> </w:t>
      </w:r>
      <w:r w:rsidRPr="00D52B58">
        <w:t>There was also a significant time*treatment interaction effect on DNA damage in Hs578T cells (F=(3,911) 7.2, P &lt; 0.0001) (</w:t>
      </w:r>
      <w:r>
        <w:t xml:space="preserve">Fig. </w:t>
      </w:r>
      <w:r w:rsidRPr="00D52B58">
        <w:t xml:space="preserve"> 4B).</w:t>
      </w:r>
      <w:r>
        <w:t xml:space="preserve"> </w:t>
      </w:r>
      <w:r w:rsidRPr="00D52B58">
        <w:t>DNA damage immediately after irradiation was significantly higher in cells treated with 100 nmoles/l FA compared to untreated cells.</w:t>
      </w:r>
      <w:r>
        <w:t xml:space="preserve"> </w:t>
      </w:r>
      <w:r w:rsidRPr="00D52B58">
        <w:t>However, DNA damage levels were significantly lower in the FA treated cells than the control group after 1 hour recovery (</w:t>
      </w:r>
      <w:r>
        <w:t xml:space="preserve">Fig. </w:t>
      </w:r>
      <w:r w:rsidRPr="00D52B58">
        <w:t xml:space="preserve"> 4B). After 4 hours, DNA damage levels for both groups had increased to similar levels.</w:t>
      </w:r>
      <w:r>
        <w:t xml:space="preserve"> </w:t>
      </w:r>
      <w:r w:rsidRPr="00D52B58">
        <w:t>There was no significant effect of FA treatment on the induction of DNA damage or recovery in either MCF7 or MDA-MB-157 cells (</w:t>
      </w:r>
      <w:r>
        <w:t xml:space="preserve">Fig. </w:t>
      </w:r>
      <w:r w:rsidRPr="00D52B58">
        <w:t xml:space="preserve"> 4</w:t>
      </w:r>
      <w:r>
        <w:t xml:space="preserve"> </w:t>
      </w:r>
      <w:r w:rsidRPr="00D52B58">
        <w:t xml:space="preserve">C, D). </w:t>
      </w:r>
    </w:p>
    <w:p w14:paraId="2848D1BA" w14:textId="77777777" w:rsidR="00D6576A" w:rsidRPr="00D52B58" w:rsidRDefault="00D6576A" w:rsidP="00A61B64">
      <w:pPr>
        <w:spacing w:line="480" w:lineRule="auto"/>
        <w:rPr>
          <w:i/>
        </w:rPr>
      </w:pPr>
    </w:p>
    <w:p w14:paraId="0CA2A2BE" w14:textId="77777777" w:rsidR="00D6576A" w:rsidRPr="006F0B60" w:rsidRDefault="00D6576A" w:rsidP="00A61B64">
      <w:pPr>
        <w:spacing w:line="480" w:lineRule="auto"/>
        <w:rPr>
          <w:i/>
        </w:rPr>
      </w:pPr>
      <w:r>
        <w:rPr>
          <w:i/>
        </w:rPr>
        <w:t>3.4</w:t>
      </w:r>
      <w:r>
        <w:rPr>
          <w:i/>
        </w:rPr>
        <w:tab/>
      </w:r>
      <w:r w:rsidRPr="006F0B60">
        <w:rPr>
          <w:i/>
        </w:rPr>
        <w:t xml:space="preserve">BRCA 1 and 2 DNA methylation </w:t>
      </w:r>
    </w:p>
    <w:p w14:paraId="564A0227" w14:textId="77777777" w:rsidR="00D6576A" w:rsidRPr="00D52B58" w:rsidRDefault="00D6576A" w:rsidP="00A61B64">
      <w:pPr>
        <w:spacing w:line="480" w:lineRule="auto"/>
        <w:rPr>
          <w:iCs/>
        </w:rPr>
      </w:pPr>
      <w:r w:rsidRPr="00D52B58">
        <w:rPr>
          <w:iCs/>
        </w:rPr>
        <w:t>We compared baseline methylation levels at 0 nmoles/l FA for all of the cell lines (</w:t>
      </w:r>
      <w:r>
        <w:t>Fig. s</w:t>
      </w:r>
      <w:r w:rsidRPr="00D52B58">
        <w:rPr>
          <w:iCs/>
        </w:rPr>
        <w:t xml:space="preserve"> 5 and 6).</w:t>
      </w:r>
      <w:r>
        <w:rPr>
          <w:iCs/>
        </w:rPr>
        <w:t xml:space="preserve"> </w:t>
      </w:r>
      <w:r w:rsidRPr="00D52B58">
        <w:rPr>
          <w:iCs/>
        </w:rPr>
        <w:t xml:space="preserve">Because of the detection limit of pyrosequencing assays </w:t>
      </w:r>
      <w:r>
        <w:rPr>
          <w:iCs/>
          <w:noProof/>
        </w:rPr>
        <w:t>[52]</w:t>
      </w:r>
      <w:r w:rsidRPr="00D52B58">
        <w:rPr>
          <w:iCs/>
        </w:rPr>
        <w:t>, CpG loci that had methylation levels of 5% or less were regarded as essentially unmethylated.</w:t>
      </w:r>
      <w:r>
        <w:rPr>
          <w:iCs/>
        </w:rPr>
        <w:t xml:space="preserve"> </w:t>
      </w:r>
      <w:r w:rsidRPr="00D52B58">
        <w:rPr>
          <w:iCs/>
        </w:rPr>
        <w:t>Statistical analysis was only carried out for loci at which the level of methylation was at least 5% in all the cell lines tested for a specific tissue.</w:t>
      </w:r>
    </w:p>
    <w:p w14:paraId="704175AC" w14:textId="77777777" w:rsidR="00D6576A" w:rsidRPr="00D52B58" w:rsidRDefault="00D6576A" w:rsidP="00A61B64">
      <w:pPr>
        <w:spacing w:line="480" w:lineRule="auto"/>
        <w:rPr>
          <w:iCs/>
        </w:rPr>
      </w:pPr>
      <w:r w:rsidRPr="00D52B58">
        <w:rPr>
          <w:iCs/>
        </w:rPr>
        <w:tab/>
        <w:t>BRCA1 promoter methylation was below 15% at the majority of CpGs investigated in all liver cell lines, with small</w:t>
      </w:r>
      <w:r>
        <w:rPr>
          <w:iCs/>
        </w:rPr>
        <w:t xml:space="preserve"> </w:t>
      </w:r>
      <w:r w:rsidRPr="00D52B58">
        <w:rPr>
          <w:iCs/>
        </w:rPr>
        <w:t>significant differences (</w:t>
      </w:r>
      <w:r w:rsidRPr="00D52B58">
        <w:rPr>
          <w:rFonts w:eastAsia="MS Gothic"/>
          <w:color w:val="000000"/>
        </w:rPr>
        <w:t>≤</w:t>
      </w:r>
      <w:r w:rsidRPr="00D52B58">
        <w:rPr>
          <w:iCs/>
        </w:rPr>
        <w:t>5%) between cell lines at specific CpG loci (</w:t>
      </w:r>
      <w:r>
        <w:t xml:space="preserve">Fig. </w:t>
      </w:r>
      <w:r w:rsidRPr="00D52B58">
        <w:rPr>
          <w:iCs/>
        </w:rPr>
        <w:t xml:space="preserve"> 5A). Methylation of BRCA1 in the breast cancer cells was more variable than in liver or ovarian cells, or leukocytes (</w:t>
      </w:r>
      <w:r>
        <w:t xml:space="preserve">Fig. </w:t>
      </w:r>
      <w:r w:rsidRPr="00D52B58">
        <w:rPr>
          <w:iCs/>
        </w:rPr>
        <w:t xml:space="preserve"> 5).</w:t>
      </w:r>
      <w:r>
        <w:rPr>
          <w:iCs/>
        </w:rPr>
        <w:t xml:space="preserve"> </w:t>
      </w:r>
      <w:r w:rsidRPr="00D52B58">
        <w:rPr>
          <w:iCs/>
        </w:rPr>
        <w:t>HMT-3522 and Hs578T cells significantly higher methylation (</w:t>
      </w:r>
      <w:r w:rsidRPr="00D52B58">
        <w:rPr>
          <w:rFonts w:eastAsia="MS Gothic"/>
          <w:color w:val="000000"/>
        </w:rPr>
        <w:t>≥ 20%</w:t>
      </w:r>
      <w:r w:rsidRPr="00D52B58">
        <w:rPr>
          <w:iCs/>
        </w:rPr>
        <w:t>) at CpG loci -567, -565 and in HMT-3522 cells alone at CpGs -533 and -518 compared to the other breast cell lines for which methylated was approximately 5% for all CpG loci (</w:t>
      </w:r>
      <w:r>
        <w:t xml:space="preserve">Fig. </w:t>
      </w:r>
      <w:r w:rsidRPr="00D52B58">
        <w:rPr>
          <w:iCs/>
        </w:rPr>
        <w:t xml:space="preserve"> 5B).</w:t>
      </w:r>
      <w:r>
        <w:rPr>
          <w:iCs/>
        </w:rPr>
        <w:t xml:space="preserve"> </w:t>
      </w:r>
      <w:r w:rsidRPr="00D52B58">
        <w:rPr>
          <w:iCs/>
        </w:rPr>
        <w:t>There were also small, significant differences (</w:t>
      </w:r>
      <w:r w:rsidRPr="00D52B58">
        <w:rPr>
          <w:rFonts w:eastAsia="MS Gothic"/>
          <w:color w:val="000000"/>
        </w:rPr>
        <w:t>≤</w:t>
      </w:r>
      <w:r w:rsidRPr="00D52B58">
        <w:rPr>
          <w:iCs/>
        </w:rPr>
        <w:t>5%) between ovarian cells lines in the level of methylation at CpGs -533 and -518.</w:t>
      </w:r>
      <w:r>
        <w:rPr>
          <w:iCs/>
        </w:rPr>
        <w:t xml:space="preserve"> </w:t>
      </w:r>
      <w:r w:rsidRPr="00D52B58">
        <w:rPr>
          <w:iCs/>
        </w:rPr>
        <w:t>Methylation of CpGs -567 and -565 in PBMCs and THP1 cells was significantly higher (20 - 30 %) at CpGs -567, -565 and at CpGs -533 and -518 (</w:t>
      </w:r>
      <w:r w:rsidRPr="00D52B58">
        <w:rPr>
          <w:rFonts w:eastAsia="MS Gothic"/>
          <w:color w:val="000000"/>
        </w:rPr>
        <w:t>≥10%</w:t>
      </w:r>
      <w:r w:rsidRPr="00D52B58">
        <w:rPr>
          <w:iCs/>
        </w:rPr>
        <w:t>) compared to the JURKAT cells (</w:t>
      </w:r>
      <w:r>
        <w:t>Fig.</w:t>
      </w:r>
      <w:r w:rsidRPr="00D52B58">
        <w:rPr>
          <w:iCs/>
        </w:rPr>
        <w:t xml:space="preserve"> 5D).</w:t>
      </w:r>
      <w:r>
        <w:rPr>
          <w:iCs/>
        </w:rPr>
        <w:t xml:space="preserve"> </w:t>
      </w:r>
      <w:r w:rsidRPr="00D52B58">
        <w:rPr>
          <w:iCs/>
        </w:rPr>
        <w:t>However, the level of methylation for all other CPG loci was close to or less than 5% for all three leukocyte cell lines which were tested. DNA methylation across the BRCA2 promoter region was close to or below 5% in all o</w:t>
      </w:r>
      <w:r>
        <w:rPr>
          <w:iCs/>
        </w:rPr>
        <w:t>f the cell lines investigated (</w:t>
      </w:r>
      <w:r>
        <w:t xml:space="preserve">Fig. </w:t>
      </w:r>
      <w:r w:rsidRPr="00D52B58">
        <w:rPr>
          <w:iCs/>
        </w:rPr>
        <w:t xml:space="preserve"> 6). There was no significant effect of FA treatment on the methylation status of either BRCA1 or 2 in any of the cell lines tested (data not shown).</w:t>
      </w:r>
    </w:p>
    <w:p w14:paraId="1A4C29B8" w14:textId="77777777" w:rsidR="00D6576A" w:rsidRPr="00D52B58" w:rsidRDefault="00D6576A" w:rsidP="00A61B64">
      <w:pPr>
        <w:spacing w:line="480" w:lineRule="auto"/>
      </w:pPr>
    </w:p>
    <w:p w14:paraId="76E93069" w14:textId="77777777" w:rsidR="00D6576A" w:rsidRPr="00D52B58" w:rsidRDefault="00D6576A" w:rsidP="00A61B64">
      <w:pPr>
        <w:spacing w:line="480" w:lineRule="auto"/>
      </w:pPr>
      <w:r>
        <w:rPr>
          <w:b/>
        </w:rPr>
        <w:t>4.</w:t>
      </w:r>
      <w:r>
        <w:rPr>
          <w:b/>
        </w:rPr>
        <w:tab/>
        <w:t>Discussion</w:t>
      </w:r>
    </w:p>
    <w:p w14:paraId="6AF331AA" w14:textId="77777777" w:rsidR="00D6576A" w:rsidRPr="00D52B58" w:rsidRDefault="00D6576A" w:rsidP="00A61B64">
      <w:pPr>
        <w:spacing w:line="480" w:lineRule="auto"/>
        <w:ind w:firstLine="720"/>
      </w:pPr>
      <w:r w:rsidRPr="00D52B58">
        <w:t xml:space="preserve">The findings of previous studies have suggested that the effect of dietary supplementation with FA on cancer risk is variable and may depend, in part, upon the nature of the cancer </w:t>
      </w:r>
      <w:r>
        <w:rPr>
          <w:noProof/>
        </w:rPr>
        <w:t>[2-5, 7, 8, 10-12, 53, 54]</w:t>
      </w:r>
      <w:r w:rsidRPr="00D52B58">
        <w:t>.</w:t>
      </w:r>
      <w:r>
        <w:t xml:space="preserve"> </w:t>
      </w:r>
      <w:r w:rsidRPr="00D52B58">
        <w:t>Our findings are consistent with these observations.</w:t>
      </w:r>
      <w:r>
        <w:t xml:space="preserve"> </w:t>
      </w:r>
      <w:r w:rsidRPr="00D52B58">
        <w:t xml:space="preserve">Treatment of cell cultures with FA at concentrations that were within the range which can be achieved in human subjects </w:t>
      </w:r>
      <w:r w:rsidRPr="00A37697">
        <w:rPr>
          <w:i/>
        </w:rPr>
        <w:t>in vivo</w:t>
      </w:r>
      <w:r w:rsidRPr="00D52B58">
        <w:t xml:space="preserve"> </w:t>
      </w:r>
      <w:r>
        <w:rPr>
          <w:noProof/>
        </w:rPr>
        <w:t>[34, 55-57]</w:t>
      </w:r>
      <w:r w:rsidRPr="00D52B58">
        <w:t xml:space="preserve"> induced differential changes in the mRNA and protein expression of BRCA 1 and 2 between primary and cancer cells derived from the same tissue, and between cell</w:t>
      </w:r>
      <w:r>
        <w:t xml:space="preserve"> line</w:t>
      </w:r>
      <w:r w:rsidRPr="00D52B58">
        <w:t xml:space="preserve">s </w:t>
      </w:r>
      <w:r>
        <w:t xml:space="preserve">derived from the same cell type.  </w:t>
      </w:r>
      <w:r w:rsidRPr="00D52B58">
        <w:t xml:space="preserve">These findings show for the first time that physiological concentrations of FA are able to modulate the level of mRNA of two genes that encode </w:t>
      </w:r>
      <w:r>
        <w:t xml:space="preserve">proteins </w:t>
      </w:r>
      <w:r w:rsidRPr="00D52B58">
        <w:t>that are critical for maintenance of DNA integrity.</w:t>
      </w:r>
      <w:r>
        <w:t xml:space="preserve"> </w:t>
      </w:r>
      <w:r w:rsidRPr="00D52B58">
        <w:t>None of the primary or non-transformed cells showed significant FA-induced changes in BRCA1 or BRCA 2 mRNA expression.</w:t>
      </w:r>
      <w:r>
        <w:t xml:space="preserve"> </w:t>
      </w:r>
      <w:r w:rsidRPr="00D52B58">
        <w:t>In contrast, 2/4 of the liver cancer cells lines</w:t>
      </w:r>
      <w:r>
        <w:t xml:space="preserve">, </w:t>
      </w:r>
      <w:r w:rsidRPr="00D52B58">
        <w:t>3/5 breast cancer cells lines</w:t>
      </w:r>
      <w:r>
        <w:t xml:space="preserve"> and</w:t>
      </w:r>
      <w:r w:rsidRPr="00D52B58">
        <w:t xml:space="preserve"> 1/2 leukaemia cells lines, but none of the ovarian cancer cell lines, showed altered BR</w:t>
      </w:r>
      <w:r>
        <w:t>CA</w:t>
      </w:r>
      <w:r w:rsidRPr="00D52B58">
        <w:t>1 mRNA expression.</w:t>
      </w:r>
      <w:r>
        <w:t xml:space="preserve"> </w:t>
      </w:r>
      <w:r w:rsidRPr="00D52B58">
        <w:t>2/4 liver</w:t>
      </w:r>
      <w:r>
        <w:t xml:space="preserve"> </w:t>
      </w:r>
      <w:r w:rsidRPr="00D52B58">
        <w:t>and 2/5 breast, but not ovarian or leukaemia, cancer cell lines showed altered BRCA 2 mRNA expression.</w:t>
      </w:r>
      <w:r>
        <w:t xml:space="preserve"> </w:t>
      </w:r>
      <w:r w:rsidRPr="00D52B58">
        <w:t xml:space="preserve">Although these findings do not represent a comprehensive analysis of all possible cancer cell types that may be derived from these tissues, these findings support the suggestion that any effect of </w:t>
      </w:r>
      <w:r>
        <w:t xml:space="preserve">FA </w:t>
      </w:r>
      <w:r w:rsidRPr="00D52B58">
        <w:t>supplementation on the mRNA expression of BRCA 1 or BRCA 2 may reflect the particular type of cancer.</w:t>
      </w:r>
      <w:r>
        <w:t xml:space="preserve"> </w:t>
      </w:r>
      <w:r w:rsidRPr="00D52B58">
        <w:t>Thus these findings are consistent with and suggest an explanation for the inconsistent reports in the literature regarding the effect of FA on cancer risk</w:t>
      </w:r>
    </w:p>
    <w:p w14:paraId="0EC53AFA" w14:textId="77777777" w:rsidR="00D6576A" w:rsidRDefault="00D6576A" w:rsidP="00A61B64">
      <w:pPr>
        <w:spacing w:line="480" w:lineRule="auto"/>
      </w:pPr>
    </w:p>
    <w:p w14:paraId="3F7431CE" w14:textId="77777777" w:rsidR="00D6576A" w:rsidRPr="00221827" w:rsidRDefault="00D6576A" w:rsidP="00A61B64">
      <w:pPr>
        <w:spacing w:line="480" w:lineRule="auto"/>
        <w:rPr>
          <w:i/>
        </w:rPr>
      </w:pPr>
      <w:r w:rsidRPr="00221827">
        <w:rPr>
          <w:i/>
        </w:rPr>
        <w:t>4.1</w:t>
      </w:r>
      <w:r w:rsidRPr="00221827">
        <w:rPr>
          <w:i/>
        </w:rPr>
        <w:tab/>
        <w:t>mRNA expression</w:t>
      </w:r>
    </w:p>
    <w:p w14:paraId="67A79362" w14:textId="77777777" w:rsidR="00D6576A" w:rsidRDefault="00D6576A" w:rsidP="00A61B64">
      <w:pPr>
        <w:spacing w:line="480" w:lineRule="auto"/>
      </w:pPr>
      <w:r w:rsidRPr="00D52B58">
        <w:t xml:space="preserve">Treatment with the highest concentration of FA (100 </w:t>
      </w:r>
      <w:r>
        <w:rPr>
          <w:color w:val="000000"/>
        </w:rPr>
        <w:t>n</w:t>
      </w:r>
      <w:r w:rsidRPr="00D52B58">
        <w:rPr>
          <w:color w:val="000000"/>
          <w:lang w:val="en-US"/>
        </w:rPr>
        <w:t>mol/l)</w:t>
      </w:r>
      <w:r w:rsidRPr="00D52B58">
        <w:rPr>
          <w:b/>
          <w:color w:val="000000"/>
          <w:lang w:val="en-US"/>
        </w:rPr>
        <w:t xml:space="preserve"> </w:t>
      </w:r>
      <w:r w:rsidRPr="00D52B58">
        <w:t>induced changes in the level of BRCA1 protein in the same direction as the mRNA transcript in HepG2 and Hs578T cells, although this was only significant for the Hs578T cell line.</w:t>
      </w:r>
      <w:r>
        <w:t xml:space="preserve"> </w:t>
      </w:r>
      <w:r w:rsidRPr="00D52B58">
        <w:t>The effect of varying FA concentration on protein expression was not tested for practical reasons.</w:t>
      </w:r>
      <w:r>
        <w:t xml:space="preserve"> </w:t>
      </w:r>
      <w:r w:rsidRPr="00D52B58">
        <w:t xml:space="preserve">Although MCF7 </w:t>
      </w:r>
      <w:r>
        <w:t>and M</w:t>
      </w:r>
      <w:r w:rsidRPr="00D52B58">
        <w:t>DA-MB-231 cells showed an overall significant effect of FA treatment on BRCA 1 mRNA expression, pairwise testing did not detect a significant difference between treated cells and controls, and so the effect of FA on the levels of BRCA 1 protein was not determined in these cells.</w:t>
      </w:r>
      <w:r>
        <w:t xml:space="preserve"> </w:t>
      </w:r>
      <w:r w:rsidRPr="00D52B58">
        <w:t xml:space="preserve"> Although the BRCA2 transcript was detected </w:t>
      </w:r>
      <w:r>
        <w:t>in some cell lines</w:t>
      </w:r>
      <w:r w:rsidRPr="00D52B58">
        <w:t xml:space="preserve">, the level of </w:t>
      </w:r>
      <w:r>
        <w:t xml:space="preserve">BRCA2 </w:t>
      </w:r>
      <w:r w:rsidRPr="00D52B58">
        <w:t>protein expression was below the detection limit of the western blot assay.</w:t>
      </w:r>
      <w:r>
        <w:t xml:space="preserve"> </w:t>
      </w:r>
      <w:r w:rsidRPr="00D52B58">
        <w:t>Nevertheless, these findings suggested that, at least in some cell types, FA treatment modified the level of both BRCA 1 mRNA and protein.</w:t>
      </w:r>
      <w:r>
        <w:t xml:space="preserve"> </w:t>
      </w:r>
      <w:r w:rsidRPr="00D52B58">
        <w:t xml:space="preserve">These findings are in contrast to the effect of supra-physiological folic acid concentrations on normal cells </w:t>
      </w:r>
      <w:r>
        <w:rPr>
          <w:noProof/>
        </w:rPr>
        <w:t>[58]</w:t>
      </w:r>
      <w:r w:rsidRPr="00D52B58">
        <w:t>.</w:t>
      </w:r>
      <w:r>
        <w:t xml:space="preserve"> </w:t>
      </w:r>
      <w:r w:rsidRPr="00D52B58">
        <w:t xml:space="preserve">This highlights the importance of using physiological concentrations in studies of the effects of nutrients on cancer-related outcomes </w:t>
      </w:r>
      <w:r w:rsidRPr="00D52B58">
        <w:rPr>
          <w:i/>
        </w:rPr>
        <w:t>in vitro</w:t>
      </w:r>
      <w:r w:rsidRPr="00D52B58">
        <w:t>.</w:t>
      </w:r>
    </w:p>
    <w:p w14:paraId="22CE17DB" w14:textId="77777777" w:rsidR="00D6576A" w:rsidRDefault="00D6576A" w:rsidP="00A61B64">
      <w:pPr>
        <w:spacing w:line="480" w:lineRule="auto"/>
      </w:pPr>
    </w:p>
    <w:p w14:paraId="5775ECB2" w14:textId="77777777" w:rsidR="00D6576A" w:rsidRPr="00221827" w:rsidRDefault="00D6576A" w:rsidP="00A61B64">
      <w:pPr>
        <w:spacing w:line="480" w:lineRule="auto"/>
        <w:rPr>
          <w:i/>
        </w:rPr>
      </w:pPr>
      <w:r w:rsidRPr="00221827">
        <w:rPr>
          <w:i/>
        </w:rPr>
        <w:t>4.2</w:t>
      </w:r>
      <w:r w:rsidRPr="00221827">
        <w:rPr>
          <w:i/>
        </w:rPr>
        <w:tab/>
        <w:t>DNA repair</w:t>
      </w:r>
    </w:p>
    <w:p w14:paraId="62065515" w14:textId="77777777" w:rsidR="00D6576A" w:rsidRDefault="00D6576A" w:rsidP="00A61B64">
      <w:pPr>
        <w:spacing w:line="480" w:lineRule="auto"/>
      </w:pPr>
      <w:r w:rsidRPr="00D52B58">
        <w:tab/>
        <w:t>Capacity to repair radiation-induced DNA damage was used to test whether the changes induced in BRCA 1 and/ or 2 mRNA or protein expression might be biologically significant.</w:t>
      </w:r>
      <w:r>
        <w:t xml:space="preserve"> </w:t>
      </w:r>
      <w:r w:rsidRPr="00D52B58">
        <w:t xml:space="preserve">All cell types showed significant DNA damage as a result of exposure to </w:t>
      </w:r>
      <w:r>
        <w:t>non-</w:t>
      </w:r>
      <w:r w:rsidRPr="00D52B58">
        <w:t>ionising radiation.</w:t>
      </w:r>
      <w:r>
        <w:t xml:space="preserve"> </w:t>
      </w:r>
      <w:r w:rsidRPr="00D52B58">
        <w:t xml:space="preserve">However, there </w:t>
      </w:r>
      <w:r>
        <w:t xml:space="preserve">were </w:t>
      </w:r>
      <w:r w:rsidRPr="00D52B58">
        <w:t>differences between cells types in their ability to repair DNA damage.</w:t>
      </w:r>
      <w:r>
        <w:t xml:space="preserve"> </w:t>
      </w:r>
      <w:r w:rsidRPr="00D52B58">
        <w:t>Primary hepatocytes, HepG2, MCF10a, MCF7 and MDAMB157</w:t>
      </w:r>
      <w:r>
        <w:t xml:space="preserve"> </w:t>
      </w:r>
      <w:r w:rsidRPr="00D52B58">
        <w:t>cells exhibited DNA repair by 4 hours after irradiation, the extent of which was greater for the non-cancer cells hepatocytes and MCF10a cells.</w:t>
      </w:r>
      <w:r>
        <w:t xml:space="preserve"> </w:t>
      </w:r>
      <w:r w:rsidRPr="00D52B58">
        <w:t xml:space="preserve">However, the other cancer cell lines, PLCPRF5 and </w:t>
      </w:r>
      <w:r>
        <w:t>H</w:t>
      </w:r>
      <w:r w:rsidRPr="00D52B58">
        <w:t>s578T cells,</w:t>
      </w:r>
      <w:r>
        <w:t xml:space="preserve"> </w:t>
      </w:r>
      <w:r w:rsidRPr="00D52B58">
        <w:t>showed significantly greater DNA damage at 4 hours after irradiation than at earlier time points.</w:t>
      </w:r>
      <w:r>
        <w:t xml:space="preserve"> </w:t>
      </w:r>
      <w:r w:rsidRPr="00D52B58">
        <w:t xml:space="preserve">Such differences in DNA repair capacity between cell lines may reflect variation in the expression </w:t>
      </w:r>
      <w:r>
        <w:t xml:space="preserve">and functional activity </w:t>
      </w:r>
      <w:r w:rsidRPr="00D52B58">
        <w:t>of other genes involved in DNA repair.</w:t>
      </w:r>
      <w:r>
        <w:t xml:space="preserve"> </w:t>
      </w:r>
      <w:r w:rsidRPr="00D52B58">
        <w:t>For example,</w:t>
      </w:r>
      <w:r>
        <w:t xml:space="preserve"> p53 is mutated in Hs578T cells </w:t>
      </w:r>
      <w:r>
        <w:rPr>
          <w:noProof/>
        </w:rPr>
        <w:t>[59]</w:t>
      </w:r>
      <w:r>
        <w:t xml:space="preserve"> and CDKN2A  in PLC/PRF/5 cells </w:t>
      </w:r>
      <w:r>
        <w:rPr>
          <w:noProof/>
        </w:rPr>
        <w:t>[60]</w:t>
      </w:r>
      <w:r>
        <w:t xml:space="preserve">. </w:t>
      </w:r>
      <w:r w:rsidRPr="00D52B58">
        <w:t>There was no effect of FA treatment on DNA repair in liver-derived cells while there were transient effects of FA treatment on breast tissue-derived cells.</w:t>
      </w:r>
      <w:r>
        <w:t xml:space="preserve"> </w:t>
      </w:r>
      <w:r w:rsidRPr="00D52B58">
        <w:t xml:space="preserve">One possible explanation is that although FA treatment altered BRCA 1 or 2 mRNA expression, the magnitude of this effect </w:t>
      </w:r>
      <w:r>
        <w:t xml:space="preserve">maybe </w:t>
      </w:r>
      <w:r w:rsidRPr="00D52B58">
        <w:t xml:space="preserve">too small </w:t>
      </w:r>
      <w:r>
        <w:t xml:space="preserve">to result in a significance change in DNA repair capacity </w:t>
      </w:r>
      <w:r w:rsidRPr="00D52B58">
        <w:t>.</w:t>
      </w:r>
      <w:r>
        <w:t xml:space="preserve"> </w:t>
      </w:r>
      <w:r w:rsidRPr="00D52B58">
        <w:t>In cancer cells this may have been due to impaired expression of other genes involved in DNA repair.</w:t>
      </w:r>
      <w:r>
        <w:t xml:space="preserve"> </w:t>
      </w:r>
      <w:r w:rsidRPr="00D52B58">
        <w:t>One implication of these findings is that dietary FA may have a limited effect on the susceptibility of liver or breast tumour cells to radiation and hence may not be a consideration in patients undergoing radiotherapy.</w:t>
      </w:r>
    </w:p>
    <w:p w14:paraId="27FB0077" w14:textId="77777777" w:rsidR="00D6576A" w:rsidRDefault="00D6576A" w:rsidP="00A61B64">
      <w:pPr>
        <w:spacing w:line="480" w:lineRule="auto"/>
      </w:pPr>
    </w:p>
    <w:p w14:paraId="634D960B" w14:textId="77777777" w:rsidR="00D6576A" w:rsidRPr="00221827" w:rsidRDefault="00D6576A" w:rsidP="00A61B64">
      <w:pPr>
        <w:spacing w:line="480" w:lineRule="auto"/>
        <w:rPr>
          <w:i/>
        </w:rPr>
      </w:pPr>
      <w:r w:rsidRPr="00221827">
        <w:rPr>
          <w:i/>
        </w:rPr>
        <w:t>4.3</w:t>
      </w:r>
      <w:r w:rsidRPr="00221827">
        <w:rPr>
          <w:i/>
        </w:rPr>
        <w:tab/>
        <w:t>DNA methylation</w:t>
      </w:r>
    </w:p>
    <w:p w14:paraId="32820268" w14:textId="77777777" w:rsidR="00D6576A" w:rsidRPr="00D52B58" w:rsidRDefault="00D6576A" w:rsidP="00A61B64">
      <w:pPr>
        <w:spacing w:line="480" w:lineRule="auto"/>
      </w:pPr>
      <w:r w:rsidRPr="00D52B58">
        <w:t xml:space="preserve">Variations in folate status have been associated with changes in the DNA methylation status of specific genes </w:t>
      </w:r>
      <w:r>
        <w:rPr>
          <w:noProof/>
        </w:rPr>
        <w:t>[17-20]</w:t>
      </w:r>
      <w:r w:rsidRPr="00D52B58">
        <w:t>.</w:t>
      </w:r>
      <w:r>
        <w:t xml:space="preserve"> </w:t>
      </w:r>
      <w:r w:rsidRPr="00D52B58">
        <w:t xml:space="preserve">Furthermore, DNA hypermethylation of the BRCA1 promoter has been associated with decreased mRNA expression </w:t>
      </w:r>
      <w:r>
        <w:rPr>
          <w:noProof/>
        </w:rPr>
        <w:t>[61-63]</w:t>
      </w:r>
      <w:r w:rsidRPr="00D52B58">
        <w:t xml:space="preserve"> and with sporadic breast cancer </w:t>
      </w:r>
      <w:r>
        <w:rPr>
          <w:noProof/>
        </w:rPr>
        <w:t>[30, 64-66]</w:t>
      </w:r>
      <w:r w:rsidRPr="00D52B58">
        <w:t>.</w:t>
      </w:r>
      <w:r>
        <w:t xml:space="preserve"> </w:t>
      </w:r>
      <w:r w:rsidRPr="00D52B58">
        <w:t>We investigated whether the changes in BRCA1 or 2 mRNA expression induced by FA treatment were associated with altered DNA methylation of these genes.</w:t>
      </w:r>
      <w:r>
        <w:t xml:space="preserve"> </w:t>
      </w:r>
      <w:r w:rsidRPr="00D52B58">
        <w:t xml:space="preserve">The region of BRCA 1 that was analysed has been shown previously to be hypermethylated in some sporadic breast cancer cells, but essentially unmethylated in others including MCF7 cells, and in peripheral blood mononuclear cells, fibroblasts and normal mammary epithelium </w:t>
      </w:r>
      <w:r>
        <w:rPr>
          <w:noProof/>
        </w:rPr>
        <w:t>[63]</w:t>
      </w:r>
      <w:r w:rsidRPr="00D52B58">
        <w:t>.</w:t>
      </w:r>
      <w:r>
        <w:t xml:space="preserve"> To our knowledge, there have not been any study that have reported in detail the methylation status of individual CpG loci in </w:t>
      </w:r>
      <w:r w:rsidRPr="007938D0">
        <w:t>BRCA 2</w:t>
      </w:r>
      <w:r>
        <w:t xml:space="preserve"> using sequencing techniques</w:t>
      </w:r>
      <w:r w:rsidRPr="00D52B58">
        <w:t>.</w:t>
      </w:r>
      <w:r>
        <w:t xml:space="preserve"> One study reported average methylation (60%) at CpGs -176 and -148 bp relative to the transcription start site (TSS) </w:t>
      </w:r>
      <w:r>
        <w:rPr>
          <w:noProof/>
        </w:rPr>
        <w:t>[67]</w:t>
      </w:r>
      <w:r>
        <w:t xml:space="preserve">, but no information is available about the level of methylation of CpG loci more proximal to the TSS. We found that </w:t>
      </w:r>
      <w:r w:rsidRPr="00D52B58">
        <w:t xml:space="preserve"> the </w:t>
      </w:r>
      <w:r>
        <w:t xml:space="preserve">proximal promoter </w:t>
      </w:r>
      <w:r w:rsidRPr="00D52B58">
        <w:t>region of BRCA 1 was essentially unmethylated in all cells tested in the absence of FA treatment.</w:t>
      </w:r>
      <w:r>
        <w:t xml:space="preserve"> </w:t>
      </w:r>
      <w:r w:rsidRPr="00D52B58">
        <w:t>However, specific CpG loci were more highly methylated in some, but not all, breast, ovary and leukocyte-derived cells.</w:t>
      </w:r>
      <w:r>
        <w:t xml:space="preserve"> </w:t>
      </w:r>
      <w:r w:rsidRPr="00D52B58">
        <w:t>In contrast, the region of BRCA 2 that was analysed was essentially unmethylated in all cells tested.</w:t>
      </w:r>
      <w:r>
        <w:t xml:space="preserve"> </w:t>
      </w:r>
      <w:r w:rsidRPr="00D52B58">
        <w:t xml:space="preserve">One possible implication of these findings is that the background level of DNA methylation, particularly of BRCA 1, may influence the choice of cell type </w:t>
      </w:r>
      <w:r>
        <w:t>for</w:t>
      </w:r>
      <w:r w:rsidRPr="00D52B58">
        <w:t xml:space="preserve"> studies on epigenetic processes in cancer.</w:t>
      </w:r>
    </w:p>
    <w:p w14:paraId="40A32487" w14:textId="77777777" w:rsidR="00D6576A" w:rsidRPr="00D52B58" w:rsidRDefault="00D6576A" w:rsidP="00A61B64">
      <w:pPr>
        <w:spacing w:line="480" w:lineRule="auto"/>
      </w:pPr>
      <w:r w:rsidRPr="00D52B58">
        <w:tab/>
        <w:t xml:space="preserve">There was no significant effect of FA treatment on the methylation of the regions of </w:t>
      </w:r>
      <w:r>
        <w:t xml:space="preserve">sequenced within the </w:t>
      </w:r>
      <w:r w:rsidRPr="00D52B58">
        <w:t>BRCA 1 or 2</w:t>
      </w:r>
      <w:r>
        <w:t xml:space="preserve"> promoters</w:t>
      </w:r>
      <w:r w:rsidRPr="00D52B58">
        <w:t>.</w:t>
      </w:r>
      <w:r>
        <w:t xml:space="preserve"> </w:t>
      </w:r>
      <w:r w:rsidRPr="00D52B58">
        <w:t xml:space="preserve">Thus any effect of FA treatment on the levels of the transcripts of these genes is unlikely to be mediated through </w:t>
      </w:r>
      <w:r>
        <w:t xml:space="preserve">changes in </w:t>
      </w:r>
      <w:r w:rsidRPr="00D52B58">
        <w:t xml:space="preserve">DNA methylation of these </w:t>
      </w:r>
      <w:r>
        <w:t>sequences</w:t>
      </w:r>
      <w:r w:rsidRPr="00D52B58">
        <w:t xml:space="preserve">, although it is possible that other </w:t>
      </w:r>
      <w:r>
        <w:t xml:space="preserve">regions </w:t>
      </w:r>
      <w:r w:rsidRPr="00D52B58">
        <w:t>could be involved.</w:t>
      </w:r>
      <w:r>
        <w:t xml:space="preserve"> </w:t>
      </w:r>
      <w:r w:rsidRPr="00D52B58">
        <w:t>However, since the duration of FA treatment was relatively short, other mechanisms such as changes in histone methylation could be involved which may subsequently lead to altered DNA methylation over a longer period</w:t>
      </w:r>
      <w:r>
        <w:t xml:space="preserve"> </w:t>
      </w:r>
      <w:r>
        <w:rPr>
          <w:noProof/>
        </w:rPr>
        <w:t>[68]</w:t>
      </w:r>
      <w:r w:rsidRPr="00D52B58">
        <w:t xml:space="preserve">. </w:t>
      </w:r>
    </w:p>
    <w:p w14:paraId="4DBD133A" w14:textId="77777777" w:rsidR="00D6576A" w:rsidRDefault="00D6576A" w:rsidP="00A61B64">
      <w:pPr>
        <w:spacing w:line="480" w:lineRule="auto"/>
      </w:pPr>
    </w:p>
    <w:p w14:paraId="69977D25" w14:textId="77777777" w:rsidR="00D6576A" w:rsidRPr="00221827" w:rsidRDefault="00D6576A" w:rsidP="00A61B64">
      <w:pPr>
        <w:spacing w:line="480" w:lineRule="auto"/>
        <w:rPr>
          <w:b/>
        </w:rPr>
      </w:pPr>
      <w:r w:rsidRPr="00221827">
        <w:rPr>
          <w:b/>
        </w:rPr>
        <w:t>5.</w:t>
      </w:r>
      <w:r w:rsidRPr="00221827">
        <w:rPr>
          <w:b/>
        </w:rPr>
        <w:tab/>
        <w:t>Conclusions</w:t>
      </w:r>
    </w:p>
    <w:p w14:paraId="73A8F5EA" w14:textId="77777777" w:rsidR="00D6576A" w:rsidRDefault="00D6576A" w:rsidP="00A61B64">
      <w:pPr>
        <w:spacing w:line="480" w:lineRule="auto"/>
      </w:pPr>
      <w:r w:rsidRPr="00D52B58">
        <w:t>These findings are consistent with the uncertainty in the literature regarding the effects of FA on cancer risk, but indicate that any effect of FA on BRCA 1 or 2 expression may be specific to a particular cell type.</w:t>
      </w:r>
      <w:r>
        <w:t xml:space="preserve"> </w:t>
      </w:r>
      <w:r w:rsidRPr="00D52B58">
        <w:t>Furthermore, the functional consequences of FA appear to be modest at least in terms of DNA repair.</w:t>
      </w:r>
      <w:r>
        <w:t xml:space="preserve"> </w:t>
      </w:r>
      <w:r w:rsidRPr="00D52B58">
        <w:t xml:space="preserve">Extrapolation of the findings of </w:t>
      </w:r>
      <w:r w:rsidRPr="00D52B58">
        <w:rPr>
          <w:i/>
        </w:rPr>
        <w:t>in vitro</w:t>
      </w:r>
      <w:r w:rsidRPr="00D52B58">
        <w:t xml:space="preserve"> studies to patients must be cautious and limited. However, one possible implication is that, even if replicated in primary tumour cells, it may not be possible to make general recommendations for FA intake in cancer.</w:t>
      </w:r>
      <w:r>
        <w:t xml:space="preserve"> </w:t>
      </w:r>
    </w:p>
    <w:p w14:paraId="33EF0D6A" w14:textId="77777777" w:rsidR="00D6576A" w:rsidRDefault="00D6576A" w:rsidP="00A61B64">
      <w:pPr>
        <w:spacing w:line="480" w:lineRule="auto"/>
      </w:pPr>
    </w:p>
    <w:p w14:paraId="74E27BA3" w14:textId="77777777" w:rsidR="00D6576A" w:rsidRDefault="00D6576A" w:rsidP="00A61B64">
      <w:pPr>
        <w:spacing w:line="480" w:lineRule="auto"/>
      </w:pPr>
      <w:r>
        <w:rPr>
          <w:b/>
        </w:rPr>
        <w:t xml:space="preserve">Competing interests:  </w:t>
      </w:r>
      <w:r w:rsidRPr="000070A1">
        <w:t>The authors have declared that no competing interests exist</w:t>
      </w:r>
      <w:r>
        <w:t>.</w:t>
      </w:r>
    </w:p>
    <w:p w14:paraId="2FAE1E24" w14:textId="77777777" w:rsidR="00D6576A" w:rsidRDefault="00D6576A" w:rsidP="00A61B64">
      <w:pPr>
        <w:spacing w:line="480" w:lineRule="auto"/>
      </w:pPr>
    </w:p>
    <w:p w14:paraId="45C723B8" w14:textId="77777777" w:rsidR="00D6576A" w:rsidRPr="000070A1" w:rsidRDefault="00D6576A" w:rsidP="00A61B64">
      <w:pPr>
        <w:spacing w:line="480" w:lineRule="auto"/>
        <w:rPr>
          <w:b/>
        </w:rPr>
      </w:pPr>
      <w:r w:rsidRPr="000070A1">
        <w:rPr>
          <w:b/>
        </w:rPr>
        <w:t>Author contribution</w:t>
      </w:r>
      <w:r>
        <w:rPr>
          <w:b/>
        </w:rPr>
        <w:t>s</w:t>
      </w:r>
    </w:p>
    <w:p w14:paraId="03B21F1E" w14:textId="77777777" w:rsidR="00D6576A" w:rsidRDefault="00D6576A" w:rsidP="00A61B64">
      <w:pPr>
        <w:spacing w:line="480" w:lineRule="auto"/>
      </w:pPr>
      <w:r>
        <w:t xml:space="preserve"> Conceived and designed the experiments:  GCB, KAL.  Performed the experiments: RJP. Analysed the data:  GCB RJP.  Wrote the paper: GCB, RJP, KAL.</w:t>
      </w:r>
    </w:p>
    <w:p w14:paraId="63606A22" w14:textId="77777777" w:rsidR="00C53C05" w:rsidRDefault="00C53C05" w:rsidP="00A61B64">
      <w:pPr>
        <w:spacing w:line="480" w:lineRule="auto"/>
      </w:pPr>
    </w:p>
    <w:p w14:paraId="04D488F3" w14:textId="77777777" w:rsidR="00C53C05" w:rsidRPr="00B55E42" w:rsidRDefault="00C53C05" w:rsidP="00C53C05">
      <w:pPr>
        <w:spacing w:line="480" w:lineRule="auto"/>
        <w:rPr>
          <w:rFonts w:eastAsia="MS Gothic"/>
          <w:b/>
          <w:color w:val="000000"/>
          <w:lang w:val="en-US"/>
        </w:rPr>
      </w:pPr>
      <w:r w:rsidRPr="00B55E42">
        <w:rPr>
          <w:rFonts w:eastAsia="MS Gothic"/>
          <w:b/>
          <w:color w:val="000000"/>
          <w:lang w:val="en-US"/>
        </w:rPr>
        <w:t>REFERENCES</w:t>
      </w:r>
    </w:p>
    <w:p w14:paraId="689689A6" w14:textId="77777777" w:rsidR="00C53C05" w:rsidRPr="00D52B58" w:rsidRDefault="00C53C05" w:rsidP="00C53C05">
      <w:pPr>
        <w:pStyle w:val="EndNoteBibliography"/>
        <w:spacing w:line="480" w:lineRule="auto"/>
      </w:pPr>
    </w:p>
    <w:p w14:paraId="722B880F" w14:textId="77777777" w:rsidR="00C53C05" w:rsidRPr="005945BE" w:rsidRDefault="00C53C05" w:rsidP="00C53C05">
      <w:pPr>
        <w:pStyle w:val="EndNoteBibliography"/>
        <w:spacing w:line="480" w:lineRule="auto"/>
        <w:rPr>
          <w:noProof/>
        </w:rPr>
      </w:pPr>
      <w:bookmarkStart w:id="0" w:name="_ENREF_1"/>
      <w:r w:rsidRPr="005945BE">
        <w:rPr>
          <w:noProof/>
        </w:rPr>
        <w:t>[1] Mathers JC. Folate intake and bowel cancer risk. Genes Nutr. 2009;4:173-8.</w:t>
      </w:r>
      <w:bookmarkEnd w:id="0"/>
    </w:p>
    <w:p w14:paraId="0B0F90BA" w14:textId="6A24BBF3" w:rsidR="00C53C05" w:rsidRPr="005945BE" w:rsidRDefault="00C53C05" w:rsidP="00C53C05">
      <w:pPr>
        <w:pStyle w:val="EndNoteBibliography"/>
        <w:spacing w:line="480" w:lineRule="auto"/>
        <w:rPr>
          <w:noProof/>
        </w:rPr>
      </w:pPr>
      <w:bookmarkStart w:id="1" w:name="_ENREF_2"/>
      <w:r w:rsidRPr="005945BE">
        <w:rPr>
          <w:noProof/>
        </w:rPr>
        <w:t xml:space="preserve">[2] French AE, Grant R, Weitzman S, Ray JG, Vermeulen MJ, Sung L, et al. Folic acid food fortification is associated with a decline in neuroblastoma. Clin </w:t>
      </w:r>
      <w:r w:rsidR="00001EED">
        <w:rPr>
          <w:noProof/>
        </w:rPr>
        <w:t>P</w:t>
      </w:r>
      <w:r w:rsidRPr="005945BE">
        <w:rPr>
          <w:noProof/>
        </w:rPr>
        <w:t xml:space="preserve">harmacol </w:t>
      </w:r>
      <w:r w:rsidR="00001EED">
        <w:rPr>
          <w:noProof/>
        </w:rPr>
        <w:t>T</w:t>
      </w:r>
      <w:r w:rsidRPr="005945BE">
        <w:rPr>
          <w:noProof/>
        </w:rPr>
        <w:t>herap</w:t>
      </w:r>
      <w:r w:rsidR="00001EED">
        <w:rPr>
          <w:noProof/>
        </w:rPr>
        <w:t>.</w:t>
      </w:r>
      <w:r w:rsidRPr="005945BE">
        <w:rPr>
          <w:noProof/>
        </w:rPr>
        <w:t xml:space="preserve"> 2003;74:288-94.</w:t>
      </w:r>
      <w:bookmarkEnd w:id="1"/>
    </w:p>
    <w:p w14:paraId="6F2FEAFC" w14:textId="0581AD93" w:rsidR="00C53C05" w:rsidRPr="005945BE" w:rsidRDefault="00C53C05" w:rsidP="00C53C05">
      <w:pPr>
        <w:pStyle w:val="EndNoteBibliography"/>
        <w:spacing w:line="480" w:lineRule="auto"/>
        <w:rPr>
          <w:noProof/>
        </w:rPr>
      </w:pPr>
      <w:bookmarkStart w:id="2" w:name="_ENREF_3"/>
      <w:r w:rsidRPr="005945BE">
        <w:rPr>
          <w:noProof/>
        </w:rPr>
        <w:t xml:space="preserve">[3] Bunin GR, Kuijten RR, Buckley JD, Rorke LB, Meadows AT. Relation between maternal diet and subsequent primitive neuroectodermal brain tumors in young children. </w:t>
      </w:r>
      <w:r w:rsidR="00001EED">
        <w:rPr>
          <w:noProof/>
        </w:rPr>
        <w:t>N</w:t>
      </w:r>
      <w:r w:rsidRPr="005945BE">
        <w:rPr>
          <w:noProof/>
        </w:rPr>
        <w:t xml:space="preserve"> Eng </w:t>
      </w:r>
      <w:r w:rsidR="00001EED">
        <w:rPr>
          <w:noProof/>
        </w:rPr>
        <w:t>J</w:t>
      </w:r>
      <w:r w:rsidRPr="005945BE">
        <w:rPr>
          <w:noProof/>
        </w:rPr>
        <w:t xml:space="preserve"> </w:t>
      </w:r>
      <w:r w:rsidR="00001EED">
        <w:rPr>
          <w:noProof/>
        </w:rPr>
        <w:t>M</w:t>
      </w:r>
      <w:r w:rsidRPr="005945BE">
        <w:rPr>
          <w:noProof/>
        </w:rPr>
        <w:t>ed. 1993;329:536-41.</w:t>
      </w:r>
      <w:bookmarkEnd w:id="2"/>
    </w:p>
    <w:p w14:paraId="1C56C753" w14:textId="06A2AC94" w:rsidR="00C53C05" w:rsidRPr="005945BE" w:rsidRDefault="00C53C05" w:rsidP="00C53C05">
      <w:pPr>
        <w:pStyle w:val="EndNoteBibliography"/>
        <w:spacing w:line="480" w:lineRule="auto"/>
        <w:rPr>
          <w:noProof/>
        </w:rPr>
      </w:pPr>
      <w:bookmarkStart w:id="3" w:name="_ENREF_4"/>
      <w:r w:rsidRPr="005945BE">
        <w:rPr>
          <w:noProof/>
        </w:rPr>
        <w:t>[4] Olshan AF, Smith JC, Bondy ML, Neglia JP, Pollock BH. Maternal vitamin use and reduced risk of neuroblastoma. Epidemiol. 2002;13:575-80.</w:t>
      </w:r>
      <w:bookmarkEnd w:id="3"/>
    </w:p>
    <w:p w14:paraId="482985B5" w14:textId="77777777" w:rsidR="00C53C05" w:rsidRPr="005945BE" w:rsidRDefault="00C53C05" w:rsidP="00C53C05">
      <w:pPr>
        <w:pStyle w:val="EndNoteBibliography"/>
        <w:spacing w:line="480" w:lineRule="auto"/>
        <w:rPr>
          <w:noProof/>
        </w:rPr>
      </w:pPr>
      <w:bookmarkStart w:id="4" w:name="_ENREF_5"/>
      <w:r w:rsidRPr="005945BE">
        <w:rPr>
          <w:noProof/>
        </w:rPr>
        <w:t>[5] Jaszewski R, Misra S, Tobi M, Ullah N, Naumoff JA, Kucuk O, et al. Folic acid supplementation inhibits recurrence of colorectal adenomas: a randomized chemoprevention trial. World JGastroenterol. 2008;14:4492-8.</w:t>
      </w:r>
      <w:bookmarkEnd w:id="4"/>
    </w:p>
    <w:p w14:paraId="7BFB4053" w14:textId="5EC93298" w:rsidR="00C53C05" w:rsidRPr="005945BE" w:rsidRDefault="00C53C05" w:rsidP="00C53C05">
      <w:pPr>
        <w:pStyle w:val="EndNoteBibliography"/>
        <w:spacing w:line="480" w:lineRule="auto"/>
        <w:rPr>
          <w:noProof/>
        </w:rPr>
      </w:pPr>
      <w:bookmarkStart w:id="5" w:name="_ENREF_6"/>
      <w:r w:rsidRPr="005945BE">
        <w:rPr>
          <w:noProof/>
        </w:rPr>
        <w:t>[6] Logan RF, Grainge MJ, Shepherd VC, Armitage NC, Muir KR. Aspirin and folic acid for the prevention of recurrent colorectal adenomas. Gastroentero. 2008;134:29-38.</w:t>
      </w:r>
      <w:bookmarkEnd w:id="5"/>
    </w:p>
    <w:p w14:paraId="70DFAC9B" w14:textId="77777777" w:rsidR="00C53C05" w:rsidRPr="005945BE" w:rsidRDefault="00C53C05" w:rsidP="00C53C05">
      <w:pPr>
        <w:pStyle w:val="EndNoteBibliography"/>
        <w:spacing w:line="480" w:lineRule="auto"/>
        <w:rPr>
          <w:noProof/>
        </w:rPr>
      </w:pPr>
      <w:bookmarkStart w:id="6" w:name="_ENREF_7"/>
      <w:r w:rsidRPr="005945BE">
        <w:rPr>
          <w:noProof/>
        </w:rPr>
        <w:t>[7] Cole BF, Baron JA, Sandler RS, Haile RW, Ahnen DJ, Bresalier RS, et al. Folic acid for the prevention of colorectal adenomas: a randomized clinical trial. JAMA. 2007;297:2351-9.</w:t>
      </w:r>
      <w:bookmarkEnd w:id="6"/>
    </w:p>
    <w:p w14:paraId="4FEDAB45" w14:textId="61ADAC04" w:rsidR="00C53C05" w:rsidRPr="005945BE" w:rsidRDefault="00C53C05" w:rsidP="00C53C05">
      <w:pPr>
        <w:pStyle w:val="EndNoteBibliography"/>
        <w:spacing w:line="480" w:lineRule="auto"/>
        <w:rPr>
          <w:noProof/>
        </w:rPr>
      </w:pPr>
      <w:bookmarkStart w:id="7" w:name="_ENREF_8"/>
      <w:r w:rsidRPr="005945BE">
        <w:rPr>
          <w:noProof/>
        </w:rPr>
        <w:t>[8] Kim YI. Folic acid supplementation and cancer risk: point. Cancer epidemiology, biomarkers &amp; prevention : a publication of the American Association for Cancer Research, cosponsored by the Am Soc Prev Oncol. 2008;17:2220-5.</w:t>
      </w:r>
      <w:bookmarkEnd w:id="7"/>
    </w:p>
    <w:p w14:paraId="6BD064BC" w14:textId="0F821C74" w:rsidR="00C53C05" w:rsidRPr="005945BE" w:rsidRDefault="00C53C05" w:rsidP="00C53C05">
      <w:pPr>
        <w:pStyle w:val="EndNoteBibliography"/>
        <w:spacing w:line="480" w:lineRule="auto"/>
        <w:rPr>
          <w:noProof/>
        </w:rPr>
      </w:pPr>
      <w:bookmarkStart w:id="8" w:name="_ENREF_9"/>
      <w:r w:rsidRPr="005945BE">
        <w:rPr>
          <w:noProof/>
        </w:rPr>
        <w:t>[9] Mason JB, Dickstein A, Jacques PF, Haggarty P, Selhub J, Dallal G, et al. A temporal association between folic acid fortification and an increase in colorectal cancer rates may be illuminating important biological principles: a hypothesis. Cancer Epidemiol</w:t>
      </w:r>
      <w:r w:rsidR="00001EED">
        <w:rPr>
          <w:noProof/>
        </w:rPr>
        <w:t xml:space="preserve"> </w:t>
      </w:r>
      <w:r w:rsidRPr="005945BE">
        <w:rPr>
          <w:noProof/>
        </w:rPr>
        <w:t>Biomarkers Prev. 2007;16:1325-9.</w:t>
      </w:r>
      <w:bookmarkEnd w:id="8"/>
    </w:p>
    <w:p w14:paraId="34B56500" w14:textId="23685E0B" w:rsidR="00C53C05" w:rsidRPr="005945BE" w:rsidRDefault="00C53C05" w:rsidP="00C53C05">
      <w:pPr>
        <w:pStyle w:val="EndNoteBibliography"/>
        <w:spacing w:line="480" w:lineRule="auto"/>
        <w:rPr>
          <w:noProof/>
        </w:rPr>
      </w:pPr>
      <w:bookmarkStart w:id="9" w:name="_ENREF_10"/>
      <w:r w:rsidRPr="005945BE">
        <w:rPr>
          <w:noProof/>
        </w:rPr>
        <w:t>[10] Hirsch S, Sanchez H, Albala C, de la Maza MP, Barrera G, Leiva L, et al. Colon cancer in Chile before and after the start of the flour fortification program with folic acid. Eur</w:t>
      </w:r>
      <w:r w:rsidR="00001EED">
        <w:rPr>
          <w:noProof/>
        </w:rPr>
        <w:t xml:space="preserve"> </w:t>
      </w:r>
      <w:r w:rsidRPr="005945BE">
        <w:rPr>
          <w:noProof/>
        </w:rPr>
        <w:t>J</w:t>
      </w:r>
      <w:r w:rsidR="00001EED">
        <w:rPr>
          <w:noProof/>
        </w:rPr>
        <w:t xml:space="preserve"> </w:t>
      </w:r>
      <w:r w:rsidRPr="005945BE">
        <w:rPr>
          <w:noProof/>
        </w:rPr>
        <w:t>Gastroenterol</w:t>
      </w:r>
      <w:r w:rsidR="00001EED">
        <w:rPr>
          <w:noProof/>
        </w:rPr>
        <w:t xml:space="preserve"> </w:t>
      </w:r>
      <w:r w:rsidRPr="005945BE">
        <w:rPr>
          <w:noProof/>
        </w:rPr>
        <w:t>Hepatol. 2009;21:436-9.</w:t>
      </w:r>
      <w:bookmarkEnd w:id="9"/>
    </w:p>
    <w:p w14:paraId="2DF08FA3" w14:textId="77777777" w:rsidR="00C53C05" w:rsidRPr="005945BE" w:rsidRDefault="00C53C05" w:rsidP="00C53C05">
      <w:pPr>
        <w:pStyle w:val="EndNoteBibliography"/>
        <w:spacing w:line="480" w:lineRule="auto"/>
        <w:rPr>
          <w:noProof/>
        </w:rPr>
      </w:pPr>
      <w:bookmarkStart w:id="10" w:name="_ENREF_11"/>
      <w:r w:rsidRPr="005945BE">
        <w:rPr>
          <w:noProof/>
        </w:rPr>
        <w:t>[11] Terry P, Jain M, Miller AB, Howe GR, Rohan TE. Dietary intake of folic acid and colorectal cancer risk in a cohort of women. Int J Cancer. 2002;97:864-7.</w:t>
      </w:r>
      <w:bookmarkEnd w:id="10"/>
    </w:p>
    <w:p w14:paraId="00C32381" w14:textId="77777777" w:rsidR="00C53C05" w:rsidRPr="005945BE" w:rsidRDefault="00C53C05" w:rsidP="00C53C05">
      <w:pPr>
        <w:pStyle w:val="EndNoteBibliography"/>
        <w:spacing w:line="480" w:lineRule="auto"/>
        <w:rPr>
          <w:noProof/>
        </w:rPr>
      </w:pPr>
      <w:bookmarkStart w:id="11" w:name="_ENREF_12"/>
      <w:r w:rsidRPr="005945BE">
        <w:rPr>
          <w:noProof/>
        </w:rPr>
        <w:t>[12] Qin X, Cui Y, Shen L, Sun N, Zhang Y, Li J, et al. Folic acid supplementation and cancer risk: a meta-analysis of randomized controlled trials. Int J Cancer. 2013;133:1033-41.</w:t>
      </w:r>
      <w:bookmarkEnd w:id="11"/>
    </w:p>
    <w:p w14:paraId="5935C3AF" w14:textId="77777777" w:rsidR="00C53C05" w:rsidRPr="005945BE" w:rsidRDefault="00C53C05" w:rsidP="00C53C05">
      <w:pPr>
        <w:pStyle w:val="EndNoteBibliography"/>
        <w:spacing w:line="480" w:lineRule="auto"/>
        <w:rPr>
          <w:noProof/>
        </w:rPr>
      </w:pPr>
      <w:bookmarkStart w:id="12" w:name="_ENREF_13"/>
      <w:r w:rsidRPr="005945BE">
        <w:rPr>
          <w:noProof/>
        </w:rPr>
        <w:t>[13] Zhang SM, Cook NR, Albert CM, Gaziano JM, Buring JE, Manson JE. Effect of combined folic acid, vitamin B6, and vitamin B12 on cancer risk in women: a randomized trial. JAMA. 2008;300:2012-21.</w:t>
      </w:r>
      <w:bookmarkEnd w:id="12"/>
    </w:p>
    <w:p w14:paraId="7EA0F6C6" w14:textId="701F0CB5" w:rsidR="00C53C05" w:rsidRPr="005945BE" w:rsidRDefault="00C53C05" w:rsidP="00C53C05">
      <w:pPr>
        <w:pStyle w:val="EndNoteBibliography"/>
        <w:spacing w:line="480" w:lineRule="auto"/>
        <w:rPr>
          <w:noProof/>
        </w:rPr>
      </w:pPr>
      <w:bookmarkStart w:id="13" w:name="_ENREF_14"/>
      <w:r w:rsidRPr="005945BE">
        <w:rPr>
          <w:noProof/>
        </w:rPr>
        <w:t>[14] Bird A. DNA methylation patterns and epigenetic memory. Genes Dev. 2002;16:6-21.</w:t>
      </w:r>
      <w:bookmarkEnd w:id="13"/>
    </w:p>
    <w:p w14:paraId="00280C4F" w14:textId="3CDB9878" w:rsidR="00C53C05" w:rsidRPr="005945BE" w:rsidRDefault="00C53C05" w:rsidP="00C53C05">
      <w:pPr>
        <w:pStyle w:val="EndNoteBibliography"/>
        <w:spacing w:line="480" w:lineRule="auto"/>
        <w:rPr>
          <w:noProof/>
        </w:rPr>
      </w:pPr>
      <w:bookmarkStart w:id="14" w:name="_ENREF_15"/>
      <w:r w:rsidRPr="005945BE">
        <w:rPr>
          <w:noProof/>
        </w:rPr>
        <w:t xml:space="preserve">[15] Anderson OS, Sant KE, Dolinoy DC. Nutrition and epigenetics: an interplay of dietary methyl donors, one-carbon metabolism and DNA methylation. J </w:t>
      </w:r>
      <w:r w:rsidR="00001EED">
        <w:rPr>
          <w:noProof/>
        </w:rPr>
        <w:t>N</w:t>
      </w:r>
      <w:r w:rsidRPr="005945BE">
        <w:rPr>
          <w:noProof/>
        </w:rPr>
        <w:t xml:space="preserve">utr </w:t>
      </w:r>
      <w:r w:rsidR="00001EED">
        <w:rPr>
          <w:noProof/>
        </w:rPr>
        <w:t>B</w:t>
      </w:r>
      <w:r w:rsidRPr="005945BE">
        <w:rPr>
          <w:noProof/>
        </w:rPr>
        <w:t>iochem. 2012;23:853-9.</w:t>
      </w:r>
      <w:bookmarkEnd w:id="14"/>
    </w:p>
    <w:p w14:paraId="1B6CE847" w14:textId="293C2999" w:rsidR="00C53C05" w:rsidRPr="005945BE" w:rsidRDefault="00C53C05" w:rsidP="00C53C05">
      <w:pPr>
        <w:pStyle w:val="EndNoteBibliography"/>
        <w:spacing w:line="480" w:lineRule="auto"/>
        <w:rPr>
          <w:noProof/>
        </w:rPr>
      </w:pPr>
      <w:bookmarkStart w:id="15" w:name="_ENREF_16"/>
      <w:r w:rsidRPr="005945BE">
        <w:rPr>
          <w:noProof/>
        </w:rPr>
        <w:t>[16] Burdge GC, Lillycrop KA, Jackson AA. Nutrition in early life, and risk of cancer and metabolic disease: alternative endings in an epigenetic tale? Br</w:t>
      </w:r>
      <w:r w:rsidR="00001EED">
        <w:rPr>
          <w:noProof/>
        </w:rPr>
        <w:t xml:space="preserve"> </w:t>
      </w:r>
      <w:r w:rsidRPr="005945BE">
        <w:rPr>
          <w:noProof/>
        </w:rPr>
        <w:t>J Nutr. 2009;101:619-30.</w:t>
      </w:r>
      <w:bookmarkEnd w:id="15"/>
    </w:p>
    <w:p w14:paraId="3C179A67" w14:textId="77777777" w:rsidR="00C53C05" w:rsidRPr="005945BE" w:rsidRDefault="00C53C05" w:rsidP="00C53C05">
      <w:pPr>
        <w:pStyle w:val="EndNoteBibliography"/>
        <w:spacing w:line="480" w:lineRule="auto"/>
        <w:rPr>
          <w:noProof/>
        </w:rPr>
      </w:pPr>
      <w:bookmarkStart w:id="16" w:name="_ENREF_17"/>
      <w:r w:rsidRPr="005945BE">
        <w:rPr>
          <w:noProof/>
        </w:rPr>
        <w:t>[17] Kotsopoulos J, Sohn KJ, Kim YI. Postweaning dietary folate deficiency provided through childhood to puberty permanently increases genomic DNA methylation in adult rat liver. J Nutr. 2008;138:703-9.</w:t>
      </w:r>
      <w:bookmarkEnd w:id="16"/>
    </w:p>
    <w:p w14:paraId="708B2287" w14:textId="77777777" w:rsidR="00C53C05" w:rsidRPr="005945BE" w:rsidRDefault="00C53C05" w:rsidP="00C53C05">
      <w:pPr>
        <w:pStyle w:val="EndNoteBibliography"/>
        <w:spacing w:line="480" w:lineRule="auto"/>
        <w:rPr>
          <w:noProof/>
        </w:rPr>
      </w:pPr>
      <w:bookmarkStart w:id="17" w:name="_ENREF_18"/>
      <w:r w:rsidRPr="005945BE">
        <w:rPr>
          <w:noProof/>
        </w:rPr>
        <w:t>[18] Wolff GL, Kodell RL, Moore SR, Cooney CA. Maternal epigenetics and methyl supplements affect agouti gene expression in Avy/a mice. FASEB J. 1998;12:949-57.</w:t>
      </w:r>
      <w:bookmarkEnd w:id="17"/>
    </w:p>
    <w:p w14:paraId="24B88F54" w14:textId="017B05C5" w:rsidR="00C53C05" w:rsidRPr="005945BE" w:rsidRDefault="00C53C05" w:rsidP="00C53C05">
      <w:pPr>
        <w:pStyle w:val="EndNoteBibliography"/>
        <w:spacing w:line="480" w:lineRule="auto"/>
        <w:rPr>
          <w:noProof/>
        </w:rPr>
      </w:pPr>
      <w:bookmarkStart w:id="18" w:name="_ENREF_19"/>
      <w:r w:rsidRPr="005945BE">
        <w:rPr>
          <w:noProof/>
        </w:rPr>
        <w:t>[19] McKay JA, Williams EA, Mathers JC. Folate and DNA methylation during in utero development and aging. Biochem</w:t>
      </w:r>
      <w:r w:rsidR="00001EED">
        <w:rPr>
          <w:noProof/>
        </w:rPr>
        <w:t xml:space="preserve"> </w:t>
      </w:r>
      <w:r w:rsidRPr="005945BE">
        <w:rPr>
          <w:noProof/>
        </w:rPr>
        <w:t>Soc</w:t>
      </w:r>
      <w:r w:rsidR="00001EED">
        <w:rPr>
          <w:noProof/>
        </w:rPr>
        <w:t xml:space="preserve"> </w:t>
      </w:r>
      <w:r w:rsidRPr="005945BE">
        <w:rPr>
          <w:noProof/>
        </w:rPr>
        <w:t>Trans. 2004;32:1006-7.</w:t>
      </w:r>
      <w:bookmarkEnd w:id="18"/>
    </w:p>
    <w:p w14:paraId="575F4DC6" w14:textId="42A5397D" w:rsidR="00C53C05" w:rsidRPr="005945BE" w:rsidRDefault="00C53C05" w:rsidP="00C53C05">
      <w:pPr>
        <w:pStyle w:val="EndNoteBibliography"/>
        <w:spacing w:line="480" w:lineRule="auto"/>
        <w:rPr>
          <w:noProof/>
        </w:rPr>
      </w:pPr>
      <w:bookmarkStart w:id="19" w:name="_ENREF_20"/>
      <w:r w:rsidRPr="005945BE">
        <w:rPr>
          <w:noProof/>
        </w:rPr>
        <w:t>[20] McKay JA, Williams EA, Mathers JC. Gender-specific modulation of tumorigenesis by folic acid supply in the Apc mouse during early neonatal life. Br</w:t>
      </w:r>
      <w:r w:rsidR="00001EED">
        <w:rPr>
          <w:noProof/>
        </w:rPr>
        <w:t xml:space="preserve"> </w:t>
      </w:r>
      <w:r w:rsidRPr="005945BE">
        <w:rPr>
          <w:noProof/>
        </w:rPr>
        <w:t>J Nutr. 2008;99:550-8.</w:t>
      </w:r>
      <w:bookmarkEnd w:id="19"/>
    </w:p>
    <w:p w14:paraId="7E3790F9" w14:textId="77777777" w:rsidR="00C53C05" w:rsidRPr="005945BE" w:rsidRDefault="00C53C05" w:rsidP="00C53C05">
      <w:pPr>
        <w:pStyle w:val="EndNoteBibliography"/>
        <w:spacing w:line="480" w:lineRule="auto"/>
        <w:rPr>
          <w:noProof/>
        </w:rPr>
      </w:pPr>
      <w:bookmarkStart w:id="20" w:name="_ENREF_21"/>
      <w:r w:rsidRPr="005945BE">
        <w:rPr>
          <w:noProof/>
        </w:rPr>
        <w:t>[21] Ingrosso D, Cimmino A, Perna AF, Masella L, De Santo NG, De Bonis ML, et al. Folate treatment and unbalanced methylation and changes of allelic expression induced by hyperhomocysteinaemia in patients with uraemia. Lancet. 2003;361:1693-9.</w:t>
      </w:r>
      <w:bookmarkEnd w:id="20"/>
    </w:p>
    <w:p w14:paraId="34C19DD0" w14:textId="77777777" w:rsidR="00C53C05" w:rsidRPr="005945BE" w:rsidRDefault="00C53C05" w:rsidP="00C53C05">
      <w:pPr>
        <w:pStyle w:val="EndNoteBibliography"/>
        <w:spacing w:line="480" w:lineRule="auto"/>
        <w:rPr>
          <w:noProof/>
        </w:rPr>
      </w:pPr>
      <w:bookmarkStart w:id="21" w:name="_ENREF_22"/>
      <w:r w:rsidRPr="005945BE">
        <w:rPr>
          <w:noProof/>
        </w:rPr>
        <w:t>[22] Venkitaraman AR. Cancer susceptibility and the functions of BRCA1 and BRCA2. Cell. 2002;108:171-82.</w:t>
      </w:r>
      <w:bookmarkEnd w:id="21"/>
    </w:p>
    <w:p w14:paraId="02D00A0F" w14:textId="2DE6C016" w:rsidR="00C53C05" w:rsidRPr="005945BE" w:rsidRDefault="00C53C05" w:rsidP="00C53C05">
      <w:pPr>
        <w:pStyle w:val="EndNoteBibliography"/>
        <w:spacing w:line="480" w:lineRule="auto"/>
        <w:rPr>
          <w:noProof/>
        </w:rPr>
      </w:pPr>
      <w:bookmarkStart w:id="22" w:name="_ENREF_23"/>
      <w:r w:rsidRPr="005945BE">
        <w:rPr>
          <w:noProof/>
        </w:rPr>
        <w:t>[23] Friedenson B. BRCA1 and BRCA2 pathways and the risk of cancers other than breast or ovarian. Med</w:t>
      </w:r>
      <w:r w:rsidR="00001EED">
        <w:rPr>
          <w:noProof/>
        </w:rPr>
        <w:t xml:space="preserve"> </w:t>
      </w:r>
      <w:r w:rsidRPr="005945BE">
        <w:rPr>
          <w:noProof/>
        </w:rPr>
        <w:t>Gen</w:t>
      </w:r>
      <w:r w:rsidR="00001EED">
        <w:rPr>
          <w:noProof/>
        </w:rPr>
        <w:t xml:space="preserve"> </w:t>
      </w:r>
      <w:r w:rsidRPr="005945BE">
        <w:rPr>
          <w:noProof/>
        </w:rPr>
        <w:t>Med. 2005;7:60.</w:t>
      </w:r>
      <w:bookmarkEnd w:id="22"/>
    </w:p>
    <w:p w14:paraId="021E9E98" w14:textId="06604DB7" w:rsidR="00C53C05" w:rsidRPr="005945BE" w:rsidRDefault="00C53C05" w:rsidP="00C53C05">
      <w:pPr>
        <w:pStyle w:val="EndNoteBibliography"/>
        <w:spacing w:line="480" w:lineRule="auto"/>
        <w:rPr>
          <w:noProof/>
        </w:rPr>
      </w:pPr>
      <w:bookmarkStart w:id="23" w:name="_ENREF_24"/>
      <w:r w:rsidRPr="005945BE">
        <w:rPr>
          <w:noProof/>
        </w:rPr>
        <w:t>[24] Wilson CA, Ramos L, Villasenor MR, Anders KH, Press MF, Clarke K, et al. Localization of human BRCA1 and its loss in high-grade, non-inherited breast carcinomas. Nat</w:t>
      </w:r>
      <w:r w:rsidR="00001EED">
        <w:rPr>
          <w:noProof/>
        </w:rPr>
        <w:t xml:space="preserve"> </w:t>
      </w:r>
      <w:r w:rsidRPr="005945BE">
        <w:rPr>
          <w:noProof/>
        </w:rPr>
        <w:t>Genet. 1999;21:236-40.</w:t>
      </w:r>
      <w:bookmarkEnd w:id="23"/>
    </w:p>
    <w:p w14:paraId="6BB6E916" w14:textId="77777777" w:rsidR="00C53C05" w:rsidRPr="005945BE" w:rsidRDefault="00C53C05" w:rsidP="00C53C05">
      <w:pPr>
        <w:pStyle w:val="EndNoteBibliography"/>
        <w:spacing w:line="480" w:lineRule="auto"/>
        <w:rPr>
          <w:noProof/>
        </w:rPr>
      </w:pPr>
      <w:bookmarkStart w:id="24" w:name="_ENREF_25"/>
      <w:r w:rsidRPr="005945BE">
        <w:rPr>
          <w:noProof/>
        </w:rPr>
        <w:t>[25] Jones PA. DNA methylation and cancer. Oncogene. 2002;21:5358-60.</w:t>
      </w:r>
      <w:bookmarkEnd w:id="24"/>
    </w:p>
    <w:p w14:paraId="6318E6D9" w14:textId="77777777" w:rsidR="00C53C05" w:rsidRPr="005945BE" w:rsidRDefault="00C53C05" w:rsidP="00C53C05">
      <w:pPr>
        <w:pStyle w:val="EndNoteBibliography"/>
        <w:spacing w:line="480" w:lineRule="auto"/>
        <w:rPr>
          <w:noProof/>
        </w:rPr>
      </w:pPr>
      <w:bookmarkStart w:id="25" w:name="_ENREF_26"/>
      <w:r w:rsidRPr="005945BE">
        <w:rPr>
          <w:noProof/>
        </w:rPr>
        <w:t>[26] Rice JC, Ozcelik H, Maxeiner P, Andrulis I, Futscher BW. Methylation of the BRCA1 promoter is associated with decreased BRCA1 mRNA levels in clinical breast cancer specimens. Carcinogenesis. 2000;21:1761-5.</w:t>
      </w:r>
      <w:bookmarkEnd w:id="25"/>
    </w:p>
    <w:p w14:paraId="4D5D00C0" w14:textId="77777777" w:rsidR="00C53C05" w:rsidRPr="005945BE" w:rsidRDefault="00C53C05" w:rsidP="00C53C05">
      <w:pPr>
        <w:pStyle w:val="EndNoteBibliography"/>
        <w:spacing w:line="480" w:lineRule="auto"/>
        <w:rPr>
          <w:noProof/>
        </w:rPr>
      </w:pPr>
      <w:bookmarkStart w:id="26" w:name="_ENREF_27"/>
      <w:r w:rsidRPr="005945BE">
        <w:rPr>
          <w:noProof/>
        </w:rPr>
        <w:t>[27] Catteau A, Harris WH, Xu CF, Solomon E. Methylation of the BRCA1 promoter region in sporadic breast and ovarian cancer: correlation with disease characteristics. Oncogene. 1999;18:1957-65.</w:t>
      </w:r>
      <w:bookmarkEnd w:id="26"/>
    </w:p>
    <w:p w14:paraId="03F2B180" w14:textId="77777777" w:rsidR="00C53C05" w:rsidRPr="005945BE" w:rsidRDefault="00C53C05" w:rsidP="00C53C05">
      <w:pPr>
        <w:pStyle w:val="EndNoteBibliography"/>
        <w:spacing w:line="480" w:lineRule="auto"/>
        <w:rPr>
          <w:noProof/>
        </w:rPr>
      </w:pPr>
      <w:bookmarkStart w:id="27" w:name="_ENREF_28"/>
      <w:r w:rsidRPr="005945BE">
        <w:rPr>
          <w:noProof/>
        </w:rPr>
        <w:t>[28] Birgisdottir V, Stefansson OA, Bodvarsdottir SK, Hilmarsdottir H, Jonasson JG, Eyfjord JE. Epigenetic silencing and deletion of the BRCA1 gene in sporadic breast cancer. Breast Cancer Res. 2006;8:R38.</w:t>
      </w:r>
      <w:bookmarkEnd w:id="27"/>
    </w:p>
    <w:p w14:paraId="1090369F" w14:textId="77777777" w:rsidR="00C53C05" w:rsidRPr="005945BE" w:rsidRDefault="00C53C05" w:rsidP="00C53C05">
      <w:pPr>
        <w:pStyle w:val="EndNoteBibliography"/>
        <w:spacing w:line="480" w:lineRule="auto"/>
        <w:rPr>
          <w:noProof/>
        </w:rPr>
      </w:pPr>
      <w:bookmarkStart w:id="28" w:name="_ENREF_29"/>
      <w:r w:rsidRPr="005945BE">
        <w:rPr>
          <w:noProof/>
        </w:rPr>
        <w:t>[29] Chan KY, Ozcelik H, Cheung AN, Ngan HY, Khoo US. Epigenetic factors controlling the BRCA1 and BRCA2 genes in sporadic ovarian cancer. Cancer Res. 2002;62:4151-6.</w:t>
      </w:r>
      <w:bookmarkEnd w:id="28"/>
    </w:p>
    <w:p w14:paraId="078C314E" w14:textId="3EDCED40" w:rsidR="00C53C05" w:rsidRPr="005945BE" w:rsidRDefault="00C53C05" w:rsidP="00C53C05">
      <w:pPr>
        <w:pStyle w:val="EndNoteBibliography"/>
        <w:spacing w:line="480" w:lineRule="auto"/>
        <w:rPr>
          <w:noProof/>
        </w:rPr>
      </w:pPr>
      <w:bookmarkStart w:id="29" w:name="_ENREF_30"/>
      <w:r w:rsidRPr="005945BE">
        <w:rPr>
          <w:noProof/>
        </w:rPr>
        <w:t>[30] Esteller M. Epigenetic lesions causing genetic lesions in human cancer: promoter hypermethylation of DNA repair genes. Eur</w:t>
      </w:r>
      <w:r w:rsidR="00001EED">
        <w:rPr>
          <w:noProof/>
        </w:rPr>
        <w:t xml:space="preserve"> </w:t>
      </w:r>
      <w:r w:rsidRPr="005945BE">
        <w:rPr>
          <w:noProof/>
        </w:rPr>
        <w:t>J</w:t>
      </w:r>
      <w:r w:rsidR="00001EED">
        <w:rPr>
          <w:noProof/>
        </w:rPr>
        <w:t xml:space="preserve"> </w:t>
      </w:r>
      <w:r w:rsidRPr="005945BE">
        <w:rPr>
          <w:noProof/>
        </w:rPr>
        <w:t>Cancer. 2000;36:2294-300.</w:t>
      </w:r>
      <w:bookmarkEnd w:id="29"/>
    </w:p>
    <w:p w14:paraId="284C3203" w14:textId="77777777" w:rsidR="00C53C05" w:rsidRPr="005945BE" w:rsidRDefault="00C53C05" w:rsidP="00C53C05">
      <w:pPr>
        <w:pStyle w:val="EndNoteBibliography"/>
        <w:spacing w:line="480" w:lineRule="auto"/>
        <w:rPr>
          <w:noProof/>
        </w:rPr>
      </w:pPr>
      <w:bookmarkStart w:id="30" w:name="_ENREF_31"/>
      <w:r w:rsidRPr="005945BE">
        <w:rPr>
          <w:noProof/>
        </w:rPr>
        <w:t>[31] Vineis P, Chuang SC, Vaissiere T, Cuenin C, Ricceri F, Genair EC, et al. DNA methylation changes associated with cancer risk factors and blood levels of vitamin metabolites in a prospective study. Epigenetics. 2011;6:195-201.</w:t>
      </w:r>
      <w:bookmarkEnd w:id="30"/>
    </w:p>
    <w:p w14:paraId="0E276B2B" w14:textId="77777777" w:rsidR="00C53C05" w:rsidRPr="005945BE" w:rsidRDefault="00C53C05" w:rsidP="00C53C05">
      <w:pPr>
        <w:pStyle w:val="EndNoteBibliography"/>
        <w:spacing w:line="480" w:lineRule="auto"/>
        <w:rPr>
          <w:noProof/>
        </w:rPr>
      </w:pPr>
      <w:bookmarkStart w:id="31" w:name="_ENREF_32"/>
      <w:r w:rsidRPr="005945BE">
        <w:rPr>
          <w:noProof/>
        </w:rPr>
        <w:t>[32] Stidley CA, Picchi MA, Leng S, Willink R, Crowell RE, Flores KG, et al. Multivitamins, folate, and green vegetables protect against gene promoter methylation in the aerodigestive tract of smokers. Cancer Res. 2010;70:568-74.</w:t>
      </w:r>
      <w:bookmarkEnd w:id="31"/>
    </w:p>
    <w:p w14:paraId="19470E71" w14:textId="1EDFA18B" w:rsidR="00C53C05" w:rsidRPr="005945BE" w:rsidRDefault="00C53C05" w:rsidP="00C53C05">
      <w:pPr>
        <w:pStyle w:val="EndNoteBibliography"/>
        <w:spacing w:line="480" w:lineRule="auto"/>
        <w:rPr>
          <w:noProof/>
        </w:rPr>
      </w:pPr>
      <w:bookmarkStart w:id="32" w:name="_ENREF_33"/>
      <w:r w:rsidRPr="005945BE">
        <w:rPr>
          <w:noProof/>
        </w:rPr>
        <w:t xml:space="preserve">[33] Sweeney MR, McPartlin J, Scott J. Folic acid fortification and public health: report on threshold doses above which unmetabolised folic acid appear in serum. BMC </w:t>
      </w:r>
      <w:r w:rsidR="00001EED">
        <w:rPr>
          <w:noProof/>
        </w:rPr>
        <w:t>P</w:t>
      </w:r>
      <w:r w:rsidRPr="005945BE">
        <w:rPr>
          <w:noProof/>
        </w:rPr>
        <w:t xml:space="preserve">ublic </w:t>
      </w:r>
      <w:r w:rsidR="00001EED">
        <w:rPr>
          <w:noProof/>
        </w:rPr>
        <w:t>H</w:t>
      </w:r>
      <w:r w:rsidRPr="005945BE">
        <w:rPr>
          <w:noProof/>
        </w:rPr>
        <w:t>ealth. 2007;7:41.</w:t>
      </w:r>
      <w:bookmarkEnd w:id="32"/>
    </w:p>
    <w:p w14:paraId="5601B2E8" w14:textId="30DB6051" w:rsidR="00C53C05" w:rsidRPr="005945BE" w:rsidRDefault="00C53C05" w:rsidP="00C53C05">
      <w:pPr>
        <w:pStyle w:val="EndNoteBibliography"/>
        <w:spacing w:line="480" w:lineRule="auto"/>
        <w:rPr>
          <w:noProof/>
        </w:rPr>
      </w:pPr>
      <w:bookmarkStart w:id="33" w:name="_ENREF_34"/>
      <w:r w:rsidRPr="005945BE">
        <w:rPr>
          <w:noProof/>
        </w:rPr>
        <w:t>[34] Tam C, O'Connor D, Koren G. Circulating unmetabolized folic Acid: relationship to folate status and effect of supplementation. Obstet</w:t>
      </w:r>
      <w:r w:rsidR="00001EED">
        <w:rPr>
          <w:noProof/>
        </w:rPr>
        <w:t xml:space="preserve"> G</w:t>
      </w:r>
      <w:r w:rsidRPr="005945BE">
        <w:rPr>
          <w:noProof/>
        </w:rPr>
        <w:t>ynecol</w:t>
      </w:r>
      <w:r w:rsidR="00001EED">
        <w:rPr>
          <w:noProof/>
        </w:rPr>
        <w:t xml:space="preserve"> I</w:t>
      </w:r>
      <w:r w:rsidRPr="005945BE">
        <w:rPr>
          <w:noProof/>
        </w:rPr>
        <w:t>nt</w:t>
      </w:r>
      <w:r w:rsidR="00001EED">
        <w:rPr>
          <w:noProof/>
        </w:rPr>
        <w:t>.</w:t>
      </w:r>
      <w:r w:rsidRPr="005945BE">
        <w:rPr>
          <w:noProof/>
        </w:rPr>
        <w:t xml:space="preserve"> 2012;2012:485179.</w:t>
      </w:r>
      <w:bookmarkEnd w:id="33"/>
    </w:p>
    <w:p w14:paraId="1A394E6B" w14:textId="77777777" w:rsidR="00C53C05" w:rsidRPr="005945BE" w:rsidRDefault="00C53C05" w:rsidP="00C53C05">
      <w:pPr>
        <w:pStyle w:val="EndNoteBibliography"/>
        <w:spacing w:line="480" w:lineRule="auto"/>
        <w:rPr>
          <w:noProof/>
        </w:rPr>
      </w:pPr>
      <w:bookmarkStart w:id="34" w:name="_ENREF_35"/>
      <w:r w:rsidRPr="005945BE">
        <w:rPr>
          <w:noProof/>
        </w:rPr>
        <w:t>[35] Boilson A, Staines A, Kelleher CC, Daly L, Shirley I, Shrivastava A, et al. Unmetabolized folic acid prevalence is widespread in the older Irish population despite the lack of a mandatory fortification program. Am J Clin Nutr. 2012;96:613-21.</w:t>
      </w:r>
      <w:bookmarkEnd w:id="34"/>
    </w:p>
    <w:p w14:paraId="23821412" w14:textId="5B68B393" w:rsidR="00C53C05" w:rsidRPr="005945BE" w:rsidRDefault="00C53C05" w:rsidP="00C53C05">
      <w:pPr>
        <w:pStyle w:val="EndNoteBibliography"/>
        <w:spacing w:line="480" w:lineRule="auto"/>
        <w:rPr>
          <w:noProof/>
        </w:rPr>
      </w:pPr>
      <w:bookmarkStart w:id="35" w:name="_ENREF_36"/>
      <w:r w:rsidRPr="005945BE">
        <w:rPr>
          <w:noProof/>
        </w:rPr>
        <w:t xml:space="preserve">[36] Kelly P, McPartlin J, Scott J. A combined high-performance liquid chromatographic-microbiological assay for serum folic acid. Anal </w:t>
      </w:r>
      <w:r w:rsidR="00001EED">
        <w:rPr>
          <w:noProof/>
        </w:rPr>
        <w:t>B</w:t>
      </w:r>
      <w:r w:rsidRPr="005945BE">
        <w:rPr>
          <w:noProof/>
        </w:rPr>
        <w:t>iochem. 1996;238:179-83.</w:t>
      </w:r>
      <w:bookmarkEnd w:id="35"/>
    </w:p>
    <w:p w14:paraId="5048CF07" w14:textId="77777777" w:rsidR="00C53C05" w:rsidRPr="005945BE" w:rsidRDefault="00C53C05" w:rsidP="00C53C05">
      <w:pPr>
        <w:pStyle w:val="EndNoteBibliography"/>
        <w:spacing w:line="480" w:lineRule="auto"/>
        <w:rPr>
          <w:noProof/>
        </w:rPr>
      </w:pPr>
      <w:bookmarkStart w:id="36" w:name="_ENREF_37"/>
      <w:r w:rsidRPr="005945BE">
        <w:rPr>
          <w:noProof/>
        </w:rPr>
        <w:t>[37] Kelly P, McPartlin J, Goggins M, Weir DG, Scott JM. Unmetabolized folic acid in serum: acute studies in subjects consuming fortified food and supplements. Am J Clin Nutr. 1997;65:1790-5.</w:t>
      </w:r>
      <w:bookmarkEnd w:id="36"/>
    </w:p>
    <w:p w14:paraId="143B2D3E" w14:textId="1C123BDA" w:rsidR="00C53C05" w:rsidRPr="005945BE" w:rsidRDefault="00C53C05" w:rsidP="00C53C05">
      <w:pPr>
        <w:pStyle w:val="EndNoteBibliography"/>
        <w:spacing w:line="480" w:lineRule="auto"/>
        <w:rPr>
          <w:noProof/>
        </w:rPr>
      </w:pPr>
      <w:bookmarkStart w:id="37" w:name="_ENREF_38"/>
      <w:r w:rsidRPr="005945BE">
        <w:rPr>
          <w:noProof/>
        </w:rPr>
        <w:t xml:space="preserve">[38] Hoile SP, Irvine NA, Kelsall CJ, Sibbons C, Feunteun A, Collister A, et al. Maternal fat intake in rats alters 20:4n-6 and 22:6n-3 status and the epigenetic regulation of Fads2 in offspring liver. </w:t>
      </w:r>
      <w:r w:rsidR="00001EED">
        <w:rPr>
          <w:noProof/>
        </w:rPr>
        <w:t>J</w:t>
      </w:r>
      <w:r w:rsidRPr="005945BE">
        <w:rPr>
          <w:noProof/>
        </w:rPr>
        <w:t xml:space="preserve"> </w:t>
      </w:r>
      <w:r w:rsidR="00001EED">
        <w:rPr>
          <w:noProof/>
        </w:rPr>
        <w:t>N</w:t>
      </w:r>
      <w:r w:rsidRPr="005945BE">
        <w:rPr>
          <w:noProof/>
        </w:rPr>
        <w:t xml:space="preserve">utr </w:t>
      </w:r>
      <w:r w:rsidR="00001EED">
        <w:rPr>
          <w:noProof/>
        </w:rPr>
        <w:t>B</w:t>
      </w:r>
      <w:r w:rsidRPr="005945BE">
        <w:rPr>
          <w:noProof/>
        </w:rPr>
        <w:t xml:space="preserve">iochem. </w:t>
      </w:r>
      <w:r w:rsidR="00001EED">
        <w:t>2013; 24:1213-20</w:t>
      </w:r>
      <w:r w:rsidRPr="005945BE">
        <w:rPr>
          <w:noProof/>
        </w:rPr>
        <w:t>.</w:t>
      </w:r>
      <w:bookmarkEnd w:id="37"/>
    </w:p>
    <w:p w14:paraId="3D435401" w14:textId="3BE810B6" w:rsidR="00C53C05" w:rsidRPr="005945BE" w:rsidRDefault="00C53C05" w:rsidP="00C53C05">
      <w:pPr>
        <w:pStyle w:val="EndNoteBibliography"/>
        <w:spacing w:line="480" w:lineRule="auto"/>
        <w:rPr>
          <w:noProof/>
        </w:rPr>
      </w:pPr>
      <w:bookmarkStart w:id="38" w:name="_ENREF_39"/>
      <w:r w:rsidRPr="005945BE">
        <w:rPr>
          <w:noProof/>
        </w:rPr>
        <w:t xml:space="preserve">[39] Cikos S, Bukovska A, Koppel J. Relative quantification of mRNA: comparison of methods currently used for real-time PCR data analysis. BMC </w:t>
      </w:r>
      <w:r w:rsidR="00001EED">
        <w:rPr>
          <w:noProof/>
        </w:rPr>
        <w:t>M</w:t>
      </w:r>
      <w:r w:rsidRPr="005945BE">
        <w:rPr>
          <w:noProof/>
        </w:rPr>
        <w:t xml:space="preserve">ol </w:t>
      </w:r>
      <w:r w:rsidR="00001EED">
        <w:rPr>
          <w:noProof/>
        </w:rPr>
        <w:t>B</w:t>
      </w:r>
      <w:r w:rsidRPr="005945BE">
        <w:rPr>
          <w:noProof/>
        </w:rPr>
        <w:t>iol. 2007;8:113.</w:t>
      </w:r>
      <w:bookmarkEnd w:id="38"/>
    </w:p>
    <w:p w14:paraId="5AFA71D8" w14:textId="77777777" w:rsidR="00C53C05" w:rsidRPr="005945BE" w:rsidRDefault="00C53C05" w:rsidP="00C53C05">
      <w:pPr>
        <w:pStyle w:val="EndNoteBibliography"/>
        <w:spacing w:line="480" w:lineRule="auto"/>
        <w:rPr>
          <w:noProof/>
        </w:rPr>
      </w:pPr>
      <w:bookmarkStart w:id="39" w:name="_ENREF_40"/>
      <w:r w:rsidRPr="005945BE">
        <w:rPr>
          <w:noProof/>
        </w:rPr>
        <w:t>[40] Rodway HA, Hunt AN, Kohler JA, Postle AD, Lillycrop KA. Lysophosphatidic acid attenuates the cytotoxic effects and degree of peroxisome proliferator-activated receptor gamma activation induced by 15-deoxyDelta12,14-prostaglandin J2 in neuroblastoma cells. BiochemJ. 2004;382:83-91.</w:t>
      </w:r>
      <w:bookmarkEnd w:id="39"/>
    </w:p>
    <w:p w14:paraId="54EE503F" w14:textId="3E925E19" w:rsidR="00C53C05" w:rsidRPr="005945BE" w:rsidRDefault="00C53C05" w:rsidP="00C53C05">
      <w:pPr>
        <w:pStyle w:val="EndNoteBibliography"/>
        <w:spacing w:line="480" w:lineRule="auto"/>
        <w:rPr>
          <w:noProof/>
        </w:rPr>
      </w:pPr>
      <w:bookmarkStart w:id="40" w:name="_ENREF_41"/>
      <w:r w:rsidRPr="005945BE">
        <w:rPr>
          <w:noProof/>
        </w:rPr>
        <w:t xml:space="preserve">[41] Catteau A, Morris JR. BRCA1 methylation: a significant role in tumour development? Sem </w:t>
      </w:r>
      <w:r w:rsidR="00001EED">
        <w:rPr>
          <w:noProof/>
        </w:rPr>
        <w:t>C</w:t>
      </w:r>
      <w:r w:rsidRPr="005945BE">
        <w:rPr>
          <w:noProof/>
        </w:rPr>
        <w:t xml:space="preserve">ancer </w:t>
      </w:r>
      <w:r w:rsidR="00001EED">
        <w:rPr>
          <w:noProof/>
        </w:rPr>
        <w:t>B</w:t>
      </w:r>
      <w:r w:rsidRPr="005945BE">
        <w:rPr>
          <w:noProof/>
        </w:rPr>
        <w:t>iol. 2002;12:359-71.</w:t>
      </w:r>
      <w:bookmarkEnd w:id="40"/>
    </w:p>
    <w:p w14:paraId="5589667D" w14:textId="77777777" w:rsidR="00C53C05" w:rsidRPr="005945BE" w:rsidRDefault="00C53C05" w:rsidP="00C53C05">
      <w:pPr>
        <w:pStyle w:val="EndNoteBibliography"/>
        <w:spacing w:line="480" w:lineRule="auto"/>
        <w:rPr>
          <w:noProof/>
        </w:rPr>
      </w:pPr>
      <w:bookmarkStart w:id="41" w:name="_ENREF_42"/>
      <w:r w:rsidRPr="005945BE">
        <w:rPr>
          <w:noProof/>
        </w:rPr>
        <w:t>[42] Wei M, Grushko TA, Dignam J, Hagos F, Nanda R, Sveen L, et al. BRCA1 promoter methylation in sporadic breast cancer is associated with reduced BRCA1 copy number and chromosome 17 aneusomy. Cancer Res. 2005;65:10692-9.</w:t>
      </w:r>
      <w:bookmarkEnd w:id="41"/>
    </w:p>
    <w:p w14:paraId="132DAEF1" w14:textId="65A17931" w:rsidR="00C53C05" w:rsidRPr="005945BE" w:rsidRDefault="00C53C05" w:rsidP="00C53C05">
      <w:pPr>
        <w:pStyle w:val="EndNoteBibliography"/>
        <w:spacing w:line="480" w:lineRule="auto"/>
        <w:rPr>
          <w:noProof/>
        </w:rPr>
      </w:pPr>
      <w:bookmarkStart w:id="42" w:name="_ENREF_43"/>
      <w:r w:rsidRPr="005945BE">
        <w:rPr>
          <w:noProof/>
        </w:rPr>
        <w:t xml:space="preserve">[43] Xu CF, Chambers JA, Solomon E. Complex regulation of the BRCA1 gene. The J </w:t>
      </w:r>
      <w:r w:rsidR="00001EED">
        <w:rPr>
          <w:noProof/>
        </w:rPr>
        <w:t>Biol</w:t>
      </w:r>
      <w:r w:rsidRPr="005945BE">
        <w:rPr>
          <w:noProof/>
        </w:rPr>
        <w:t xml:space="preserve"> </w:t>
      </w:r>
      <w:r w:rsidR="00001EED">
        <w:rPr>
          <w:noProof/>
        </w:rPr>
        <w:t>C</w:t>
      </w:r>
      <w:r w:rsidRPr="005945BE">
        <w:rPr>
          <w:noProof/>
        </w:rPr>
        <w:t>hem. 1997;272:20994-7.</w:t>
      </w:r>
      <w:bookmarkEnd w:id="42"/>
    </w:p>
    <w:p w14:paraId="5A9D0BBF" w14:textId="77777777" w:rsidR="00C53C05" w:rsidRPr="005945BE" w:rsidRDefault="00C53C05" w:rsidP="00C53C05">
      <w:pPr>
        <w:pStyle w:val="EndNoteBibliography"/>
        <w:spacing w:line="480" w:lineRule="auto"/>
        <w:rPr>
          <w:noProof/>
        </w:rPr>
      </w:pPr>
      <w:bookmarkStart w:id="43" w:name="_ENREF_44"/>
      <w:r w:rsidRPr="005945BE">
        <w:rPr>
          <w:noProof/>
        </w:rPr>
        <w:t>[44] Atlas E, Stramwasser M, Whiskin K, Mueller CR. GA-binding protein alpha/beta is a critical regulator of the BRCA1 promoter. Oncogene. 2000;19:1933-40.</w:t>
      </w:r>
      <w:bookmarkEnd w:id="43"/>
    </w:p>
    <w:p w14:paraId="55D88111" w14:textId="77777777" w:rsidR="00C53C05" w:rsidRPr="005945BE" w:rsidRDefault="00C53C05" w:rsidP="00C53C05">
      <w:pPr>
        <w:pStyle w:val="EndNoteBibliography"/>
        <w:spacing w:line="480" w:lineRule="auto"/>
        <w:rPr>
          <w:noProof/>
        </w:rPr>
      </w:pPr>
      <w:bookmarkStart w:id="44" w:name="_ENREF_45"/>
      <w:r w:rsidRPr="005945BE">
        <w:rPr>
          <w:noProof/>
        </w:rPr>
        <w:t>[45] Atlas E, Stramwasser M, Mueller CR. A CREB site in the BRCA1 proximal promoter acts as a constitutive transcriptional element. Oncogene. 2001;20:7110-4.</w:t>
      </w:r>
      <w:bookmarkEnd w:id="44"/>
    </w:p>
    <w:p w14:paraId="6DDC4B7B" w14:textId="77777777" w:rsidR="00C53C05" w:rsidRPr="005945BE" w:rsidRDefault="00C53C05" w:rsidP="00C53C05">
      <w:pPr>
        <w:pStyle w:val="EndNoteBibliography"/>
        <w:spacing w:line="480" w:lineRule="auto"/>
        <w:rPr>
          <w:noProof/>
        </w:rPr>
      </w:pPr>
      <w:bookmarkStart w:id="45" w:name="_ENREF_46"/>
      <w:r w:rsidRPr="005945BE">
        <w:rPr>
          <w:noProof/>
        </w:rPr>
        <w:t>[46] Bindra RS, Gibson SL, Meng A, Westermark U, Jasin M, Pierce AJ, et al. Hypoxia-induced down-regulation of BRCA1 expression by E2Fs. Cancer Res. 2005;65:11597-604.</w:t>
      </w:r>
      <w:bookmarkEnd w:id="45"/>
    </w:p>
    <w:p w14:paraId="37489383" w14:textId="0F547E57" w:rsidR="00C53C05" w:rsidRPr="005945BE" w:rsidRDefault="00C53C05" w:rsidP="00C53C05">
      <w:pPr>
        <w:pStyle w:val="EndNoteBibliography"/>
        <w:spacing w:line="480" w:lineRule="auto"/>
        <w:rPr>
          <w:noProof/>
        </w:rPr>
      </w:pPr>
      <w:bookmarkStart w:id="46" w:name="_ENREF_47"/>
      <w:r w:rsidRPr="005945BE">
        <w:rPr>
          <w:noProof/>
        </w:rPr>
        <w:t xml:space="preserve">[47] Cucer N, Taheri S, Ok E, Ozkul Y. Methylation status of CpG islands at sites -59 to +96 in exon 1 of the BRCA2 gene varies in mammary tissue among women with sporadic breast cancer. </w:t>
      </w:r>
      <w:r w:rsidR="00001EED">
        <w:rPr>
          <w:noProof/>
        </w:rPr>
        <w:t>J</w:t>
      </w:r>
      <w:r w:rsidRPr="005945BE">
        <w:rPr>
          <w:noProof/>
        </w:rPr>
        <w:t xml:space="preserve"> </w:t>
      </w:r>
      <w:r w:rsidR="00001EED">
        <w:rPr>
          <w:noProof/>
        </w:rPr>
        <w:t>G</w:t>
      </w:r>
      <w:r w:rsidRPr="005945BE">
        <w:rPr>
          <w:noProof/>
        </w:rPr>
        <w:t>enetics. 2008;87:155-8.</w:t>
      </w:r>
      <w:bookmarkEnd w:id="46"/>
    </w:p>
    <w:p w14:paraId="764FDCBB" w14:textId="20722AC1" w:rsidR="00C53C05" w:rsidRPr="005945BE" w:rsidRDefault="00C53C05" w:rsidP="00C53C05">
      <w:pPr>
        <w:pStyle w:val="EndNoteBibliography"/>
        <w:spacing w:line="480" w:lineRule="auto"/>
        <w:rPr>
          <w:noProof/>
        </w:rPr>
      </w:pPr>
      <w:bookmarkStart w:id="47" w:name="_ENREF_48"/>
      <w:r w:rsidRPr="005945BE">
        <w:rPr>
          <w:noProof/>
        </w:rPr>
        <w:t xml:space="preserve">[48] Wu K, Jiang SW, Thangaraju M, Wu G, Couch FJ. Induction of the BRCA2 promoter by nuclear factor-kappa B. </w:t>
      </w:r>
      <w:r w:rsidR="00001EED">
        <w:rPr>
          <w:noProof/>
        </w:rPr>
        <w:t>J Biol Chem</w:t>
      </w:r>
      <w:r w:rsidRPr="005945BE">
        <w:rPr>
          <w:noProof/>
        </w:rPr>
        <w:t>. 2000;275:35548-56.</w:t>
      </w:r>
      <w:bookmarkEnd w:id="47"/>
    </w:p>
    <w:p w14:paraId="70D3F175" w14:textId="7FBF3A02" w:rsidR="00C53C05" w:rsidRPr="005945BE" w:rsidRDefault="00C53C05" w:rsidP="00C53C05">
      <w:pPr>
        <w:pStyle w:val="EndNoteBibliography"/>
        <w:spacing w:line="480" w:lineRule="auto"/>
        <w:rPr>
          <w:noProof/>
        </w:rPr>
      </w:pPr>
      <w:bookmarkStart w:id="48" w:name="_ENREF_49"/>
      <w:r w:rsidRPr="005945BE">
        <w:rPr>
          <w:noProof/>
        </w:rPr>
        <w:t xml:space="preserve">[49] Jin W, Chen Y, Di GH, Miron P, Hou YF, Gao H, et al. Estrogen receptor (ER) beta or p53 attenuates ERalpha-mediated transcriptional activation on the BRCA2 promoter. </w:t>
      </w:r>
      <w:r w:rsidR="00001EED">
        <w:rPr>
          <w:noProof/>
        </w:rPr>
        <w:t>J Biol Chem</w:t>
      </w:r>
      <w:r w:rsidRPr="005945BE">
        <w:rPr>
          <w:noProof/>
        </w:rPr>
        <w:t>. 2008;283:29671-80.</w:t>
      </w:r>
      <w:bookmarkEnd w:id="48"/>
    </w:p>
    <w:p w14:paraId="0DE31BB4" w14:textId="0591ECA4" w:rsidR="00C53C05" w:rsidRPr="005945BE" w:rsidRDefault="00C53C05" w:rsidP="00C53C05">
      <w:pPr>
        <w:pStyle w:val="EndNoteBibliography"/>
        <w:spacing w:line="480" w:lineRule="auto"/>
        <w:rPr>
          <w:noProof/>
        </w:rPr>
      </w:pPr>
      <w:bookmarkStart w:id="49" w:name="_ENREF_50"/>
      <w:r w:rsidRPr="005945BE">
        <w:rPr>
          <w:noProof/>
        </w:rPr>
        <w:t xml:space="preserve">[50] Tripathi MK, Misra S, Khedkar SV, Hamilton N, Irvin-Wilson C, Sharan C, et al. Regulation of BRCA2 gene expression by the SLUG repressor protein in human breast cells. </w:t>
      </w:r>
      <w:r w:rsidR="00001EED">
        <w:rPr>
          <w:noProof/>
        </w:rPr>
        <w:t>J Biol Chem</w:t>
      </w:r>
      <w:r w:rsidRPr="005945BE">
        <w:rPr>
          <w:noProof/>
        </w:rPr>
        <w:t>. 2005;280:17163-71.</w:t>
      </w:r>
      <w:bookmarkEnd w:id="49"/>
    </w:p>
    <w:p w14:paraId="5CAA8827" w14:textId="4D7AC352" w:rsidR="00C53C05" w:rsidRPr="005945BE" w:rsidRDefault="00C53C05" w:rsidP="00C53C05">
      <w:pPr>
        <w:pStyle w:val="EndNoteBibliography"/>
        <w:spacing w:line="480" w:lineRule="auto"/>
        <w:rPr>
          <w:noProof/>
        </w:rPr>
      </w:pPr>
      <w:bookmarkStart w:id="50" w:name="_ENREF_51"/>
      <w:r w:rsidRPr="005945BE">
        <w:rPr>
          <w:noProof/>
        </w:rPr>
        <w:t>[51] Lemay M, Wood KA. Detection of DNA damage and identification of UV-induced photoproducts using the CometAssay kit. Bio</w:t>
      </w:r>
      <w:r w:rsidR="00001EED">
        <w:rPr>
          <w:noProof/>
        </w:rPr>
        <w:t xml:space="preserve"> </w:t>
      </w:r>
      <w:r w:rsidRPr="005945BE">
        <w:rPr>
          <w:noProof/>
        </w:rPr>
        <w:t>Techniques. 1999;27:846-51.</w:t>
      </w:r>
      <w:bookmarkEnd w:id="50"/>
    </w:p>
    <w:p w14:paraId="1536301D" w14:textId="0CBAA84C" w:rsidR="00C53C05" w:rsidRPr="005945BE" w:rsidRDefault="00C53C05" w:rsidP="00C53C05">
      <w:pPr>
        <w:pStyle w:val="EndNoteBibliography"/>
        <w:spacing w:line="480" w:lineRule="auto"/>
        <w:rPr>
          <w:noProof/>
        </w:rPr>
      </w:pPr>
      <w:bookmarkStart w:id="51" w:name="_ENREF_52"/>
      <w:r w:rsidRPr="005945BE">
        <w:rPr>
          <w:noProof/>
        </w:rPr>
        <w:t xml:space="preserve">[52] Tsiatis AC, Norris-Kirby A, Rich RG, Hafez MJ, Gocke CD, Eshleman JR, et al. Comparison of Sanger sequencing, pyrosequencing, and melting curve analysis for the detection of KRAS mutations: diagnostic and clinical implications. J </w:t>
      </w:r>
      <w:r w:rsidR="00001EED">
        <w:rPr>
          <w:noProof/>
        </w:rPr>
        <w:t>M</w:t>
      </w:r>
      <w:r w:rsidRPr="005945BE">
        <w:rPr>
          <w:noProof/>
        </w:rPr>
        <w:t xml:space="preserve">ol </w:t>
      </w:r>
      <w:r w:rsidR="00001EED">
        <w:rPr>
          <w:noProof/>
        </w:rPr>
        <w:t>D</w:t>
      </w:r>
      <w:r w:rsidRPr="005945BE">
        <w:rPr>
          <w:noProof/>
        </w:rPr>
        <w:t>iag. 2010;12:425-32.</w:t>
      </w:r>
      <w:bookmarkEnd w:id="51"/>
    </w:p>
    <w:p w14:paraId="5AE08A3F" w14:textId="14AF13BF" w:rsidR="00C53C05" w:rsidRPr="005945BE" w:rsidRDefault="00C53C05" w:rsidP="00C53C05">
      <w:pPr>
        <w:pStyle w:val="EndNoteBibliography"/>
        <w:spacing w:line="480" w:lineRule="auto"/>
        <w:rPr>
          <w:noProof/>
        </w:rPr>
      </w:pPr>
      <w:bookmarkStart w:id="52" w:name="_ENREF_53"/>
      <w:r w:rsidRPr="005945BE">
        <w:rPr>
          <w:noProof/>
        </w:rPr>
        <w:t xml:space="preserve">[53] Gao QY, Chen HM, Chen YX, Wang YC, Wang ZH, Tang JT, et al. Folic acid prevents the initial occurrence of sporadic colorectal adenoma in Chinese older than 50 years of age: a randomized clinical trial. Cancer </w:t>
      </w:r>
      <w:r w:rsidR="00001EED">
        <w:rPr>
          <w:noProof/>
        </w:rPr>
        <w:t>P</w:t>
      </w:r>
      <w:r w:rsidRPr="005945BE">
        <w:rPr>
          <w:noProof/>
        </w:rPr>
        <w:t xml:space="preserve">rev </w:t>
      </w:r>
      <w:r w:rsidR="00001EED">
        <w:rPr>
          <w:noProof/>
        </w:rPr>
        <w:t>R</w:t>
      </w:r>
      <w:r w:rsidRPr="005945BE">
        <w:rPr>
          <w:noProof/>
        </w:rPr>
        <w:t>es. 2013;6:744-52.</w:t>
      </w:r>
      <w:bookmarkEnd w:id="52"/>
    </w:p>
    <w:p w14:paraId="73247830" w14:textId="77777777" w:rsidR="00C53C05" w:rsidRPr="005945BE" w:rsidRDefault="00C53C05" w:rsidP="00C53C05">
      <w:pPr>
        <w:pStyle w:val="EndNoteBibliography"/>
        <w:spacing w:line="480" w:lineRule="auto"/>
        <w:rPr>
          <w:noProof/>
        </w:rPr>
      </w:pPr>
      <w:bookmarkStart w:id="53" w:name="_ENREF_54"/>
      <w:r w:rsidRPr="005945BE">
        <w:rPr>
          <w:noProof/>
        </w:rPr>
        <w:t>[54] Mungall AJ, Palmer SA, Sims SK, Edwards CA, Ashurst JL, Wilming L, et al. The DNA sequence and analysis of human chromosome 6. Nature. 2003;425:805-11.</w:t>
      </w:r>
      <w:bookmarkEnd w:id="53"/>
    </w:p>
    <w:p w14:paraId="5923B974" w14:textId="77777777" w:rsidR="00C53C05" w:rsidRPr="005945BE" w:rsidRDefault="00C53C05" w:rsidP="00C53C05">
      <w:pPr>
        <w:pStyle w:val="EndNoteBibliography"/>
        <w:spacing w:line="480" w:lineRule="auto"/>
        <w:rPr>
          <w:noProof/>
        </w:rPr>
      </w:pPr>
      <w:bookmarkStart w:id="54" w:name="_ENREF_55"/>
      <w:r w:rsidRPr="005945BE">
        <w:rPr>
          <w:noProof/>
        </w:rPr>
        <w:t>[55] Bradbury KE, Williams SM, Mann JI, Brown RC, Parnell W, Skeaff CM. Estimation of serum and erythrocyte folate concentrations in the New Zealand adult population within a background of voluntary folic acid fortification. J Nutr. 2014;144:68-74.</w:t>
      </w:r>
      <w:bookmarkEnd w:id="54"/>
    </w:p>
    <w:p w14:paraId="4A8E8642" w14:textId="0F4367E1" w:rsidR="00C53C05" w:rsidRPr="005945BE" w:rsidRDefault="00C53C05" w:rsidP="00C53C05">
      <w:pPr>
        <w:pStyle w:val="EndNoteBibliography"/>
        <w:spacing w:line="480" w:lineRule="auto"/>
        <w:rPr>
          <w:noProof/>
        </w:rPr>
      </w:pPr>
      <w:bookmarkStart w:id="55" w:name="_ENREF_56"/>
      <w:r w:rsidRPr="005945BE">
        <w:rPr>
          <w:noProof/>
        </w:rPr>
        <w:t xml:space="preserve">[56] von Arnim CA, Dismar S, Ott-Renzer CS, Noeth N, Ludolph AC, Biesalski HK. Micronutrients supplementation and nutritional status in cognitively impaired elderly persons: a two-month open label pilot study. Nutr </w:t>
      </w:r>
      <w:r w:rsidR="00001EED">
        <w:rPr>
          <w:noProof/>
        </w:rPr>
        <w:t>J</w:t>
      </w:r>
      <w:r w:rsidRPr="005945BE">
        <w:rPr>
          <w:noProof/>
        </w:rPr>
        <w:t>. 2013;12:148.</w:t>
      </w:r>
      <w:bookmarkEnd w:id="55"/>
    </w:p>
    <w:p w14:paraId="58C17A20" w14:textId="0B1EED48" w:rsidR="00C53C05" w:rsidRPr="005945BE" w:rsidRDefault="00C53C05" w:rsidP="00C53C05">
      <w:pPr>
        <w:pStyle w:val="EndNoteBibliography"/>
        <w:spacing w:line="480" w:lineRule="auto"/>
        <w:rPr>
          <w:noProof/>
        </w:rPr>
      </w:pPr>
      <w:bookmarkStart w:id="56" w:name="_ENREF_57"/>
      <w:r w:rsidRPr="005945BE">
        <w:rPr>
          <w:noProof/>
        </w:rPr>
        <w:t xml:space="preserve">[57] Wald DS, Bishop L, Wald NJ, Law M, Hennessy E, Weir D, et al. Randomized trial of folic acid supplementation and serum homocysteine levels. Arch </w:t>
      </w:r>
      <w:r w:rsidR="00001EED">
        <w:rPr>
          <w:noProof/>
        </w:rPr>
        <w:t>I</w:t>
      </w:r>
      <w:r w:rsidRPr="005945BE">
        <w:rPr>
          <w:noProof/>
        </w:rPr>
        <w:t xml:space="preserve">nternal </w:t>
      </w:r>
      <w:r w:rsidR="00001EED">
        <w:rPr>
          <w:noProof/>
        </w:rPr>
        <w:t>M</w:t>
      </w:r>
      <w:r w:rsidRPr="005945BE">
        <w:rPr>
          <w:noProof/>
        </w:rPr>
        <w:t>ed. 2001;161:695-700.</w:t>
      </w:r>
      <w:bookmarkEnd w:id="56"/>
    </w:p>
    <w:p w14:paraId="117709E6" w14:textId="77777777" w:rsidR="00C53C05" w:rsidRPr="005945BE" w:rsidRDefault="00C53C05" w:rsidP="00C53C05">
      <w:pPr>
        <w:pStyle w:val="EndNoteBibliography"/>
        <w:spacing w:line="480" w:lineRule="auto"/>
        <w:rPr>
          <w:noProof/>
        </w:rPr>
      </w:pPr>
      <w:bookmarkStart w:id="57" w:name="_ENREF_58"/>
      <w:r w:rsidRPr="005945BE">
        <w:rPr>
          <w:noProof/>
        </w:rPr>
        <w:t>[58] Charles MA, Johnson IT, Belshaw NJ. Supra-physiological folic acid concentrations induce aberrant DNA methylation in normal human cells in vitro. Epigenetics. 2012;7:689-94.</w:t>
      </w:r>
      <w:bookmarkEnd w:id="57"/>
    </w:p>
    <w:p w14:paraId="1EC38217" w14:textId="77777777" w:rsidR="00C53C05" w:rsidRPr="005945BE" w:rsidRDefault="00C53C05" w:rsidP="00C53C05">
      <w:pPr>
        <w:pStyle w:val="EndNoteBibliography"/>
        <w:spacing w:line="480" w:lineRule="auto"/>
        <w:rPr>
          <w:noProof/>
        </w:rPr>
      </w:pPr>
      <w:bookmarkStart w:id="58" w:name="_ENREF_59"/>
      <w:r w:rsidRPr="005945BE">
        <w:rPr>
          <w:noProof/>
        </w:rPr>
        <w:t>[59] Sjoblom T, Jones S, Wood LD, Parsons DW, Lin J, Barber TD, et al. The consensus coding sequences of human breast and colorectal cancers. Science. 2006;314:268-74.</w:t>
      </w:r>
      <w:bookmarkEnd w:id="58"/>
    </w:p>
    <w:p w14:paraId="4D627569" w14:textId="77777777" w:rsidR="00C53C05" w:rsidRPr="005945BE" w:rsidRDefault="00C53C05" w:rsidP="00C53C05">
      <w:pPr>
        <w:pStyle w:val="EndNoteBibliography"/>
        <w:spacing w:line="480" w:lineRule="auto"/>
        <w:rPr>
          <w:noProof/>
        </w:rPr>
      </w:pPr>
      <w:bookmarkStart w:id="59" w:name="_ENREF_60"/>
      <w:r w:rsidRPr="005945BE">
        <w:rPr>
          <w:noProof/>
        </w:rPr>
        <w:t>[60] Kaneko Y, Tsukamoto A. Apoptosis and nuclear levels of p53 protein and proliferating cell nuclear antigen in human hepatoma cells cultured with tumor promoters. Cancer Lett. 1995;91:11-7.</w:t>
      </w:r>
      <w:bookmarkEnd w:id="59"/>
    </w:p>
    <w:p w14:paraId="553F1ACE" w14:textId="77777777" w:rsidR="00C53C05" w:rsidRPr="005945BE" w:rsidRDefault="00C53C05" w:rsidP="00C53C05">
      <w:pPr>
        <w:pStyle w:val="EndNoteBibliography"/>
        <w:spacing w:line="480" w:lineRule="auto"/>
        <w:rPr>
          <w:noProof/>
        </w:rPr>
      </w:pPr>
      <w:bookmarkStart w:id="60" w:name="_ENREF_61"/>
      <w:r w:rsidRPr="005945BE">
        <w:rPr>
          <w:noProof/>
        </w:rPr>
        <w:t>[61] Rice JC, Massey-Brown KS, Futscher BW. Aberrant methylation of the BRCA1 CpG island promoter is associated with decreased BRCA1 mRNA in sporadic breast cancer cells. Oncogene. 1998;17:1807-12.</w:t>
      </w:r>
      <w:bookmarkEnd w:id="60"/>
    </w:p>
    <w:p w14:paraId="70F42C9F" w14:textId="77777777" w:rsidR="00C53C05" w:rsidRPr="005945BE" w:rsidRDefault="00C53C05" w:rsidP="00C53C05">
      <w:pPr>
        <w:pStyle w:val="EndNoteBibliography"/>
        <w:spacing w:line="480" w:lineRule="auto"/>
        <w:rPr>
          <w:noProof/>
        </w:rPr>
      </w:pPr>
      <w:bookmarkStart w:id="61" w:name="_ENREF_62"/>
      <w:r w:rsidRPr="005945BE">
        <w:rPr>
          <w:noProof/>
        </w:rPr>
        <w:t>[62] Rice JC, Ozcelik H, Maxeiner P, Andrulis I, Futscher BW. Methylation of the BRCA1 promoter is associated with decreased BRCA1 mRNA levels in clinical breast cancer specimens. Carcinogenesis. 2000;21:1761-5.</w:t>
      </w:r>
      <w:bookmarkEnd w:id="61"/>
    </w:p>
    <w:p w14:paraId="6260BD28" w14:textId="77777777" w:rsidR="00C53C05" w:rsidRPr="005945BE" w:rsidRDefault="00C53C05" w:rsidP="00C53C05">
      <w:pPr>
        <w:pStyle w:val="EndNoteBibliography"/>
        <w:spacing w:line="480" w:lineRule="auto"/>
        <w:rPr>
          <w:noProof/>
        </w:rPr>
      </w:pPr>
      <w:bookmarkStart w:id="62" w:name="_ENREF_63"/>
      <w:r w:rsidRPr="005945BE">
        <w:rPr>
          <w:noProof/>
        </w:rPr>
        <w:t>[63] Rice JC, Futscher BW. Transcriptional repression of BRCA1 by aberrant cytosine methylation, histone hypoacetylation and chromatin condensation of the BRCA1 promoter. Nucleic Acids Res. 2000;28:3233-9.</w:t>
      </w:r>
      <w:bookmarkEnd w:id="62"/>
    </w:p>
    <w:p w14:paraId="344588DD" w14:textId="77777777" w:rsidR="00C53C05" w:rsidRPr="005945BE" w:rsidRDefault="00C53C05" w:rsidP="00C53C05">
      <w:pPr>
        <w:pStyle w:val="EndNoteBibliography"/>
        <w:spacing w:line="480" w:lineRule="auto"/>
        <w:rPr>
          <w:noProof/>
        </w:rPr>
      </w:pPr>
      <w:bookmarkStart w:id="63" w:name="_ENREF_64"/>
      <w:r w:rsidRPr="005945BE">
        <w:rPr>
          <w:noProof/>
        </w:rPr>
        <w:t>[64] Birgisdottir V, Stefansson OA, Bodvarsdottir SK, Hilmarsdottir H, Jonasson JG, Eyfjord JE. Epigenetic silencing and deletion of the BRCA1 gene in sporadic breast cancer. Breast Cancer Res. 2006;8:R38.</w:t>
      </w:r>
      <w:bookmarkEnd w:id="63"/>
    </w:p>
    <w:p w14:paraId="6AA05E40" w14:textId="77777777" w:rsidR="00C53C05" w:rsidRPr="005945BE" w:rsidRDefault="00C53C05" w:rsidP="00C53C05">
      <w:pPr>
        <w:pStyle w:val="EndNoteBibliography"/>
        <w:spacing w:line="480" w:lineRule="auto"/>
        <w:rPr>
          <w:noProof/>
        </w:rPr>
      </w:pPr>
      <w:bookmarkStart w:id="64" w:name="_ENREF_65"/>
      <w:r w:rsidRPr="005945BE">
        <w:rPr>
          <w:noProof/>
        </w:rPr>
        <w:t>[65] Dobrovic A, Simpfendorfer D. Methylation of the BRCA1 gene in sporadic breast cancer. Cancer Res. 1997;57:3347-50.</w:t>
      </w:r>
      <w:bookmarkEnd w:id="64"/>
    </w:p>
    <w:p w14:paraId="254CA088" w14:textId="6B8F8413" w:rsidR="00C53C05" w:rsidRPr="005945BE" w:rsidRDefault="00C53C05" w:rsidP="00C53C05">
      <w:pPr>
        <w:pStyle w:val="EndNoteBibliography"/>
        <w:spacing w:line="480" w:lineRule="auto"/>
        <w:rPr>
          <w:noProof/>
        </w:rPr>
      </w:pPr>
      <w:bookmarkStart w:id="65" w:name="_ENREF_66"/>
      <w:r w:rsidRPr="005945BE">
        <w:rPr>
          <w:noProof/>
        </w:rPr>
        <w:t xml:space="preserve">[66] Xu X, Gammon MD, Zhang Y, Bestor TH, Zeisel SH, Wetmur JG, et al. BRCA1 promoter methylation is associated with increased mortality among women with breast cancer. Breast </w:t>
      </w:r>
      <w:r w:rsidR="00001EED">
        <w:rPr>
          <w:noProof/>
        </w:rPr>
        <w:t>C</w:t>
      </w:r>
      <w:r w:rsidRPr="005945BE">
        <w:rPr>
          <w:noProof/>
        </w:rPr>
        <w:t xml:space="preserve">ancer </w:t>
      </w:r>
      <w:r w:rsidR="00001EED">
        <w:rPr>
          <w:noProof/>
        </w:rPr>
        <w:t>Res</w:t>
      </w:r>
      <w:r w:rsidRPr="005945BE">
        <w:rPr>
          <w:noProof/>
        </w:rPr>
        <w:t xml:space="preserve"> </w:t>
      </w:r>
      <w:r w:rsidR="00001EED">
        <w:rPr>
          <w:noProof/>
        </w:rPr>
        <w:t>T</w:t>
      </w:r>
      <w:r w:rsidRPr="005945BE">
        <w:rPr>
          <w:noProof/>
        </w:rPr>
        <w:t>reat. 2009;115:397-404.</w:t>
      </w:r>
      <w:bookmarkEnd w:id="65"/>
    </w:p>
    <w:p w14:paraId="07B74EBC" w14:textId="0DE39A3D" w:rsidR="00C53C05" w:rsidRPr="005945BE" w:rsidRDefault="00C53C05" w:rsidP="00C53C05">
      <w:pPr>
        <w:pStyle w:val="EndNoteBibliography"/>
        <w:spacing w:line="480" w:lineRule="auto"/>
        <w:rPr>
          <w:noProof/>
        </w:rPr>
      </w:pPr>
      <w:bookmarkStart w:id="66" w:name="_ENREF_67"/>
      <w:r w:rsidRPr="005945BE">
        <w:rPr>
          <w:noProof/>
        </w:rPr>
        <w:t>[67] Szaumkessel M, Richter J, Giefing M, Jarmuz M, Kiwerska K, Tonnies H, et al. Pyrosequencing-based DNA methylation profiling of Fanconi anemia/BRCA pathway genes in laryngeal squamous cell carcinoma. Int</w:t>
      </w:r>
      <w:r w:rsidR="00001EED">
        <w:rPr>
          <w:noProof/>
        </w:rPr>
        <w:t xml:space="preserve"> J</w:t>
      </w:r>
      <w:r w:rsidRPr="005945BE">
        <w:rPr>
          <w:noProof/>
        </w:rPr>
        <w:t xml:space="preserve"> </w:t>
      </w:r>
      <w:r w:rsidR="00001EED">
        <w:rPr>
          <w:noProof/>
        </w:rPr>
        <w:t>O</w:t>
      </w:r>
      <w:r w:rsidRPr="005945BE">
        <w:rPr>
          <w:noProof/>
        </w:rPr>
        <w:t>ncol. 2011;39:505-14.</w:t>
      </w:r>
      <w:bookmarkEnd w:id="66"/>
    </w:p>
    <w:p w14:paraId="1E544729" w14:textId="77777777" w:rsidR="00C53C05" w:rsidRPr="005945BE" w:rsidRDefault="00C53C05" w:rsidP="00C53C05">
      <w:pPr>
        <w:pStyle w:val="EndNoteBibliography"/>
        <w:spacing w:line="480" w:lineRule="auto"/>
        <w:rPr>
          <w:noProof/>
        </w:rPr>
      </w:pPr>
      <w:bookmarkStart w:id="67" w:name="_ENREF_68"/>
      <w:r w:rsidRPr="005945BE">
        <w:rPr>
          <w:noProof/>
        </w:rPr>
        <w:t>[68] Rothbart SB, Krajewski K, Nady N, Tempel W, Xue S, Badeaux AI, et al. Association of UHRF1 with methylated H3K9 directs the maintenance of DNA methylation. Nature structural &amp; molecular biology. 2012;19:1155-60.</w:t>
      </w:r>
      <w:bookmarkEnd w:id="67"/>
    </w:p>
    <w:p w14:paraId="223AA09A" w14:textId="77777777" w:rsidR="00C53C05" w:rsidRDefault="00C53C05" w:rsidP="00A61B64">
      <w:pPr>
        <w:spacing w:line="480" w:lineRule="auto"/>
      </w:pPr>
    </w:p>
    <w:p w14:paraId="3E2FE9F8" w14:textId="77777777" w:rsidR="00D6576A" w:rsidRDefault="00D6576A" w:rsidP="00A61B64">
      <w:pPr>
        <w:spacing w:line="480" w:lineRule="auto"/>
      </w:pPr>
    </w:p>
    <w:p w14:paraId="4F2FA782" w14:textId="77777777" w:rsidR="00D6576A" w:rsidRPr="00D52B58" w:rsidRDefault="00D6576A" w:rsidP="00A61B64">
      <w:pPr>
        <w:spacing w:line="480" w:lineRule="auto"/>
      </w:pPr>
      <w:r w:rsidRPr="00D52B58">
        <w:br w:type="page"/>
      </w:r>
    </w:p>
    <w:p w14:paraId="723A0CF3" w14:textId="77777777" w:rsidR="00D6576A" w:rsidRPr="00D52B58" w:rsidRDefault="00D6576A" w:rsidP="00A61B64">
      <w:pPr>
        <w:spacing w:line="480" w:lineRule="auto"/>
        <w:sectPr w:rsidR="00D6576A" w:rsidRPr="00D52B58" w:rsidSect="00A61B64">
          <w:footerReference w:type="even" r:id="rId8"/>
          <w:footerReference w:type="default" r:id="rId9"/>
          <w:pgSz w:w="11900" w:h="16840"/>
          <w:pgMar w:top="1134" w:right="1134" w:bottom="1134" w:left="1134" w:header="708" w:footer="708" w:gutter="0"/>
          <w:lnNumType w:countBy="1" w:restart="continuous"/>
          <w:cols w:space="708"/>
          <w:docGrid w:linePitch="360"/>
        </w:sectPr>
      </w:pPr>
    </w:p>
    <w:p w14:paraId="380FC79B" w14:textId="77777777" w:rsidR="00D6576A" w:rsidRPr="00D52B58" w:rsidRDefault="00D6576A" w:rsidP="00A61B64">
      <w:pPr>
        <w:spacing w:line="480" w:lineRule="auto"/>
      </w:pPr>
      <w:r w:rsidRPr="000070A1">
        <w:rPr>
          <w:b/>
        </w:rPr>
        <w:t>Table 1</w:t>
      </w:r>
      <w:r>
        <w:rPr>
          <w:b/>
        </w:rPr>
        <w:t xml:space="preserve"> - </w:t>
      </w:r>
      <w:r w:rsidRPr="00D52B58">
        <w:t>PCR and pyrosequencing primers</w:t>
      </w:r>
    </w:p>
    <w:tbl>
      <w:tblPr>
        <w:tblStyle w:val="TableGrid"/>
        <w:tblW w:w="1531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820"/>
        <w:gridCol w:w="4678"/>
        <w:gridCol w:w="4252"/>
      </w:tblGrid>
      <w:tr w:rsidR="00D6576A" w:rsidRPr="00D52B58" w14:paraId="4DD28C47" w14:textId="77777777" w:rsidTr="00A61B64">
        <w:tc>
          <w:tcPr>
            <w:tcW w:w="1560" w:type="dxa"/>
            <w:tcBorders>
              <w:top w:val="single" w:sz="4" w:space="0" w:color="auto"/>
              <w:bottom w:val="single" w:sz="4" w:space="0" w:color="auto"/>
            </w:tcBorders>
          </w:tcPr>
          <w:p w14:paraId="50694C91" w14:textId="77777777" w:rsidR="00D6576A" w:rsidRPr="00D52B58" w:rsidRDefault="00D6576A" w:rsidP="00A61B64">
            <w:pPr>
              <w:rPr>
                <w:b/>
                <w:bCs/>
              </w:rPr>
            </w:pPr>
            <w:r>
              <w:rPr>
                <w:b/>
                <w:bCs/>
              </w:rPr>
              <w:t>CpGs c</w:t>
            </w:r>
            <w:r w:rsidRPr="00D52B58">
              <w:rPr>
                <w:b/>
                <w:bCs/>
              </w:rPr>
              <w:t>over</w:t>
            </w:r>
            <w:r>
              <w:rPr>
                <w:b/>
                <w:bCs/>
              </w:rPr>
              <w:t>ed</w:t>
            </w:r>
          </w:p>
        </w:tc>
        <w:tc>
          <w:tcPr>
            <w:tcW w:w="4820" w:type="dxa"/>
            <w:tcBorders>
              <w:top w:val="single" w:sz="4" w:space="0" w:color="auto"/>
              <w:bottom w:val="single" w:sz="4" w:space="0" w:color="auto"/>
            </w:tcBorders>
          </w:tcPr>
          <w:p w14:paraId="72AB268C" w14:textId="77777777" w:rsidR="00D6576A" w:rsidRPr="00D52B58" w:rsidRDefault="00D6576A" w:rsidP="00A61B64">
            <w:pPr>
              <w:jc w:val="center"/>
              <w:rPr>
                <w:b/>
                <w:bCs/>
              </w:rPr>
            </w:pPr>
            <w:r w:rsidRPr="00D52B58">
              <w:rPr>
                <w:b/>
                <w:bCs/>
              </w:rPr>
              <w:t>Forward Primer</w:t>
            </w:r>
          </w:p>
        </w:tc>
        <w:tc>
          <w:tcPr>
            <w:tcW w:w="4678" w:type="dxa"/>
            <w:tcBorders>
              <w:top w:val="single" w:sz="4" w:space="0" w:color="auto"/>
              <w:bottom w:val="single" w:sz="4" w:space="0" w:color="auto"/>
            </w:tcBorders>
          </w:tcPr>
          <w:p w14:paraId="2AF2BAD4" w14:textId="77777777" w:rsidR="00D6576A" w:rsidRPr="00D52B58" w:rsidRDefault="00D6576A" w:rsidP="00A61B64">
            <w:pPr>
              <w:jc w:val="center"/>
              <w:rPr>
                <w:b/>
                <w:bCs/>
              </w:rPr>
            </w:pPr>
            <w:r w:rsidRPr="00D52B58">
              <w:rPr>
                <w:b/>
                <w:bCs/>
              </w:rPr>
              <w:t>Reverse Primer</w:t>
            </w:r>
          </w:p>
          <w:p w14:paraId="3CF61522" w14:textId="77777777" w:rsidR="00D6576A" w:rsidRPr="00D52B58" w:rsidRDefault="00D6576A" w:rsidP="00A61B64">
            <w:pPr>
              <w:jc w:val="center"/>
              <w:rPr>
                <w:b/>
                <w:bCs/>
              </w:rPr>
            </w:pPr>
            <w:r w:rsidRPr="00D52B58">
              <w:rPr>
                <w:b/>
                <w:bCs/>
              </w:rPr>
              <w:t>(Biotin Labelled)</w:t>
            </w:r>
          </w:p>
        </w:tc>
        <w:tc>
          <w:tcPr>
            <w:tcW w:w="4252" w:type="dxa"/>
            <w:tcBorders>
              <w:top w:val="single" w:sz="4" w:space="0" w:color="auto"/>
              <w:bottom w:val="single" w:sz="4" w:space="0" w:color="auto"/>
            </w:tcBorders>
          </w:tcPr>
          <w:p w14:paraId="47958315" w14:textId="77777777" w:rsidR="00D6576A" w:rsidRPr="00D52B58" w:rsidRDefault="00D6576A" w:rsidP="00A61B64">
            <w:pPr>
              <w:jc w:val="center"/>
              <w:rPr>
                <w:b/>
                <w:bCs/>
              </w:rPr>
            </w:pPr>
            <w:r w:rsidRPr="00D52B58">
              <w:rPr>
                <w:b/>
                <w:bCs/>
              </w:rPr>
              <w:t>Sequencing Primer</w:t>
            </w:r>
          </w:p>
        </w:tc>
      </w:tr>
      <w:tr w:rsidR="00D6576A" w:rsidRPr="00D52B58" w14:paraId="570DD6D2" w14:textId="77777777" w:rsidTr="00A61B64">
        <w:tc>
          <w:tcPr>
            <w:tcW w:w="1560" w:type="dxa"/>
          </w:tcPr>
          <w:p w14:paraId="215C5CDB" w14:textId="77777777" w:rsidR="00D6576A" w:rsidRPr="00D52B58" w:rsidRDefault="00D6576A" w:rsidP="00A61B64"/>
        </w:tc>
        <w:tc>
          <w:tcPr>
            <w:tcW w:w="4820" w:type="dxa"/>
          </w:tcPr>
          <w:p w14:paraId="6F6307F6" w14:textId="77777777" w:rsidR="00D6576A" w:rsidRDefault="00D6576A" w:rsidP="00A61B64">
            <w:pPr>
              <w:jc w:val="center"/>
              <w:rPr>
                <w:rFonts w:eastAsia="Times New Roman"/>
                <w:color w:val="000000"/>
              </w:rPr>
            </w:pPr>
          </w:p>
        </w:tc>
        <w:tc>
          <w:tcPr>
            <w:tcW w:w="4678" w:type="dxa"/>
          </w:tcPr>
          <w:p w14:paraId="4535505E" w14:textId="77777777" w:rsidR="00D6576A" w:rsidRDefault="00D6576A" w:rsidP="00A61B64">
            <w:pPr>
              <w:jc w:val="center"/>
              <w:rPr>
                <w:rFonts w:eastAsia="Times New Roman"/>
                <w:color w:val="000000"/>
              </w:rPr>
            </w:pPr>
            <w:r>
              <w:rPr>
                <w:rFonts w:eastAsia="Times New Roman"/>
                <w:color w:val="000000"/>
              </w:rPr>
              <w:t>BRCA1</w:t>
            </w:r>
          </w:p>
        </w:tc>
        <w:tc>
          <w:tcPr>
            <w:tcW w:w="4252" w:type="dxa"/>
          </w:tcPr>
          <w:p w14:paraId="2959047C" w14:textId="77777777" w:rsidR="00D6576A" w:rsidRDefault="00D6576A" w:rsidP="00A61B64">
            <w:pPr>
              <w:jc w:val="center"/>
              <w:rPr>
                <w:rFonts w:eastAsia="Times New Roman"/>
                <w:color w:val="000000"/>
              </w:rPr>
            </w:pPr>
          </w:p>
        </w:tc>
      </w:tr>
      <w:tr w:rsidR="00D6576A" w:rsidRPr="00D52B58" w14:paraId="78CFA15E" w14:textId="77777777" w:rsidTr="00A61B64">
        <w:tc>
          <w:tcPr>
            <w:tcW w:w="1560" w:type="dxa"/>
          </w:tcPr>
          <w:p w14:paraId="48F724F5" w14:textId="77777777" w:rsidR="00D6576A" w:rsidRPr="00D52B58" w:rsidRDefault="00D6576A" w:rsidP="00A61B64">
            <w:r w:rsidRPr="00D52B58">
              <w:t>-567</w:t>
            </w:r>
            <w:r>
              <w:t xml:space="preserve"> to</w:t>
            </w:r>
            <w:r w:rsidRPr="00D52B58">
              <w:t xml:space="preserve"> -518</w:t>
            </w:r>
          </w:p>
        </w:tc>
        <w:tc>
          <w:tcPr>
            <w:tcW w:w="4820" w:type="dxa"/>
          </w:tcPr>
          <w:p w14:paraId="4C51AFB5" w14:textId="77777777" w:rsidR="00D6576A" w:rsidRPr="00D52B58" w:rsidRDefault="00D6576A" w:rsidP="00A61B64">
            <w:pPr>
              <w:jc w:val="center"/>
            </w:pPr>
            <w:r>
              <w:rPr>
                <w:rFonts w:eastAsia="Times New Roman"/>
                <w:color w:val="000000"/>
              </w:rPr>
              <w:t>ATGGGAATTGTAGTTTTTTTAAAGAGT</w:t>
            </w:r>
            <w:r w:rsidRPr="00D52B58">
              <w:rPr>
                <w:rFonts w:eastAsia="Times New Roman"/>
                <w:color w:val="000000"/>
              </w:rPr>
              <w:t>T</w:t>
            </w:r>
          </w:p>
        </w:tc>
        <w:tc>
          <w:tcPr>
            <w:tcW w:w="4678" w:type="dxa"/>
          </w:tcPr>
          <w:p w14:paraId="74CE9163" w14:textId="77777777" w:rsidR="00D6576A" w:rsidRPr="00D52B58" w:rsidRDefault="00D6576A" w:rsidP="00A61B64">
            <w:pPr>
              <w:jc w:val="center"/>
            </w:pPr>
            <w:r>
              <w:rPr>
                <w:rFonts w:eastAsia="Times New Roman"/>
                <w:color w:val="000000"/>
              </w:rPr>
              <w:t>AAAAATCCCAATCCCCCA</w:t>
            </w:r>
            <w:r w:rsidRPr="00D52B58">
              <w:rPr>
                <w:rFonts w:eastAsia="Times New Roman"/>
                <w:color w:val="000000"/>
              </w:rPr>
              <w:t>CT</w:t>
            </w:r>
          </w:p>
        </w:tc>
        <w:tc>
          <w:tcPr>
            <w:tcW w:w="4252" w:type="dxa"/>
          </w:tcPr>
          <w:p w14:paraId="33AC6C9D" w14:textId="77777777" w:rsidR="00D6576A" w:rsidRPr="00D52B58" w:rsidRDefault="00D6576A" w:rsidP="00A61B64">
            <w:pPr>
              <w:jc w:val="center"/>
            </w:pPr>
            <w:r>
              <w:rPr>
                <w:rFonts w:eastAsia="Times New Roman"/>
                <w:color w:val="000000"/>
              </w:rPr>
              <w:t>AGTTTATAATTGTTGATAAGT</w:t>
            </w:r>
            <w:r w:rsidRPr="00D52B58">
              <w:rPr>
                <w:rFonts w:eastAsia="Times New Roman"/>
                <w:color w:val="000000"/>
              </w:rPr>
              <w:t>A</w:t>
            </w:r>
          </w:p>
        </w:tc>
      </w:tr>
      <w:tr w:rsidR="00D6576A" w:rsidRPr="00D52B58" w14:paraId="2B94FF40" w14:textId="77777777" w:rsidTr="00A61B64">
        <w:tc>
          <w:tcPr>
            <w:tcW w:w="1560" w:type="dxa"/>
          </w:tcPr>
          <w:p w14:paraId="506E8749" w14:textId="77777777" w:rsidR="00D6576A" w:rsidRPr="00D52B58" w:rsidRDefault="00D6576A" w:rsidP="00A61B64">
            <w:r w:rsidRPr="00D52B58">
              <w:t>-355</w:t>
            </w:r>
            <w:r>
              <w:t xml:space="preserve"> to</w:t>
            </w:r>
            <w:r w:rsidRPr="00D52B58">
              <w:t xml:space="preserve"> -</w:t>
            </w:r>
            <w:r>
              <w:t>300</w:t>
            </w:r>
          </w:p>
        </w:tc>
        <w:tc>
          <w:tcPr>
            <w:tcW w:w="4820" w:type="dxa"/>
          </w:tcPr>
          <w:p w14:paraId="3B48EA57" w14:textId="77777777" w:rsidR="00D6576A" w:rsidRPr="00D52B58" w:rsidRDefault="00D6576A" w:rsidP="00A61B64">
            <w:pPr>
              <w:jc w:val="center"/>
            </w:pPr>
            <w:r w:rsidRPr="00D52B58">
              <w:rPr>
                <w:rFonts w:eastAsia="Times New Roman"/>
                <w:color w:val="000000"/>
              </w:rPr>
              <w:t>AGA</w:t>
            </w:r>
            <w:r>
              <w:rPr>
                <w:rFonts w:eastAsia="Times New Roman"/>
                <w:color w:val="000000"/>
              </w:rPr>
              <w:t>TTATAGTTTTTAAGGAATATTGTG</w:t>
            </w:r>
            <w:r w:rsidRPr="00D52B58">
              <w:rPr>
                <w:rFonts w:eastAsia="Times New Roman"/>
                <w:color w:val="000000"/>
              </w:rPr>
              <w:t>G</w:t>
            </w:r>
          </w:p>
        </w:tc>
        <w:tc>
          <w:tcPr>
            <w:tcW w:w="4678" w:type="dxa"/>
          </w:tcPr>
          <w:p w14:paraId="7752D7E1" w14:textId="77777777" w:rsidR="00D6576A" w:rsidRPr="00D52B58" w:rsidRDefault="00D6576A" w:rsidP="00A61B64">
            <w:pPr>
              <w:jc w:val="center"/>
            </w:pPr>
            <w:r>
              <w:rPr>
                <w:rFonts w:eastAsia="Times New Roman"/>
                <w:color w:val="000000"/>
              </w:rPr>
              <w:t>TAAAATACCTACCCTCTAACCTCT</w:t>
            </w:r>
            <w:r w:rsidRPr="00D52B58">
              <w:rPr>
                <w:rFonts w:eastAsia="Times New Roman"/>
                <w:color w:val="000000"/>
              </w:rPr>
              <w:t>ACT</w:t>
            </w:r>
          </w:p>
        </w:tc>
        <w:tc>
          <w:tcPr>
            <w:tcW w:w="4252" w:type="dxa"/>
          </w:tcPr>
          <w:p w14:paraId="4030CF7F" w14:textId="77777777" w:rsidR="00D6576A" w:rsidRPr="00D52B58" w:rsidRDefault="00D6576A" w:rsidP="00A61B64">
            <w:pPr>
              <w:jc w:val="center"/>
            </w:pPr>
            <w:r>
              <w:rPr>
                <w:rFonts w:eastAsia="Times New Roman"/>
                <w:color w:val="000000"/>
              </w:rPr>
              <w:t>ATTGGAGATTTTTATTAG</w:t>
            </w:r>
            <w:r w:rsidRPr="00D52B58">
              <w:rPr>
                <w:rFonts w:eastAsia="Times New Roman"/>
                <w:color w:val="000000"/>
              </w:rPr>
              <w:t>GG</w:t>
            </w:r>
          </w:p>
        </w:tc>
      </w:tr>
      <w:tr w:rsidR="00D6576A" w:rsidRPr="00D52B58" w14:paraId="69DC2DA8" w14:textId="77777777" w:rsidTr="00A61B64">
        <w:tc>
          <w:tcPr>
            <w:tcW w:w="1560" w:type="dxa"/>
          </w:tcPr>
          <w:p w14:paraId="0E10F200" w14:textId="77777777" w:rsidR="00D6576A" w:rsidRPr="00D52B58" w:rsidRDefault="00D6576A" w:rsidP="00A61B64">
            <w:r w:rsidRPr="00D52B58">
              <w:t>-189</w:t>
            </w:r>
            <w:r>
              <w:t xml:space="preserve"> to</w:t>
            </w:r>
            <w:r w:rsidRPr="00D52B58">
              <w:t xml:space="preserve"> -166</w:t>
            </w:r>
          </w:p>
        </w:tc>
        <w:tc>
          <w:tcPr>
            <w:tcW w:w="4820" w:type="dxa"/>
          </w:tcPr>
          <w:p w14:paraId="3B20A2DF" w14:textId="77777777" w:rsidR="00D6576A" w:rsidRPr="00D52B58" w:rsidRDefault="00D6576A" w:rsidP="00A61B64">
            <w:pPr>
              <w:jc w:val="center"/>
            </w:pPr>
            <w:r>
              <w:rPr>
                <w:rFonts w:eastAsia="Times New Roman"/>
                <w:color w:val="000000"/>
              </w:rPr>
              <w:t>AGGTTAGAGGGTAGGTATTTT</w:t>
            </w:r>
            <w:r w:rsidRPr="00D52B58">
              <w:rPr>
                <w:rFonts w:eastAsia="Times New Roman"/>
                <w:color w:val="000000"/>
              </w:rPr>
              <w:t>AT</w:t>
            </w:r>
          </w:p>
        </w:tc>
        <w:tc>
          <w:tcPr>
            <w:tcW w:w="4678" w:type="dxa"/>
          </w:tcPr>
          <w:p w14:paraId="6E1519AE" w14:textId="77777777" w:rsidR="00D6576A" w:rsidRPr="00D52B58" w:rsidRDefault="00D6576A" w:rsidP="00A61B64">
            <w:pPr>
              <w:jc w:val="center"/>
            </w:pPr>
            <w:r>
              <w:rPr>
                <w:rFonts w:eastAsia="Times New Roman"/>
                <w:color w:val="000000"/>
              </w:rPr>
              <w:t>ACTCTAAATTAACCACCCAATCTA</w:t>
            </w:r>
            <w:r w:rsidRPr="00D52B58">
              <w:rPr>
                <w:rFonts w:eastAsia="Times New Roman"/>
                <w:color w:val="000000"/>
              </w:rPr>
              <w:t>C</w:t>
            </w:r>
          </w:p>
        </w:tc>
        <w:tc>
          <w:tcPr>
            <w:tcW w:w="4252" w:type="dxa"/>
          </w:tcPr>
          <w:p w14:paraId="3A870BCB" w14:textId="77777777" w:rsidR="00D6576A" w:rsidRPr="00D52B58" w:rsidRDefault="00D6576A" w:rsidP="00A61B64">
            <w:pPr>
              <w:jc w:val="center"/>
            </w:pPr>
            <w:r>
              <w:rPr>
                <w:rFonts w:eastAsia="Times New Roman"/>
                <w:color w:val="000000"/>
              </w:rPr>
              <w:t>ATGGTAAATTTAGGTAGAATT</w:t>
            </w:r>
            <w:r w:rsidRPr="00D52B58">
              <w:rPr>
                <w:rFonts w:eastAsia="Times New Roman"/>
                <w:color w:val="000000"/>
              </w:rPr>
              <w:t>TTT</w:t>
            </w:r>
          </w:p>
        </w:tc>
      </w:tr>
      <w:tr w:rsidR="00D6576A" w:rsidRPr="00D52B58" w14:paraId="4A5DA280" w14:textId="77777777" w:rsidTr="00A61B64">
        <w:tc>
          <w:tcPr>
            <w:tcW w:w="1560" w:type="dxa"/>
          </w:tcPr>
          <w:p w14:paraId="3ED067BD" w14:textId="77777777" w:rsidR="00D6576A" w:rsidRPr="00D52B58" w:rsidRDefault="00D6576A" w:rsidP="00A61B64">
            <w:r w:rsidRPr="00D52B58">
              <w:t>-80</w:t>
            </w:r>
            <w:r>
              <w:t xml:space="preserve"> to</w:t>
            </w:r>
            <w:r w:rsidRPr="00D52B58">
              <w:t xml:space="preserve"> -19</w:t>
            </w:r>
          </w:p>
        </w:tc>
        <w:tc>
          <w:tcPr>
            <w:tcW w:w="4820" w:type="dxa"/>
          </w:tcPr>
          <w:p w14:paraId="5C28921A" w14:textId="77777777" w:rsidR="00D6576A" w:rsidRPr="00D52B58" w:rsidRDefault="00D6576A" w:rsidP="00A61B64">
            <w:pPr>
              <w:jc w:val="center"/>
            </w:pPr>
            <w:r>
              <w:rPr>
                <w:rFonts w:eastAsia="Times New Roman"/>
                <w:color w:val="000000"/>
              </w:rPr>
              <w:t>GGGGTAGATTGGGTGGTTAATTTA</w:t>
            </w:r>
            <w:r w:rsidRPr="00D52B58">
              <w:rPr>
                <w:rFonts w:eastAsia="Times New Roman"/>
                <w:color w:val="000000"/>
              </w:rPr>
              <w:t>GAG</w:t>
            </w:r>
          </w:p>
        </w:tc>
        <w:tc>
          <w:tcPr>
            <w:tcW w:w="4678" w:type="dxa"/>
          </w:tcPr>
          <w:p w14:paraId="1B79E47C" w14:textId="77777777" w:rsidR="00D6576A" w:rsidRPr="00D52B58" w:rsidRDefault="00D6576A" w:rsidP="00A61B64">
            <w:pPr>
              <w:jc w:val="center"/>
            </w:pPr>
            <w:r>
              <w:rPr>
                <w:rFonts w:eastAsia="Times New Roman"/>
                <w:color w:val="000000"/>
              </w:rPr>
              <w:t>CCAATTATCTAAAAAACCCCACAA</w:t>
            </w:r>
            <w:r w:rsidRPr="00D52B58">
              <w:rPr>
                <w:rFonts w:eastAsia="Times New Roman"/>
                <w:color w:val="000000"/>
              </w:rPr>
              <w:t>CC</w:t>
            </w:r>
          </w:p>
        </w:tc>
        <w:tc>
          <w:tcPr>
            <w:tcW w:w="4252" w:type="dxa"/>
          </w:tcPr>
          <w:p w14:paraId="2E3F383F" w14:textId="77777777" w:rsidR="00D6576A" w:rsidRPr="00D52B58" w:rsidRDefault="00D6576A" w:rsidP="00A61B64">
            <w:pPr>
              <w:jc w:val="center"/>
            </w:pPr>
            <w:r>
              <w:rPr>
                <w:rFonts w:eastAsia="Times New Roman"/>
                <w:color w:val="000000"/>
              </w:rPr>
              <w:t>TTATTTTTTGATTGTATTTTGATT</w:t>
            </w:r>
            <w:r w:rsidRPr="00D52B58">
              <w:rPr>
                <w:rFonts w:eastAsia="Times New Roman"/>
                <w:color w:val="000000"/>
              </w:rPr>
              <w:t>T</w:t>
            </w:r>
          </w:p>
        </w:tc>
      </w:tr>
      <w:tr w:rsidR="00D6576A" w:rsidRPr="00D52B58" w14:paraId="74C56A7A" w14:textId="77777777" w:rsidTr="00A61B64">
        <w:tc>
          <w:tcPr>
            <w:tcW w:w="1560" w:type="dxa"/>
          </w:tcPr>
          <w:p w14:paraId="052FEBA2" w14:textId="77777777" w:rsidR="00D6576A" w:rsidRPr="00D52B58" w:rsidRDefault="00D6576A" w:rsidP="00A61B64">
            <w:r w:rsidRPr="00D52B58">
              <w:t>+8</w:t>
            </w:r>
            <w:r>
              <w:t xml:space="preserve"> to</w:t>
            </w:r>
            <w:r w:rsidRPr="00D52B58">
              <w:t xml:space="preserve"> +44</w:t>
            </w:r>
          </w:p>
        </w:tc>
        <w:tc>
          <w:tcPr>
            <w:tcW w:w="4820" w:type="dxa"/>
          </w:tcPr>
          <w:p w14:paraId="1A6F653E" w14:textId="77777777" w:rsidR="00D6576A" w:rsidRPr="00D52B58" w:rsidRDefault="00D6576A" w:rsidP="00A61B64">
            <w:pPr>
              <w:jc w:val="center"/>
            </w:pPr>
            <w:r>
              <w:rPr>
                <w:rFonts w:eastAsia="Times New Roman"/>
                <w:color w:val="000000"/>
              </w:rPr>
              <w:t>GGGGTAGATTGGGTGGTTAATTTA</w:t>
            </w:r>
            <w:r w:rsidRPr="00D52B58">
              <w:rPr>
                <w:rFonts w:eastAsia="Times New Roman"/>
                <w:color w:val="000000"/>
              </w:rPr>
              <w:t>GAG</w:t>
            </w:r>
          </w:p>
        </w:tc>
        <w:tc>
          <w:tcPr>
            <w:tcW w:w="4678" w:type="dxa"/>
          </w:tcPr>
          <w:p w14:paraId="3E8BC8A0" w14:textId="77777777" w:rsidR="00D6576A" w:rsidRPr="00D52B58" w:rsidRDefault="00D6576A" w:rsidP="00A61B64">
            <w:pPr>
              <w:jc w:val="center"/>
            </w:pPr>
            <w:r>
              <w:rPr>
                <w:rFonts w:eastAsia="Times New Roman"/>
                <w:color w:val="000000"/>
              </w:rPr>
              <w:t>CCAATTATCTAAAAAACCCCACAA</w:t>
            </w:r>
            <w:r w:rsidRPr="00D52B58">
              <w:rPr>
                <w:rFonts w:eastAsia="Times New Roman"/>
                <w:color w:val="000000"/>
              </w:rPr>
              <w:t>C</w:t>
            </w:r>
          </w:p>
        </w:tc>
        <w:tc>
          <w:tcPr>
            <w:tcW w:w="4252" w:type="dxa"/>
          </w:tcPr>
          <w:p w14:paraId="139C7872" w14:textId="77777777" w:rsidR="00D6576A" w:rsidRPr="00D52B58" w:rsidRDefault="00D6576A" w:rsidP="00A61B64">
            <w:pPr>
              <w:jc w:val="center"/>
            </w:pPr>
            <w:r>
              <w:rPr>
                <w:rFonts w:eastAsia="Times New Roman"/>
                <w:color w:val="000000"/>
              </w:rPr>
              <w:t>GGGAATTATAGATAAATTAAAATT</w:t>
            </w:r>
            <w:r w:rsidRPr="00D52B58">
              <w:rPr>
                <w:rFonts w:eastAsia="Times New Roman"/>
                <w:color w:val="000000"/>
              </w:rPr>
              <w:t>G</w:t>
            </w:r>
          </w:p>
        </w:tc>
      </w:tr>
      <w:tr w:rsidR="00D6576A" w:rsidRPr="00D52B58" w14:paraId="63F02C83" w14:textId="77777777" w:rsidTr="00A61B64">
        <w:tc>
          <w:tcPr>
            <w:tcW w:w="1560" w:type="dxa"/>
          </w:tcPr>
          <w:p w14:paraId="5492CBF2" w14:textId="77777777" w:rsidR="00D6576A" w:rsidRPr="00D52B58" w:rsidRDefault="00D6576A" w:rsidP="00A61B64"/>
        </w:tc>
        <w:tc>
          <w:tcPr>
            <w:tcW w:w="4820" w:type="dxa"/>
          </w:tcPr>
          <w:p w14:paraId="1EA6E60C" w14:textId="77777777" w:rsidR="00D6576A" w:rsidRDefault="00D6576A" w:rsidP="00A61B64">
            <w:pPr>
              <w:jc w:val="center"/>
              <w:rPr>
                <w:rFonts w:eastAsia="Times New Roman"/>
                <w:color w:val="000000"/>
              </w:rPr>
            </w:pPr>
          </w:p>
        </w:tc>
        <w:tc>
          <w:tcPr>
            <w:tcW w:w="4678" w:type="dxa"/>
          </w:tcPr>
          <w:p w14:paraId="03D419C1" w14:textId="77777777" w:rsidR="00D6576A" w:rsidRDefault="00D6576A" w:rsidP="00A61B64">
            <w:pPr>
              <w:jc w:val="center"/>
              <w:rPr>
                <w:rFonts w:eastAsia="Times New Roman"/>
                <w:color w:val="000000"/>
              </w:rPr>
            </w:pPr>
            <w:r>
              <w:rPr>
                <w:rFonts w:eastAsia="Times New Roman"/>
                <w:color w:val="000000"/>
              </w:rPr>
              <w:t>BRCA2</w:t>
            </w:r>
          </w:p>
        </w:tc>
        <w:tc>
          <w:tcPr>
            <w:tcW w:w="4252" w:type="dxa"/>
          </w:tcPr>
          <w:p w14:paraId="7AECA7D9" w14:textId="77777777" w:rsidR="00D6576A" w:rsidRDefault="00D6576A" w:rsidP="00A61B64">
            <w:pPr>
              <w:jc w:val="center"/>
              <w:rPr>
                <w:rFonts w:eastAsia="Times New Roman"/>
                <w:color w:val="000000"/>
              </w:rPr>
            </w:pPr>
          </w:p>
        </w:tc>
      </w:tr>
      <w:tr w:rsidR="00D6576A" w:rsidRPr="00D52B58" w14:paraId="6A56C0BB" w14:textId="77777777" w:rsidTr="00A61B64">
        <w:tc>
          <w:tcPr>
            <w:tcW w:w="1560" w:type="dxa"/>
          </w:tcPr>
          <w:p w14:paraId="0FE88106" w14:textId="77777777" w:rsidR="00D6576A" w:rsidRPr="00D52B58" w:rsidRDefault="00D6576A" w:rsidP="00A61B64">
            <w:r w:rsidRPr="00D52B58">
              <w:t>-56</w:t>
            </w:r>
            <w:r>
              <w:t xml:space="preserve"> to</w:t>
            </w:r>
            <w:r w:rsidRPr="00D52B58">
              <w:t xml:space="preserve"> +7</w:t>
            </w:r>
          </w:p>
        </w:tc>
        <w:tc>
          <w:tcPr>
            <w:tcW w:w="4820" w:type="dxa"/>
          </w:tcPr>
          <w:p w14:paraId="65AA7814" w14:textId="77777777" w:rsidR="00D6576A" w:rsidRPr="00D52B58" w:rsidRDefault="00D6576A" w:rsidP="00A61B64">
            <w:pPr>
              <w:jc w:val="center"/>
            </w:pPr>
            <w:r>
              <w:rPr>
                <w:rFonts w:eastAsia="Times New Roman"/>
                <w:color w:val="000000"/>
              </w:rPr>
              <w:t>GTTGGGATGTTTGATAAGGAATTT</w:t>
            </w:r>
            <w:r w:rsidRPr="00D52B58">
              <w:rPr>
                <w:rFonts w:eastAsia="Times New Roman"/>
                <w:color w:val="000000"/>
              </w:rPr>
              <w:t>T</w:t>
            </w:r>
          </w:p>
        </w:tc>
        <w:tc>
          <w:tcPr>
            <w:tcW w:w="4678" w:type="dxa"/>
          </w:tcPr>
          <w:p w14:paraId="57CD7A3F" w14:textId="77777777" w:rsidR="00D6576A" w:rsidRPr="00D52B58" w:rsidRDefault="00D6576A" w:rsidP="00A61B64">
            <w:pPr>
              <w:jc w:val="center"/>
            </w:pPr>
            <w:r>
              <w:rPr>
                <w:rFonts w:eastAsia="Times New Roman"/>
                <w:color w:val="000000"/>
              </w:rPr>
              <w:t>CACAAATCTATCCCCTCA</w:t>
            </w:r>
            <w:r w:rsidRPr="00D52B58">
              <w:rPr>
                <w:rFonts w:eastAsia="Times New Roman"/>
                <w:color w:val="000000"/>
              </w:rPr>
              <w:t>C</w:t>
            </w:r>
          </w:p>
        </w:tc>
        <w:tc>
          <w:tcPr>
            <w:tcW w:w="4252" w:type="dxa"/>
          </w:tcPr>
          <w:p w14:paraId="00D79AB5" w14:textId="77777777" w:rsidR="00D6576A" w:rsidRPr="00D52B58" w:rsidRDefault="00D6576A" w:rsidP="00A61B64">
            <w:pPr>
              <w:jc w:val="center"/>
            </w:pPr>
            <w:r>
              <w:rPr>
                <w:rFonts w:eastAsia="Times New Roman"/>
                <w:color w:val="000000"/>
              </w:rPr>
              <w:t>GGT TTA TTTAGG TTTGAT</w:t>
            </w:r>
            <w:r w:rsidRPr="00D52B58">
              <w:rPr>
                <w:rFonts w:eastAsia="Times New Roman"/>
                <w:color w:val="000000"/>
              </w:rPr>
              <w:t>TT</w:t>
            </w:r>
          </w:p>
        </w:tc>
      </w:tr>
      <w:tr w:rsidR="00D6576A" w:rsidRPr="00D52B58" w14:paraId="12462144" w14:textId="77777777" w:rsidTr="00A61B64">
        <w:tc>
          <w:tcPr>
            <w:tcW w:w="1560" w:type="dxa"/>
            <w:tcBorders>
              <w:bottom w:val="single" w:sz="4" w:space="0" w:color="auto"/>
            </w:tcBorders>
          </w:tcPr>
          <w:p w14:paraId="1D2CC1DE" w14:textId="77777777" w:rsidR="00D6576A" w:rsidRPr="00D52B58" w:rsidRDefault="00D6576A" w:rsidP="00A61B64">
            <w:r w:rsidRPr="00D52B58">
              <w:t>+25</w:t>
            </w:r>
            <w:r>
              <w:t xml:space="preserve"> to</w:t>
            </w:r>
            <w:r w:rsidRPr="00D52B58">
              <w:t xml:space="preserve"> +102</w:t>
            </w:r>
          </w:p>
        </w:tc>
        <w:tc>
          <w:tcPr>
            <w:tcW w:w="4820" w:type="dxa"/>
            <w:tcBorders>
              <w:bottom w:val="single" w:sz="4" w:space="0" w:color="auto"/>
            </w:tcBorders>
          </w:tcPr>
          <w:p w14:paraId="59163139" w14:textId="77777777" w:rsidR="00D6576A" w:rsidRPr="00D52B58" w:rsidRDefault="00D6576A" w:rsidP="00A61B64">
            <w:pPr>
              <w:jc w:val="center"/>
            </w:pPr>
            <w:r>
              <w:rPr>
                <w:rFonts w:eastAsia="Times New Roman"/>
                <w:color w:val="000000"/>
              </w:rPr>
              <w:t>GTTGGGATGTTTGATAAGGAATTT</w:t>
            </w:r>
            <w:r w:rsidRPr="00D52B58">
              <w:rPr>
                <w:rFonts w:eastAsia="Times New Roman"/>
                <w:color w:val="000000"/>
              </w:rPr>
              <w:t>T</w:t>
            </w:r>
          </w:p>
        </w:tc>
        <w:tc>
          <w:tcPr>
            <w:tcW w:w="4678" w:type="dxa"/>
            <w:tcBorders>
              <w:bottom w:val="single" w:sz="4" w:space="0" w:color="auto"/>
            </w:tcBorders>
          </w:tcPr>
          <w:p w14:paraId="436B2DCD" w14:textId="77777777" w:rsidR="00D6576A" w:rsidRPr="00D52B58" w:rsidRDefault="00D6576A" w:rsidP="00A61B64">
            <w:pPr>
              <w:jc w:val="center"/>
            </w:pPr>
            <w:r>
              <w:rPr>
                <w:rFonts w:eastAsia="Times New Roman"/>
                <w:color w:val="000000"/>
              </w:rPr>
              <w:t>CACAAATCTATCCCCTCA</w:t>
            </w:r>
            <w:r w:rsidRPr="00D52B58">
              <w:rPr>
                <w:rFonts w:eastAsia="Times New Roman"/>
                <w:color w:val="000000"/>
              </w:rPr>
              <w:t>C</w:t>
            </w:r>
          </w:p>
        </w:tc>
        <w:tc>
          <w:tcPr>
            <w:tcW w:w="4252" w:type="dxa"/>
            <w:tcBorders>
              <w:bottom w:val="single" w:sz="4" w:space="0" w:color="auto"/>
            </w:tcBorders>
          </w:tcPr>
          <w:p w14:paraId="01C8E000" w14:textId="77777777" w:rsidR="00D6576A" w:rsidRPr="00D52B58" w:rsidRDefault="00D6576A" w:rsidP="00A61B64">
            <w:pPr>
              <w:jc w:val="center"/>
            </w:pPr>
            <w:r>
              <w:rPr>
                <w:rFonts w:eastAsia="Times New Roman"/>
                <w:color w:val="000000"/>
              </w:rPr>
              <w:t>GAGTTT TTG AAATTA</w:t>
            </w:r>
            <w:r w:rsidRPr="00D52B58">
              <w:rPr>
                <w:rFonts w:eastAsia="Times New Roman"/>
                <w:color w:val="000000"/>
              </w:rPr>
              <w:t>GG</w:t>
            </w:r>
          </w:p>
        </w:tc>
      </w:tr>
    </w:tbl>
    <w:p w14:paraId="2776E933" w14:textId="77777777" w:rsidR="00D6576A" w:rsidRDefault="00D6576A" w:rsidP="00A61B64"/>
    <w:p w14:paraId="17DD1C8D" w14:textId="77777777" w:rsidR="00D6576A" w:rsidRDefault="00D6576A">
      <w:r>
        <w:br w:type="page"/>
      </w:r>
    </w:p>
    <w:p w14:paraId="189D0A97" w14:textId="77777777" w:rsidR="00D6576A" w:rsidRPr="00D52B58" w:rsidRDefault="00D6576A" w:rsidP="00A61B64">
      <w:pPr>
        <w:spacing w:line="480" w:lineRule="auto"/>
      </w:pPr>
      <w:r w:rsidRPr="000070A1">
        <w:rPr>
          <w:b/>
        </w:rPr>
        <w:t>Table 2</w:t>
      </w:r>
      <w:r>
        <w:rPr>
          <w:b/>
        </w:rPr>
        <w:t xml:space="preserve"> - </w:t>
      </w:r>
      <w:r w:rsidRPr="00D52B58">
        <w:t xml:space="preserve">Effect of FA </w:t>
      </w:r>
      <w:r>
        <w:t>treatment</w:t>
      </w:r>
      <w:r w:rsidRPr="00D52B58">
        <w:t xml:space="preserve"> on BRCA 1 mRNA expression</w:t>
      </w:r>
    </w:p>
    <w:p w14:paraId="5BAC13A0" w14:textId="77777777" w:rsidR="00D6576A" w:rsidRPr="00D52B58" w:rsidRDefault="00D6576A" w:rsidP="00A61B64"/>
    <w:tbl>
      <w:tblPr>
        <w:tblStyle w:val="TableGrid"/>
        <w:tblW w:w="15309"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27"/>
        <w:gridCol w:w="2069"/>
        <w:gridCol w:w="2069"/>
        <w:gridCol w:w="2070"/>
        <w:gridCol w:w="2069"/>
        <w:gridCol w:w="2070"/>
        <w:gridCol w:w="1134"/>
      </w:tblGrid>
      <w:tr w:rsidR="00D6576A" w:rsidRPr="00D52B58" w14:paraId="3EBB5FB0" w14:textId="77777777" w:rsidTr="00A61B64">
        <w:trPr>
          <w:jc w:val="center"/>
        </w:trPr>
        <w:tc>
          <w:tcPr>
            <w:tcW w:w="1701" w:type="dxa"/>
            <w:vMerge w:val="restart"/>
            <w:tcBorders>
              <w:top w:val="single" w:sz="4" w:space="0" w:color="auto"/>
              <w:bottom w:val="single" w:sz="4" w:space="0" w:color="auto"/>
            </w:tcBorders>
          </w:tcPr>
          <w:p w14:paraId="7379D9FB" w14:textId="77777777" w:rsidR="00D6576A" w:rsidRPr="00D52B58" w:rsidRDefault="00D6576A" w:rsidP="00A61B64">
            <w:pPr>
              <w:jc w:val="center"/>
            </w:pPr>
          </w:p>
          <w:p w14:paraId="24AC71DD" w14:textId="77777777" w:rsidR="00D6576A" w:rsidRPr="00D52B58" w:rsidRDefault="00D6576A" w:rsidP="00A61B64">
            <w:pPr>
              <w:jc w:val="center"/>
            </w:pPr>
            <w:r w:rsidRPr="00D52B58">
              <w:t>Cell</w:t>
            </w:r>
          </w:p>
          <w:p w14:paraId="0698F28C" w14:textId="77777777" w:rsidR="00D6576A" w:rsidRPr="00D52B58" w:rsidRDefault="00D6576A" w:rsidP="00A61B64">
            <w:pPr>
              <w:jc w:val="center"/>
            </w:pPr>
            <w:r w:rsidRPr="00D52B58">
              <w:t>line</w:t>
            </w:r>
          </w:p>
        </w:tc>
        <w:tc>
          <w:tcPr>
            <w:tcW w:w="2127" w:type="dxa"/>
            <w:vMerge w:val="restart"/>
            <w:tcBorders>
              <w:top w:val="single" w:sz="4" w:space="0" w:color="auto"/>
              <w:bottom w:val="single" w:sz="4" w:space="0" w:color="auto"/>
            </w:tcBorders>
          </w:tcPr>
          <w:p w14:paraId="349D8E5F" w14:textId="77777777" w:rsidR="00D6576A" w:rsidRPr="00D52B58" w:rsidRDefault="00D6576A" w:rsidP="00A61B64">
            <w:pPr>
              <w:jc w:val="center"/>
            </w:pPr>
          </w:p>
          <w:p w14:paraId="1B6B9E1E" w14:textId="77777777" w:rsidR="00D6576A" w:rsidRPr="00D52B58" w:rsidRDefault="00D6576A" w:rsidP="00A61B64">
            <w:pPr>
              <w:jc w:val="center"/>
            </w:pPr>
            <w:r w:rsidRPr="00D52B58">
              <w:t>Cell</w:t>
            </w:r>
          </w:p>
          <w:p w14:paraId="0A9DA2F1" w14:textId="77777777" w:rsidR="00D6576A" w:rsidRPr="00D52B58" w:rsidRDefault="00D6576A" w:rsidP="00A61B64">
            <w:pPr>
              <w:jc w:val="center"/>
            </w:pPr>
            <w:r w:rsidRPr="00D52B58">
              <w:t>type</w:t>
            </w:r>
          </w:p>
        </w:tc>
        <w:tc>
          <w:tcPr>
            <w:tcW w:w="10347" w:type="dxa"/>
            <w:gridSpan w:val="5"/>
            <w:tcBorders>
              <w:top w:val="single" w:sz="4" w:space="0" w:color="auto"/>
              <w:bottom w:val="single" w:sz="4" w:space="0" w:color="auto"/>
            </w:tcBorders>
          </w:tcPr>
          <w:p w14:paraId="5C80BA4F" w14:textId="77777777" w:rsidR="00D6576A" w:rsidRPr="00D52B58" w:rsidRDefault="00D6576A" w:rsidP="00A61B64">
            <w:pPr>
              <w:jc w:val="center"/>
            </w:pPr>
            <w:r w:rsidRPr="00D52B58">
              <w:t>Relative mRNA expression</w:t>
            </w:r>
          </w:p>
        </w:tc>
        <w:tc>
          <w:tcPr>
            <w:tcW w:w="1134" w:type="dxa"/>
            <w:vMerge w:val="restart"/>
            <w:tcBorders>
              <w:top w:val="single" w:sz="4" w:space="0" w:color="auto"/>
              <w:bottom w:val="single" w:sz="4" w:space="0" w:color="auto"/>
            </w:tcBorders>
          </w:tcPr>
          <w:p w14:paraId="517862D5" w14:textId="77777777" w:rsidR="00D6576A" w:rsidRPr="00D52B58" w:rsidRDefault="00D6576A" w:rsidP="00A61B64">
            <w:pPr>
              <w:jc w:val="center"/>
            </w:pPr>
          </w:p>
          <w:p w14:paraId="12746211" w14:textId="77777777" w:rsidR="00D6576A" w:rsidRPr="00D52B58" w:rsidRDefault="00D6576A" w:rsidP="00A61B64">
            <w:pPr>
              <w:jc w:val="center"/>
            </w:pPr>
            <w:r w:rsidRPr="00D52B58">
              <w:t>ANOVA</w:t>
            </w:r>
          </w:p>
          <w:p w14:paraId="15E2F41B" w14:textId="77777777" w:rsidR="00D6576A" w:rsidRPr="00D52B58" w:rsidRDefault="00D6576A" w:rsidP="00A61B64">
            <w:pPr>
              <w:jc w:val="center"/>
            </w:pPr>
            <w:r w:rsidRPr="00D52B58">
              <w:t>(P)</w:t>
            </w:r>
          </w:p>
        </w:tc>
      </w:tr>
      <w:tr w:rsidR="00D6576A" w:rsidRPr="00D52B58" w14:paraId="7F31F013" w14:textId="77777777" w:rsidTr="00A61B64">
        <w:trPr>
          <w:jc w:val="center"/>
        </w:trPr>
        <w:tc>
          <w:tcPr>
            <w:tcW w:w="1701" w:type="dxa"/>
            <w:vMerge/>
            <w:tcBorders>
              <w:bottom w:val="single" w:sz="4" w:space="0" w:color="auto"/>
            </w:tcBorders>
          </w:tcPr>
          <w:p w14:paraId="3552BF66" w14:textId="77777777" w:rsidR="00D6576A" w:rsidRPr="00D52B58" w:rsidRDefault="00D6576A" w:rsidP="00A61B64"/>
        </w:tc>
        <w:tc>
          <w:tcPr>
            <w:tcW w:w="2127" w:type="dxa"/>
            <w:vMerge/>
            <w:tcBorders>
              <w:bottom w:val="single" w:sz="4" w:space="0" w:color="auto"/>
            </w:tcBorders>
          </w:tcPr>
          <w:p w14:paraId="42858B70" w14:textId="77777777" w:rsidR="00D6576A" w:rsidRPr="00D52B58" w:rsidRDefault="00D6576A" w:rsidP="00A61B64">
            <w:pPr>
              <w:jc w:val="center"/>
            </w:pPr>
          </w:p>
        </w:tc>
        <w:tc>
          <w:tcPr>
            <w:tcW w:w="10347" w:type="dxa"/>
            <w:gridSpan w:val="5"/>
            <w:tcBorders>
              <w:top w:val="single" w:sz="4" w:space="0" w:color="auto"/>
              <w:bottom w:val="single" w:sz="4" w:space="0" w:color="auto"/>
            </w:tcBorders>
          </w:tcPr>
          <w:p w14:paraId="18432A4C" w14:textId="77777777" w:rsidR="00D6576A" w:rsidRPr="00D52B58" w:rsidRDefault="00D6576A" w:rsidP="00A61B64">
            <w:pPr>
              <w:jc w:val="center"/>
            </w:pPr>
            <w:r w:rsidRPr="00D52B58">
              <w:t>Folic acid concentration (nmoles/l)</w:t>
            </w:r>
          </w:p>
        </w:tc>
        <w:tc>
          <w:tcPr>
            <w:tcW w:w="1134" w:type="dxa"/>
            <w:vMerge/>
            <w:tcBorders>
              <w:bottom w:val="single" w:sz="4" w:space="0" w:color="auto"/>
            </w:tcBorders>
          </w:tcPr>
          <w:p w14:paraId="63BA5A95" w14:textId="77777777" w:rsidR="00D6576A" w:rsidRPr="00D52B58" w:rsidRDefault="00D6576A" w:rsidP="00A61B64">
            <w:pPr>
              <w:jc w:val="center"/>
            </w:pPr>
          </w:p>
        </w:tc>
      </w:tr>
      <w:tr w:rsidR="00D6576A" w:rsidRPr="00D52B58" w14:paraId="20C457E8" w14:textId="77777777" w:rsidTr="00A61B64">
        <w:trPr>
          <w:jc w:val="center"/>
        </w:trPr>
        <w:tc>
          <w:tcPr>
            <w:tcW w:w="1701" w:type="dxa"/>
            <w:vMerge/>
            <w:tcBorders>
              <w:bottom w:val="single" w:sz="4" w:space="0" w:color="auto"/>
            </w:tcBorders>
          </w:tcPr>
          <w:p w14:paraId="39D402F6" w14:textId="77777777" w:rsidR="00D6576A" w:rsidRPr="00D52B58" w:rsidRDefault="00D6576A" w:rsidP="00A61B64"/>
        </w:tc>
        <w:tc>
          <w:tcPr>
            <w:tcW w:w="2127" w:type="dxa"/>
            <w:vMerge/>
            <w:tcBorders>
              <w:bottom w:val="single" w:sz="4" w:space="0" w:color="auto"/>
            </w:tcBorders>
          </w:tcPr>
          <w:p w14:paraId="15826D2A" w14:textId="77777777" w:rsidR="00D6576A" w:rsidRPr="00D52B58" w:rsidRDefault="00D6576A" w:rsidP="00A61B64">
            <w:pPr>
              <w:jc w:val="center"/>
            </w:pPr>
          </w:p>
        </w:tc>
        <w:tc>
          <w:tcPr>
            <w:tcW w:w="2069" w:type="dxa"/>
            <w:tcBorders>
              <w:top w:val="single" w:sz="4" w:space="0" w:color="auto"/>
              <w:bottom w:val="single" w:sz="4" w:space="0" w:color="auto"/>
            </w:tcBorders>
          </w:tcPr>
          <w:p w14:paraId="47A296E9" w14:textId="77777777" w:rsidR="00D6576A" w:rsidRPr="00D52B58" w:rsidRDefault="00D6576A" w:rsidP="00A61B64">
            <w:pPr>
              <w:jc w:val="center"/>
            </w:pPr>
            <w:r w:rsidRPr="00D52B58">
              <w:t>0</w:t>
            </w:r>
            <w:r w:rsidRPr="00D52B58">
              <w:rPr>
                <w:vertAlign w:val="superscript"/>
              </w:rPr>
              <w:t>2</w:t>
            </w:r>
          </w:p>
        </w:tc>
        <w:tc>
          <w:tcPr>
            <w:tcW w:w="2069" w:type="dxa"/>
            <w:tcBorders>
              <w:top w:val="single" w:sz="4" w:space="0" w:color="auto"/>
              <w:bottom w:val="single" w:sz="4" w:space="0" w:color="auto"/>
            </w:tcBorders>
          </w:tcPr>
          <w:p w14:paraId="43843A64" w14:textId="77777777" w:rsidR="00D6576A" w:rsidRPr="00D52B58" w:rsidRDefault="00D6576A" w:rsidP="00A61B64">
            <w:pPr>
              <w:jc w:val="center"/>
            </w:pPr>
            <w:r w:rsidRPr="00D52B58">
              <w:t>25</w:t>
            </w:r>
          </w:p>
        </w:tc>
        <w:tc>
          <w:tcPr>
            <w:tcW w:w="2070" w:type="dxa"/>
            <w:tcBorders>
              <w:top w:val="single" w:sz="4" w:space="0" w:color="auto"/>
              <w:bottom w:val="single" w:sz="4" w:space="0" w:color="auto"/>
            </w:tcBorders>
          </w:tcPr>
          <w:p w14:paraId="42C0EEB0" w14:textId="77777777" w:rsidR="00D6576A" w:rsidRPr="00D52B58" w:rsidRDefault="00D6576A" w:rsidP="00A61B64">
            <w:pPr>
              <w:jc w:val="center"/>
            </w:pPr>
            <w:r w:rsidRPr="00D52B58">
              <w:t>50</w:t>
            </w:r>
          </w:p>
        </w:tc>
        <w:tc>
          <w:tcPr>
            <w:tcW w:w="2069" w:type="dxa"/>
            <w:tcBorders>
              <w:top w:val="single" w:sz="4" w:space="0" w:color="auto"/>
              <w:bottom w:val="single" w:sz="4" w:space="0" w:color="auto"/>
            </w:tcBorders>
          </w:tcPr>
          <w:p w14:paraId="7E91A00A" w14:textId="77777777" w:rsidR="00D6576A" w:rsidRPr="00D52B58" w:rsidRDefault="00D6576A" w:rsidP="00A61B64">
            <w:pPr>
              <w:jc w:val="center"/>
            </w:pPr>
            <w:r w:rsidRPr="00D52B58">
              <w:t>75</w:t>
            </w:r>
          </w:p>
        </w:tc>
        <w:tc>
          <w:tcPr>
            <w:tcW w:w="2070" w:type="dxa"/>
            <w:tcBorders>
              <w:top w:val="single" w:sz="4" w:space="0" w:color="auto"/>
              <w:bottom w:val="single" w:sz="4" w:space="0" w:color="auto"/>
            </w:tcBorders>
          </w:tcPr>
          <w:p w14:paraId="33B59220" w14:textId="77777777" w:rsidR="00D6576A" w:rsidRPr="00D52B58" w:rsidRDefault="00D6576A" w:rsidP="00A61B64">
            <w:pPr>
              <w:jc w:val="center"/>
            </w:pPr>
            <w:r w:rsidRPr="00D52B58">
              <w:t>100</w:t>
            </w:r>
          </w:p>
        </w:tc>
        <w:tc>
          <w:tcPr>
            <w:tcW w:w="1134" w:type="dxa"/>
            <w:vMerge/>
            <w:tcBorders>
              <w:bottom w:val="single" w:sz="4" w:space="0" w:color="auto"/>
            </w:tcBorders>
          </w:tcPr>
          <w:p w14:paraId="57B39E14" w14:textId="77777777" w:rsidR="00D6576A" w:rsidRPr="00D52B58" w:rsidRDefault="00D6576A" w:rsidP="00A61B64">
            <w:pPr>
              <w:jc w:val="center"/>
            </w:pPr>
          </w:p>
        </w:tc>
      </w:tr>
      <w:tr w:rsidR="00D6576A" w:rsidRPr="00D52B58" w14:paraId="23B0F1E2" w14:textId="77777777" w:rsidTr="00A61B64">
        <w:trPr>
          <w:jc w:val="center"/>
        </w:trPr>
        <w:tc>
          <w:tcPr>
            <w:tcW w:w="15309" w:type="dxa"/>
            <w:gridSpan w:val="8"/>
          </w:tcPr>
          <w:p w14:paraId="276D35AD" w14:textId="77777777" w:rsidR="00D6576A" w:rsidRPr="00D52B58" w:rsidRDefault="00D6576A" w:rsidP="00A61B64">
            <w:pPr>
              <w:jc w:val="center"/>
            </w:pPr>
            <w:r w:rsidRPr="00D52B58">
              <w:t>Liver</w:t>
            </w:r>
          </w:p>
        </w:tc>
      </w:tr>
      <w:tr w:rsidR="00D6576A" w:rsidRPr="00D52B58" w14:paraId="3DD62745" w14:textId="77777777" w:rsidTr="00A61B64">
        <w:trPr>
          <w:jc w:val="center"/>
        </w:trPr>
        <w:tc>
          <w:tcPr>
            <w:tcW w:w="1701" w:type="dxa"/>
          </w:tcPr>
          <w:p w14:paraId="563C423E" w14:textId="77777777" w:rsidR="00D6576A" w:rsidRPr="00D52B58" w:rsidRDefault="00D6576A" w:rsidP="00A61B64">
            <w:r w:rsidRPr="00D52B58">
              <w:t>Hepatocytes</w:t>
            </w:r>
          </w:p>
        </w:tc>
        <w:tc>
          <w:tcPr>
            <w:tcW w:w="2127" w:type="dxa"/>
          </w:tcPr>
          <w:p w14:paraId="60C627E0" w14:textId="77777777" w:rsidR="00D6576A" w:rsidRPr="00D52B58" w:rsidRDefault="00D6576A" w:rsidP="00A61B64">
            <w:pPr>
              <w:jc w:val="center"/>
            </w:pPr>
            <w:r w:rsidRPr="00D52B58">
              <w:t>Primary</w:t>
            </w:r>
          </w:p>
        </w:tc>
        <w:tc>
          <w:tcPr>
            <w:tcW w:w="2069" w:type="dxa"/>
            <w:vAlign w:val="bottom"/>
          </w:tcPr>
          <w:p w14:paraId="2CF4B709" w14:textId="77777777" w:rsidR="00D6576A" w:rsidRPr="00D52B58" w:rsidRDefault="00D6576A" w:rsidP="00A61B64">
            <w:pPr>
              <w:jc w:val="center"/>
              <w:rPr>
                <w:color w:val="000000"/>
              </w:rPr>
            </w:pPr>
            <w:r w:rsidRPr="00D52B58">
              <w:rPr>
                <w:color w:val="000000"/>
              </w:rPr>
              <w:t>100±22.4</w:t>
            </w:r>
          </w:p>
        </w:tc>
        <w:tc>
          <w:tcPr>
            <w:tcW w:w="2069" w:type="dxa"/>
            <w:vAlign w:val="bottom"/>
          </w:tcPr>
          <w:p w14:paraId="431E9502" w14:textId="77777777" w:rsidR="00D6576A" w:rsidRPr="00D52B58" w:rsidRDefault="00D6576A" w:rsidP="00A61B64">
            <w:pPr>
              <w:jc w:val="center"/>
              <w:rPr>
                <w:color w:val="000000"/>
              </w:rPr>
            </w:pPr>
            <w:r w:rsidRPr="00D52B58">
              <w:rPr>
                <w:color w:val="000000"/>
              </w:rPr>
              <w:t>ND</w:t>
            </w:r>
          </w:p>
        </w:tc>
        <w:tc>
          <w:tcPr>
            <w:tcW w:w="2070" w:type="dxa"/>
            <w:vAlign w:val="bottom"/>
          </w:tcPr>
          <w:p w14:paraId="0747452C" w14:textId="77777777" w:rsidR="00D6576A" w:rsidRPr="00D52B58" w:rsidRDefault="00D6576A" w:rsidP="00A61B64">
            <w:pPr>
              <w:jc w:val="center"/>
              <w:rPr>
                <w:color w:val="000000"/>
              </w:rPr>
            </w:pPr>
            <w:r w:rsidRPr="00D52B58">
              <w:rPr>
                <w:color w:val="000000"/>
              </w:rPr>
              <w:t>ND</w:t>
            </w:r>
          </w:p>
        </w:tc>
        <w:tc>
          <w:tcPr>
            <w:tcW w:w="2069" w:type="dxa"/>
            <w:vAlign w:val="bottom"/>
          </w:tcPr>
          <w:p w14:paraId="54355B7C" w14:textId="77777777" w:rsidR="00D6576A" w:rsidRPr="00D52B58" w:rsidRDefault="00D6576A" w:rsidP="00A61B64">
            <w:pPr>
              <w:jc w:val="center"/>
              <w:rPr>
                <w:color w:val="000000"/>
              </w:rPr>
            </w:pPr>
            <w:r w:rsidRPr="00D52B58">
              <w:rPr>
                <w:color w:val="000000"/>
              </w:rPr>
              <w:t>ND</w:t>
            </w:r>
          </w:p>
        </w:tc>
        <w:tc>
          <w:tcPr>
            <w:tcW w:w="2070" w:type="dxa"/>
            <w:vAlign w:val="bottom"/>
          </w:tcPr>
          <w:p w14:paraId="1E038E39" w14:textId="77777777" w:rsidR="00D6576A" w:rsidRPr="00D52B58" w:rsidRDefault="00D6576A" w:rsidP="00A61B64">
            <w:pPr>
              <w:jc w:val="center"/>
              <w:rPr>
                <w:color w:val="000000"/>
              </w:rPr>
            </w:pPr>
            <w:r w:rsidRPr="00D52B58">
              <w:rPr>
                <w:color w:val="000000"/>
              </w:rPr>
              <w:t>98.1±18.9</w:t>
            </w:r>
          </w:p>
        </w:tc>
        <w:tc>
          <w:tcPr>
            <w:tcW w:w="1134" w:type="dxa"/>
          </w:tcPr>
          <w:p w14:paraId="0973E2F3" w14:textId="77777777" w:rsidR="00D6576A" w:rsidRPr="00D52B58" w:rsidRDefault="00D6576A" w:rsidP="00A61B64">
            <w:pPr>
              <w:jc w:val="center"/>
            </w:pPr>
            <w:r w:rsidRPr="00D52B58">
              <w:t>0.95</w:t>
            </w:r>
            <w:r w:rsidRPr="00D52B58">
              <w:rPr>
                <w:vertAlign w:val="superscript"/>
              </w:rPr>
              <w:t>1</w:t>
            </w:r>
          </w:p>
        </w:tc>
      </w:tr>
      <w:tr w:rsidR="00D6576A" w:rsidRPr="00D52B58" w14:paraId="6EF96D52" w14:textId="77777777" w:rsidTr="00A61B64">
        <w:trPr>
          <w:jc w:val="center"/>
        </w:trPr>
        <w:tc>
          <w:tcPr>
            <w:tcW w:w="1701" w:type="dxa"/>
          </w:tcPr>
          <w:p w14:paraId="5BAD553C" w14:textId="77777777" w:rsidR="00D6576A" w:rsidRPr="00D52B58" w:rsidRDefault="00D6576A" w:rsidP="00A61B64">
            <w:r w:rsidRPr="00D52B58">
              <w:t>SK-HEP-1</w:t>
            </w:r>
          </w:p>
        </w:tc>
        <w:tc>
          <w:tcPr>
            <w:tcW w:w="2127" w:type="dxa"/>
          </w:tcPr>
          <w:p w14:paraId="23ABD077" w14:textId="77777777" w:rsidR="00D6576A" w:rsidRPr="00D52B58" w:rsidRDefault="00D6576A" w:rsidP="00A61B64">
            <w:pPr>
              <w:jc w:val="center"/>
            </w:pPr>
            <w:r w:rsidRPr="00D52B58">
              <w:t>Adenocarcinoma</w:t>
            </w:r>
          </w:p>
        </w:tc>
        <w:tc>
          <w:tcPr>
            <w:tcW w:w="2069" w:type="dxa"/>
            <w:vAlign w:val="bottom"/>
          </w:tcPr>
          <w:p w14:paraId="11692DC4" w14:textId="77777777" w:rsidR="00D6576A" w:rsidRPr="00D52B58" w:rsidRDefault="00D6576A" w:rsidP="00A61B64">
            <w:pPr>
              <w:jc w:val="center"/>
              <w:rPr>
                <w:color w:val="000000"/>
              </w:rPr>
            </w:pPr>
            <w:r w:rsidRPr="00D52B58">
              <w:rPr>
                <w:color w:val="000000"/>
              </w:rPr>
              <w:t>100±6.2</w:t>
            </w:r>
          </w:p>
        </w:tc>
        <w:tc>
          <w:tcPr>
            <w:tcW w:w="2069" w:type="dxa"/>
            <w:vAlign w:val="bottom"/>
          </w:tcPr>
          <w:p w14:paraId="0B0D6517" w14:textId="77777777" w:rsidR="00D6576A" w:rsidRPr="00D52B58" w:rsidRDefault="00D6576A" w:rsidP="00A61B64">
            <w:pPr>
              <w:jc w:val="center"/>
              <w:rPr>
                <w:color w:val="000000"/>
              </w:rPr>
            </w:pPr>
            <w:r w:rsidRPr="00D52B58">
              <w:rPr>
                <w:color w:val="000000"/>
              </w:rPr>
              <w:t>91.6±6.3</w:t>
            </w:r>
          </w:p>
        </w:tc>
        <w:tc>
          <w:tcPr>
            <w:tcW w:w="2070" w:type="dxa"/>
            <w:vAlign w:val="bottom"/>
          </w:tcPr>
          <w:p w14:paraId="1BEBCF44" w14:textId="77777777" w:rsidR="00D6576A" w:rsidRPr="00D52B58" w:rsidRDefault="00D6576A" w:rsidP="00A61B64">
            <w:pPr>
              <w:jc w:val="center"/>
              <w:rPr>
                <w:color w:val="000000"/>
              </w:rPr>
            </w:pPr>
            <w:r w:rsidRPr="00D52B58">
              <w:rPr>
                <w:color w:val="000000"/>
              </w:rPr>
              <w:t>90.3±5.3</w:t>
            </w:r>
          </w:p>
        </w:tc>
        <w:tc>
          <w:tcPr>
            <w:tcW w:w="2069" w:type="dxa"/>
            <w:vAlign w:val="bottom"/>
          </w:tcPr>
          <w:p w14:paraId="407B281D" w14:textId="77777777" w:rsidR="00D6576A" w:rsidRPr="00D52B58" w:rsidRDefault="00D6576A" w:rsidP="00A61B64">
            <w:pPr>
              <w:jc w:val="center"/>
              <w:rPr>
                <w:color w:val="000000"/>
              </w:rPr>
            </w:pPr>
            <w:r w:rsidRPr="00D52B58">
              <w:rPr>
                <w:color w:val="000000"/>
              </w:rPr>
              <w:t>93.9±6.4</w:t>
            </w:r>
          </w:p>
        </w:tc>
        <w:tc>
          <w:tcPr>
            <w:tcW w:w="2070" w:type="dxa"/>
            <w:vAlign w:val="bottom"/>
          </w:tcPr>
          <w:p w14:paraId="4FBEB428" w14:textId="77777777" w:rsidR="00D6576A" w:rsidRPr="00D52B58" w:rsidRDefault="00D6576A" w:rsidP="00A61B64">
            <w:pPr>
              <w:jc w:val="center"/>
              <w:rPr>
                <w:color w:val="000000"/>
              </w:rPr>
            </w:pPr>
            <w:r w:rsidRPr="00D52B58">
              <w:rPr>
                <w:color w:val="000000"/>
              </w:rPr>
              <w:t>108.1±8.3</w:t>
            </w:r>
          </w:p>
        </w:tc>
        <w:tc>
          <w:tcPr>
            <w:tcW w:w="1134" w:type="dxa"/>
          </w:tcPr>
          <w:p w14:paraId="62123147" w14:textId="77777777" w:rsidR="00D6576A" w:rsidRPr="00D52B58" w:rsidRDefault="00D6576A" w:rsidP="00A61B64">
            <w:pPr>
              <w:jc w:val="center"/>
            </w:pPr>
            <w:r w:rsidRPr="00D52B58">
              <w:t>0.32</w:t>
            </w:r>
          </w:p>
        </w:tc>
      </w:tr>
      <w:tr w:rsidR="00D6576A" w:rsidRPr="00D52B58" w14:paraId="1FD606C1" w14:textId="77777777" w:rsidTr="00A61B64">
        <w:trPr>
          <w:jc w:val="center"/>
        </w:trPr>
        <w:tc>
          <w:tcPr>
            <w:tcW w:w="1701" w:type="dxa"/>
          </w:tcPr>
          <w:p w14:paraId="71E3DEA5" w14:textId="77777777" w:rsidR="00D6576A" w:rsidRPr="00D52B58" w:rsidRDefault="00D6576A" w:rsidP="00A61B64">
            <w:r w:rsidRPr="00D52B58">
              <w:t>PLC/PRF/5</w:t>
            </w:r>
          </w:p>
        </w:tc>
        <w:tc>
          <w:tcPr>
            <w:tcW w:w="2127" w:type="dxa"/>
          </w:tcPr>
          <w:p w14:paraId="4DE14385" w14:textId="77777777" w:rsidR="00D6576A" w:rsidRPr="00D52B58" w:rsidRDefault="00D6576A" w:rsidP="00A61B64">
            <w:pPr>
              <w:jc w:val="center"/>
            </w:pPr>
            <w:r w:rsidRPr="00D52B58">
              <w:t>Hepatoma</w:t>
            </w:r>
          </w:p>
        </w:tc>
        <w:tc>
          <w:tcPr>
            <w:tcW w:w="2069" w:type="dxa"/>
            <w:vAlign w:val="bottom"/>
          </w:tcPr>
          <w:p w14:paraId="55E82E97" w14:textId="77777777" w:rsidR="00D6576A" w:rsidRPr="00D52B58" w:rsidRDefault="00D6576A" w:rsidP="00A61B64">
            <w:pPr>
              <w:jc w:val="center"/>
              <w:rPr>
                <w:color w:val="000000"/>
              </w:rPr>
            </w:pPr>
            <w:r w:rsidRPr="00D52B58">
              <w:rPr>
                <w:color w:val="000000"/>
              </w:rPr>
              <w:t>100±4.9</w:t>
            </w:r>
          </w:p>
        </w:tc>
        <w:tc>
          <w:tcPr>
            <w:tcW w:w="2069" w:type="dxa"/>
            <w:vAlign w:val="bottom"/>
          </w:tcPr>
          <w:p w14:paraId="47503890" w14:textId="77777777" w:rsidR="00D6576A" w:rsidRPr="00D52B58" w:rsidRDefault="00D6576A" w:rsidP="00A61B64">
            <w:pPr>
              <w:jc w:val="center"/>
              <w:rPr>
                <w:color w:val="000000"/>
              </w:rPr>
            </w:pPr>
            <w:r w:rsidRPr="00D52B58">
              <w:rPr>
                <w:color w:val="000000"/>
              </w:rPr>
              <w:t>99.6±3.1</w:t>
            </w:r>
          </w:p>
        </w:tc>
        <w:tc>
          <w:tcPr>
            <w:tcW w:w="2070" w:type="dxa"/>
            <w:vAlign w:val="bottom"/>
          </w:tcPr>
          <w:p w14:paraId="6B96C0C1" w14:textId="77777777" w:rsidR="00D6576A" w:rsidRPr="00D52B58" w:rsidRDefault="00D6576A" w:rsidP="00A61B64">
            <w:pPr>
              <w:jc w:val="center"/>
              <w:rPr>
                <w:color w:val="000000"/>
              </w:rPr>
            </w:pPr>
            <w:r w:rsidRPr="00D52B58">
              <w:rPr>
                <w:color w:val="000000"/>
              </w:rPr>
              <w:t>96.9±5.1</w:t>
            </w:r>
          </w:p>
        </w:tc>
        <w:tc>
          <w:tcPr>
            <w:tcW w:w="2069" w:type="dxa"/>
            <w:vAlign w:val="bottom"/>
          </w:tcPr>
          <w:p w14:paraId="116DA128" w14:textId="77777777" w:rsidR="00D6576A" w:rsidRPr="00D52B58" w:rsidRDefault="00D6576A" w:rsidP="00A61B64">
            <w:pPr>
              <w:jc w:val="center"/>
              <w:rPr>
                <w:color w:val="000000"/>
              </w:rPr>
            </w:pPr>
            <w:r w:rsidRPr="00D52B58">
              <w:rPr>
                <w:color w:val="000000"/>
              </w:rPr>
              <w:t>105.6±2.6</w:t>
            </w:r>
          </w:p>
        </w:tc>
        <w:tc>
          <w:tcPr>
            <w:tcW w:w="2070" w:type="dxa"/>
            <w:vAlign w:val="bottom"/>
          </w:tcPr>
          <w:p w14:paraId="35CC2485" w14:textId="77777777" w:rsidR="00D6576A" w:rsidRPr="00D52B58" w:rsidRDefault="00D6576A" w:rsidP="00A61B64">
            <w:pPr>
              <w:jc w:val="center"/>
              <w:rPr>
                <w:color w:val="000000"/>
              </w:rPr>
            </w:pPr>
            <w:r w:rsidRPr="00D52B58">
              <w:rPr>
                <w:color w:val="000000"/>
              </w:rPr>
              <w:t>107.5±5.9</w:t>
            </w:r>
          </w:p>
        </w:tc>
        <w:tc>
          <w:tcPr>
            <w:tcW w:w="1134" w:type="dxa"/>
          </w:tcPr>
          <w:p w14:paraId="73A1C380" w14:textId="77777777" w:rsidR="00D6576A" w:rsidRPr="00D52B58" w:rsidRDefault="00D6576A" w:rsidP="00A61B64">
            <w:pPr>
              <w:jc w:val="center"/>
            </w:pPr>
            <w:r w:rsidRPr="00D52B58">
              <w:t>0.45</w:t>
            </w:r>
          </w:p>
        </w:tc>
      </w:tr>
      <w:tr w:rsidR="00D6576A" w:rsidRPr="00D52B58" w14:paraId="05F6EDC4" w14:textId="77777777" w:rsidTr="00A61B64">
        <w:trPr>
          <w:jc w:val="center"/>
        </w:trPr>
        <w:tc>
          <w:tcPr>
            <w:tcW w:w="1701" w:type="dxa"/>
          </w:tcPr>
          <w:p w14:paraId="70CDDA53" w14:textId="77777777" w:rsidR="00D6576A" w:rsidRPr="00D52B58" w:rsidRDefault="00D6576A" w:rsidP="00A61B64">
            <w:r w:rsidRPr="00D52B58">
              <w:t>HepG2</w:t>
            </w:r>
          </w:p>
        </w:tc>
        <w:tc>
          <w:tcPr>
            <w:tcW w:w="2127" w:type="dxa"/>
          </w:tcPr>
          <w:p w14:paraId="243D958B" w14:textId="77777777" w:rsidR="00D6576A" w:rsidRPr="00D52B58" w:rsidRDefault="00D6576A" w:rsidP="00A61B64">
            <w:pPr>
              <w:jc w:val="center"/>
            </w:pPr>
            <w:r w:rsidRPr="00D52B58">
              <w:t>Hepatocellular</w:t>
            </w:r>
          </w:p>
          <w:p w14:paraId="699EC4D8" w14:textId="77777777" w:rsidR="00D6576A" w:rsidRPr="00D52B58" w:rsidRDefault="00D6576A" w:rsidP="00A61B64">
            <w:pPr>
              <w:jc w:val="center"/>
            </w:pPr>
            <w:r w:rsidRPr="00D52B58">
              <w:t>carcinoma</w:t>
            </w:r>
          </w:p>
        </w:tc>
        <w:tc>
          <w:tcPr>
            <w:tcW w:w="2069" w:type="dxa"/>
            <w:vAlign w:val="bottom"/>
          </w:tcPr>
          <w:p w14:paraId="0AF27A06" w14:textId="77777777" w:rsidR="00D6576A" w:rsidRPr="00D52B58" w:rsidRDefault="00D6576A" w:rsidP="00A61B64">
            <w:pPr>
              <w:jc w:val="center"/>
              <w:rPr>
                <w:color w:val="000000"/>
              </w:rPr>
            </w:pPr>
            <w:r w:rsidRPr="00D52B58">
              <w:rPr>
                <w:color w:val="000000"/>
              </w:rPr>
              <w:t>100±2.4</w:t>
            </w:r>
          </w:p>
        </w:tc>
        <w:tc>
          <w:tcPr>
            <w:tcW w:w="2069" w:type="dxa"/>
            <w:vAlign w:val="bottom"/>
          </w:tcPr>
          <w:p w14:paraId="133FECB5" w14:textId="77777777" w:rsidR="00D6576A" w:rsidRPr="00D52B58" w:rsidRDefault="00D6576A" w:rsidP="00A61B64">
            <w:pPr>
              <w:jc w:val="center"/>
              <w:rPr>
                <w:color w:val="000000"/>
              </w:rPr>
            </w:pPr>
            <w:r w:rsidRPr="00D52B58">
              <w:rPr>
                <w:color w:val="000000"/>
              </w:rPr>
              <w:t>114.6±2.6**</w:t>
            </w:r>
          </w:p>
        </w:tc>
        <w:tc>
          <w:tcPr>
            <w:tcW w:w="2070" w:type="dxa"/>
            <w:vAlign w:val="bottom"/>
          </w:tcPr>
          <w:p w14:paraId="16689BE5" w14:textId="77777777" w:rsidR="00D6576A" w:rsidRPr="00D52B58" w:rsidRDefault="00D6576A" w:rsidP="00A61B64">
            <w:pPr>
              <w:jc w:val="center"/>
              <w:rPr>
                <w:color w:val="000000"/>
              </w:rPr>
            </w:pPr>
            <w:r w:rsidRPr="00D52B58">
              <w:rPr>
                <w:color w:val="000000"/>
              </w:rPr>
              <w:t>116.8±3.1**</w:t>
            </w:r>
          </w:p>
        </w:tc>
        <w:tc>
          <w:tcPr>
            <w:tcW w:w="2069" w:type="dxa"/>
            <w:vAlign w:val="bottom"/>
          </w:tcPr>
          <w:p w14:paraId="46316640" w14:textId="77777777" w:rsidR="00D6576A" w:rsidRPr="00D52B58" w:rsidRDefault="00D6576A" w:rsidP="00A61B64">
            <w:pPr>
              <w:jc w:val="center"/>
              <w:rPr>
                <w:color w:val="000000"/>
              </w:rPr>
            </w:pPr>
            <w:r w:rsidRPr="00D52B58">
              <w:rPr>
                <w:color w:val="000000"/>
              </w:rPr>
              <w:t>113.5±1.7*</w:t>
            </w:r>
          </w:p>
        </w:tc>
        <w:tc>
          <w:tcPr>
            <w:tcW w:w="2070" w:type="dxa"/>
            <w:vAlign w:val="bottom"/>
          </w:tcPr>
          <w:p w14:paraId="702C78B8" w14:textId="77777777" w:rsidR="00D6576A" w:rsidRPr="00D52B58" w:rsidRDefault="00D6576A" w:rsidP="00A61B64">
            <w:pPr>
              <w:jc w:val="center"/>
              <w:rPr>
                <w:color w:val="000000"/>
              </w:rPr>
            </w:pPr>
            <w:r w:rsidRPr="00D52B58">
              <w:rPr>
                <w:color w:val="000000"/>
              </w:rPr>
              <w:t>115.8±4.3**</w:t>
            </w:r>
          </w:p>
        </w:tc>
        <w:tc>
          <w:tcPr>
            <w:tcW w:w="1134" w:type="dxa"/>
          </w:tcPr>
          <w:p w14:paraId="75201204" w14:textId="77777777" w:rsidR="00D6576A" w:rsidRPr="00D52B58" w:rsidRDefault="00D6576A" w:rsidP="00A61B64">
            <w:pPr>
              <w:jc w:val="center"/>
            </w:pPr>
          </w:p>
          <w:p w14:paraId="6A60284C" w14:textId="77777777" w:rsidR="00D6576A" w:rsidRPr="00D52B58" w:rsidRDefault="00D6576A" w:rsidP="00A61B64">
            <w:pPr>
              <w:jc w:val="center"/>
            </w:pPr>
            <w:r w:rsidRPr="00D52B58">
              <w:t>0.003</w:t>
            </w:r>
          </w:p>
        </w:tc>
      </w:tr>
      <w:tr w:rsidR="00D6576A" w:rsidRPr="00D52B58" w14:paraId="1E6EE055" w14:textId="77777777" w:rsidTr="00A61B64">
        <w:trPr>
          <w:jc w:val="center"/>
        </w:trPr>
        <w:tc>
          <w:tcPr>
            <w:tcW w:w="1701" w:type="dxa"/>
          </w:tcPr>
          <w:p w14:paraId="6D0C18DF" w14:textId="77777777" w:rsidR="00D6576A" w:rsidRPr="00D52B58" w:rsidRDefault="00D6576A" w:rsidP="00A61B64">
            <w:r w:rsidRPr="00D52B58">
              <w:t>Huh-7D12</w:t>
            </w:r>
          </w:p>
        </w:tc>
        <w:tc>
          <w:tcPr>
            <w:tcW w:w="2127" w:type="dxa"/>
          </w:tcPr>
          <w:p w14:paraId="04230459" w14:textId="77777777" w:rsidR="00D6576A" w:rsidRPr="00D52B58" w:rsidRDefault="00D6576A" w:rsidP="00A61B64">
            <w:pPr>
              <w:jc w:val="center"/>
            </w:pPr>
            <w:r w:rsidRPr="00D52B58">
              <w:t>Hepatocellular</w:t>
            </w:r>
          </w:p>
          <w:p w14:paraId="4E6A7C02" w14:textId="77777777" w:rsidR="00D6576A" w:rsidRPr="00D52B58" w:rsidRDefault="00D6576A" w:rsidP="00A61B64">
            <w:pPr>
              <w:jc w:val="center"/>
            </w:pPr>
            <w:r w:rsidRPr="00D52B58">
              <w:t>carcinoma</w:t>
            </w:r>
          </w:p>
        </w:tc>
        <w:tc>
          <w:tcPr>
            <w:tcW w:w="2069" w:type="dxa"/>
            <w:vAlign w:val="bottom"/>
          </w:tcPr>
          <w:p w14:paraId="662442F9" w14:textId="77777777" w:rsidR="00D6576A" w:rsidRPr="00D52B58" w:rsidRDefault="00D6576A" w:rsidP="00A61B64">
            <w:pPr>
              <w:jc w:val="center"/>
              <w:rPr>
                <w:color w:val="000000"/>
              </w:rPr>
            </w:pPr>
            <w:r w:rsidRPr="00D52B58">
              <w:rPr>
                <w:color w:val="000000"/>
              </w:rPr>
              <w:t>100±4.1</w:t>
            </w:r>
          </w:p>
        </w:tc>
        <w:tc>
          <w:tcPr>
            <w:tcW w:w="2069" w:type="dxa"/>
            <w:vAlign w:val="bottom"/>
          </w:tcPr>
          <w:p w14:paraId="182A3A07" w14:textId="77777777" w:rsidR="00D6576A" w:rsidRPr="00D52B58" w:rsidRDefault="00D6576A" w:rsidP="00A61B64">
            <w:pPr>
              <w:jc w:val="center"/>
              <w:rPr>
                <w:color w:val="000000"/>
              </w:rPr>
            </w:pPr>
            <w:r w:rsidRPr="00D52B58">
              <w:rPr>
                <w:color w:val="000000"/>
              </w:rPr>
              <w:t>95.5±4.5</w:t>
            </w:r>
          </w:p>
        </w:tc>
        <w:tc>
          <w:tcPr>
            <w:tcW w:w="2070" w:type="dxa"/>
            <w:vAlign w:val="bottom"/>
          </w:tcPr>
          <w:p w14:paraId="2700E3C7" w14:textId="77777777" w:rsidR="00D6576A" w:rsidRPr="00D52B58" w:rsidRDefault="00D6576A" w:rsidP="00A61B64">
            <w:pPr>
              <w:jc w:val="center"/>
              <w:rPr>
                <w:color w:val="000000"/>
              </w:rPr>
            </w:pPr>
            <w:r w:rsidRPr="00D52B58">
              <w:rPr>
                <w:color w:val="000000"/>
              </w:rPr>
              <w:t>79.0±5.4*</w:t>
            </w:r>
          </w:p>
        </w:tc>
        <w:tc>
          <w:tcPr>
            <w:tcW w:w="2069" w:type="dxa"/>
            <w:vAlign w:val="bottom"/>
          </w:tcPr>
          <w:p w14:paraId="682F1CD6" w14:textId="77777777" w:rsidR="00D6576A" w:rsidRPr="00D52B58" w:rsidRDefault="00D6576A" w:rsidP="00A61B64">
            <w:pPr>
              <w:jc w:val="center"/>
              <w:rPr>
                <w:color w:val="000000"/>
              </w:rPr>
            </w:pPr>
            <w:r w:rsidRPr="00D52B58">
              <w:rPr>
                <w:color w:val="000000"/>
              </w:rPr>
              <w:t>82.0±7.2</w:t>
            </w:r>
          </w:p>
        </w:tc>
        <w:tc>
          <w:tcPr>
            <w:tcW w:w="2070" w:type="dxa"/>
            <w:vAlign w:val="bottom"/>
          </w:tcPr>
          <w:p w14:paraId="72722BE2" w14:textId="77777777" w:rsidR="00D6576A" w:rsidRPr="00D52B58" w:rsidRDefault="00D6576A" w:rsidP="00A61B64">
            <w:pPr>
              <w:jc w:val="center"/>
              <w:rPr>
                <w:color w:val="000000"/>
              </w:rPr>
            </w:pPr>
            <w:r w:rsidRPr="00D52B58">
              <w:rPr>
                <w:color w:val="000000"/>
              </w:rPr>
              <w:t>98.9±5.0</w:t>
            </w:r>
          </w:p>
        </w:tc>
        <w:tc>
          <w:tcPr>
            <w:tcW w:w="1134" w:type="dxa"/>
          </w:tcPr>
          <w:p w14:paraId="210A7DC1" w14:textId="77777777" w:rsidR="00D6576A" w:rsidRPr="00D52B58" w:rsidRDefault="00D6576A" w:rsidP="00A61B64">
            <w:pPr>
              <w:jc w:val="center"/>
            </w:pPr>
          </w:p>
          <w:p w14:paraId="2A872A4F" w14:textId="77777777" w:rsidR="00D6576A" w:rsidRPr="00D52B58" w:rsidRDefault="00D6576A" w:rsidP="00A61B64">
            <w:pPr>
              <w:jc w:val="center"/>
            </w:pPr>
            <w:r w:rsidRPr="00D52B58">
              <w:t>0.024</w:t>
            </w:r>
          </w:p>
        </w:tc>
      </w:tr>
      <w:tr w:rsidR="00D6576A" w:rsidRPr="00D52B58" w14:paraId="1E2059CC" w14:textId="77777777" w:rsidTr="00A61B64">
        <w:trPr>
          <w:jc w:val="center"/>
        </w:trPr>
        <w:tc>
          <w:tcPr>
            <w:tcW w:w="15309" w:type="dxa"/>
            <w:gridSpan w:val="8"/>
          </w:tcPr>
          <w:p w14:paraId="1EA0E93C" w14:textId="77777777" w:rsidR="00D6576A" w:rsidRPr="00D52B58" w:rsidRDefault="00D6576A" w:rsidP="00A61B64">
            <w:pPr>
              <w:jc w:val="center"/>
            </w:pPr>
            <w:r w:rsidRPr="00D52B58">
              <w:t>Breast</w:t>
            </w:r>
          </w:p>
        </w:tc>
      </w:tr>
      <w:tr w:rsidR="00D6576A" w:rsidRPr="00D52B58" w14:paraId="5F30782D" w14:textId="77777777" w:rsidTr="00A61B64">
        <w:trPr>
          <w:jc w:val="center"/>
        </w:trPr>
        <w:tc>
          <w:tcPr>
            <w:tcW w:w="1701" w:type="dxa"/>
          </w:tcPr>
          <w:p w14:paraId="5A21A706" w14:textId="77777777" w:rsidR="00D6576A" w:rsidRPr="00D52B58" w:rsidRDefault="00D6576A" w:rsidP="00A61B64">
            <w:r w:rsidRPr="00D52B58">
              <w:t>HMT-3522</w:t>
            </w:r>
          </w:p>
        </w:tc>
        <w:tc>
          <w:tcPr>
            <w:tcW w:w="2127" w:type="dxa"/>
          </w:tcPr>
          <w:p w14:paraId="581168B2" w14:textId="77777777" w:rsidR="00D6576A" w:rsidRPr="00D52B58" w:rsidRDefault="00D6576A" w:rsidP="00A61B64">
            <w:pPr>
              <w:jc w:val="center"/>
            </w:pPr>
            <w:r w:rsidRPr="00D52B58">
              <w:t>Transformed</w:t>
            </w:r>
          </w:p>
          <w:p w14:paraId="2EEA5480" w14:textId="77777777" w:rsidR="00D6576A" w:rsidRPr="00D52B58" w:rsidRDefault="00D6576A" w:rsidP="00A61B64">
            <w:pPr>
              <w:jc w:val="center"/>
            </w:pPr>
            <w:r w:rsidRPr="00D52B58">
              <w:t>epithelial</w:t>
            </w:r>
          </w:p>
        </w:tc>
        <w:tc>
          <w:tcPr>
            <w:tcW w:w="2069" w:type="dxa"/>
            <w:vAlign w:val="bottom"/>
          </w:tcPr>
          <w:p w14:paraId="6EB87230" w14:textId="77777777" w:rsidR="00D6576A" w:rsidRPr="00D52B58" w:rsidRDefault="00D6576A" w:rsidP="00A61B64">
            <w:pPr>
              <w:jc w:val="center"/>
              <w:rPr>
                <w:color w:val="000000"/>
              </w:rPr>
            </w:pPr>
            <w:r w:rsidRPr="00D52B58">
              <w:rPr>
                <w:color w:val="000000"/>
              </w:rPr>
              <w:t>100±35.8</w:t>
            </w:r>
          </w:p>
        </w:tc>
        <w:tc>
          <w:tcPr>
            <w:tcW w:w="2069" w:type="dxa"/>
            <w:vAlign w:val="bottom"/>
          </w:tcPr>
          <w:p w14:paraId="3501846A" w14:textId="77777777" w:rsidR="00D6576A" w:rsidRPr="00D52B58" w:rsidRDefault="00D6576A" w:rsidP="00A61B64">
            <w:pPr>
              <w:jc w:val="center"/>
              <w:rPr>
                <w:color w:val="000000"/>
              </w:rPr>
            </w:pPr>
            <w:r w:rsidRPr="00D52B58">
              <w:rPr>
                <w:color w:val="000000"/>
              </w:rPr>
              <w:t>139.6±36.0</w:t>
            </w:r>
          </w:p>
        </w:tc>
        <w:tc>
          <w:tcPr>
            <w:tcW w:w="2070" w:type="dxa"/>
            <w:vAlign w:val="bottom"/>
          </w:tcPr>
          <w:p w14:paraId="16419C6B" w14:textId="77777777" w:rsidR="00D6576A" w:rsidRPr="00D52B58" w:rsidRDefault="00D6576A" w:rsidP="00A61B64">
            <w:pPr>
              <w:jc w:val="center"/>
              <w:rPr>
                <w:color w:val="000000"/>
              </w:rPr>
            </w:pPr>
            <w:r w:rsidRPr="00D52B58">
              <w:rPr>
                <w:color w:val="000000"/>
              </w:rPr>
              <w:t>143.9±24.0</w:t>
            </w:r>
          </w:p>
        </w:tc>
        <w:tc>
          <w:tcPr>
            <w:tcW w:w="2069" w:type="dxa"/>
            <w:vAlign w:val="bottom"/>
          </w:tcPr>
          <w:p w14:paraId="6E1A7A67" w14:textId="77777777" w:rsidR="00D6576A" w:rsidRPr="00D52B58" w:rsidRDefault="00D6576A" w:rsidP="00A61B64">
            <w:pPr>
              <w:jc w:val="center"/>
              <w:rPr>
                <w:color w:val="000000"/>
              </w:rPr>
            </w:pPr>
            <w:r w:rsidRPr="00D52B58">
              <w:rPr>
                <w:color w:val="000000"/>
              </w:rPr>
              <w:t>174.5±32.1</w:t>
            </w:r>
          </w:p>
        </w:tc>
        <w:tc>
          <w:tcPr>
            <w:tcW w:w="2070" w:type="dxa"/>
            <w:vAlign w:val="bottom"/>
          </w:tcPr>
          <w:p w14:paraId="08D6B0D7" w14:textId="77777777" w:rsidR="00D6576A" w:rsidRPr="00D52B58" w:rsidRDefault="00D6576A" w:rsidP="00A61B64">
            <w:pPr>
              <w:jc w:val="center"/>
              <w:rPr>
                <w:color w:val="000000"/>
              </w:rPr>
            </w:pPr>
            <w:r w:rsidRPr="00D52B58">
              <w:rPr>
                <w:color w:val="000000"/>
              </w:rPr>
              <w:t>62.9±58.5</w:t>
            </w:r>
          </w:p>
        </w:tc>
        <w:tc>
          <w:tcPr>
            <w:tcW w:w="1134" w:type="dxa"/>
          </w:tcPr>
          <w:p w14:paraId="2F4ADF7B" w14:textId="77777777" w:rsidR="00D6576A" w:rsidRPr="00D52B58" w:rsidRDefault="00D6576A" w:rsidP="00A61B64">
            <w:pPr>
              <w:jc w:val="center"/>
            </w:pPr>
          </w:p>
          <w:p w14:paraId="666C2E13" w14:textId="77777777" w:rsidR="00D6576A" w:rsidRPr="00D52B58" w:rsidRDefault="00D6576A" w:rsidP="00A61B64">
            <w:pPr>
              <w:jc w:val="center"/>
            </w:pPr>
            <w:r w:rsidRPr="00D52B58">
              <w:t>0.30</w:t>
            </w:r>
          </w:p>
        </w:tc>
      </w:tr>
      <w:tr w:rsidR="00D6576A" w:rsidRPr="00D52B58" w14:paraId="151B202C" w14:textId="77777777" w:rsidTr="00A61B64">
        <w:trPr>
          <w:jc w:val="center"/>
        </w:trPr>
        <w:tc>
          <w:tcPr>
            <w:tcW w:w="1701" w:type="dxa"/>
          </w:tcPr>
          <w:p w14:paraId="617F380D" w14:textId="77777777" w:rsidR="00D6576A" w:rsidRPr="00D52B58" w:rsidRDefault="00D6576A" w:rsidP="00A61B64">
            <w:r w:rsidRPr="00D52B58">
              <w:t>Hs578T</w:t>
            </w:r>
          </w:p>
        </w:tc>
        <w:tc>
          <w:tcPr>
            <w:tcW w:w="2127" w:type="dxa"/>
          </w:tcPr>
          <w:p w14:paraId="68964587" w14:textId="77777777" w:rsidR="00D6576A" w:rsidRPr="00D52B58" w:rsidRDefault="00D6576A" w:rsidP="00A61B64">
            <w:pPr>
              <w:jc w:val="center"/>
            </w:pPr>
            <w:r w:rsidRPr="00D52B58">
              <w:t>Ductal</w:t>
            </w:r>
          </w:p>
          <w:p w14:paraId="67F64114" w14:textId="77777777" w:rsidR="00D6576A" w:rsidRPr="00D52B58" w:rsidRDefault="00D6576A" w:rsidP="00A61B64">
            <w:pPr>
              <w:jc w:val="center"/>
            </w:pPr>
            <w:r w:rsidRPr="00D52B58">
              <w:t>carcinoma</w:t>
            </w:r>
          </w:p>
        </w:tc>
        <w:tc>
          <w:tcPr>
            <w:tcW w:w="2069" w:type="dxa"/>
            <w:vAlign w:val="bottom"/>
          </w:tcPr>
          <w:p w14:paraId="6D2B91D3" w14:textId="77777777" w:rsidR="00D6576A" w:rsidRPr="00D52B58" w:rsidRDefault="00D6576A" w:rsidP="00A61B64">
            <w:pPr>
              <w:jc w:val="center"/>
              <w:rPr>
                <w:color w:val="000000"/>
              </w:rPr>
            </w:pPr>
            <w:r w:rsidRPr="00D52B58">
              <w:rPr>
                <w:color w:val="000000"/>
              </w:rPr>
              <w:t>100±17.0</w:t>
            </w:r>
          </w:p>
        </w:tc>
        <w:tc>
          <w:tcPr>
            <w:tcW w:w="2069" w:type="dxa"/>
            <w:vAlign w:val="bottom"/>
          </w:tcPr>
          <w:p w14:paraId="3B864BA1" w14:textId="77777777" w:rsidR="00D6576A" w:rsidRPr="00D52B58" w:rsidRDefault="00D6576A" w:rsidP="00A61B64">
            <w:pPr>
              <w:jc w:val="center"/>
              <w:rPr>
                <w:color w:val="000000"/>
              </w:rPr>
            </w:pPr>
            <w:r w:rsidRPr="00D52B58">
              <w:rPr>
                <w:color w:val="000000"/>
              </w:rPr>
              <w:t>146.1±11.8</w:t>
            </w:r>
          </w:p>
        </w:tc>
        <w:tc>
          <w:tcPr>
            <w:tcW w:w="2070" w:type="dxa"/>
            <w:vAlign w:val="bottom"/>
          </w:tcPr>
          <w:p w14:paraId="2A10429F" w14:textId="77777777" w:rsidR="00D6576A" w:rsidRPr="00D52B58" w:rsidRDefault="00D6576A" w:rsidP="00A61B64">
            <w:pPr>
              <w:jc w:val="center"/>
              <w:rPr>
                <w:color w:val="000000"/>
              </w:rPr>
            </w:pPr>
            <w:r w:rsidRPr="00D52B58">
              <w:rPr>
                <w:color w:val="000000"/>
              </w:rPr>
              <w:t>218.1±21.6***</w:t>
            </w:r>
          </w:p>
        </w:tc>
        <w:tc>
          <w:tcPr>
            <w:tcW w:w="2069" w:type="dxa"/>
            <w:vAlign w:val="bottom"/>
          </w:tcPr>
          <w:p w14:paraId="4CD88D27" w14:textId="77777777" w:rsidR="00D6576A" w:rsidRPr="00D52B58" w:rsidRDefault="00D6576A" w:rsidP="00A61B64">
            <w:pPr>
              <w:jc w:val="center"/>
              <w:rPr>
                <w:color w:val="000000"/>
              </w:rPr>
            </w:pPr>
            <w:r w:rsidRPr="00D52B58">
              <w:rPr>
                <w:color w:val="000000"/>
              </w:rPr>
              <w:t>181.5±14.3*</w:t>
            </w:r>
          </w:p>
        </w:tc>
        <w:tc>
          <w:tcPr>
            <w:tcW w:w="2070" w:type="dxa"/>
            <w:vAlign w:val="bottom"/>
          </w:tcPr>
          <w:p w14:paraId="2AABDE45" w14:textId="77777777" w:rsidR="00D6576A" w:rsidRPr="00D52B58" w:rsidRDefault="00D6576A" w:rsidP="00A61B64">
            <w:pPr>
              <w:jc w:val="center"/>
              <w:rPr>
                <w:color w:val="000000"/>
              </w:rPr>
            </w:pPr>
            <w:r w:rsidRPr="00D52B58">
              <w:rPr>
                <w:color w:val="000000"/>
              </w:rPr>
              <w:t>180.5±22.2*</w:t>
            </w:r>
          </w:p>
        </w:tc>
        <w:tc>
          <w:tcPr>
            <w:tcW w:w="1134" w:type="dxa"/>
          </w:tcPr>
          <w:p w14:paraId="1E7AD363" w14:textId="77777777" w:rsidR="00D6576A" w:rsidRPr="00D52B58" w:rsidRDefault="00D6576A" w:rsidP="00A61B64">
            <w:pPr>
              <w:jc w:val="center"/>
            </w:pPr>
          </w:p>
          <w:p w14:paraId="690C3A07" w14:textId="77777777" w:rsidR="00D6576A" w:rsidRPr="00D52B58" w:rsidRDefault="00D6576A" w:rsidP="00A61B64">
            <w:pPr>
              <w:jc w:val="center"/>
            </w:pPr>
            <w:r w:rsidRPr="00D52B58">
              <w:t>0.001</w:t>
            </w:r>
          </w:p>
        </w:tc>
      </w:tr>
      <w:tr w:rsidR="00D6576A" w:rsidRPr="00D52B58" w14:paraId="06F6551C" w14:textId="77777777" w:rsidTr="00A61B64">
        <w:trPr>
          <w:jc w:val="center"/>
        </w:trPr>
        <w:tc>
          <w:tcPr>
            <w:tcW w:w="1701" w:type="dxa"/>
          </w:tcPr>
          <w:p w14:paraId="4CADF49A" w14:textId="77777777" w:rsidR="00D6576A" w:rsidRPr="00D52B58" w:rsidRDefault="00D6576A" w:rsidP="00A61B64">
            <w:r w:rsidRPr="00D52B58">
              <w:t>MCF7</w:t>
            </w:r>
          </w:p>
        </w:tc>
        <w:tc>
          <w:tcPr>
            <w:tcW w:w="2127" w:type="dxa"/>
          </w:tcPr>
          <w:p w14:paraId="488D8FC3" w14:textId="77777777" w:rsidR="00D6576A" w:rsidRPr="00D52B58" w:rsidRDefault="00D6576A" w:rsidP="00A61B64">
            <w:pPr>
              <w:jc w:val="center"/>
            </w:pPr>
            <w:r w:rsidRPr="00D52B58">
              <w:t>Adenocarcinoma (ER+)</w:t>
            </w:r>
          </w:p>
        </w:tc>
        <w:tc>
          <w:tcPr>
            <w:tcW w:w="2069" w:type="dxa"/>
            <w:vAlign w:val="bottom"/>
          </w:tcPr>
          <w:p w14:paraId="79D1012E" w14:textId="77777777" w:rsidR="00D6576A" w:rsidRPr="00D52B58" w:rsidRDefault="00D6576A" w:rsidP="00A61B64">
            <w:pPr>
              <w:jc w:val="center"/>
              <w:rPr>
                <w:color w:val="000000"/>
              </w:rPr>
            </w:pPr>
            <w:r w:rsidRPr="00D52B58">
              <w:rPr>
                <w:color w:val="000000"/>
              </w:rPr>
              <w:t>100±7.9</w:t>
            </w:r>
          </w:p>
        </w:tc>
        <w:tc>
          <w:tcPr>
            <w:tcW w:w="2069" w:type="dxa"/>
            <w:vAlign w:val="bottom"/>
          </w:tcPr>
          <w:p w14:paraId="62273DA4" w14:textId="77777777" w:rsidR="00D6576A" w:rsidRPr="00D52B58" w:rsidRDefault="00D6576A" w:rsidP="00A61B64">
            <w:pPr>
              <w:jc w:val="center"/>
              <w:rPr>
                <w:color w:val="000000"/>
              </w:rPr>
            </w:pPr>
            <w:r w:rsidRPr="00D52B58">
              <w:rPr>
                <w:color w:val="000000"/>
              </w:rPr>
              <w:t>92.3±10.0</w:t>
            </w:r>
          </w:p>
        </w:tc>
        <w:tc>
          <w:tcPr>
            <w:tcW w:w="2070" w:type="dxa"/>
            <w:vAlign w:val="bottom"/>
          </w:tcPr>
          <w:p w14:paraId="1674A734" w14:textId="77777777" w:rsidR="00D6576A" w:rsidRPr="00D52B58" w:rsidRDefault="00D6576A" w:rsidP="00A61B64">
            <w:pPr>
              <w:jc w:val="center"/>
              <w:rPr>
                <w:color w:val="000000"/>
              </w:rPr>
            </w:pPr>
            <w:r w:rsidRPr="00D52B58">
              <w:rPr>
                <w:color w:val="000000"/>
              </w:rPr>
              <w:t>99.6±13.4</w:t>
            </w:r>
          </w:p>
        </w:tc>
        <w:tc>
          <w:tcPr>
            <w:tcW w:w="2069" w:type="dxa"/>
            <w:vAlign w:val="bottom"/>
          </w:tcPr>
          <w:p w14:paraId="143F3B94" w14:textId="77777777" w:rsidR="00D6576A" w:rsidRPr="00D52B58" w:rsidRDefault="00D6576A" w:rsidP="00A61B64">
            <w:pPr>
              <w:jc w:val="center"/>
              <w:rPr>
                <w:color w:val="000000"/>
              </w:rPr>
            </w:pPr>
            <w:r w:rsidRPr="00D52B58">
              <w:rPr>
                <w:color w:val="000000"/>
              </w:rPr>
              <w:t>66.8±13.3</w:t>
            </w:r>
          </w:p>
        </w:tc>
        <w:tc>
          <w:tcPr>
            <w:tcW w:w="2070" w:type="dxa"/>
            <w:vAlign w:val="bottom"/>
          </w:tcPr>
          <w:p w14:paraId="58DD4D65" w14:textId="77777777" w:rsidR="00D6576A" w:rsidRPr="00D52B58" w:rsidRDefault="00D6576A" w:rsidP="00A61B64">
            <w:pPr>
              <w:jc w:val="center"/>
              <w:rPr>
                <w:color w:val="000000"/>
              </w:rPr>
            </w:pPr>
            <w:r w:rsidRPr="00D52B58">
              <w:rPr>
                <w:color w:val="000000"/>
              </w:rPr>
              <w:t>119.7±10.5</w:t>
            </w:r>
          </w:p>
        </w:tc>
        <w:tc>
          <w:tcPr>
            <w:tcW w:w="1134" w:type="dxa"/>
          </w:tcPr>
          <w:p w14:paraId="3CEEF11C" w14:textId="77777777" w:rsidR="00D6576A" w:rsidRPr="00D52B58" w:rsidRDefault="00D6576A" w:rsidP="00A61B64">
            <w:pPr>
              <w:jc w:val="center"/>
            </w:pPr>
          </w:p>
          <w:p w14:paraId="35A49BB6" w14:textId="77777777" w:rsidR="00D6576A" w:rsidRPr="00D52B58" w:rsidRDefault="00D6576A" w:rsidP="00A61B64">
            <w:pPr>
              <w:jc w:val="center"/>
            </w:pPr>
            <w:r w:rsidRPr="00D52B58">
              <w:t>0.028</w:t>
            </w:r>
          </w:p>
        </w:tc>
      </w:tr>
      <w:tr w:rsidR="00D6576A" w:rsidRPr="00D52B58" w14:paraId="7850659C" w14:textId="77777777" w:rsidTr="00A61B64">
        <w:trPr>
          <w:jc w:val="center"/>
        </w:trPr>
        <w:tc>
          <w:tcPr>
            <w:tcW w:w="1701" w:type="dxa"/>
          </w:tcPr>
          <w:p w14:paraId="332BCB4B" w14:textId="77777777" w:rsidR="00D6576A" w:rsidRPr="00D52B58" w:rsidRDefault="00D6576A" w:rsidP="00A61B64">
            <w:r w:rsidRPr="00D52B58">
              <w:t>MDA-MB-157</w:t>
            </w:r>
          </w:p>
        </w:tc>
        <w:tc>
          <w:tcPr>
            <w:tcW w:w="2127" w:type="dxa"/>
          </w:tcPr>
          <w:p w14:paraId="3222D7F6" w14:textId="77777777" w:rsidR="00D6576A" w:rsidRPr="00D52B58" w:rsidRDefault="00D6576A" w:rsidP="00A61B64">
            <w:pPr>
              <w:jc w:val="center"/>
            </w:pPr>
            <w:r w:rsidRPr="00D52B58">
              <w:t>Medulla</w:t>
            </w:r>
          </w:p>
          <w:p w14:paraId="7DC3B86D" w14:textId="77777777" w:rsidR="00D6576A" w:rsidRPr="00D52B58" w:rsidRDefault="00D6576A" w:rsidP="00A61B64">
            <w:pPr>
              <w:jc w:val="center"/>
            </w:pPr>
            <w:r w:rsidRPr="00D52B58">
              <w:t>carcinoma</w:t>
            </w:r>
          </w:p>
        </w:tc>
        <w:tc>
          <w:tcPr>
            <w:tcW w:w="2069" w:type="dxa"/>
            <w:vAlign w:val="bottom"/>
          </w:tcPr>
          <w:p w14:paraId="5887396A" w14:textId="77777777" w:rsidR="00D6576A" w:rsidRPr="00D52B58" w:rsidRDefault="00D6576A" w:rsidP="00A61B64">
            <w:pPr>
              <w:jc w:val="center"/>
              <w:rPr>
                <w:color w:val="000000"/>
              </w:rPr>
            </w:pPr>
            <w:r w:rsidRPr="00D52B58">
              <w:rPr>
                <w:color w:val="000000"/>
              </w:rPr>
              <w:t>100±1.4</w:t>
            </w:r>
          </w:p>
        </w:tc>
        <w:tc>
          <w:tcPr>
            <w:tcW w:w="2069" w:type="dxa"/>
            <w:vAlign w:val="bottom"/>
          </w:tcPr>
          <w:p w14:paraId="56B26F3F" w14:textId="77777777" w:rsidR="00D6576A" w:rsidRPr="00D52B58" w:rsidRDefault="00D6576A" w:rsidP="00A61B64">
            <w:pPr>
              <w:jc w:val="center"/>
              <w:rPr>
                <w:color w:val="000000"/>
              </w:rPr>
            </w:pPr>
            <w:r w:rsidRPr="00D52B58">
              <w:rPr>
                <w:color w:val="000000"/>
              </w:rPr>
              <w:t>121.9±8.0</w:t>
            </w:r>
          </w:p>
        </w:tc>
        <w:tc>
          <w:tcPr>
            <w:tcW w:w="2070" w:type="dxa"/>
            <w:vAlign w:val="bottom"/>
          </w:tcPr>
          <w:p w14:paraId="1662B8A1" w14:textId="77777777" w:rsidR="00D6576A" w:rsidRPr="00D52B58" w:rsidRDefault="00D6576A" w:rsidP="00A61B64">
            <w:pPr>
              <w:jc w:val="center"/>
              <w:rPr>
                <w:color w:val="000000"/>
              </w:rPr>
            </w:pPr>
            <w:r w:rsidRPr="00D52B58">
              <w:rPr>
                <w:color w:val="000000"/>
              </w:rPr>
              <w:t>112.2±6.6</w:t>
            </w:r>
          </w:p>
        </w:tc>
        <w:tc>
          <w:tcPr>
            <w:tcW w:w="2069" w:type="dxa"/>
            <w:vAlign w:val="bottom"/>
          </w:tcPr>
          <w:p w14:paraId="6451ABD0" w14:textId="77777777" w:rsidR="00D6576A" w:rsidRPr="00D52B58" w:rsidRDefault="00D6576A" w:rsidP="00A61B64">
            <w:pPr>
              <w:jc w:val="center"/>
              <w:rPr>
                <w:color w:val="000000"/>
              </w:rPr>
            </w:pPr>
            <w:r w:rsidRPr="00D52B58">
              <w:rPr>
                <w:color w:val="000000"/>
              </w:rPr>
              <w:t>108.5±6.2</w:t>
            </w:r>
          </w:p>
        </w:tc>
        <w:tc>
          <w:tcPr>
            <w:tcW w:w="2070" w:type="dxa"/>
            <w:vAlign w:val="bottom"/>
          </w:tcPr>
          <w:p w14:paraId="2C3934AA" w14:textId="77777777" w:rsidR="00D6576A" w:rsidRPr="00D52B58" w:rsidRDefault="00D6576A" w:rsidP="00A61B64">
            <w:pPr>
              <w:jc w:val="center"/>
              <w:rPr>
                <w:color w:val="000000"/>
              </w:rPr>
            </w:pPr>
            <w:r w:rsidRPr="00D52B58">
              <w:rPr>
                <w:color w:val="000000"/>
              </w:rPr>
              <w:t>98.0±6.4</w:t>
            </w:r>
          </w:p>
        </w:tc>
        <w:tc>
          <w:tcPr>
            <w:tcW w:w="1134" w:type="dxa"/>
          </w:tcPr>
          <w:p w14:paraId="29A61907" w14:textId="77777777" w:rsidR="00D6576A" w:rsidRPr="00D52B58" w:rsidRDefault="00D6576A" w:rsidP="00A61B64">
            <w:pPr>
              <w:jc w:val="center"/>
            </w:pPr>
          </w:p>
          <w:p w14:paraId="641AEF04" w14:textId="77777777" w:rsidR="00D6576A" w:rsidRPr="00D52B58" w:rsidRDefault="00D6576A" w:rsidP="00A61B64">
            <w:pPr>
              <w:jc w:val="center"/>
            </w:pPr>
            <w:r w:rsidRPr="00D52B58">
              <w:t>0.080</w:t>
            </w:r>
          </w:p>
        </w:tc>
      </w:tr>
      <w:tr w:rsidR="00D6576A" w:rsidRPr="00D52B58" w14:paraId="146A0E05" w14:textId="77777777" w:rsidTr="00A61B64">
        <w:trPr>
          <w:jc w:val="center"/>
        </w:trPr>
        <w:tc>
          <w:tcPr>
            <w:tcW w:w="1701" w:type="dxa"/>
          </w:tcPr>
          <w:p w14:paraId="3F5706DC" w14:textId="77777777" w:rsidR="00D6576A" w:rsidRPr="00D52B58" w:rsidRDefault="00D6576A" w:rsidP="00A61B64">
            <w:r w:rsidRPr="00D52B58">
              <w:t>MDA-MB-231</w:t>
            </w:r>
          </w:p>
        </w:tc>
        <w:tc>
          <w:tcPr>
            <w:tcW w:w="2127" w:type="dxa"/>
          </w:tcPr>
          <w:p w14:paraId="08AF0310" w14:textId="77777777" w:rsidR="00D6576A" w:rsidRPr="00D52B58" w:rsidRDefault="00D6576A" w:rsidP="00A61B64">
            <w:pPr>
              <w:jc w:val="center"/>
            </w:pPr>
            <w:r w:rsidRPr="00D52B58">
              <w:t>Adenocarcinoma</w:t>
            </w:r>
          </w:p>
        </w:tc>
        <w:tc>
          <w:tcPr>
            <w:tcW w:w="2069" w:type="dxa"/>
            <w:vAlign w:val="bottom"/>
          </w:tcPr>
          <w:p w14:paraId="3D1527D2" w14:textId="77777777" w:rsidR="00D6576A" w:rsidRPr="00D52B58" w:rsidRDefault="00D6576A" w:rsidP="00A61B64">
            <w:pPr>
              <w:jc w:val="center"/>
              <w:rPr>
                <w:color w:val="000000"/>
              </w:rPr>
            </w:pPr>
            <w:r w:rsidRPr="00D52B58">
              <w:rPr>
                <w:color w:val="000000"/>
              </w:rPr>
              <w:t>100±7.5</w:t>
            </w:r>
          </w:p>
        </w:tc>
        <w:tc>
          <w:tcPr>
            <w:tcW w:w="2069" w:type="dxa"/>
            <w:vAlign w:val="bottom"/>
          </w:tcPr>
          <w:p w14:paraId="6FA5872A" w14:textId="77777777" w:rsidR="00D6576A" w:rsidRPr="00D52B58" w:rsidRDefault="00D6576A" w:rsidP="00A61B64">
            <w:pPr>
              <w:jc w:val="center"/>
              <w:rPr>
                <w:color w:val="000000"/>
              </w:rPr>
            </w:pPr>
            <w:r w:rsidRPr="00D52B58">
              <w:rPr>
                <w:color w:val="000000"/>
              </w:rPr>
              <w:t>124.3±12.8</w:t>
            </w:r>
          </w:p>
        </w:tc>
        <w:tc>
          <w:tcPr>
            <w:tcW w:w="2070" w:type="dxa"/>
            <w:vAlign w:val="bottom"/>
          </w:tcPr>
          <w:p w14:paraId="3C3F5B55" w14:textId="77777777" w:rsidR="00D6576A" w:rsidRPr="00D52B58" w:rsidRDefault="00D6576A" w:rsidP="00A61B64">
            <w:pPr>
              <w:jc w:val="center"/>
              <w:rPr>
                <w:color w:val="000000"/>
              </w:rPr>
            </w:pPr>
            <w:r w:rsidRPr="00D52B58">
              <w:rPr>
                <w:color w:val="000000"/>
              </w:rPr>
              <w:t>84.0±4.6</w:t>
            </w:r>
          </w:p>
        </w:tc>
        <w:tc>
          <w:tcPr>
            <w:tcW w:w="2069" w:type="dxa"/>
            <w:vAlign w:val="bottom"/>
          </w:tcPr>
          <w:p w14:paraId="659F9622" w14:textId="77777777" w:rsidR="00D6576A" w:rsidRPr="00D52B58" w:rsidRDefault="00D6576A" w:rsidP="00A61B64">
            <w:pPr>
              <w:jc w:val="center"/>
              <w:rPr>
                <w:color w:val="000000"/>
              </w:rPr>
            </w:pPr>
            <w:r w:rsidRPr="00D52B58">
              <w:rPr>
                <w:color w:val="000000"/>
              </w:rPr>
              <w:t>72.4±9.0</w:t>
            </w:r>
          </w:p>
        </w:tc>
        <w:tc>
          <w:tcPr>
            <w:tcW w:w="2070" w:type="dxa"/>
            <w:vAlign w:val="bottom"/>
          </w:tcPr>
          <w:p w14:paraId="364F706B" w14:textId="77777777" w:rsidR="00D6576A" w:rsidRPr="00D52B58" w:rsidRDefault="00D6576A" w:rsidP="00A61B64">
            <w:pPr>
              <w:jc w:val="center"/>
              <w:rPr>
                <w:color w:val="000000"/>
              </w:rPr>
            </w:pPr>
            <w:r w:rsidRPr="00D52B58">
              <w:rPr>
                <w:color w:val="000000"/>
              </w:rPr>
              <w:t>77.0±5.0</w:t>
            </w:r>
          </w:p>
        </w:tc>
        <w:tc>
          <w:tcPr>
            <w:tcW w:w="1134" w:type="dxa"/>
          </w:tcPr>
          <w:p w14:paraId="20987916" w14:textId="77777777" w:rsidR="00D6576A" w:rsidRPr="00D52B58" w:rsidRDefault="00D6576A" w:rsidP="00A61B64">
            <w:pPr>
              <w:jc w:val="center"/>
            </w:pPr>
            <w:r w:rsidRPr="00D52B58">
              <w:t>0.0004</w:t>
            </w:r>
          </w:p>
        </w:tc>
      </w:tr>
      <w:tr w:rsidR="00D6576A" w:rsidRPr="00D52B58" w14:paraId="2F3B21E2" w14:textId="77777777" w:rsidTr="00A61B64">
        <w:trPr>
          <w:jc w:val="center"/>
        </w:trPr>
        <w:tc>
          <w:tcPr>
            <w:tcW w:w="1701" w:type="dxa"/>
          </w:tcPr>
          <w:p w14:paraId="43A8A52A" w14:textId="77777777" w:rsidR="00D6576A" w:rsidRPr="00D52B58" w:rsidRDefault="00D6576A" w:rsidP="00A61B64">
            <w:r w:rsidRPr="00D52B58">
              <w:t>MCF10a</w:t>
            </w:r>
          </w:p>
        </w:tc>
        <w:tc>
          <w:tcPr>
            <w:tcW w:w="2127" w:type="dxa"/>
          </w:tcPr>
          <w:p w14:paraId="37D523CF" w14:textId="77777777" w:rsidR="00D6576A" w:rsidRPr="00D52B58" w:rsidRDefault="00D6576A" w:rsidP="00A61B64">
            <w:pPr>
              <w:jc w:val="center"/>
            </w:pPr>
            <w:r w:rsidRPr="00D52B58">
              <w:t>Non-tumourigenic</w:t>
            </w:r>
          </w:p>
          <w:p w14:paraId="06CB9717" w14:textId="77777777" w:rsidR="00D6576A" w:rsidRPr="00D52B58" w:rsidRDefault="00D6576A" w:rsidP="00A61B64">
            <w:pPr>
              <w:jc w:val="center"/>
            </w:pPr>
            <w:r w:rsidRPr="00D52B58">
              <w:t>epithelial</w:t>
            </w:r>
          </w:p>
        </w:tc>
        <w:tc>
          <w:tcPr>
            <w:tcW w:w="2069" w:type="dxa"/>
            <w:vAlign w:val="bottom"/>
          </w:tcPr>
          <w:p w14:paraId="4B700D7E" w14:textId="77777777" w:rsidR="00D6576A" w:rsidRPr="00D52B58" w:rsidRDefault="00D6576A" w:rsidP="00A61B64">
            <w:pPr>
              <w:jc w:val="center"/>
              <w:rPr>
                <w:color w:val="000000"/>
              </w:rPr>
            </w:pPr>
            <w:r w:rsidRPr="00D52B58">
              <w:rPr>
                <w:color w:val="000000"/>
              </w:rPr>
              <w:t>100±20.8</w:t>
            </w:r>
          </w:p>
        </w:tc>
        <w:tc>
          <w:tcPr>
            <w:tcW w:w="2069" w:type="dxa"/>
            <w:vAlign w:val="bottom"/>
          </w:tcPr>
          <w:p w14:paraId="24C28732" w14:textId="77777777" w:rsidR="00D6576A" w:rsidRPr="00D52B58" w:rsidRDefault="00D6576A" w:rsidP="00A61B64">
            <w:pPr>
              <w:jc w:val="center"/>
              <w:rPr>
                <w:color w:val="000000"/>
              </w:rPr>
            </w:pPr>
            <w:r w:rsidRPr="00D52B58">
              <w:rPr>
                <w:color w:val="000000"/>
              </w:rPr>
              <w:t>88.7±24.7</w:t>
            </w:r>
          </w:p>
        </w:tc>
        <w:tc>
          <w:tcPr>
            <w:tcW w:w="2070" w:type="dxa"/>
            <w:vAlign w:val="bottom"/>
          </w:tcPr>
          <w:p w14:paraId="55C95CA2" w14:textId="77777777" w:rsidR="00D6576A" w:rsidRPr="00D52B58" w:rsidRDefault="00D6576A" w:rsidP="00A61B64">
            <w:pPr>
              <w:jc w:val="center"/>
              <w:rPr>
                <w:color w:val="000000"/>
              </w:rPr>
            </w:pPr>
            <w:r w:rsidRPr="00D52B58">
              <w:rPr>
                <w:color w:val="000000"/>
              </w:rPr>
              <w:t>ND</w:t>
            </w:r>
          </w:p>
        </w:tc>
        <w:tc>
          <w:tcPr>
            <w:tcW w:w="2069" w:type="dxa"/>
            <w:vAlign w:val="bottom"/>
          </w:tcPr>
          <w:p w14:paraId="28F39A08" w14:textId="77777777" w:rsidR="00D6576A" w:rsidRPr="00D52B58" w:rsidRDefault="00D6576A" w:rsidP="00A61B64">
            <w:pPr>
              <w:jc w:val="center"/>
              <w:rPr>
                <w:color w:val="000000"/>
              </w:rPr>
            </w:pPr>
            <w:r w:rsidRPr="00D52B58">
              <w:rPr>
                <w:color w:val="000000"/>
              </w:rPr>
              <w:t>64.1±41.1</w:t>
            </w:r>
          </w:p>
        </w:tc>
        <w:tc>
          <w:tcPr>
            <w:tcW w:w="2070" w:type="dxa"/>
            <w:vAlign w:val="bottom"/>
          </w:tcPr>
          <w:p w14:paraId="2468DCF4" w14:textId="77777777" w:rsidR="00D6576A" w:rsidRPr="00D52B58" w:rsidRDefault="00D6576A" w:rsidP="00A61B64">
            <w:pPr>
              <w:jc w:val="center"/>
              <w:rPr>
                <w:color w:val="000000"/>
              </w:rPr>
            </w:pPr>
            <w:r w:rsidRPr="00D52B58">
              <w:rPr>
                <w:color w:val="000000"/>
              </w:rPr>
              <w:t>61.8±27.5</w:t>
            </w:r>
          </w:p>
        </w:tc>
        <w:tc>
          <w:tcPr>
            <w:tcW w:w="1134" w:type="dxa"/>
          </w:tcPr>
          <w:p w14:paraId="65F15162" w14:textId="77777777" w:rsidR="00D6576A" w:rsidRPr="00D52B58" w:rsidRDefault="00D6576A" w:rsidP="00A61B64">
            <w:pPr>
              <w:jc w:val="center"/>
            </w:pPr>
          </w:p>
          <w:p w14:paraId="75CC0726" w14:textId="77777777" w:rsidR="00D6576A" w:rsidRPr="00D52B58" w:rsidRDefault="00D6576A" w:rsidP="00A61B64">
            <w:pPr>
              <w:jc w:val="center"/>
            </w:pPr>
            <w:r w:rsidRPr="00D52B58">
              <w:t>0.55</w:t>
            </w:r>
          </w:p>
        </w:tc>
      </w:tr>
      <w:tr w:rsidR="00D6576A" w:rsidRPr="00D52B58" w14:paraId="465110E5" w14:textId="77777777" w:rsidTr="00A61B64">
        <w:trPr>
          <w:jc w:val="center"/>
        </w:trPr>
        <w:tc>
          <w:tcPr>
            <w:tcW w:w="15309" w:type="dxa"/>
            <w:gridSpan w:val="8"/>
          </w:tcPr>
          <w:p w14:paraId="0A8FB64B" w14:textId="77777777" w:rsidR="00D6576A" w:rsidRPr="00D52B58" w:rsidRDefault="00D6576A" w:rsidP="00A61B64">
            <w:pPr>
              <w:jc w:val="center"/>
            </w:pPr>
            <w:r w:rsidRPr="00D52B58">
              <w:t>Ovarian</w:t>
            </w:r>
          </w:p>
        </w:tc>
      </w:tr>
      <w:tr w:rsidR="00D6576A" w:rsidRPr="00D52B58" w14:paraId="5F294236" w14:textId="77777777" w:rsidTr="00A61B64">
        <w:trPr>
          <w:jc w:val="center"/>
        </w:trPr>
        <w:tc>
          <w:tcPr>
            <w:tcW w:w="1701" w:type="dxa"/>
          </w:tcPr>
          <w:p w14:paraId="2F01FD21" w14:textId="77777777" w:rsidR="00D6576A" w:rsidRPr="00D52B58" w:rsidRDefault="00D6576A" w:rsidP="00A61B64">
            <w:r w:rsidRPr="00D52B58">
              <w:t>A2780</w:t>
            </w:r>
          </w:p>
        </w:tc>
        <w:tc>
          <w:tcPr>
            <w:tcW w:w="2127" w:type="dxa"/>
          </w:tcPr>
          <w:p w14:paraId="7A58AFF4" w14:textId="77777777" w:rsidR="00D6576A" w:rsidRPr="00D52B58" w:rsidRDefault="00D6576A" w:rsidP="00A61B64">
            <w:pPr>
              <w:jc w:val="center"/>
            </w:pPr>
            <w:r w:rsidRPr="00D52B58">
              <w:t>Serous</w:t>
            </w:r>
          </w:p>
          <w:p w14:paraId="37632318" w14:textId="77777777" w:rsidR="00D6576A" w:rsidRPr="00D52B58" w:rsidRDefault="00D6576A" w:rsidP="00A61B64">
            <w:pPr>
              <w:jc w:val="center"/>
            </w:pPr>
            <w:r w:rsidRPr="00D52B58">
              <w:t>carcinoma</w:t>
            </w:r>
          </w:p>
        </w:tc>
        <w:tc>
          <w:tcPr>
            <w:tcW w:w="2069" w:type="dxa"/>
            <w:vAlign w:val="bottom"/>
          </w:tcPr>
          <w:p w14:paraId="71462882" w14:textId="77777777" w:rsidR="00D6576A" w:rsidRPr="00D52B58" w:rsidRDefault="00D6576A" w:rsidP="00A61B64">
            <w:pPr>
              <w:jc w:val="center"/>
              <w:rPr>
                <w:color w:val="000000"/>
              </w:rPr>
            </w:pPr>
            <w:r w:rsidRPr="00D52B58">
              <w:rPr>
                <w:color w:val="000000"/>
              </w:rPr>
              <w:t>100±31.5</w:t>
            </w:r>
          </w:p>
        </w:tc>
        <w:tc>
          <w:tcPr>
            <w:tcW w:w="2069" w:type="dxa"/>
            <w:vAlign w:val="bottom"/>
          </w:tcPr>
          <w:p w14:paraId="2B8CE66F" w14:textId="77777777" w:rsidR="00D6576A" w:rsidRPr="00D52B58" w:rsidRDefault="00D6576A" w:rsidP="00A61B64">
            <w:pPr>
              <w:jc w:val="center"/>
              <w:rPr>
                <w:color w:val="000000"/>
              </w:rPr>
            </w:pPr>
            <w:r w:rsidRPr="00D52B58">
              <w:rPr>
                <w:color w:val="000000"/>
              </w:rPr>
              <w:t>163.8±66.0</w:t>
            </w:r>
          </w:p>
        </w:tc>
        <w:tc>
          <w:tcPr>
            <w:tcW w:w="2070" w:type="dxa"/>
            <w:vAlign w:val="bottom"/>
          </w:tcPr>
          <w:p w14:paraId="5770F6AE" w14:textId="77777777" w:rsidR="00D6576A" w:rsidRPr="00D52B58" w:rsidRDefault="00D6576A" w:rsidP="00A61B64">
            <w:pPr>
              <w:jc w:val="center"/>
              <w:rPr>
                <w:color w:val="000000"/>
              </w:rPr>
            </w:pPr>
            <w:r w:rsidRPr="00D52B58">
              <w:rPr>
                <w:color w:val="000000"/>
              </w:rPr>
              <w:t>103.1±32.2</w:t>
            </w:r>
          </w:p>
        </w:tc>
        <w:tc>
          <w:tcPr>
            <w:tcW w:w="2069" w:type="dxa"/>
            <w:vAlign w:val="bottom"/>
          </w:tcPr>
          <w:p w14:paraId="23B4608E" w14:textId="77777777" w:rsidR="00D6576A" w:rsidRPr="00D52B58" w:rsidRDefault="00D6576A" w:rsidP="00A61B64">
            <w:pPr>
              <w:jc w:val="center"/>
              <w:rPr>
                <w:color w:val="000000"/>
              </w:rPr>
            </w:pPr>
            <w:r w:rsidRPr="00D52B58">
              <w:rPr>
                <w:color w:val="000000"/>
              </w:rPr>
              <w:t>171.4±29.7</w:t>
            </w:r>
          </w:p>
        </w:tc>
        <w:tc>
          <w:tcPr>
            <w:tcW w:w="2070" w:type="dxa"/>
            <w:vAlign w:val="bottom"/>
          </w:tcPr>
          <w:p w14:paraId="59E8FE47" w14:textId="77777777" w:rsidR="00D6576A" w:rsidRPr="00D52B58" w:rsidRDefault="00D6576A" w:rsidP="00A61B64">
            <w:pPr>
              <w:jc w:val="center"/>
              <w:rPr>
                <w:color w:val="000000"/>
              </w:rPr>
            </w:pPr>
            <w:r w:rsidRPr="00D52B58">
              <w:rPr>
                <w:color w:val="000000"/>
              </w:rPr>
              <w:t>131.0±26.4</w:t>
            </w:r>
          </w:p>
        </w:tc>
        <w:tc>
          <w:tcPr>
            <w:tcW w:w="1134" w:type="dxa"/>
          </w:tcPr>
          <w:p w14:paraId="5A6FC9B3" w14:textId="77777777" w:rsidR="00D6576A" w:rsidRPr="00D52B58" w:rsidRDefault="00D6576A" w:rsidP="00A61B64">
            <w:pPr>
              <w:jc w:val="center"/>
            </w:pPr>
          </w:p>
          <w:p w14:paraId="0D99C50D" w14:textId="77777777" w:rsidR="00D6576A" w:rsidRPr="00D52B58" w:rsidRDefault="00D6576A" w:rsidP="00A61B64">
            <w:pPr>
              <w:jc w:val="center"/>
            </w:pPr>
            <w:r w:rsidRPr="00D52B58">
              <w:t>0.52</w:t>
            </w:r>
          </w:p>
        </w:tc>
      </w:tr>
      <w:tr w:rsidR="00D6576A" w:rsidRPr="00D52B58" w14:paraId="1EA20B19" w14:textId="77777777" w:rsidTr="00A61B64">
        <w:trPr>
          <w:jc w:val="center"/>
        </w:trPr>
        <w:tc>
          <w:tcPr>
            <w:tcW w:w="1701" w:type="dxa"/>
          </w:tcPr>
          <w:p w14:paraId="4CDDFE30" w14:textId="77777777" w:rsidR="00D6576A" w:rsidRPr="00D52B58" w:rsidRDefault="00D6576A" w:rsidP="00A61B64">
            <w:r w:rsidRPr="00D52B58">
              <w:t>COV434</w:t>
            </w:r>
          </w:p>
        </w:tc>
        <w:tc>
          <w:tcPr>
            <w:tcW w:w="2127" w:type="dxa"/>
          </w:tcPr>
          <w:p w14:paraId="7B6D58D7" w14:textId="77777777" w:rsidR="00D6576A" w:rsidRPr="00D52B58" w:rsidRDefault="00D6576A" w:rsidP="00A61B64">
            <w:pPr>
              <w:jc w:val="center"/>
            </w:pPr>
            <w:r w:rsidRPr="00D52B58">
              <w:t>Granulosa</w:t>
            </w:r>
          </w:p>
          <w:p w14:paraId="2CF63568" w14:textId="77777777" w:rsidR="00D6576A" w:rsidRPr="00D52B58" w:rsidRDefault="00D6576A" w:rsidP="00A61B64">
            <w:pPr>
              <w:jc w:val="center"/>
            </w:pPr>
            <w:r w:rsidRPr="00D52B58">
              <w:t>carcinoma</w:t>
            </w:r>
          </w:p>
        </w:tc>
        <w:tc>
          <w:tcPr>
            <w:tcW w:w="2069" w:type="dxa"/>
            <w:vAlign w:val="bottom"/>
          </w:tcPr>
          <w:p w14:paraId="7C6B8FA6" w14:textId="77777777" w:rsidR="00D6576A" w:rsidRPr="00D52B58" w:rsidRDefault="00D6576A" w:rsidP="00A61B64">
            <w:pPr>
              <w:jc w:val="center"/>
              <w:rPr>
                <w:color w:val="000000"/>
              </w:rPr>
            </w:pPr>
            <w:r w:rsidRPr="00D52B58">
              <w:rPr>
                <w:color w:val="000000"/>
              </w:rPr>
              <w:t>100±72.8</w:t>
            </w:r>
          </w:p>
        </w:tc>
        <w:tc>
          <w:tcPr>
            <w:tcW w:w="2069" w:type="dxa"/>
            <w:vAlign w:val="bottom"/>
          </w:tcPr>
          <w:p w14:paraId="4572CE56" w14:textId="77777777" w:rsidR="00D6576A" w:rsidRPr="00D52B58" w:rsidRDefault="00D6576A" w:rsidP="00A61B64">
            <w:pPr>
              <w:jc w:val="center"/>
              <w:rPr>
                <w:color w:val="000000"/>
              </w:rPr>
            </w:pPr>
            <w:r w:rsidRPr="00D52B58">
              <w:rPr>
                <w:color w:val="000000"/>
              </w:rPr>
              <w:t>89.8±62.3</w:t>
            </w:r>
          </w:p>
        </w:tc>
        <w:tc>
          <w:tcPr>
            <w:tcW w:w="2070" w:type="dxa"/>
            <w:vAlign w:val="bottom"/>
          </w:tcPr>
          <w:p w14:paraId="60629CF8" w14:textId="77777777" w:rsidR="00D6576A" w:rsidRPr="00D52B58" w:rsidRDefault="00D6576A" w:rsidP="00A61B64">
            <w:pPr>
              <w:jc w:val="center"/>
              <w:rPr>
                <w:color w:val="000000"/>
              </w:rPr>
            </w:pPr>
            <w:r w:rsidRPr="00D52B58">
              <w:rPr>
                <w:color w:val="000000"/>
              </w:rPr>
              <w:t>135.7±52.7</w:t>
            </w:r>
          </w:p>
        </w:tc>
        <w:tc>
          <w:tcPr>
            <w:tcW w:w="2069" w:type="dxa"/>
            <w:vAlign w:val="bottom"/>
          </w:tcPr>
          <w:p w14:paraId="422CCD3B" w14:textId="77777777" w:rsidR="00D6576A" w:rsidRPr="00D52B58" w:rsidRDefault="00D6576A" w:rsidP="00A61B64">
            <w:pPr>
              <w:jc w:val="center"/>
              <w:rPr>
                <w:color w:val="000000"/>
              </w:rPr>
            </w:pPr>
            <w:r w:rsidRPr="00D52B58">
              <w:rPr>
                <w:color w:val="000000"/>
              </w:rPr>
              <w:t>141.1±28.6</w:t>
            </w:r>
          </w:p>
        </w:tc>
        <w:tc>
          <w:tcPr>
            <w:tcW w:w="2070" w:type="dxa"/>
            <w:vAlign w:val="bottom"/>
          </w:tcPr>
          <w:p w14:paraId="4BCA22EE" w14:textId="77777777" w:rsidR="00D6576A" w:rsidRPr="00D52B58" w:rsidRDefault="00D6576A" w:rsidP="00A61B64">
            <w:pPr>
              <w:jc w:val="center"/>
              <w:rPr>
                <w:color w:val="000000"/>
              </w:rPr>
            </w:pPr>
            <w:r w:rsidRPr="00D52B58">
              <w:rPr>
                <w:color w:val="000000"/>
              </w:rPr>
              <w:t>139.8±33.5</w:t>
            </w:r>
          </w:p>
        </w:tc>
        <w:tc>
          <w:tcPr>
            <w:tcW w:w="1134" w:type="dxa"/>
          </w:tcPr>
          <w:p w14:paraId="24AADDC7" w14:textId="77777777" w:rsidR="00D6576A" w:rsidRPr="00D52B58" w:rsidRDefault="00D6576A" w:rsidP="00A61B64">
            <w:pPr>
              <w:jc w:val="center"/>
            </w:pPr>
          </w:p>
          <w:p w14:paraId="4A0AE28D" w14:textId="77777777" w:rsidR="00D6576A" w:rsidRPr="00D52B58" w:rsidRDefault="00D6576A" w:rsidP="00A61B64">
            <w:pPr>
              <w:jc w:val="center"/>
            </w:pPr>
            <w:r w:rsidRPr="00D52B58">
              <w:t>0.91</w:t>
            </w:r>
          </w:p>
        </w:tc>
      </w:tr>
      <w:tr w:rsidR="00D6576A" w:rsidRPr="00D52B58" w14:paraId="6BBB6665" w14:textId="77777777" w:rsidTr="00A61B64">
        <w:trPr>
          <w:jc w:val="center"/>
        </w:trPr>
        <w:tc>
          <w:tcPr>
            <w:tcW w:w="1701" w:type="dxa"/>
          </w:tcPr>
          <w:p w14:paraId="499089AF" w14:textId="77777777" w:rsidR="00D6576A" w:rsidRPr="00D52B58" w:rsidRDefault="00D6576A" w:rsidP="00A61B64">
            <w:r w:rsidRPr="00D52B58">
              <w:t>PEA1</w:t>
            </w:r>
          </w:p>
        </w:tc>
        <w:tc>
          <w:tcPr>
            <w:tcW w:w="2127" w:type="dxa"/>
          </w:tcPr>
          <w:p w14:paraId="48FEE2FA" w14:textId="77777777" w:rsidR="00D6576A" w:rsidRPr="00D52B58" w:rsidRDefault="00D6576A" w:rsidP="00A61B64">
            <w:pPr>
              <w:jc w:val="center"/>
            </w:pPr>
            <w:r w:rsidRPr="00D52B58">
              <w:t>Serous carcinoma (ER+)</w:t>
            </w:r>
          </w:p>
        </w:tc>
        <w:tc>
          <w:tcPr>
            <w:tcW w:w="2069" w:type="dxa"/>
            <w:vAlign w:val="bottom"/>
          </w:tcPr>
          <w:p w14:paraId="755679F1" w14:textId="77777777" w:rsidR="00D6576A" w:rsidRPr="00D52B58" w:rsidRDefault="00D6576A" w:rsidP="00A61B64">
            <w:pPr>
              <w:jc w:val="center"/>
              <w:rPr>
                <w:color w:val="000000"/>
              </w:rPr>
            </w:pPr>
            <w:r w:rsidRPr="00D52B58">
              <w:rPr>
                <w:color w:val="000000"/>
              </w:rPr>
              <w:t>100±31.6</w:t>
            </w:r>
          </w:p>
        </w:tc>
        <w:tc>
          <w:tcPr>
            <w:tcW w:w="2069" w:type="dxa"/>
            <w:vAlign w:val="bottom"/>
          </w:tcPr>
          <w:p w14:paraId="11910CB0" w14:textId="77777777" w:rsidR="00D6576A" w:rsidRPr="00D52B58" w:rsidRDefault="00D6576A" w:rsidP="00A61B64">
            <w:pPr>
              <w:jc w:val="center"/>
              <w:rPr>
                <w:color w:val="000000"/>
              </w:rPr>
            </w:pPr>
            <w:r w:rsidRPr="00D52B58">
              <w:rPr>
                <w:color w:val="000000"/>
              </w:rPr>
              <w:t>61.2±21.6</w:t>
            </w:r>
          </w:p>
        </w:tc>
        <w:tc>
          <w:tcPr>
            <w:tcW w:w="2070" w:type="dxa"/>
            <w:vAlign w:val="bottom"/>
          </w:tcPr>
          <w:p w14:paraId="04A0726A" w14:textId="77777777" w:rsidR="00D6576A" w:rsidRPr="00D52B58" w:rsidRDefault="00D6576A" w:rsidP="00A61B64">
            <w:pPr>
              <w:jc w:val="center"/>
              <w:rPr>
                <w:color w:val="000000"/>
              </w:rPr>
            </w:pPr>
            <w:r w:rsidRPr="00D52B58">
              <w:rPr>
                <w:color w:val="000000"/>
              </w:rPr>
              <w:t>27.8±8.4</w:t>
            </w:r>
          </w:p>
        </w:tc>
        <w:tc>
          <w:tcPr>
            <w:tcW w:w="2069" w:type="dxa"/>
            <w:vAlign w:val="bottom"/>
          </w:tcPr>
          <w:p w14:paraId="1A520202" w14:textId="77777777" w:rsidR="00D6576A" w:rsidRPr="00D52B58" w:rsidRDefault="00D6576A" w:rsidP="00A61B64">
            <w:pPr>
              <w:jc w:val="center"/>
              <w:rPr>
                <w:color w:val="000000"/>
              </w:rPr>
            </w:pPr>
            <w:r w:rsidRPr="00D52B58">
              <w:rPr>
                <w:color w:val="000000"/>
              </w:rPr>
              <w:t>43.1±26.0</w:t>
            </w:r>
          </w:p>
        </w:tc>
        <w:tc>
          <w:tcPr>
            <w:tcW w:w="2070" w:type="dxa"/>
            <w:vAlign w:val="bottom"/>
          </w:tcPr>
          <w:p w14:paraId="5723D4BA" w14:textId="77777777" w:rsidR="00D6576A" w:rsidRPr="00D52B58" w:rsidRDefault="00D6576A" w:rsidP="00A61B64">
            <w:pPr>
              <w:jc w:val="center"/>
              <w:rPr>
                <w:color w:val="000000"/>
              </w:rPr>
            </w:pPr>
            <w:r w:rsidRPr="00D52B58">
              <w:rPr>
                <w:color w:val="000000"/>
              </w:rPr>
              <w:t>95.0±29.2</w:t>
            </w:r>
          </w:p>
        </w:tc>
        <w:tc>
          <w:tcPr>
            <w:tcW w:w="1134" w:type="dxa"/>
          </w:tcPr>
          <w:p w14:paraId="14A4C0C9" w14:textId="77777777" w:rsidR="00D6576A" w:rsidRPr="00D52B58" w:rsidRDefault="00D6576A" w:rsidP="00A61B64">
            <w:pPr>
              <w:jc w:val="center"/>
            </w:pPr>
          </w:p>
          <w:p w14:paraId="0F849100" w14:textId="77777777" w:rsidR="00D6576A" w:rsidRPr="00D52B58" w:rsidRDefault="00D6576A" w:rsidP="00A61B64">
            <w:pPr>
              <w:jc w:val="center"/>
            </w:pPr>
            <w:r w:rsidRPr="00D52B58">
              <w:t>0.19</w:t>
            </w:r>
          </w:p>
        </w:tc>
      </w:tr>
      <w:tr w:rsidR="00D6576A" w:rsidRPr="00D52B58" w14:paraId="26EE0C1A" w14:textId="77777777" w:rsidTr="00A61B64">
        <w:trPr>
          <w:jc w:val="center"/>
        </w:trPr>
        <w:tc>
          <w:tcPr>
            <w:tcW w:w="15309" w:type="dxa"/>
            <w:gridSpan w:val="8"/>
          </w:tcPr>
          <w:p w14:paraId="0F540FC7" w14:textId="77777777" w:rsidR="00D6576A" w:rsidRPr="00D52B58" w:rsidRDefault="00D6576A" w:rsidP="00A61B64">
            <w:pPr>
              <w:jc w:val="center"/>
            </w:pPr>
            <w:r w:rsidRPr="00D52B58">
              <w:t>Leukocyte</w:t>
            </w:r>
          </w:p>
        </w:tc>
      </w:tr>
      <w:tr w:rsidR="00D6576A" w:rsidRPr="00D52B58" w14:paraId="40C0D786" w14:textId="77777777" w:rsidTr="00A61B64">
        <w:trPr>
          <w:jc w:val="center"/>
        </w:trPr>
        <w:tc>
          <w:tcPr>
            <w:tcW w:w="1701" w:type="dxa"/>
          </w:tcPr>
          <w:p w14:paraId="15530DE0" w14:textId="77777777" w:rsidR="00D6576A" w:rsidRPr="00D52B58" w:rsidRDefault="00D6576A" w:rsidP="00A61B64">
            <w:r w:rsidRPr="00D52B58">
              <w:t>PBMC</w:t>
            </w:r>
          </w:p>
        </w:tc>
        <w:tc>
          <w:tcPr>
            <w:tcW w:w="2127" w:type="dxa"/>
          </w:tcPr>
          <w:p w14:paraId="2E480858" w14:textId="77777777" w:rsidR="00D6576A" w:rsidRPr="00D52B58" w:rsidRDefault="00D6576A" w:rsidP="00A61B64">
            <w:pPr>
              <w:jc w:val="center"/>
            </w:pPr>
            <w:r w:rsidRPr="00D52B58">
              <w:t>Primary</w:t>
            </w:r>
          </w:p>
        </w:tc>
        <w:tc>
          <w:tcPr>
            <w:tcW w:w="2069" w:type="dxa"/>
            <w:vAlign w:val="bottom"/>
          </w:tcPr>
          <w:p w14:paraId="1C74D3C4" w14:textId="77777777" w:rsidR="00D6576A" w:rsidRPr="00D52B58" w:rsidRDefault="00D6576A" w:rsidP="00A61B64">
            <w:pPr>
              <w:jc w:val="center"/>
              <w:rPr>
                <w:rFonts w:cstheme="minorBidi"/>
                <w:color w:val="000000"/>
              </w:rPr>
            </w:pPr>
            <w:r w:rsidRPr="00D52B58">
              <w:rPr>
                <w:rFonts w:cstheme="minorBidi"/>
                <w:color w:val="000000"/>
              </w:rPr>
              <w:t>100±19.7</w:t>
            </w:r>
          </w:p>
        </w:tc>
        <w:tc>
          <w:tcPr>
            <w:tcW w:w="2069" w:type="dxa"/>
            <w:vAlign w:val="bottom"/>
          </w:tcPr>
          <w:p w14:paraId="48ECB7BB" w14:textId="77777777" w:rsidR="00D6576A" w:rsidRPr="00D52B58" w:rsidRDefault="00D6576A" w:rsidP="00A61B64">
            <w:pPr>
              <w:jc w:val="center"/>
              <w:rPr>
                <w:rFonts w:cstheme="minorBidi"/>
                <w:color w:val="000000"/>
              </w:rPr>
            </w:pPr>
            <w:r w:rsidRPr="00D52B58">
              <w:rPr>
                <w:rFonts w:cstheme="minorBidi"/>
                <w:color w:val="000000"/>
              </w:rPr>
              <w:t>97.0±16.3</w:t>
            </w:r>
          </w:p>
        </w:tc>
        <w:tc>
          <w:tcPr>
            <w:tcW w:w="2070" w:type="dxa"/>
            <w:vAlign w:val="bottom"/>
          </w:tcPr>
          <w:p w14:paraId="3C515D3F" w14:textId="77777777" w:rsidR="00D6576A" w:rsidRPr="00D52B58" w:rsidRDefault="00D6576A" w:rsidP="00A61B64">
            <w:pPr>
              <w:jc w:val="center"/>
              <w:rPr>
                <w:rFonts w:cstheme="minorBidi"/>
                <w:color w:val="000000"/>
              </w:rPr>
            </w:pPr>
            <w:r w:rsidRPr="00D52B58">
              <w:rPr>
                <w:rFonts w:cstheme="minorBidi"/>
                <w:color w:val="000000"/>
              </w:rPr>
              <w:t>153.2±23.6</w:t>
            </w:r>
          </w:p>
        </w:tc>
        <w:tc>
          <w:tcPr>
            <w:tcW w:w="2069" w:type="dxa"/>
            <w:vAlign w:val="bottom"/>
          </w:tcPr>
          <w:p w14:paraId="18730B56" w14:textId="77777777" w:rsidR="00D6576A" w:rsidRPr="00D52B58" w:rsidRDefault="00D6576A" w:rsidP="00A61B64">
            <w:pPr>
              <w:jc w:val="center"/>
              <w:rPr>
                <w:rFonts w:cstheme="minorBidi"/>
                <w:color w:val="000000"/>
              </w:rPr>
            </w:pPr>
            <w:r w:rsidRPr="00D52B58">
              <w:rPr>
                <w:rFonts w:cstheme="minorBidi"/>
                <w:color w:val="000000"/>
              </w:rPr>
              <w:t>128.7±13.4</w:t>
            </w:r>
          </w:p>
        </w:tc>
        <w:tc>
          <w:tcPr>
            <w:tcW w:w="2070" w:type="dxa"/>
            <w:vAlign w:val="bottom"/>
          </w:tcPr>
          <w:p w14:paraId="1086A6BB" w14:textId="77777777" w:rsidR="00D6576A" w:rsidRPr="00D52B58" w:rsidRDefault="00D6576A" w:rsidP="00A61B64">
            <w:pPr>
              <w:jc w:val="center"/>
              <w:rPr>
                <w:rFonts w:cstheme="minorBidi"/>
                <w:color w:val="000000"/>
              </w:rPr>
            </w:pPr>
            <w:r w:rsidRPr="00D52B58">
              <w:rPr>
                <w:rFonts w:cstheme="minorBidi"/>
                <w:color w:val="000000"/>
              </w:rPr>
              <w:t>119.7±14.2</w:t>
            </w:r>
          </w:p>
        </w:tc>
        <w:tc>
          <w:tcPr>
            <w:tcW w:w="1134" w:type="dxa"/>
            <w:vAlign w:val="bottom"/>
          </w:tcPr>
          <w:p w14:paraId="18B70829" w14:textId="77777777" w:rsidR="00D6576A" w:rsidRPr="00D52B58" w:rsidRDefault="00D6576A" w:rsidP="00A61B64">
            <w:pPr>
              <w:jc w:val="center"/>
              <w:rPr>
                <w:rFonts w:cstheme="minorBidi"/>
                <w:color w:val="000000"/>
              </w:rPr>
            </w:pPr>
            <w:r w:rsidRPr="00D52B58">
              <w:rPr>
                <w:rFonts w:cstheme="minorBidi"/>
                <w:color w:val="000000"/>
              </w:rPr>
              <w:t>0.197</w:t>
            </w:r>
          </w:p>
        </w:tc>
      </w:tr>
      <w:tr w:rsidR="00D6576A" w:rsidRPr="00D52B58" w14:paraId="017DBCE0" w14:textId="77777777" w:rsidTr="00A61B64">
        <w:trPr>
          <w:jc w:val="center"/>
        </w:trPr>
        <w:tc>
          <w:tcPr>
            <w:tcW w:w="1701" w:type="dxa"/>
          </w:tcPr>
          <w:p w14:paraId="41190639" w14:textId="77777777" w:rsidR="00D6576A" w:rsidRPr="00D52B58" w:rsidRDefault="00D6576A" w:rsidP="00A61B64">
            <w:r w:rsidRPr="00D52B58">
              <w:t>THP1</w:t>
            </w:r>
          </w:p>
        </w:tc>
        <w:tc>
          <w:tcPr>
            <w:tcW w:w="2127" w:type="dxa"/>
          </w:tcPr>
          <w:p w14:paraId="78108AAD" w14:textId="77777777" w:rsidR="00D6576A" w:rsidRPr="00D52B58" w:rsidRDefault="00D6576A" w:rsidP="00A61B64">
            <w:pPr>
              <w:jc w:val="center"/>
            </w:pPr>
            <w:r w:rsidRPr="00D52B58">
              <w:t>Acute monocytic leukaemia</w:t>
            </w:r>
          </w:p>
        </w:tc>
        <w:tc>
          <w:tcPr>
            <w:tcW w:w="2069" w:type="dxa"/>
            <w:vAlign w:val="bottom"/>
          </w:tcPr>
          <w:p w14:paraId="2DA5041D" w14:textId="77777777" w:rsidR="00D6576A" w:rsidRPr="00D52B58" w:rsidRDefault="00D6576A" w:rsidP="00A61B64">
            <w:pPr>
              <w:jc w:val="center"/>
              <w:rPr>
                <w:rFonts w:cstheme="minorBidi"/>
                <w:color w:val="000000"/>
              </w:rPr>
            </w:pPr>
            <w:r w:rsidRPr="00D52B58">
              <w:rPr>
                <w:rFonts w:cstheme="minorBidi"/>
                <w:color w:val="000000"/>
              </w:rPr>
              <w:t>100±31.4</w:t>
            </w:r>
          </w:p>
        </w:tc>
        <w:tc>
          <w:tcPr>
            <w:tcW w:w="2069" w:type="dxa"/>
            <w:vAlign w:val="bottom"/>
          </w:tcPr>
          <w:p w14:paraId="2E9B8A5A" w14:textId="77777777" w:rsidR="00D6576A" w:rsidRPr="00D52B58" w:rsidRDefault="00D6576A" w:rsidP="00A61B64">
            <w:pPr>
              <w:jc w:val="center"/>
              <w:rPr>
                <w:rFonts w:cstheme="minorBidi"/>
                <w:color w:val="000000"/>
              </w:rPr>
            </w:pPr>
            <w:r w:rsidRPr="00D52B58">
              <w:rPr>
                <w:rFonts w:cstheme="minorBidi"/>
                <w:color w:val="000000"/>
              </w:rPr>
              <w:t>150.5±52.8</w:t>
            </w:r>
          </w:p>
        </w:tc>
        <w:tc>
          <w:tcPr>
            <w:tcW w:w="2070" w:type="dxa"/>
            <w:vAlign w:val="bottom"/>
          </w:tcPr>
          <w:p w14:paraId="201772EB" w14:textId="77777777" w:rsidR="00D6576A" w:rsidRPr="00D52B58" w:rsidRDefault="00D6576A" w:rsidP="00A61B64">
            <w:pPr>
              <w:jc w:val="center"/>
              <w:rPr>
                <w:rFonts w:cstheme="minorBidi"/>
                <w:color w:val="000000"/>
              </w:rPr>
            </w:pPr>
            <w:r w:rsidRPr="00D52B58">
              <w:rPr>
                <w:rFonts w:cstheme="minorBidi"/>
                <w:color w:val="000000"/>
              </w:rPr>
              <w:t>22.2±7.7</w:t>
            </w:r>
          </w:p>
        </w:tc>
        <w:tc>
          <w:tcPr>
            <w:tcW w:w="2069" w:type="dxa"/>
            <w:vAlign w:val="bottom"/>
          </w:tcPr>
          <w:p w14:paraId="3EA05B24" w14:textId="77777777" w:rsidR="00D6576A" w:rsidRPr="00D52B58" w:rsidRDefault="00D6576A" w:rsidP="00A61B64">
            <w:pPr>
              <w:jc w:val="center"/>
              <w:rPr>
                <w:rFonts w:cstheme="minorBidi"/>
                <w:color w:val="000000"/>
              </w:rPr>
            </w:pPr>
            <w:r w:rsidRPr="00D52B58">
              <w:rPr>
                <w:rFonts w:cstheme="minorBidi"/>
                <w:color w:val="000000"/>
              </w:rPr>
              <w:t>103.6±43.3</w:t>
            </w:r>
          </w:p>
        </w:tc>
        <w:tc>
          <w:tcPr>
            <w:tcW w:w="2070" w:type="dxa"/>
            <w:vAlign w:val="bottom"/>
          </w:tcPr>
          <w:p w14:paraId="28D54FA4" w14:textId="77777777" w:rsidR="00D6576A" w:rsidRPr="00D52B58" w:rsidRDefault="00D6576A" w:rsidP="00A61B64">
            <w:pPr>
              <w:jc w:val="center"/>
              <w:rPr>
                <w:rFonts w:cstheme="minorBidi"/>
                <w:color w:val="000000"/>
              </w:rPr>
            </w:pPr>
            <w:r w:rsidRPr="00D52B58">
              <w:rPr>
                <w:rFonts w:cstheme="minorBidi"/>
                <w:color w:val="000000"/>
              </w:rPr>
              <w:t>169.7±89.7</w:t>
            </w:r>
          </w:p>
        </w:tc>
        <w:tc>
          <w:tcPr>
            <w:tcW w:w="1134" w:type="dxa"/>
            <w:vAlign w:val="bottom"/>
          </w:tcPr>
          <w:p w14:paraId="1A5D1F12" w14:textId="77777777" w:rsidR="00D6576A" w:rsidRPr="00D52B58" w:rsidRDefault="00D6576A" w:rsidP="00A61B64">
            <w:pPr>
              <w:jc w:val="center"/>
              <w:rPr>
                <w:rFonts w:cstheme="minorBidi"/>
                <w:color w:val="000000"/>
              </w:rPr>
            </w:pPr>
            <w:r w:rsidRPr="00D52B58">
              <w:rPr>
                <w:rFonts w:cstheme="minorBidi"/>
                <w:color w:val="000000"/>
              </w:rPr>
              <w:t>0.0827</w:t>
            </w:r>
          </w:p>
        </w:tc>
      </w:tr>
      <w:tr w:rsidR="00D6576A" w:rsidRPr="00D52B58" w14:paraId="238E94C4" w14:textId="77777777" w:rsidTr="00A61B64">
        <w:trPr>
          <w:jc w:val="center"/>
        </w:trPr>
        <w:tc>
          <w:tcPr>
            <w:tcW w:w="1701" w:type="dxa"/>
            <w:tcBorders>
              <w:bottom w:val="single" w:sz="4" w:space="0" w:color="auto"/>
            </w:tcBorders>
          </w:tcPr>
          <w:p w14:paraId="4FC38DDA" w14:textId="77777777" w:rsidR="00D6576A" w:rsidRPr="00D52B58" w:rsidRDefault="00D6576A" w:rsidP="00A61B64">
            <w:r w:rsidRPr="00D52B58">
              <w:t>JURKAT</w:t>
            </w:r>
          </w:p>
        </w:tc>
        <w:tc>
          <w:tcPr>
            <w:tcW w:w="2127" w:type="dxa"/>
            <w:tcBorders>
              <w:bottom w:val="single" w:sz="4" w:space="0" w:color="auto"/>
            </w:tcBorders>
          </w:tcPr>
          <w:p w14:paraId="1C25D20B" w14:textId="77777777" w:rsidR="00D6576A" w:rsidRPr="00D52B58" w:rsidRDefault="00D6576A" w:rsidP="00A61B64">
            <w:pPr>
              <w:jc w:val="center"/>
            </w:pPr>
            <w:r w:rsidRPr="00D52B58">
              <w:t>Acute T cell leukaemia</w:t>
            </w:r>
          </w:p>
        </w:tc>
        <w:tc>
          <w:tcPr>
            <w:tcW w:w="2069" w:type="dxa"/>
            <w:tcBorders>
              <w:bottom w:val="single" w:sz="4" w:space="0" w:color="auto"/>
            </w:tcBorders>
            <w:vAlign w:val="bottom"/>
          </w:tcPr>
          <w:p w14:paraId="71F7B9DF" w14:textId="77777777" w:rsidR="00D6576A" w:rsidRPr="00D52B58" w:rsidRDefault="00D6576A" w:rsidP="00A61B64">
            <w:pPr>
              <w:jc w:val="center"/>
              <w:rPr>
                <w:rFonts w:cstheme="minorBidi"/>
                <w:color w:val="000000"/>
              </w:rPr>
            </w:pPr>
            <w:r w:rsidRPr="00D52B58">
              <w:rPr>
                <w:rFonts w:cstheme="minorBidi"/>
                <w:color w:val="000000"/>
              </w:rPr>
              <w:t>100±18.2</w:t>
            </w:r>
          </w:p>
        </w:tc>
        <w:tc>
          <w:tcPr>
            <w:tcW w:w="2069" w:type="dxa"/>
            <w:tcBorders>
              <w:bottom w:val="single" w:sz="4" w:space="0" w:color="auto"/>
            </w:tcBorders>
            <w:vAlign w:val="bottom"/>
          </w:tcPr>
          <w:p w14:paraId="47A2A3F6" w14:textId="77777777" w:rsidR="00D6576A" w:rsidRPr="00D52B58" w:rsidRDefault="00D6576A" w:rsidP="00A61B64">
            <w:pPr>
              <w:jc w:val="center"/>
              <w:rPr>
                <w:rFonts w:cstheme="minorBidi"/>
                <w:color w:val="000000"/>
              </w:rPr>
            </w:pPr>
            <w:r w:rsidRPr="00D52B58">
              <w:rPr>
                <w:rFonts w:cstheme="minorBidi"/>
                <w:color w:val="000000"/>
              </w:rPr>
              <w:t>14.3±12.2*</w:t>
            </w:r>
          </w:p>
        </w:tc>
        <w:tc>
          <w:tcPr>
            <w:tcW w:w="2070" w:type="dxa"/>
            <w:tcBorders>
              <w:bottom w:val="single" w:sz="4" w:space="0" w:color="auto"/>
            </w:tcBorders>
            <w:vAlign w:val="bottom"/>
          </w:tcPr>
          <w:p w14:paraId="4578E943" w14:textId="77777777" w:rsidR="00D6576A" w:rsidRPr="00D52B58" w:rsidRDefault="00D6576A" w:rsidP="00A61B64">
            <w:pPr>
              <w:jc w:val="center"/>
              <w:rPr>
                <w:rFonts w:cstheme="minorBidi"/>
                <w:color w:val="000000"/>
              </w:rPr>
            </w:pPr>
            <w:r w:rsidRPr="00D52B58">
              <w:rPr>
                <w:rFonts w:cstheme="minorBidi"/>
                <w:color w:val="000000"/>
              </w:rPr>
              <w:t>79.9±36.5</w:t>
            </w:r>
          </w:p>
        </w:tc>
        <w:tc>
          <w:tcPr>
            <w:tcW w:w="2069" w:type="dxa"/>
            <w:tcBorders>
              <w:bottom w:val="single" w:sz="4" w:space="0" w:color="auto"/>
            </w:tcBorders>
            <w:vAlign w:val="bottom"/>
          </w:tcPr>
          <w:p w14:paraId="4A998176" w14:textId="77777777" w:rsidR="00D6576A" w:rsidRPr="00D52B58" w:rsidRDefault="00D6576A" w:rsidP="00A61B64">
            <w:pPr>
              <w:jc w:val="center"/>
              <w:rPr>
                <w:rFonts w:cstheme="minorBidi"/>
                <w:color w:val="000000"/>
              </w:rPr>
            </w:pPr>
            <w:r w:rsidRPr="00D52B58">
              <w:rPr>
                <w:rFonts w:cstheme="minorBidi"/>
                <w:color w:val="000000"/>
              </w:rPr>
              <w:t>26.8±6.1*</w:t>
            </w:r>
          </w:p>
        </w:tc>
        <w:tc>
          <w:tcPr>
            <w:tcW w:w="2070" w:type="dxa"/>
            <w:tcBorders>
              <w:bottom w:val="single" w:sz="4" w:space="0" w:color="auto"/>
            </w:tcBorders>
            <w:vAlign w:val="bottom"/>
          </w:tcPr>
          <w:p w14:paraId="7E0868B3" w14:textId="77777777" w:rsidR="00D6576A" w:rsidRPr="00D52B58" w:rsidRDefault="00D6576A" w:rsidP="00A61B64">
            <w:pPr>
              <w:jc w:val="center"/>
              <w:rPr>
                <w:rFonts w:cstheme="minorBidi"/>
                <w:color w:val="000000"/>
              </w:rPr>
            </w:pPr>
            <w:r w:rsidRPr="00D52B58">
              <w:rPr>
                <w:rFonts w:cstheme="minorBidi"/>
                <w:color w:val="000000"/>
              </w:rPr>
              <w:t>24.8±5.4</w:t>
            </w:r>
          </w:p>
        </w:tc>
        <w:tc>
          <w:tcPr>
            <w:tcW w:w="1134" w:type="dxa"/>
            <w:tcBorders>
              <w:bottom w:val="single" w:sz="4" w:space="0" w:color="auto"/>
            </w:tcBorders>
            <w:vAlign w:val="bottom"/>
          </w:tcPr>
          <w:p w14:paraId="23A59D41" w14:textId="77777777" w:rsidR="00D6576A" w:rsidRPr="00D52B58" w:rsidRDefault="00D6576A" w:rsidP="00A61B64">
            <w:pPr>
              <w:jc w:val="center"/>
              <w:rPr>
                <w:rFonts w:cstheme="minorBidi"/>
                <w:color w:val="000000"/>
              </w:rPr>
            </w:pPr>
            <w:r w:rsidRPr="00D52B58">
              <w:rPr>
                <w:rFonts w:cstheme="minorBidi"/>
                <w:color w:val="000000"/>
              </w:rPr>
              <w:t>0.0167</w:t>
            </w:r>
          </w:p>
        </w:tc>
      </w:tr>
    </w:tbl>
    <w:p w14:paraId="2FEDE7FD" w14:textId="77777777" w:rsidR="00D6576A" w:rsidRPr="00D52B58" w:rsidRDefault="00D6576A" w:rsidP="00A61B64"/>
    <w:p w14:paraId="54E9A502" w14:textId="77777777" w:rsidR="00D6576A" w:rsidRPr="00D52B58" w:rsidRDefault="00D6576A" w:rsidP="00A61B64">
      <w:pPr>
        <w:spacing w:line="480" w:lineRule="auto"/>
      </w:pPr>
      <w:r w:rsidRPr="00D52B58">
        <w:t xml:space="preserve">Values are mean </w:t>
      </w:r>
      <w:r w:rsidRPr="00D52B58">
        <w:rPr>
          <w:rFonts w:eastAsia="MS Gothic"/>
          <w:color w:val="000000"/>
        </w:rPr>
        <w:t xml:space="preserve">± SE (n = 10 replicate cultures). Expression levels were normalised to reference gene and are relative to </w:t>
      </w:r>
      <w:r>
        <w:rPr>
          <w:rFonts w:eastAsia="MS Gothic"/>
          <w:color w:val="000000"/>
        </w:rPr>
        <w:t>untreated cells</w:t>
      </w:r>
      <w:r w:rsidRPr="00D52B58">
        <w:rPr>
          <w:rFonts w:eastAsia="MS Gothic"/>
          <w:color w:val="000000"/>
        </w:rPr>
        <w:t>.</w:t>
      </w:r>
      <w:r>
        <w:rPr>
          <w:rFonts w:eastAsia="MS Gothic"/>
          <w:color w:val="000000"/>
        </w:rPr>
        <w:t xml:space="preserve"> </w:t>
      </w:r>
      <w:r w:rsidRPr="00D52B58">
        <w:rPr>
          <w:rFonts w:eastAsia="MS Gothic"/>
          <w:color w:val="000000"/>
        </w:rPr>
        <w:t xml:space="preserve">Data were analysed by 1-way ANOVA using Dunnett’s post hoc correction except </w:t>
      </w:r>
      <w:r w:rsidRPr="00D52B58">
        <w:rPr>
          <w:rFonts w:eastAsia="MS Gothic"/>
          <w:color w:val="000000"/>
          <w:vertAlign w:val="superscript"/>
        </w:rPr>
        <w:t>1</w:t>
      </w:r>
      <w:r w:rsidRPr="00D52B58">
        <w:rPr>
          <w:rFonts w:eastAsia="MS Gothic"/>
          <w:color w:val="000000"/>
        </w:rPr>
        <w:t>where data were analysed using Student’s t test.</w:t>
      </w:r>
      <w:r>
        <w:rPr>
          <w:rFonts w:eastAsia="MS Gothic"/>
          <w:color w:val="000000"/>
        </w:rPr>
        <w:t xml:space="preserve"> </w:t>
      </w:r>
      <w:r w:rsidRPr="00D52B58">
        <w:rPr>
          <w:rFonts w:eastAsia="MS Gothic"/>
          <w:color w:val="000000"/>
        </w:rPr>
        <w:t>Values significantly different from baseline untreated cells are indicated by *P &lt; 0.05, **P &lt; 0.01, ***P &lt; 0.001.</w:t>
      </w:r>
    </w:p>
    <w:p w14:paraId="226C1E3D" w14:textId="77777777" w:rsidR="00D6576A" w:rsidRPr="00D52B58" w:rsidRDefault="00D6576A" w:rsidP="00A61B64">
      <w:pPr>
        <w:rPr>
          <w:b/>
          <w:i/>
        </w:rPr>
      </w:pPr>
    </w:p>
    <w:p w14:paraId="28D0BBD7" w14:textId="77777777" w:rsidR="00D6576A" w:rsidRPr="00D52B58" w:rsidRDefault="00D6576A" w:rsidP="00A61B64">
      <w:pPr>
        <w:rPr>
          <w:b/>
          <w:i/>
        </w:rPr>
      </w:pPr>
    </w:p>
    <w:p w14:paraId="6AC2EAFD" w14:textId="77777777" w:rsidR="00D6576A" w:rsidRPr="00D52B58" w:rsidRDefault="00D6576A" w:rsidP="00A61B64">
      <w:pPr>
        <w:rPr>
          <w:b/>
          <w:i/>
        </w:rPr>
      </w:pPr>
    </w:p>
    <w:p w14:paraId="52BDDB7A" w14:textId="77777777" w:rsidR="00D6576A" w:rsidRPr="00D52B58" w:rsidRDefault="00D6576A" w:rsidP="00A61B64">
      <w:pPr>
        <w:rPr>
          <w:b/>
          <w:i/>
        </w:rPr>
      </w:pPr>
    </w:p>
    <w:p w14:paraId="5899C2EB" w14:textId="77777777" w:rsidR="00D6576A" w:rsidRPr="00D52B58" w:rsidRDefault="00D6576A" w:rsidP="00A61B64"/>
    <w:p w14:paraId="1DD784EB" w14:textId="77777777" w:rsidR="00D6576A" w:rsidRPr="00D52B58" w:rsidRDefault="00D6576A" w:rsidP="00A61B64"/>
    <w:p w14:paraId="7012F326" w14:textId="77777777" w:rsidR="00D6576A" w:rsidRPr="00D52B58" w:rsidRDefault="00D6576A" w:rsidP="00A61B64"/>
    <w:p w14:paraId="2206F975" w14:textId="77777777" w:rsidR="00D6576A" w:rsidRPr="00D52B58" w:rsidRDefault="00D6576A" w:rsidP="00A61B64"/>
    <w:p w14:paraId="009CD2B4" w14:textId="77777777" w:rsidR="00D6576A" w:rsidRPr="00D52B58" w:rsidRDefault="00D6576A" w:rsidP="00A61B64"/>
    <w:p w14:paraId="1B4BE4A9" w14:textId="77777777" w:rsidR="00D6576A" w:rsidRPr="00D52B58" w:rsidRDefault="00D6576A" w:rsidP="00A61B64"/>
    <w:p w14:paraId="498FF3BF" w14:textId="77777777" w:rsidR="00D6576A" w:rsidRPr="00D52B58" w:rsidRDefault="00D6576A" w:rsidP="00A61B64"/>
    <w:p w14:paraId="3286CF40" w14:textId="77777777" w:rsidR="00D6576A" w:rsidRPr="00D52B58" w:rsidRDefault="00D6576A" w:rsidP="00A61B64"/>
    <w:p w14:paraId="78C998C6" w14:textId="77777777" w:rsidR="00D6576A" w:rsidRPr="00D52B58" w:rsidRDefault="00D6576A" w:rsidP="00A61B64"/>
    <w:p w14:paraId="68F6CB8E" w14:textId="77777777" w:rsidR="00D6576A" w:rsidRPr="00D52B58" w:rsidRDefault="00D6576A" w:rsidP="00A61B64"/>
    <w:p w14:paraId="5EEBE884" w14:textId="77777777" w:rsidR="00D6576A" w:rsidRPr="00D52B58" w:rsidRDefault="00D6576A" w:rsidP="00A61B64"/>
    <w:p w14:paraId="1B43F94E" w14:textId="77777777" w:rsidR="00D6576A" w:rsidRPr="00D52B58" w:rsidRDefault="00D6576A" w:rsidP="00A61B64"/>
    <w:p w14:paraId="19BFE7A6" w14:textId="77777777" w:rsidR="00D6576A" w:rsidRPr="00D52B58" w:rsidRDefault="00D6576A" w:rsidP="00A61B64"/>
    <w:p w14:paraId="72269BA0" w14:textId="77777777" w:rsidR="00D6576A" w:rsidRPr="00D52B58" w:rsidRDefault="00D6576A" w:rsidP="00A61B64"/>
    <w:p w14:paraId="4E2D3E89" w14:textId="77777777" w:rsidR="00D6576A" w:rsidRPr="00D52B58" w:rsidRDefault="00D6576A" w:rsidP="00A61B64"/>
    <w:p w14:paraId="38C4FFE3" w14:textId="77777777" w:rsidR="00D6576A" w:rsidRPr="00D52B58" w:rsidRDefault="00D6576A" w:rsidP="00A61B64"/>
    <w:p w14:paraId="78997370" w14:textId="77777777" w:rsidR="00D6576A" w:rsidRDefault="00D6576A" w:rsidP="00A61B64">
      <w:pPr>
        <w:spacing w:line="480" w:lineRule="auto"/>
      </w:pPr>
    </w:p>
    <w:p w14:paraId="31EE96EF" w14:textId="77777777" w:rsidR="00D6576A" w:rsidRPr="00D52B58" w:rsidRDefault="00D6576A" w:rsidP="00A61B64">
      <w:pPr>
        <w:spacing w:line="480" w:lineRule="auto"/>
      </w:pPr>
      <w:r w:rsidRPr="000070A1">
        <w:rPr>
          <w:b/>
        </w:rPr>
        <w:t>Table 3</w:t>
      </w:r>
      <w:r>
        <w:rPr>
          <w:b/>
        </w:rPr>
        <w:t xml:space="preserve"> - </w:t>
      </w:r>
      <w:r w:rsidRPr="00D52B58">
        <w:t xml:space="preserve">Effect of FA </w:t>
      </w:r>
      <w:r>
        <w:t>treatment</w:t>
      </w:r>
      <w:r w:rsidRPr="00D52B58">
        <w:t xml:space="preserve"> on BRCA 2 mRNA expression</w:t>
      </w:r>
    </w:p>
    <w:p w14:paraId="2921236C" w14:textId="77777777" w:rsidR="00D6576A" w:rsidRPr="00D52B58" w:rsidRDefault="00D6576A" w:rsidP="00A61B64"/>
    <w:tbl>
      <w:tblPr>
        <w:tblStyle w:val="TableGrid"/>
        <w:tblW w:w="0" w:type="auto"/>
        <w:jc w:val="center"/>
        <w:tblInd w:w="-459" w:type="dxa"/>
        <w:tblLayout w:type="fixed"/>
        <w:tblLook w:val="04A0" w:firstRow="1" w:lastRow="0" w:firstColumn="1" w:lastColumn="0" w:noHBand="0" w:noVBand="1"/>
      </w:tblPr>
      <w:tblGrid>
        <w:gridCol w:w="1701"/>
        <w:gridCol w:w="2127"/>
        <w:gridCol w:w="2069"/>
        <w:gridCol w:w="2069"/>
        <w:gridCol w:w="2070"/>
        <w:gridCol w:w="2069"/>
        <w:gridCol w:w="2070"/>
        <w:gridCol w:w="1134"/>
      </w:tblGrid>
      <w:tr w:rsidR="00D6576A" w:rsidRPr="00D52B58" w14:paraId="0ABADB83" w14:textId="77777777" w:rsidTr="00A61B64">
        <w:trPr>
          <w:jc w:val="center"/>
        </w:trPr>
        <w:tc>
          <w:tcPr>
            <w:tcW w:w="1701" w:type="dxa"/>
            <w:vMerge w:val="restart"/>
            <w:tcBorders>
              <w:top w:val="single" w:sz="4" w:space="0" w:color="auto"/>
              <w:left w:val="nil"/>
              <w:bottom w:val="single" w:sz="4" w:space="0" w:color="auto"/>
              <w:right w:val="nil"/>
            </w:tcBorders>
          </w:tcPr>
          <w:p w14:paraId="77589C7B" w14:textId="77777777" w:rsidR="00D6576A" w:rsidRPr="00D52B58" w:rsidRDefault="00D6576A" w:rsidP="00A61B64">
            <w:pPr>
              <w:jc w:val="center"/>
            </w:pPr>
          </w:p>
          <w:p w14:paraId="1D780802" w14:textId="77777777" w:rsidR="00D6576A" w:rsidRPr="00D52B58" w:rsidRDefault="00D6576A" w:rsidP="00A61B64">
            <w:pPr>
              <w:jc w:val="center"/>
            </w:pPr>
            <w:r w:rsidRPr="00D52B58">
              <w:t>Cell</w:t>
            </w:r>
          </w:p>
          <w:p w14:paraId="20D7E8CE" w14:textId="77777777" w:rsidR="00D6576A" w:rsidRPr="00D52B58" w:rsidRDefault="00D6576A" w:rsidP="00A61B64">
            <w:pPr>
              <w:jc w:val="center"/>
            </w:pPr>
            <w:r w:rsidRPr="00D52B58">
              <w:t>line</w:t>
            </w:r>
          </w:p>
        </w:tc>
        <w:tc>
          <w:tcPr>
            <w:tcW w:w="2127" w:type="dxa"/>
            <w:vMerge w:val="restart"/>
            <w:tcBorders>
              <w:top w:val="single" w:sz="4" w:space="0" w:color="auto"/>
              <w:left w:val="nil"/>
              <w:bottom w:val="single" w:sz="4" w:space="0" w:color="auto"/>
              <w:right w:val="nil"/>
            </w:tcBorders>
          </w:tcPr>
          <w:p w14:paraId="160AE388" w14:textId="77777777" w:rsidR="00D6576A" w:rsidRPr="00D52B58" w:rsidRDefault="00D6576A" w:rsidP="00A61B64">
            <w:pPr>
              <w:jc w:val="center"/>
            </w:pPr>
          </w:p>
          <w:p w14:paraId="3AC790D4" w14:textId="77777777" w:rsidR="00D6576A" w:rsidRPr="00D52B58" w:rsidRDefault="00D6576A" w:rsidP="00A61B64">
            <w:pPr>
              <w:jc w:val="center"/>
            </w:pPr>
            <w:r w:rsidRPr="00D52B58">
              <w:t>Cell</w:t>
            </w:r>
          </w:p>
          <w:p w14:paraId="150BE63E" w14:textId="77777777" w:rsidR="00D6576A" w:rsidRPr="00D52B58" w:rsidRDefault="00D6576A" w:rsidP="00A61B64">
            <w:pPr>
              <w:jc w:val="center"/>
            </w:pPr>
            <w:r w:rsidRPr="00D52B58">
              <w:t>type</w:t>
            </w:r>
          </w:p>
        </w:tc>
        <w:tc>
          <w:tcPr>
            <w:tcW w:w="10347" w:type="dxa"/>
            <w:gridSpan w:val="5"/>
            <w:tcBorders>
              <w:top w:val="single" w:sz="4" w:space="0" w:color="auto"/>
              <w:left w:val="nil"/>
              <w:bottom w:val="single" w:sz="4" w:space="0" w:color="auto"/>
              <w:right w:val="nil"/>
            </w:tcBorders>
          </w:tcPr>
          <w:p w14:paraId="048C881B" w14:textId="77777777" w:rsidR="00D6576A" w:rsidRPr="00D52B58" w:rsidRDefault="00D6576A" w:rsidP="00A61B64">
            <w:pPr>
              <w:jc w:val="center"/>
            </w:pPr>
            <w:r w:rsidRPr="00D52B58">
              <w:t>Relative mRNA expression</w:t>
            </w:r>
          </w:p>
        </w:tc>
        <w:tc>
          <w:tcPr>
            <w:tcW w:w="1134" w:type="dxa"/>
            <w:vMerge w:val="restart"/>
            <w:tcBorders>
              <w:top w:val="single" w:sz="4" w:space="0" w:color="auto"/>
              <w:left w:val="nil"/>
              <w:bottom w:val="single" w:sz="4" w:space="0" w:color="auto"/>
              <w:right w:val="nil"/>
            </w:tcBorders>
          </w:tcPr>
          <w:p w14:paraId="1E4E3466" w14:textId="77777777" w:rsidR="00D6576A" w:rsidRPr="00D52B58" w:rsidRDefault="00D6576A" w:rsidP="00A61B64">
            <w:pPr>
              <w:jc w:val="center"/>
            </w:pPr>
          </w:p>
          <w:p w14:paraId="393CF68F" w14:textId="77777777" w:rsidR="00D6576A" w:rsidRPr="00D52B58" w:rsidRDefault="00D6576A" w:rsidP="00A61B64">
            <w:pPr>
              <w:jc w:val="center"/>
            </w:pPr>
            <w:r w:rsidRPr="00D52B58">
              <w:t>ANOVA</w:t>
            </w:r>
          </w:p>
          <w:p w14:paraId="72CBAD0E" w14:textId="77777777" w:rsidR="00D6576A" w:rsidRPr="00D52B58" w:rsidRDefault="00D6576A" w:rsidP="00A61B64">
            <w:pPr>
              <w:jc w:val="center"/>
            </w:pPr>
            <w:r w:rsidRPr="00D52B58">
              <w:t>(P)</w:t>
            </w:r>
          </w:p>
        </w:tc>
      </w:tr>
      <w:tr w:rsidR="00D6576A" w:rsidRPr="00D52B58" w14:paraId="1BD9FF53" w14:textId="77777777" w:rsidTr="00A61B64">
        <w:trPr>
          <w:jc w:val="center"/>
        </w:trPr>
        <w:tc>
          <w:tcPr>
            <w:tcW w:w="1701" w:type="dxa"/>
            <w:vMerge/>
            <w:tcBorders>
              <w:top w:val="nil"/>
              <w:left w:val="nil"/>
              <w:bottom w:val="single" w:sz="4" w:space="0" w:color="auto"/>
              <w:right w:val="nil"/>
            </w:tcBorders>
          </w:tcPr>
          <w:p w14:paraId="3D83F9F2" w14:textId="77777777" w:rsidR="00D6576A" w:rsidRPr="00D52B58" w:rsidRDefault="00D6576A" w:rsidP="00A61B64"/>
        </w:tc>
        <w:tc>
          <w:tcPr>
            <w:tcW w:w="2127" w:type="dxa"/>
            <w:vMerge/>
            <w:tcBorders>
              <w:top w:val="nil"/>
              <w:left w:val="nil"/>
              <w:bottom w:val="single" w:sz="4" w:space="0" w:color="auto"/>
              <w:right w:val="nil"/>
            </w:tcBorders>
          </w:tcPr>
          <w:p w14:paraId="0B188C17" w14:textId="77777777" w:rsidR="00D6576A" w:rsidRPr="00D52B58" w:rsidRDefault="00D6576A" w:rsidP="00A61B64">
            <w:pPr>
              <w:jc w:val="center"/>
            </w:pPr>
          </w:p>
        </w:tc>
        <w:tc>
          <w:tcPr>
            <w:tcW w:w="10347" w:type="dxa"/>
            <w:gridSpan w:val="5"/>
            <w:tcBorders>
              <w:top w:val="single" w:sz="4" w:space="0" w:color="auto"/>
              <w:left w:val="nil"/>
              <w:bottom w:val="single" w:sz="4" w:space="0" w:color="auto"/>
              <w:right w:val="nil"/>
            </w:tcBorders>
          </w:tcPr>
          <w:p w14:paraId="47C2F34C" w14:textId="77777777" w:rsidR="00D6576A" w:rsidRPr="00D52B58" w:rsidRDefault="00D6576A" w:rsidP="00A61B64">
            <w:pPr>
              <w:jc w:val="center"/>
            </w:pPr>
            <w:r w:rsidRPr="00D52B58">
              <w:t>Folic acid concentration (nmoles/l)</w:t>
            </w:r>
          </w:p>
        </w:tc>
        <w:tc>
          <w:tcPr>
            <w:tcW w:w="1134" w:type="dxa"/>
            <w:vMerge/>
            <w:tcBorders>
              <w:top w:val="nil"/>
              <w:left w:val="nil"/>
              <w:bottom w:val="single" w:sz="4" w:space="0" w:color="auto"/>
              <w:right w:val="nil"/>
            </w:tcBorders>
          </w:tcPr>
          <w:p w14:paraId="1CFC7324" w14:textId="77777777" w:rsidR="00D6576A" w:rsidRPr="00D52B58" w:rsidRDefault="00D6576A" w:rsidP="00A61B64">
            <w:pPr>
              <w:jc w:val="center"/>
            </w:pPr>
          </w:p>
        </w:tc>
      </w:tr>
      <w:tr w:rsidR="00D6576A" w:rsidRPr="00D52B58" w14:paraId="72824DF4" w14:textId="77777777" w:rsidTr="00A61B64">
        <w:trPr>
          <w:jc w:val="center"/>
        </w:trPr>
        <w:tc>
          <w:tcPr>
            <w:tcW w:w="1701" w:type="dxa"/>
            <w:vMerge/>
            <w:tcBorders>
              <w:top w:val="nil"/>
              <w:left w:val="nil"/>
              <w:bottom w:val="single" w:sz="4" w:space="0" w:color="auto"/>
              <w:right w:val="nil"/>
            </w:tcBorders>
          </w:tcPr>
          <w:p w14:paraId="1524E56D" w14:textId="77777777" w:rsidR="00D6576A" w:rsidRPr="00D52B58" w:rsidRDefault="00D6576A" w:rsidP="00A61B64"/>
        </w:tc>
        <w:tc>
          <w:tcPr>
            <w:tcW w:w="2127" w:type="dxa"/>
            <w:vMerge/>
            <w:tcBorders>
              <w:top w:val="nil"/>
              <w:left w:val="nil"/>
              <w:bottom w:val="single" w:sz="4" w:space="0" w:color="auto"/>
              <w:right w:val="nil"/>
            </w:tcBorders>
          </w:tcPr>
          <w:p w14:paraId="43824B02" w14:textId="77777777" w:rsidR="00D6576A" w:rsidRPr="00D52B58" w:rsidRDefault="00D6576A" w:rsidP="00A61B64">
            <w:pPr>
              <w:jc w:val="center"/>
            </w:pPr>
          </w:p>
        </w:tc>
        <w:tc>
          <w:tcPr>
            <w:tcW w:w="2069" w:type="dxa"/>
            <w:tcBorders>
              <w:top w:val="single" w:sz="4" w:space="0" w:color="auto"/>
              <w:left w:val="nil"/>
              <w:bottom w:val="single" w:sz="4" w:space="0" w:color="auto"/>
              <w:right w:val="nil"/>
            </w:tcBorders>
          </w:tcPr>
          <w:p w14:paraId="78845F58" w14:textId="77777777" w:rsidR="00D6576A" w:rsidRPr="00D52B58" w:rsidRDefault="00D6576A" w:rsidP="00A61B64">
            <w:pPr>
              <w:jc w:val="center"/>
            </w:pPr>
            <w:r w:rsidRPr="00D52B58">
              <w:t>0</w:t>
            </w:r>
            <w:r w:rsidRPr="00D52B58">
              <w:rPr>
                <w:vertAlign w:val="superscript"/>
              </w:rPr>
              <w:t>2</w:t>
            </w:r>
          </w:p>
        </w:tc>
        <w:tc>
          <w:tcPr>
            <w:tcW w:w="2069" w:type="dxa"/>
            <w:tcBorders>
              <w:top w:val="single" w:sz="4" w:space="0" w:color="auto"/>
              <w:left w:val="nil"/>
              <w:bottom w:val="single" w:sz="4" w:space="0" w:color="auto"/>
              <w:right w:val="nil"/>
            </w:tcBorders>
          </w:tcPr>
          <w:p w14:paraId="094AA816" w14:textId="77777777" w:rsidR="00D6576A" w:rsidRPr="00D52B58" w:rsidRDefault="00D6576A" w:rsidP="00A61B64">
            <w:pPr>
              <w:jc w:val="center"/>
            </w:pPr>
            <w:r w:rsidRPr="00D52B58">
              <w:t>25</w:t>
            </w:r>
          </w:p>
        </w:tc>
        <w:tc>
          <w:tcPr>
            <w:tcW w:w="2070" w:type="dxa"/>
            <w:tcBorders>
              <w:top w:val="single" w:sz="4" w:space="0" w:color="auto"/>
              <w:left w:val="nil"/>
              <w:bottom w:val="single" w:sz="4" w:space="0" w:color="auto"/>
              <w:right w:val="nil"/>
            </w:tcBorders>
          </w:tcPr>
          <w:p w14:paraId="101F03E0" w14:textId="77777777" w:rsidR="00D6576A" w:rsidRPr="00D52B58" w:rsidRDefault="00D6576A" w:rsidP="00A61B64">
            <w:pPr>
              <w:jc w:val="center"/>
            </w:pPr>
            <w:r w:rsidRPr="00D52B58">
              <w:t>50</w:t>
            </w:r>
          </w:p>
        </w:tc>
        <w:tc>
          <w:tcPr>
            <w:tcW w:w="2069" w:type="dxa"/>
            <w:tcBorders>
              <w:top w:val="single" w:sz="4" w:space="0" w:color="auto"/>
              <w:left w:val="nil"/>
              <w:bottom w:val="single" w:sz="4" w:space="0" w:color="auto"/>
              <w:right w:val="nil"/>
            </w:tcBorders>
          </w:tcPr>
          <w:p w14:paraId="10E45E7A" w14:textId="77777777" w:rsidR="00D6576A" w:rsidRPr="00D52B58" w:rsidRDefault="00D6576A" w:rsidP="00A61B64">
            <w:pPr>
              <w:jc w:val="center"/>
            </w:pPr>
            <w:r w:rsidRPr="00D52B58">
              <w:t>75</w:t>
            </w:r>
          </w:p>
        </w:tc>
        <w:tc>
          <w:tcPr>
            <w:tcW w:w="2070" w:type="dxa"/>
            <w:tcBorders>
              <w:top w:val="single" w:sz="4" w:space="0" w:color="auto"/>
              <w:left w:val="nil"/>
              <w:bottom w:val="single" w:sz="4" w:space="0" w:color="auto"/>
              <w:right w:val="nil"/>
            </w:tcBorders>
          </w:tcPr>
          <w:p w14:paraId="24092758" w14:textId="77777777" w:rsidR="00D6576A" w:rsidRPr="00D52B58" w:rsidRDefault="00D6576A" w:rsidP="00A61B64">
            <w:pPr>
              <w:jc w:val="center"/>
            </w:pPr>
            <w:r w:rsidRPr="00D52B58">
              <w:t>100</w:t>
            </w:r>
          </w:p>
        </w:tc>
        <w:tc>
          <w:tcPr>
            <w:tcW w:w="1134" w:type="dxa"/>
            <w:vMerge/>
            <w:tcBorders>
              <w:top w:val="nil"/>
              <w:left w:val="nil"/>
              <w:bottom w:val="single" w:sz="4" w:space="0" w:color="auto"/>
              <w:right w:val="nil"/>
            </w:tcBorders>
          </w:tcPr>
          <w:p w14:paraId="0E371737" w14:textId="77777777" w:rsidR="00D6576A" w:rsidRPr="00D52B58" w:rsidRDefault="00D6576A" w:rsidP="00A61B64">
            <w:pPr>
              <w:jc w:val="center"/>
            </w:pPr>
          </w:p>
        </w:tc>
      </w:tr>
      <w:tr w:rsidR="00D6576A" w:rsidRPr="00D52B58" w14:paraId="62603BB3" w14:textId="77777777" w:rsidTr="00A61B64">
        <w:trPr>
          <w:jc w:val="center"/>
        </w:trPr>
        <w:tc>
          <w:tcPr>
            <w:tcW w:w="15309" w:type="dxa"/>
            <w:gridSpan w:val="8"/>
            <w:tcBorders>
              <w:top w:val="nil"/>
              <w:left w:val="nil"/>
              <w:bottom w:val="nil"/>
              <w:right w:val="nil"/>
            </w:tcBorders>
          </w:tcPr>
          <w:p w14:paraId="0BF57398" w14:textId="77777777" w:rsidR="00D6576A" w:rsidRPr="00D52B58" w:rsidRDefault="00D6576A" w:rsidP="00A61B64">
            <w:pPr>
              <w:jc w:val="center"/>
            </w:pPr>
            <w:r w:rsidRPr="00D52B58">
              <w:t>Liver</w:t>
            </w:r>
          </w:p>
        </w:tc>
      </w:tr>
      <w:tr w:rsidR="00D6576A" w:rsidRPr="00D52B58" w14:paraId="6A39E9DF" w14:textId="77777777" w:rsidTr="00A61B64">
        <w:trPr>
          <w:jc w:val="center"/>
        </w:trPr>
        <w:tc>
          <w:tcPr>
            <w:tcW w:w="1701" w:type="dxa"/>
            <w:tcBorders>
              <w:top w:val="nil"/>
              <w:left w:val="nil"/>
              <w:bottom w:val="nil"/>
              <w:right w:val="nil"/>
            </w:tcBorders>
          </w:tcPr>
          <w:p w14:paraId="20DF25AF" w14:textId="77777777" w:rsidR="00D6576A" w:rsidRPr="00D52B58" w:rsidRDefault="00D6576A" w:rsidP="00A61B64">
            <w:r w:rsidRPr="00D52B58">
              <w:t>Hepatocytes</w:t>
            </w:r>
          </w:p>
        </w:tc>
        <w:tc>
          <w:tcPr>
            <w:tcW w:w="2127" w:type="dxa"/>
            <w:tcBorders>
              <w:top w:val="nil"/>
              <w:left w:val="nil"/>
              <w:bottom w:val="nil"/>
              <w:right w:val="nil"/>
            </w:tcBorders>
          </w:tcPr>
          <w:p w14:paraId="2BB57461" w14:textId="77777777" w:rsidR="00D6576A" w:rsidRPr="00D52B58" w:rsidRDefault="00D6576A" w:rsidP="00A61B64">
            <w:pPr>
              <w:jc w:val="center"/>
            </w:pPr>
            <w:r w:rsidRPr="00D52B58">
              <w:t>Primary</w:t>
            </w:r>
          </w:p>
        </w:tc>
        <w:tc>
          <w:tcPr>
            <w:tcW w:w="2069" w:type="dxa"/>
            <w:tcBorders>
              <w:top w:val="nil"/>
              <w:left w:val="nil"/>
              <w:bottom w:val="nil"/>
              <w:right w:val="nil"/>
            </w:tcBorders>
            <w:vAlign w:val="bottom"/>
          </w:tcPr>
          <w:p w14:paraId="6B3E83DA" w14:textId="77777777" w:rsidR="00D6576A" w:rsidRPr="00D52B58" w:rsidRDefault="00D6576A" w:rsidP="00A61B64">
            <w:pPr>
              <w:jc w:val="center"/>
              <w:rPr>
                <w:color w:val="000000"/>
              </w:rPr>
            </w:pPr>
            <w:r w:rsidRPr="00D52B58">
              <w:rPr>
                <w:color w:val="000000"/>
              </w:rPr>
              <w:t>100±11.9</w:t>
            </w:r>
          </w:p>
        </w:tc>
        <w:tc>
          <w:tcPr>
            <w:tcW w:w="2069" w:type="dxa"/>
            <w:tcBorders>
              <w:top w:val="nil"/>
              <w:left w:val="nil"/>
              <w:bottom w:val="nil"/>
              <w:right w:val="nil"/>
            </w:tcBorders>
            <w:vAlign w:val="bottom"/>
          </w:tcPr>
          <w:p w14:paraId="5855417F" w14:textId="77777777" w:rsidR="00D6576A" w:rsidRPr="00D52B58" w:rsidRDefault="00D6576A" w:rsidP="00A61B64">
            <w:pPr>
              <w:jc w:val="center"/>
              <w:rPr>
                <w:color w:val="000000"/>
              </w:rPr>
            </w:pPr>
            <w:r w:rsidRPr="00D52B58">
              <w:rPr>
                <w:color w:val="000000"/>
              </w:rPr>
              <w:t>ND</w:t>
            </w:r>
          </w:p>
        </w:tc>
        <w:tc>
          <w:tcPr>
            <w:tcW w:w="2070" w:type="dxa"/>
            <w:tcBorders>
              <w:top w:val="nil"/>
              <w:left w:val="nil"/>
              <w:bottom w:val="nil"/>
              <w:right w:val="nil"/>
            </w:tcBorders>
            <w:vAlign w:val="bottom"/>
          </w:tcPr>
          <w:p w14:paraId="59BE965A" w14:textId="77777777" w:rsidR="00D6576A" w:rsidRPr="00D52B58" w:rsidRDefault="00D6576A" w:rsidP="00A61B64">
            <w:pPr>
              <w:jc w:val="center"/>
              <w:rPr>
                <w:color w:val="000000"/>
              </w:rPr>
            </w:pPr>
            <w:r w:rsidRPr="00D52B58">
              <w:rPr>
                <w:color w:val="000000"/>
              </w:rPr>
              <w:t>ND</w:t>
            </w:r>
          </w:p>
        </w:tc>
        <w:tc>
          <w:tcPr>
            <w:tcW w:w="2069" w:type="dxa"/>
            <w:tcBorders>
              <w:top w:val="nil"/>
              <w:left w:val="nil"/>
              <w:bottom w:val="nil"/>
              <w:right w:val="nil"/>
            </w:tcBorders>
            <w:vAlign w:val="bottom"/>
          </w:tcPr>
          <w:p w14:paraId="7F9AE624" w14:textId="77777777" w:rsidR="00D6576A" w:rsidRPr="00D52B58" w:rsidRDefault="00D6576A" w:rsidP="00A61B64">
            <w:pPr>
              <w:jc w:val="center"/>
              <w:rPr>
                <w:color w:val="000000"/>
              </w:rPr>
            </w:pPr>
            <w:r w:rsidRPr="00D52B58">
              <w:rPr>
                <w:color w:val="000000"/>
              </w:rPr>
              <w:t>ND</w:t>
            </w:r>
          </w:p>
        </w:tc>
        <w:tc>
          <w:tcPr>
            <w:tcW w:w="2070" w:type="dxa"/>
            <w:tcBorders>
              <w:top w:val="nil"/>
              <w:left w:val="nil"/>
              <w:bottom w:val="nil"/>
              <w:right w:val="nil"/>
            </w:tcBorders>
            <w:vAlign w:val="bottom"/>
          </w:tcPr>
          <w:p w14:paraId="747BDF0C" w14:textId="77777777" w:rsidR="00D6576A" w:rsidRPr="00D52B58" w:rsidRDefault="00D6576A" w:rsidP="00A61B64">
            <w:pPr>
              <w:jc w:val="center"/>
              <w:rPr>
                <w:color w:val="000000"/>
              </w:rPr>
            </w:pPr>
            <w:r w:rsidRPr="00D52B58">
              <w:rPr>
                <w:color w:val="000000"/>
              </w:rPr>
              <w:t>89.9±17.5</w:t>
            </w:r>
          </w:p>
        </w:tc>
        <w:tc>
          <w:tcPr>
            <w:tcW w:w="1134" w:type="dxa"/>
            <w:tcBorders>
              <w:top w:val="nil"/>
              <w:left w:val="nil"/>
              <w:bottom w:val="nil"/>
              <w:right w:val="nil"/>
            </w:tcBorders>
          </w:tcPr>
          <w:p w14:paraId="4F28C5D2" w14:textId="77777777" w:rsidR="00D6576A" w:rsidRPr="00D52B58" w:rsidRDefault="00D6576A" w:rsidP="00A61B64">
            <w:pPr>
              <w:jc w:val="center"/>
            </w:pPr>
            <w:r w:rsidRPr="00D52B58">
              <w:t>0.64</w:t>
            </w:r>
            <w:r w:rsidRPr="00D52B58">
              <w:rPr>
                <w:vertAlign w:val="superscript"/>
              </w:rPr>
              <w:t>1</w:t>
            </w:r>
          </w:p>
        </w:tc>
      </w:tr>
      <w:tr w:rsidR="00D6576A" w:rsidRPr="00D52B58" w14:paraId="68F52077" w14:textId="77777777" w:rsidTr="00A61B64">
        <w:trPr>
          <w:jc w:val="center"/>
        </w:trPr>
        <w:tc>
          <w:tcPr>
            <w:tcW w:w="1701" w:type="dxa"/>
            <w:tcBorders>
              <w:top w:val="nil"/>
              <w:left w:val="nil"/>
              <w:bottom w:val="nil"/>
              <w:right w:val="nil"/>
            </w:tcBorders>
          </w:tcPr>
          <w:p w14:paraId="4ACDEF05" w14:textId="77777777" w:rsidR="00D6576A" w:rsidRPr="00D52B58" w:rsidRDefault="00D6576A" w:rsidP="00A61B64">
            <w:r w:rsidRPr="00D52B58">
              <w:t>SK-HEP-1</w:t>
            </w:r>
          </w:p>
        </w:tc>
        <w:tc>
          <w:tcPr>
            <w:tcW w:w="2127" w:type="dxa"/>
            <w:tcBorders>
              <w:top w:val="nil"/>
              <w:left w:val="nil"/>
              <w:bottom w:val="nil"/>
              <w:right w:val="nil"/>
            </w:tcBorders>
          </w:tcPr>
          <w:p w14:paraId="595778F1" w14:textId="77777777" w:rsidR="00D6576A" w:rsidRPr="00D52B58" w:rsidRDefault="00D6576A" w:rsidP="00A61B64">
            <w:pPr>
              <w:jc w:val="center"/>
            </w:pPr>
            <w:r w:rsidRPr="00D52B58">
              <w:t>Adenocarcinoma</w:t>
            </w:r>
          </w:p>
        </w:tc>
        <w:tc>
          <w:tcPr>
            <w:tcW w:w="2069" w:type="dxa"/>
            <w:tcBorders>
              <w:top w:val="nil"/>
              <w:left w:val="nil"/>
              <w:bottom w:val="nil"/>
              <w:right w:val="nil"/>
            </w:tcBorders>
            <w:vAlign w:val="bottom"/>
          </w:tcPr>
          <w:p w14:paraId="0BC7A57F" w14:textId="77777777" w:rsidR="00D6576A" w:rsidRPr="00D52B58" w:rsidRDefault="00D6576A" w:rsidP="00A61B64">
            <w:pPr>
              <w:jc w:val="center"/>
              <w:rPr>
                <w:color w:val="000000"/>
              </w:rPr>
            </w:pPr>
            <w:r w:rsidRPr="00D52B58">
              <w:rPr>
                <w:color w:val="000000"/>
              </w:rPr>
              <w:t>100±3.5</w:t>
            </w:r>
          </w:p>
        </w:tc>
        <w:tc>
          <w:tcPr>
            <w:tcW w:w="2069" w:type="dxa"/>
            <w:tcBorders>
              <w:top w:val="nil"/>
              <w:left w:val="nil"/>
              <w:bottom w:val="nil"/>
              <w:right w:val="nil"/>
            </w:tcBorders>
            <w:vAlign w:val="bottom"/>
          </w:tcPr>
          <w:p w14:paraId="0524BADA" w14:textId="77777777" w:rsidR="00D6576A" w:rsidRPr="00D52B58" w:rsidRDefault="00D6576A" w:rsidP="00A61B64">
            <w:pPr>
              <w:jc w:val="center"/>
              <w:rPr>
                <w:color w:val="000000"/>
              </w:rPr>
            </w:pPr>
            <w:r w:rsidRPr="00D52B58">
              <w:rPr>
                <w:color w:val="000000"/>
              </w:rPr>
              <w:t>109.1±13.3</w:t>
            </w:r>
          </w:p>
        </w:tc>
        <w:tc>
          <w:tcPr>
            <w:tcW w:w="2070" w:type="dxa"/>
            <w:tcBorders>
              <w:top w:val="nil"/>
              <w:left w:val="nil"/>
              <w:bottom w:val="nil"/>
              <w:right w:val="nil"/>
            </w:tcBorders>
            <w:vAlign w:val="bottom"/>
          </w:tcPr>
          <w:p w14:paraId="6D20FC22" w14:textId="77777777" w:rsidR="00D6576A" w:rsidRPr="00D52B58" w:rsidRDefault="00D6576A" w:rsidP="00A61B64">
            <w:pPr>
              <w:jc w:val="center"/>
              <w:rPr>
                <w:color w:val="000000"/>
              </w:rPr>
            </w:pPr>
            <w:r w:rsidRPr="00D52B58">
              <w:rPr>
                <w:color w:val="000000"/>
              </w:rPr>
              <w:t>92.8±5.9</w:t>
            </w:r>
          </w:p>
        </w:tc>
        <w:tc>
          <w:tcPr>
            <w:tcW w:w="2069" w:type="dxa"/>
            <w:tcBorders>
              <w:top w:val="nil"/>
              <w:left w:val="nil"/>
              <w:bottom w:val="nil"/>
              <w:right w:val="nil"/>
            </w:tcBorders>
            <w:vAlign w:val="bottom"/>
          </w:tcPr>
          <w:p w14:paraId="2575945F" w14:textId="77777777" w:rsidR="00D6576A" w:rsidRPr="00D52B58" w:rsidRDefault="00D6576A" w:rsidP="00A61B64">
            <w:pPr>
              <w:jc w:val="center"/>
              <w:rPr>
                <w:color w:val="000000"/>
              </w:rPr>
            </w:pPr>
            <w:r w:rsidRPr="00D52B58">
              <w:rPr>
                <w:color w:val="000000"/>
              </w:rPr>
              <w:t>113.3±3.0</w:t>
            </w:r>
          </w:p>
        </w:tc>
        <w:tc>
          <w:tcPr>
            <w:tcW w:w="2070" w:type="dxa"/>
            <w:tcBorders>
              <w:top w:val="nil"/>
              <w:left w:val="nil"/>
              <w:bottom w:val="nil"/>
              <w:right w:val="nil"/>
            </w:tcBorders>
            <w:vAlign w:val="bottom"/>
          </w:tcPr>
          <w:p w14:paraId="2AC9C945" w14:textId="77777777" w:rsidR="00D6576A" w:rsidRPr="00D52B58" w:rsidRDefault="00D6576A" w:rsidP="00A61B64">
            <w:pPr>
              <w:jc w:val="center"/>
              <w:rPr>
                <w:color w:val="000000"/>
              </w:rPr>
            </w:pPr>
            <w:r w:rsidRPr="00D52B58">
              <w:rPr>
                <w:color w:val="000000"/>
              </w:rPr>
              <w:t>126.3±13.8</w:t>
            </w:r>
          </w:p>
        </w:tc>
        <w:tc>
          <w:tcPr>
            <w:tcW w:w="1134" w:type="dxa"/>
            <w:tcBorders>
              <w:top w:val="nil"/>
              <w:left w:val="nil"/>
              <w:bottom w:val="nil"/>
              <w:right w:val="nil"/>
            </w:tcBorders>
          </w:tcPr>
          <w:p w14:paraId="1A3B1DDB" w14:textId="77777777" w:rsidR="00D6576A" w:rsidRPr="00D52B58" w:rsidRDefault="00D6576A" w:rsidP="00A61B64">
            <w:pPr>
              <w:jc w:val="center"/>
            </w:pPr>
            <w:r w:rsidRPr="00D52B58">
              <w:t>0.20</w:t>
            </w:r>
          </w:p>
        </w:tc>
      </w:tr>
      <w:tr w:rsidR="00D6576A" w:rsidRPr="00D52B58" w14:paraId="0C15DB65" w14:textId="77777777" w:rsidTr="00A61B64">
        <w:trPr>
          <w:jc w:val="center"/>
        </w:trPr>
        <w:tc>
          <w:tcPr>
            <w:tcW w:w="1701" w:type="dxa"/>
            <w:tcBorders>
              <w:top w:val="nil"/>
              <w:left w:val="nil"/>
              <w:bottom w:val="nil"/>
              <w:right w:val="nil"/>
            </w:tcBorders>
          </w:tcPr>
          <w:p w14:paraId="1EEB6121" w14:textId="77777777" w:rsidR="00D6576A" w:rsidRPr="00D52B58" w:rsidRDefault="00D6576A" w:rsidP="00A61B64">
            <w:r w:rsidRPr="00D52B58">
              <w:t>PLC/PRF/5</w:t>
            </w:r>
          </w:p>
        </w:tc>
        <w:tc>
          <w:tcPr>
            <w:tcW w:w="2127" w:type="dxa"/>
            <w:tcBorders>
              <w:top w:val="nil"/>
              <w:left w:val="nil"/>
              <w:bottom w:val="nil"/>
              <w:right w:val="nil"/>
            </w:tcBorders>
          </w:tcPr>
          <w:p w14:paraId="46F9F80B" w14:textId="77777777" w:rsidR="00D6576A" w:rsidRPr="00D52B58" w:rsidRDefault="00D6576A" w:rsidP="00A61B64">
            <w:pPr>
              <w:jc w:val="center"/>
            </w:pPr>
            <w:r>
              <w:t>Hepatocellular carcinoma</w:t>
            </w:r>
          </w:p>
        </w:tc>
        <w:tc>
          <w:tcPr>
            <w:tcW w:w="2069" w:type="dxa"/>
            <w:tcBorders>
              <w:top w:val="nil"/>
              <w:left w:val="nil"/>
              <w:bottom w:val="nil"/>
              <w:right w:val="nil"/>
            </w:tcBorders>
            <w:vAlign w:val="bottom"/>
          </w:tcPr>
          <w:p w14:paraId="7EAD9BA7" w14:textId="77777777" w:rsidR="00D6576A" w:rsidRPr="00D52B58" w:rsidRDefault="00D6576A" w:rsidP="00A61B64">
            <w:pPr>
              <w:jc w:val="center"/>
              <w:rPr>
                <w:color w:val="000000"/>
              </w:rPr>
            </w:pPr>
            <w:r w:rsidRPr="00D52B58">
              <w:rPr>
                <w:color w:val="000000"/>
              </w:rPr>
              <w:t>100±7.0</w:t>
            </w:r>
          </w:p>
        </w:tc>
        <w:tc>
          <w:tcPr>
            <w:tcW w:w="2069" w:type="dxa"/>
            <w:tcBorders>
              <w:top w:val="nil"/>
              <w:left w:val="nil"/>
              <w:bottom w:val="nil"/>
              <w:right w:val="nil"/>
            </w:tcBorders>
            <w:vAlign w:val="bottom"/>
          </w:tcPr>
          <w:p w14:paraId="653957D1" w14:textId="77777777" w:rsidR="00D6576A" w:rsidRPr="00D52B58" w:rsidRDefault="00D6576A" w:rsidP="00A61B64">
            <w:pPr>
              <w:jc w:val="center"/>
              <w:rPr>
                <w:color w:val="000000"/>
              </w:rPr>
            </w:pPr>
            <w:r w:rsidRPr="00D52B58">
              <w:rPr>
                <w:color w:val="000000"/>
              </w:rPr>
              <w:t>100.6±5.4</w:t>
            </w:r>
          </w:p>
        </w:tc>
        <w:tc>
          <w:tcPr>
            <w:tcW w:w="2070" w:type="dxa"/>
            <w:tcBorders>
              <w:top w:val="nil"/>
              <w:left w:val="nil"/>
              <w:bottom w:val="nil"/>
              <w:right w:val="nil"/>
            </w:tcBorders>
            <w:vAlign w:val="bottom"/>
          </w:tcPr>
          <w:p w14:paraId="63EADA65" w14:textId="77777777" w:rsidR="00D6576A" w:rsidRPr="00D52B58" w:rsidRDefault="00D6576A" w:rsidP="00A61B64">
            <w:pPr>
              <w:jc w:val="center"/>
              <w:rPr>
                <w:color w:val="000000"/>
              </w:rPr>
            </w:pPr>
            <w:r w:rsidRPr="00D52B58">
              <w:rPr>
                <w:color w:val="000000"/>
              </w:rPr>
              <w:t>105.7±5.7</w:t>
            </w:r>
          </w:p>
        </w:tc>
        <w:tc>
          <w:tcPr>
            <w:tcW w:w="2069" w:type="dxa"/>
            <w:tcBorders>
              <w:top w:val="nil"/>
              <w:left w:val="nil"/>
              <w:bottom w:val="nil"/>
              <w:right w:val="nil"/>
            </w:tcBorders>
            <w:vAlign w:val="bottom"/>
          </w:tcPr>
          <w:p w14:paraId="43C93CFE" w14:textId="77777777" w:rsidR="00D6576A" w:rsidRPr="00D52B58" w:rsidRDefault="00D6576A" w:rsidP="00A61B64">
            <w:pPr>
              <w:jc w:val="center"/>
              <w:rPr>
                <w:color w:val="000000"/>
              </w:rPr>
            </w:pPr>
            <w:r w:rsidRPr="00D52B58">
              <w:rPr>
                <w:color w:val="000000"/>
              </w:rPr>
              <w:t>119.2±1.8*</w:t>
            </w:r>
          </w:p>
        </w:tc>
        <w:tc>
          <w:tcPr>
            <w:tcW w:w="2070" w:type="dxa"/>
            <w:tcBorders>
              <w:top w:val="nil"/>
              <w:left w:val="nil"/>
              <w:bottom w:val="nil"/>
              <w:right w:val="nil"/>
            </w:tcBorders>
            <w:vAlign w:val="bottom"/>
          </w:tcPr>
          <w:p w14:paraId="1A35B01F" w14:textId="77777777" w:rsidR="00D6576A" w:rsidRPr="00D52B58" w:rsidRDefault="00D6576A" w:rsidP="00A61B64">
            <w:pPr>
              <w:jc w:val="center"/>
              <w:rPr>
                <w:color w:val="000000"/>
              </w:rPr>
            </w:pPr>
            <w:r w:rsidRPr="00D52B58">
              <w:rPr>
                <w:color w:val="000000"/>
              </w:rPr>
              <w:t>129.2±3.2**</w:t>
            </w:r>
          </w:p>
        </w:tc>
        <w:tc>
          <w:tcPr>
            <w:tcW w:w="1134" w:type="dxa"/>
            <w:tcBorders>
              <w:top w:val="nil"/>
              <w:left w:val="nil"/>
              <w:bottom w:val="nil"/>
              <w:right w:val="nil"/>
            </w:tcBorders>
          </w:tcPr>
          <w:p w14:paraId="18B2528E" w14:textId="77777777" w:rsidR="00D6576A" w:rsidRPr="00D52B58" w:rsidRDefault="00D6576A" w:rsidP="00A61B64">
            <w:pPr>
              <w:jc w:val="center"/>
            </w:pPr>
            <w:r w:rsidRPr="00D52B58">
              <w:t>0.0009</w:t>
            </w:r>
          </w:p>
        </w:tc>
      </w:tr>
      <w:tr w:rsidR="00D6576A" w:rsidRPr="00D52B58" w14:paraId="0593479E" w14:textId="77777777" w:rsidTr="00A61B64">
        <w:trPr>
          <w:jc w:val="center"/>
        </w:trPr>
        <w:tc>
          <w:tcPr>
            <w:tcW w:w="1701" w:type="dxa"/>
            <w:tcBorders>
              <w:top w:val="nil"/>
              <w:left w:val="nil"/>
              <w:bottom w:val="nil"/>
              <w:right w:val="nil"/>
            </w:tcBorders>
          </w:tcPr>
          <w:p w14:paraId="3D8E61F2" w14:textId="77777777" w:rsidR="00D6576A" w:rsidRPr="00D52B58" w:rsidRDefault="00D6576A" w:rsidP="00A61B64">
            <w:r w:rsidRPr="00D52B58">
              <w:t>HepG2</w:t>
            </w:r>
          </w:p>
        </w:tc>
        <w:tc>
          <w:tcPr>
            <w:tcW w:w="2127" w:type="dxa"/>
            <w:tcBorders>
              <w:top w:val="nil"/>
              <w:left w:val="nil"/>
              <w:bottom w:val="nil"/>
              <w:right w:val="nil"/>
            </w:tcBorders>
          </w:tcPr>
          <w:p w14:paraId="1A5059DB" w14:textId="77777777" w:rsidR="00D6576A" w:rsidRPr="00D52B58" w:rsidRDefault="00D6576A" w:rsidP="00A61B64">
            <w:pPr>
              <w:jc w:val="center"/>
            </w:pPr>
            <w:r w:rsidRPr="00D52B58">
              <w:t>Hepatocellular</w:t>
            </w:r>
          </w:p>
          <w:p w14:paraId="1793F157" w14:textId="77777777" w:rsidR="00D6576A" w:rsidRPr="00D52B58" w:rsidRDefault="00D6576A" w:rsidP="00A61B64">
            <w:pPr>
              <w:jc w:val="center"/>
            </w:pPr>
            <w:r w:rsidRPr="00D52B58">
              <w:t>carcinoma</w:t>
            </w:r>
          </w:p>
        </w:tc>
        <w:tc>
          <w:tcPr>
            <w:tcW w:w="2069" w:type="dxa"/>
            <w:tcBorders>
              <w:top w:val="nil"/>
              <w:left w:val="nil"/>
              <w:bottom w:val="nil"/>
              <w:right w:val="nil"/>
            </w:tcBorders>
            <w:vAlign w:val="bottom"/>
          </w:tcPr>
          <w:p w14:paraId="219E54B9" w14:textId="77777777" w:rsidR="00D6576A" w:rsidRPr="00D52B58" w:rsidRDefault="00D6576A" w:rsidP="00A61B64">
            <w:pPr>
              <w:jc w:val="center"/>
              <w:rPr>
                <w:color w:val="000000"/>
              </w:rPr>
            </w:pPr>
            <w:r w:rsidRPr="00D52B58">
              <w:rPr>
                <w:color w:val="000000"/>
              </w:rPr>
              <w:t>100±4.1</w:t>
            </w:r>
          </w:p>
        </w:tc>
        <w:tc>
          <w:tcPr>
            <w:tcW w:w="2069" w:type="dxa"/>
            <w:tcBorders>
              <w:top w:val="nil"/>
              <w:left w:val="nil"/>
              <w:bottom w:val="nil"/>
              <w:right w:val="nil"/>
            </w:tcBorders>
            <w:vAlign w:val="bottom"/>
          </w:tcPr>
          <w:p w14:paraId="522506F0" w14:textId="77777777" w:rsidR="00D6576A" w:rsidRPr="00D52B58" w:rsidRDefault="00D6576A" w:rsidP="00A61B64">
            <w:pPr>
              <w:jc w:val="center"/>
              <w:rPr>
                <w:color w:val="000000"/>
              </w:rPr>
            </w:pPr>
            <w:r w:rsidRPr="00D52B58">
              <w:rPr>
                <w:color w:val="000000"/>
              </w:rPr>
              <w:t>114.2±2.3</w:t>
            </w:r>
          </w:p>
        </w:tc>
        <w:tc>
          <w:tcPr>
            <w:tcW w:w="2070" w:type="dxa"/>
            <w:tcBorders>
              <w:top w:val="nil"/>
              <w:left w:val="nil"/>
              <w:bottom w:val="nil"/>
              <w:right w:val="nil"/>
            </w:tcBorders>
            <w:vAlign w:val="bottom"/>
          </w:tcPr>
          <w:p w14:paraId="7187F4D5" w14:textId="77777777" w:rsidR="00D6576A" w:rsidRPr="00D52B58" w:rsidRDefault="00D6576A" w:rsidP="00A61B64">
            <w:pPr>
              <w:jc w:val="center"/>
              <w:rPr>
                <w:color w:val="000000"/>
              </w:rPr>
            </w:pPr>
            <w:r w:rsidRPr="00D52B58">
              <w:rPr>
                <w:color w:val="000000"/>
              </w:rPr>
              <w:t>112.0±3.7</w:t>
            </w:r>
          </w:p>
        </w:tc>
        <w:tc>
          <w:tcPr>
            <w:tcW w:w="2069" w:type="dxa"/>
            <w:tcBorders>
              <w:top w:val="nil"/>
              <w:left w:val="nil"/>
              <w:bottom w:val="nil"/>
              <w:right w:val="nil"/>
            </w:tcBorders>
            <w:vAlign w:val="bottom"/>
          </w:tcPr>
          <w:p w14:paraId="07C892CF" w14:textId="77777777" w:rsidR="00D6576A" w:rsidRPr="00D52B58" w:rsidRDefault="00D6576A" w:rsidP="00A61B64">
            <w:pPr>
              <w:jc w:val="center"/>
              <w:rPr>
                <w:color w:val="000000"/>
              </w:rPr>
            </w:pPr>
            <w:r w:rsidRPr="00D52B58">
              <w:rPr>
                <w:color w:val="000000"/>
              </w:rPr>
              <w:t>111.7±3.8</w:t>
            </w:r>
          </w:p>
        </w:tc>
        <w:tc>
          <w:tcPr>
            <w:tcW w:w="2070" w:type="dxa"/>
            <w:tcBorders>
              <w:top w:val="nil"/>
              <w:left w:val="nil"/>
              <w:bottom w:val="nil"/>
              <w:right w:val="nil"/>
            </w:tcBorders>
            <w:vAlign w:val="bottom"/>
          </w:tcPr>
          <w:p w14:paraId="34B4B364" w14:textId="77777777" w:rsidR="00D6576A" w:rsidRPr="00D52B58" w:rsidRDefault="00D6576A" w:rsidP="00A61B64">
            <w:pPr>
              <w:jc w:val="center"/>
              <w:rPr>
                <w:color w:val="000000"/>
              </w:rPr>
            </w:pPr>
            <w:r w:rsidRPr="00D52B58">
              <w:rPr>
                <w:color w:val="000000"/>
              </w:rPr>
              <w:t>110.2±5.2</w:t>
            </w:r>
          </w:p>
        </w:tc>
        <w:tc>
          <w:tcPr>
            <w:tcW w:w="1134" w:type="dxa"/>
            <w:tcBorders>
              <w:top w:val="nil"/>
              <w:left w:val="nil"/>
              <w:bottom w:val="nil"/>
              <w:right w:val="nil"/>
            </w:tcBorders>
          </w:tcPr>
          <w:p w14:paraId="1352D2E8" w14:textId="77777777" w:rsidR="00D6576A" w:rsidRPr="00D52B58" w:rsidRDefault="00D6576A" w:rsidP="00A61B64">
            <w:pPr>
              <w:jc w:val="center"/>
            </w:pPr>
          </w:p>
          <w:p w14:paraId="6B71BE02" w14:textId="77777777" w:rsidR="00D6576A" w:rsidRPr="00D52B58" w:rsidRDefault="00D6576A" w:rsidP="00A61B64">
            <w:pPr>
              <w:jc w:val="center"/>
            </w:pPr>
            <w:r w:rsidRPr="00D52B58">
              <w:t>0.003</w:t>
            </w:r>
          </w:p>
        </w:tc>
      </w:tr>
      <w:tr w:rsidR="00D6576A" w:rsidRPr="00D52B58" w14:paraId="3A535B5C" w14:textId="77777777" w:rsidTr="00A61B64">
        <w:trPr>
          <w:jc w:val="center"/>
        </w:trPr>
        <w:tc>
          <w:tcPr>
            <w:tcW w:w="1701" w:type="dxa"/>
            <w:tcBorders>
              <w:top w:val="nil"/>
              <w:left w:val="nil"/>
              <w:bottom w:val="nil"/>
              <w:right w:val="nil"/>
            </w:tcBorders>
          </w:tcPr>
          <w:p w14:paraId="7E2F39A8" w14:textId="77777777" w:rsidR="00D6576A" w:rsidRPr="00D52B58" w:rsidRDefault="00D6576A" w:rsidP="00A61B64">
            <w:r w:rsidRPr="00D52B58">
              <w:t>Huh-7D12</w:t>
            </w:r>
          </w:p>
        </w:tc>
        <w:tc>
          <w:tcPr>
            <w:tcW w:w="2127" w:type="dxa"/>
            <w:tcBorders>
              <w:top w:val="nil"/>
              <w:left w:val="nil"/>
              <w:bottom w:val="nil"/>
              <w:right w:val="nil"/>
            </w:tcBorders>
          </w:tcPr>
          <w:p w14:paraId="74C3EA3F" w14:textId="77777777" w:rsidR="00D6576A" w:rsidRPr="00D52B58" w:rsidRDefault="00D6576A" w:rsidP="00A61B64">
            <w:pPr>
              <w:jc w:val="center"/>
            </w:pPr>
            <w:r w:rsidRPr="00D52B58">
              <w:t>Hepatocellular</w:t>
            </w:r>
          </w:p>
          <w:p w14:paraId="1AFE7BC9" w14:textId="77777777" w:rsidR="00D6576A" w:rsidRPr="00D52B58" w:rsidRDefault="00D6576A" w:rsidP="00A61B64">
            <w:pPr>
              <w:jc w:val="center"/>
            </w:pPr>
            <w:r w:rsidRPr="00D52B58">
              <w:t>carcinoma</w:t>
            </w:r>
          </w:p>
        </w:tc>
        <w:tc>
          <w:tcPr>
            <w:tcW w:w="2069" w:type="dxa"/>
            <w:tcBorders>
              <w:top w:val="nil"/>
              <w:left w:val="nil"/>
              <w:bottom w:val="nil"/>
              <w:right w:val="nil"/>
            </w:tcBorders>
            <w:vAlign w:val="bottom"/>
          </w:tcPr>
          <w:p w14:paraId="2FDF7C1A" w14:textId="77777777" w:rsidR="00D6576A" w:rsidRPr="00D52B58" w:rsidRDefault="00D6576A" w:rsidP="00A61B64">
            <w:pPr>
              <w:jc w:val="center"/>
              <w:rPr>
                <w:color w:val="000000"/>
              </w:rPr>
            </w:pPr>
            <w:r w:rsidRPr="00D52B58">
              <w:rPr>
                <w:color w:val="000000"/>
              </w:rPr>
              <w:t>100±6.4</w:t>
            </w:r>
          </w:p>
        </w:tc>
        <w:tc>
          <w:tcPr>
            <w:tcW w:w="2069" w:type="dxa"/>
            <w:tcBorders>
              <w:top w:val="nil"/>
              <w:left w:val="nil"/>
              <w:bottom w:val="nil"/>
              <w:right w:val="nil"/>
            </w:tcBorders>
            <w:vAlign w:val="bottom"/>
          </w:tcPr>
          <w:p w14:paraId="2BA8C01F" w14:textId="77777777" w:rsidR="00D6576A" w:rsidRPr="00D52B58" w:rsidRDefault="00D6576A" w:rsidP="00A61B64">
            <w:pPr>
              <w:jc w:val="center"/>
              <w:rPr>
                <w:color w:val="000000"/>
              </w:rPr>
            </w:pPr>
            <w:r w:rsidRPr="00D52B58">
              <w:rPr>
                <w:color w:val="000000"/>
              </w:rPr>
              <w:t>101.1±5.6</w:t>
            </w:r>
          </w:p>
        </w:tc>
        <w:tc>
          <w:tcPr>
            <w:tcW w:w="2070" w:type="dxa"/>
            <w:tcBorders>
              <w:top w:val="nil"/>
              <w:left w:val="nil"/>
              <w:bottom w:val="nil"/>
              <w:right w:val="nil"/>
            </w:tcBorders>
            <w:vAlign w:val="bottom"/>
          </w:tcPr>
          <w:p w14:paraId="03DF3477" w14:textId="77777777" w:rsidR="00D6576A" w:rsidRPr="00D52B58" w:rsidRDefault="00D6576A" w:rsidP="00A61B64">
            <w:pPr>
              <w:jc w:val="center"/>
              <w:rPr>
                <w:color w:val="000000"/>
              </w:rPr>
            </w:pPr>
            <w:r w:rsidRPr="00D52B58">
              <w:rPr>
                <w:color w:val="000000"/>
              </w:rPr>
              <w:t>88.2±3.2</w:t>
            </w:r>
          </w:p>
        </w:tc>
        <w:tc>
          <w:tcPr>
            <w:tcW w:w="2069" w:type="dxa"/>
            <w:tcBorders>
              <w:top w:val="nil"/>
              <w:left w:val="nil"/>
              <w:bottom w:val="nil"/>
              <w:right w:val="nil"/>
            </w:tcBorders>
            <w:vAlign w:val="bottom"/>
          </w:tcPr>
          <w:p w14:paraId="24EC6C7C" w14:textId="77777777" w:rsidR="00D6576A" w:rsidRPr="00D52B58" w:rsidRDefault="00D6576A" w:rsidP="00A61B64">
            <w:pPr>
              <w:jc w:val="center"/>
              <w:rPr>
                <w:color w:val="000000"/>
              </w:rPr>
            </w:pPr>
            <w:r w:rsidRPr="00D52B58">
              <w:rPr>
                <w:color w:val="000000"/>
              </w:rPr>
              <w:t>87.2±3.4</w:t>
            </w:r>
          </w:p>
        </w:tc>
        <w:tc>
          <w:tcPr>
            <w:tcW w:w="2070" w:type="dxa"/>
            <w:tcBorders>
              <w:top w:val="nil"/>
              <w:left w:val="nil"/>
              <w:bottom w:val="nil"/>
              <w:right w:val="nil"/>
            </w:tcBorders>
            <w:vAlign w:val="bottom"/>
          </w:tcPr>
          <w:p w14:paraId="1D0A8DD1" w14:textId="77777777" w:rsidR="00D6576A" w:rsidRPr="00D52B58" w:rsidRDefault="00D6576A" w:rsidP="00A61B64">
            <w:pPr>
              <w:jc w:val="center"/>
              <w:rPr>
                <w:color w:val="000000"/>
              </w:rPr>
            </w:pPr>
            <w:r w:rsidRPr="00D52B58">
              <w:rPr>
                <w:color w:val="000000"/>
              </w:rPr>
              <w:t>94.6±2.3</w:t>
            </w:r>
          </w:p>
        </w:tc>
        <w:tc>
          <w:tcPr>
            <w:tcW w:w="1134" w:type="dxa"/>
            <w:tcBorders>
              <w:top w:val="nil"/>
              <w:left w:val="nil"/>
              <w:bottom w:val="nil"/>
              <w:right w:val="nil"/>
            </w:tcBorders>
          </w:tcPr>
          <w:p w14:paraId="38EF4A51" w14:textId="77777777" w:rsidR="00D6576A" w:rsidRPr="00D52B58" w:rsidRDefault="00D6576A" w:rsidP="00A61B64">
            <w:pPr>
              <w:jc w:val="center"/>
            </w:pPr>
          </w:p>
          <w:p w14:paraId="4F02D287" w14:textId="77777777" w:rsidR="00D6576A" w:rsidRPr="00D52B58" w:rsidRDefault="00D6576A" w:rsidP="00A61B64">
            <w:pPr>
              <w:jc w:val="center"/>
            </w:pPr>
            <w:r w:rsidRPr="00D52B58">
              <w:t>0.14</w:t>
            </w:r>
          </w:p>
        </w:tc>
      </w:tr>
      <w:tr w:rsidR="00D6576A" w:rsidRPr="00D52B58" w14:paraId="24077576" w14:textId="77777777" w:rsidTr="00A61B64">
        <w:trPr>
          <w:jc w:val="center"/>
        </w:trPr>
        <w:tc>
          <w:tcPr>
            <w:tcW w:w="15309" w:type="dxa"/>
            <w:gridSpan w:val="8"/>
            <w:tcBorders>
              <w:top w:val="nil"/>
              <w:left w:val="nil"/>
              <w:bottom w:val="nil"/>
              <w:right w:val="nil"/>
            </w:tcBorders>
          </w:tcPr>
          <w:p w14:paraId="2AE4BBDA" w14:textId="77777777" w:rsidR="00D6576A" w:rsidRPr="00D52B58" w:rsidRDefault="00D6576A" w:rsidP="00A61B64">
            <w:pPr>
              <w:jc w:val="center"/>
            </w:pPr>
            <w:r w:rsidRPr="00D52B58">
              <w:t>Breast</w:t>
            </w:r>
          </w:p>
        </w:tc>
      </w:tr>
      <w:tr w:rsidR="00D6576A" w:rsidRPr="00D52B58" w14:paraId="739E7CAD" w14:textId="77777777" w:rsidTr="00A61B64">
        <w:trPr>
          <w:jc w:val="center"/>
        </w:trPr>
        <w:tc>
          <w:tcPr>
            <w:tcW w:w="1701" w:type="dxa"/>
            <w:tcBorders>
              <w:top w:val="nil"/>
              <w:left w:val="nil"/>
              <w:bottom w:val="nil"/>
              <w:right w:val="nil"/>
            </w:tcBorders>
          </w:tcPr>
          <w:p w14:paraId="4D31EC7C" w14:textId="77777777" w:rsidR="00D6576A" w:rsidRPr="00D52B58" w:rsidRDefault="00D6576A" w:rsidP="00A61B64">
            <w:r w:rsidRPr="00D52B58">
              <w:t>HMT-3522</w:t>
            </w:r>
          </w:p>
        </w:tc>
        <w:tc>
          <w:tcPr>
            <w:tcW w:w="2127" w:type="dxa"/>
            <w:tcBorders>
              <w:top w:val="nil"/>
              <w:left w:val="nil"/>
              <w:bottom w:val="nil"/>
              <w:right w:val="nil"/>
            </w:tcBorders>
          </w:tcPr>
          <w:p w14:paraId="0F4A28DE" w14:textId="77777777" w:rsidR="00D6576A" w:rsidRPr="00D52B58" w:rsidRDefault="00D6576A" w:rsidP="00A61B64">
            <w:pPr>
              <w:jc w:val="center"/>
            </w:pPr>
            <w:r w:rsidRPr="00D52B58">
              <w:t>Transformed</w:t>
            </w:r>
            <w:r>
              <w:t xml:space="preserve"> breast </w:t>
            </w:r>
          </w:p>
          <w:p w14:paraId="2B0E7BA1" w14:textId="77777777" w:rsidR="00D6576A" w:rsidRPr="00D52B58" w:rsidRDefault="00D6576A" w:rsidP="00A61B64">
            <w:pPr>
              <w:jc w:val="center"/>
            </w:pPr>
            <w:r w:rsidRPr="00D52B58">
              <w:t>epithelial</w:t>
            </w:r>
          </w:p>
        </w:tc>
        <w:tc>
          <w:tcPr>
            <w:tcW w:w="2069" w:type="dxa"/>
            <w:tcBorders>
              <w:top w:val="nil"/>
              <w:left w:val="nil"/>
              <w:bottom w:val="nil"/>
              <w:right w:val="nil"/>
            </w:tcBorders>
            <w:vAlign w:val="bottom"/>
          </w:tcPr>
          <w:p w14:paraId="65A9A50E" w14:textId="77777777" w:rsidR="00D6576A" w:rsidRPr="00D52B58" w:rsidRDefault="00D6576A" w:rsidP="00A61B64">
            <w:pPr>
              <w:jc w:val="center"/>
              <w:rPr>
                <w:color w:val="000000"/>
              </w:rPr>
            </w:pPr>
            <w:r w:rsidRPr="00D52B58">
              <w:rPr>
                <w:color w:val="000000"/>
              </w:rPr>
              <w:t>100±40.7</w:t>
            </w:r>
          </w:p>
        </w:tc>
        <w:tc>
          <w:tcPr>
            <w:tcW w:w="2069" w:type="dxa"/>
            <w:tcBorders>
              <w:top w:val="nil"/>
              <w:left w:val="nil"/>
              <w:bottom w:val="nil"/>
              <w:right w:val="nil"/>
            </w:tcBorders>
            <w:vAlign w:val="bottom"/>
          </w:tcPr>
          <w:p w14:paraId="382DF48F" w14:textId="77777777" w:rsidR="00D6576A" w:rsidRPr="00D52B58" w:rsidRDefault="00D6576A" w:rsidP="00A61B64">
            <w:pPr>
              <w:jc w:val="center"/>
              <w:rPr>
                <w:color w:val="000000"/>
              </w:rPr>
            </w:pPr>
            <w:r w:rsidRPr="00D52B58">
              <w:rPr>
                <w:color w:val="000000"/>
              </w:rPr>
              <w:t>148.9±55.1</w:t>
            </w:r>
          </w:p>
        </w:tc>
        <w:tc>
          <w:tcPr>
            <w:tcW w:w="2070" w:type="dxa"/>
            <w:tcBorders>
              <w:top w:val="nil"/>
              <w:left w:val="nil"/>
              <w:bottom w:val="nil"/>
              <w:right w:val="nil"/>
            </w:tcBorders>
            <w:vAlign w:val="bottom"/>
          </w:tcPr>
          <w:p w14:paraId="560BF00F" w14:textId="77777777" w:rsidR="00D6576A" w:rsidRPr="00D52B58" w:rsidRDefault="00D6576A" w:rsidP="00A61B64">
            <w:pPr>
              <w:jc w:val="center"/>
              <w:rPr>
                <w:color w:val="000000"/>
              </w:rPr>
            </w:pPr>
            <w:r w:rsidRPr="00D52B58">
              <w:rPr>
                <w:color w:val="000000"/>
              </w:rPr>
              <w:t>221.7±85.4</w:t>
            </w:r>
          </w:p>
        </w:tc>
        <w:tc>
          <w:tcPr>
            <w:tcW w:w="2069" w:type="dxa"/>
            <w:tcBorders>
              <w:top w:val="nil"/>
              <w:left w:val="nil"/>
              <w:bottom w:val="nil"/>
              <w:right w:val="nil"/>
            </w:tcBorders>
            <w:vAlign w:val="bottom"/>
          </w:tcPr>
          <w:p w14:paraId="23054EAF" w14:textId="77777777" w:rsidR="00D6576A" w:rsidRPr="00D52B58" w:rsidRDefault="00D6576A" w:rsidP="00A61B64">
            <w:pPr>
              <w:jc w:val="center"/>
              <w:rPr>
                <w:color w:val="000000"/>
              </w:rPr>
            </w:pPr>
            <w:r w:rsidRPr="00D52B58">
              <w:rPr>
                <w:color w:val="000000"/>
              </w:rPr>
              <w:t>278.1±111.9</w:t>
            </w:r>
          </w:p>
        </w:tc>
        <w:tc>
          <w:tcPr>
            <w:tcW w:w="2070" w:type="dxa"/>
            <w:tcBorders>
              <w:top w:val="nil"/>
              <w:left w:val="nil"/>
              <w:bottom w:val="nil"/>
              <w:right w:val="nil"/>
            </w:tcBorders>
            <w:vAlign w:val="bottom"/>
          </w:tcPr>
          <w:p w14:paraId="1DA8643F" w14:textId="77777777" w:rsidR="00D6576A" w:rsidRPr="00D52B58" w:rsidRDefault="00D6576A" w:rsidP="00A61B64">
            <w:pPr>
              <w:jc w:val="center"/>
              <w:rPr>
                <w:color w:val="000000"/>
              </w:rPr>
            </w:pPr>
            <w:r w:rsidRPr="00D52B58">
              <w:rPr>
                <w:color w:val="000000"/>
              </w:rPr>
              <w:t>120.4±120.4</w:t>
            </w:r>
          </w:p>
        </w:tc>
        <w:tc>
          <w:tcPr>
            <w:tcW w:w="1134" w:type="dxa"/>
            <w:tcBorders>
              <w:top w:val="nil"/>
              <w:left w:val="nil"/>
              <w:bottom w:val="nil"/>
              <w:right w:val="nil"/>
            </w:tcBorders>
          </w:tcPr>
          <w:p w14:paraId="601A821A" w14:textId="77777777" w:rsidR="00D6576A" w:rsidRPr="00D52B58" w:rsidRDefault="00D6576A" w:rsidP="00A61B64">
            <w:pPr>
              <w:jc w:val="center"/>
            </w:pPr>
          </w:p>
          <w:p w14:paraId="73FE08A4" w14:textId="77777777" w:rsidR="00D6576A" w:rsidRPr="00D52B58" w:rsidRDefault="00D6576A" w:rsidP="00A61B64">
            <w:pPr>
              <w:jc w:val="center"/>
            </w:pPr>
            <w:r w:rsidRPr="00D52B58">
              <w:t>0.51</w:t>
            </w:r>
          </w:p>
        </w:tc>
      </w:tr>
      <w:tr w:rsidR="00D6576A" w:rsidRPr="00D52B58" w14:paraId="6C370EFD" w14:textId="77777777" w:rsidTr="00A61B64">
        <w:trPr>
          <w:jc w:val="center"/>
        </w:trPr>
        <w:tc>
          <w:tcPr>
            <w:tcW w:w="1701" w:type="dxa"/>
            <w:tcBorders>
              <w:top w:val="nil"/>
              <w:left w:val="nil"/>
              <w:bottom w:val="nil"/>
              <w:right w:val="nil"/>
            </w:tcBorders>
          </w:tcPr>
          <w:p w14:paraId="2221F7DA" w14:textId="77777777" w:rsidR="00D6576A" w:rsidRPr="00D52B58" w:rsidRDefault="00D6576A" w:rsidP="00A61B64">
            <w:r w:rsidRPr="00D52B58">
              <w:t>Hs578T</w:t>
            </w:r>
          </w:p>
        </w:tc>
        <w:tc>
          <w:tcPr>
            <w:tcW w:w="2127" w:type="dxa"/>
            <w:tcBorders>
              <w:top w:val="nil"/>
              <w:left w:val="nil"/>
              <w:bottom w:val="nil"/>
              <w:right w:val="nil"/>
            </w:tcBorders>
          </w:tcPr>
          <w:p w14:paraId="0C2E3B8B" w14:textId="77777777" w:rsidR="00D6576A" w:rsidRPr="00D52B58" w:rsidRDefault="00D6576A" w:rsidP="00A61B64">
            <w:pPr>
              <w:jc w:val="center"/>
            </w:pPr>
            <w:r w:rsidRPr="00D52B58">
              <w:t>Ductal</w:t>
            </w:r>
            <w:r>
              <w:t xml:space="preserve"> breast </w:t>
            </w:r>
          </w:p>
          <w:p w14:paraId="64AEF2B3" w14:textId="77777777" w:rsidR="00D6576A" w:rsidRPr="00D52B58" w:rsidRDefault="00D6576A" w:rsidP="00A61B64">
            <w:pPr>
              <w:jc w:val="center"/>
            </w:pPr>
            <w:r w:rsidRPr="00D52B58">
              <w:t>carcinoma</w:t>
            </w:r>
          </w:p>
        </w:tc>
        <w:tc>
          <w:tcPr>
            <w:tcW w:w="2069" w:type="dxa"/>
            <w:tcBorders>
              <w:top w:val="nil"/>
              <w:left w:val="nil"/>
              <w:bottom w:val="nil"/>
              <w:right w:val="nil"/>
            </w:tcBorders>
            <w:vAlign w:val="bottom"/>
          </w:tcPr>
          <w:p w14:paraId="26A1A781" w14:textId="77777777" w:rsidR="00D6576A" w:rsidRPr="00D52B58" w:rsidRDefault="00D6576A" w:rsidP="00A61B64">
            <w:pPr>
              <w:jc w:val="center"/>
              <w:rPr>
                <w:color w:val="000000"/>
              </w:rPr>
            </w:pPr>
            <w:r w:rsidRPr="00D52B58">
              <w:rPr>
                <w:color w:val="000000"/>
              </w:rPr>
              <w:t>100±18.1</w:t>
            </w:r>
          </w:p>
        </w:tc>
        <w:tc>
          <w:tcPr>
            <w:tcW w:w="2069" w:type="dxa"/>
            <w:tcBorders>
              <w:top w:val="nil"/>
              <w:left w:val="nil"/>
              <w:bottom w:val="nil"/>
              <w:right w:val="nil"/>
            </w:tcBorders>
            <w:vAlign w:val="bottom"/>
          </w:tcPr>
          <w:p w14:paraId="22A3B79D" w14:textId="77777777" w:rsidR="00D6576A" w:rsidRPr="00D52B58" w:rsidRDefault="00D6576A" w:rsidP="00A61B64">
            <w:pPr>
              <w:jc w:val="center"/>
              <w:rPr>
                <w:color w:val="000000"/>
              </w:rPr>
            </w:pPr>
            <w:r w:rsidRPr="00D52B58">
              <w:rPr>
                <w:color w:val="000000"/>
              </w:rPr>
              <w:t>182.9±21.9</w:t>
            </w:r>
          </w:p>
        </w:tc>
        <w:tc>
          <w:tcPr>
            <w:tcW w:w="2070" w:type="dxa"/>
            <w:tcBorders>
              <w:top w:val="nil"/>
              <w:left w:val="nil"/>
              <w:bottom w:val="nil"/>
              <w:right w:val="nil"/>
            </w:tcBorders>
            <w:vAlign w:val="bottom"/>
          </w:tcPr>
          <w:p w14:paraId="7DC7BAE7" w14:textId="77777777" w:rsidR="00D6576A" w:rsidRPr="00D52B58" w:rsidRDefault="00D6576A" w:rsidP="00A61B64">
            <w:pPr>
              <w:jc w:val="center"/>
              <w:rPr>
                <w:color w:val="000000"/>
              </w:rPr>
            </w:pPr>
            <w:r w:rsidRPr="00D52B58">
              <w:rPr>
                <w:color w:val="000000"/>
              </w:rPr>
              <w:t>334.5±24.9***</w:t>
            </w:r>
          </w:p>
        </w:tc>
        <w:tc>
          <w:tcPr>
            <w:tcW w:w="2069" w:type="dxa"/>
            <w:tcBorders>
              <w:top w:val="nil"/>
              <w:left w:val="nil"/>
              <w:bottom w:val="nil"/>
              <w:right w:val="nil"/>
            </w:tcBorders>
            <w:vAlign w:val="bottom"/>
          </w:tcPr>
          <w:p w14:paraId="725A2AF3" w14:textId="77777777" w:rsidR="00D6576A" w:rsidRPr="00D52B58" w:rsidRDefault="00D6576A" w:rsidP="00A61B64">
            <w:pPr>
              <w:jc w:val="center"/>
              <w:rPr>
                <w:color w:val="000000"/>
              </w:rPr>
            </w:pPr>
            <w:r w:rsidRPr="00D52B58">
              <w:rPr>
                <w:color w:val="000000"/>
              </w:rPr>
              <w:t>228.5±19.1</w:t>
            </w:r>
          </w:p>
        </w:tc>
        <w:tc>
          <w:tcPr>
            <w:tcW w:w="2070" w:type="dxa"/>
            <w:tcBorders>
              <w:top w:val="nil"/>
              <w:left w:val="nil"/>
              <w:bottom w:val="nil"/>
              <w:right w:val="nil"/>
            </w:tcBorders>
            <w:vAlign w:val="bottom"/>
          </w:tcPr>
          <w:p w14:paraId="082E9003" w14:textId="77777777" w:rsidR="00D6576A" w:rsidRPr="00D52B58" w:rsidRDefault="00D6576A" w:rsidP="00A61B64">
            <w:pPr>
              <w:jc w:val="center"/>
              <w:rPr>
                <w:color w:val="000000"/>
              </w:rPr>
            </w:pPr>
            <w:r w:rsidRPr="00D52B58">
              <w:rPr>
                <w:color w:val="000000"/>
              </w:rPr>
              <w:t>246.4±26.3*</w:t>
            </w:r>
          </w:p>
        </w:tc>
        <w:tc>
          <w:tcPr>
            <w:tcW w:w="1134" w:type="dxa"/>
            <w:tcBorders>
              <w:top w:val="nil"/>
              <w:left w:val="nil"/>
              <w:bottom w:val="nil"/>
              <w:right w:val="nil"/>
            </w:tcBorders>
          </w:tcPr>
          <w:p w14:paraId="7D576D92" w14:textId="77777777" w:rsidR="00D6576A" w:rsidRPr="00D52B58" w:rsidRDefault="00D6576A" w:rsidP="00A61B64">
            <w:pPr>
              <w:jc w:val="center"/>
            </w:pPr>
          </w:p>
          <w:p w14:paraId="1E1379DE" w14:textId="77777777" w:rsidR="00D6576A" w:rsidRPr="00D52B58" w:rsidRDefault="00D6576A" w:rsidP="00A61B64">
            <w:pPr>
              <w:jc w:val="center"/>
            </w:pPr>
            <w:r w:rsidRPr="00D52B58">
              <w:t>0.0001</w:t>
            </w:r>
          </w:p>
        </w:tc>
      </w:tr>
      <w:tr w:rsidR="00D6576A" w:rsidRPr="00D52B58" w14:paraId="513292FC" w14:textId="77777777" w:rsidTr="00A61B64">
        <w:trPr>
          <w:jc w:val="center"/>
        </w:trPr>
        <w:tc>
          <w:tcPr>
            <w:tcW w:w="1701" w:type="dxa"/>
            <w:tcBorders>
              <w:top w:val="nil"/>
              <w:left w:val="nil"/>
              <w:bottom w:val="nil"/>
              <w:right w:val="nil"/>
            </w:tcBorders>
          </w:tcPr>
          <w:p w14:paraId="1746FBD8" w14:textId="77777777" w:rsidR="00D6576A" w:rsidRPr="00D52B58" w:rsidRDefault="00D6576A" w:rsidP="00A61B64">
            <w:r w:rsidRPr="00D52B58">
              <w:t>MCF7</w:t>
            </w:r>
          </w:p>
        </w:tc>
        <w:tc>
          <w:tcPr>
            <w:tcW w:w="2127" w:type="dxa"/>
            <w:tcBorders>
              <w:top w:val="nil"/>
              <w:left w:val="nil"/>
              <w:bottom w:val="nil"/>
              <w:right w:val="nil"/>
            </w:tcBorders>
          </w:tcPr>
          <w:p w14:paraId="193851BB" w14:textId="77777777" w:rsidR="00D6576A" w:rsidRPr="00D52B58" w:rsidRDefault="00D6576A" w:rsidP="00A61B64">
            <w:pPr>
              <w:jc w:val="center"/>
            </w:pPr>
            <w:r>
              <w:t xml:space="preserve">Breast </w:t>
            </w:r>
            <w:r w:rsidRPr="00D52B58">
              <w:t>Adenocarcinoma (ER+)</w:t>
            </w:r>
          </w:p>
        </w:tc>
        <w:tc>
          <w:tcPr>
            <w:tcW w:w="2069" w:type="dxa"/>
            <w:tcBorders>
              <w:top w:val="nil"/>
              <w:left w:val="nil"/>
              <w:bottom w:val="nil"/>
              <w:right w:val="nil"/>
            </w:tcBorders>
            <w:vAlign w:val="bottom"/>
          </w:tcPr>
          <w:p w14:paraId="20A4389F" w14:textId="77777777" w:rsidR="00D6576A" w:rsidRPr="00D52B58" w:rsidRDefault="00D6576A" w:rsidP="00A61B64">
            <w:pPr>
              <w:jc w:val="center"/>
              <w:rPr>
                <w:color w:val="000000"/>
              </w:rPr>
            </w:pPr>
            <w:r w:rsidRPr="00D52B58">
              <w:rPr>
                <w:color w:val="000000"/>
              </w:rPr>
              <w:t>100±10.8</w:t>
            </w:r>
          </w:p>
        </w:tc>
        <w:tc>
          <w:tcPr>
            <w:tcW w:w="2069" w:type="dxa"/>
            <w:tcBorders>
              <w:top w:val="nil"/>
              <w:left w:val="nil"/>
              <w:bottom w:val="nil"/>
              <w:right w:val="nil"/>
            </w:tcBorders>
            <w:vAlign w:val="bottom"/>
          </w:tcPr>
          <w:p w14:paraId="571CDC64" w14:textId="77777777" w:rsidR="00D6576A" w:rsidRPr="00D52B58" w:rsidRDefault="00D6576A" w:rsidP="00A61B64">
            <w:pPr>
              <w:jc w:val="center"/>
              <w:rPr>
                <w:color w:val="000000"/>
              </w:rPr>
            </w:pPr>
            <w:r w:rsidRPr="00D52B58">
              <w:rPr>
                <w:color w:val="000000"/>
              </w:rPr>
              <w:t>106.0±7.8</w:t>
            </w:r>
          </w:p>
        </w:tc>
        <w:tc>
          <w:tcPr>
            <w:tcW w:w="2070" w:type="dxa"/>
            <w:tcBorders>
              <w:top w:val="nil"/>
              <w:left w:val="nil"/>
              <w:bottom w:val="nil"/>
              <w:right w:val="nil"/>
            </w:tcBorders>
            <w:vAlign w:val="bottom"/>
          </w:tcPr>
          <w:p w14:paraId="093FBDC0" w14:textId="77777777" w:rsidR="00D6576A" w:rsidRPr="00D52B58" w:rsidRDefault="00D6576A" w:rsidP="00A61B64">
            <w:pPr>
              <w:jc w:val="center"/>
              <w:rPr>
                <w:color w:val="000000"/>
              </w:rPr>
            </w:pPr>
            <w:r w:rsidRPr="00D52B58">
              <w:rPr>
                <w:color w:val="000000"/>
              </w:rPr>
              <w:t>123.2±12.6</w:t>
            </w:r>
          </w:p>
        </w:tc>
        <w:tc>
          <w:tcPr>
            <w:tcW w:w="2069" w:type="dxa"/>
            <w:tcBorders>
              <w:top w:val="nil"/>
              <w:left w:val="nil"/>
              <w:bottom w:val="nil"/>
              <w:right w:val="nil"/>
            </w:tcBorders>
            <w:vAlign w:val="bottom"/>
          </w:tcPr>
          <w:p w14:paraId="6D5F24EC" w14:textId="77777777" w:rsidR="00D6576A" w:rsidRPr="00D52B58" w:rsidRDefault="00D6576A" w:rsidP="00A61B64">
            <w:pPr>
              <w:jc w:val="center"/>
              <w:rPr>
                <w:color w:val="000000"/>
              </w:rPr>
            </w:pPr>
            <w:r w:rsidRPr="00D52B58">
              <w:rPr>
                <w:color w:val="000000"/>
              </w:rPr>
              <w:t>108.2±8.4</w:t>
            </w:r>
          </w:p>
        </w:tc>
        <w:tc>
          <w:tcPr>
            <w:tcW w:w="2070" w:type="dxa"/>
            <w:tcBorders>
              <w:top w:val="nil"/>
              <w:left w:val="nil"/>
              <w:bottom w:val="nil"/>
              <w:right w:val="nil"/>
            </w:tcBorders>
            <w:vAlign w:val="bottom"/>
          </w:tcPr>
          <w:p w14:paraId="76185815" w14:textId="77777777" w:rsidR="00D6576A" w:rsidRPr="00D52B58" w:rsidRDefault="00D6576A" w:rsidP="00A61B64">
            <w:pPr>
              <w:jc w:val="center"/>
              <w:rPr>
                <w:color w:val="000000"/>
              </w:rPr>
            </w:pPr>
            <w:r w:rsidRPr="00D52B58">
              <w:rPr>
                <w:color w:val="000000"/>
              </w:rPr>
              <w:t>158.0±11.3***</w:t>
            </w:r>
          </w:p>
        </w:tc>
        <w:tc>
          <w:tcPr>
            <w:tcW w:w="1134" w:type="dxa"/>
            <w:tcBorders>
              <w:top w:val="nil"/>
              <w:left w:val="nil"/>
              <w:bottom w:val="nil"/>
              <w:right w:val="nil"/>
            </w:tcBorders>
          </w:tcPr>
          <w:p w14:paraId="1EF822A1" w14:textId="77777777" w:rsidR="00D6576A" w:rsidRPr="00D52B58" w:rsidRDefault="00D6576A" w:rsidP="00A61B64">
            <w:pPr>
              <w:jc w:val="center"/>
            </w:pPr>
          </w:p>
          <w:p w14:paraId="30553DDA" w14:textId="77777777" w:rsidR="00D6576A" w:rsidRPr="00D52B58" w:rsidRDefault="00D6576A" w:rsidP="00A61B64">
            <w:pPr>
              <w:jc w:val="center"/>
            </w:pPr>
            <w:r w:rsidRPr="00D52B58">
              <w:t>0.0024</w:t>
            </w:r>
          </w:p>
        </w:tc>
      </w:tr>
      <w:tr w:rsidR="00D6576A" w:rsidRPr="00D52B58" w14:paraId="77AB09FC" w14:textId="77777777" w:rsidTr="00A61B64">
        <w:trPr>
          <w:jc w:val="center"/>
        </w:trPr>
        <w:tc>
          <w:tcPr>
            <w:tcW w:w="1701" w:type="dxa"/>
            <w:tcBorders>
              <w:top w:val="nil"/>
              <w:left w:val="nil"/>
              <w:bottom w:val="nil"/>
              <w:right w:val="nil"/>
            </w:tcBorders>
          </w:tcPr>
          <w:p w14:paraId="1C3DAFA1" w14:textId="77777777" w:rsidR="00D6576A" w:rsidRPr="00D52B58" w:rsidRDefault="00D6576A" w:rsidP="00A61B64">
            <w:r w:rsidRPr="00D52B58">
              <w:t>MDA-MB-157</w:t>
            </w:r>
          </w:p>
        </w:tc>
        <w:tc>
          <w:tcPr>
            <w:tcW w:w="2127" w:type="dxa"/>
            <w:tcBorders>
              <w:top w:val="nil"/>
              <w:left w:val="nil"/>
              <w:bottom w:val="nil"/>
              <w:right w:val="nil"/>
            </w:tcBorders>
          </w:tcPr>
          <w:p w14:paraId="0587846A" w14:textId="77777777" w:rsidR="00D6576A" w:rsidRPr="00D52B58" w:rsidRDefault="00D6576A" w:rsidP="00A61B64">
            <w:pPr>
              <w:jc w:val="center"/>
            </w:pPr>
            <w:r w:rsidRPr="00D52B58">
              <w:t>Medulla</w:t>
            </w:r>
          </w:p>
          <w:p w14:paraId="3AEF9094" w14:textId="77777777" w:rsidR="00D6576A" w:rsidRPr="00D52B58" w:rsidRDefault="00D6576A" w:rsidP="00A61B64">
            <w:pPr>
              <w:jc w:val="center"/>
            </w:pPr>
            <w:r>
              <w:t xml:space="preserve">Breast </w:t>
            </w:r>
            <w:r w:rsidRPr="00D52B58">
              <w:t>carcinoma</w:t>
            </w:r>
          </w:p>
        </w:tc>
        <w:tc>
          <w:tcPr>
            <w:tcW w:w="2069" w:type="dxa"/>
            <w:tcBorders>
              <w:top w:val="nil"/>
              <w:left w:val="nil"/>
              <w:bottom w:val="nil"/>
              <w:right w:val="nil"/>
            </w:tcBorders>
            <w:vAlign w:val="bottom"/>
          </w:tcPr>
          <w:p w14:paraId="138A4ED7" w14:textId="77777777" w:rsidR="00D6576A" w:rsidRPr="00D52B58" w:rsidRDefault="00D6576A" w:rsidP="00A61B64">
            <w:pPr>
              <w:jc w:val="center"/>
              <w:rPr>
                <w:color w:val="000000"/>
              </w:rPr>
            </w:pPr>
            <w:r w:rsidRPr="00D52B58">
              <w:rPr>
                <w:color w:val="000000"/>
              </w:rPr>
              <w:t>100±4.4</w:t>
            </w:r>
          </w:p>
        </w:tc>
        <w:tc>
          <w:tcPr>
            <w:tcW w:w="2069" w:type="dxa"/>
            <w:tcBorders>
              <w:top w:val="nil"/>
              <w:left w:val="nil"/>
              <w:bottom w:val="nil"/>
              <w:right w:val="nil"/>
            </w:tcBorders>
            <w:vAlign w:val="bottom"/>
          </w:tcPr>
          <w:p w14:paraId="3BFF561D" w14:textId="77777777" w:rsidR="00D6576A" w:rsidRPr="00D52B58" w:rsidRDefault="00D6576A" w:rsidP="00A61B64">
            <w:pPr>
              <w:jc w:val="center"/>
              <w:rPr>
                <w:color w:val="000000"/>
              </w:rPr>
            </w:pPr>
            <w:r w:rsidRPr="00D52B58">
              <w:rPr>
                <w:color w:val="000000"/>
              </w:rPr>
              <w:t>86.6±4.4</w:t>
            </w:r>
          </w:p>
        </w:tc>
        <w:tc>
          <w:tcPr>
            <w:tcW w:w="2070" w:type="dxa"/>
            <w:tcBorders>
              <w:top w:val="nil"/>
              <w:left w:val="nil"/>
              <w:bottom w:val="nil"/>
              <w:right w:val="nil"/>
            </w:tcBorders>
            <w:vAlign w:val="bottom"/>
          </w:tcPr>
          <w:p w14:paraId="4D975F5D" w14:textId="77777777" w:rsidR="00D6576A" w:rsidRPr="00D52B58" w:rsidRDefault="00D6576A" w:rsidP="00A61B64">
            <w:pPr>
              <w:jc w:val="center"/>
              <w:rPr>
                <w:color w:val="000000"/>
              </w:rPr>
            </w:pPr>
            <w:r w:rsidRPr="00D52B58">
              <w:rPr>
                <w:color w:val="000000"/>
              </w:rPr>
              <w:t>72.7±4.6</w:t>
            </w:r>
          </w:p>
        </w:tc>
        <w:tc>
          <w:tcPr>
            <w:tcW w:w="2069" w:type="dxa"/>
            <w:tcBorders>
              <w:top w:val="nil"/>
              <w:left w:val="nil"/>
              <w:bottom w:val="nil"/>
              <w:right w:val="nil"/>
            </w:tcBorders>
            <w:vAlign w:val="bottom"/>
          </w:tcPr>
          <w:p w14:paraId="433261E7" w14:textId="77777777" w:rsidR="00D6576A" w:rsidRPr="00D52B58" w:rsidRDefault="00D6576A" w:rsidP="00A61B64">
            <w:pPr>
              <w:jc w:val="center"/>
              <w:rPr>
                <w:color w:val="000000"/>
              </w:rPr>
            </w:pPr>
            <w:r w:rsidRPr="00D52B58">
              <w:rPr>
                <w:color w:val="000000"/>
              </w:rPr>
              <w:t>71.4±4.9</w:t>
            </w:r>
          </w:p>
        </w:tc>
        <w:tc>
          <w:tcPr>
            <w:tcW w:w="2070" w:type="dxa"/>
            <w:tcBorders>
              <w:top w:val="nil"/>
              <w:left w:val="nil"/>
              <w:bottom w:val="nil"/>
              <w:right w:val="nil"/>
            </w:tcBorders>
            <w:vAlign w:val="bottom"/>
          </w:tcPr>
          <w:p w14:paraId="7EE2C311" w14:textId="77777777" w:rsidR="00D6576A" w:rsidRPr="00D52B58" w:rsidRDefault="00D6576A" w:rsidP="00A61B64">
            <w:pPr>
              <w:jc w:val="center"/>
              <w:rPr>
                <w:color w:val="000000"/>
              </w:rPr>
            </w:pPr>
            <w:r w:rsidRPr="00D52B58">
              <w:rPr>
                <w:color w:val="000000"/>
              </w:rPr>
              <w:t>62.2±2.0**</w:t>
            </w:r>
          </w:p>
        </w:tc>
        <w:tc>
          <w:tcPr>
            <w:tcW w:w="1134" w:type="dxa"/>
            <w:tcBorders>
              <w:top w:val="nil"/>
              <w:left w:val="nil"/>
              <w:bottom w:val="nil"/>
              <w:right w:val="nil"/>
            </w:tcBorders>
          </w:tcPr>
          <w:p w14:paraId="5C624F72" w14:textId="77777777" w:rsidR="00D6576A" w:rsidRPr="00D52B58" w:rsidRDefault="00D6576A" w:rsidP="00A61B64">
            <w:pPr>
              <w:jc w:val="center"/>
            </w:pPr>
          </w:p>
          <w:p w14:paraId="428EB463" w14:textId="77777777" w:rsidR="00D6576A" w:rsidRPr="00D52B58" w:rsidRDefault="00D6576A" w:rsidP="00A61B64">
            <w:pPr>
              <w:jc w:val="center"/>
            </w:pPr>
            <w:r w:rsidRPr="00D52B58">
              <w:t>0.0029</w:t>
            </w:r>
          </w:p>
        </w:tc>
      </w:tr>
      <w:tr w:rsidR="00D6576A" w:rsidRPr="00D52B58" w14:paraId="661AC7DB" w14:textId="77777777" w:rsidTr="00A61B64">
        <w:trPr>
          <w:jc w:val="center"/>
        </w:trPr>
        <w:tc>
          <w:tcPr>
            <w:tcW w:w="1701" w:type="dxa"/>
            <w:tcBorders>
              <w:top w:val="nil"/>
              <w:left w:val="nil"/>
              <w:bottom w:val="nil"/>
              <w:right w:val="nil"/>
            </w:tcBorders>
          </w:tcPr>
          <w:p w14:paraId="77AB0872" w14:textId="77777777" w:rsidR="00D6576A" w:rsidRPr="00D52B58" w:rsidRDefault="00D6576A" w:rsidP="00A61B64">
            <w:r w:rsidRPr="00D52B58">
              <w:t>MDA-MB-231</w:t>
            </w:r>
          </w:p>
        </w:tc>
        <w:tc>
          <w:tcPr>
            <w:tcW w:w="2127" w:type="dxa"/>
            <w:tcBorders>
              <w:top w:val="nil"/>
              <w:left w:val="nil"/>
              <w:bottom w:val="nil"/>
              <w:right w:val="nil"/>
            </w:tcBorders>
          </w:tcPr>
          <w:p w14:paraId="77700003" w14:textId="77777777" w:rsidR="00D6576A" w:rsidRPr="00D52B58" w:rsidRDefault="00D6576A" w:rsidP="00A61B64">
            <w:pPr>
              <w:jc w:val="center"/>
            </w:pPr>
            <w:r>
              <w:t xml:space="preserve">Breast </w:t>
            </w:r>
            <w:r w:rsidRPr="00D52B58">
              <w:t>Adenocarcinoma</w:t>
            </w:r>
          </w:p>
        </w:tc>
        <w:tc>
          <w:tcPr>
            <w:tcW w:w="2069" w:type="dxa"/>
            <w:tcBorders>
              <w:top w:val="nil"/>
              <w:left w:val="nil"/>
              <w:bottom w:val="nil"/>
              <w:right w:val="nil"/>
            </w:tcBorders>
            <w:vAlign w:val="bottom"/>
          </w:tcPr>
          <w:p w14:paraId="1EBD6402" w14:textId="77777777" w:rsidR="00D6576A" w:rsidRPr="00D52B58" w:rsidRDefault="00D6576A" w:rsidP="00A61B64">
            <w:pPr>
              <w:jc w:val="center"/>
              <w:rPr>
                <w:color w:val="000000"/>
              </w:rPr>
            </w:pPr>
            <w:r w:rsidRPr="00D52B58">
              <w:rPr>
                <w:color w:val="000000"/>
              </w:rPr>
              <w:t>100±9.6</w:t>
            </w:r>
          </w:p>
        </w:tc>
        <w:tc>
          <w:tcPr>
            <w:tcW w:w="2069" w:type="dxa"/>
            <w:tcBorders>
              <w:top w:val="nil"/>
              <w:left w:val="nil"/>
              <w:bottom w:val="nil"/>
              <w:right w:val="nil"/>
            </w:tcBorders>
            <w:vAlign w:val="bottom"/>
          </w:tcPr>
          <w:p w14:paraId="62B27060" w14:textId="77777777" w:rsidR="00D6576A" w:rsidRPr="00D52B58" w:rsidRDefault="00D6576A" w:rsidP="00A61B64">
            <w:pPr>
              <w:jc w:val="center"/>
              <w:rPr>
                <w:color w:val="000000"/>
              </w:rPr>
            </w:pPr>
            <w:r w:rsidRPr="00D52B58">
              <w:rPr>
                <w:color w:val="000000"/>
              </w:rPr>
              <w:t>127.9±14.0</w:t>
            </w:r>
          </w:p>
        </w:tc>
        <w:tc>
          <w:tcPr>
            <w:tcW w:w="2070" w:type="dxa"/>
            <w:tcBorders>
              <w:top w:val="nil"/>
              <w:left w:val="nil"/>
              <w:bottom w:val="nil"/>
              <w:right w:val="nil"/>
            </w:tcBorders>
            <w:vAlign w:val="bottom"/>
          </w:tcPr>
          <w:p w14:paraId="728DEFEF" w14:textId="77777777" w:rsidR="00D6576A" w:rsidRPr="00D52B58" w:rsidRDefault="00D6576A" w:rsidP="00A61B64">
            <w:pPr>
              <w:jc w:val="center"/>
              <w:rPr>
                <w:color w:val="000000"/>
              </w:rPr>
            </w:pPr>
            <w:r w:rsidRPr="00D52B58">
              <w:rPr>
                <w:color w:val="000000"/>
              </w:rPr>
              <w:t>110.7±9.8</w:t>
            </w:r>
          </w:p>
        </w:tc>
        <w:tc>
          <w:tcPr>
            <w:tcW w:w="2069" w:type="dxa"/>
            <w:tcBorders>
              <w:top w:val="nil"/>
              <w:left w:val="nil"/>
              <w:bottom w:val="nil"/>
              <w:right w:val="nil"/>
            </w:tcBorders>
            <w:vAlign w:val="bottom"/>
          </w:tcPr>
          <w:p w14:paraId="4A3A9497" w14:textId="77777777" w:rsidR="00D6576A" w:rsidRPr="00D52B58" w:rsidRDefault="00D6576A" w:rsidP="00A61B64">
            <w:pPr>
              <w:jc w:val="center"/>
              <w:rPr>
                <w:color w:val="000000"/>
              </w:rPr>
            </w:pPr>
            <w:r w:rsidRPr="00D52B58">
              <w:rPr>
                <w:color w:val="000000"/>
              </w:rPr>
              <w:t>74.6±10.9</w:t>
            </w:r>
          </w:p>
        </w:tc>
        <w:tc>
          <w:tcPr>
            <w:tcW w:w="2070" w:type="dxa"/>
            <w:tcBorders>
              <w:top w:val="nil"/>
              <w:left w:val="nil"/>
              <w:bottom w:val="nil"/>
              <w:right w:val="nil"/>
            </w:tcBorders>
            <w:vAlign w:val="bottom"/>
          </w:tcPr>
          <w:p w14:paraId="44634CEE" w14:textId="77777777" w:rsidR="00D6576A" w:rsidRPr="00D52B58" w:rsidRDefault="00D6576A" w:rsidP="00A61B64">
            <w:pPr>
              <w:jc w:val="center"/>
              <w:rPr>
                <w:color w:val="000000"/>
              </w:rPr>
            </w:pPr>
            <w:r w:rsidRPr="00D52B58">
              <w:rPr>
                <w:color w:val="000000"/>
              </w:rPr>
              <w:t>105.6±8.8</w:t>
            </w:r>
          </w:p>
        </w:tc>
        <w:tc>
          <w:tcPr>
            <w:tcW w:w="1134" w:type="dxa"/>
            <w:tcBorders>
              <w:top w:val="nil"/>
              <w:left w:val="nil"/>
              <w:bottom w:val="nil"/>
              <w:right w:val="nil"/>
            </w:tcBorders>
          </w:tcPr>
          <w:p w14:paraId="308B2BC4" w14:textId="77777777" w:rsidR="00D6576A" w:rsidRPr="00D52B58" w:rsidRDefault="00D6576A" w:rsidP="00A61B64">
            <w:pPr>
              <w:jc w:val="center"/>
            </w:pPr>
            <w:r w:rsidRPr="00D52B58">
              <w:t>0.023</w:t>
            </w:r>
          </w:p>
        </w:tc>
      </w:tr>
      <w:tr w:rsidR="00D6576A" w:rsidRPr="00D52B58" w14:paraId="4DD8545B" w14:textId="77777777" w:rsidTr="00A61B64">
        <w:trPr>
          <w:jc w:val="center"/>
        </w:trPr>
        <w:tc>
          <w:tcPr>
            <w:tcW w:w="1701" w:type="dxa"/>
            <w:tcBorders>
              <w:top w:val="nil"/>
              <w:left w:val="nil"/>
              <w:bottom w:val="nil"/>
              <w:right w:val="nil"/>
            </w:tcBorders>
          </w:tcPr>
          <w:p w14:paraId="2C720B9B" w14:textId="77777777" w:rsidR="00D6576A" w:rsidRPr="00D52B58" w:rsidRDefault="00D6576A" w:rsidP="00A61B64">
            <w:r w:rsidRPr="00D52B58">
              <w:t>MCF10a</w:t>
            </w:r>
          </w:p>
        </w:tc>
        <w:tc>
          <w:tcPr>
            <w:tcW w:w="2127" w:type="dxa"/>
            <w:tcBorders>
              <w:top w:val="nil"/>
              <w:left w:val="nil"/>
              <w:bottom w:val="nil"/>
              <w:right w:val="nil"/>
            </w:tcBorders>
          </w:tcPr>
          <w:p w14:paraId="2E33F421" w14:textId="77777777" w:rsidR="00D6576A" w:rsidRPr="00D52B58" w:rsidRDefault="00D6576A" w:rsidP="00A61B64">
            <w:pPr>
              <w:jc w:val="center"/>
            </w:pPr>
            <w:r>
              <w:t xml:space="preserve">Immortalised breast </w:t>
            </w:r>
          </w:p>
          <w:p w14:paraId="1A296005" w14:textId="77777777" w:rsidR="00D6576A" w:rsidRPr="00D52B58" w:rsidRDefault="00D6576A" w:rsidP="00A61B64">
            <w:pPr>
              <w:jc w:val="center"/>
            </w:pPr>
            <w:r w:rsidRPr="00D52B58">
              <w:t>epithelial</w:t>
            </w:r>
          </w:p>
        </w:tc>
        <w:tc>
          <w:tcPr>
            <w:tcW w:w="2069" w:type="dxa"/>
            <w:tcBorders>
              <w:top w:val="nil"/>
              <w:left w:val="nil"/>
              <w:bottom w:val="nil"/>
              <w:right w:val="nil"/>
            </w:tcBorders>
          </w:tcPr>
          <w:p w14:paraId="405564FA" w14:textId="77777777" w:rsidR="00D6576A" w:rsidRPr="00D52B58" w:rsidRDefault="00D6576A" w:rsidP="00A61B64">
            <w:pPr>
              <w:jc w:val="center"/>
            </w:pPr>
          </w:p>
          <w:p w14:paraId="270F9766" w14:textId="77777777" w:rsidR="00D6576A" w:rsidRPr="00D52B58" w:rsidRDefault="00D6576A" w:rsidP="00A61B64">
            <w:pPr>
              <w:jc w:val="center"/>
            </w:pPr>
            <w:r w:rsidRPr="00D52B58">
              <w:t>ND</w:t>
            </w:r>
          </w:p>
        </w:tc>
        <w:tc>
          <w:tcPr>
            <w:tcW w:w="2069" w:type="dxa"/>
            <w:tcBorders>
              <w:top w:val="nil"/>
              <w:left w:val="nil"/>
              <w:bottom w:val="nil"/>
              <w:right w:val="nil"/>
            </w:tcBorders>
          </w:tcPr>
          <w:p w14:paraId="1C2FEFF6" w14:textId="77777777" w:rsidR="00D6576A" w:rsidRPr="00D52B58" w:rsidRDefault="00D6576A" w:rsidP="00A61B64">
            <w:pPr>
              <w:jc w:val="center"/>
            </w:pPr>
          </w:p>
          <w:p w14:paraId="761563EA" w14:textId="77777777" w:rsidR="00D6576A" w:rsidRPr="00D52B58" w:rsidRDefault="00D6576A" w:rsidP="00A61B64">
            <w:pPr>
              <w:jc w:val="center"/>
            </w:pPr>
            <w:r w:rsidRPr="00D52B58">
              <w:t>ND</w:t>
            </w:r>
          </w:p>
        </w:tc>
        <w:tc>
          <w:tcPr>
            <w:tcW w:w="2070" w:type="dxa"/>
            <w:tcBorders>
              <w:top w:val="nil"/>
              <w:left w:val="nil"/>
              <w:bottom w:val="nil"/>
              <w:right w:val="nil"/>
            </w:tcBorders>
          </w:tcPr>
          <w:p w14:paraId="2DA70703" w14:textId="77777777" w:rsidR="00D6576A" w:rsidRPr="00D52B58" w:rsidRDefault="00D6576A" w:rsidP="00A61B64">
            <w:pPr>
              <w:jc w:val="center"/>
            </w:pPr>
          </w:p>
          <w:p w14:paraId="7BC4D36E" w14:textId="77777777" w:rsidR="00D6576A" w:rsidRPr="00D52B58" w:rsidRDefault="00D6576A" w:rsidP="00A61B64">
            <w:pPr>
              <w:jc w:val="center"/>
            </w:pPr>
            <w:r w:rsidRPr="00D52B58">
              <w:t>ND</w:t>
            </w:r>
          </w:p>
        </w:tc>
        <w:tc>
          <w:tcPr>
            <w:tcW w:w="2069" w:type="dxa"/>
            <w:tcBorders>
              <w:top w:val="nil"/>
              <w:left w:val="nil"/>
              <w:bottom w:val="nil"/>
              <w:right w:val="nil"/>
            </w:tcBorders>
          </w:tcPr>
          <w:p w14:paraId="48F01EE4" w14:textId="77777777" w:rsidR="00D6576A" w:rsidRPr="00D52B58" w:rsidRDefault="00D6576A" w:rsidP="00A61B64">
            <w:pPr>
              <w:jc w:val="center"/>
            </w:pPr>
          </w:p>
          <w:p w14:paraId="3EDDFB74" w14:textId="77777777" w:rsidR="00D6576A" w:rsidRPr="00D52B58" w:rsidRDefault="00D6576A" w:rsidP="00A61B64">
            <w:pPr>
              <w:jc w:val="center"/>
            </w:pPr>
            <w:r w:rsidRPr="00D52B58">
              <w:t>ND</w:t>
            </w:r>
          </w:p>
        </w:tc>
        <w:tc>
          <w:tcPr>
            <w:tcW w:w="2070" w:type="dxa"/>
            <w:tcBorders>
              <w:top w:val="nil"/>
              <w:left w:val="nil"/>
              <w:bottom w:val="nil"/>
              <w:right w:val="nil"/>
            </w:tcBorders>
          </w:tcPr>
          <w:p w14:paraId="650456D2" w14:textId="77777777" w:rsidR="00D6576A" w:rsidRPr="00D52B58" w:rsidRDefault="00D6576A" w:rsidP="00A61B64">
            <w:pPr>
              <w:jc w:val="center"/>
            </w:pPr>
          </w:p>
          <w:p w14:paraId="7283B3A4" w14:textId="77777777" w:rsidR="00D6576A" w:rsidRPr="00D52B58" w:rsidRDefault="00D6576A" w:rsidP="00A61B64">
            <w:pPr>
              <w:jc w:val="center"/>
            </w:pPr>
            <w:r w:rsidRPr="00D52B58">
              <w:t>ND</w:t>
            </w:r>
          </w:p>
        </w:tc>
        <w:tc>
          <w:tcPr>
            <w:tcW w:w="1134" w:type="dxa"/>
            <w:tcBorders>
              <w:top w:val="nil"/>
              <w:left w:val="nil"/>
              <w:bottom w:val="nil"/>
              <w:right w:val="nil"/>
            </w:tcBorders>
          </w:tcPr>
          <w:p w14:paraId="418F965C" w14:textId="77777777" w:rsidR="00D6576A" w:rsidRPr="00D52B58" w:rsidRDefault="00D6576A" w:rsidP="00A61B64">
            <w:pPr>
              <w:jc w:val="center"/>
            </w:pPr>
          </w:p>
          <w:p w14:paraId="3C8823F5" w14:textId="77777777" w:rsidR="00D6576A" w:rsidRPr="00D52B58" w:rsidRDefault="00D6576A" w:rsidP="00A61B64">
            <w:pPr>
              <w:jc w:val="center"/>
            </w:pPr>
            <w:r w:rsidRPr="00D52B58">
              <w:t>ND</w:t>
            </w:r>
          </w:p>
        </w:tc>
      </w:tr>
      <w:tr w:rsidR="00D6576A" w:rsidRPr="00D52B58" w14:paraId="63C68135" w14:textId="77777777" w:rsidTr="00A61B64">
        <w:trPr>
          <w:jc w:val="center"/>
        </w:trPr>
        <w:tc>
          <w:tcPr>
            <w:tcW w:w="15309" w:type="dxa"/>
            <w:gridSpan w:val="8"/>
            <w:tcBorders>
              <w:top w:val="nil"/>
              <w:left w:val="nil"/>
              <w:bottom w:val="nil"/>
              <w:right w:val="nil"/>
            </w:tcBorders>
          </w:tcPr>
          <w:p w14:paraId="7F29058A" w14:textId="77777777" w:rsidR="00D6576A" w:rsidRPr="00D52B58" w:rsidRDefault="00D6576A" w:rsidP="00A61B64">
            <w:pPr>
              <w:jc w:val="center"/>
            </w:pPr>
            <w:r w:rsidRPr="00D52B58">
              <w:t>Ovarian</w:t>
            </w:r>
          </w:p>
        </w:tc>
      </w:tr>
      <w:tr w:rsidR="00D6576A" w:rsidRPr="00D52B58" w14:paraId="394F9A33" w14:textId="77777777" w:rsidTr="00A61B64">
        <w:trPr>
          <w:jc w:val="center"/>
        </w:trPr>
        <w:tc>
          <w:tcPr>
            <w:tcW w:w="1701" w:type="dxa"/>
            <w:tcBorders>
              <w:top w:val="nil"/>
              <w:left w:val="nil"/>
              <w:bottom w:val="nil"/>
              <w:right w:val="nil"/>
            </w:tcBorders>
          </w:tcPr>
          <w:p w14:paraId="5157B4AE" w14:textId="77777777" w:rsidR="00D6576A" w:rsidRPr="00D52B58" w:rsidRDefault="00D6576A" w:rsidP="00A61B64">
            <w:r w:rsidRPr="00D52B58">
              <w:t>A2780</w:t>
            </w:r>
          </w:p>
        </w:tc>
        <w:tc>
          <w:tcPr>
            <w:tcW w:w="2127" w:type="dxa"/>
            <w:tcBorders>
              <w:top w:val="nil"/>
              <w:left w:val="nil"/>
              <w:bottom w:val="nil"/>
              <w:right w:val="nil"/>
            </w:tcBorders>
          </w:tcPr>
          <w:p w14:paraId="2CBB5CAA" w14:textId="77777777" w:rsidR="00D6576A" w:rsidRPr="00D52B58" w:rsidRDefault="00D6576A" w:rsidP="00A61B64">
            <w:pPr>
              <w:jc w:val="center"/>
            </w:pPr>
            <w:r w:rsidRPr="00D52B58">
              <w:t>Serous</w:t>
            </w:r>
          </w:p>
          <w:p w14:paraId="2ADEBD5A" w14:textId="77777777" w:rsidR="00D6576A" w:rsidRPr="00D52B58" w:rsidRDefault="00D6576A" w:rsidP="00A61B64">
            <w:pPr>
              <w:jc w:val="center"/>
            </w:pPr>
            <w:r w:rsidRPr="00D52B58">
              <w:t>carcinoma</w:t>
            </w:r>
          </w:p>
        </w:tc>
        <w:tc>
          <w:tcPr>
            <w:tcW w:w="10347" w:type="dxa"/>
            <w:gridSpan w:val="5"/>
            <w:tcBorders>
              <w:top w:val="nil"/>
              <w:left w:val="nil"/>
              <w:bottom w:val="nil"/>
              <w:right w:val="nil"/>
            </w:tcBorders>
          </w:tcPr>
          <w:p w14:paraId="3E12E622" w14:textId="77777777" w:rsidR="00D6576A" w:rsidRPr="00D52B58" w:rsidRDefault="00D6576A" w:rsidP="00A61B64">
            <w:pPr>
              <w:jc w:val="center"/>
            </w:pPr>
          </w:p>
          <w:p w14:paraId="76138848" w14:textId="77777777" w:rsidR="00D6576A" w:rsidRPr="00D52B58" w:rsidRDefault="00D6576A" w:rsidP="00A61B64">
            <w:pPr>
              <w:jc w:val="center"/>
            </w:pPr>
            <w:r w:rsidRPr="00D52B58">
              <w:t>Undetectable</w:t>
            </w:r>
          </w:p>
        </w:tc>
        <w:tc>
          <w:tcPr>
            <w:tcW w:w="1134" w:type="dxa"/>
            <w:tcBorders>
              <w:top w:val="nil"/>
              <w:left w:val="nil"/>
              <w:bottom w:val="nil"/>
              <w:right w:val="nil"/>
            </w:tcBorders>
          </w:tcPr>
          <w:p w14:paraId="66601B81" w14:textId="77777777" w:rsidR="00D6576A" w:rsidRPr="00D52B58" w:rsidRDefault="00D6576A" w:rsidP="00A61B64">
            <w:pPr>
              <w:jc w:val="center"/>
            </w:pPr>
          </w:p>
          <w:p w14:paraId="100C0CB1" w14:textId="77777777" w:rsidR="00D6576A" w:rsidRPr="00D52B58" w:rsidRDefault="00D6576A" w:rsidP="00A61B64">
            <w:pPr>
              <w:jc w:val="center"/>
            </w:pPr>
            <w:r w:rsidRPr="00D52B58">
              <w:t>ND</w:t>
            </w:r>
          </w:p>
        </w:tc>
      </w:tr>
      <w:tr w:rsidR="00D6576A" w:rsidRPr="00D52B58" w14:paraId="680FD4A5" w14:textId="77777777" w:rsidTr="00A61B64">
        <w:trPr>
          <w:jc w:val="center"/>
        </w:trPr>
        <w:tc>
          <w:tcPr>
            <w:tcW w:w="1701" w:type="dxa"/>
            <w:tcBorders>
              <w:top w:val="nil"/>
              <w:left w:val="nil"/>
              <w:bottom w:val="nil"/>
              <w:right w:val="nil"/>
            </w:tcBorders>
          </w:tcPr>
          <w:p w14:paraId="3DDB5D56" w14:textId="77777777" w:rsidR="00D6576A" w:rsidRPr="00D52B58" w:rsidRDefault="00D6576A" w:rsidP="00A61B64">
            <w:r w:rsidRPr="00D52B58">
              <w:t>COV434</w:t>
            </w:r>
          </w:p>
        </w:tc>
        <w:tc>
          <w:tcPr>
            <w:tcW w:w="2127" w:type="dxa"/>
            <w:tcBorders>
              <w:top w:val="nil"/>
              <w:left w:val="nil"/>
              <w:bottom w:val="nil"/>
              <w:right w:val="nil"/>
            </w:tcBorders>
          </w:tcPr>
          <w:p w14:paraId="239878AC" w14:textId="77777777" w:rsidR="00D6576A" w:rsidRPr="00D52B58" w:rsidRDefault="00D6576A" w:rsidP="00A61B64">
            <w:pPr>
              <w:jc w:val="center"/>
            </w:pPr>
            <w:r w:rsidRPr="00D52B58">
              <w:t>Granulosa</w:t>
            </w:r>
          </w:p>
          <w:p w14:paraId="2B5A1C74" w14:textId="77777777" w:rsidR="00D6576A" w:rsidRPr="00D52B58" w:rsidRDefault="00D6576A" w:rsidP="00A61B64">
            <w:pPr>
              <w:jc w:val="center"/>
            </w:pPr>
            <w:r w:rsidRPr="00D52B58">
              <w:t>carcinoma</w:t>
            </w:r>
          </w:p>
        </w:tc>
        <w:tc>
          <w:tcPr>
            <w:tcW w:w="10347" w:type="dxa"/>
            <w:gridSpan w:val="5"/>
            <w:tcBorders>
              <w:top w:val="nil"/>
              <w:left w:val="nil"/>
              <w:bottom w:val="nil"/>
              <w:right w:val="nil"/>
            </w:tcBorders>
          </w:tcPr>
          <w:p w14:paraId="3B0249EF" w14:textId="77777777" w:rsidR="00D6576A" w:rsidRPr="00D52B58" w:rsidRDefault="00D6576A" w:rsidP="00A61B64">
            <w:pPr>
              <w:jc w:val="center"/>
            </w:pPr>
          </w:p>
          <w:p w14:paraId="61DB2DB7" w14:textId="77777777" w:rsidR="00D6576A" w:rsidRPr="00D52B58" w:rsidRDefault="00D6576A" w:rsidP="00A61B64">
            <w:pPr>
              <w:jc w:val="center"/>
            </w:pPr>
            <w:r w:rsidRPr="00D52B58">
              <w:t>Undetectable</w:t>
            </w:r>
          </w:p>
        </w:tc>
        <w:tc>
          <w:tcPr>
            <w:tcW w:w="1134" w:type="dxa"/>
            <w:tcBorders>
              <w:top w:val="nil"/>
              <w:left w:val="nil"/>
              <w:bottom w:val="nil"/>
              <w:right w:val="nil"/>
            </w:tcBorders>
          </w:tcPr>
          <w:p w14:paraId="3075A1CB" w14:textId="77777777" w:rsidR="00D6576A" w:rsidRPr="00D52B58" w:rsidRDefault="00D6576A" w:rsidP="00A61B64">
            <w:pPr>
              <w:jc w:val="center"/>
            </w:pPr>
          </w:p>
          <w:p w14:paraId="2BCCBA32" w14:textId="77777777" w:rsidR="00D6576A" w:rsidRPr="00D52B58" w:rsidRDefault="00D6576A" w:rsidP="00A61B64">
            <w:pPr>
              <w:jc w:val="center"/>
            </w:pPr>
            <w:r w:rsidRPr="00D52B58">
              <w:t>ND</w:t>
            </w:r>
          </w:p>
        </w:tc>
      </w:tr>
      <w:tr w:rsidR="00D6576A" w:rsidRPr="00D52B58" w14:paraId="65840B46" w14:textId="77777777" w:rsidTr="00A61B64">
        <w:trPr>
          <w:jc w:val="center"/>
        </w:trPr>
        <w:tc>
          <w:tcPr>
            <w:tcW w:w="1701" w:type="dxa"/>
            <w:tcBorders>
              <w:top w:val="nil"/>
              <w:left w:val="nil"/>
              <w:bottom w:val="nil"/>
              <w:right w:val="nil"/>
            </w:tcBorders>
          </w:tcPr>
          <w:p w14:paraId="425DBEE5" w14:textId="77777777" w:rsidR="00D6576A" w:rsidRPr="00D52B58" w:rsidRDefault="00D6576A" w:rsidP="00A61B64">
            <w:r w:rsidRPr="00D52B58">
              <w:t>PEA1</w:t>
            </w:r>
          </w:p>
        </w:tc>
        <w:tc>
          <w:tcPr>
            <w:tcW w:w="2127" w:type="dxa"/>
            <w:tcBorders>
              <w:top w:val="nil"/>
              <w:left w:val="nil"/>
              <w:bottom w:val="nil"/>
              <w:right w:val="nil"/>
            </w:tcBorders>
          </w:tcPr>
          <w:p w14:paraId="217121D2" w14:textId="77777777" w:rsidR="00D6576A" w:rsidRPr="00D52B58" w:rsidRDefault="00D6576A" w:rsidP="00A61B64">
            <w:pPr>
              <w:jc w:val="center"/>
            </w:pPr>
            <w:r w:rsidRPr="00D52B58">
              <w:t>Serous carcinoma (ER+)</w:t>
            </w:r>
          </w:p>
        </w:tc>
        <w:tc>
          <w:tcPr>
            <w:tcW w:w="10347" w:type="dxa"/>
            <w:gridSpan w:val="5"/>
            <w:tcBorders>
              <w:top w:val="nil"/>
              <w:left w:val="nil"/>
              <w:bottom w:val="nil"/>
              <w:right w:val="nil"/>
            </w:tcBorders>
          </w:tcPr>
          <w:p w14:paraId="0C2B4BD6" w14:textId="77777777" w:rsidR="00D6576A" w:rsidRPr="00D52B58" w:rsidRDefault="00D6576A" w:rsidP="00A61B64">
            <w:pPr>
              <w:jc w:val="center"/>
            </w:pPr>
          </w:p>
          <w:p w14:paraId="7408FC59" w14:textId="77777777" w:rsidR="00D6576A" w:rsidRPr="00D52B58" w:rsidRDefault="00D6576A" w:rsidP="00A61B64">
            <w:pPr>
              <w:jc w:val="center"/>
            </w:pPr>
            <w:r w:rsidRPr="00D52B58">
              <w:t>Undetectable</w:t>
            </w:r>
          </w:p>
        </w:tc>
        <w:tc>
          <w:tcPr>
            <w:tcW w:w="1134" w:type="dxa"/>
            <w:tcBorders>
              <w:top w:val="nil"/>
              <w:left w:val="nil"/>
              <w:bottom w:val="nil"/>
              <w:right w:val="nil"/>
            </w:tcBorders>
          </w:tcPr>
          <w:p w14:paraId="17C5D799" w14:textId="77777777" w:rsidR="00D6576A" w:rsidRPr="00D52B58" w:rsidRDefault="00D6576A" w:rsidP="00A61B64">
            <w:pPr>
              <w:jc w:val="center"/>
            </w:pPr>
          </w:p>
          <w:p w14:paraId="1BECC667" w14:textId="77777777" w:rsidR="00D6576A" w:rsidRPr="00D52B58" w:rsidRDefault="00D6576A" w:rsidP="00A61B64">
            <w:pPr>
              <w:jc w:val="center"/>
            </w:pPr>
            <w:r w:rsidRPr="00D52B58">
              <w:t>ND</w:t>
            </w:r>
          </w:p>
        </w:tc>
      </w:tr>
      <w:tr w:rsidR="00D6576A" w:rsidRPr="00D52B58" w14:paraId="5038DBE0" w14:textId="77777777" w:rsidTr="00A61B64">
        <w:trPr>
          <w:jc w:val="center"/>
        </w:trPr>
        <w:tc>
          <w:tcPr>
            <w:tcW w:w="15309" w:type="dxa"/>
            <w:gridSpan w:val="8"/>
            <w:tcBorders>
              <w:top w:val="nil"/>
              <w:left w:val="nil"/>
              <w:bottom w:val="nil"/>
              <w:right w:val="nil"/>
            </w:tcBorders>
          </w:tcPr>
          <w:p w14:paraId="15B15C91" w14:textId="77777777" w:rsidR="00D6576A" w:rsidRPr="00D52B58" w:rsidRDefault="00D6576A" w:rsidP="00A61B64">
            <w:pPr>
              <w:jc w:val="center"/>
            </w:pPr>
            <w:r w:rsidRPr="00D52B58">
              <w:t>Leukocyte</w:t>
            </w:r>
          </w:p>
        </w:tc>
      </w:tr>
      <w:tr w:rsidR="00D6576A" w:rsidRPr="00D52B58" w14:paraId="001460A8" w14:textId="77777777" w:rsidTr="00A61B64">
        <w:trPr>
          <w:jc w:val="center"/>
        </w:trPr>
        <w:tc>
          <w:tcPr>
            <w:tcW w:w="1701" w:type="dxa"/>
            <w:tcBorders>
              <w:top w:val="nil"/>
              <w:left w:val="nil"/>
              <w:bottom w:val="nil"/>
              <w:right w:val="nil"/>
            </w:tcBorders>
          </w:tcPr>
          <w:p w14:paraId="3057F8DE" w14:textId="77777777" w:rsidR="00D6576A" w:rsidRPr="00D52B58" w:rsidRDefault="00D6576A" w:rsidP="00A61B64">
            <w:r w:rsidRPr="00D52B58">
              <w:t>PBMC</w:t>
            </w:r>
          </w:p>
        </w:tc>
        <w:tc>
          <w:tcPr>
            <w:tcW w:w="2127" w:type="dxa"/>
            <w:tcBorders>
              <w:top w:val="nil"/>
              <w:left w:val="nil"/>
              <w:bottom w:val="nil"/>
              <w:right w:val="nil"/>
            </w:tcBorders>
          </w:tcPr>
          <w:p w14:paraId="39F323FB" w14:textId="77777777" w:rsidR="00D6576A" w:rsidRPr="00D52B58" w:rsidRDefault="00D6576A" w:rsidP="00A61B64">
            <w:pPr>
              <w:jc w:val="center"/>
            </w:pPr>
            <w:r w:rsidRPr="00D52B58">
              <w:t>Primary</w:t>
            </w:r>
          </w:p>
        </w:tc>
        <w:tc>
          <w:tcPr>
            <w:tcW w:w="2069" w:type="dxa"/>
            <w:tcBorders>
              <w:top w:val="nil"/>
              <w:left w:val="nil"/>
              <w:bottom w:val="nil"/>
              <w:right w:val="nil"/>
            </w:tcBorders>
            <w:vAlign w:val="bottom"/>
          </w:tcPr>
          <w:p w14:paraId="3FB82B07" w14:textId="77777777" w:rsidR="00D6576A" w:rsidRPr="00D52B58" w:rsidRDefault="00D6576A" w:rsidP="00A61B64">
            <w:pPr>
              <w:jc w:val="center"/>
              <w:rPr>
                <w:color w:val="000000"/>
              </w:rPr>
            </w:pPr>
            <w:r w:rsidRPr="00D52B58">
              <w:rPr>
                <w:color w:val="000000"/>
              </w:rPr>
              <w:t>100±23.4</w:t>
            </w:r>
          </w:p>
        </w:tc>
        <w:tc>
          <w:tcPr>
            <w:tcW w:w="2069" w:type="dxa"/>
            <w:tcBorders>
              <w:top w:val="nil"/>
              <w:left w:val="nil"/>
              <w:bottom w:val="nil"/>
              <w:right w:val="nil"/>
            </w:tcBorders>
            <w:vAlign w:val="bottom"/>
          </w:tcPr>
          <w:p w14:paraId="17577307" w14:textId="77777777" w:rsidR="00D6576A" w:rsidRPr="00D52B58" w:rsidRDefault="00D6576A" w:rsidP="00A61B64">
            <w:pPr>
              <w:jc w:val="center"/>
              <w:rPr>
                <w:color w:val="000000"/>
              </w:rPr>
            </w:pPr>
            <w:r w:rsidRPr="00D52B58">
              <w:rPr>
                <w:color w:val="000000"/>
              </w:rPr>
              <w:t>142.4±15.8</w:t>
            </w:r>
          </w:p>
        </w:tc>
        <w:tc>
          <w:tcPr>
            <w:tcW w:w="2070" w:type="dxa"/>
            <w:tcBorders>
              <w:top w:val="nil"/>
              <w:left w:val="nil"/>
              <w:bottom w:val="nil"/>
              <w:right w:val="nil"/>
            </w:tcBorders>
            <w:vAlign w:val="bottom"/>
          </w:tcPr>
          <w:p w14:paraId="10E491F6" w14:textId="77777777" w:rsidR="00D6576A" w:rsidRPr="00D52B58" w:rsidRDefault="00D6576A" w:rsidP="00A61B64">
            <w:pPr>
              <w:jc w:val="center"/>
              <w:rPr>
                <w:color w:val="000000"/>
              </w:rPr>
            </w:pPr>
            <w:r w:rsidRPr="00D52B58">
              <w:rPr>
                <w:color w:val="000000"/>
              </w:rPr>
              <w:t>214.2±41.8</w:t>
            </w:r>
          </w:p>
        </w:tc>
        <w:tc>
          <w:tcPr>
            <w:tcW w:w="2069" w:type="dxa"/>
            <w:tcBorders>
              <w:top w:val="nil"/>
              <w:left w:val="nil"/>
              <w:bottom w:val="nil"/>
              <w:right w:val="nil"/>
            </w:tcBorders>
            <w:vAlign w:val="bottom"/>
          </w:tcPr>
          <w:p w14:paraId="2BC0499C" w14:textId="77777777" w:rsidR="00D6576A" w:rsidRPr="00D52B58" w:rsidRDefault="00D6576A" w:rsidP="00A61B64">
            <w:pPr>
              <w:jc w:val="center"/>
              <w:rPr>
                <w:color w:val="000000"/>
              </w:rPr>
            </w:pPr>
            <w:r w:rsidRPr="00D52B58">
              <w:rPr>
                <w:color w:val="000000"/>
              </w:rPr>
              <w:t>235.3±25.6</w:t>
            </w:r>
          </w:p>
        </w:tc>
        <w:tc>
          <w:tcPr>
            <w:tcW w:w="2070" w:type="dxa"/>
            <w:tcBorders>
              <w:top w:val="nil"/>
              <w:left w:val="nil"/>
              <w:bottom w:val="nil"/>
              <w:right w:val="nil"/>
            </w:tcBorders>
            <w:vAlign w:val="bottom"/>
          </w:tcPr>
          <w:p w14:paraId="0AD4A4D7" w14:textId="77777777" w:rsidR="00D6576A" w:rsidRPr="00D52B58" w:rsidRDefault="00D6576A" w:rsidP="00A61B64">
            <w:pPr>
              <w:jc w:val="center"/>
              <w:rPr>
                <w:color w:val="000000"/>
              </w:rPr>
            </w:pPr>
            <w:r w:rsidRPr="00D52B58">
              <w:rPr>
                <w:color w:val="000000"/>
              </w:rPr>
              <w:t>179.5±18.9</w:t>
            </w:r>
          </w:p>
        </w:tc>
        <w:tc>
          <w:tcPr>
            <w:tcW w:w="1134" w:type="dxa"/>
            <w:tcBorders>
              <w:top w:val="nil"/>
              <w:left w:val="nil"/>
              <w:bottom w:val="nil"/>
              <w:right w:val="nil"/>
            </w:tcBorders>
            <w:vAlign w:val="bottom"/>
          </w:tcPr>
          <w:p w14:paraId="1AC4844E" w14:textId="77777777" w:rsidR="00D6576A" w:rsidRPr="00D52B58" w:rsidRDefault="00D6576A" w:rsidP="00A61B64">
            <w:pPr>
              <w:jc w:val="center"/>
              <w:rPr>
                <w:color w:val="000000"/>
              </w:rPr>
            </w:pPr>
            <w:r w:rsidRPr="00D52B58">
              <w:rPr>
                <w:color w:val="000000"/>
              </w:rPr>
              <w:t>0.0672</w:t>
            </w:r>
          </w:p>
        </w:tc>
      </w:tr>
      <w:tr w:rsidR="00D6576A" w:rsidRPr="00D52B58" w14:paraId="2A47638E" w14:textId="77777777" w:rsidTr="00A61B64">
        <w:trPr>
          <w:jc w:val="center"/>
        </w:trPr>
        <w:tc>
          <w:tcPr>
            <w:tcW w:w="1701" w:type="dxa"/>
            <w:tcBorders>
              <w:top w:val="nil"/>
              <w:left w:val="nil"/>
              <w:bottom w:val="nil"/>
              <w:right w:val="nil"/>
            </w:tcBorders>
          </w:tcPr>
          <w:p w14:paraId="28CCC8FA" w14:textId="77777777" w:rsidR="00D6576A" w:rsidRPr="00D52B58" w:rsidRDefault="00D6576A" w:rsidP="00A61B64">
            <w:r w:rsidRPr="00D52B58">
              <w:t>THP1</w:t>
            </w:r>
          </w:p>
        </w:tc>
        <w:tc>
          <w:tcPr>
            <w:tcW w:w="2127" w:type="dxa"/>
            <w:tcBorders>
              <w:top w:val="nil"/>
              <w:left w:val="nil"/>
              <w:bottom w:val="nil"/>
              <w:right w:val="nil"/>
            </w:tcBorders>
          </w:tcPr>
          <w:p w14:paraId="5346DE49" w14:textId="77777777" w:rsidR="00D6576A" w:rsidRPr="00D52B58" w:rsidRDefault="00D6576A" w:rsidP="00A61B64">
            <w:pPr>
              <w:jc w:val="center"/>
            </w:pPr>
            <w:r w:rsidRPr="00D52B58">
              <w:t>Acute monocytic leukaemia</w:t>
            </w:r>
          </w:p>
        </w:tc>
        <w:tc>
          <w:tcPr>
            <w:tcW w:w="10347" w:type="dxa"/>
            <w:gridSpan w:val="5"/>
            <w:tcBorders>
              <w:top w:val="nil"/>
              <w:left w:val="nil"/>
              <w:bottom w:val="nil"/>
              <w:right w:val="nil"/>
            </w:tcBorders>
          </w:tcPr>
          <w:p w14:paraId="60CA7839" w14:textId="77777777" w:rsidR="00D6576A" w:rsidRPr="00D52B58" w:rsidRDefault="00D6576A" w:rsidP="00A61B64">
            <w:pPr>
              <w:jc w:val="center"/>
            </w:pPr>
          </w:p>
          <w:p w14:paraId="52731D84" w14:textId="77777777" w:rsidR="00D6576A" w:rsidRPr="00D52B58" w:rsidRDefault="00D6576A" w:rsidP="00A61B64">
            <w:pPr>
              <w:jc w:val="center"/>
            </w:pPr>
            <w:r w:rsidRPr="00D52B58">
              <w:t>Undetectable</w:t>
            </w:r>
          </w:p>
        </w:tc>
        <w:tc>
          <w:tcPr>
            <w:tcW w:w="1134" w:type="dxa"/>
            <w:tcBorders>
              <w:top w:val="nil"/>
              <w:left w:val="nil"/>
              <w:bottom w:val="nil"/>
              <w:right w:val="nil"/>
            </w:tcBorders>
          </w:tcPr>
          <w:p w14:paraId="25401FA1" w14:textId="77777777" w:rsidR="00D6576A" w:rsidRPr="00D52B58" w:rsidRDefault="00D6576A" w:rsidP="00A61B64">
            <w:pPr>
              <w:jc w:val="center"/>
            </w:pPr>
          </w:p>
          <w:p w14:paraId="280A32B0" w14:textId="77777777" w:rsidR="00D6576A" w:rsidRPr="00D52B58" w:rsidRDefault="00D6576A" w:rsidP="00A61B64">
            <w:pPr>
              <w:jc w:val="center"/>
            </w:pPr>
            <w:r w:rsidRPr="00D52B58">
              <w:t>ND</w:t>
            </w:r>
          </w:p>
        </w:tc>
      </w:tr>
      <w:tr w:rsidR="00D6576A" w:rsidRPr="00D52B58" w14:paraId="3AE6BF1C" w14:textId="77777777" w:rsidTr="00A61B64">
        <w:trPr>
          <w:jc w:val="center"/>
        </w:trPr>
        <w:tc>
          <w:tcPr>
            <w:tcW w:w="1701" w:type="dxa"/>
            <w:tcBorders>
              <w:top w:val="nil"/>
              <w:left w:val="nil"/>
              <w:bottom w:val="single" w:sz="4" w:space="0" w:color="auto"/>
              <w:right w:val="nil"/>
            </w:tcBorders>
          </w:tcPr>
          <w:p w14:paraId="0FC2FB5B" w14:textId="77777777" w:rsidR="00D6576A" w:rsidRPr="00D52B58" w:rsidRDefault="00D6576A" w:rsidP="00A61B64">
            <w:r w:rsidRPr="00D52B58">
              <w:t>JURKAT</w:t>
            </w:r>
          </w:p>
        </w:tc>
        <w:tc>
          <w:tcPr>
            <w:tcW w:w="2127" w:type="dxa"/>
            <w:tcBorders>
              <w:top w:val="nil"/>
              <w:left w:val="nil"/>
              <w:bottom w:val="single" w:sz="4" w:space="0" w:color="auto"/>
              <w:right w:val="nil"/>
            </w:tcBorders>
          </w:tcPr>
          <w:p w14:paraId="46319173" w14:textId="77777777" w:rsidR="00D6576A" w:rsidRPr="00D52B58" w:rsidRDefault="00D6576A" w:rsidP="00A61B64">
            <w:pPr>
              <w:jc w:val="center"/>
            </w:pPr>
            <w:r w:rsidRPr="00D52B58">
              <w:t>Acute T cell leukaemia</w:t>
            </w:r>
          </w:p>
        </w:tc>
        <w:tc>
          <w:tcPr>
            <w:tcW w:w="10347" w:type="dxa"/>
            <w:gridSpan w:val="5"/>
            <w:tcBorders>
              <w:top w:val="nil"/>
              <w:left w:val="nil"/>
              <w:bottom w:val="single" w:sz="4" w:space="0" w:color="auto"/>
              <w:right w:val="nil"/>
            </w:tcBorders>
          </w:tcPr>
          <w:p w14:paraId="76A5B5E0" w14:textId="77777777" w:rsidR="00D6576A" w:rsidRPr="00D52B58" w:rsidRDefault="00D6576A" w:rsidP="00A61B64">
            <w:pPr>
              <w:jc w:val="center"/>
            </w:pPr>
          </w:p>
          <w:p w14:paraId="4E3F4F0E" w14:textId="77777777" w:rsidR="00D6576A" w:rsidRPr="00D52B58" w:rsidRDefault="00D6576A" w:rsidP="00A61B64">
            <w:pPr>
              <w:jc w:val="center"/>
            </w:pPr>
            <w:r w:rsidRPr="00D52B58">
              <w:t>Undetectable</w:t>
            </w:r>
          </w:p>
        </w:tc>
        <w:tc>
          <w:tcPr>
            <w:tcW w:w="1134" w:type="dxa"/>
            <w:tcBorders>
              <w:top w:val="nil"/>
              <w:left w:val="nil"/>
              <w:bottom w:val="single" w:sz="4" w:space="0" w:color="auto"/>
              <w:right w:val="nil"/>
            </w:tcBorders>
          </w:tcPr>
          <w:p w14:paraId="6DC8AF83" w14:textId="77777777" w:rsidR="00D6576A" w:rsidRPr="00D52B58" w:rsidRDefault="00D6576A" w:rsidP="00A61B64">
            <w:pPr>
              <w:jc w:val="center"/>
            </w:pPr>
          </w:p>
          <w:p w14:paraId="47023637" w14:textId="77777777" w:rsidR="00D6576A" w:rsidRPr="00D52B58" w:rsidRDefault="00D6576A" w:rsidP="00A61B64">
            <w:pPr>
              <w:jc w:val="center"/>
            </w:pPr>
            <w:r w:rsidRPr="00D52B58">
              <w:t>ND</w:t>
            </w:r>
          </w:p>
        </w:tc>
      </w:tr>
    </w:tbl>
    <w:p w14:paraId="413E7AED" w14:textId="77777777" w:rsidR="00D6576A" w:rsidRPr="00D52B58" w:rsidRDefault="00D6576A" w:rsidP="00A61B64"/>
    <w:p w14:paraId="14FEA334" w14:textId="77777777" w:rsidR="00D6576A" w:rsidRPr="00D52B58" w:rsidRDefault="00D6576A" w:rsidP="00A61B64">
      <w:pPr>
        <w:spacing w:line="480" w:lineRule="auto"/>
      </w:pPr>
      <w:r w:rsidRPr="00D52B58">
        <w:t xml:space="preserve">Values are mean </w:t>
      </w:r>
      <w:r w:rsidRPr="00D52B58">
        <w:rPr>
          <w:rFonts w:eastAsia="MS Gothic"/>
          <w:color w:val="000000"/>
        </w:rPr>
        <w:t xml:space="preserve">± SE (n = 10 replicate cultures). Expression levels were normalised to reference gene and are relative to </w:t>
      </w:r>
      <w:r>
        <w:rPr>
          <w:rFonts w:eastAsia="MS Gothic"/>
          <w:color w:val="000000"/>
        </w:rPr>
        <w:t>untreated cells</w:t>
      </w:r>
      <w:r w:rsidRPr="00D52B58">
        <w:rPr>
          <w:rFonts w:eastAsia="MS Gothic"/>
          <w:color w:val="000000"/>
        </w:rPr>
        <w:t>.</w:t>
      </w:r>
      <w:r>
        <w:rPr>
          <w:rFonts w:eastAsia="MS Gothic"/>
          <w:color w:val="000000"/>
        </w:rPr>
        <w:t xml:space="preserve"> </w:t>
      </w:r>
      <w:r w:rsidRPr="00D52B58">
        <w:rPr>
          <w:rFonts w:eastAsia="MS Gothic"/>
          <w:color w:val="000000"/>
        </w:rPr>
        <w:t xml:space="preserve">Data were analysed by 1-way ANOVA using Dunnett’s post hoc correction except </w:t>
      </w:r>
      <w:r w:rsidRPr="00D52B58">
        <w:rPr>
          <w:rFonts w:eastAsia="MS Gothic"/>
          <w:color w:val="000000"/>
          <w:vertAlign w:val="superscript"/>
        </w:rPr>
        <w:t>1</w:t>
      </w:r>
      <w:r w:rsidRPr="00D52B58">
        <w:rPr>
          <w:rFonts w:eastAsia="MS Gothic"/>
          <w:color w:val="000000"/>
        </w:rPr>
        <w:t>where data were analysed using Student’s t test.</w:t>
      </w:r>
      <w:r>
        <w:rPr>
          <w:rFonts w:eastAsia="MS Gothic"/>
          <w:color w:val="000000"/>
        </w:rPr>
        <w:t xml:space="preserve"> </w:t>
      </w:r>
      <w:r w:rsidRPr="00D52B58">
        <w:rPr>
          <w:rFonts w:eastAsia="MS Gothic"/>
          <w:color w:val="000000"/>
        </w:rPr>
        <w:t xml:space="preserve">Values significantly different from baseline </w:t>
      </w:r>
      <w:r w:rsidRPr="00D52B58">
        <w:rPr>
          <w:rFonts w:eastAsia="MS Gothic"/>
          <w:color w:val="000000"/>
          <w:vertAlign w:val="superscript"/>
        </w:rPr>
        <w:t>2</w:t>
      </w:r>
      <w:r w:rsidRPr="00D52B58">
        <w:rPr>
          <w:rFonts w:eastAsia="MS Gothic"/>
          <w:color w:val="000000"/>
        </w:rPr>
        <w:t>folate concentration (15 nmoles/l) are indicated by *P &lt; 0.05, **P &lt; 0.01, ***P &lt; 0.001.</w:t>
      </w:r>
    </w:p>
    <w:p w14:paraId="07C7B1D9" w14:textId="77777777" w:rsidR="00D6576A" w:rsidRPr="00D52B58" w:rsidRDefault="00D6576A" w:rsidP="00A61B64"/>
    <w:p w14:paraId="12FE8EE7" w14:textId="77777777" w:rsidR="00D6576A" w:rsidRPr="00D52B58" w:rsidRDefault="00D6576A" w:rsidP="00A61B64"/>
    <w:p w14:paraId="4ABCE8D1" w14:textId="77777777" w:rsidR="00D6576A" w:rsidRPr="00D52B58" w:rsidRDefault="00D6576A" w:rsidP="00A61B64"/>
    <w:p w14:paraId="4C3C7CE8" w14:textId="77777777" w:rsidR="00D6576A" w:rsidRPr="00D52B58" w:rsidRDefault="00D6576A" w:rsidP="00A61B64"/>
    <w:p w14:paraId="4790A819" w14:textId="77777777" w:rsidR="00D6576A" w:rsidRPr="00D52B58" w:rsidRDefault="00D6576A" w:rsidP="00A61B64"/>
    <w:p w14:paraId="138D9C6E" w14:textId="77777777" w:rsidR="00D6576A" w:rsidRDefault="00D6576A" w:rsidP="00A61B64">
      <w:pPr>
        <w:sectPr w:rsidR="00D6576A" w:rsidSect="00A61B64">
          <w:pgSz w:w="16840" w:h="11901" w:orient="landscape"/>
          <w:pgMar w:top="1134" w:right="1134" w:bottom="1134" w:left="1134" w:header="709" w:footer="709" w:gutter="0"/>
          <w:cols w:space="708"/>
          <w:docGrid w:linePitch="360"/>
        </w:sectPr>
      </w:pPr>
    </w:p>
    <w:p w14:paraId="5A52DD0F" w14:textId="77777777" w:rsidR="0000680A" w:rsidRDefault="0000680A" w:rsidP="00A61B64">
      <w:pPr>
        <w:spacing w:line="480" w:lineRule="auto"/>
        <w:rPr>
          <w:b/>
        </w:rPr>
      </w:pPr>
      <w:r>
        <w:rPr>
          <w:b/>
          <w:noProof/>
          <w:lang w:val="en-US"/>
        </w:rPr>
        <w:drawing>
          <wp:inline distT="0" distB="0" distL="0" distR="0" wp14:anchorId="5DA6DCB0" wp14:editId="54F1C657">
            <wp:extent cx="6116955" cy="32340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26 November 2014.jpg"/>
                    <pic:cNvPicPr/>
                  </pic:nvPicPr>
                  <pic:blipFill>
                    <a:blip r:embed="rId10">
                      <a:extLst>
                        <a:ext uri="{28A0092B-C50C-407E-A947-70E740481C1C}">
                          <a14:useLocalDpi xmlns:a14="http://schemas.microsoft.com/office/drawing/2010/main" val="0"/>
                        </a:ext>
                      </a:extLst>
                    </a:blip>
                    <a:stretch>
                      <a:fillRect/>
                    </a:stretch>
                  </pic:blipFill>
                  <pic:spPr>
                    <a:xfrm>
                      <a:off x="0" y="0"/>
                      <a:ext cx="6116955" cy="3234055"/>
                    </a:xfrm>
                    <a:prstGeom prst="rect">
                      <a:avLst/>
                    </a:prstGeom>
                  </pic:spPr>
                </pic:pic>
              </a:graphicData>
            </a:graphic>
          </wp:inline>
        </w:drawing>
      </w:r>
    </w:p>
    <w:p w14:paraId="282C4670" w14:textId="77777777" w:rsidR="0000680A" w:rsidRDefault="0000680A" w:rsidP="00A61B64">
      <w:pPr>
        <w:spacing w:line="480" w:lineRule="auto"/>
        <w:rPr>
          <w:b/>
        </w:rPr>
      </w:pPr>
    </w:p>
    <w:p w14:paraId="3AB6D72B" w14:textId="713E160A" w:rsidR="0000680A" w:rsidRDefault="00D6576A" w:rsidP="00A61B64">
      <w:pPr>
        <w:spacing w:line="480" w:lineRule="auto"/>
      </w:pPr>
      <w:r w:rsidRPr="00CB66CA">
        <w:rPr>
          <w:b/>
        </w:rPr>
        <w:t>Fig</w:t>
      </w:r>
      <w:r>
        <w:rPr>
          <w:b/>
        </w:rPr>
        <w:t>.</w:t>
      </w:r>
      <w:r w:rsidRPr="00CB66CA">
        <w:rPr>
          <w:b/>
        </w:rPr>
        <w:t xml:space="preserve"> 1.</w:t>
      </w:r>
      <w:r w:rsidRPr="00D52B58">
        <w:t xml:space="preserve"> </w:t>
      </w:r>
      <w:r>
        <w:t xml:space="preserve">Regions of the (A) </w:t>
      </w:r>
      <w:r w:rsidRPr="00D52B58">
        <w:t xml:space="preserve">BRCA1 and </w:t>
      </w:r>
      <w:r>
        <w:t xml:space="preserve">(B) </w:t>
      </w:r>
      <w:r w:rsidRPr="00D52B58">
        <w:t xml:space="preserve">BRCA2 </w:t>
      </w:r>
      <w:r>
        <w:t xml:space="preserve">genes that were analysed by pyrosequencing. </w:t>
      </w:r>
      <w:r w:rsidRPr="00D52B58">
        <w:t xml:space="preserve">The minimal promoter regions of BRCA1 </w:t>
      </w:r>
      <w:r>
        <w:rPr>
          <w:noProof/>
        </w:rPr>
        <w:t>[43]</w:t>
      </w:r>
      <w:r w:rsidRPr="00D52B58">
        <w:t xml:space="preserve"> and BRCA2 </w:t>
      </w:r>
      <w:r>
        <w:rPr>
          <w:noProof/>
        </w:rPr>
        <w:t>[48]</w:t>
      </w:r>
      <w:r w:rsidRPr="00D52B58">
        <w:t xml:space="preserve"> are indicated by the </w:t>
      </w:r>
      <w:r>
        <w:t>underlined sequences</w:t>
      </w:r>
      <w:r w:rsidRPr="00D52B58">
        <w:t>.</w:t>
      </w:r>
      <w:r>
        <w:t xml:space="preserve"> CpG loci are indicated in bold font and numbered relative to the transcription start site. Arrows indicates the transcription start sites.</w:t>
      </w:r>
    </w:p>
    <w:p w14:paraId="75E07451" w14:textId="77777777" w:rsidR="0000680A" w:rsidRDefault="0000680A">
      <w:r>
        <w:br w:type="page"/>
      </w:r>
    </w:p>
    <w:p w14:paraId="4AD890F6" w14:textId="7BB9CFDB" w:rsidR="00D6576A" w:rsidRDefault="0000680A" w:rsidP="00A61B64">
      <w:pPr>
        <w:spacing w:line="480" w:lineRule="auto"/>
      </w:pPr>
      <w:r>
        <w:rPr>
          <w:noProof/>
          <w:lang w:val="en-US"/>
        </w:rPr>
        <w:drawing>
          <wp:inline distT="0" distB="0" distL="0" distR="0" wp14:anchorId="2267F6E7" wp14:editId="50A47AF3">
            <wp:extent cx="5956300" cy="4254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26 November 2014.tiff"/>
                    <pic:cNvPicPr/>
                  </pic:nvPicPr>
                  <pic:blipFill>
                    <a:blip r:embed="rId11">
                      <a:extLst>
                        <a:ext uri="{28A0092B-C50C-407E-A947-70E740481C1C}">
                          <a14:useLocalDpi xmlns:a14="http://schemas.microsoft.com/office/drawing/2010/main" val="0"/>
                        </a:ext>
                      </a:extLst>
                    </a:blip>
                    <a:stretch>
                      <a:fillRect/>
                    </a:stretch>
                  </pic:blipFill>
                  <pic:spPr>
                    <a:xfrm>
                      <a:off x="0" y="0"/>
                      <a:ext cx="5956300" cy="4254500"/>
                    </a:xfrm>
                    <a:prstGeom prst="rect">
                      <a:avLst/>
                    </a:prstGeom>
                  </pic:spPr>
                </pic:pic>
              </a:graphicData>
            </a:graphic>
          </wp:inline>
        </w:drawing>
      </w:r>
    </w:p>
    <w:p w14:paraId="136950BC" w14:textId="77777777" w:rsidR="00D6576A" w:rsidRDefault="00D6576A" w:rsidP="00A61B64">
      <w:pPr>
        <w:spacing w:line="480" w:lineRule="auto"/>
      </w:pPr>
    </w:p>
    <w:p w14:paraId="4A4AF40B" w14:textId="77777777" w:rsidR="00D6576A" w:rsidRDefault="00D6576A" w:rsidP="00A61B64">
      <w:pPr>
        <w:spacing w:line="480" w:lineRule="auto"/>
      </w:pPr>
    </w:p>
    <w:p w14:paraId="3881293B" w14:textId="77777777" w:rsidR="00D6576A" w:rsidRPr="00D52B58" w:rsidRDefault="00D6576A" w:rsidP="00A61B64">
      <w:pPr>
        <w:spacing w:line="480" w:lineRule="auto"/>
      </w:pPr>
      <w:r w:rsidRPr="00CB66CA">
        <w:rPr>
          <w:b/>
        </w:rPr>
        <w:t>Fig</w:t>
      </w:r>
      <w:r>
        <w:rPr>
          <w:b/>
        </w:rPr>
        <w:t>.</w:t>
      </w:r>
      <w:r w:rsidRPr="00CB66CA">
        <w:rPr>
          <w:b/>
        </w:rPr>
        <w:t xml:space="preserve"> 2.</w:t>
      </w:r>
      <w:r w:rsidRPr="00D52B58">
        <w:t xml:space="preserve"> Effect of FA </w:t>
      </w:r>
      <w:r>
        <w:t>treatment</w:t>
      </w:r>
      <w:r w:rsidRPr="00D52B58">
        <w:t xml:space="preserve"> on BRCA1 protein expression in HepG2 and Hs578T cells.</w:t>
      </w:r>
      <w:r>
        <w:t xml:space="preserve"> Cell extracts from (A) HepG2 </w:t>
      </w:r>
      <w:r w:rsidRPr="00D52B58">
        <w:t xml:space="preserve">and </w:t>
      </w:r>
      <w:r>
        <w:t xml:space="preserve">(B) </w:t>
      </w:r>
      <w:r w:rsidRPr="00D52B58">
        <w:t>Hs578T cells treated with 0 nmoles/l FA or 100 nmoles/l FA for 72h and analysed by Western blotting with anti-BRCA1 and anti-β-Actin antibodies.</w:t>
      </w:r>
      <w:r>
        <w:t xml:space="preserve"> </w:t>
      </w:r>
      <w:r w:rsidRPr="00D52B58">
        <w:t xml:space="preserve">Values are mean </w:t>
      </w:r>
      <w:r w:rsidRPr="00D52B58">
        <w:rPr>
          <w:rFonts w:eastAsia="MS Gothic"/>
          <w:color w:val="000000"/>
        </w:rPr>
        <w:t xml:space="preserve">± SE (n = 5 replicate cultures). Data were analysed using </w:t>
      </w:r>
      <w:r w:rsidRPr="00D52B58">
        <w:rPr>
          <w:lang w:eastAsia="zh-CN"/>
        </w:rPr>
        <w:t>Student’s t-test</w:t>
      </w:r>
      <w:r>
        <w:rPr>
          <w:lang w:eastAsia="zh-CN"/>
        </w:rPr>
        <w:t>. V</w:t>
      </w:r>
      <w:r w:rsidRPr="00D52B58">
        <w:rPr>
          <w:rFonts w:eastAsia="MS Gothic"/>
          <w:color w:val="000000"/>
        </w:rPr>
        <w:t xml:space="preserve">alues significantly different from </w:t>
      </w:r>
      <w:r>
        <w:rPr>
          <w:rFonts w:eastAsia="MS Gothic"/>
          <w:color w:val="000000"/>
        </w:rPr>
        <w:t xml:space="preserve">untreated cells </w:t>
      </w:r>
      <w:r w:rsidRPr="00D52B58">
        <w:rPr>
          <w:rFonts w:eastAsia="MS Gothic"/>
          <w:color w:val="000000"/>
        </w:rPr>
        <w:t>are indicated by *P &lt; 0.05.</w:t>
      </w:r>
    </w:p>
    <w:p w14:paraId="4E17911A" w14:textId="510D89AD" w:rsidR="0000680A" w:rsidRDefault="0000680A">
      <w:pPr>
        <w:rPr>
          <w:lang w:val="en-US"/>
        </w:rPr>
      </w:pPr>
      <w:r>
        <w:br w:type="page"/>
      </w:r>
    </w:p>
    <w:p w14:paraId="0F67A40B" w14:textId="07F69888" w:rsidR="00D6576A" w:rsidRPr="00D52B58" w:rsidRDefault="0000680A" w:rsidP="00A61B64">
      <w:pPr>
        <w:pStyle w:val="EndNoteBibliography"/>
        <w:spacing w:line="480" w:lineRule="auto"/>
        <w:divId w:val="1480459517"/>
      </w:pPr>
      <w:r>
        <w:rPr>
          <w:noProof/>
        </w:rPr>
        <w:drawing>
          <wp:inline distT="0" distB="0" distL="0" distR="0" wp14:anchorId="1A4647F0" wp14:editId="62369EA1">
            <wp:extent cx="6116955" cy="70942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26 November 2014.tiff"/>
                    <pic:cNvPicPr/>
                  </pic:nvPicPr>
                  <pic:blipFill>
                    <a:blip r:embed="rId12">
                      <a:extLst>
                        <a:ext uri="{28A0092B-C50C-407E-A947-70E740481C1C}">
                          <a14:useLocalDpi xmlns:a14="http://schemas.microsoft.com/office/drawing/2010/main" val="0"/>
                        </a:ext>
                      </a:extLst>
                    </a:blip>
                    <a:stretch>
                      <a:fillRect/>
                    </a:stretch>
                  </pic:blipFill>
                  <pic:spPr>
                    <a:xfrm>
                      <a:off x="0" y="0"/>
                      <a:ext cx="6116955" cy="7094220"/>
                    </a:xfrm>
                    <a:prstGeom prst="rect">
                      <a:avLst/>
                    </a:prstGeom>
                  </pic:spPr>
                </pic:pic>
              </a:graphicData>
            </a:graphic>
          </wp:inline>
        </w:drawing>
      </w:r>
    </w:p>
    <w:p w14:paraId="79267606" w14:textId="2938A020" w:rsidR="0000680A" w:rsidRDefault="00D6576A" w:rsidP="00A61B64">
      <w:pPr>
        <w:pStyle w:val="EndNoteBibliography"/>
        <w:spacing w:line="480" w:lineRule="auto"/>
        <w:divId w:val="1480459517"/>
        <w:rPr>
          <w:rFonts w:eastAsia="MS Gothic"/>
          <w:color w:val="000000"/>
        </w:rPr>
      </w:pPr>
      <w:r w:rsidRPr="00CB66CA">
        <w:rPr>
          <w:b/>
        </w:rPr>
        <w:t>Fig</w:t>
      </w:r>
      <w:r>
        <w:rPr>
          <w:b/>
        </w:rPr>
        <w:t>.</w:t>
      </w:r>
      <w:r w:rsidRPr="00CB66CA">
        <w:rPr>
          <w:b/>
        </w:rPr>
        <w:t xml:space="preserve"> 3.</w:t>
      </w:r>
      <w:r w:rsidRPr="00D52B58">
        <w:t xml:space="preserve"> Effect of FA supplementation on DNA repair capacity in liver cells.</w:t>
      </w:r>
      <w:r>
        <w:t xml:space="preserve"> </w:t>
      </w:r>
      <w:r w:rsidRPr="00D52B58">
        <w:t xml:space="preserve">Primary hepatocyte (A), HepG2 (B) and PLC/PRF/5 (C) cells were treated with 0 nmoles/l FA or 100 nmoles/l FA for 72h, irradiated with </w:t>
      </w:r>
      <w:r w:rsidRPr="00D52B58">
        <w:rPr>
          <w:iCs/>
        </w:rPr>
        <w:t>1.8J/m</w:t>
      </w:r>
      <w:r w:rsidRPr="00D52B58">
        <w:rPr>
          <w:iCs/>
          <w:vertAlign w:val="superscript"/>
        </w:rPr>
        <w:t>2</w:t>
      </w:r>
      <w:r w:rsidRPr="00D52B58">
        <w:t xml:space="preserve"> UVC and DNA damage was analysed by Comet assay. Values are mean </w:t>
      </w:r>
      <w:r w:rsidRPr="00D52B58">
        <w:rPr>
          <w:rFonts w:eastAsia="MS Gothic"/>
          <w:color w:val="000000"/>
        </w:rPr>
        <w:t xml:space="preserve">± SE (n = &gt;50 comets). Data were analysed </w:t>
      </w:r>
      <w:r w:rsidRPr="00D52B58">
        <w:rPr>
          <w:lang w:eastAsia="zh-CN"/>
        </w:rPr>
        <w:t xml:space="preserve">by 1-way ANOVA using </w:t>
      </w:r>
      <w:r>
        <w:rPr>
          <w:lang w:eastAsia="zh-CN"/>
        </w:rPr>
        <w:t xml:space="preserve">Bonferroni’s </w:t>
      </w:r>
      <w:r w:rsidRPr="00D52B58">
        <w:rPr>
          <w:lang w:eastAsia="zh-CN"/>
        </w:rPr>
        <w:t>post hoc correction. Means without a common letter differ significantly (</w:t>
      </w:r>
      <w:r w:rsidRPr="00D52B58">
        <w:rPr>
          <w:rFonts w:eastAsia="MS Gothic"/>
          <w:color w:val="000000"/>
        </w:rPr>
        <w:t>P &lt; 0.05).</w:t>
      </w:r>
    </w:p>
    <w:p w14:paraId="1C12F1FA" w14:textId="77777777" w:rsidR="0000680A" w:rsidRDefault="0000680A" w:rsidP="0000680A">
      <w:pPr>
        <w:divId w:val="1480459517"/>
        <w:rPr>
          <w:rFonts w:eastAsia="MS Gothic"/>
          <w:b/>
          <w:color w:val="000000"/>
        </w:rPr>
      </w:pPr>
      <w:r>
        <w:rPr>
          <w:rFonts w:eastAsia="MS Gothic"/>
          <w:noProof/>
          <w:color w:val="000000"/>
          <w:lang w:val="en-US"/>
        </w:rPr>
        <w:drawing>
          <wp:inline distT="0" distB="0" distL="0" distR="0" wp14:anchorId="776946FE" wp14:editId="3E9D352D">
            <wp:extent cx="4695670" cy="548729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26 November 2014.tiff"/>
                    <pic:cNvPicPr/>
                  </pic:nvPicPr>
                  <pic:blipFill>
                    <a:blip r:embed="rId13">
                      <a:extLst>
                        <a:ext uri="{28A0092B-C50C-407E-A947-70E740481C1C}">
                          <a14:useLocalDpi xmlns:a14="http://schemas.microsoft.com/office/drawing/2010/main" val="0"/>
                        </a:ext>
                      </a:extLst>
                    </a:blip>
                    <a:stretch>
                      <a:fillRect/>
                    </a:stretch>
                  </pic:blipFill>
                  <pic:spPr>
                    <a:xfrm>
                      <a:off x="0" y="0"/>
                      <a:ext cx="4695911" cy="5487581"/>
                    </a:xfrm>
                    <a:prstGeom prst="rect">
                      <a:avLst/>
                    </a:prstGeom>
                  </pic:spPr>
                </pic:pic>
              </a:graphicData>
            </a:graphic>
          </wp:inline>
        </w:drawing>
      </w:r>
    </w:p>
    <w:p w14:paraId="34DF7577" w14:textId="77777777" w:rsidR="0000680A" w:rsidRDefault="0000680A" w:rsidP="0000680A">
      <w:pPr>
        <w:spacing w:line="480" w:lineRule="auto"/>
        <w:divId w:val="1480459517"/>
        <w:rPr>
          <w:rFonts w:eastAsia="MS Gothic"/>
          <w:b/>
          <w:color w:val="000000"/>
        </w:rPr>
      </w:pPr>
    </w:p>
    <w:p w14:paraId="0A2A3CFB" w14:textId="44690127" w:rsidR="0000680A" w:rsidRDefault="0000680A" w:rsidP="0000680A">
      <w:pPr>
        <w:spacing w:line="480" w:lineRule="auto"/>
        <w:divId w:val="1480459517"/>
        <w:rPr>
          <w:rFonts w:eastAsia="MS Gothic"/>
          <w:color w:val="000000"/>
        </w:rPr>
      </w:pPr>
      <w:r w:rsidRPr="0000680A">
        <w:rPr>
          <w:rFonts w:eastAsia="MS Gothic"/>
          <w:b/>
          <w:color w:val="000000"/>
        </w:rPr>
        <w:t>F</w:t>
      </w:r>
      <w:r w:rsidR="00D6576A" w:rsidRPr="00CB66CA">
        <w:rPr>
          <w:b/>
        </w:rPr>
        <w:t>ig</w:t>
      </w:r>
      <w:r w:rsidR="00D6576A">
        <w:rPr>
          <w:b/>
        </w:rPr>
        <w:t>.</w:t>
      </w:r>
      <w:r w:rsidR="00D6576A" w:rsidRPr="00CB66CA">
        <w:rPr>
          <w:b/>
        </w:rPr>
        <w:t xml:space="preserve"> 4.</w:t>
      </w:r>
      <w:r w:rsidR="00D6576A" w:rsidRPr="00D52B58">
        <w:t xml:space="preserve"> Effect of FA supplementation on DNA repair capacity in breast cells.</w:t>
      </w:r>
      <w:r w:rsidR="00D6576A">
        <w:t xml:space="preserve"> </w:t>
      </w:r>
      <w:r w:rsidR="00D6576A" w:rsidRPr="00D52B58">
        <w:t xml:space="preserve">MCF10a (A), Hs578T (B) MCF7 (C) and MDA-MB-157 cells were treated with 0 nmoles/l FA or 100 nmoles/l FA for 72h, irradiated with </w:t>
      </w:r>
      <w:r w:rsidR="00D6576A" w:rsidRPr="00D52B58">
        <w:rPr>
          <w:iCs/>
        </w:rPr>
        <w:t>1.8J/m</w:t>
      </w:r>
      <w:r w:rsidR="00D6576A" w:rsidRPr="00D52B58">
        <w:rPr>
          <w:iCs/>
          <w:vertAlign w:val="superscript"/>
        </w:rPr>
        <w:t>2</w:t>
      </w:r>
      <w:r w:rsidR="00D6576A" w:rsidRPr="00D52B58">
        <w:t xml:space="preserve"> UVC and DNA damage was analysed by Comet assay. Values are mean </w:t>
      </w:r>
      <w:r w:rsidR="00D6576A" w:rsidRPr="00D52B58">
        <w:rPr>
          <w:rFonts w:eastAsia="MS Gothic"/>
          <w:color w:val="000000"/>
        </w:rPr>
        <w:t xml:space="preserve">± SE (n = &gt;50 comets). Data were analysed </w:t>
      </w:r>
      <w:r w:rsidR="00D6576A" w:rsidRPr="00D52B58">
        <w:rPr>
          <w:lang w:eastAsia="zh-CN"/>
        </w:rPr>
        <w:t xml:space="preserve">by 1-way ANOVA using </w:t>
      </w:r>
      <w:r w:rsidR="00D6576A">
        <w:rPr>
          <w:lang w:eastAsia="zh-CN"/>
        </w:rPr>
        <w:t xml:space="preserve">Bonferroni’s </w:t>
      </w:r>
      <w:r w:rsidR="00D6576A" w:rsidRPr="00D52B58">
        <w:rPr>
          <w:lang w:eastAsia="zh-CN"/>
        </w:rPr>
        <w:t>post hoc correction. Means without a common letter differ significantly (</w:t>
      </w:r>
      <w:r w:rsidR="00D6576A" w:rsidRPr="00D52B58">
        <w:rPr>
          <w:rFonts w:eastAsia="MS Gothic"/>
          <w:color w:val="000000"/>
        </w:rPr>
        <w:t>P &lt; 0.05).</w:t>
      </w:r>
    </w:p>
    <w:p w14:paraId="0B5E1F32" w14:textId="77777777" w:rsidR="0000680A" w:rsidRDefault="0000680A">
      <w:pPr>
        <w:rPr>
          <w:rFonts w:eastAsia="MS Gothic"/>
          <w:color w:val="000000"/>
        </w:rPr>
      </w:pPr>
      <w:r>
        <w:rPr>
          <w:rFonts w:eastAsia="MS Gothic"/>
          <w:color w:val="000000"/>
        </w:rPr>
        <w:br w:type="page"/>
      </w:r>
    </w:p>
    <w:p w14:paraId="7E5CAD15" w14:textId="49C6C270" w:rsidR="00D6576A" w:rsidRPr="00D52B58" w:rsidRDefault="0000680A" w:rsidP="0000680A">
      <w:pPr>
        <w:spacing w:line="480" w:lineRule="auto"/>
        <w:divId w:val="1480459517"/>
      </w:pPr>
      <w:r>
        <w:rPr>
          <w:noProof/>
          <w:lang w:val="en-US"/>
        </w:rPr>
        <w:drawing>
          <wp:inline distT="0" distB="0" distL="0" distR="0" wp14:anchorId="691E1508" wp14:editId="7782EDF5">
            <wp:extent cx="6116955" cy="53886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27 Nov 2014.tif"/>
                    <pic:cNvPicPr/>
                  </pic:nvPicPr>
                  <pic:blipFill>
                    <a:blip r:embed="rId14">
                      <a:extLst>
                        <a:ext uri="{28A0092B-C50C-407E-A947-70E740481C1C}">
                          <a14:useLocalDpi xmlns:a14="http://schemas.microsoft.com/office/drawing/2010/main" val="0"/>
                        </a:ext>
                      </a:extLst>
                    </a:blip>
                    <a:stretch>
                      <a:fillRect/>
                    </a:stretch>
                  </pic:blipFill>
                  <pic:spPr>
                    <a:xfrm>
                      <a:off x="0" y="0"/>
                      <a:ext cx="6116955" cy="5388610"/>
                    </a:xfrm>
                    <a:prstGeom prst="rect">
                      <a:avLst/>
                    </a:prstGeom>
                  </pic:spPr>
                </pic:pic>
              </a:graphicData>
            </a:graphic>
          </wp:inline>
        </w:drawing>
      </w:r>
    </w:p>
    <w:p w14:paraId="11721B64" w14:textId="77777777" w:rsidR="00D6576A" w:rsidRPr="00D52B58" w:rsidRDefault="00D6576A" w:rsidP="00A61B64">
      <w:pPr>
        <w:pStyle w:val="EndNoteBibliography"/>
        <w:spacing w:line="480" w:lineRule="auto"/>
        <w:divId w:val="1480459517"/>
      </w:pPr>
    </w:p>
    <w:p w14:paraId="61917343" w14:textId="77777777" w:rsidR="00D6576A" w:rsidRPr="00D52B58" w:rsidRDefault="00D6576A" w:rsidP="00A61B64">
      <w:pPr>
        <w:pStyle w:val="EndNoteBibliography"/>
        <w:spacing w:line="480" w:lineRule="auto"/>
        <w:divId w:val="1480459517"/>
      </w:pPr>
      <w:r w:rsidRPr="00CB66CA">
        <w:rPr>
          <w:b/>
        </w:rPr>
        <w:t>Fig</w:t>
      </w:r>
      <w:r>
        <w:rPr>
          <w:b/>
        </w:rPr>
        <w:t>.</w:t>
      </w:r>
      <w:r w:rsidRPr="00CB66CA">
        <w:rPr>
          <w:b/>
        </w:rPr>
        <w:t xml:space="preserve"> 5.</w:t>
      </w:r>
      <w:r>
        <w:t xml:space="preserve"> </w:t>
      </w:r>
      <w:r w:rsidRPr="00D52B58">
        <w:t>BRCA1 DNA methylation.</w:t>
      </w:r>
      <w:r>
        <w:t xml:space="preserve"> </w:t>
      </w:r>
      <w:r w:rsidRPr="00D52B58">
        <w:t xml:space="preserve">The methylation status of individual CpG loci was measured in liver (A), breast (B), ovarian (C) and leukocyte (D) cell lines without the addition of FA by bisulphite pyrosequencing. Values are mean </w:t>
      </w:r>
      <w:r w:rsidRPr="00D52B58">
        <w:rPr>
          <w:rFonts w:eastAsia="MS Gothic"/>
          <w:color w:val="000000"/>
        </w:rPr>
        <w:t xml:space="preserve">± SE (n = 10 replicate cultures). Data were </w:t>
      </w:r>
      <w:r w:rsidRPr="00D52B58">
        <w:rPr>
          <w:rFonts w:eastAsia="MS Gothic"/>
          <w:color w:val="000000"/>
          <w:lang w:val="en-GB"/>
        </w:rPr>
        <w:t>analysed</w:t>
      </w:r>
      <w:r w:rsidRPr="00D52B58">
        <w:rPr>
          <w:rFonts w:eastAsia="MS Gothic"/>
          <w:color w:val="000000"/>
        </w:rPr>
        <w:t xml:space="preserve"> by 1-way ANOVA using Bonferroni’s </w:t>
      </w:r>
      <w:r w:rsidRPr="00D52B58">
        <w:rPr>
          <w:rFonts w:eastAsia="MS Gothic"/>
          <w:i/>
          <w:color w:val="000000"/>
        </w:rPr>
        <w:t>post hoc</w:t>
      </w:r>
      <w:r w:rsidRPr="00D52B58">
        <w:rPr>
          <w:rFonts w:eastAsia="MS Gothic"/>
          <w:color w:val="000000"/>
        </w:rPr>
        <w:t xml:space="preserve"> correction. For each CpG loci, m</w:t>
      </w:r>
      <w:r w:rsidRPr="00D52B58">
        <w:rPr>
          <w:lang w:eastAsia="zh-CN"/>
        </w:rPr>
        <w:t>eans without a common letter differ significantly (</w:t>
      </w:r>
      <w:r w:rsidRPr="00D52B58">
        <w:rPr>
          <w:rFonts w:eastAsia="MS Gothic"/>
          <w:color w:val="000000"/>
        </w:rPr>
        <w:t>P &lt; 0.05).</w:t>
      </w:r>
      <w:r>
        <w:rPr>
          <w:rFonts w:eastAsia="MS Gothic"/>
          <w:color w:val="000000"/>
        </w:rPr>
        <w:t xml:space="preserve"> </w:t>
      </w:r>
      <w:r w:rsidRPr="00D52B58">
        <w:rPr>
          <w:rFonts w:eastAsia="MS Gothic"/>
          <w:color w:val="000000"/>
        </w:rPr>
        <w:t>(only differences that were ≥ 5%</w:t>
      </w:r>
      <w:r>
        <w:rPr>
          <w:rFonts w:eastAsia="MS Gothic"/>
          <w:color w:val="000000"/>
        </w:rPr>
        <w:t xml:space="preserve"> methylation</w:t>
      </w:r>
      <w:r w:rsidRPr="00D52B58">
        <w:rPr>
          <w:rFonts w:eastAsia="MS Gothic"/>
          <w:color w:val="000000"/>
        </w:rPr>
        <w:t xml:space="preserve"> are marked). Dotted line indicates the limit of detection of the analysis.</w:t>
      </w:r>
    </w:p>
    <w:p w14:paraId="23FFCA6D" w14:textId="74EFC903" w:rsidR="0000680A" w:rsidRDefault="0000680A">
      <w:pPr>
        <w:rPr>
          <w:lang w:val="en-US"/>
        </w:rPr>
      </w:pPr>
      <w:r>
        <w:rPr>
          <w:lang w:val="en-US"/>
        </w:rPr>
        <w:br w:type="page"/>
      </w:r>
    </w:p>
    <w:p w14:paraId="2DFF5F6B" w14:textId="42DFEAEE" w:rsidR="00D6576A" w:rsidRPr="00D52B58" w:rsidRDefault="0000680A" w:rsidP="00A61B64">
      <w:pPr>
        <w:spacing w:line="480" w:lineRule="auto"/>
        <w:jc w:val="center"/>
        <w:rPr>
          <w:lang w:val="en-US"/>
        </w:rPr>
      </w:pPr>
      <w:r>
        <w:rPr>
          <w:noProof/>
          <w:lang w:val="en-US"/>
        </w:rPr>
        <w:drawing>
          <wp:inline distT="0" distB="0" distL="0" distR="0" wp14:anchorId="234493A4" wp14:editId="27F6C733">
            <wp:extent cx="6116955" cy="539559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27 November 2014.tif"/>
                    <pic:cNvPicPr/>
                  </pic:nvPicPr>
                  <pic:blipFill>
                    <a:blip r:embed="rId15">
                      <a:extLst>
                        <a:ext uri="{28A0092B-C50C-407E-A947-70E740481C1C}">
                          <a14:useLocalDpi xmlns:a14="http://schemas.microsoft.com/office/drawing/2010/main" val="0"/>
                        </a:ext>
                      </a:extLst>
                    </a:blip>
                    <a:stretch>
                      <a:fillRect/>
                    </a:stretch>
                  </pic:blipFill>
                  <pic:spPr>
                    <a:xfrm>
                      <a:off x="0" y="0"/>
                      <a:ext cx="6116955" cy="5395595"/>
                    </a:xfrm>
                    <a:prstGeom prst="rect">
                      <a:avLst/>
                    </a:prstGeom>
                  </pic:spPr>
                </pic:pic>
              </a:graphicData>
            </a:graphic>
          </wp:inline>
        </w:drawing>
      </w:r>
    </w:p>
    <w:p w14:paraId="27057F75" w14:textId="77777777" w:rsidR="00D6576A" w:rsidRPr="00C53C05" w:rsidRDefault="00D6576A" w:rsidP="00C53C05">
      <w:pPr>
        <w:pStyle w:val="EndNoteBibliography"/>
        <w:spacing w:line="480" w:lineRule="auto"/>
        <w:rPr>
          <w:rFonts w:eastAsia="MS Gothic"/>
          <w:color w:val="000000"/>
        </w:rPr>
      </w:pPr>
      <w:r w:rsidRPr="00CB66CA">
        <w:rPr>
          <w:b/>
        </w:rPr>
        <w:t>Fig</w:t>
      </w:r>
      <w:r>
        <w:rPr>
          <w:b/>
        </w:rPr>
        <w:t>.</w:t>
      </w:r>
      <w:r w:rsidRPr="00CB66CA">
        <w:rPr>
          <w:b/>
        </w:rPr>
        <w:t xml:space="preserve"> 6.</w:t>
      </w:r>
      <w:r>
        <w:t xml:space="preserve"> </w:t>
      </w:r>
      <w:r w:rsidRPr="00D52B58">
        <w:t xml:space="preserve">BRCA2 DNA methylation. The methylation status of individual CpG loci was </w:t>
      </w:r>
      <w:bookmarkStart w:id="68" w:name="_GoBack"/>
      <w:bookmarkEnd w:id="68"/>
      <w:r w:rsidRPr="00D52B58">
        <w:t xml:space="preserve">measured in liver (A), breast (B), ovarian (C) and leukocyte (D) cell lines without the addition of FA by bisulphite pyrosequencing. Values are mean </w:t>
      </w:r>
      <w:r w:rsidRPr="00D52B58">
        <w:rPr>
          <w:rFonts w:eastAsia="MS Gothic"/>
          <w:color w:val="000000"/>
        </w:rPr>
        <w:t xml:space="preserve">± SE (n = 10 replicate cultures). Data were </w:t>
      </w:r>
      <w:r w:rsidRPr="00D52B58">
        <w:rPr>
          <w:rFonts w:eastAsia="MS Gothic"/>
          <w:color w:val="000000"/>
          <w:lang w:val="en-GB"/>
        </w:rPr>
        <w:t>analysed</w:t>
      </w:r>
      <w:r w:rsidRPr="00D52B58">
        <w:rPr>
          <w:rFonts w:eastAsia="MS Gothic"/>
          <w:color w:val="000000"/>
        </w:rPr>
        <w:t xml:space="preserve"> by 1-way ANOVA using Bonferroni’s </w:t>
      </w:r>
      <w:r w:rsidRPr="00D52B58">
        <w:rPr>
          <w:rFonts w:eastAsia="MS Gothic"/>
          <w:i/>
          <w:color w:val="000000"/>
        </w:rPr>
        <w:t>post hoc</w:t>
      </w:r>
      <w:r w:rsidRPr="00D52B58">
        <w:rPr>
          <w:rFonts w:eastAsia="MS Gothic"/>
          <w:color w:val="000000"/>
        </w:rPr>
        <w:t xml:space="preserve"> correction. For each CpG loci, m</w:t>
      </w:r>
      <w:r w:rsidRPr="00D52B58">
        <w:rPr>
          <w:lang w:eastAsia="zh-CN"/>
        </w:rPr>
        <w:t>eans without a common letter differ significantly (</w:t>
      </w:r>
      <w:r w:rsidRPr="00D52B58">
        <w:rPr>
          <w:rFonts w:eastAsia="MS Gothic"/>
          <w:color w:val="000000"/>
        </w:rPr>
        <w:t>P &lt; 0.05) (only differences that were ≥ 5%</w:t>
      </w:r>
      <w:r>
        <w:rPr>
          <w:rFonts w:eastAsia="MS Gothic"/>
          <w:color w:val="000000"/>
        </w:rPr>
        <w:t xml:space="preserve"> methylation</w:t>
      </w:r>
      <w:r w:rsidRPr="00D52B58">
        <w:rPr>
          <w:rFonts w:eastAsia="MS Gothic"/>
          <w:color w:val="000000"/>
        </w:rPr>
        <w:t xml:space="preserve"> are marked).</w:t>
      </w:r>
      <w:r>
        <w:rPr>
          <w:rFonts w:eastAsia="MS Gothic"/>
          <w:color w:val="000000"/>
        </w:rPr>
        <w:t xml:space="preserve"> </w:t>
      </w:r>
      <w:r w:rsidRPr="00D52B58">
        <w:rPr>
          <w:rFonts w:eastAsia="MS Gothic"/>
          <w:color w:val="000000"/>
        </w:rPr>
        <w:t>Dotted line indicates the limit of detection of the analysis.</w:t>
      </w:r>
    </w:p>
    <w:p w14:paraId="18F76666" w14:textId="77777777" w:rsidR="004F226A" w:rsidRDefault="004F226A"/>
    <w:sectPr w:rsidR="004F226A" w:rsidSect="00A61B64">
      <w:pgSz w:w="11901"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2D1CC" w14:textId="77777777" w:rsidR="00000000" w:rsidRDefault="0000680A">
      <w:r>
        <w:separator/>
      </w:r>
    </w:p>
  </w:endnote>
  <w:endnote w:type="continuationSeparator" w:id="0">
    <w:p w14:paraId="155EB33A" w14:textId="77777777" w:rsidR="00000000" w:rsidRDefault="0000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0280D" w14:textId="77777777" w:rsidR="00EF2241" w:rsidRDefault="00EF2241" w:rsidP="00A61B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AAD621F" w14:textId="77777777" w:rsidR="00EF2241" w:rsidRDefault="00EF2241" w:rsidP="00A61B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32038" w14:textId="77777777" w:rsidR="00EF2241" w:rsidRDefault="00EF2241" w:rsidP="00A61B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80A">
      <w:rPr>
        <w:rStyle w:val="PageNumber"/>
        <w:noProof/>
      </w:rPr>
      <w:t>1</w:t>
    </w:r>
    <w:r>
      <w:rPr>
        <w:rStyle w:val="PageNumber"/>
      </w:rPr>
      <w:fldChar w:fldCharType="end"/>
    </w:r>
  </w:p>
  <w:p w14:paraId="6D47F6FB" w14:textId="77777777" w:rsidR="00EF2241" w:rsidRDefault="00EF2241" w:rsidP="00A61B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3BFB1" w14:textId="77777777" w:rsidR="00000000" w:rsidRDefault="0000680A">
      <w:r>
        <w:separator/>
      </w:r>
    </w:p>
  </w:footnote>
  <w:footnote w:type="continuationSeparator" w:id="0">
    <w:p w14:paraId="00B78EF2" w14:textId="77777777" w:rsidR="00000000" w:rsidRDefault="0000680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96F3A"/>
    <w:multiLevelType w:val="hybridMultilevel"/>
    <w:tmpl w:val="739225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6576A"/>
    <w:rsid w:val="00001EED"/>
    <w:rsid w:val="0000680A"/>
    <w:rsid w:val="004F226A"/>
    <w:rsid w:val="00967C35"/>
    <w:rsid w:val="00A61B64"/>
    <w:rsid w:val="00C53C05"/>
    <w:rsid w:val="00D6576A"/>
    <w:rsid w:val="00DE27B0"/>
    <w:rsid w:val="00EF22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9DFD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76A"/>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76A"/>
    <w:rPr>
      <w:color w:val="0000FF" w:themeColor="hyperlink"/>
      <w:u w:val="single"/>
    </w:rPr>
  </w:style>
  <w:style w:type="paragraph" w:styleId="Footer">
    <w:name w:val="footer"/>
    <w:basedOn w:val="Normal"/>
    <w:link w:val="FooterChar"/>
    <w:uiPriority w:val="99"/>
    <w:unhideWhenUsed/>
    <w:rsid w:val="00D6576A"/>
    <w:pPr>
      <w:tabs>
        <w:tab w:val="center" w:pos="4320"/>
        <w:tab w:val="right" w:pos="8640"/>
      </w:tabs>
    </w:pPr>
  </w:style>
  <w:style w:type="character" w:customStyle="1" w:styleId="FooterChar">
    <w:name w:val="Footer Char"/>
    <w:basedOn w:val="DefaultParagraphFont"/>
    <w:link w:val="Footer"/>
    <w:uiPriority w:val="99"/>
    <w:rsid w:val="00D6576A"/>
    <w:rPr>
      <w:rFonts w:cs="Arial"/>
    </w:rPr>
  </w:style>
  <w:style w:type="character" w:styleId="PageNumber">
    <w:name w:val="page number"/>
    <w:basedOn w:val="DefaultParagraphFont"/>
    <w:uiPriority w:val="99"/>
    <w:semiHidden/>
    <w:unhideWhenUsed/>
    <w:rsid w:val="00D6576A"/>
  </w:style>
  <w:style w:type="table" w:styleId="TableGrid">
    <w:name w:val="Table Grid"/>
    <w:basedOn w:val="TableNormal"/>
    <w:uiPriority w:val="59"/>
    <w:rsid w:val="00D6576A"/>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576A"/>
    <w:pPr>
      <w:spacing w:before="100" w:beforeAutospacing="1" w:after="100" w:afterAutospacing="1"/>
    </w:pPr>
    <w:rPr>
      <w:rFonts w:ascii="Times New Roman" w:hAnsi="Times New Roman" w:cs="Times New Roman"/>
      <w:lang w:eastAsia="zh-CN"/>
    </w:rPr>
  </w:style>
  <w:style w:type="paragraph" w:customStyle="1" w:styleId="EndNoteBibliographyTitle">
    <w:name w:val="EndNote Bibliography Title"/>
    <w:basedOn w:val="Normal"/>
    <w:rsid w:val="00D6576A"/>
    <w:pPr>
      <w:jc w:val="center"/>
    </w:pPr>
    <w:rPr>
      <w:lang w:val="en-US"/>
    </w:rPr>
  </w:style>
  <w:style w:type="paragraph" w:customStyle="1" w:styleId="EndNoteBibliography">
    <w:name w:val="EndNote Bibliography"/>
    <w:basedOn w:val="Normal"/>
    <w:rsid w:val="00D6576A"/>
    <w:rPr>
      <w:lang w:val="en-US"/>
    </w:rPr>
  </w:style>
  <w:style w:type="paragraph" w:styleId="BalloonText">
    <w:name w:val="Balloon Text"/>
    <w:basedOn w:val="Normal"/>
    <w:link w:val="BalloonTextChar"/>
    <w:uiPriority w:val="99"/>
    <w:semiHidden/>
    <w:unhideWhenUsed/>
    <w:rsid w:val="00D6576A"/>
    <w:rPr>
      <w:rFonts w:ascii="Tahoma" w:hAnsi="Tahoma" w:cs="Tahoma"/>
      <w:sz w:val="16"/>
      <w:szCs w:val="16"/>
    </w:rPr>
  </w:style>
  <w:style w:type="character" w:customStyle="1" w:styleId="BalloonTextChar">
    <w:name w:val="Balloon Text Char"/>
    <w:basedOn w:val="DefaultParagraphFont"/>
    <w:link w:val="BalloonText"/>
    <w:uiPriority w:val="99"/>
    <w:semiHidden/>
    <w:rsid w:val="00D6576A"/>
    <w:rPr>
      <w:rFonts w:ascii="Tahoma" w:hAnsi="Tahoma" w:cs="Tahoma"/>
      <w:sz w:val="16"/>
      <w:szCs w:val="16"/>
    </w:rPr>
  </w:style>
  <w:style w:type="paragraph" w:styleId="ListParagraph">
    <w:name w:val="List Paragraph"/>
    <w:basedOn w:val="Normal"/>
    <w:uiPriority w:val="34"/>
    <w:qFormat/>
    <w:rsid w:val="00D6576A"/>
    <w:pPr>
      <w:ind w:left="720"/>
      <w:contextualSpacing/>
    </w:pPr>
  </w:style>
  <w:style w:type="character" w:styleId="CommentReference">
    <w:name w:val="annotation reference"/>
    <w:basedOn w:val="DefaultParagraphFont"/>
    <w:uiPriority w:val="99"/>
    <w:semiHidden/>
    <w:unhideWhenUsed/>
    <w:rsid w:val="00D6576A"/>
    <w:rPr>
      <w:sz w:val="16"/>
      <w:szCs w:val="16"/>
    </w:rPr>
  </w:style>
  <w:style w:type="paragraph" w:styleId="CommentText">
    <w:name w:val="annotation text"/>
    <w:basedOn w:val="Normal"/>
    <w:link w:val="CommentTextChar"/>
    <w:uiPriority w:val="99"/>
    <w:semiHidden/>
    <w:unhideWhenUsed/>
    <w:rsid w:val="00D6576A"/>
    <w:rPr>
      <w:sz w:val="20"/>
      <w:szCs w:val="20"/>
    </w:rPr>
  </w:style>
  <w:style w:type="character" w:customStyle="1" w:styleId="CommentTextChar">
    <w:name w:val="Comment Text Char"/>
    <w:basedOn w:val="DefaultParagraphFont"/>
    <w:link w:val="CommentText"/>
    <w:uiPriority w:val="99"/>
    <w:semiHidden/>
    <w:rsid w:val="00D6576A"/>
    <w:rPr>
      <w:rFonts w:cs="Arial"/>
      <w:sz w:val="20"/>
      <w:szCs w:val="20"/>
    </w:rPr>
  </w:style>
  <w:style w:type="paragraph" w:styleId="CommentSubject">
    <w:name w:val="annotation subject"/>
    <w:basedOn w:val="CommentText"/>
    <w:next w:val="CommentText"/>
    <w:link w:val="CommentSubjectChar"/>
    <w:uiPriority w:val="99"/>
    <w:semiHidden/>
    <w:unhideWhenUsed/>
    <w:rsid w:val="00D6576A"/>
    <w:rPr>
      <w:b/>
      <w:bCs/>
    </w:rPr>
  </w:style>
  <w:style w:type="character" w:customStyle="1" w:styleId="CommentSubjectChar">
    <w:name w:val="Comment Subject Char"/>
    <w:basedOn w:val="CommentTextChar"/>
    <w:link w:val="CommentSubject"/>
    <w:uiPriority w:val="99"/>
    <w:semiHidden/>
    <w:rsid w:val="00D6576A"/>
    <w:rPr>
      <w:rFonts w:cs="Arial"/>
      <w:b/>
      <w:bCs/>
      <w:sz w:val="20"/>
      <w:szCs w:val="20"/>
    </w:rPr>
  </w:style>
  <w:style w:type="character" w:styleId="LineNumber">
    <w:name w:val="line number"/>
    <w:basedOn w:val="DefaultParagraphFont"/>
    <w:uiPriority w:val="99"/>
    <w:semiHidden/>
    <w:unhideWhenUsed/>
    <w:rsid w:val="00D657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76A"/>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76A"/>
    <w:rPr>
      <w:color w:val="0000FF" w:themeColor="hyperlink"/>
      <w:u w:val="single"/>
    </w:rPr>
  </w:style>
  <w:style w:type="paragraph" w:styleId="Footer">
    <w:name w:val="footer"/>
    <w:basedOn w:val="Normal"/>
    <w:link w:val="FooterChar"/>
    <w:uiPriority w:val="99"/>
    <w:unhideWhenUsed/>
    <w:rsid w:val="00D6576A"/>
    <w:pPr>
      <w:tabs>
        <w:tab w:val="center" w:pos="4320"/>
        <w:tab w:val="right" w:pos="8640"/>
      </w:tabs>
    </w:pPr>
  </w:style>
  <w:style w:type="character" w:customStyle="1" w:styleId="FooterChar">
    <w:name w:val="Footer Char"/>
    <w:basedOn w:val="DefaultParagraphFont"/>
    <w:link w:val="Footer"/>
    <w:uiPriority w:val="99"/>
    <w:rsid w:val="00D6576A"/>
    <w:rPr>
      <w:rFonts w:cs="Arial"/>
    </w:rPr>
  </w:style>
  <w:style w:type="character" w:styleId="PageNumber">
    <w:name w:val="page number"/>
    <w:basedOn w:val="DefaultParagraphFont"/>
    <w:uiPriority w:val="99"/>
    <w:semiHidden/>
    <w:unhideWhenUsed/>
    <w:rsid w:val="00D6576A"/>
  </w:style>
  <w:style w:type="table" w:styleId="TableGrid">
    <w:name w:val="Table Grid"/>
    <w:basedOn w:val="TableNormal"/>
    <w:uiPriority w:val="59"/>
    <w:rsid w:val="00D6576A"/>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576A"/>
    <w:pPr>
      <w:spacing w:before="100" w:beforeAutospacing="1" w:after="100" w:afterAutospacing="1"/>
    </w:pPr>
    <w:rPr>
      <w:rFonts w:ascii="Times New Roman" w:hAnsi="Times New Roman" w:cs="Times New Roman"/>
      <w:lang w:eastAsia="zh-CN"/>
    </w:rPr>
  </w:style>
  <w:style w:type="paragraph" w:customStyle="1" w:styleId="EndNoteBibliographyTitle">
    <w:name w:val="EndNote Bibliography Title"/>
    <w:basedOn w:val="Normal"/>
    <w:rsid w:val="00D6576A"/>
    <w:pPr>
      <w:jc w:val="center"/>
    </w:pPr>
    <w:rPr>
      <w:lang w:val="en-US"/>
    </w:rPr>
  </w:style>
  <w:style w:type="paragraph" w:customStyle="1" w:styleId="EndNoteBibliography">
    <w:name w:val="EndNote Bibliography"/>
    <w:basedOn w:val="Normal"/>
    <w:rsid w:val="00D6576A"/>
    <w:rPr>
      <w:lang w:val="en-US"/>
    </w:rPr>
  </w:style>
  <w:style w:type="paragraph" w:styleId="BalloonText">
    <w:name w:val="Balloon Text"/>
    <w:basedOn w:val="Normal"/>
    <w:link w:val="BalloonTextChar"/>
    <w:uiPriority w:val="99"/>
    <w:semiHidden/>
    <w:unhideWhenUsed/>
    <w:rsid w:val="00D6576A"/>
    <w:rPr>
      <w:rFonts w:ascii="Tahoma" w:hAnsi="Tahoma" w:cs="Tahoma"/>
      <w:sz w:val="16"/>
      <w:szCs w:val="16"/>
    </w:rPr>
  </w:style>
  <w:style w:type="character" w:customStyle="1" w:styleId="BalloonTextChar">
    <w:name w:val="Balloon Text Char"/>
    <w:basedOn w:val="DefaultParagraphFont"/>
    <w:link w:val="BalloonText"/>
    <w:uiPriority w:val="99"/>
    <w:semiHidden/>
    <w:rsid w:val="00D6576A"/>
    <w:rPr>
      <w:rFonts w:ascii="Tahoma" w:hAnsi="Tahoma" w:cs="Tahoma"/>
      <w:sz w:val="16"/>
      <w:szCs w:val="16"/>
    </w:rPr>
  </w:style>
  <w:style w:type="paragraph" w:styleId="ListParagraph">
    <w:name w:val="List Paragraph"/>
    <w:basedOn w:val="Normal"/>
    <w:uiPriority w:val="34"/>
    <w:qFormat/>
    <w:rsid w:val="00D6576A"/>
    <w:pPr>
      <w:ind w:left="720"/>
      <w:contextualSpacing/>
    </w:pPr>
  </w:style>
  <w:style w:type="character" w:styleId="CommentReference">
    <w:name w:val="annotation reference"/>
    <w:basedOn w:val="DefaultParagraphFont"/>
    <w:uiPriority w:val="99"/>
    <w:semiHidden/>
    <w:unhideWhenUsed/>
    <w:rsid w:val="00D6576A"/>
    <w:rPr>
      <w:sz w:val="16"/>
      <w:szCs w:val="16"/>
    </w:rPr>
  </w:style>
  <w:style w:type="paragraph" w:styleId="CommentText">
    <w:name w:val="annotation text"/>
    <w:basedOn w:val="Normal"/>
    <w:link w:val="CommentTextChar"/>
    <w:uiPriority w:val="99"/>
    <w:semiHidden/>
    <w:unhideWhenUsed/>
    <w:rsid w:val="00D6576A"/>
    <w:rPr>
      <w:sz w:val="20"/>
      <w:szCs w:val="20"/>
    </w:rPr>
  </w:style>
  <w:style w:type="character" w:customStyle="1" w:styleId="CommentTextChar">
    <w:name w:val="Comment Text Char"/>
    <w:basedOn w:val="DefaultParagraphFont"/>
    <w:link w:val="CommentText"/>
    <w:uiPriority w:val="99"/>
    <w:semiHidden/>
    <w:rsid w:val="00D6576A"/>
    <w:rPr>
      <w:rFonts w:cs="Arial"/>
      <w:sz w:val="20"/>
      <w:szCs w:val="20"/>
    </w:rPr>
  </w:style>
  <w:style w:type="paragraph" w:styleId="CommentSubject">
    <w:name w:val="annotation subject"/>
    <w:basedOn w:val="CommentText"/>
    <w:next w:val="CommentText"/>
    <w:link w:val="CommentSubjectChar"/>
    <w:uiPriority w:val="99"/>
    <w:semiHidden/>
    <w:unhideWhenUsed/>
    <w:rsid w:val="00D6576A"/>
    <w:rPr>
      <w:b/>
      <w:bCs/>
    </w:rPr>
  </w:style>
  <w:style w:type="character" w:customStyle="1" w:styleId="CommentSubjectChar">
    <w:name w:val="Comment Subject Char"/>
    <w:basedOn w:val="CommentTextChar"/>
    <w:link w:val="CommentSubject"/>
    <w:uiPriority w:val="99"/>
    <w:semiHidden/>
    <w:rsid w:val="00D6576A"/>
    <w:rPr>
      <w:rFonts w:cs="Arial"/>
      <w:b/>
      <w:bCs/>
      <w:sz w:val="20"/>
      <w:szCs w:val="20"/>
    </w:rPr>
  </w:style>
  <w:style w:type="character" w:styleId="LineNumber">
    <w:name w:val="line number"/>
    <w:basedOn w:val="DefaultParagraphFont"/>
    <w:uiPriority w:val="99"/>
    <w:semiHidden/>
    <w:unhideWhenUsed/>
    <w:rsid w:val="00D65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19392">
      <w:bodyDiv w:val="1"/>
      <w:marLeft w:val="0"/>
      <w:marRight w:val="0"/>
      <w:marTop w:val="0"/>
      <w:marBottom w:val="0"/>
      <w:divBdr>
        <w:top w:val="none" w:sz="0" w:space="0" w:color="auto"/>
        <w:left w:val="none" w:sz="0" w:space="0" w:color="auto"/>
        <w:bottom w:val="none" w:sz="0" w:space="0" w:color="auto"/>
        <w:right w:val="none" w:sz="0" w:space="0" w:color="auto"/>
      </w:divBdr>
      <w:divsChild>
        <w:div w:id="1123960123">
          <w:marLeft w:val="0"/>
          <w:marRight w:val="0"/>
          <w:marTop w:val="0"/>
          <w:marBottom w:val="0"/>
          <w:divBdr>
            <w:top w:val="none" w:sz="0" w:space="0" w:color="auto"/>
            <w:left w:val="none" w:sz="0" w:space="0" w:color="auto"/>
            <w:bottom w:val="none" w:sz="0" w:space="0" w:color="auto"/>
            <w:right w:val="none" w:sz="0" w:space="0" w:color="auto"/>
          </w:divBdr>
          <w:divsChild>
            <w:div w:id="247346348">
              <w:marLeft w:val="0"/>
              <w:marRight w:val="0"/>
              <w:marTop w:val="0"/>
              <w:marBottom w:val="0"/>
              <w:divBdr>
                <w:top w:val="none" w:sz="0" w:space="0" w:color="auto"/>
                <w:left w:val="none" w:sz="0" w:space="0" w:color="auto"/>
                <w:bottom w:val="none" w:sz="0" w:space="0" w:color="auto"/>
                <w:right w:val="none" w:sz="0" w:space="0" w:color="auto"/>
              </w:divBdr>
              <w:divsChild>
                <w:div w:id="14804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7608</Words>
  <Characters>43370</Characters>
  <Application>Microsoft Macintosh Word</Application>
  <DocSecurity>0</DocSecurity>
  <Lines>361</Lines>
  <Paragraphs>101</Paragraphs>
  <ScaleCrop>false</ScaleCrop>
  <Company/>
  <LinksUpToDate>false</LinksUpToDate>
  <CharactersWithSpaces>50877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Graham</cp:lastModifiedBy>
  <cp:revision>2</cp:revision>
  <dcterms:created xsi:type="dcterms:W3CDTF">2015-04-10T12:12:00Z</dcterms:created>
  <dcterms:modified xsi:type="dcterms:W3CDTF">2015-04-10T12:12:00Z</dcterms:modified>
</cp:coreProperties>
</file>