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D1" w:rsidRPr="00963E6F" w:rsidRDefault="002A51D1" w:rsidP="002A51D1">
      <w:pPr>
        <w:spacing w:after="0"/>
        <w:jc w:val="both"/>
        <w:rPr>
          <w:rFonts w:ascii="Arial" w:hAnsi="Arial" w:cs="Arial"/>
          <w:b/>
        </w:rPr>
      </w:pPr>
      <w:bookmarkStart w:id="0" w:name="_GoBack"/>
      <w:bookmarkEnd w:id="0"/>
      <w:proofErr w:type="gramStart"/>
      <w:r w:rsidRPr="00963E6F">
        <w:rPr>
          <w:rFonts w:ascii="Arial" w:hAnsi="Arial" w:cs="Arial"/>
          <w:b/>
        </w:rPr>
        <w:t>Table 1: Meta-analyses of maternal vitamin D status (intake and serum 25-hydroxyvitamin D level) and risk of pre-eclampsia.</w:t>
      </w:r>
      <w:proofErr w:type="gramEnd"/>
      <w:r w:rsidRPr="00963E6F">
        <w:rPr>
          <w:rFonts w:ascii="Arial" w:hAnsi="Arial" w:cs="Arial"/>
          <w:b/>
        </w:rPr>
        <w:t xml:space="preserve"> </w:t>
      </w:r>
    </w:p>
    <w:tbl>
      <w:tblPr>
        <w:tblStyle w:val="TableGrid"/>
        <w:tblpPr w:leftFromText="180" w:rightFromText="180" w:horzAnchor="margin" w:tblpY="405"/>
        <w:tblW w:w="144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556"/>
        <w:gridCol w:w="1039"/>
        <w:gridCol w:w="1039"/>
        <w:gridCol w:w="5013"/>
        <w:gridCol w:w="1275"/>
        <w:gridCol w:w="1908"/>
      </w:tblGrid>
      <w:tr w:rsidR="002A51D1" w:rsidTr="00D115BD">
        <w:trPr>
          <w:trHeight w:val="751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A51D1" w:rsidRPr="005D303A" w:rsidRDefault="002A51D1" w:rsidP="00D115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303A">
              <w:rPr>
                <w:rFonts w:ascii="Arial" w:hAnsi="Arial" w:cs="Arial"/>
                <w:b/>
                <w:sz w:val="20"/>
                <w:szCs w:val="20"/>
              </w:rPr>
              <w:t>Author</w:t>
            </w:r>
          </w:p>
        </w:tc>
        <w:tc>
          <w:tcPr>
            <w:tcW w:w="1556" w:type="dxa"/>
            <w:vMerge w:val="restart"/>
            <w:tcBorders>
              <w:top w:val="single" w:sz="12" w:space="0" w:color="auto"/>
            </w:tcBorders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03A">
              <w:rPr>
                <w:rFonts w:ascii="Arial" w:hAnsi="Arial" w:cs="Arial"/>
                <w:b/>
                <w:sz w:val="20"/>
                <w:szCs w:val="20"/>
              </w:rPr>
              <w:t>Publication cut-off</w:t>
            </w:r>
          </w:p>
        </w:tc>
        <w:tc>
          <w:tcPr>
            <w:tcW w:w="1039" w:type="dxa"/>
            <w:vMerge w:val="restart"/>
            <w:tcBorders>
              <w:top w:val="single" w:sz="12" w:space="0" w:color="auto"/>
            </w:tcBorders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03A">
              <w:rPr>
                <w:rFonts w:ascii="Arial" w:hAnsi="Arial" w:cs="Arial"/>
                <w:b/>
                <w:sz w:val="20"/>
                <w:szCs w:val="20"/>
              </w:rPr>
              <w:t>Number of studies included</w:t>
            </w:r>
          </w:p>
        </w:tc>
        <w:tc>
          <w:tcPr>
            <w:tcW w:w="1039" w:type="dxa"/>
            <w:vMerge w:val="restart"/>
            <w:tcBorders>
              <w:top w:val="single" w:sz="12" w:space="0" w:color="auto"/>
            </w:tcBorders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03A">
              <w:rPr>
                <w:rFonts w:ascii="Arial" w:hAnsi="Arial" w:cs="Arial"/>
                <w:b/>
                <w:sz w:val="20"/>
                <w:szCs w:val="20"/>
              </w:rPr>
              <w:t>Number of women included</w:t>
            </w:r>
          </w:p>
        </w:tc>
        <w:tc>
          <w:tcPr>
            <w:tcW w:w="5013" w:type="dxa"/>
            <w:vMerge w:val="restart"/>
            <w:tcBorders>
              <w:top w:val="single" w:sz="12" w:space="0" w:color="auto"/>
              <w:bottom w:val="nil"/>
            </w:tcBorders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03A">
              <w:rPr>
                <w:rFonts w:ascii="Arial" w:hAnsi="Arial" w:cs="Arial"/>
                <w:b/>
                <w:sz w:val="20"/>
                <w:szCs w:val="20"/>
              </w:rPr>
              <w:t>Comparison</w:t>
            </w:r>
          </w:p>
        </w:tc>
        <w:tc>
          <w:tcPr>
            <w:tcW w:w="318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 of preeclampsia</w:t>
            </w:r>
            <w:r w:rsidRPr="005D303A">
              <w:rPr>
                <w:rFonts w:ascii="Arial" w:hAnsi="Arial" w:cs="Arial"/>
                <w:b/>
                <w:sz w:val="20"/>
                <w:szCs w:val="20"/>
              </w:rPr>
              <w:t xml:space="preserve"> with low vitamin D status</w:t>
            </w:r>
          </w:p>
        </w:tc>
      </w:tr>
      <w:tr w:rsidR="002A51D1" w:rsidTr="00D115BD">
        <w:trPr>
          <w:trHeight w:val="511"/>
        </w:trPr>
        <w:tc>
          <w:tcPr>
            <w:tcW w:w="26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A51D1" w:rsidRPr="005D303A" w:rsidRDefault="002A51D1" w:rsidP="00D115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bottom w:val="single" w:sz="12" w:space="0" w:color="auto"/>
            </w:tcBorders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bottom w:val="single" w:sz="12" w:space="0" w:color="auto"/>
            </w:tcBorders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bottom w:val="single" w:sz="12" w:space="0" w:color="auto"/>
            </w:tcBorders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3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20"/>
                <w:szCs w:val="20"/>
              </w:rPr>
              <w:t>Direction of effect</w:t>
            </w:r>
          </w:p>
        </w:tc>
        <w:tc>
          <w:tcPr>
            <w:tcW w:w="1908" w:type="dxa"/>
            <w:tcBorders>
              <w:bottom w:val="single" w:sz="12" w:space="0" w:color="auto"/>
              <w:right w:val="single" w:sz="12" w:space="0" w:color="auto"/>
            </w:tcBorders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20"/>
                <w:szCs w:val="20"/>
              </w:rPr>
              <w:t>Reported odds ratio (95%CI)</w:t>
            </w:r>
          </w:p>
        </w:tc>
      </w:tr>
      <w:tr w:rsidR="002A51D1" w:rsidTr="00D115BD">
        <w:trPr>
          <w:trHeight w:val="237"/>
        </w:trPr>
        <w:tc>
          <w:tcPr>
            <w:tcW w:w="14490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A51D1" w:rsidRPr="005D303A" w:rsidRDefault="002A51D1" w:rsidP="00D115BD">
            <w:pPr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b/>
                <w:sz w:val="20"/>
                <w:szCs w:val="20"/>
              </w:rPr>
              <w:t>Vitamin D intake</w:t>
            </w:r>
          </w:p>
        </w:tc>
      </w:tr>
      <w:tr w:rsidR="002A51D1" w:rsidTr="00D115BD">
        <w:trPr>
          <w:trHeight w:val="340"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2A51D1" w:rsidRPr="005D303A" w:rsidRDefault="002A51D1" w:rsidP="00D115BD">
            <w:pPr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20"/>
                <w:szCs w:val="20"/>
              </w:rPr>
              <w:t>Thorne-Lyman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303A">
              <w:rPr>
                <w:rFonts w:ascii="Arial" w:hAnsi="Arial" w:cs="Arial"/>
                <w:sz w:val="20"/>
                <w:szCs w:val="20"/>
              </w:rPr>
              <w:t xml:space="preserve"> 2012 </w:t>
            </w:r>
            <w:hyperlink w:anchor="_ENREF_43" w:tooltip="Thorne-Lyman, 2012 #69" w:history="1">
              <w:r>
                <w:rPr>
                  <w:rFonts w:ascii="Arial" w:hAnsi="Arial" w:cs="Arial"/>
                  <w:sz w:val="20"/>
                  <w:szCs w:val="20"/>
                </w:rPr>
                <w:fldChar w:fldCharType="begin">
                  <w:fldData xml:space="preserve">PEVuZE5vdGU+PENpdGU+PEF1dGhvcj5UaG9ybmUtTHltYW48L0F1dGhvcj48WWVhcj4yMDEyPC9Z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</w:fldData>
                </w:fldChar>
              </w:r>
              <w:r>
                <w:rPr>
                  <w:rFonts w:ascii="Arial" w:hAnsi="Arial" w:cs="Arial"/>
                  <w:sz w:val="20"/>
                  <w:szCs w:val="20"/>
                </w:rPr>
                <w:instrText xml:space="preserve"> ADDIN EN.CITE </w:instrTex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begin">
                  <w:fldData xml:space="preserve">PEVuZE5vdGU+PENpdGU+PEF1dGhvcj5UaG9ybmUtTHltYW48L0F1dGhvcj48WWVhcj4yMDEyPC9Z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</w:fldData>
                </w:fldChar>
              </w:r>
              <w:r>
                <w:rPr>
                  <w:rFonts w:ascii="Arial" w:hAnsi="Arial" w:cs="Arial"/>
                  <w:sz w:val="20"/>
                  <w:szCs w:val="20"/>
                </w:rPr>
                <w:instrText xml:space="preserve"> ADDIN EN.CITE.DATA </w:instrText>
              </w:r>
              <w:r>
                <w:rPr>
                  <w:rFonts w:ascii="Arial" w:hAnsi="Arial" w:cs="Arial"/>
                  <w:sz w:val="20"/>
                  <w:szCs w:val="20"/>
                </w:rPr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>
                <w:rPr>
                  <w:rFonts w:ascii="Arial" w:hAnsi="Arial" w:cs="Arial"/>
                  <w:sz w:val="20"/>
                  <w:szCs w:val="20"/>
                </w:rPr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477D2A">
                <w:rPr>
                  <w:rFonts w:ascii="Arial" w:hAnsi="Arial" w:cs="Arial"/>
                  <w:noProof/>
                  <w:sz w:val="20"/>
                  <w:szCs w:val="20"/>
                  <w:vertAlign w:val="superscript"/>
                </w:rPr>
                <w:t>43</w: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1556" w:type="dxa"/>
            <w:tcBorders>
              <w:top w:val="nil"/>
              <w:bottom w:val="single" w:sz="4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20"/>
                <w:szCs w:val="20"/>
              </w:rPr>
              <w:t>June 2011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20"/>
                <w:szCs w:val="20"/>
              </w:rPr>
              <w:t>25141</w:t>
            </w:r>
          </w:p>
        </w:tc>
        <w:tc>
          <w:tcPr>
            <w:tcW w:w="5013" w:type="dxa"/>
            <w:tcBorders>
              <w:top w:val="nil"/>
              <w:bottom w:val="single" w:sz="4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20"/>
                <w:szCs w:val="20"/>
              </w:rPr>
              <w:t>Highest vs lowest category of vitamin D intake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 w:rsidRPr="005D303A">
              <w:rPr>
                <w:rFonts w:ascii="Arial" w:hAnsi="Arial" w:cs="Arial"/>
                <w:sz w:val="32"/>
                <w:szCs w:val="20"/>
              </w:rPr>
              <w:t>↔</w:t>
            </w:r>
          </w:p>
        </w:tc>
        <w:tc>
          <w:tcPr>
            <w:tcW w:w="1908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20"/>
                <w:szCs w:val="20"/>
              </w:rPr>
              <w:t>0.95 (0.86,1.06)</w:t>
            </w:r>
          </w:p>
        </w:tc>
      </w:tr>
      <w:tr w:rsidR="002A51D1" w:rsidTr="00D115BD">
        <w:trPr>
          <w:trHeight w:val="701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51D1" w:rsidRPr="005D303A" w:rsidRDefault="002A51D1" w:rsidP="00D115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303A">
              <w:rPr>
                <w:rFonts w:ascii="Arial" w:hAnsi="Arial" w:cs="Arial"/>
                <w:sz w:val="20"/>
                <w:szCs w:val="20"/>
              </w:rPr>
              <w:t>Hypponen</w:t>
            </w:r>
            <w:proofErr w:type="spellEnd"/>
            <w:r w:rsidRPr="005D303A">
              <w:rPr>
                <w:rFonts w:ascii="Arial" w:hAnsi="Arial" w:cs="Arial"/>
                <w:sz w:val="20"/>
                <w:szCs w:val="20"/>
              </w:rPr>
              <w:t xml:space="preserve">, 2013 </w:t>
            </w:r>
            <w:hyperlink w:anchor="_ENREF_42" w:tooltip="Hypponen, 2013 #1167" w:history="1">
              <w:r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sz w:val="20"/>
                  <w:szCs w:val="20"/>
                </w:rPr>
                <w:instrText xml:space="preserve"> ADDIN EN.CITE &lt;EndNote&gt;&lt;Cite&gt;&lt;Author&gt;Hypponen&lt;/Author&gt;&lt;Year&gt;2013&lt;/Year&gt;&lt;RecNum&gt;1167&lt;/RecNum&gt;&lt;DisplayText&gt;&lt;style face="superscript"&gt;42&lt;/style&gt;&lt;/DisplayText&gt;&lt;record&gt;&lt;rec-number&gt;1167&lt;/rec-number&gt;&lt;foreign-keys&gt;&lt;key app="EN" db-id="aezfazfr55w2dee09auvzeanzd0axtt5x25v" timestamp="1406133917"&gt;1167&lt;/key&gt;&lt;/foreign-keys&gt;&lt;ref-type name="Journal Article"&gt;17&lt;/ref-type&gt;&lt;contributors&gt;&lt;authors&gt;&lt;author&gt;Hypponen, E.&lt;/author&gt;&lt;author&gt;Cavadino, A.&lt;/author&gt;&lt;author&gt;Williams, D.&lt;/author&gt;&lt;author&gt;Fraser, A.&lt;/author&gt;&lt;author&gt;Vereczkey, A.&lt;/author&gt;&lt;author&gt;Fraser, W. D.&lt;/author&gt;&lt;author&gt;Banhidy, F.&lt;/author&gt;&lt;author&gt;Lawlor, D.&lt;/author&gt;&lt;author&gt;Czeizel, A. E.&lt;/author&gt;&lt;/authors&gt;&lt;/contributors&gt;&lt;auth-address&gt;School of Population Health and Sansom Institute, University of South Australia, Adelaide, S.A., Australia.&lt;/auth-address&gt;&lt;titles&gt;&lt;title&gt;Vitamin D and pre-eclampsia: original data, systematic review and meta-analysis&lt;/title&gt;&lt;secondary-title&gt;Ann Nutr Metab&lt;/secondary-title&gt;&lt;alt-title&gt;Annals of nutrition &amp;amp; metabolism&lt;/alt-title&gt;&lt;/titles&gt;&lt;periodical&gt;&lt;full-title&gt;Ann Nutr Metab&lt;/full-title&gt;&lt;abbr-1&gt;Annals of nutrition &amp;amp; metabolism&lt;/abbr-1&gt;&lt;/periodical&gt;&lt;alt-periodical&gt;&lt;full-title&gt;Ann Nutr Metab&lt;/full-title&gt;&lt;abbr-1&gt;Annals of nutrition &amp;amp; metabolism&lt;/abbr-1&gt;&lt;/alt-periodical&gt;&lt;pages&gt;331-40&lt;/pages&gt;&lt;volume&gt;63&lt;/volume&gt;&lt;number&gt;4&lt;/number&gt;&lt;edition&gt;2014/03/08&lt;/edition&gt;&lt;dates&gt;&lt;year&gt;2013&lt;/year&gt;&lt;/dates&gt;&lt;isbn&gt;0250-6807&lt;/isbn&gt;&lt;accession-num&gt;24603503&lt;/accession-num&gt;&lt;urls&gt;&lt;/urls&gt;&lt;electronic-resource-num&gt;10.1159/000358338&lt;/electronic-resource-num&gt;&lt;remote-database-provider&gt;Nlm&lt;/remote-database-provider&gt;&lt;language&gt;eng&lt;/language&gt;&lt;/record&gt;&lt;/Cite&gt;&lt;/EndNote&gt;</w:instrTex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477D2A">
                <w:rPr>
                  <w:rFonts w:ascii="Arial" w:hAnsi="Arial" w:cs="Arial"/>
                  <w:noProof/>
                  <w:sz w:val="20"/>
                  <w:szCs w:val="20"/>
                  <w:vertAlign w:val="superscript"/>
                </w:rPr>
                <w:t>42</w: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15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20"/>
                <w:szCs w:val="20"/>
              </w:rPr>
              <w:t>March 2013 + inclusion of novel data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20"/>
                <w:szCs w:val="20"/>
              </w:rPr>
              <w:t>77165</w:t>
            </w:r>
          </w:p>
        </w:tc>
        <w:tc>
          <w:tcPr>
            <w:tcW w:w="501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Self-</w:t>
            </w:r>
            <w:r w:rsidRPr="005D303A">
              <w:rPr>
                <w:rFonts w:ascii="Arial" w:hAnsi="Arial" w:cs="Arial"/>
                <w:sz w:val="20"/>
                <w:szCs w:val="20"/>
              </w:rPr>
              <w:t xml:space="preserve">supplementation vs </w:t>
            </w:r>
            <w:proofErr w:type="spellStart"/>
            <w:r w:rsidRPr="005D303A">
              <w:rPr>
                <w:rFonts w:ascii="Arial" w:hAnsi="Arial" w:cs="Arial"/>
                <w:sz w:val="20"/>
                <w:szCs w:val="20"/>
              </w:rPr>
              <w:t>unsupplemented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 w:rsidRPr="005D303A">
              <w:rPr>
                <w:rFonts w:ascii="Arial" w:hAnsi="Arial" w:cs="Arial"/>
                <w:sz w:val="32"/>
                <w:szCs w:val="20"/>
              </w:rPr>
              <w:t>↑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20"/>
                <w:szCs w:val="20"/>
              </w:rPr>
              <w:t>1.23 (1.15, 1.33)</w:t>
            </w:r>
          </w:p>
        </w:tc>
      </w:tr>
      <w:tr w:rsidR="002A51D1" w:rsidTr="00D115BD">
        <w:trPr>
          <w:trHeight w:val="207"/>
        </w:trPr>
        <w:tc>
          <w:tcPr>
            <w:tcW w:w="14490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51D1" w:rsidRPr="005D303A" w:rsidRDefault="002A51D1" w:rsidP="00D115BD">
            <w:pPr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b/>
                <w:sz w:val="20"/>
                <w:szCs w:val="20"/>
              </w:rPr>
              <w:t>Serum 25(OH)D</w:t>
            </w:r>
          </w:p>
        </w:tc>
      </w:tr>
      <w:tr w:rsidR="002A51D1" w:rsidTr="00D115BD">
        <w:trPr>
          <w:trHeight w:val="340"/>
        </w:trPr>
        <w:tc>
          <w:tcPr>
            <w:tcW w:w="2660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2A51D1" w:rsidRPr="005D303A" w:rsidRDefault="002A51D1" w:rsidP="00D115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303A">
              <w:rPr>
                <w:rFonts w:ascii="Arial" w:hAnsi="Arial" w:cs="Arial"/>
                <w:sz w:val="20"/>
                <w:szCs w:val="20"/>
              </w:rPr>
              <w:t>Aghajafari</w:t>
            </w:r>
            <w:proofErr w:type="spellEnd"/>
            <w:r w:rsidRPr="005D303A">
              <w:rPr>
                <w:rFonts w:ascii="Arial" w:hAnsi="Arial" w:cs="Arial"/>
                <w:sz w:val="20"/>
                <w:szCs w:val="20"/>
              </w:rPr>
              <w:t xml:space="preserve">, 2013 </w:t>
            </w:r>
            <w:hyperlink w:anchor="_ENREF_44" w:tooltip="Aghajafari, 2013 #1013" w:history="1">
              <w:r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sz w:val="20"/>
                  <w:szCs w:val="20"/>
                </w:rPr>
                <w:instrText xml:space="preserve"> ADDIN EN.CITE &lt;EndNote&gt;&lt;Cite&gt;&lt;Author&gt;Aghajafari&lt;/Author&gt;&lt;Year&gt;2013&lt;/Year&gt;&lt;RecNum&gt;1013&lt;/RecNum&gt;&lt;DisplayText&gt;&lt;style face="superscript"&gt;44&lt;/style&gt;&lt;/DisplayText&gt;&lt;record&gt;&lt;rec-number&gt;1013&lt;/rec-number&gt;&lt;foreign-keys&gt;&lt;key app="EN" db-id="aezfazfr55w2dee09auvzeanzd0axtt5x25v" timestamp="1397423003"&gt;1013&lt;/key&gt;&lt;/foreign-keys&gt;&lt;ref-type name="Journal Article"&gt;17&lt;/ref-type&gt;&lt;contributors&gt;&lt;authors&gt;&lt;author&gt;Aghajafari, F.&lt;/author&gt;&lt;author&gt;Nagulesapillai, T.&lt;/author&gt;&lt;author&gt;Ronksley, P. E.&lt;/author&gt;&lt;author&gt;Tough, S. C.&lt;/author&gt;&lt;author&gt;O&amp;apos;Beirne, M.&lt;/author&gt;&lt;author&gt;Rabi, D. M.&lt;/author&gt;&lt;/authors&gt;&lt;/contributors&gt;&lt;auth-address&gt;Department of Community Health Sciences, University of Calgary, Calgary, Alberta T2N 4N1, Canada.&lt;/auth-address&gt;&lt;titles&gt;&lt;title&gt;Association between maternal serum 25-hydroxyvitamin D level and pregnancy and neonatal outcomes: systematic review and meta-analysis of observational studies&lt;/title&gt;&lt;secondary-title&gt;Bmj&lt;/secondary-title&gt;&lt;alt-title&gt;BMJ (Clinical research ed.)&lt;/alt-title&gt;&lt;/titles&gt;&lt;periodical&gt;&lt;full-title&gt;BMJ&lt;/full-title&gt;&lt;abbr-1&gt;Bmj&lt;/abbr-1&gt;&lt;/periodical&gt;&lt;pages&gt;f1169&lt;/pages&gt;&lt;volume&gt;346&lt;/volume&gt;&lt;edition&gt;2013/03/28&lt;/edition&gt;&lt;keywords&gt;&lt;keyword&gt;Female&lt;/keyword&gt;&lt;keyword&gt;Humans&lt;/keyword&gt;&lt;keyword&gt;Infant, Newborn&lt;/keyword&gt;&lt;keyword&gt;Pregnancy&lt;/keyword&gt;&lt;keyword&gt;Pregnancy Complications/*blood&lt;/keyword&gt;&lt;keyword&gt;Pregnancy Outcome/*epidemiology&lt;/keyword&gt;&lt;keyword&gt;Vitamin D/*analogs &amp;amp; derivatives/blood&lt;/keyword&gt;&lt;keyword&gt;Vitamin D Deficiency/blood/*complications&lt;/keyword&gt;&lt;/keywords&gt;&lt;dates&gt;&lt;year&gt;2013&lt;/year&gt;&lt;/dates&gt;&lt;isbn&gt;0959-535x&lt;/isbn&gt;&lt;accession-num&gt;23533188&lt;/accession-num&gt;&lt;urls&gt;&lt;/urls&gt;&lt;electronic-resource-num&gt;10.1136/bmj.f1169&lt;/electronic-resource-num&gt;&lt;remote-database-provider&gt;Nlm&lt;/remote-database-provider&gt;&lt;language&gt;eng&lt;/language&gt;&lt;/record&gt;&lt;/Cite&gt;&lt;/EndNote&gt;</w:instrTex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477D2A">
                <w:rPr>
                  <w:rFonts w:ascii="Arial" w:hAnsi="Arial" w:cs="Arial"/>
                  <w:noProof/>
                  <w:sz w:val="20"/>
                  <w:szCs w:val="20"/>
                  <w:vertAlign w:val="superscript"/>
                </w:rPr>
                <w:t>44</w: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1556" w:type="dxa"/>
            <w:vMerge w:val="restart"/>
            <w:tcBorders>
              <w:top w:val="nil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20"/>
                <w:szCs w:val="20"/>
              </w:rPr>
              <w:t>August 2012</w:t>
            </w:r>
          </w:p>
        </w:tc>
        <w:tc>
          <w:tcPr>
            <w:tcW w:w="1039" w:type="dxa"/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9" w:type="dxa"/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20"/>
                <w:szCs w:val="20"/>
              </w:rPr>
              <w:t>697</w:t>
            </w:r>
          </w:p>
        </w:tc>
        <w:tc>
          <w:tcPr>
            <w:tcW w:w="5013" w:type="dxa"/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20"/>
                <w:szCs w:val="20"/>
              </w:rPr>
              <w:t xml:space="preserve">Serum 25(OH)D </w:t>
            </w:r>
            <w:r>
              <w:rPr>
                <w:rFonts w:ascii="Arial" w:hAnsi="Arial" w:cs="Arial"/>
                <w:sz w:val="20"/>
                <w:szCs w:val="20"/>
              </w:rPr>
              <w:t>≥</w:t>
            </w:r>
            <w:r w:rsidRPr="005D303A">
              <w:rPr>
                <w:rFonts w:ascii="Arial" w:hAnsi="Arial" w:cs="Arial"/>
                <w:sz w:val="20"/>
                <w:szCs w:val="20"/>
              </w:rPr>
              <w:t>50nmol/l vs &lt;50nmol/l</w:t>
            </w:r>
          </w:p>
        </w:tc>
        <w:tc>
          <w:tcPr>
            <w:tcW w:w="1275" w:type="dxa"/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 w:rsidRPr="005D303A">
              <w:rPr>
                <w:rFonts w:ascii="Arial" w:hAnsi="Arial" w:cs="Arial"/>
                <w:sz w:val="32"/>
                <w:szCs w:val="20"/>
              </w:rPr>
              <w:t>↔</w:t>
            </w:r>
          </w:p>
        </w:tc>
        <w:tc>
          <w:tcPr>
            <w:tcW w:w="1908" w:type="dxa"/>
            <w:tcBorders>
              <w:right w:val="single" w:sz="12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20"/>
                <w:szCs w:val="20"/>
              </w:rPr>
              <w:t>1.27 (0.67, 2.42)</w:t>
            </w:r>
          </w:p>
        </w:tc>
      </w:tr>
      <w:tr w:rsidR="002A51D1" w:rsidTr="00D115BD">
        <w:trPr>
          <w:trHeight w:val="340"/>
        </w:trPr>
        <w:tc>
          <w:tcPr>
            <w:tcW w:w="2660" w:type="dxa"/>
            <w:vMerge/>
            <w:tcBorders>
              <w:left w:val="single" w:sz="12" w:space="0" w:color="auto"/>
            </w:tcBorders>
            <w:vAlign w:val="center"/>
          </w:tcPr>
          <w:p w:rsidR="002A51D1" w:rsidRPr="005D303A" w:rsidRDefault="002A51D1" w:rsidP="00D115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20"/>
                <w:szCs w:val="20"/>
              </w:rPr>
              <w:t>1165</w:t>
            </w:r>
          </w:p>
        </w:tc>
        <w:tc>
          <w:tcPr>
            <w:tcW w:w="5013" w:type="dxa"/>
            <w:tcBorders>
              <w:bottom w:val="nil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20"/>
                <w:szCs w:val="20"/>
              </w:rPr>
              <w:t xml:space="preserve">Serum 25(OH)D </w:t>
            </w:r>
            <w:r>
              <w:rPr>
                <w:rFonts w:ascii="Arial" w:hAnsi="Arial" w:cs="Arial"/>
                <w:sz w:val="20"/>
                <w:szCs w:val="20"/>
              </w:rPr>
              <w:t>≥</w:t>
            </w:r>
            <w:r w:rsidRPr="005D303A">
              <w:rPr>
                <w:rFonts w:ascii="Arial" w:hAnsi="Arial" w:cs="Arial"/>
                <w:sz w:val="20"/>
                <w:szCs w:val="20"/>
              </w:rPr>
              <w:t>75nmol/l vs &lt;75nmol/l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 w:rsidRPr="005D303A">
              <w:rPr>
                <w:rFonts w:ascii="Arial" w:hAnsi="Arial" w:cs="Arial"/>
                <w:sz w:val="32"/>
                <w:szCs w:val="20"/>
              </w:rPr>
              <w:t>↑</w:t>
            </w:r>
          </w:p>
        </w:tc>
        <w:tc>
          <w:tcPr>
            <w:tcW w:w="1908" w:type="dxa"/>
            <w:tcBorders>
              <w:bottom w:val="nil"/>
              <w:right w:val="single" w:sz="12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20"/>
                <w:szCs w:val="20"/>
              </w:rPr>
              <w:t>2.11 (1.36, 3.27)</w:t>
            </w:r>
          </w:p>
        </w:tc>
      </w:tr>
      <w:tr w:rsidR="002A51D1" w:rsidTr="00D115BD">
        <w:trPr>
          <w:trHeight w:val="571"/>
        </w:trPr>
        <w:tc>
          <w:tcPr>
            <w:tcW w:w="2660" w:type="dxa"/>
            <w:vMerge/>
            <w:tcBorders>
              <w:left w:val="single" w:sz="12" w:space="0" w:color="auto"/>
            </w:tcBorders>
            <w:vAlign w:val="center"/>
          </w:tcPr>
          <w:p w:rsidR="002A51D1" w:rsidRPr="005D303A" w:rsidRDefault="002A51D1" w:rsidP="00D115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20"/>
                <w:szCs w:val="20"/>
              </w:rPr>
              <w:t>1862</w:t>
            </w:r>
          </w:p>
        </w:tc>
        <w:tc>
          <w:tcPr>
            <w:tcW w:w="5013" w:type="dxa"/>
            <w:tcBorders>
              <w:top w:val="nil"/>
              <w:bottom w:val="nil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Higher serum 25(OH)D as defined by each study vs lower serum 25(OH)D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 w:rsidRPr="005D303A">
              <w:rPr>
                <w:rFonts w:ascii="Arial" w:hAnsi="Arial" w:cs="Arial"/>
                <w:sz w:val="32"/>
                <w:szCs w:val="20"/>
              </w:rPr>
              <w:t>↑</w:t>
            </w:r>
          </w:p>
        </w:tc>
        <w:tc>
          <w:tcPr>
            <w:tcW w:w="1908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20"/>
                <w:szCs w:val="20"/>
              </w:rPr>
              <w:t>1.79 (1.25, 2.58)</w:t>
            </w:r>
          </w:p>
        </w:tc>
      </w:tr>
      <w:tr w:rsidR="002A51D1" w:rsidTr="00D115BD">
        <w:trPr>
          <w:trHeight w:val="571"/>
        </w:trPr>
        <w:tc>
          <w:tcPr>
            <w:tcW w:w="266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A51D1" w:rsidRPr="005D303A" w:rsidRDefault="002A51D1" w:rsidP="00D115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20"/>
                <w:szCs w:val="20"/>
              </w:rPr>
              <w:t>1862</w:t>
            </w:r>
          </w:p>
        </w:tc>
        <w:tc>
          <w:tcPr>
            <w:tcW w:w="5013" w:type="dxa"/>
            <w:tcBorders>
              <w:top w:val="nil"/>
              <w:bottom w:val="single" w:sz="4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Higher serum 25(OH)D as defined by each study vs lower serum 25(OH)D, adjusted for “critical confounders”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 w:rsidRPr="005D303A">
              <w:rPr>
                <w:rFonts w:ascii="Arial" w:hAnsi="Arial" w:cs="Arial"/>
                <w:sz w:val="32"/>
                <w:szCs w:val="20"/>
              </w:rPr>
              <w:t>↔</w:t>
            </w:r>
          </w:p>
        </w:tc>
        <w:tc>
          <w:tcPr>
            <w:tcW w:w="1908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1.51</w:t>
            </w:r>
            <w:r w:rsidRPr="005D303A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0.89, 2.57</w:t>
            </w:r>
            <w:r w:rsidRPr="005D303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A51D1" w:rsidTr="00D115BD">
        <w:trPr>
          <w:trHeight w:val="565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51D1" w:rsidRPr="005D303A" w:rsidRDefault="002A51D1" w:rsidP="00D115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303A">
              <w:rPr>
                <w:rFonts w:ascii="Arial" w:hAnsi="Arial" w:cs="Arial"/>
                <w:sz w:val="20"/>
                <w:szCs w:val="20"/>
              </w:rPr>
              <w:t>Hypponen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D303A">
              <w:rPr>
                <w:rFonts w:ascii="Arial" w:hAnsi="Arial" w:cs="Arial"/>
                <w:sz w:val="20"/>
                <w:szCs w:val="20"/>
              </w:rPr>
              <w:t xml:space="preserve"> 2013 </w:t>
            </w:r>
            <w:hyperlink w:anchor="_ENREF_42" w:tooltip="Hypponen, 2013 #1167" w:history="1">
              <w:r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sz w:val="20"/>
                  <w:szCs w:val="20"/>
                </w:rPr>
                <w:instrText xml:space="preserve"> ADDIN EN.CITE &lt;EndNote&gt;&lt;Cite&gt;&lt;Author&gt;Hypponen&lt;/Author&gt;&lt;Year&gt;2013&lt;/Year&gt;&lt;RecNum&gt;1167&lt;/RecNum&gt;&lt;DisplayText&gt;&lt;style face="superscript"&gt;42&lt;/style&gt;&lt;/DisplayText&gt;&lt;record&gt;&lt;rec-number&gt;1167&lt;/rec-number&gt;&lt;foreign-keys&gt;&lt;key app="EN" db-id="aezfazfr55w2dee09auvzeanzd0axtt5x25v" timestamp="1406133917"&gt;1167&lt;/key&gt;&lt;/foreign-keys&gt;&lt;ref-type name="Journal Article"&gt;17&lt;/ref-type&gt;&lt;contributors&gt;&lt;authors&gt;&lt;author&gt;Hypponen, E.&lt;/author&gt;&lt;author&gt;Cavadino, A.&lt;/author&gt;&lt;author&gt;Williams, D.&lt;/author&gt;&lt;author&gt;Fraser, A.&lt;/author&gt;&lt;author&gt;Vereczkey, A.&lt;/author&gt;&lt;author&gt;Fraser, W. D.&lt;/author&gt;&lt;author&gt;Banhidy, F.&lt;/author&gt;&lt;author&gt;Lawlor, D.&lt;/author&gt;&lt;author&gt;Czeizel, A. E.&lt;/author&gt;&lt;/authors&gt;&lt;/contributors&gt;&lt;auth-address&gt;School of Population Health and Sansom Institute, University of South Australia, Adelaide, S.A., Australia.&lt;/auth-address&gt;&lt;titles&gt;&lt;title&gt;Vitamin D and pre-eclampsia: original data, systematic review and meta-analysis&lt;/title&gt;&lt;secondary-title&gt;Ann Nutr Metab&lt;/secondary-title&gt;&lt;alt-title&gt;Annals of nutrition &amp;amp; metabolism&lt;/alt-title&gt;&lt;/titles&gt;&lt;periodical&gt;&lt;full-title&gt;Ann Nutr Metab&lt;/full-title&gt;&lt;abbr-1&gt;Annals of nutrition &amp;amp; metabolism&lt;/abbr-1&gt;&lt;/periodical&gt;&lt;alt-periodical&gt;&lt;full-title&gt;Ann Nutr Metab&lt;/full-title&gt;&lt;abbr-1&gt;Annals of nutrition &amp;amp; metabolism&lt;/abbr-1&gt;&lt;/alt-periodical&gt;&lt;pages&gt;331-40&lt;/pages&gt;&lt;volume&gt;63&lt;/volume&gt;&lt;number&gt;4&lt;/number&gt;&lt;edition&gt;2014/03/08&lt;/edition&gt;&lt;dates&gt;&lt;year&gt;2013&lt;/year&gt;&lt;/dates&gt;&lt;isbn&gt;0250-6807&lt;/isbn&gt;&lt;accession-num&gt;24603503&lt;/accession-num&gt;&lt;urls&gt;&lt;/urls&gt;&lt;electronic-resource-num&gt;10.1159/000358338&lt;/electronic-resource-num&gt;&lt;remote-database-provider&gt;Nlm&lt;/remote-database-provider&gt;&lt;language&gt;eng&lt;/language&gt;&lt;/record&gt;&lt;/Cite&gt;&lt;/EndNote&gt;</w:instrTex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477D2A">
                <w:rPr>
                  <w:rFonts w:ascii="Arial" w:hAnsi="Arial" w:cs="Arial"/>
                  <w:noProof/>
                  <w:sz w:val="20"/>
                  <w:szCs w:val="20"/>
                  <w:vertAlign w:val="superscript"/>
                </w:rPr>
                <w:t>42</w: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20"/>
                <w:szCs w:val="20"/>
              </w:rPr>
              <w:t>March 2013 + inclusion of novel data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6864</w:t>
            </w:r>
          </w:p>
        </w:tc>
        <w:tc>
          <w:tcPr>
            <w:tcW w:w="5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Higher serum 25(OH)D as defined by each study vs lower serum 25(OH)D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 w:rsidRPr="005D303A">
              <w:rPr>
                <w:rFonts w:ascii="Arial" w:hAnsi="Arial" w:cs="Arial"/>
                <w:sz w:val="32"/>
                <w:szCs w:val="20"/>
              </w:rPr>
              <w:t>↑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1.92 (1.12, 3.33)</w:t>
            </w:r>
          </w:p>
        </w:tc>
      </w:tr>
      <w:tr w:rsidR="002A51D1" w:rsidTr="00D115BD">
        <w:trPr>
          <w:trHeight w:val="340"/>
        </w:trPr>
        <w:tc>
          <w:tcPr>
            <w:tcW w:w="266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2A51D1" w:rsidRPr="005D303A" w:rsidRDefault="002A51D1" w:rsidP="00D115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Tabesh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2013 </w:t>
            </w:r>
            <w:hyperlink w:anchor="_ENREF_45" w:tooltip="Tabesh, 2013 #1174" w:history="1">
              <w:r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sz w:val="20"/>
                  <w:szCs w:val="20"/>
                </w:rPr>
                <w:instrText xml:space="preserve"> ADDIN EN.CITE &lt;EndNote&gt;&lt;Cite&gt;&lt;Author&gt;Tabesh&lt;/Author&gt;&lt;Year&gt;2013&lt;/Year&gt;&lt;RecNum&gt;1174&lt;/RecNum&gt;&lt;DisplayText&gt;&lt;style face="superscript"&gt;45&lt;/style&gt;&lt;/DisplayText&gt;&lt;record&gt;&lt;rec-number&gt;1174&lt;/rec-number&gt;&lt;foreign-keys&gt;&lt;key app="EN" db-id="aezfazfr55w2dee09auvzeanzd0axtt5x25v" timestamp="1406134825"&gt;1174&lt;/key&gt;&lt;/foreign-keys&gt;&lt;ref-type name="Journal Article"&gt;17&lt;/ref-type&gt;&lt;contributors&gt;&lt;authors&gt;&lt;author&gt;Tabesh, M.&lt;/author&gt;&lt;author&gt;Salehi-Abargouei, A.&lt;/author&gt;&lt;author&gt;Tabesh, M.&lt;/author&gt;&lt;author&gt;Esmaillzadeh, A.&lt;/author&gt;&lt;/authors&gt;&lt;/contributors&gt;&lt;auth-address&gt;Food Security Research Center, Isfahan University of Medical Sciences, Isfahan 81745-151, Iran.&lt;/auth-address&gt;&lt;titles&gt;&lt;title&gt;Maternal vitamin D status and risk of pre-eclampsia: a systematic review and meta-analysis&lt;/title&gt;&lt;secondary-title&gt;J Clin Endocrinol Metab&lt;/secondary-title&gt;&lt;alt-title&gt;The Journal of clinical endocrinology and metabolism&lt;/alt-title&gt;&lt;/titles&gt;&lt;periodical&gt;&lt;full-title&gt;J Clin Endocrinol Metab&lt;/full-title&gt;&lt;abbr-1&gt;The Journal of clinical endocrinology and metabolism&lt;/abbr-1&gt;&lt;/periodical&gt;&lt;alt-periodical&gt;&lt;full-title&gt;J Clin Endocrinol Metab&lt;/full-title&gt;&lt;abbr-1&gt;The Journal of clinical endocrinology and metabolism&lt;/abbr-1&gt;&lt;/alt-periodical&gt;&lt;pages&gt;3165-73&lt;/pages&gt;&lt;volume&gt;98&lt;/volume&gt;&lt;number&gt;8&lt;/number&gt;&lt;edition&gt;2013/06/21&lt;/edition&gt;&lt;keywords&gt;&lt;keyword&gt;Female&lt;/keyword&gt;&lt;keyword&gt;Humans&lt;/keyword&gt;&lt;keyword&gt;Pre-Eclampsia/blood/*etiology&lt;/keyword&gt;&lt;keyword&gt;Pregnancy/*blood&lt;/keyword&gt;&lt;keyword&gt;Risk&lt;/keyword&gt;&lt;keyword&gt;Vitamin D/*analogs &amp;amp; derivatives/blood&lt;/keyword&gt;&lt;/keywords&gt;&lt;dates&gt;&lt;year&gt;2013&lt;/year&gt;&lt;pub-dates&gt;&lt;date&gt;Aug&lt;/date&gt;&lt;/pub-dates&gt;&lt;/dates&gt;&lt;isbn&gt;0021-972x&lt;/isbn&gt;&lt;accession-num&gt;23783101&lt;/accession-num&gt;&lt;urls&gt;&lt;/urls&gt;&lt;electronic-resource-num&gt;10.1210/jc.2013-1257&lt;/electronic-resource-num&gt;&lt;remote-database-provider&gt;Nlm&lt;/remote-database-provider&gt;&lt;language&gt;eng&lt;/language&gt;&lt;/record&gt;&lt;/Cite&gt;&lt;/EndNote&gt;</w:instrTex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477D2A">
                <w:rPr>
                  <w:rFonts w:ascii="Arial" w:hAnsi="Arial" w:cs="Arial"/>
                  <w:noProof/>
                  <w:sz w:val="20"/>
                  <w:szCs w:val="20"/>
                  <w:vertAlign w:val="superscript"/>
                </w:rPr>
                <w:t>45</w: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1556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2A51D1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2012</w:t>
            </w: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:rsidR="002A51D1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:rsidR="002A51D1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931</w:t>
            </w:r>
          </w:p>
        </w:tc>
        <w:tc>
          <w:tcPr>
            <w:tcW w:w="5013" w:type="dxa"/>
            <w:tcBorders>
              <w:bottom w:val="nil"/>
            </w:tcBorders>
            <w:vAlign w:val="center"/>
          </w:tcPr>
          <w:p w:rsidR="002A51D1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Serum 25(OH)D ≥38nmol/l vs &lt;38</w:t>
            </w:r>
            <w:r w:rsidRPr="005D303A">
              <w:rPr>
                <w:rFonts w:ascii="Arial" w:hAnsi="Arial" w:cs="Arial"/>
                <w:sz w:val="20"/>
                <w:szCs w:val="20"/>
              </w:rPr>
              <w:t>nmol/l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 w:rsidRPr="005D303A">
              <w:rPr>
                <w:rFonts w:ascii="Arial" w:hAnsi="Arial" w:cs="Arial"/>
                <w:sz w:val="32"/>
                <w:szCs w:val="20"/>
              </w:rPr>
              <w:t>↔</w:t>
            </w:r>
          </w:p>
        </w:tc>
        <w:tc>
          <w:tcPr>
            <w:tcW w:w="1908" w:type="dxa"/>
            <w:vMerge w:val="restart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Actual odds ratios not reported</w:t>
            </w:r>
          </w:p>
        </w:tc>
      </w:tr>
      <w:tr w:rsidR="002A51D1" w:rsidTr="00D115BD">
        <w:trPr>
          <w:trHeight w:val="340"/>
        </w:trPr>
        <w:tc>
          <w:tcPr>
            <w:tcW w:w="2660" w:type="dxa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2A51D1" w:rsidRPr="005D303A" w:rsidRDefault="002A51D1" w:rsidP="00D115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2A51D1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:rsidR="002A51D1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:rsidR="002A51D1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1775</w:t>
            </w:r>
          </w:p>
        </w:tc>
        <w:tc>
          <w:tcPr>
            <w:tcW w:w="5013" w:type="dxa"/>
            <w:tcBorders>
              <w:top w:val="nil"/>
              <w:bottom w:val="nil"/>
            </w:tcBorders>
            <w:vAlign w:val="center"/>
          </w:tcPr>
          <w:p w:rsidR="002A51D1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Serum 25(OH)D ≥50nmol/l vs &lt;50</w:t>
            </w:r>
            <w:r w:rsidRPr="005D303A">
              <w:rPr>
                <w:rFonts w:ascii="Arial" w:hAnsi="Arial" w:cs="Arial"/>
                <w:sz w:val="20"/>
                <w:szCs w:val="20"/>
              </w:rPr>
              <w:t>nmol/l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32"/>
                <w:szCs w:val="20"/>
              </w:rPr>
              <w:t>↑</w:t>
            </w:r>
          </w:p>
        </w:tc>
        <w:tc>
          <w:tcPr>
            <w:tcW w:w="1908" w:type="dxa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1D1" w:rsidTr="00D115BD">
        <w:trPr>
          <w:trHeight w:val="340"/>
        </w:trPr>
        <w:tc>
          <w:tcPr>
            <w:tcW w:w="2660" w:type="dxa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2A51D1" w:rsidRPr="005D303A" w:rsidRDefault="002A51D1" w:rsidP="00D115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2A51D1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2485</w:t>
            </w:r>
          </w:p>
        </w:tc>
        <w:tc>
          <w:tcPr>
            <w:tcW w:w="5013" w:type="dxa"/>
            <w:tcBorders>
              <w:top w:val="nil"/>
              <w:bottom w:val="single" w:sz="4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Higher serum 25(OH)D as defined by each study vs lower serum 25(OH)D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 w:rsidRPr="005D303A">
              <w:rPr>
                <w:rFonts w:ascii="Arial" w:hAnsi="Arial" w:cs="Arial"/>
                <w:sz w:val="32"/>
                <w:szCs w:val="20"/>
              </w:rPr>
              <w:t>↑</w:t>
            </w:r>
          </w:p>
        </w:tc>
        <w:tc>
          <w:tcPr>
            <w:tcW w:w="1908" w:type="dxa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1D1" w:rsidTr="00D115BD">
        <w:trPr>
          <w:trHeight w:val="3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2A51D1" w:rsidRPr="005D303A" w:rsidRDefault="002A51D1" w:rsidP="00D115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Wei, 2013 </w:t>
            </w:r>
            <w:hyperlink w:anchor="_ENREF_46" w:tooltip="Wei, 2013 #1024" w:history="1">
              <w:r>
                <w:rPr>
                  <w:rFonts w:ascii="Arial" w:hAnsi="Arial" w:cs="Arial"/>
                  <w:sz w:val="20"/>
                  <w:szCs w:val="20"/>
                </w:rPr>
                <w:fldChar w:fldCharType="begin">
                  <w:fldData xml:space="preserve">PEVuZE5vdGU+PENpdGU+PEF1dGhvcj5XZWk8L0F1dGhvcj48WWVhcj4yMDEzPC9ZZWFyPjxSZWNO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=
</w:fldData>
                </w:fldChar>
              </w:r>
              <w:r>
                <w:rPr>
                  <w:rFonts w:ascii="Arial" w:hAnsi="Arial" w:cs="Arial"/>
                  <w:sz w:val="20"/>
                  <w:szCs w:val="20"/>
                </w:rPr>
                <w:instrText xml:space="preserve"> ADDIN EN.CITE </w:instrTex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begin">
                  <w:fldData xml:space="preserve">PEVuZE5vdGU+PENpdGU+PEF1dGhvcj5XZWk8L0F1dGhvcj48WWVhcj4yMDEzPC9ZZWFyPjxSZWNO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=
</w:fldData>
                </w:fldChar>
              </w:r>
              <w:r>
                <w:rPr>
                  <w:rFonts w:ascii="Arial" w:hAnsi="Arial" w:cs="Arial"/>
                  <w:sz w:val="20"/>
                  <w:szCs w:val="20"/>
                </w:rPr>
                <w:instrText xml:space="preserve"> ADDIN EN.CITE.DATA </w:instrText>
              </w:r>
              <w:r>
                <w:rPr>
                  <w:rFonts w:ascii="Arial" w:hAnsi="Arial" w:cs="Arial"/>
                  <w:sz w:val="20"/>
                  <w:szCs w:val="20"/>
                </w:rPr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>
                <w:rPr>
                  <w:rFonts w:ascii="Arial" w:hAnsi="Arial" w:cs="Arial"/>
                  <w:sz w:val="20"/>
                  <w:szCs w:val="20"/>
                </w:rPr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477D2A">
                <w:rPr>
                  <w:rFonts w:ascii="Arial" w:hAnsi="Arial" w:cs="Arial"/>
                  <w:noProof/>
                  <w:sz w:val="20"/>
                  <w:szCs w:val="20"/>
                  <w:vertAlign w:val="superscript"/>
                </w:rPr>
                <w:t>46</w: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155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2A51D1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2012</w:t>
            </w:r>
          </w:p>
        </w:tc>
        <w:tc>
          <w:tcPr>
            <w:tcW w:w="1039" w:type="dxa"/>
            <w:tcBorders>
              <w:top w:val="single" w:sz="4" w:space="0" w:color="auto"/>
              <w:bottom w:val="nil"/>
            </w:tcBorders>
            <w:vAlign w:val="center"/>
          </w:tcPr>
          <w:p w:rsidR="002A51D1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39" w:type="dxa"/>
            <w:tcBorders>
              <w:top w:val="single" w:sz="4" w:space="0" w:color="auto"/>
              <w:bottom w:val="nil"/>
            </w:tcBorders>
            <w:vAlign w:val="center"/>
          </w:tcPr>
          <w:p w:rsidR="002A51D1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013" w:type="dxa"/>
            <w:tcBorders>
              <w:top w:val="single" w:sz="4" w:space="0" w:color="auto"/>
              <w:bottom w:val="nil"/>
            </w:tcBorders>
            <w:vAlign w:val="center"/>
          </w:tcPr>
          <w:p w:rsidR="002A51D1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20"/>
                <w:szCs w:val="20"/>
              </w:rPr>
              <w:t xml:space="preserve">Serum 25(OH)D </w:t>
            </w:r>
            <w:r>
              <w:rPr>
                <w:rFonts w:ascii="Arial" w:hAnsi="Arial" w:cs="Arial"/>
                <w:sz w:val="20"/>
                <w:szCs w:val="20"/>
              </w:rPr>
              <w:t>≥</w:t>
            </w:r>
            <w:r w:rsidRPr="005D303A">
              <w:rPr>
                <w:rFonts w:ascii="Arial" w:hAnsi="Arial" w:cs="Arial"/>
                <w:sz w:val="20"/>
                <w:szCs w:val="20"/>
              </w:rPr>
              <w:t>50nmol/l vs &lt;50nmol/l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 w:rsidRPr="005D303A">
              <w:rPr>
                <w:rFonts w:ascii="Arial" w:hAnsi="Arial" w:cs="Arial"/>
                <w:sz w:val="32"/>
                <w:szCs w:val="20"/>
              </w:rPr>
              <w:t>↑</w:t>
            </w:r>
          </w:p>
        </w:tc>
        <w:tc>
          <w:tcPr>
            <w:tcW w:w="1908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 (1.50, 2.90)</w:t>
            </w:r>
          </w:p>
        </w:tc>
      </w:tr>
      <w:tr w:rsidR="002A51D1" w:rsidTr="00D115BD">
        <w:trPr>
          <w:trHeight w:val="340"/>
        </w:trPr>
        <w:tc>
          <w:tcPr>
            <w:tcW w:w="2660" w:type="dxa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2A51D1" w:rsidRDefault="002A51D1" w:rsidP="00D115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2A51D1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vAlign w:val="center"/>
          </w:tcPr>
          <w:p w:rsidR="002A51D1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vAlign w:val="center"/>
          </w:tcPr>
          <w:p w:rsidR="002A51D1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802</w:t>
            </w:r>
          </w:p>
        </w:tc>
        <w:tc>
          <w:tcPr>
            <w:tcW w:w="5013" w:type="dxa"/>
            <w:tcBorders>
              <w:top w:val="nil"/>
              <w:bottom w:val="single" w:sz="4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3A">
              <w:rPr>
                <w:rFonts w:ascii="Arial" w:hAnsi="Arial" w:cs="Arial"/>
                <w:sz w:val="20"/>
                <w:szCs w:val="20"/>
              </w:rPr>
              <w:t xml:space="preserve">Serum 25(OH)D </w:t>
            </w:r>
            <w:r>
              <w:rPr>
                <w:rFonts w:ascii="Arial" w:hAnsi="Arial" w:cs="Arial"/>
                <w:sz w:val="20"/>
                <w:szCs w:val="20"/>
              </w:rPr>
              <w:t>≥75nmol/l vs &lt;75</w:t>
            </w:r>
            <w:r w:rsidRPr="005D303A">
              <w:rPr>
                <w:rFonts w:ascii="Arial" w:hAnsi="Arial" w:cs="Arial"/>
                <w:sz w:val="20"/>
                <w:szCs w:val="20"/>
              </w:rPr>
              <w:t>nmol/l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 w:rsidRPr="005D303A">
              <w:rPr>
                <w:rFonts w:ascii="Arial" w:hAnsi="Arial" w:cs="Arial"/>
                <w:sz w:val="32"/>
                <w:szCs w:val="20"/>
              </w:rPr>
              <w:t>↑</w:t>
            </w:r>
          </w:p>
        </w:tc>
        <w:tc>
          <w:tcPr>
            <w:tcW w:w="1908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51D1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1.78 (1.23, 2.56)</w:t>
            </w:r>
          </w:p>
        </w:tc>
      </w:tr>
      <w:tr w:rsidR="002A51D1" w:rsidTr="00D115BD">
        <w:trPr>
          <w:trHeight w:val="340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51D1" w:rsidRDefault="002A51D1" w:rsidP="00D115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Harvey, 2014 </w:t>
            </w:r>
            <w:hyperlink w:anchor="_ENREF_47" w:tooltip="Harvey, 2014 #1181" w:history="1">
              <w:r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sz w:val="20"/>
                  <w:szCs w:val="20"/>
                </w:rPr>
                <w:instrText xml:space="preserve"> ADDIN EN.CITE &lt;EndNote&gt;&lt;Cite&gt;&lt;Author&gt;Harvey&lt;/Author&gt;&lt;Year&gt;2014&lt;/Year&gt;&lt;RecNum&gt;1181&lt;/RecNum&gt;&lt;DisplayText&gt;&lt;style face="superscript"&gt;47&lt;/style&gt;&lt;/DisplayText&gt;&lt;record&gt;&lt;rec-number&gt;1181&lt;/rec-number&gt;&lt;foreign-keys&gt;&lt;key app="EN" db-id="aezfazfr55w2dee09auvzeanzd0axtt5x25v" timestamp="1406294167"&gt;1181&lt;/key&gt;&lt;/foreign-keys&gt;&lt;ref-type name="Journal Article"&gt;17&lt;/ref-type&gt;&lt;contributors&gt;&lt;authors&gt;&lt;author&gt;Harvey, N.&lt;/author&gt;&lt;author&gt;Holroyd, C.&lt;/author&gt;&lt;author&gt;Ntani, G.&lt;/author&gt;&lt;author&gt;Javaid, M.&lt;/author&gt;&lt;author&gt;Cooper, P.&lt;/author&gt;&lt;author&gt;Moon, R.&lt;/author&gt;&lt;author&gt;Cole, Z.&lt;/author&gt;&lt;author&gt;Tinati, T.&lt;/author&gt;&lt;author&gt;Godfrey, K.&lt;/author&gt;&lt;author&gt;Dennison, E.&lt;/author&gt;&lt;author&gt;Bishop, N.&lt;/author&gt;&lt;author&gt;Baird, J.&lt;/author&gt;&lt;author&gt;Cooper, C.&lt;/author&gt;&lt;/authors&gt;&lt;/contributors&gt;&lt;titles&gt;&lt;title&gt;Vitamin D supplementation in pregnancy: a systematic review&lt;/title&gt;&lt;secondary-title&gt;Health Technol Assess&lt;/secondary-title&gt;&lt;alt-title&gt;Health Technol Assess&lt;/alt-title&gt;&lt;/titles&gt;&lt;periodical&gt;&lt;full-title&gt;Health Technol Assess&lt;/full-title&gt;&lt;abbr-1&gt;Health technology assessment (Winchester, England)&lt;/abbr-1&gt;&lt;/periodical&gt;&lt;alt-periodical&gt;&lt;full-title&gt;Health Technol Assess&lt;/full-title&gt;&lt;abbr-1&gt;Health technology assessment (Winchester, England)&lt;/abbr-1&gt;&lt;/alt-periodical&gt;&lt;volume&gt;18&lt;/volume&gt;&lt;number&gt;45&lt;/number&gt;&lt;dates&gt;&lt;year&gt;2014&lt;/year&gt;&lt;pub-dates&gt;&lt;date&gt;2014/07/15&lt;/date&gt;&lt;/pub-dates&gt;&lt;/dates&gt;&lt;urls&gt;&lt;related-urls&gt;&lt;url&gt;http://journalslibrary.nihr.ac.uk/hta/hta18450&lt;/url&gt;&lt;/related-urls&gt;&lt;/urls&gt;&lt;electronic-resource-num&gt;10.3310/hta18450&lt;/electronic-resource-num&gt;&lt;/record&gt;&lt;/Cite&gt;&lt;/EndNote&gt;</w:instrTex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477D2A">
                <w:rPr>
                  <w:rFonts w:ascii="Arial" w:hAnsi="Arial" w:cs="Arial"/>
                  <w:noProof/>
                  <w:sz w:val="20"/>
                  <w:szCs w:val="20"/>
                  <w:vertAlign w:val="superscript"/>
                </w:rPr>
                <w:t>47</w: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15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51D1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2012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51D1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51D1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628</w:t>
            </w:r>
          </w:p>
        </w:tc>
        <w:tc>
          <w:tcPr>
            <w:tcW w:w="501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 25nmol/l increase in serum 25(OH)D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51D1" w:rsidRPr="005D303A" w:rsidRDefault="002A51D1" w:rsidP="00D115BD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 w:rsidRPr="005D303A">
              <w:rPr>
                <w:rFonts w:ascii="Arial" w:hAnsi="Arial" w:cs="Arial"/>
                <w:sz w:val="32"/>
                <w:szCs w:val="20"/>
              </w:rPr>
              <w:t>↔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51D1" w:rsidRDefault="002A51D1" w:rsidP="00D11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 (0.59-1.05)</w:t>
            </w:r>
          </w:p>
        </w:tc>
      </w:tr>
    </w:tbl>
    <w:p w:rsidR="002A51D1" w:rsidRDefault="002A51D1" w:rsidP="002A51D1">
      <w:pPr>
        <w:spacing w:after="0"/>
        <w:jc w:val="both"/>
        <w:rPr>
          <w:rFonts w:ascii="Arial" w:hAnsi="Arial" w:cs="Arial"/>
        </w:rPr>
      </w:pPr>
    </w:p>
    <w:p w:rsidR="00B1645B" w:rsidRPr="002A51D1" w:rsidRDefault="007631F3">
      <w:pPr>
        <w:rPr>
          <w:rFonts w:ascii="Arial" w:hAnsi="Arial" w:cs="Arial"/>
        </w:rPr>
      </w:pPr>
    </w:p>
    <w:sectPr w:rsidR="00B1645B" w:rsidRPr="002A51D1" w:rsidSect="002A51D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D1"/>
    <w:rsid w:val="002A51D1"/>
    <w:rsid w:val="003B3154"/>
    <w:rsid w:val="007631F3"/>
    <w:rsid w:val="00BA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5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5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Moon</dc:creator>
  <cp:lastModifiedBy>Karen Drake</cp:lastModifiedBy>
  <cp:revision>2</cp:revision>
  <dcterms:created xsi:type="dcterms:W3CDTF">2015-04-13T09:59:00Z</dcterms:created>
  <dcterms:modified xsi:type="dcterms:W3CDTF">2015-04-13T09:59:00Z</dcterms:modified>
</cp:coreProperties>
</file>