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E8EB" w14:textId="77777777" w:rsidR="00605F33" w:rsidRPr="00BE20ED" w:rsidRDefault="00605F33" w:rsidP="00605F33">
      <w:pPr>
        <w:autoSpaceDE w:val="0"/>
        <w:autoSpaceDN w:val="0"/>
        <w:adjustRightInd w:val="0"/>
        <w:spacing w:line="480" w:lineRule="exact"/>
        <w:jc w:val="center"/>
        <w:rPr>
          <w:rFonts w:cs="Times New Roman"/>
          <w:b/>
          <w:szCs w:val="24"/>
        </w:rPr>
      </w:pPr>
      <w:bookmarkStart w:id="0" w:name="_GoBack"/>
      <w:bookmarkEnd w:id="0"/>
    </w:p>
    <w:p w14:paraId="0CF7E842" w14:textId="77777777" w:rsidR="00605F33" w:rsidRPr="00605F33" w:rsidRDefault="00605F33" w:rsidP="00605F33">
      <w:pPr>
        <w:spacing w:line="240" w:lineRule="auto"/>
        <w:ind w:left="720" w:hanging="720"/>
        <w:rPr>
          <w:b/>
          <w:szCs w:val="24"/>
        </w:rPr>
      </w:pPr>
      <w:proofErr w:type="gramStart"/>
      <w:r w:rsidRPr="00605F33">
        <w:rPr>
          <w:b/>
          <w:szCs w:val="24"/>
        </w:rPr>
        <w:t>Abeyta, A., Routledge, C., Roylance, C., Wildschut, R. T., &amp; Sedikides, C. (2015).</w:t>
      </w:r>
      <w:proofErr w:type="gramEnd"/>
      <w:r w:rsidRPr="00605F33">
        <w:rPr>
          <w:b/>
          <w:szCs w:val="24"/>
        </w:rPr>
        <w:t xml:space="preserve"> </w:t>
      </w:r>
      <w:proofErr w:type="gramStart"/>
      <w:r w:rsidRPr="00605F33">
        <w:rPr>
          <w:b/>
          <w:szCs w:val="24"/>
        </w:rPr>
        <w:t>Attachment-related avoidance and the social and agentic content of nostalgic memories.</w:t>
      </w:r>
      <w:proofErr w:type="gramEnd"/>
      <w:r w:rsidRPr="00605F33">
        <w:rPr>
          <w:b/>
          <w:szCs w:val="24"/>
        </w:rPr>
        <w:t xml:space="preserve"> </w:t>
      </w:r>
      <w:r w:rsidRPr="00605F33">
        <w:rPr>
          <w:b/>
          <w:i/>
          <w:iCs/>
          <w:szCs w:val="24"/>
        </w:rPr>
        <w:t>Journal of Social and Personal Relationships, 32</w:t>
      </w:r>
      <w:r w:rsidRPr="00605F33">
        <w:rPr>
          <w:b/>
          <w:iCs/>
          <w:szCs w:val="24"/>
        </w:rPr>
        <w:t>, 406-413</w:t>
      </w:r>
      <w:r w:rsidRPr="00605F33">
        <w:rPr>
          <w:b/>
          <w:szCs w:val="24"/>
        </w:rPr>
        <w:t xml:space="preserve">. </w:t>
      </w:r>
      <w:proofErr w:type="gramStart"/>
      <w:r w:rsidRPr="00605F33">
        <w:rPr>
          <w:b/>
          <w:szCs w:val="24"/>
        </w:rPr>
        <w:t>doi:</w:t>
      </w:r>
      <w:proofErr w:type="gramEnd"/>
      <w:r w:rsidRPr="00605F33">
        <w:rPr>
          <w:b/>
          <w:szCs w:val="24"/>
        </w:rPr>
        <w:t>10.1177/0265407514533770</w:t>
      </w:r>
    </w:p>
    <w:p w14:paraId="186F5564" w14:textId="77777777" w:rsidR="00605F33" w:rsidRPr="00BE20ED" w:rsidRDefault="00605F33" w:rsidP="00605F33">
      <w:pPr>
        <w:autoSpaceDE w:val="0"/>
        <w:autoSpaceDN w:val="0"/>
        <w:adjustRightInd w:val="0"/>
        <w:spacing w:line="480" w:lineRule="exact"/>
        <w:jc w:val="center"/>
        <w:rPr>
          <w:rFonts w:cs="Times New Roman"/>
          <w:b/>
          <w:szCs w:val="24"/>
        </w:rPr>
      </w:pPr>
    </w:p>
    <w:p w14:paraId="022BA4E4" w14:textId="77777777" w:rsidR="00605F33" w:rsidRPr="00BE20ED" w:rsidRDefault="00605F33" w:rsidP="00605F33">
      <w:pPr>
        <w:autoSpaceDE w:val="0"/>
        <w:autoSpaceDN w:val="0"/>
        <w:adjustRightInd w:val="0"/>
        <w:spacing w:line="480" w:lineRule="exact"/>
        <w:jc w:val="center"/>
        <w:rPr>
          <w:rFonts w:cs="Times New Roman"/>
          <w:b/>
          <w:szCs w:val="24"/>
        </w:rPr>
      </w:pPr>
    </w:p>
    <w:p w14:paraId="0A8C7A71" w14:textId="62174D29" w:rsidR="00605F33" w:rsidRDefault="00605F33" w:rsidP="00605F33">
      <w:pPr>
        <w:spacing w:line="480" w:lineRule="exact"/>
        <w:jc w:val="center"/>
        <w:rPr>
          <w:rFonts w:cs="Times New Roman"/>
          <w:szCs w:val="24"/>
        </w:rPr>
      </w:pPr>
      <w:r w:rsidRPr="0039344B">
        <w:rPr>
          <w:szCs w:val="24"/>
        </w:rPr>
        <w:t>Attachment-</w:t>
      </w:r>
      <w:r>
        <w:rPr>
          <w:szCs w:val="24"/>
        </w:rPr>
        <w:t>R</w:t>
      </w:r>
      <w:r w:rsidRPr="0039344B">
        <w:rPr>
          <w:szCs w:val="24"/>
        </w:rPr>
        <w:t xml:space="preserve">elated </w:t>
      </w:r>
      <w:r>
        <w:rPr>
          <w:szCs w:val="24"/>
        </w:rPr>
        <w:t>Avoidance and the S</w:t>
      </w:r>
      <w:r w:rsidRPr="0039344B">
        <w:rPr>
          <w:szCs w:val="24"/>
        </w:rPr>
        <w:t xml:space="preserve">ocial </w:t>
      </w:r>
      <w:r>
        <w:rPr>
          <w:szCs w:val="24"/>
        </w:rPr>
        <w:t>and Agentic C</w:t>
      </w:r>
      <w:r w:rsidRPr="0039344B">
        <w:rPr>
          <w:szCs w:val="24"/>
        </w:rPr>
        <w:t xml:space="preserve">ontent of </w:t>
      </w:r>
      <w:r>
        <w:rPr>
          <w:szCs w:val="24"/>
        </w:rPr>
        <w:t>Nostalgic Memories</w:t>
      </w:r>
      <w:r w:rsidRPr="0039344B">
        <w:rPr>
          <w:szCs w:val="24"/>
        </w:rPr>
        <w:t xml:space="preserve"> </w:t>
      </w:r>
    </w:p>
    <w:p w14:paraId="5E463C9C" w14:textId="77777777" w:rsidR="00605F33" w:rsidRDefault="00605F33" w:rsidP="00605F33">
      <w:pPr>
        <w:spacing w:line="480" w:lineRule="exact"/>
        <w:jc w:val="center"/>
        <w:rPr>
          <w:rFonts w:cs="Times New Roman"/>
          <w:szCs w:val="24"/>
        </w:rPr>
      </w:pPr>
    </w:p>
    <w:p w14:paraId="6ACC4B64" w14:textId="312AC747" w:rsidR="00605F33" w:rsidRDefault="00605F33" w:rsidP="00605F33">
      <w:pPr>
        <w:spacing w:line="480" w:lineRule="exact"/>
        <w:jc w:val="center"/>
        <w:rPr>
          <w:szCs w:val="24"/>
        </w:rPr>
      </w:pPr>
      <w:r>
        <w:rPr>
          <w:szCs w:val="24"/>
        </w:rPr>
        <w:t xml:space="preserve">Andrew </w:t>
      </w:r>
      <w:r w:rsidRPr="0039344B">
        <w:rPr>
          <w:szCs w:val="24"/>
        </w:rPr>
        <w:t xml:space="preserve">Abeyta, </w:t>
      </w:r>
      <w:r>
        <w:rPr>
          <w:szCs w:val="24"/>
        </w:rPr>
        <w:t xml:space="preserve">Clay </w:t>
      </w:r>
      <w:r w:rsidRPr="0039344B">
        <w:rPr>
          <w:szCs w:val="24"/>
        </w:rPr>
        <w:t xml:space="preserve">Routledge, </w:t>
      </w:r>
      <w:r>
        <w:rPr>
          <w:szCs w:val="24"/>
        </w:rPr>
        <w:t>and Christina Roylance</w:t>
      </w:r>
    </w:p>
    <w:p w14:paraId="3E8241B1" w14:textId="77777777" w:rsidR="00605F33" w:rsidRDefault="00605F33" w:rsidP="00605F33">
      <w:pPr>
        <w:spacing w:line="480" w:lineRule="exact"/>
        <w:jc w:val="center"/>
        <w:rPr>
          <w:szCs w:val="24"/>
        </w:rPr>
      </w:pPr>
      <w:r>
        <w:rPr>
          <w:szCs w:val="24"/>
        </w:rPr>
        <w:t>North Dakota State University</w:t>
      </w:r>
    </w:p>
    <w:p w14:paraId="0BF695DE" w14:textId="77777777" w:rsidR="00605F33" w:rsidRDefault="00605F33" w:rsidP="00605F33">
      <w:pPr>
        <w:spacing w:line="480" w:lineRule="exact"/>
        <w:jc w:val="center"/>
        <w:rPr>
          <w:szCs w:val="24"/>
        </w:rPr>
      </w:pPr>
    </w:p>
    <w:p w14:paraId="2B1F7427" w14:textId="261EF054" w:rsidR="00605F33" w:rsidRPr="00BE20ED" w:rsidRDefault="00605F33" w:rsidP="00605F33">
      <w:pPr>
        <w:spacing w:line="480" w:lineRule="exact"/>
        <w:jc w:val="center"/>
        <w:rPr>
          <w:rFonts w:cs="Times New Roman"/>
          <w:szCs w:val="24"/>
        </w:rPr>
      </w:pPr>
      <w:r w:rsidRPr="00BE20ED">
        <w:rPr>
          <w:rFonts w:cs="Times New Roman"/>
          <w:szCs w:val="24"/>
        </w:rPr>
        <w:t>Tim Wildschut and Constantine Sedikides</w:t>
      </w:r>
    </w:p>
    <w:p w14:paraId="70B7B7F5" w14:textId="77777777" w:rsidR="00605F33" w:rsidRPr="00BE20ED" w:rsidRDefault="00605F33" w:rsidP="00605F33">
      <w:pPr>
        <w:spacing w:line="480" w:lineRule="exact"/>
        <w:jc w:val="center"/>
        <w:rPr>
          <w:rFonts w:cs="Times New Roman"/>
          <w:szCs w:val="24"/>
        </w:rPr>
      </w:pPr>
      <w:r w:rsidRPr="00BE20ED">
        <w:rPr>
          <w:rFonts w:cs="Times New Roman"/>
          <w:szCs w:val="24"/>
        </w:rPr>
        <w:t xml:space="preserve">University of Southampton </w:t>
      </w:r>
    </w:p>
    <w:p w14:paraId="53193042" w14:textId="561CFD35" w:rsidR="00605F33" w:rsidRPr="00BE20ED" w:rsidRDefault="00605F33" w:rsidP="00605F33">
      <w:pPr>
        <w:autoSpaceDE w:val="0"/>
        <w:autoSpaceDN w:val="0"/>
        <w:adjustRightInd w:val="0"/>
        <w:spacing w:line="480" w:lineRule="exact"/>
        <w:jc w:val="center"/>
        <w:rPr>
          <w:rFonts w:cs="Times New Roman"/>
          <w:b/>
          <w:szCs w:val="24"/>
        </w:rPr>
      </w:pPr>
    </w:p>
    <w:p w14:paraId="085D305E" w14:textId="77777777" w:rsidR="00605F33" w:rsidRPr="00BE20ED" w:rsidRDefault="00605F33" w:rsidP="00605F33">
      <w:pPr>
        <w:autoSpaceDE w:val="0"/>
        <w:autoSpaceDN w:val="0"/>
        <w:adjustRightInd w:val="0"/>
        <w:spacing w:line="480" w:lineRule="exact"/>
        <w:jc w:val="center"/>
        <w:rPr>
          <w:rFonts w:cs="Times New Roman"/>
          <w:b/>
          <w:szCs w:val="24"/>
        </w:rPr>
      </w:pPr>
    </w:p>
    <w:p w14:paraId="7A153833" w14:textId="77777777" w:rsidR="00605F33" w:rsidRPr="00BE20ED" w:rsidRDefault="00605F33" w:rsidP="00605F33">
      <w:pPr>
        <w:spacing w:line="480" w:lineRule="exact"/>
        <w:jc w:val="center"/>
        <w:outlineLvl w:val="0"/>
        <w:rPr>
          <w:rFonts w:cs="Times New Roman"/>
          <w:szCs w:val="24"/>
        </w:rPr>
      </w:pPr>
    </w:p>
    <w:p w14:paraId="1B19E342" w14:textId="77777777" w:rsidR="00605F33" w:rsidRPr="00BE20ED" w:rsidRDefault="00605F33" w:rsidP="00605F33">
      <w:pPr>
        <w:spacing w:line="480" w:lineRule="exact"/>
        <w:jc w:val="center"/>
        <w:outlineLvl w:val="0"/>
        <w:rPr>
          <w:rFonts w:cs="Times New Roman"/>
          <w:szCs w:val="24"/>
        </w:rPr>
      </w:pPr>
    </w:p>
    <w:p w14:paraId="4B300FA7" w14:textId="77777777" w:rsidR="00605F33" w:rsidRPr="00BE20ED" w:rsidRDefault="00605F33" w:rsidP="00605F33">
      <w:pPr>
        <w:spacing w:line="480" w:lineRule="exact"/>
        <w:jc w:val="center"/>
        <w:outlineLvl w:val="0"/>
        <w:rPr>
          <w:rFonts w:cs="Times New Roman"/>
          <w:szCs w:val="24"/>
        </w:rPr>
      </w:pPr>
    </w:p>
    <w:p w14:paraId="13A38FBB" w14:textId="59B2F240" w:rsidR="00605F33" w:rsidRPr="00605F33" w:rsidRDefault="00605F33" w:rsidP="00605F33">
      <w:pPr>
        <w:spacing w:line="480" w:lineRule="exact"/>
        <w:rPr>
          <w:rFonts w:cs="Times New Roman"/>
          <w:szCs w:val="24"/>
        </w:rPr>
      </w:pPr>
      <w:r w:rsidRPr="00605F33">
        <w:rPr>
          <w:rFonts w:cs="Times New Roman"/>
          <w:szCs w:val="24"/>
        </w:rPr>
        <w:t xml:space="preserve">Corresponding author: </w:t>
      </w:r>
      <w:r w:rsidRPr="00605F33">
        <w:rPr>
          <w:rFonts w:cs="Times New Roman"/>
          <w:szCs w:val="24"/>
          <w:lang w:val="en-GB"/>
        </w:rPr>
        <w:t>Andrew A. Abeyta, North Dakota State University, Dept. 2765, P.O. Box 6050, Fargo, ND 58108, USA. Email: andrew.abeyta@my.ndsu.edu</w:t>
      </w:r>
    </w:p>
    <w:p w14:paraId="4A2E2834" w14:textId="77777777" w:rsidR="00605F33" w:rsidRPr="00BE20ED" w:rsidRDefault="00605F33" w:rsidP="00605F33">
      <w:pPr>
        <w:spacing w:line="480" w:lineRule="exact"/>
        <w:rPr>
          <w:rFonts w:cs="Times New Roman"/>
          <w:b/>
          <w:szCs w:val="24"/>
        </w:rPr>
      </w:pPr>
      <w:r w:rsidRPr="00BE20ED">
        <w:rPr>
          <w:rFonts w:cs="Times New Roman"/>
          <w:b/>
          <w:szCs w:val="24"/>
        </w:rPr>
        <w:br w:type="page"/>
      </w:r>
    </w:p>
    <w:p w14:paraId="740E1D6A" w14:textId="42E01D3B" w:rsidR="0001656B" w:rsidRPr="00605F33" w:rsidRDefault="001A3062" w:rsidP="00DE67C1">
      <w:pPr>
        <w:spacing w:line="480" w:lineRule="exact"/>
        <w:jc w:val="center"/>
      </w:pPr>
      <w:r w:rsidRPr="00605F33">
        <w:lastRenderedPageBreak/>
        <w:t>Abstract</w:t>
      </w:r>
    </w:p>
    <w:p w14:paraId="5C8B6F01" w14:textId="1D6975D5" w:rsidR="00DE67C1" w:rsidRDefault="003220BA" w:rsidP="00DE67C1">
      <w:pPr>
        <w:spacing w:line="480" w:lineRule="exact"/>
      </w:pPr>
      <w:r>
        <w:t xml:space="preserve">The </w:t>
      </w:r>
      <w:r w:rsidR="00E0553E">
        <w:t>reported research</w:t>
      </w:r>
      <w:r>
        <w:t xml:space="preserve"> tested</w:t>
      </w:r>
      <w:r w:rsidR="009C745F">
        <w:t xml:space="preserve"> whether the </w:t>
      </w:r>
      <w:r w:rsidR="00607AF3">
        <w:t xml:space="preserve">social and agentic </w:t>
      </w:r>
      <w:r w:rsidR="009C745F">
        <w:t xml:space="preserve">content of nostalgic </w:t>
      </w:r>
      <w:r w:rsidR="00277AD7">
        <w:t>memories varies</w:t>
      </w:r>
      <w:r w:rsidR="009C745F">
        <w:t xml:space="preserve"> as a function of attachment</w:t>
      </w:r>
      <w:r w:rsidR="00AA0493">
        <w:t>-related</w:t>
      </w:r>
      <w:r w:rsidR="009C745F">
        <w:t xml:space="preserve"> avoidance</w:t>
      </w:r>
      <w:r w:rsidR="00602F8E">
        <w:t xml:space="preserve">. </w:t>
      </w:r>
      <w:r w:rsidR="00607AF3">
        <w:t>We measured i</w:t>
      </w:r>
      <w:r w:rsidR="009C745F">
        <w:t>ndividual differences in attachment</w:t>
      </w:r>
      <w:r w:rsidR="00AA0493">
        <w:t xml:space="preserve">-related </w:t>
      </w:r>
      <w:r w:rsidR="009C745F">
        <w:t>avoidance and anxiety</w:t>
      </w:r>
      <w:r>
        <w:t xml:space="preserve"> </w:t>
      </w:r>
      <w:r w:rsidR="009C745F">
        <w:t xml:space="preserve">and </w:t>
      </w:r>
      <w:r w:rsidR="00607AF3">
        <w:t xml:space="preserve">coded </w:t>
      </w:r>
      <w:r w:rsidR="009C745F">
        <w:t>the</w:t>
      </w:r>
      <w:r w:rsidR="00AA0493">
        <w:t xml:space="preserve"> </w:t>
      </w:r>
      <w:r w:rsidR="009C745F">
        <w:t xml:space="preserve">interpersonal </w:t>
      </w:r>
      <w:r w:rsidR="00C20AAB">
        <w:t xml:space="preserve">and agentic </w:t>
      </w:r>
      <w:r w:rsidR="009C745F">
        <w:t>content of nostalgic and non-nostalgic narratives</w:t>
      </w:r>
      <w:r w:rsidR="00602F8E">
        <w:t xml:space="preserve">. </w:t>
      </w:r>
      <w:r w:rsidR="009C745F">
        <w:t xml:space="preserve">Results revealed </w:t>
      </w:r>
      <w:r w:rsidR="004A5EFF">
        <w:t xml:space="preserve">that </w:t>
      </w:r>
      <w:r w:rsidR="00AA0493">
        <w:t>nostalgic (relative to non-nostalgic) narratives contain</w:t>
      </w:r>
      <w:r w:rsidR="00DB0BDC">
        <w:t>ed</w:t>
      </w:r>
      <w:r w:rsidR="00AA0493">
        <w:t xml:space="preserve"> more social content</w:t>
      </w:r>
      <w:r w:rsidR="00BD0AA7">
        <w:t xml:space="preserve">, and that this </w:t>
      </w:r>
      <w:r w:rsidR="00E0553E">
        <w:t>link</w:t>
      </w:r>
      <w:r w:rsidR="00BD0AA7">
        <w:t xml:space="preserve"> was not moderated by attachment-related avoidance</w:t>
      </w:r>
      <w:r w:rsidR="00BA43DD">
        <w:t xml:space="preserve">. </w:t>
      </w:r>
      <w:r w:rsidR="002B75FD">
        <w:t>The</w:t>
      </w:r>
      <w:r w:rsidR="00C20AAB">
        <w:t>re</w:t>
      </w:r>
      <w:r w:rsidR="00BA43DD">
        <w:t xml:space="preserve"> was</w:t>
      </w:r>
      <w:r w:rsidR="00AA0493">
        <w:t xml:space="preserve"> </w:t>
      </w:r>
      <w:r w:rsidR="009C745F">
        <w:t xml:space="preserve">a significant </w:t>
      </w:r>
      <w:r w:rsidR="00E0553E">
        <w:t xml:space="preserve">association </w:t>
      </w:r>
      <w:r w:rsidR="009C745F">
        <w:t>between attachment</w:t>
      </w:r>
      <w:r w:rsidR="00AA0493">
        <w:t>-related</w:t>
      </w:r>
      <w:r w:rsidR="009C745F">
        <w:t xml:space="preserve"> avoidance and </w:t>
      </w:r>
      <w:r w:rsidR="00F1309C">
        <w:t>attachment</w:t>
      </w:r>
      <w:r w:rsidR="003C7AAA">
        <w:t>-</w:t>
      </w:r>
      <w:r w:rsidR="00F1309C">
        <w:t xml:space="preserve">related social content </w:t>
      </w:r>
      <w:r w:rsidR="009C745F">
        <w:t>in nostalgic, but not non-nostalgic</w:t>
      </w:r>
      <w:r w:rsidR="00E0553E">
        <w:t>,</w:t>
      </w:r>
      <w:r w:rsidR="009C745F">
        <w:t xml:space="preserve"> past narratives</w:t>
      </w:r>
      <w:r w:rsidR="00602F8E">
        <w:t>.</w:t>
      </w:r>
      <w:r w:rsidR="00607AF3">
        <w:t xml:space="preserve"> T</w:t>
      </w:r>
      <w:r w:rsidR="004D13BA">
        <w:t>here was a</w:t>
      </w:r>
      <w:r w:rsidR="00607AF3">
        <w:t>lso a</w:t>
      </w:r>
      <w:r w:rsidR="004D13BA">
        <w:t xml:space="preserve"> significant </w:t>
      </w:r>
      <w:r w:rsidR="00E0553E">
        <w:t xml:space="preserve">association </w:t>
      </w:r>
      <w:r w:rsidR="004D13BA">
        <w:t>between attachment-related avoidance and agency content in nostalgic, but not non-nostalgic narratives.</w:t>
      </w:r>
    </w:p>
    <w:p w14:paraId="6C2E712C" w14:textId="77777777" w:rsidR="00DE67C1" w:rsidRDefault="00DE67C1">
      <w:r>
        <w:br w:type="page"/>
      </w:r>
    </w:p>
    <w:p w14:paraId="18B36C0E" w14:textId="77777777" w:rsidR="00605F33" w:rsidRDefault="0001656B" w:rsidP="00605F33">
      <w:pPr>
        <w:spacing w:line="480" w:lineRule="exact"/>
        <w:jc w:val="center"/>
        <w:rPr>
          <w:szCs w:val="24"/>
        </w:rPr>
      </w:pPr>
      <w:r>
        <w:lastRenderedPageBreak/>
        <w:tab/>
      </w:r>
      <w:r w:rsidR="00605F33" w:rsidRPr="0039344B">
        <w:rPr>
          <w:szCs w:val="24"/>
        </w:rPr>
        <w:t>Attachment-</w:t>
      </w:r>
      <w:r w:rsidR="00605F33">
        <w:rPr>
          <w:szCs w:val="24"/>
        </w:rPr>
        <w:t>R</w:t>
      </w:r>
      <w:r w:rsidR="00605F33" w:rsidRPr="0039344B">
        <w:rPr>
          <w:szCs w:val="24"/>
        </w:rPr>
        <w:t xml:space="preserve">elated </w:t>
      </w:r>
      <w:r w:rsidR="00605F33">
        <w:rPr>
          <w:szCs w:val="24"/>
        </w:rPr>
        <w:t>Avoidance and the S</w:t>
      </w:r>
      <w:r w:rsidR="00605F33" w:rsidRPr="0039344B">
        <w:rPr>
          <w:szCs w:val="24"/>
        </w:rPr>
        <w:t xml:space="preserve">ocial </w:t>
      </w:r>
      <w:r w:rsidR="00605F33">
        <w:rPr>
          <w:szCs w:val="24"/>
        </w:rPr>
        <w:t>and Agentic C</w:t>
      </w:r>
      <w:r w:rsidR="00605F33" w:rsidRPr="0039344B">
        <w:rPr>
          <w:szCs w:val="24"/>
        </w:rPr>
        <w:t>ontent</w:t>
      </w:r>
    </w:p>
    <w:p w14:paraId="71D14660" w14:textId="13C4D2B3" w:rsidR="00605F33" w:rsidRDefault="00605F33" w:rsidP="00605F33">
      <w:pPr>
        <w:spacing w:line="480" w:lineRule="exact"/>
        <w:jc w:val="center"/>
        <w:rPr>
          <w:rFonts w:cs="Times New Roman"/>
          <w:szCs w:val="24"/>
        </w:rPr>
      </w:pPr>
      <w:proofErr w:type="gramStart"/>
      <w:r w:rsidRPr="0039344B">
        <w:rPr>
          <w:szCs w:val="24"/>
        </w:rPr>
        <w:t>of</w:t>
      </w:r>
      <w:proofErr w:type="gramEnd"/>
      <w:r w:rsidRPr="0039344B">
        <w:rPr>
          <w:szCs w:val="24"/>
        </w:rPr>
        <w:t xml:space="preserve"> </w:t>
      </w:r>
      <w:r>
        <w:rPr>
          <w:szCs w:val="24"/>
        </w:rPr>
        <w:t>Nostalgic Memories</w:t>
      </w:r>
      <w:r w:rsidRPr="0039344B">
        <w:rPr>
          <w:szCs w:val="24"/>
        </w:rPr>
        <w:t xml:space="preserve"> </w:t>
      </w:r>
    </w:p>
    <w:p w14:paraId="4CB88FD5" w14:textId="0485B668" w:rsidR="00B33A93" w:rsidRDefault="00605F33" w:rsidP="00DE67C1">
      <w:pPr>
        <w:spacing w:line="480" w:lineRule="exact"/>
      </w:pPr>
      <w:r>
        <w:tab/>
      </w:r>
      <w:r w:rsidR="00D726D5">
        <w:t xml:space="preserve">A growing </w:t>
      </w:r>
      <w:r w:rsidR="00E0553E">
        <w:t xml:space="preserve">literature </w:t>
      </w:r>
      <w:r w:rsidR="00D726D5">
        <w:t>indicates that n</w:t>
      </w:r>
      <w:r w:rsidR="007D70F8">
        <w:t>ostalgia</w:t>
      </w:r>
      <w:r w:rsidR="00277AD7">
        <w:t>, a sentimental longing for the p</w:t>
      </w:r>
      <w:r w:rsidR="00DB4E65">
        <w:t>a</w:t>
      </w:r>
      <w:r w:rsidR="00277AD7">
        <w:t>st,</w:t>
      </w:r>
      <w:r w:rsidR="007D70F8">
        <w:t xml:space="preserve"> is a self-relevant</w:t>
      </w:r>
      <w:r w:rsidR="00E0553E">
        <w:t>,</w:t>
      </w:r>
      <w:r w:rsidR="007D70F8">
        <w:t xml:space="preserve"> but social, and predominantly positive emotion that </w:t>
      </w:r>
      <w:r w:rsidR="0082314F">
        <w:t xml:space="preserve">promotes psychological </w:t>
      </w:r>
      <w:r w:rsidR="00607AF3">
        <w:t xml:space="preserve">health and </w:t>
      </w:r>
      <w:r w:rsidR="0082314F">
        <w:t xml:space="preserve">well-being </w:t>
      </w:r>
      <w:r w:rsidR="00AE39BE">
        <w:t>(for a review</w:t>
      </w:r>
      <w:r w:rsidR="00E0553E">
        <w:t>,</w:t>
      </w:r>
      <w:r w:rsidR="00AE39BE">
        <w:t xml:space="preserve"> see Routledge, Wildschut, Sedikides, &amp; Juhl, </w:t>
      </w:r>
      <w:r w:rsidR="000E3E31">
        <w:t>2013</w:t>
      </w:r>
      <w:r w:rsidR="00AE39BE">
        <w:t>)</w:t>
      </w:r>
      <w:r w:rsidR="00602F8E">
        <w:t xml:space="preserve">. </w:t>
      </w:r>
      <w:r w:rsidR="00AE39BE">
        <w:t xml:space="preserve">Though a </w:t>
      </w:r>
      <w:r w:rsidR="00186393">
        <w:t xml:space="preserve">good deal </w:t>
      </w:r>
      <w:r w:rsidR="00AE39BE">
        <w:t xml:space="preserve">of attention has been and continues to be paid to elucidating the psychological functions of nostalgia, much less </w:t>
      </w:r>
      <w:r w:rsidR="00607AF3">
        <w:t>consideration</w:t>
      </w:r>
      <w:r w:rsidR="00AE39BE">
        <w:t xml:space="preserve"> has been given to </w:t>
      </w:r>
      <w:r w:rsidR="00687D51">
        <w:t xml:space="preserve">detailing how individual differences may influence the experience of nostalgia. </w:t>
      </w:r>
      <w:r w:rsidR="00ED26F9">
        <w:t>Do</w:t>
      </w:r>
      <w:r w:rsidR="00D43ACD">
        <w:t xml:space="preserve"> psychological traits influence </w:t>
      </w:r>
      <w:r w:rsidR="003D257A">
        <w:t xml:space="preserve">the content of </w:t>
      </w:r>
      <w:r w:rsidR="00D43ACD">
        <w:t>nostalgic memories?</w:t>
      </w:r>
      <w:r w:rsidR="0082314F">
        <w:t xml:space="preserve"> Considering that nostalgia is commonplace </w:t>
      </w:r>
      <w:r w:rsidR="00E0553E">
        <w:t xml:space="preserve">(Wildschut, Sedikides, Arndt, &amp; Routledge, 2006) </w:t>
      </w:r>
      <w:r w:rsidR="0082314F">
        <w:t xml:space="preserve">and consequential for well-being, it is important to understand </w:t>
      </w:r>
      <w:r w:rsidR="00687D51">
        <w:t xml:space="preserve">the role </w:t>
      </w:r>
      <w:r w:rsidR="00E0553E">
        <w:t xml:space="preserve">of </w:t>
      </w:r>
      <w:r w:rsidR="00687D51">
        <w:t>individual differences in nostalgic memories</w:t>
      </w:r>
      <w:r w:rsidR="0082314F">
        <w:t>.</w:t>
      </w:r>
    </w:p>
    <w:p w14:paraId="5F72B91E" w14:textId="007D1174" w:rsidR="0001656B" w:rsidRDefault="00687D51" w:rsidP="00DE67C1">
      <w:pPr>
        <w:spacing w:line="480" w:lineRule="exact"/>
        <w:ind w:firstLine="720"/>
      </w:pPr>
      <w:r>
        <w:t>The little research that has been conducted on the content of nostalgia</w:t>
      </w:r>
      <w:r w:rsidR="001F3AE5">
        <w:t xml:space="preserve"> indicate</w:t>
      </w:r>
      <w:r>
        <w:t>s</w:t>
      </w:r>
      <w:r w:rsidR="001F3AE5">
        <w:t xml:space="preserve"> </w:t>
      </w:r>
      <w:r w:rsidR="00142B36">
        <w:t xml:space="preserve">that </w:t>
      </w:r>
      <w:r w:rsidR="00B21C38">
        <w:t xml:space="preserve">nostalgic </w:t>
      </w:r>
      <w:r w:rsidR="001F3AE5">
        <w:t xml:space="preserve">memories </w:t>
      </w:r>
      <w:r w:rsidR="002B21BE">
        <w:t>prominently</w:t>
      </w:r>
      <w:r w:rsidR="00B31AED">
        <w:t xml:space="preserve"> feature the self</w:t>
      </w:r>
      <w:r w:rsidR="00490221">
        <w:t xml:space="preserve"> in the context of </w:t>
      </w:r>
      <w:r w:rsidR="00D74B1C">
        <w:t xml:space="preserve">close </w:t>
      </w:r>
      <w:r w:rsidR="007B0C13">
        <w:t>relationships</w:t>
      </w:r>
      <w:r w:rsidR="00CB7A46">
        <w:t xml:space="preserve"> and </w:t>
      </w:r>
      <w:r w:rsidR="00490221">
        <w:t xml:space="preserve">contain expressions of both </w:t>
      </w:r>
      <w:r w:rsidR="00EB1BF6">
        <w:t xml:space="preserve">positive </w:t>
      </w:r>
      <w:r w:rsidR="00490221">
        <w:t xml:space="preserve">and negative </w:t>
      </w:r>
      <w:r w:rsidR="00EB1BF6">
        <w:t>emotions</w:t>
      </w:r>
      <w:r w:rsidR="00490221">
        <w:t>, although the former</w:t>
      </w:r>
      <w:r w:rsidR="00816DCD">
        <w:t xml:space="preserve"> </w:t>
      </w:r>
      <w:r w:rsidR="00EB1BF6">
        <w:t>outnumber</w:t>
      </w:r>
      <w:r w:rsidR="00490221">
        <w:t xml:space="preserve"> the latter</w:t>
      </w:r>
      <w:r w:rsidR="00142B36">
        <w:t xml:space="preserve"> (</w:t>
      </w:r>
      <w:r w:rsidR="0082314F">
        <w:t>Wildschut</w:t>
      </w:r>
      <w:r w:rsidR="00E0553E">
        <w:t xml:space="preserve"> et al.</w:t>
      </w:r>
      <w:r w:rsidR="00142B36">
        <w:t xml:space="preserve">, 2006). </w:t>
      </w:r>
      <w:r w:rsidR="00B458A0">
        <w:t>However, t</w:t>
      </w:r>
      <w:r w:rsidR="00B31AED">
        <w:t xml:space="preserve">o date, only one study has considered </w:t>
      </w:r>
      <w:r w:rsidR="0093792C">
        <w:t>how</w:t>
      </w:r>
      <w:r w:rsidR="00B31AED">
        <w:t xml:space="preserve"> </w:t>
      </w:r>
      <w:r w:rsidR="00186393">
        <w:t xml:space="preserve">the content of nostalgic memories varies as a function of </w:t>
      </w:r>
      <w:r w:rsidR="00B31AED">
        <w:t>individual differences</w:t>
      </w:r>
      <w:r w:rsidR="005A0394">
        <w:t xml:space="preserve">. </w:t>
      </w:r>
      <w:r w:rsidR="00026B5E">
        <w:t>Hart and colleagues</w:t>
      </w:r>
      <w:r w:rsidR="004428AE">
        <w:t xml:space="preserve"> (2011) demonstrated that</w:t>
      </w:r>
      <w:r w:rsidR="00282BAF" w:rsidRPr="00282BAF">
        <w:t xml:space="preserve"> </w:t>
      </w:r>
      <w:r w:rsidR="00282BAF">
        <w:t>the nostalgic narratives of high narcissists, relative to low narcissists,</w:t>
      </w:r>
      <w:r w:rsidR="004428AE">
        <w:t xml:space="preserve"> </w:t>
      </w:r>
      <w:r w:rsidR="00E0553E">
        <w:t xml:space="preserve">comprise </w:t>
      </w:r>
      <w:r w:rsidR="001617A2">
        <w:t>more agency related words (e.g., achieve, competitive)</w:t>
      </w:r>
      <w:r w:rsidR="00EE2997">
        <w:t xml:space="preserve">. </w:t>
      </w:r>
    </w:p>
    <w:p w14:paraId="4F348C77" w14:textId="0D08EED9" w:rsidR="008E1EE1" w:rsidRDefault="002B21BE" w:rsidP="00DE67C1">
      <w:pPr>
        <w:spacing w:line="480" w:lineRule="exact"/>
        <w:ind w:firstLine="720"/>
      </w:pPr>
      <w:r>
        <w:t>In the present study</w:t>
      </w:r>
      <w:r w:rsidR="00186393">
        <w:t>,</w:t>
      </w:r>
      <w:r>
        <w:t xml:space="preserve"> we focus on </w:t>
      </w:r>
      <w:r w:rsidR="00722930">
        <w:t xml:space="preserve">the potential for </w:t>
      </w:r>
      <w:r w:rsidR="00D43ACD">
        <w:t>attachment style</w:t>
      </w:r>
      <w:r w:rsidR="00722930">
        <w:t xml:space="preserve"> to influence the </w:t>
      </w:r>
      <w:r w:rsidR="00687D51">
        <w:t>experience</w:t>
      </w:r>
      <w:r w:rsidR="00722930">
        <w:t xml:space="preserve"> of nostalgia</w:t>
      </w:r>
      <w:r w:rsidR="00602F8E">
        <w:t xml:space="preserve">. </w:t>
      </w:r>
      <w:r w:rsidR="00D43ACD">
        <w:t xml:space="preserve">According to attachment theory, attachment styles represent the extent to which </w:t>
      </w:r>
      <w:r w:rsidR="00490221">
        <w:t xml:space="preserve">individuals </w:t>
      </w:r>
      <w:r w:rsidR="00D43ACD">
        <w:t xml:space="preserve">rely on close </w:t>
      </w:r>
      <w:r w:rsidR="00D74B1C">
        <w:t xml:space="preserve">relationships as </w:t>
      </w:r>
      <w:r w:rsidR="00D43ACD">
        <w:t>stable and available sources of psychological security (Bowlby, 1969)</w:t>
      </w:r>
      <w:r w:rsidR="00602F8E">
        <w:t xml:space="preserve">. </w:t>
      </w:r>
      <w:r w:rsidR="00D43ACD">
        <w:t>Attachment styles are conceptualized along dimension</w:t>
      </w:r>
      <w:r w:rsidR="009F2590">
        <w:t>s</w:t>
      </w:r>
      <w:r w:rsidR="00D43ACD">
        <w:t xml:space="preserve"> of attachment-related avoidance and attachment-related anxiety</w:t>
      </w:r>
      <w:r w:rsidR="00602F8E">
        <w:t xml:space="preserve">. </w:t>
      </w:r>
      <w:r w:rsidR="00D43ACD">
        <w:t xml:space="preserve">Attachment-related avoidance reflects the extent to which </w:t>
      </w:r>
      <w:r w:rsidR="004A5EFF">
        <w:t>one</w:t>
      </w:r>
      <w:r w:rsidR="00D43ACD">
        <w:t xml:space="preserve"> </w:t>
      </w:r>
      <w:r w:rsidR="004A5EFF">
        <w:t xml:space="preserve">avoids (vs. relies on) </w:t>
      </w:r>
      <w:r w:rsidR="00D43ACD">
        <w:t xml:space="preserve">interpersonal relationships as </w:t>
      </w:r>
      <w:r w:rsidR="004A5EFF">
        <w:t>a</w:t>
      </w:r>
      <w:r w:rsidR="00D43ACD">
        <w:t xml:space="preserve"> source of psychological security, whereas attachment-related anxiety reflects the extent to which </w:t>
      </w:r>
      <w:r w:rsidR="004A5EFF">
        <w:t>one</w:t>
      </w:r>
      <w:r w:rsidR="00D43ACD">
        <w:t xml:space="preserve"> views oneself as </w:t>
      </w:r>
      <w:r w:rsidR="004A5EFF">
        <w:t>un</w:t>
      </w:r>
      <w:r w:rsidR="00D43ACD">
        <w:t>worthy</w:t>
      </w:r>
      <w:r w:rsidR="004A5EFF">
        <w:t xml:space="preserve"> (vs. worthy)</w:t>
      </w:r>
      <w:r w:rsidR="00D43ACD">
        <w:t xml:space="preserve"> of </w:t>
      </w:r>
      <w:r w:rsidR="004D13BA">
        <w:t>love</w:t>
      </w:r>
      <w:r w:rsidR="00D43ACD">
        <w:t xml:space="preserve"> </w:t>
      </w:r>
      <w:r w:rsidR="00104C03">
        <w:t>(Brennan, Clark, &amp; Shaver, 1998</w:t>
      </w:r>
      <w:r w:rsidR="00D43ACD">
        <w:t xml:space="preserve">). </w:t>
      </w:r>
      <w:r>
        <w:t xml:space="preserve">We </w:t>
      </w:r>
      <w:r w:rsidR="00E0553E">
        <w:t>examined whether</w:t>
      </w:r>
      <w:r w:rsidR="00D43ACD">
        <w:t xml:space="preserve"> attachment style influence</w:t>
      </w:r>
      <w:r w:rsidR="004A5EFF">
        <w:t>s</w:t>
      </w:r>
      <w:r w:rsidR="00D43ACD">
        <w:t xml:space="preserve"> the content of nostalgic memories</w:t>
      </w:r>
      <w:r>
        <w:t xml:space="preserve"> for </w:t>
      </w:r>
      <w:r w:rsidR="00490221">
        <w:t xml:space="preserve">several </w:t>
      </w:r>
      <w:r w:rsidR="00687D51">
        <w:t>reasons. First,</w:t>
      </w:r>
      <w:r>
        <w:t xml:space="preserve"> nostalgic </w:t>
      </w:r>
      <w:r>
        <w:lastRenderedPageBreak/>
        <w:t>narratives typically feature close others (Wildschut et al., 2006)</w:t>
      </w:r>
      <w:r w:rsidR="00602F8E">
        <w:t xml:space="preserve">. </w:t>
      </w:r>
      <w:r>
        <w:t>Second,</w:t>
      </w:r>
      <w:r w:rsidR="0002794C">
        <w:t xml:space="preserve"> </w:t>
      </w:r>
      <w:r w:rsidR="00D442A0">
        <w:t xml:space="preserve">nostalgia </w:t>
      </w:r>
      <w:r>
        <w:t xml:space="preserve">heightens </w:t>
      </w:r>
      <w:r w:rsidR="00D442A0">
        <w:t xml:space="preserve">social </w:t>
      </w:r>
      <w:r w:rsidR="00C62746">
        <w:t xml:space="preserve">connectedness </w:t>
      </w:r>
      <w:r w:rsidR="00D442A0">
        <w:t>(</w:t>
      </w:r>
      <w:r w:rsidR="00E0553E">
        <w:t xml:space="preserve">a sense of belongingness or acceptance; </w:t>
      </w:r>
      <w:r w:rsidR="00D442A0">
        <w:t>Wildschut et al., 2006) and</w:t>
      </w:r>
      <w:r w:rsidR="00A71EF1">
        <w:t xml:space="preserve"> bolsters social support </w:t>
      </w:r>
      <w:r w:rsidR="00C62746">
        <w:t xml:space="preserve">at times of </w:t>
      </w:r>
      <w:r w:rsidR="00A71EF1">
        <w:t>lonel</w:t>
      </w:r>
      <w:r w:rsidR="00C62746">
        <w:t>iness</w:t>
      </w:r>
      <w:r w:rsidR="00D442A0">
        <w:t xml:space="preserve"> (Zhou</w:t>
      </w:r>
      <w:r w:rsidR="001E0B13">
        <w:t xml:space="preserve">, Sedikides, Wildschut, &amp; </w:t>
      </w:r>
      <w:proofErr w:type="gramStart"/>
      <w:r w:rsidR="001E0B13">
        <w:t>Gao</w:t>
      </w:r>
      <w:proofErr w:type="gramEnd"/>
      <w:r w:rsidR="00821C28">
        <w:t>, 2008</w:t>
      </w:r>
      <w:r w:rsidR="00D442A0">
        <w:t>)</w:t>
      </w:r>
      <w:r w:rsidR="00602F8E">
        <w:t xml:space="preserve">. </w:t>
      </w:r>
      <w:proofErr w:type="gramStart"/>
      <w:r w:rsidR="00475A23">
        <w:t>Third</w:t>
      </w:r>
      <w:r w:rsidR="009F7810">
        <w:t>,</w:t>
      </w:r>
      <w:proofErr w:type="gramEnd"/>
      <w:r w:rsidR="0085239C">
        <w:t xml:space="preserve"> </w:t>
      </w:r>
      <w:r w:rsidR="0093792C">
        <w:t xml:space="preserve">and most relevant, </w:t>
      </w:r>
      <w:r w:rsidR="00687D51">
        <w:t>attachment-related avoidance moderates the social function</w:t>
      </w:r>
      <w:r w:rsidR="004F0743">
        <w:t>s</w:t>
      </w:r>
      <w:r w:rsidR="00687D51">
        <w:t xml:space="preserve"> of nostalgia</w:t>
      </w:r>
      <w:r w:rsidR="00602F8E">
        <w:t xml:space="preserve">. </w:t>
      </w:r>
      <w:r w:rsidR="00A71EF1">
        <w:t xml:space="preserve">Specifically, </w:t>
      </w:r>
      <w:r w:rsidR="003E317C">
        <w:t>nostalgia increases</w:t>
      </w:r>
      <w:r w:rsidR="00FA0506">
        <w:t xml:space="preserve"> </w:t>
      </w:r>
      <w:r w:rsidR="00C62746">
        <w:t>social connectedness</w:t>
      </w:r>
      <w:r w:rsidR="003E317C">
        <w:t>,</w:t>
      </w:r>
      <w:r w:rsidR="00FA0506">
        <w:t xml:space="preserve"> social competence</w:t>
      </w:r>
      <w:r w:rsidR="003E317C">
        <w:t xml:space="preserve">, relationship satisfaction, and a desire to pursue romantic relationships </w:t>
      </w:r>
      <w:r w:rsidR="00FA0506">
        <w:t xml:space="preserve">for </w:t>
      </w:r>
      <w:r w:rsidR="00C62746">
        <w:t xml:space="preserve">individuals </w:t>
      </w:r>
      <w:r w:rsidR="00FA0506">
        <w:t>low</w:t>
      </w:r>
      <w:r w:rsidR="00A7205C">
        <w:t>,</w:t>
      </w:r>
      <w:r w:rsidR="00FA0506">
        <w:t xml:space="preserve"> but not high</w:t>
      </w:r>
      <w:r w:rsidR="00A7205C">
        <w:t xml:space="preserve">, </w:t>
      </w:r>
      <w:r w:rsidR="00FA0506">
        <w:t>in attachment</w:t>
      </w:r>
      <w:r w:rsidR="00676579">
        <w:t>-</w:t>
      </w:r>
      <w:r w:rsidR="00FA0506">
        <w:t>related avoidance</w:t>
      </w:r>
      <w:r w:rsidR="00CB7A46">
        <w:t xml:space="preserve"> (Juhl, Sand, &amp; Routledge, 2010; Wildschut et al., 2010)</w:t>
      </w:r>
      <w:r w:rsidR="00602F8E">
        <w:t xml:space="preserve">. </w:t>
      </w:r>
      <w:r w:rsidR="00CB7A46">
        <w:t>In this</w:t>
      </w:r>
      <w:r w:rsidR="00E0553E">
        <w:t xml:space="preserve"> past</w:t>
      </w:r>
      <w:r w:rsidR="00CB7A46">
        <w:t xml:space="preserve"> research, a</w:t>
      </w:r>
      <w:r w:rsidR="000A027A">
        <w:t>ttachment-related anx</w:t>
      </w:r>
      <w:r w:rsidR="00FA1ED4">
        <w:t xml:space="preserve">iety </w:t>
      </w:r>
      <w:r w:rsidR="00CB7A46">
        <w:t xml:space="preserve">did not </w:t>
      </w:r>
      <w:r w:rsidR="000A027A">
        <w:t>predict differences in the social function</w:t>
      </w:r>
      <w:r w:rsidR="004F0743">
        <w:t>s</w:t>
      </w:r>
      <w:r w:rsidR="000A027A">
        <w:t xml:space="preserve"> of nostalgia</w:t>
      </w:r>
      <w:r w:rsidR="003E317C">
        <w:t>.</w:t>
      </w:r>
      <w:r w:rsidR="00602F8E">
        <w:t xml:space="preserve"> </w:t>
      </w:r>
    </w:p>
    <w:p w14:paraId="2DFD7F88" w14:textId="2A5F4929" w:rsidR="00937428" w:rsidRDefault="00B46572" w:rsidP="00DE67C1">
      <w:pPr>
        <w:spacing w:line="480" w:lineRule="exact"/>
        <w:ind w:firstLine="720"/>
      </w:pPr>
      <w:r>
        <w:t>In short</w:t>
      </w:r>
      <w:r w:rsidR="00E53E6E">
        <w:t>,</w:t>
      </w:r>
      <w:r w:rsidR="007D3E96">
        <w:t xml:space="preserve"> </w:t>
      </w:r>
      <w:r w:rsidR="00C62746">
        <w:t xml:space="preserve">given that </w:t>
      </w:r>
      <w:r w:rsidR="007D3E96">
        <w:t>social function</w:t>
      </w:r>
      <w:r w:rsidR="004F0743">
        <w:t>s of nostalgia are</w:t>
      </w:r>
      <w:r w:rsidR="007D3E96">
        <w:t xml:space="preserve"> moderated by attachment-related avoidance,</w:t>
      </w:r>
      <w:r w:rsidR="00E53E6E">
        <w:t xml:space="preserve"> </w:t>
      </w:r>
      <w:r>
        <w:t xml:space="preserve">the content of nostalgia may be influenced by </w:t>
      </w:r>
      <w:r w:rsidR="007D3E96">
        <w:t>attachment</w:t>
      </w:r>
      <w:r>
        <w:t>-related avoidance</w:t>
      </w:r>
      <w:r w:rsidR="00F63C07">
        <w:t>.</w:t>
      </w:r>
      <w:r w:rsidR="00932BF0">
        <w:t xml:space="preserve"> </w:t>
      </w:r>
      <w:r w:rsidR="00521108">
        <w:t>In the current study</w:t>
      </w:r>
      <w:r w:rsidR="000A117D">
        <w:t>,</w:t>
      </w:r>
      <w:r w:rsidR="00521108">
        <w:t xml:space="preserve"> </w:t>
      </w:r>
      <w:r w:rsidR="00932BF0">
        <w:t>w</w:t>
      </w:r>
      <w:r w:rsidR="00937428">
        <w:t>e</w:t>
      </w:r>
      <w:r w:rsidR="00B87D93">
        <w:t xml:space="preserve"> specifically</w:t>
      </w:r>
      <w:r w:rsidR="00937428">
        <w:t xml:space="preserve"> examine</w:t>
      </w:r>
      <w:r w:rsidR="00C62746">
        <w:t>d</w:t>
      </w:r>
      <w:r w:rsidR="00937428">
        <w:t xml:space="preserve"> </w:t>
      </w:r>
      <w:r w:rsidR="006C5CD7">
        <w:t xml:space="preserve">the </w:t>
      </w:r>
      <w:r w:rsidR="00937428">
        <w:t xml:space="preserve">presence and </w:t>
      </w:r>
      <w:r w:rsidR="009F7810">
        <w:t xml:space="preserve">nature </w:t>
      </w:r>
      <w:r w:rsidR="00937428">
        <w:t>of social content in nostalgic and non-nostalgic narratives</w:t>
      </w:r>
      <w:r w:rsidR="00602F8E">
        <w:t xml:space="preserve">. </w:t>
      </w:r>
      <w:r w:rsidR="009D32C7">
        <w:t>Based on indicati</w:t>
      </w:r>
      <w:r w:rsidR="00C62746">
        <w:t>ons</w:t>
      </w:r>
      <w:r w:rsidR="009D32C7">
        <w:t xml:space="preserve"> that nostalgia is a social emotion (Wildschut et al., 2006), we </w:t>
      </w:r>
      <w:r w:rsidR="00C62746">
        <w:t xml:space="preserve">hypothesized </w:t>
      </w:r>
      <w:r w:rsidR="009D32C7">
        <w:t>that nostalgic narratives would contain more social content than non-nostalgic autobiographical narratives</w:t>
      </w:r>
      <w:r w:rsidR="0071021F">
        <w:t xml:space="preserve">. We did not anticipate for </w:t>
      </w:r>
      <w:r w:rsidR="009D32C7">
        <w:t xml:space="preserve">this effect </w:t>
      </w:r>
      <w:r w:rsidR="0071021F">
        <w:t xml:space="preserve">to </w:t>
      </w:r>
      <w:r w:rsidR="009D32C7">
        <w:t>be moderated by attachment-related avoidance</w:t>
      </w:r>
      <w:r w:rsidR="00602F8E">
        <w:t xml:space="preserve">. </w:t>
      </w:r>
      <w:r w:rsidR="009D32C7">
        <w:t xml:space="preserve">That is, </w:t>
      </w:r>
      <w:r w:rsidR="009073A6">
        <w:t>attachment style may not be predictive of the mere presence or absence of social content</w:t>
      </w:r>
      <w:r w:rsidR="000A117D">
        <w:t>. This is</w:t>
      </w:r>
      <w:r w:rsidR="00EB1BF6">
        <w:t xml:space="preserve"> because most nostalgic memories in</w:t>
      </w:r>
      <w:r w:rsidR="00022B35">
        <w:t>volve others</w:t>
      </w:r>
      <w:r w:rsidR="000A117D">
        <w:t>,</w:t>
      </w:r>
      <w:r w:rsidR="00AA4809">
        <w:t xml:space="preserve"> and</w:t>
      </w:r>
      <w:r w:rsidR="000A117D">
        <w:t>,</w:t>
      </w:r>
      <w:r w:rsidR="00AA4809">
        <w:t xml:space="preserve"> </w:t>
      </w:r>
      <w:r w:rsidR="00CC321A">
        <w:t xml:space="preserve">though </w:t>
      </w:r>
      <w:r w:rsidR="00AA4809">
        <w:t>individuals high in attachment-related avoidance</w:t>
      </w:r>
      <w:r w:rsidR="00ED5FC6">
        <w:t xml:space="preserve"> are thought to avoid intimacy and </w:t>
      </w:r>
      <w:r w:rsidR="000A117D">
        <w:t xml:space="preserve">relational </w:t>
      </w:r>
      <w:r w:rsidR="00ED5FC6">
        <w:t>closeness</w:t>
      </w:r>
      <w:r w:rsidR="00CC321A">
        <w:t xml:space="preserve">, they do not </w:t>
      </w:r>
      <w:r w:rsidR="00ED5FC6">
        <w:t xml:space="preserve">necessarily </w:t>
      </w:r>
      <w:r w:rsidR="00CC321A">
        <w:t xml:space="preserve">avoid </w:t>
      </w:r>
      <w:r w:rsidR="00ED5FC6">
        <w:t xml:space="preserve">relationships </w:t>
      </w:r>
      <w:r w:rsidR="000A117D">
        <w:t xml:space="preserve">per se </w:t>
      </w:r>
      <w:r w:rsidR="00AA4809">
        <w:t>(</w:t>
      </w:r>
      <w:r w:rsidR="00DB4E65">
        <w:t>Collins &amp; Allard, 2001</w:t>
      </w:r>
      <w:r w:rsidR="00AA4809">
        <w:t>)</w:t>
      </w:r>
      <w:r w:rsidR="00602F8E">
        <w:t xml:space="preserve">. </w:t>
      </w:r>
      <w:r w:rsidR="0082314F">
        <w:t>Instead</w:t>
      </w:r>
      <w:r w:rsidR="00937428">
        <w:t xml:space="preserve">, </w:t>
      </w:r>
      <w:r w:rsidR="00B04ADE">
        <w:t xml:space="preserve">we predicted that </w:t>
      </w:r>
      <w:r w:rsidR="00937428">
        <w:t xml:space="preserve">the qualitative nature of social content </w:t>
      </w:r>
      <w:r w:rsidR="00B04ADE">
        <w:t>would</w:t>
      </w:r>
      <w:r w:rsidR="0071021F">
        <w:t xml:space="preserve"> </w:t>
      </w:r>
      <w:r w:rsidR="00937428">
        <w:t>var</w:t>
      </w:r>
      <w:r w:rsidR="006C5CD7">
        <w:t>y</w:t>
      </w:r>
      <w:r w:rsidR="00937428">
        <w:t xml:space="preserve"> as a function of </w:t>
      </w:r>
      <w:r w:rsidR="00AA4809">
        <w:t>attachment-related avoidance</w:t>
      </w:r>
      <w:r w:rsidR="00937428">
        <w:t xml:space="preserve">. </w:t>
      </w:r>
      <w:r w:rsidR="0071021F">
        <w:t xml:space="preserve">Individuals </w:t>
      </w:r>
      <w:r w:rsidR="00937428">
        <w:t xml:space="preserve">low in avoidance might </w:t>
      </w:r>
      <w:r w:rsidR="00B04ADE">
        <w:t>recall</w:t>
      </w:r>
      <w:r w:rsidR="00937428">
        <w:t xml:space="preserve"> deep loving relationships and describe </w:t>
      </w:r>
      <w:r w:rsidR="00CE270B">
        <w:t>attachment</w:t>
      </w:r>
      <w:r w:rsidR="004A5EFF">
        <w:t>-</w:t>
      </w:r>
      <w:r w:rsidR="00CE270B">
        <w:t xml:space="preserve">related </w:t>
      </w:r>
      <w:r w:rsidR="00937428">
        <w:t>feeling</w:t>
      </w:r>
      <w:r w:rsidR="00475A23">
        <w:t>s</w:t>
      </w:r>
      <w:r w:rsidR="00937428">
        <w:t xml:space="preserve"> of comfort, trust, and security felt in those relationships, whereas </w:t>
      </w:r>
      <w:r w:rsidR="0071021F">
        <w:t xml:space="preserve">individuals </w:t>
      </w:r>
      <w:r w:rsidR="00937428">
        <w:t xml:space="preserve">high in attachment avoidance might </w:t>
      </w:r>
      <w:r w:rsidR="00ED2A8F">
        <w:t xml:space="preserve">not </w:t>
      </w:r>
      <w:r w:rsidR="00B04ADE">
        <w:t xml:space="preserve">recall </w:t>
      </w:r>
      <w:r w:rsidR="00AA4809">
        <w:t xml:space="preserve">this more intimate </w:t>
      </w:r>
      <w:r w:rsidR="007A7687">
        <w:t>attachment-</w:t>
      </w:r>
      <w:r w:rsidR="00B04ADE">
        <w:t>related information</w:t>
      </w:r>
      <w:r w:rsidR="00602F8E">
        <w:t xml:space="preserve">. </w:t>
      </w:r>
      <w:r w:rsidR="00521108">
        <w:t xml:space="preserve">Consistent with this proposition, </w:t>
      </w:r>
      <w:r w:rsidR="000A117D">
        <w:t>evidence has indicated</w:t>
      </w:r>
      <w:r w:rsidR="00ED2A8F">
        <w:t xml:space="preserve"> memory</w:t>
      </w:r>
      <w:r w:rsidR="008E1EE1">
        <w:t xml:space="preserve"> </w:t>
      </w:r>
      <w:r w:rsidR="00ED2A8F">
        <w:t>deficits for attachment related information among those high in attachment avoidance</w:t>
      </w:r>
      <w:r w:rsidR="00B04ADE">
        <w:t xml:space="preserve"> (Edelstein, 2006)</w:t>
      </w:r>
      <w:r w:rsidR="00521108">
        <w:t xml:space="preserve">, though no research has examined the implications of this deficit for nostalgic memories and few studies have examined this deficit in memories that are not explicitly social. </w:t>
      </w:r>
      <w:r w:rsidR="00937428">
        <w:lastRenderedPageBreak/>
        <w:t xml:space="preserve">Therefore, we </w:t>
      </w:r>
      <w:r w:rsidR="0071021F">
        <w:t xml:space="preserve">hypothesized </w:t>
      </w:r>
      <w:r w:rsidR="00937428">
        <w:t>that</w:t>
      </w:r>
      <w:r w:rsidR="000A117D">
        <w:t>,</w:t>
      </w:r>
      <w:r w:rsidR="00937428">
        <w:t xml:space="preserve"> </w:t>
      </w:r>
      <w:r w:rsidR="00022B35">
        <w:t xml:space="preserve">for nostalgic (but not </w:t>
      </w:r>
      <w:r w:rsidR="0071021F">
        <w:t xml:space="preserve">for </w:t>
      </w:r>
      <w:r w:rsidR="00022B35">
        <w:t>non-nostalgic</w:t>
      </w:r>
      <w:r w:rsidR="002A336A">
        <w:t>) autobiographical</w:t>
      </w:r>
      <w:r w:rsidR="00022B35">
        <w:t xml:space="preserve"> narratives</w:t>
      </w:r>
      <w:r w:rsidR="00937428">
        <w:t>, attachment avoidance would be negatively related to references of feeling loved, protected, and trusted by others</w:t>
      </w:r>
      <w:r w:rsidR="00602F8E">
        <w:t xml:space="preserve">. </w:t>
      </w:r>
      <w:r w:rsidR="007C6828">
        <w:t xml:space="preserve">We did not expect a moderating role for attachment-related anxiety, </w:t>
      </w:r>
      <w:r w:rsidR="00EC2114">
        <w:t xml:space="preserve">based on </w:t>
      </w:r>
      <w:r w:rsidR="000A117D">
        <w:t>existing literature</w:t>
      </w:r>
      <w:r w:rsidR="007C6828">
        <w:t xml:space="preserve"> </w:t>
      </w:r>
      <w:r w:rsidR="00544410">
        <w:t>(Juhl et al., 2012; Wildschut et al., 2010)</w:t>
      </w:r>
      <w:r w:rsidR="0071021F">
        <w:t xml:space="preserve">. </w:t>
      </w:r>
      <w:r w:rsidR="004A4F0B">
        <w:t xml:space="preserve">Finally, individuals high in attachment avoidance are thought to strive for self-reliance (Shaver &amp; Mikulincer, 2002), but few studies have examined how these motives influence autobiographical recall. </w:t>
      </w:r>
      <w:r w:rsidR="00521108">
        <w:t>W</w:t>
      </w:r>
      <w:r w:rsidR="004A4F0B">
        <w:t>e hypothesized that</w:t>
      </w:r>
      <w:r w:rsidR="000A117D">
        <w:t>,</w:t>
      </w:r>
      <w:r w:rsidR="004A4F0B">
        <w:t xml:space="preserve"> for nostalgic (but not for non-nostalgic) autobiographical narratives, attachment avoidance would be positively related to references </w:t>
      </w:r>
      <w:r w:rsidR="000A117D">
        <w:t xml:space="preserve">of </w:t>
      </w:r>
      <w:r w:rsidR="002E116D">
        <w:t>feeling competent, successful, and powerful</w:t>
      </w:r>
      <w:r w:rsidR="004A4F0B">
        <w:t xml:space="preserve">. </w:t>
      </w:r>
    </w:p>
    <w:p w14:paraId="71125720" w14:textId="24867174" w:rsidR="00FA1ED4" w:rsidRPr="005A7F6C" w:rsidRDefault="00B46572" w:rsidP="00DE67C1">
      <w:pPr>
        <w:spacing w:line="480" w:lineRule="exact"/>
        <w:ind w:firstLine="720"/>
      </w:pPr>
      <w:r>
        <w:t xml:space="preserve">A secondary focus of </w:t>
      </w:r>
      <w:r w:rsidR="000A117D">
        <w:t>our</w:t>
      </w:r>
      <w:r>
        <w:t xml:space="preserve"> study </w:t>
      </w:r>
      <w:r w:rsidR="006926EA">
        <w:t xml:space="preserve">was to replicate findings that nostalgic memories </w:t>
      </w:r>
      <w:r w:rsidR="00642527">
        <w:t xml:space="preserve">have an ambivalent emotional signature </w:t>
      </w:r>
      <w:r w:rsidR="006926EA">
        <w:t>contain</w:t>
      </w:r>
      <w:r w:rsidR="0071021F">
        <w:t>ing</w:t>
      </w:r>
      <w:r w:rsidR="006926EA">
        <w:t xml:space="preserve"> more positive</w:t>
      </w:r>
      <w:r w:rsidR="002F5650">
        <w:t xml:space="preserve"> </w:t>
      </w:r>
      <w:r w:rsidR="007D3E96">
        <w:t xml:space="preserve">than </w:t>
      </w:r>
      <w:r w:rsidR="002F5650">
        <w:t xml:space="preserve">negative emotional </w:t>
      </w:r>
      <w:r w:rsidR="0071021F">
        <w:t>expressions</w:t>
      </w:r>
      <w:r w:rsidR="00602F8E">
        <w:t xml:space="preserve">. </w:t>
      </w:r>
      <w:r>
        <w:t>In the previous content analysis work, nost</w:t>
      </w:r>
      <w:r w:rsidR="00937428">
        <w:t>algic narratives were coded</w:t>
      </w:r>
      <w:r w:rsidR="009857C3">
        <w:t>,</w:t>
      </w:r>
      <w:r w:rsidR="00937428">
        <w:t xml:space="preserve"> but were not compared to </w:t>
      </w:r>
      <w:r w:rsidR="00022B35">
        <w:t>another</w:t>
      </w:r>
      <w:r w:rsidR="00937428">
        <w:t xml:space="preserve"> autobiographical memory</w:t>
      </w:r>
      <w:r w:rsidR="007A7687">
        <w:t xml:space="preserve"> (Wildschut et al., 2006)</w:t>
      </w:r>
      <w:r w:rsidR="00602F8E">
        <w:t>.</w:t>
      </w:r>
      <w:r w:rsidR="00BA1357">
        <w:t xml:space="preserve"> </w:t>
      </w:r>
      <w:r w:rsidR="009857C3">
        <w:t xml:space="preserve">Therefore, </w:t>
      </w:r>
      <w:r w:rsidR="00937428">
        <w:t>we</w:t>
      </w:r>
      <w:r w:rsidR="005B0C00">
        <w:t xml:space="preserve"> </w:t>
      </w:r>
      <w:r w:rsidR="0071021F">
        <w:t xml:space="preserve">implemented </w:t>
      </w:r>
      <w:r w:rsidR="00D11E85">
        <w:t>a non-nostalgic</w:t>
      </w:r>
      <w:r w:rsidR="00642527">
        <w:t xml:space="preserve"> </w:t>
      </w:r>
      <w:r w:rsidR="00937428">
        <w:t xml:space="preserve">autobiographical memory </w:t>
      </w:r>
      <w:r w:rsidR="00D11E85">
        <w:t>comparison group</w:t>
      </w:r>
      <w:r w:rsidR="00602F8E">
        <w:t xml:space="preserve">. </w:t>
      </w:r>
      <w:r w:rsidR="007A7687">
        <w:t>W</w:t>
      </w:r>
      <w:r w:rsidR="005B0C00">
        <w:t>e did not expect the emotional content to vary as a function of attachment orientation</w:t>
      </w:r>
      <w:r w:rsidR="005A7F6C">
        <w:t>.</w:t>
      </w:r>
    </w:p>
    <w:p w14:paraId="67A554D8" w14:textId="77777777" w:rsidR="00B8008D" w:rsidRDefault="00B8008D" w:rsidP="00DE67C1">
      <w:pPr>
        <w:spacing w:line="480" w:lineRule="exact"/>
        <w:jc w:val="center"/>
        <w:rPr>
          <w:b/>
        </w:rPr>
      </w:pPr>
      <w:r>
        <w:rPr>
          <w:b/>
        </w:rPr>
        <w:t>Method</w:t>
      </w:r>
    </w:p>
    <w:p w14:paraId="4DC86770" w14:textId="77777777" w:rsidR="00B8008D" w:rsidRDefault="00B8008D" w:rsidP="00DE67C1">
      <w:pPr>
        <w:spacing w:line="480" w:lineRule="exact"/>
      </w:pPr>
      <w:r>
        <w:rPr>
          <w:b/>
        </w:rPr>
        <w:tab/>
      </w:r>
      <w:r w:rsidR="00023AF3">
        <w:rPr>
          <w:bCs/>
        </w:rPr>
        <w:t>We tested</w:t>
      </w:r>
      <w:r>
        <w:t xml:space="preserve"> 101 (34 female; </w:t>
      </w:r>
      <w:r>
        <w:rPr>
          <w:i/>
        </w:rPr>
        <w:t>M</w:t>
      </w:r>
      <w:r w:rsidRPr="005E4784">
        <w:rPr>
          <w:i/>
          <w:vertAlign w:val="subscript"/>
        </w:rPr>
        <w:t>age</w:t>
      </w:r>
      <w:r>
        <w:rPr>
          <w:i/>
          <w:vertAlign w:val="subscript"/>
        </w:rPr>
        <w:t xml:space="preserve"> </w:t>
      </w:r>
      <w:r>
        <w:t xml:space="preserve">= 19.49, </w:t>
      </w:r>
      <w:r>
        <w:rPr>
          <w:i/>
        </w:rPr>
        <w:t>SD</w:t>
      </w:r>
      <w:r w:rsidRPr="005E4784">
        <w:rPr>
          <w:i/>
          <w:vertAlign w:val="subscript"/>
        </w:rPr>
        <w:t>age</w:t>
      </w:r>
      <w:r>
        <w:rPr>
          <w:i/>
        </w:rPr>
        <w:t xml:space="preserve"> </w:t>
      </w:r>
      <w:r>
        <w:t xml:space="preserve">= 1.70) </w:t>
      </w:r>
      <w:r w:rsidR="001D36F1">
        <w:t xml:space="preserve">North Dakota State University </w:t>
      </w:r>
      <w:r>
        <w:t>undergraduate students.</w:t>
      </w:r>
      <w:r w:rsidR="001D36F1">
        <w:t xml:space="preserve"> </w:t>
      </w:r>
      <w:r w:rsidR="004F0743">
        <w:t>T</w:t>
      </w:r>
      <w:r w:rsidR="00022B35">
        <w:t xml:space="preserve">hey </w:t>
      </w:r>
      <w:r w:rsidR="0002794C">
        <w:t xml:space="preserve">completed </w:t>
      </w:r>
      <w:r w:rsidR="00022B35">
        <w:t>t</w:t>
      </w:r>
      <w:r>
        <w:t>he 36-item Experiences in Close Relationships scale (ECR; Brennan</w:t>
      </w:r>
      <w:r w:rsidR="00AE238A">
        <w:t xml:space="preserve"> et al., </w:t>
      </w:r>
      <w:r>
        <w:t>1998)</w:t>
      </w:r>
      <w:r w:rsidR="001D36F1">
        <w:t>,</w:t>
      </w:r>
      <w:r w:rsidR="00022B35">
        <w:t xml:space="preserve"> which</w:t>
      </w:r>
      <w:r>
        <w:t xml:space="preserve"> measure</w:t>
      </w:r>
      <w:r w:rsidR="00022B35">
        <w:t>s</w:t>
      </w:r>
      <w:r>
        <w:t xml:space="preserve"> individual difference </w:t>
      </w:r>
      <w:r w:rsidR="00D11E85">
        <w:t>in</w:t>
      </w:r>
      <w:r>
        <w:t xml:space="preserve"> attachment</w:t>
      </w:r>
      <w:r w:rsidR="00022B35">
        <w:t>-</w:t>
      </w:r>
      <w:r>
        <w:t>related avoidance and anxiety</w:t>
      </w:r>
      <w:r w:rsidR="00602F8E">
        <w:t xml:space="preserve">. </w:t>
      </w:r>
      <w:r w:rsidR="00023AF3">
        <w:t>We reverse-scored a</w:t>
      </w:r>
      <w:r>
        <w:t>ppropriate items so that higher values indicated greater avoidance</w:t>
      </w:r>
      <w:r w:rsidR="002865FE">
        <w:t xml:space="preserve"> (</w:t>
      </w:r>
      <w:r w:rsidR="002865FE">
        <w:rPr>
          <w:rFonts w:cs="Times New Roman"/>
        </w:rPr>
        <w:t>α</w:t>
      </w:r>
      <w:r w:rsidR="002865FE">
        <w:t xml:space="preserve"> = .88; </w:t>
      </w:r>
      <w:r w:rsidR="002865FE">
        <w:rPr>
          <w:i/>
        </w:rPr>
        <w:t xml:space="preserve">M </w:t>
      </w:r>
      <w:r w:rsidR="002865FE">
        <w:t xml:space="preserve">= 3.24, </w:t>
      </w:r>
      <w:r w:rsidR="002865FE">
        <w:rPr>
          <w:i/>
        </w:rPr>
        <w:t xml:space="preserve">SD </w:t>
      </w:r>
      <w:r w:rsidR="002865FE">
        <w:t>= 0.83)</w:t>
      </w:r>
      <w:r>
        <w:t xml:space="preserve"> or greater anxiety</w:t>
      </w:r>
      <w:r w:rsidR="002865FE">
        <w:t xml:space="preserve"> (</w:t>
      </w:r>
      <w:r w:rsidR="002865FE">
        <w:rPr>
          <w:rFonts w:cs="Times New Roman"/>
        </w:rPr>
        <w:t>α</w:t>
      </w:r>
      <w:r w:rsidR="002865FE">
        <w:t xml:space="preserve"> = .91; </w:t>
      </w:r>
      <w:r w:rsidR="002865FE">
        <w:rPr>
          <w:i/>
        </w:rPr>
        <w:t xml:space="preserve">M </w:t>
      </w:r>
      <w:r w:rsidR="002865FE">
        <w:t xml:space="preserve">= 3.87, </w:t>
      </w:r>
      <w:r w:rsidR="002865FE">
        <w:rPr>
          <w:i/>
        </w:rPr>
        <w:t xml:space="preserve">SD </w:t>
      </w:r>
      <w:r w:rsidR="002865FE">
        <w:t>= 1.05)</w:t>
      </w:r>
      <w:r>
        <w:t>.</w:t>
      </w:r>
      <w:r w:rsidR="00A32D52">
        <w:t xml:space="preserve"> </w:t>
      </w:r>
      <w:r w:rsidR="00023AF3">
        <w:t xml:space="preserve">Next, we </w:t>
      </w:r>
      <w:r>
        <w:t xml:space="preserve">randomly assigned </w:t>
      </w:r>
      <w:r w:rsidR="00023AF3">
        <w:t xml:space="preserve">participants </w:t>
      </w:r>
      <w:r>
        <w:t>to one of two writing prompts (Wildschut et al., 2006)</w:t>
      </w:r>
      <w:r w:rsidR="00602F8E">
        <w:t xml:space="preserve">. </w:t>
      </w:r>
      <w:r>
        <w:t>The nostalgic past writing prompt presented participants with a dic</w:t>
      </w:r>
      <w:r w:rsidR="004F0743">
        <w:t>tionary definition of nostalgia and</w:t>
      </w:r>
      <w:r>
        <w:t xml:space="preserve"> asked them to describe the nostalgic memory in writing</w:t>
      </w:r>
      <w:r w:rsidR="00602F8E">
        <w:t xml:space="preserve">. </w:t>
      </w:r>
      <w:r>
        <w:t xml:space="preserve">The </w:t>
      </w:r>
      <w:r w:rsidR="00035DF7">
        <w:t>non-nostalgic</w:t>
      </w:r>
      <w:r>
        <w:t xml:space="preserve"> writing prompt asked </w:t>
      </w:r>
      <w:r w:rsidR="00023AF3">
        <w:t xml:space="preserve">them </w:t>
      </w:r>
      <w:r w:rsidR="004F0743">
        <w:t xml:space="preserve">to </w:t>
      </w:r>
      <w:r w:rsidR="00035DF7">
        <w:t xml:space="preserve">write about a </w:t>
      </w:r>
      <w:r>
        <w:t xml:space="preserve">recent </w:t>
      </w:r>
      <w:r w:rsidR="00023AF3">
        <w:t xml:space="preserve">ordinary autobiographical </w:t>
      </w:r>
      <w:r>
        <w:t>event</w:t>
      </w:r>
      <w:r w:rsidR="00602F8E">
        <w:t>.</w:t>
      </w:r>
    </w:p>
    <w:p w14:paraId="1C3516F8" w14:textId="6B13E386" w:rsidR="00FA1ED4" w:rsidRPr="005A7F6C" w:rsidRDefault="00023AF3" w:rsidP="00DE67C1">
      <w:pPr>
        <w:spacing w:line="480" w:lineRule="exact"/>
        <w:ind w:firstLine="720"/>
      </w:pPr>
      <w:r>
        <w:t>T</w:t>
      </w:r>
      <w:r w:rsidR="00B8008D">
        <w:t xml:space="preserve">hree trained </w:t>
      </w:r>
      <w:r w:rsidR="00A32D52">
        <w:t>coders</w:t>
      </w:r>
      <w:r w:rsidR="00F20A16">
        <w:t xml:space="preserve"> (unaware of hypotheses or conditions)</w:t>
      </w:r>
      <w:r w:rsidR="00A32D52">
        <w:t xml:space="preserve"> independently rated the </w:t>
      </w:r>
      <w:r w:rsidR="00B8008D">
        <w:t xml:space="preserve">narratives on </w:t>
      </w:r>
      <w:r w:rsidR="009F7F7F">
        <w:t xml:space="preserve">predetermined </w:t>
      </w:r>
      <w:r w:rsidR="007004F5">
        <w:t xml:space="preserve">content </w:t>
      </w:r>
      <w:r w:rsidR="00B8008D">
        <w:t>dimensions</w:t>
      </w:r>
      <w:r w:rsidR="00602F8E">
        <w:t xml:space="preserve">. </w:t>
      </w:r>
      <w:r>
        <w:t>O</w:t>
      </w:r>
      <w:r w:rsidR="009C6DA9">
        <w:t xml:space="preserve">ne </w:t>
      </w:r>
      <w:r w:rsidR="00D87962">
        <w:t xml:space="preserve">coding category </w:t>
      </w:r>
      <w:r w:rsidR="009C6DA9">
        <w:t xml:space="preserve">assessed the degree of </w:t>
      </w:r>
      <w:r w:rsidR="009C6DA9">
        <w:lastRenderedPageBreak/>
        <w:t>social interaction referenced i</w:t>
      </w:r>
      <w:r w:rsidR="004F0743">
        <w:t>n the narrative (i.e., social content</w:t>
      </w:r>
      <w:r w:rsidR="009C6DA9">
        <w:t>)</w:t>
      </w:r>
      <w:r w:rsidR="009857C3">
        <w:t>,</w:t>
      </w:r>
      <w:r w:rsidR="009C6DA9">
        <w:t xml:space="preserve"> </w:t>
      </w:r>
      <w:r w:rsidR="00F063D5">
        <w:t xml:space="preserve">one </w:t>
      </w:r>
      <w:r w:rsidR="00D87962">
        <w:t xml:space="preserve">category </w:t>
      </w:r>
      <w:r w:rsidR="009C6DA9">
        <w:t>assessed the degree to which the narrative referenced a strong sense of feeling loved, protected, and trusted by others (i.e., attachment-related social content)</w:t>
      </w:r>
      <w:r w:rsidR="00F20A16">
        <w:t>,</w:t>
      </w:r>
      <w:r w:rsidR="00F063D5">
        <w:t xml:space="preserve"> and o</w:t>
      </w:r>
      <w:r w:rsidR="00EC2114">
        <w:t xml:space="preserve">ne </w:t>
      </w:r>
      <w:r w:rsidR="00D87962">
        <w:t xml:space="preserve">category </w:t>
      </w:r>
      <w:r w:rsidR="00EC2114">
        <w:t>assessed the degree of personal competence, success, and power referenced</w:t>
      </w:r>
      <w:r w:rsidR="004B3DB2">
        <w:t xml:space="preserve"> (i.e., </w:t>
      </w:r>
      <w:r w:rsidR="00521108">
        <w:t>agency content</w:t>
      </w:r>
      <w:r w:rsidR="004B3DB2">
        <w:t>)</w:t>
      </w:r>
      <w:r w:rsidR="00EC2114">
        <w:t xml:space="preserve">. </w:t>
      </w:r>
      <w:r w:rsidR="004F0743">
        <w:t>The coders also rated</w:t>
      </w:r>
      <w:r w:rsidR="007004F5">
        <w:t xml:space="preserve"> the </w:t>
      </w:r>
      <w:r w:rsidR="009F7810">
        <w:t xml:space="preserve">degree </w:t>
      </w:r>
      <w:r w:rsidR="004F0743">
        <w:t>of positive</w:t>
      </w:r>
      <w:r w:rsidR="007004F5">
        <w:t xml:space="preserve">, </w:t>
      </w:r>
      <w:r w:rsidR="004F0743">
        <w:t>negative</w:t>
      </w:r>
      <w:r w:rsidR="007004F5">
        <w:t>, and ambivalent emotions</w:t>
      </w:r>
      <w:r w:rsidR="00602F8E">
        <w:t xml:space="preserve">. </w:t>
      </w:r>
      <w:r w:rsidR="00B8008D">
        <w:t xml:space="preserve">Interclass correlations were </w:t>
      </w:r>
      <w:r w:rsidR="004A5EFF">
        <w:t>high</w:t>
      </w:r>
      <w:r w:rsidR="004F0743">
        <w:t>. We therefore</w:t>
      </w:r>
      <w:r>
        <w:t xml:space="preserve"> averaged</w:t>
      </w:r>
      <w:r w:rsidR="004F0743">
        <w:t xml:space="preserve"> coder</w:t>
      </w:r>
      <w:r w:rsidR="00702015">
        <w:t xml:space="preserve"> ratings </w:t>
      </w:r>
      <w:r w:rsidR="00B8008D">
        <w:t xml:space="preserve">to create </w:t>
      </w:r>
      <w:r w:rsidR="00D87962">
        <w:t xml:space="preserve">an overall </w:t>
      </w:r>
      <w:r w:rsidR="00B8008D">
        <w:t xml:space="preserve">score </w:t>
      </w:r>
      <w:r w:rsidR="00D87962">
        <w:t>for each category</w:t>
      </w:r>
      <w:r w:rsidR="00334939">
        <w:t xml:space="preserve"> (Table 1)</w:t>
      </w:r>
      <w:r w:rsidR="00DA13A3">
        <w:t>.</w:t>
      </w:r>
    </w:p>
    <w:p w14:paraId="3BBEF56C" w14:textId="77777777" w:rsidR="00B8008D" w:rsidRDefault="00B8008D" w:rsidP="00DE67C1">
      <w:pPr>
        <w:spacing w:line="480" w:lineRule="exact"/>
        <w:jc w:val="center"/>
        <w:rPr>
          <w:b/>
        </w:rPr>
      </w:pPr>
      <w:r>
        <w:rPr>
          <w:b/>
        </w:rPr>
        <w:t>Results</w:t>
      </w:r>
    </w:p>
    <w:p w14:paraId="27D9F518" w14:textId="77777777" w:rsidR="004F3373" w:rsidRDefault="004F3373" w:rsidP="00DE67C1">
      <w:pPr>
        <w:spacing w:line="480" w:lineRule="exact"/>
        <w:rPr>
          <w:b/>
        </w:rPr>
      </w:pPr>
      <w:r>
        <w:rPr>
          <w:b/>
        </w:rPr>
        <w:t>Social Content</w:t>
      </w:r>
    </w:p>
    <w:p w14:paraId="6F9C70C8" w14:textId="77777777" w:rsidR="004F3373" w:rsidRDefault="004F3373" w:rsidP="00DE67C1">
      <w:pPr>
        <w:spacing w:line="480" w:lineRule="exact"/>
      </w:pPr>
      <w:r>
        <w:tab/>
      </w:r>
      <w:r w:rsidR="00647CF5">
        <w:t>We conducted a hierarchical linear regression t</w:t>
      </w:r>
      <w:r>
        <w:t>o determine whether the sociality of nostalgic narratives varies as a fu</w:t>
      </w:r>
      <w:r w:rsidR="00647CF5">
        <w:t>nction of attachment</w:t>
      </w:r>
      <w:r w:rsidR="00644002">
        <w:t xml:space="preserve"> dimensions</w:t>
      </w:r>
      <w:r w:rsidR="002162DB">
        <w:t>. N</w:t>
      </w:r>
      <w:r>
        <w:t xml:space="preserve">ostalgic (relative to non-nostalgic) narratives contained more references to social relationships, </w:t>
      </w:r>
      <w:r>
        <w:rPr>
          <w:i/>
        </w:rPr>
        <w:t xml:space="preserve">b </w:t>
      </w:r>
      <w:r>
        <w:t xml:space="preserve">= 1.22, </w:t>
      </w:r>
      <w:r>
        <w:rPr>
          <w:i/>
        </w:rPr>
        <w:t xml:space="preserve">SE </w:t>
      </w:r>
      <w:r>
        <w:t xml:space="preserve">= .31, </w:t>
      </w:r>
      <w:r>
        <w:rPr>
          <w:i/>
        </w:rPr>
        <w:t xml:space="preserve">t </w:t>
      </w:r>
      <w:r>
        <w:t xml:space="preserve">= 3.96, </w:t>
      </w:r>
      <w:r>
        <w:rPr>
          <w:i/>
        </w:rPr>
        <w:t xml:space="preserve">p </w:t>
      </w:r>
      <w:r>
        <w:t>&lt; .001</w:t>
      </w:r>
      <w:r w:rsidR="008B64B9">
        <w:t>.</w:t>
      </w:r>
      <w:r w:rsidR="002A336A" w:rsidRPr="002A336A">
        <w:t xml:space="preserve"> </w:t>
      </w:r>
      <w:r w:rsidR="002A336A">
        <w:t>All other effects</w:t>
      </w:r>
      <w:r w:rsidR="0040385D">
        <w:t>, including possible two and three-way interactions,</w:t>
      </w:r>
      <w:r w:rsidR="002A336A">
        <w:t xml:space="preserve"> were non-significant </w:t>
      </w:r>
      <w:r>
        <w:t xml:space="preserve">(all </w:t>
      </w:r>
      <w:r>
        <w:rPr>
          <w:i/>
        </w:rPr>
        <w:t xml:space="preserve">ps </w:t>
      </w:r>
      <w:r>
        <w:t xml:space="preserve">&gt; .19). </w:t>
      </w:r>
    </w:p>
    <w:p w14:paraId="5F9FAB68" w14:textId="3A1E1BAC" w:rsidR="004F3373" w:rsidRDefault="004F3373" w:rsidP="00DE67C1">
      <w:pPr>
        <w:spacing w:line="480" w:lineRule="exact"/>
      </w:pPr>
      <w:r>
        <w:tab/>
        <w:t xml:space="preserve">We carried out </w:t>
      </w:r>
      <w:r w:rsidR="00521108">
        <w:t>the same</w:t>
      </w:r>
      <w:r w:rsidR="00AA51A4">
        <w:t xml:space="preserve"> </w:t>
      </w:r>
      <w:r w:rsidR="00521108">
        <w:t>analysis</w:t>
      </w:r>
      <w:r>
        <w:t xml:space="preserve"> </w:t>
      </w:r>
      <w:r w:rsidR="00414123">
        <w:t xml:space="preserve">on </w:t>
      </w:r>
      <w:r>
        <w:t xml:space="preserve">attachment-related social </w:t>
      </w:r>
      <w:r w:rsidR="00414123">
        <w:t>content</w:t>
      </w:r>
      <w:r>
        <w:t xml:space="preserve">. </w:t>
      </w:r>
      <w:r w:rsidR="00F0274F">
        <w:t>N</w:t>
      </w:r>
      <w:r w:rsidR="008E1EE1">
        <w:t>ostalgic narratives contained more attachment-related social content than non-nostalgic narratives</w:t>
      </w:r>
      <w:r>
        <w:t xml:space="preserve">, </w:t>
      </w:r>
      <w:r>
        <w:rPr>
          <w:i/>
        </w:rPr>
        <w:t xml:space="preserve">b </w:t>
      </w:r>
      <w:r>
        <w:t xml:space="preserve">= .82, </w:t>
      </w:r>
      <w:r>
        <w:rPr>
          <w:i/>
        </w:rPr>
        <w:t>SE</w:t>
      </w:r>
      <w:r>
        <w:t xml:space="preserve"> = .17, </w:t>
      </w:r>
      <w:r>
        <w:rPr>
          <w:i/>
        </w:rPr>
        <w:t xml:space="preserve">t </w:t>
      </w:r>
      <w:r>
        <w:t xml:space="preserve">= 4.83, </w:t>
      </w:r>
      <w:r>
        <w:rPr>
          <w:i/>
        </w:rPr>
        <w:t xml:space="preserve">p </w:t>
      </w:r>
      <w:r w:rsidR="008E1EE1">
        <w:t xml:space="preserve">&lt; .001. </w:t>
      </w:r>
      <w:r w:rsidR="002865FE">
        <w:t>Further</w:t>
      </w:r>
      <w:r w:rsidR="00BA43DD">
        <w:t>,</w:t>
      </w:r>
      <w:r w:rsidR="008E1EE1">
        <w:t xml:space="preserve"> greater levels of attachment avoidance corresponded with less attachment-related social content</w:t>
      </w:r>
      <w:r>
        <w:t>,</w:t>
      </w:r>
      <w:r w:rsidRPr="00440A12">
        <w:rPr>
          <w:i/>
        </w:rPr>
        <w:t xml:space="preserve"> </w:t>
      </w:r>
      <w:r>
        <w:rPr>
          <w:i/>
        </w:rPr>
        <w:t xml:space="preserve">b </w:t>
      </w:r>
      <w:r>
        <w:t xml:space="preserve">= -.30, </w:t>
      </w:r>
      <w:r>
        <w:rPr>
          <w:i/>
        </w:rPr>
        <w:t>SE</w:t>
      </w:r>
      <w:r>
        <w:t xml:space="preserve"> = .10, </w:t>
      </w:r>
      <w:r>
        <w:rPr>
          <w:i/>
        </w:rPr>
        <w:t xml:space="preserve">t </w:t>
      </w:r>
      <w:r>
        <w:t xml:space="preserve">= -2.85, </w:t>
      </w:r>
      <w:r>
        <w:rPr>
          <w:i/>
        </w:rPr>
        <w:t xml:space="preserve">p </w:t>
      </w:r>
      <w:r w:rsidR="0040385D">
        <w:t xml:space="preserve">= .005. </w:t>
      </w:r>
      <w:r>
        <w:t xml:space="preserve">The </w:t>
      </w:r>
      <w:r w:rsidR="004A5EFF">
        <w:t>N</w:t>
      </w:r>
      <w:r w:rsidR="00414123">
        <w:t xml:space="preserve">arrative </w:t>
      </w:r>
      <w:r w:rsidR="004A5EFF">
        <w:t>T</w:t>
      </w:r>
      <w:r w:rsidR="00414123">
        <w:t xml:space="preserve">ype </w:t>
      </w:r>
      <w:r w:rsidR="004A5EFF">
        <w:sym w:font="Symbol" w:char="F0B4"/>
      </w:r>
      <w:r w:rsidR="004A5EFF">
        <w:t xml:space="preserve"> A</w:t>
      </w:r>
      <w:r w:rsidR="00414123">
        <w:t xml:space="preserve">ttachment </w:t>
      </w:r>
      <w:r w:rsidR="004A5EFF">
        <w:t>A</w:t>
      </w:r>
      <w:r w:rsidR="00414123">
        <w:t xml:space="preserve">voidance interaction was the </w:t>
      </w:r>
      <w:r>
        <w:t xml:space="preserve">only significant </w:t>
      </w:r>
      <w:r w:rsidR="00414123">
        <w:t>int</w:t>
      </w:r>
      <w:r w:rsidR="00644002">
        <w:t>eraction</w:t>
      </w:r>
      <w:r>
        <w:t xml:space="preserve">, </w:t>
      </w:r>
      <w:r>
        <w:rPr>
          <w:i/>
        </w:rPr>
        <w:t xml:space="preserve">b </w:t>
      </w:r>
      <w:r>
        <w:t>= -</w:t>
      </w:r>
      <w:r w:rsidR="00AF127F">
        <w:t>0</w:t>
      </w:r>
      <w:r>
        <w:t xml:space="preserve">.50, </w:t>
      </w:r>
      <w:r>
        <w:rPr>
          <w:i/>
        </w:rPr>
        <w:t>SE</w:t>
      </w:r>
      <w:r>
        <w:t xml:space="preserve"> = .2</w:t>
      </w:r>
      <w:r w:rsidR="00AF127F">
        <w:t>2</w:t>
      </w:r>
      <w:r>
        <w:t xml:space="preserve">, </w:t>
      </w:r>
      <w:r>
        <w:rPr>
          <w:i/>
        </w:rPr>
        <w:t xml:space="preserve">t </w:t>
      </w:r>
      <w:r>
        <w:t>= -2.</w:t>
      </w:r>
      <w:r w:rsidR="00AF127F">
        <w:t>2</w:t>
      </w:r>
      <w:r>
        <w:t xml:space="preserve">6, </w:t>
      </w:r>
      <w:r>
        <w:rPr>
          <w:i/>
        </w:rPr>
        <w:t xml:space="preserve">p </w:t>
      </w:r>
      <w:r>
        <w:t>= .0</w:t>
      </w:r>
      <w:r w:rsidR="00AF127F">
        <w:t>3</w:t>
      </w:r>
      <w:r>
        <w:t>.</w:t>
      </w:r>
      <w:r w:rsidR="00F063D5">
        <w:t xml:space="preserve"> Predicted means tests revealed that</w:t>
      </w:r>
      <w:r w:rsidR="00F20A16">
        <w:t>,</w:t>
      </w:r>
      <w:r w:rsidR="00F063D5">
        <w:t xml:space="preserve"> at</w:t>
      </w:r>
      <w:r>
        <w:t xml:space="preserve"> low levels of avoidance (-1 </w:t>
      </w:r>
      <w:r>
        <w:rPr>
          <w:i/>
        </w:rPr>
        <w:t>SD</w:t>
      </w:r>
      <w:r>
        <w:t xml:space="preserve">), nostalgic narratives contained more attachment-related social content than non-nostalgic narratives, </w:t>
      </w:r>
      <w:r>
        <w:rPr>
          <w:i/>
        </w:rPr>
        <w:t xml:space="preserve">b </w:t>
      </w:r>
      <w:r>
        <w:t xml:space="preserve">= 1.29, </w:t>
      </w:r>
      <w:r>
        <w:rPr>
          <w:i/>
        </w:rPr>
        <w:t xml:space="preserve">SE </w:t>
      </w:r>
      <w:r>
        <w:t xml:space="preserve">= .23, </w:t>
      </w:r>
      <w:r>
        <w:rPr>
          <w:i/>
        </w:rPr>
        <w:t xml:space="preserve">t </w:t>
      </w:r>
      <w:r>
        <w:t xml:space="preserve">= 5.49, </w:t>
      </w:r>
      <w:r>
        <w:rPr>
          <w:i/>
        </w:rPr>
        <w:t xml:space="preserve">p </w:t>
      </w:r>
      <w:r>
        <w:t xml:space="preserve">&lt; .001. </w:t>
      </w:r>
      <w:r w:rsidR="00F20A16">
        <w:t>We observed n</w:t>
      </w:r>
      <w:r w:rsidR="0040385D">
        <w:t xml:space="preserve">o effects </w:t>
      </w:r>
      <w:r>
        <w:t xml:space="preserve">at high levels of attachment avoidance, </w:t>
      </w:r>
      <w:r>
        <w:rPr>
          <w:i/>
        </w:rPr>
        <w:t xml:space="preserve">b </w:t>
      </w:r>
      <w:r>
        <w:t xml:space="preserve">= 0.36, </w:t>
      </w:r>
      <w:r>
        <w:rPr>
          <w:i/>
        </w:rPr>
        <w:t>SE</w:t>
      </w:r>
      <w:r>
        <w:t xml:space="preserve"> = .23, </w:t>
      </w:r>
      <w:r>
        <w:rPr>
          <w:i/>
        </w:rPr>
        <w:t xml:space="preserve">t </w:t>
      </w:r>
      <w:r>
        <w:t xml:space="preserve">= 1.52, </w:t>
      </w:r>
      <w:r>
        <w:rPr>
          <w:i/>
        </w:rPr>
        <w:t xml:space="preserve">p </w:t>
      </w:r>
      <w:r>
        <w:t xml:space="preserve">= .13. </w:t>
      </w:r>
      <w:r w:rsidR="00F063D5">
        <w:t>Simple slope tests revealed that</w:t>
      </w:r>
      <w:r w:rsidR="00F20A16">
        <w:t>,</w:t>
      </w:r>
      <w:r w:rsidR="00F063D5">
        <w:t xml:space="preserve"> within the nostalgia condition</w:t>
      </w:r>
      <w:r w:rsidR="00414123">
        <w:t xml:space="preserve">, </w:t>
      </w:r>
      <w:r w:rsidR="00644002">
        <w:t xml:space="preserve">higher </w:t>
      </w:r>
      <w:r w:rsidR="00414123">
        <w:t xml:space="preserve">attachment avoidance was associated with less </w:t>
      </w:r>
      <w:r>
        <w:t xml:space="preserve">attachment-related social content, </w:t>
      </w:r>
      <w:r>
        <w:rPr>
          <w:i/>
        </w:rPr>
        <w:t xml:space="preserve">b </w:t>
      </w:r>
      <w:r>
        <w:t>= -</w:t>
      </w:r>
      <w:r w:rsidR="00AF127F">
        <w:t>0</w:t>
      </w:r>
      <w:r>
        <w:t xml:space="preserve">.55, </w:t>
      </w:r>
      <w:r>
        <w:rPr>
          <w:i/>
        </w:rPr>
        <w:t>SE</w:t>
      </w:r>
      <w:r>
        <w:t xml:space="preserve"> = .14, </w:t>
      </w:r>
      <w:r>
        <w:rPr>
          <w:i/>
        </w:rPr>
        <w:t xml:space="preserve">t </w:t>
      </w:r>
      <w:r>
        <w:t xml:space="preserve">= -3.91 </w:t>
      </w:r>
      <w:r>
        <w:rPr>
          <w:i/>
        </w:rPr>
        <w:t xml:space="preserve">p </w:t>
      </w:r>
      <w:r>
        <w:t xml:space="preserve">&lt; .001. However, </w:t>
      </w:r>
      <w:r w:rsidR="00414123">
        <w:t>this was not the case for</w:t>
      </w:r>
      <w:r>
        <w:t xml:space="preserve"> </w:t>
      </w:r>
      <w:r w:rsidR="00F063D5">
        <w:t>the control condition</w:t>
      </w:r>
      <w:r>
        <w:t xml:space="preserve">, </w:t>
      </w:r>
      <w:r>
        <w:rPr>
          <w:i/>
        </w:rPr>
        <w:t xml:space="preserve">b </w:t>
      </w:r>
      <w:r>
        <w:t xml:space="preserve">= </w:t>
      </w:r>
      <w:r w:rsidR="00AF127F">
        <w:t>0</w:t>
      </w:r>
      <w:r>
        <w:t xml:space="preserve">.01, </w:t>
      </w:r>
      <w:r>
        <w:rPr>
          <w:i/>
        </w:rPr>
        <w:t xml:space="preserve">SE </w:t>
      </w:r>
      <w:r>
        <w:t xml:space="preserve">= .14, </w:t>
      </w:r>
      <w:r>
        <w:rPr>
          <w:i/>
        </w:rPr>
        <w:t xml:space="preserve">t </w:t>
      </w:r>
      <w:r>
        <w:t xml:space="preserve">= </w:t>
      </w:r>
      <w:r w:rsidR="000969CE">
        <w:t>0</w:t>
      </w:r>
      <w:r>
        <w:t xml:space="preserve">.07, </w:t>
      </w:r>
      <w:r>
        <w:rPr>
          <w:i/>
        </w:rPr>
        <w:t xml:space="preserve">p </w:t>
      </w:r>
      <w:r>
        <w:t xml:space="preserve">= .95 (Figure 1). </w:t>
      </w:r>
      <w:r w:rsidR="0040385D">
        <w:t>All other main and interaction effects were non-significant (</w:t>
      </w:r>
      <w:r w:rsidR="0040385D" w:rsidRPr="0040385D">
        <w:rPr>
          <w:i/>
        </w:rPr>
        <w:t>ps</w:t>
      </w:r>
      <w:r w:rsidR="0040385D">
        <w:t xml:space="preserve"> &gt; .12).</w:t>
      </w:r>
    </w:p>
    <w:p w14:paraId="0B7F8D46" w14:textId="00902675" w:rsidR="004B3DB2" w:rsidRPr="008D6887" w:rsidRDefault="004B3DB2" w:rsidP="00DE67C1">
      <w:pPr>
        <w:spacing w:line="480" w:lineRule="exact"/>
        <w:ind w:firstLine="720"/>
      </w:pPr>
      <w:r>
        <w:lastRenderedPageBreak/>
        <w:t xml:space="preserve">We </w:t>
      </w:r>
      <w:r w:rsidR="00F20A16">
        <w:t>conducted</w:t>
      </w:r>
      <w:r>
        <w:t xml:space="preserve"> </w:t>
      </w:r>
      <w:r w:rsidR="00F063D5">
        <w:t>the same analyses</w:t>
      </w:r>
      <w:r>
        <w:t xml:space="preserve"> on </w:t>
      </w:r>
      <w:r w:rsidR="002E116D">
        <w:t>agency content</w:t>
      </w:r>
      <w:r>
        <w:t xml:space="preserve">. Nostalgic narratives contained more </w:t>
      </w:r>
      <w:r w:rsidR="00AF127F">
        <w:t>agency themes</w:t>
      </w:r>
      <w:r>
        <w:t xml:space="preserve"> than non-nostalgic narratives, </w:t>
      </w:r>
      <w:r>
        <w:rPr>
          <w:i/>
        </w:rPr>
        <w:t xml:space="preserve">b </w:t>
      </w:r>
      <w:r>
        <w:t xml:space="preserve">= </w:t>
      </w:r>
      <w:r w:rsidR="00AF127F">
        <w:t>0</w:t>
      </w:r>
      <w:r>
        <w:t>.</w:t>
      </w:r>
      <w:r w:rsidR="00AF127F">
        <w:t>4</w:t>
      </w:r>
      <w:r>
        <w:t xml:space="preserve">8, </w:t>
      </w:r>
      <w:r>
        <w:rPr>
          <w:i/>
        </w:rPr>
        <w:t>SE</w:t>
      </w:r>
      <w:r>
        <w:t xml:space="preserve"> = .</w:t>
      </w:r>
      <w:r w:rsidR="00AF127F">
        <w:t>2</w:t>
      </w:r>
      <w:r>
        <w:t xml:space="preserve">1, </w:t>
      </w:r>
      <w:r>
        <w:rPr>
          <w:i/>
        </w:rPr>
        <w:t xml:space="preserve">t </w:t>
      </w:r>
      <w:r w:rsidR="00AF127F">
        <w:t>= 2</w:t>
      </w:r>
      <w:r>
        <w:t>.3</w:t>
      </w:r>
      <w:r w:rsidR="00AF127F">
        <w:t>5</w:t>
      </w:r>
      <w:r>
        <w:t xml:space="preserve">, </w:t>
      </w:r>
      <w:r>
        <w:rPr>
          <w:i/>
        </w:rPr>
        <w:t xml:space="preserve">p </w:t>
      </w:r>
      <w:r w:rsidR="00AF127F">
        <w:t>=</w:t>
      </w:r>
      <w:r>
        <w:t xml:space="preserve"> .0</w:t>
      </w:r>
      <w:r w:rsidR="00AF127F">
        <w:t>2</w:t>
      </w:r>
      <w:r>
        <w:t xml:space="preserve">. The </w:t>
      </w:r>
      <w:r w:rsidR="004A5EFF">
        <w:t>N</w:t>
      </w:r>
      <w:r>
        <w:t xml:space="preserve">arrative </w:t>
      </w:r>
      <w:r w:rsidR="004A5EFF">
        <w:t>T</w:t>
      </w:r>
      <w:r>
        <w:t xml:space="preserve">ype </w:t>
      </w:r>
      <w:r w:rsidR="004A5EFF">
        <w:sym w:font="Symbol" w:char="F0B4"/>
      </w:r>
      <w:r>
        <w:t xml:space="preserve"> </w:t>
      </w:r>
      <w:r w:rsidR="004A5EFF">
        <w:t>A</w:t>
      </w:r>
      <w:r>
        <w:t xml:space="preserve">ttachment </w:t>
      </w:r>
      <w:r w:rsidR="004A5EFF">
        <w:t>A</w:t>
      </w:r>
      <w:r>
        <w:t xml:space="preserve">voidance interaction was </w:t>
      </w:r>
      <w:r w:rsidR="00EC5CF0">
        <w:t xml:space="preserve">marginal when the model included anxiety and all possible interactions, </w:t>
      </w:r>
      <w:r w:rsidR="00EC5CF0">
        <w:rPr>
          <w:i/>
        </w:rPr>
        <w:t xml:space="preserve">b </w:t>
      </w:r>
      <w:r w:rsidR="00EC5CF0">
        <w:t xml:space="preserve">= 0.48, </w:t>
      </w:r>
      <w:r w:rsidR="00EC5CF0">
        <w:rPr>
          <w:i/>
        </w:rPr>
        <w:t>SE</w:t>
      </w:r>
      <w:r w:rsidR="00EC5CF0">
        <w:t xml:space="preserve"> = .27, </w:t>
      </w:r>
      <w:r w:rsidR="00EC5CF0">
        <w:rPr>
          <w:i/>
        </w:rPr>
        <w:t xml:space="preserve">t </w:t>
      </w:r>
      <w:r w:rsidR="00EC5CF0">
        <w:t xml:space="preserve">= 1.79, </w:t>
      </w:r>
      <w:r w:rsidR="00EC5CF0">
        <w:rPr>
          <w:i/>
        </w:rPr>
        <w:t xml:space="preserve">p </w:t>
      </w:r>
      <w:r w:rsidR="00EC5CF0">
        <w:t>= .076, but significan</w:t>
      </w:r>
      <w:r w:rsidR="00043A49">
        <w:t>t</w:t>
      </w:r>
      <w:r w:rsidR="00EC5CF0">
        <w:t xml:space="preserve"> when anxiety and </w:t>
      </w:r>
      <w:r w:rsidR="00960F24">
        <w:t xml:space="preserve">the </w:t>
      </w:r>
      <w:r w:rsidR="00EC5CF0">
        <w:t xml:space="preserve">accompanied interactions </w:t>
      </w:r>
      <w:r w:rsidR="004A5EFF">
        <w:t xml:space="preserve">(all non-significant) </w:t>
      </w:r>
      <w:r w:rsidR="00EC5CF0">
        <w:t xml:space="preserve">were excluded, </w:t>
      </w:r>
      <w:r w:rsidR="00EC5CF0">
        <w:rPr>
          <w:i/>
        </w:rPr>
        <w:t xml:space="preserve">b </w:t>
      </w:r>
      <w:r w:rsidR="00EC5CF0">
        <w:t xml:space="preserve">= 0.50, </w:t>
      </w:r>
      <w:r w:rsidR="00EC5CF0">
        <w:rPr>
          <w:i/>
        </w:rPr>
        <w:t>SE</w:t>
      </w:r>
      <w:r w:rsidR="00EC5CF0">
        <w:t xml:space="preserve"> = .25, </w:t>
      </w:r>
      <w:r w:rsidR="00EC5CF0">
        <w:rPr>
          <w:i/>
        </w:rPr>
        <w:t xml:space="preserve">t </w:t>
      </w:r>
      <w:r w:rsidR="00EC5CF0">
        <w:t xml:space="preserve">= 2.02, </w:t>
      </w:r>
      <w:r w:rsidR="00EC5CF0">
        <w:rPr>
          <w:i/>
        </w:rPr>
        <w:t xml:space="preserve">p </w:t>
      </w:r>
      <w:r w:rsidR="00EC5CF0">
        <w:t>= .046</w:t>
      </w:r>
      <w:r>
        <w:t>.</w:t>
      </w:r>
      <w:r w:rsidR="00EC5CF0">
        <w:t xml:space="preserve"> </w:t>
      </w:r>
      <w:r w:rsidR="00F063D5">
        <w:t>Predicted means tests revealed that</w:t>
      </w:r>
      <w:r w:rsidR="00043A49">
        <w:t>,</w:t>
      </w:r>
      <w:r w:rsidR="00F063D5">
        <w:t xml:space="preserve"> at </w:t>
      </w:r>
      <w:r w:rsidR="00EC5CF0">
        <w:t xml:space="preserve">high </w:t>
      </w:r>
      <w:r>
        <w:t>l</w:t>
      </w:r>
      <w:r w:rsidR="00EC5CF0">
        <w:t>evels of attachment avoidance (+</w:t>
      </w:r>
      <w:r>
        <w:t xml:space="preserve">1 </w:t>
      </w:r>
      <w:r>
        <w:rPr>
          <w:i/>
        </w:rPr>
        <w:t>SD</w:t>
      </w:r>
      <w:r>
        <w:t xml:space="preserve">), nostalgic narratives contained more </w:t>
      </w:r>
      <w:r w:rsidR="00EC5CF0">
        <w:t>agency references</w:t>
      </w:r>
      <w:r>
        <w:t xml:space="preserve">, </w:t>
      </w:r>
      <w:r>
        <w:rPr>
          <w:i/>
        </w:rPr>
        <w:t xml:space="preserve">b </w:t>
      </w:r>
      <w:r w:rsidR="000969CE">
        <w:t>= 0</w:t>
      </w:r>
      <w:r>
        <w:t>.</w:t>
      </w:r>
      <w:r w:rsidR="000969CE">
        <w:t>8</w:t>
      </w:r>
      <w:r>
        <w:t xml:space="preserve">9, </w:t>
      </w:r>
      <w:r>
        <w:rPr>
          <w:i/>
        </w:rPr>
        <w:t xml:space="preserve">SE </w:t>
      </w:r>
      <w:r w:rsidR="000969CE">
        <w:t>= .29</w:t>
      </w:r>
      <w:r>
        <w:t xml:space="preserve">, </w:t>
      </w:r>
      <w:r>
        <w:rPr>
          <w:i/>
        </w:rPr>
        <w:t xml:space="preserve">t </w:t>
      </w:r>
      <w:r>
        <w:t xml:space="preserve">= </w:t>
      </w:r>
      <w:r w:rsidR="000969CE">
        <w:t>3</w:t>
      </w:r>
      <w:r>
        <w:t>.</w:t>
      </w:r>
      <w:r w:rsidR="000969CE">
        <w:t>11</w:t>
      </w:r>
      <w:r>
        <w:t xml:space="preserve">, </w:t>
      </w:r>
      <w:r>
        <w:rPr>
          <w:i/>
        </w:rPr>
        <w:t xml:space="preserve">p </w:t>
      </w:r>
      <w:r w:rsidR="000969CE">
        <w:t>=</w:t>
      </w:r>
      <w:r>
        <w:t xml:space="preserve"> .00</w:t>
      </w:r>
      <w:r w:rsidR="000969CE">
        <w:t>2</w:t>
      </w:r>
      <w:r>
        <w:t xml:space="preserve">. We did not observe </w:t>
      </w:r>
      <w:r w:rsidR="00F063D5">
        <w:t>a</w:t>
      </w:r>
      <w:r>
        <w:t xml:space="preserve"> difference at </w:t>
      </w:r>
      <w:r w:rsidR="000969CE">
        <w:t>low</w:t>
      </w:r>
      <w:r>
        <w:t xml:space="preserve"> levels of attachment avoidance, </w:t>
      </w:r>
      <w:r>
        <w:rPr>
          <w:i/>
        </w:rPr>
        <w:t xml:space="preserve">b </w:t>
      </w:r>
      <w:r>
        <w:t>= 0.</w:t>
      </w:r>
      <w:r w:rsidR="000969CE">
        <w:t>07</w:t>
      </w:r>
      <w:r>
        <w:t xml:space="preserve">, </w:t>
      </w:r>
      <w:r>
        <w:rPr>
          <w:i/>
        </w:rPr>
        <w:t>SE</w:t>
      </w:r>
      <w:r>
        <w:t xml:space="preserve"> = .2</w:t>
      </w:r>
      <w:r w:rsidR="000969CE">
        <w:t>9</w:t>
      </w:r>
      <w:r>
        <w:t xml:space="preserve">, </w:t>
      </w:r>
      <w:r>
        <w:rPr>
          <w:i/>
        </w:rPr>
        <w:t xml:space="preserve">t </w:t>
      </w:r>
      <w:r>
        <w:t xml:space="preserve">= </w:t>
      </w:r>
      <w:r w:rsidR="000969CE">
        <w:t>0</w:t>
      </w:r>
      <w:r>
        <w:t>.2</w:t>
      </w:r>
      <w:r w:rsidR="000969CE">
        <w:t>5</w:t>
      </w:r>
      <w:r>
        <w:t xml:space="preserve">, </w:t>
      </w:r>
      <w:r>
        <w:rPr>
          <w:i/>
        </w:rPr>
        <w:t xml:space="preserve">p </w:t>
      </w:r>
      <w:r>
        <w:t>= .</w:t>
      </w:r>
      <w:r w:rsidR="000969CE">
        <w:t>80</w:t>
      </w:r>
      <w:r>
        <w:t xml:space="preserve">. </w:t>
      </w:r>
      <w:r w:rsidR="00F063D5">
        <w:t>Simple slope tests also revealed that</w:t>
      </w:r>
      <w:r w:rsidR="00043A49">
        <w:t>,</w:t>
      </w:r>
      <w:r w:rsidR="00F063D5">
        <w:t xml:space="preserve"> within the</w:t>
      </w:r>
      <w:r>
        <w:t xml:space="preserve"> </w:t>
      </w:r>
      <w:r w:rsidR="00F063D5">
        <w:t>nostalgia condition</w:t>
      </w:r>
      <w:r>
        <w:t xml:space="preserve">, </w:t>
      </w:r>
      <w:r w:rsidR="00644002">
        <w:t xml:space="preserve">higher </w:t>
      </w:r>
      <w:r>
        <w:t xml:space="preserve">attachment avoidance was associated with </w:t>
      </w:r>
      <w:r w:rsidR="000969CE">
        <w:t>more agency</w:t>
      </w:r>
      <w:r>
        <w:t xml:space="preserve"> </w:t>
      </w:r>
      <w:r w:rsidR="000969CE">
        <w:t>references</w:t>
      </w:r>
      <w:r>
        <w:t xml:space="preserve">, </w:t>
      </w:r>
      <w:r>
        <w:rPr>
          <w:i/>
        </w:rPr>
        <w:t xml:space="preserve">b </w:t>
      </w:r>
      <w:r w:rsidR="000969CE">
        <w:t>= 0</w:t>
      </w:r>
      <w:r>
        <w:t>.</w:t>
      </w:r>
      <w:r w:rsidR="000969CE">
        <w:t>37</w:t>
      </w:r>
      <w:r>
        <w:t xml:space="preserve">, </w:t>
      </w:r>
      <w:r>
        <w:rPr>
          <w:i/>
        </w:rPr>
        <w:t>SE</w:t>
      </w:r>
      <w:r w:rsidR="000969CE">
        <w:t xml:space="preserve"> = .17</w:t>
      </w:r>
      <w:r>
        <w:t xml:space="preserve">, </w:t>
      </w:r>
      <w:r>
        <w:rPr>
          <w:i/>
        </w:rPr>
        <w:t xml:space="preserve">t </w:t>
      </w:r>
      <w:r w:rsidR="000969CE">
        <w:t>= 2</w:t>
      </w:r>
      <w:r>
        <w:t>.1</w:t>
      </w:r>
      <w:r w:rsidR="000969CE">
        <w:t>2</w:t>
      </w:r>
      <w:r>
        <w:t xml:space="preserve"> </w:t>
      </w:r>
      <w:r>
        <w:rPr>
          <w:i/>
        </w:rPr>
        <w:t xml:space="preserve">p </w:t>
      </w:r>
      <w:r w:rsidR="000969CE">
        <w:t>=</w:t>
      </w:r>
      <w:r>
        <w:t xml:space="preserve"> .0</w:t>
      </w:r>
      <w:r w:rsidR="000969CE">
        <w:t>4</w:t>
      </w:r>
      <w:r>
        <w:t xml:space="preserve">. </w:t>
      </w:r>
      <w:r w:rsidR="00043A49">
        <w:t>T</w:t>
      </w:r>
      <w:r>
        <w:t>his was not the case</w:t>
      </w:r>
      <w:r w:rsidR="00043A49">
        <w:t>, however,</w:t>
      </w:r>
      <w:r>
        <w:t xml:space="preserve"> </w:t>
      </w:r>
      <w:r w:rsidR="00F063D5">
        <w:t>in the control condition</w:t>
      </w:r>
      <w:r>
        <w:t xml:space="preserve">, </w:t>
      </w:r>
      <w:r>
        <w:rPr>
          <w:i/>
        </w:rPr>
        <w:t xml:space="preserve">b </w:t>
      </w:r>
      <w:r>
        <w:t xml:space="preserve">= </w:t>
      </w:r>
      <w:r w:rsidR="000969CE">
        <w:t>-0</w:t>
      </w:r>
      <w:r>
        <w:t>.</w:t>
      </w:r>
      <w:r w:rsidR="000969CE">
        <w:t>13</w:t>
      </w:r>
      <w:r>
        <w:t xml:space="preserve">, </w:t>
      </w:r>
      <w:r>
        <w:rPr>
          <w:i/>
        </w:rPr>
        <w:t xml:space="preserve">SE </w:t>
      </w:r>
      <w:r w:rsidR="000969CE">
        <w:t>= .17</w:t>
      </w:r>
      <w:r>
        <w:t xml:space="preserve">, </w:t>
      </w:r>
      <w:r>
        <w:rPr>
          <w:i/>
        </w:rPr>
        <w:t xml:space="preserve">t </w:t>
      </w:r>
      <w:r>
        <w:t xml:space="preserve">= </w:t>
      </w:r>
      <w:r w:rsidR="000969CE">
        <w:t>-0.</w:t>
      </w:r>
      <w:r>
        <w:t>7</w:t>
      </w:r>
      <w:r w:rsidR="000969CE">
        <w:t>4</w:t>
      </w:r>
      <w:r>
        <w:t xml:space="preserve">, </w:t>
      </w:r>
      <w:r>
        <w:rPr>
          <w:i/>
        </w:rPr>
        <w:t xml:space="preserve">p </w:t>
      </w:r>
      <w:r>
        <w:t>= .</w:t>
      </w:r>
      <w:r w:rsidR="000969CE">
        <w:t>46 (Figure 2</w:t>
      </w:r>
      <w:r>
        <w:t xml:space="preserve">). </w:t>
      </w:r>
      <w:r w:rsidR="0040385D">
        <w:t>All other main and interaction effects were non-significant (</w:t>
      </w:r>
      <w:r w:rsidR="0040385D">
        <w:rPr>
          <w:i/>
        </w:rPr>
        <w:t xml:space="preserve">ps </w:t>
      </w:r>
      <w:r w:rsidR="0040385D">
        <w:t>&gt; .28).</w:t>
      </w:r>
    </w:p>
    <w:p w14:paraId="375B7DC3" w14:textId="77777777" w:rsidR="00B8008D" w:rsidRDefault="00DA13A3" w:rsidP="00DE67C1">
      <w:pPr>
        <w:spacing w:line="480" w:lineRule="exact"/>
        <w:rPr>
          <w:b/>
        </w:rPr>
      </w:pPr>
      <w:r>
        <w:rPr>
          <w:b/>
        </w:rPr>
        <w:t>Emotional Content</w:t>
      </w:r>
    </w:p>
    <w:p w14:paraId="4BF478AE" w14:textId="59F349A0" w:rsidR="00996270" w:rsidRDefault="00090DB5" w:rsidP="00DE67C1">
      <w:pPr>
        <w:spacing w:line="480" w:lineRule="exact"/>
      </w:pPr>
      <w:r>
        <w:rPr>
          <w:b/>
        </w:rPr>
        <w:tab/>
      </w:r>
      <w:r w:rsidR="00996270">
        <w:t>To investigate the affective</w:t>
      </w:r>
      <w:r w:rsidR="00A64F86">
        <w:t xml:space="preserve"> profile of nostalgic memories</w:t>
      </w:r>
      <w:r w:rsidR="00B6129A">
        <w:t>,</w:t>
      </w:r>
      <w:r w:rsidR="00A64F86">
        <w:t xml:space="preserve"> we </w:t>
      </w:r>
      <w:r w:rsidR="00345080">
        <w:t xml:space="preserve">first </w:t>
      </w:r>
      <w:r w:rsidR="00A64F86">
        <w:t>conducted a 2 (</w:t>
      </w:r>
      <w:r w:rsidR="004A5EFF">
        <w:t xml:space="preserve">affect: </w:t>
      </w:r>
      <w:r w:rsidR="00A64F86">
        <w:t>positive or negative</w:t>
      </w:r>
      <w:r w:rsidR="00A02C1A">
        <w:t xml:space="preserve"> emotions</w:t>
      </w:r>
      <w:r w:rsidR="00A64F86">
        <w:t>) x 2 (</w:t>
      </w:r>
      <w:r w:rsidR="004A5EFF">
        <w:t>narrative type</w:t>
      </w:r>
      <w:r w:rsidR="00833B2B">
        <w:t>: nostalgic vs. ordinary</w:t>
      </w:r>
      <w:r w:rsidR="00A02C1A">
        <w:t xml:space="preserve">) </w:t>
      </w:r>
      <w:r w:rsidR="00DB1598">
        <w:t>mixed</w:t>
      </w:r>
      <w:r w:rsidR="00A02C1A">
        <w:t xml:space="preserve"> </w:t>
      </w:r>
      <w:r w:rsidR="002865FE">
        <w:t>a</w:t>
      </w:r>
      <w:r w:rsidR="00A02C1A">
        <w:t xml:space="preserve">nalysis of </w:t>
      </w:r>
      <w:r w:rsidR="002865FE">
        <w:t>v</w:t>
      </w:r>
      <w:r w:rsidR="00A02C1A">
        <w:t xml:space="preserve">ariance (ANOVA) on </w:t>
      </w:r>
      <w:r w:rsidR="009F7810">
        <w:t>emotions</w:t>
      </w:r>
      <w:r w:rsidR="00602F8E">
        <w:t xml:space="preserve">. </w:t>
      </w:r>
      <w:r w:rsidR="00BD5360">
        <w:t>N</w:t>
      </w:r>
      <w:r w:rsidR="002865FE">
        <w:t>ostalgic memories</w:t>
      </w:r>
      <w:r w:rsidR="007A0EF3">
        <w:t xml:space="preserve"> contained stronger emotions </w:t>
      </w:r>
      <w:r w:rsidR="004A5EFF">
        <w:t xml:space="preserve">overall </w:t>
      </w:r>
      <w:r w:rsidR="007A0EF3">
        <w:t>(</w:t>
      </w:r>
      <w:r w:rsidR="007A0EF3">
        <w:rPr>
          <w:i/>
        </w:rPr>
        <w:t xml:space="preserve">M </w:t>
      </w:r>
      <w:r w:rsidR="007A0EF3">
        <w:t xml:space="preserve">= 2.06, </w:t>
      </w:r>
      <w:r w:rsidR="007A0EF3">
        <w:rPr>
          <w:i/>
        </w:rPr>
        <w:t xml:space="preserve">SE </w:t>
      </w:r>
      <w:r w:rsidR="007A0EF3">
        <w:t>= .05) than ordinary memories (</w:t>
      </w:r>
      <w:r w:rsidR="007A0EF3">
        <w:rPr>
          <w:i/>
        </w:rPr>
        <w:t xml:space="preserve">M </w:t>
      </w:r>
      <w:r w:rsidR="007A0EF3">
        <w:t xml:space="preserve">= 1.86, </w:t>
      </w:r>
      <w:r w:rsidR="007A0EF3">
        <w:rPr>
          <w:i/>
        </w:rPr>
        <w:t xml:space="preserve">SE </w:t>
      </w:r>
      <w:r w:rsidR="007A0EF3">
        <w:t xml:space="preserve">= .05), </w:t>
      </w:r>
      <w:proofErr w:type="gramStart"/>
      <w:r w:rsidR="00A02C1A">
        <w:rPr>
          <w:i/>
        </w:rPr>
        <w:t>F</w:t>
      </w:r>
      <w:r w:rsidR="00A02C1A">
        <w:t>(</w:t>
      </w:r>
      <w:proofErr w:type="gramEnd"/>
      <w:r w:rsidR="00A02C1A">
        <w:t xml:space="preserve">1, 99) = 43.23, </w:t>
      </w:r>
      <w:r w:rsidR="00A02C1A">
        <w:rPr>
          <w:i/>
        </w:rPr>
        <w:t xml:space="preserve">p </w:t>
      </w:r>
      <w:r w:rsidR="007A0EF3">
        <w:t xml:space="preserve">&lt; .001. </w:t>
      </w:r>
      <w:r w:rsidR="002865FE">
        <w:t>Further, the</w:t>
      </w:r>
      <w:r w:rsidR="00F34675">
        <w:t xml:space="preserve"> </w:t>
      </w:r>
      <w:r w:rsidR="007A0EF3">
        <w:t>narratives contained more positive (</w:t>
      </w:r>
      <w:r w:rsidR="007A0EF3">
        <w:rPr>
          <w:i/>
        </w:rPr>
        <w:t xml:space="preserve">M </w:t>
      </w:r>
      <w:r w:rsidR="007A0EF3">
        <w:t xml:space="preserve">= 2.39, </w:t>
      </w:r>
      <w:r w:rsidR="007A0EF3">
        <w:rPr>
          <w:i/>
        </w:rPr>
        <w:t xml:space="preserve">SE </w:t>
      </w:r>
      <w:r w:rsidR="007A0EF3">
        <w:t xml:space="preserve">= .08) </w:t>
      </w:r>
      <w:r w:rsidR="00F34675">
        <w:t>than negative emotions (</w:t>
      </w:r>
      <w:r w:rsidR="00F34675">
        <w:rPr>
          <w:i/>
        </w:rPr>
        <w:t xml:space="preserve">M </w:t>
      </w:r>
      <w:r w:rsidR="00F34675">
        <w:t xml:space="preserve">= 1.53, </w:t>
      </w:r>
      <w:r w:rsidR="00F34675">
        <w:rPr>
          <w:i/>
        </w:rPr>
        <w:t>S</w:t>
      </w:r>
      <w:r w:rsidR="004A5EFF">
        <w:rPr>
          <w:i/>
        </w:rPr>
        <w:t>E</w:t>
      </w:r>
      <w:r w:rsidR="00F34675">
        <w:rPr>
          <w:i/>
        </w:rPr>
        <w:t xml:space="preserve"> </w:t>
      </w:r>
      <w:r w:rsidR="00F34675">
        <w:t xml:space="preserve">= .07), </w:t>
      </w:r>
      <w:proofErr w:type="gramStart"/>
      <w:r w:rsidR="00A02C1A">
        <w:rPr>
          <w:i/>
        </w:rPr>
        <w:t>F</w:t>
      </w:r>
      <w:r w:rsidR="00A02C1A">
        <w:t>(</w:t>
      </w:r>
      <w:proofErr w:type="gramEnd"/>
      <w:r w:rsidR="00A02C1A">
        <w:t xml:space="preserve">1, 99) = 6.95, </w:t>
      </w:r>
      <w:r w:rsidR="00A02C1A">
        <w:rPr>
          <w:i/>
        </w:rPr>
        <w:t xml:space="preserve">p </w:t>
      </w:r>
      <w:r w:rsidR="00A02C1A">
        <w:t>= .01</w:t>
      </w:r>
      <w:r w:rsidR="00602F8E">
        <w:t xml:space="preserve">. </w:t>
      </w:r>
      <w:r w:rsidR="002B75FD">
        <w:t>The</w:t>
      </w:r>
      <w:r w:rsidR="00BD5360">
        <w:t>se</w:t>
      </w:r>
      <w:r w:rsidR="00A02C1A">
        <w:t xml:space="preserve"> main effects were qualified by a significant </w:t>
      </w:r>
      <w:r w:rsidR="004A5EFF">
        <w:t>Narrative Type</w:t>
      </w:r>
      <w:r w:rsidR="00DB4AF4">
        <w:t xml:space="preserve"> </w:t>
      </w:r>
      <w:r w:rsidR="00862F1E">
        <w:sym w:font="Symbol" w:char="F0B4"/>
      </w:r>
      <w:r w:rsidR="00862F1E" w:rsidRPr="001625F7">
        <w:t xml:space="preserve"> </w:t>
      </w:r>
      <w:r w:rsidR="004A5EFF">
        <w:t>A</w:t>
      </w:r>
      <w:r w:rsidR="00A02C1A">
        <w:t xml:space="preserve">ffect interaction, </w:t>
      </w:r>
      <w:proofErr w:type="gramStart"/>
      <w:r w:rsidR="00A02C1A">
        <w:rPr>
          <w:i/>
        </w:rPr>
        <w:t>F</w:t>
      </w:r>
      <w:r w:rsidR="00A02C1A">
        <w:t>(</w:t>
      </w:r>
      <w:proofErr w:type="gramEnd"/>
      <w:r w:rsidR="00A02C1A">
        <w:t xml:space="preserve">1, 99) = 18.98, </w:t>
      </w:r>
      <w:r w:rsidR="00A02C1A">
        <w:rPr>
          <w:i/>
        </w:rPr>
        <w:t xml:space="preserve">p </w:t>
      </w:r>
      <w:r w:rsidR="00A02C1A">
        <w:t>&lt; .001</w:t>
      </w:r>
      <w:r w:rsidR="00602F8E">
        <w:t xml:space="preserve">. </w:t>
      </w:r>
      <w:r w:rsidR="00A02C1A">
        <w:t xml:space="preserve">Follow up Fisher’s LSD pairwise comparisons revealed that </w:t>
      </w:r>
      <w:r w:rsidR="00660C23">
        <w:t xml:space="preserve">nostalgic narratives contained </w:t>
      </w:r>
      <w:r w:rsidR="00A555CB">
        <w:t>stronger positive emotions (</w:t>
      </w:r>
      <w:r w:rsidR="00A555CB">
        <w:rPr>
          <w:i/>
        </w:rPr>
        <w:t xml:space="preserve">M </w:t>
      </w:r>
      <w:r w:rsidR="00A555CB">
        <w:t xml:space="preserve">= 2.77, </w:t>
      </w:r>
      <w:r w:rsidR="00A555CB">
        <w:rPr>
          <w:i/>
        </w:rPr>
        <w:t xml:space="preserve">SE </w:t>
      </w:r>
      <w:r w:rsidR="00A555CB">
        <w:t>= .12) than negative emotions (</w:t>
      </w:r>
      <w:r w:rsidR="00A555CB">
        <w:rPr>
          <w:i/>
        </w:rPr>
        <w:t>M</w:t>
      </w:r>
      <w:r w:rsidR="00D71B3E">
        <w:rPr>
          <w:i/>
        </w:rPr>
        <w:t xml:space="preserve"> </w:t>
      </w:r>
      <w:r w:rsidR="00D71B3E">
        <w:t xml:space="preserve">= 1.34, </w:t>
      </w:r>
      <w:r w:rsidR="00D71B3E">
        <w:rPr>
          <w:i/>
        </w:rPr>
        <w:t xml:space="preserve">SE </w:t>
      </w:r>
      <w:r w:rsidR="00D71B3E">
        <w:t xml:space="preserve">= 1.34), </w:t>
      </w:r>
      <w:r w:rsidR="00D71B3E">
        <w:rPr>
          <w:i/>
        </w:rPr>
        <w:t>F</w:t>
      </w:r>
      <w:r w:rsidR="00D71B3E">
        <w:t xml:space="preserve">(1, 99) = 59.17, </w:t>
      </w:r>
      <w:r w:rsidR="00D71B3E">
        <w:rPr>
          <w:i/>
        </w:rPr>
        <w:t xml:space="preserve">p </w:t>
      </w:r>
      <w:r w:rsidR="00D71B3E">
        <w:t>&lt; .001</w:t>
      </w:r>
      <w:r w:rsidR="00602F8E">
        <w:t xml:space="preserve">. </w:t>
      </w:r>
      <w:r w:rsidR="00647CF5">
        <w:t>O</w:t>
      </w:r>
      <w:r w:rsidR="00023AF3">
        <w:t xml:space="preserve">rdinary narratives did not differ </w:t>
      </w:r>
      <w:r w:rsidR="008D6887">
        <w:t>significant</w:t>
      </w:r>
      <w:r w:rsidR="00023AF3">
        <w:t>ly on</w:t>
      </w:r>
      <w:r w:rsidR="008D6887">
        <w:t xml:space="preserve"> </w:t>
      </w:r>
      <w:r w:rsidR="00023AF3">
        <w:t xml:space="preserve">expressions of </w:t>
      </w:r>
      <w:r w:rsidR="002C38D9">
        <w:t>positive</w:t>
      </w:r>
      <w:r w:rsidR="00996270">
        <w:t xml:space="preserve"> (</w:t>
      </w:r>
      <w:r w:rsidR="00996270">
        <w:rPr>
          <w:i/>
        </w:rPr>
        <w:t xml:space="preserve">M </w:t>
      </w:r>
      <w:r w:rsidR="00996270">
        <w:t xml:space="preserve">= 2.01, </w:t>
      </w:r>
      <w:r w:rsidR="00996270">
        <w:rPr>
          <w:i/>
        </w:rPr>
        <w:t xml:space="preserve">SE </w:t>
      </w:r>
      <w:r w:rsidR="00996270">
        <w:t xml:space="preserve">= .12) </w:t>
      </w:r>
      <w:r w:rsidR="002C38D9">
        <w:t>and negative</w:t>
      </w:r>
      <w:r w:rsidR="008D6887">
        <w:t xml:space="preserve"> </w:t>
      </w:r>
      <w:r w:rsidR="00996270">
        <w:t>(</w:t>
      </w:r>
      <w:r w:rsidR="00996270">
        <w:rPr>
          <w:i/>
        </w:rPr>
        <w:t xml:space="preserve">M </w:t>
      </w:r>
      <w:r w:rsidR="00996270">
        <w:t xml:space="preserve">= 1.72, </w:t>
      </w:r>
      <w:r w:rsidR="00996270">
        <w:rPr>
          <w:i/>
        </w:rPr>
        <w:t xml:space="preserve">SE </w:t>
      </w:r>
      <w:r w:rsidR="008D6887">
        <w:t>= .09)</w:t>
      </w:r>
      <w:r w:rsidR="002C38D9">
        <w:t xml:space="preserve"> </w:t>
      </w:r>
      <w:r w:rsidR="00023AF3">
        <w:t>emotions</w:t>
      </w:r>
      <w:r w:rsidR="002C38D9">
        <w:t>,</w:t>
      </w:r>
      <w:r w:rsidR="00996270">
        <w:t xml:space="preserve"> </w:t>
      </w:r>
      <w:r w:rsidR="00996270">
        <w:rPr>
          <w:i/>
        </w:rPr>
        <w:t>F</w:t>
      </w:r>
      <w:r w:rsidR="00996270">
        <w:t xml:space="preserve">(1, 99) = 2.45, </w:t>
      </w:r>
      <w:r w:rsidR="00996270">
        <w:rPr>
          <w:i/>
        </w:rPr>
        <w:t xml:space="preserve">p </w:t>
      </w:r>
      <w:r w:rsidR="00996270">
        <w:t xml:space="preserve">= .118. </w:t>
      </w:r>
    </w:p>
    <w:p w14:paraId="7CC6990D" w14:textId="77777777" w:rsidR="00DA13A3" w:rsidRDefault="00D1551D" w:rsidP="00DE67C1">
      <w:pPr>
        <w:spacing w:line="480" w:lineRule="exact"/>
        <w:ind w:firstLine="720"/>
      </w:pPr>
      <w:r>
        <w:t xml:space="preserve">As before, we </w:t>
      </w:r>
      <w:r w:rsidR="001B5FF1">
        <w:t>conducted a series of h</w:t>
      </w:r>
      <w:r>
        <w:t>ierarchical linear regressions. N</w:t>
      </w:r>
      <w:r w:rsidR="00090DB5">
        <w:t xml:space="preserve">ostalgic (relative to non-nostalgic) </w:t>
      </w:r>
      <w:r w:rsidR="00023AF3">
        <w:t xml:space="preserve">narratives </w:t>
      </w:r>
      <w:r w:rsidR="00090DB5">
        <w:t>contained strong</w:t>
      </w:r>
      <w:r w:rsidR="00D5156A">
        <w:t>er</w:t>
      </w:r>
      <w:r w:rsidR="00090DB5">
        <w:t xml:space="preserve"> positive emotions, </w:t>
      </w:r>
      <w:r w:rsidR="00090DB5">
        <w:rPr>
          <w:i/>
        </w:rPr>
        <w:t xml:space="preserve">b </w:t>
      </w:r>
      <w:r w:rsidR="00090DB5">
        <w:t xml:space="preserve">= </w:t>
      </w:r>
      <w:r w:rsidR="004D13BA">
        <w:t>0</w:t>
      </w:r>
      <w:r w:rsidR="00090DB5">
        <w:t>.7</w:t>
      </w:r>
      <w:r w:rsidR="00EC747C">
        <w:t>8</w:t>
      </w:r>
      <w:r w:rsidR="00090DB5">
        <w:t>,</w:t>
      </w:r>
      <w:r w:rsidR="00C3354B">
        <w:t xml:space="preserve"> </w:t>
      </w:r>
      <w:r w:rsidR="00C3354B">
        <w:rPr>
          <w:i/>
        </w:rPr>
        <w:t xml:space="preserve">SE </w:t>
      </w:r>
      <w:r w:rsidR="00C3354B">
        <w:t xml:space="preserve">= .16, </w:t>
      </w:r>
      <w:r w:rsidR="00C3354B">
        <w:rPr>
          <w:i/>
        </w:rPr>
        <w:t xml:space="preserve">t </w:t>
      </w:r>
      <w:r w:rsidR="00C3354B">
        <w:t>=</w:t>
      </w:r>
      <w:r w:rsidR="00EC747C">
        <w:t xml:space="preserve"> 4.80</w:t>
      </w:r>
      <w:r w:rsidR="0095588D">
        <w:t xml:space="preserve">, </w:t>
      </w:r>
      <w:r w:rsidR="0095588D">
        <w:rPr>
          <w:i/>
        </w:rPr>
        <w:t xml:space="preserve">p </w:t>
      </w:r>
      <w:r w:rsidR="0095588D">
        <w:t>&lt; .001</w:t>
      </w:r>
      <w:r w:rsidR="00602F8E">
        <w:t xml:space="preserve">. </w:t>
      </w:r>
      <w:r w:rsidR="002865FE">
        <w:t xml:space="preserve">All other effects were non-significant </w:t>
      </w:r>
      <w:r w:rsidR="00EC747C">
        <w:t xml:space="preserve">(all </w:t>
      </w:r>
      <w:r w:rsidR="00EC747C">
        <w:rPr>
          <w:i/>
        </w:rPr>
        <w:t xml:space="preserve">ps </w:t>
      </w:r>
      <w:r w:rsidR="00EC747C">
        <w:t>&gt; .07)</w:t>
      </w:r>
      <w:r w:rsidR="00602F8E">
        <w:t xml:space="preserve">. </w:t>
      </w:r>
      <w:r>
        <w:t>N</w:t>
      </w:r>
      <w:r w:rsidR="00D5156A">
        <w:t xml:space="preserve">ostalgic (relative to non-nostalgic) </w:t>
      </w:r>
      <w:r w:rsidR="00023AF3">
        <w:lastRenderedPageBreak/>
        <w:t xml:space="preserve">narratives </w:t>
      </w:r>
      <w:r w:rsidR="00D5156A">
        <w:t xml:space="preserve">contained less strong negative emotions, </w:t>
      </w:r>
      <w:r w:rsidR="00D5156A">
        <w:rPr>
          <w:i/>
        </w:rPr>
        <w:t xml:space="preserve">b </w:t>
      </w:r>
      <w:r w:rsidR="00EC747C">
        <w:t>= -.39</w:t>
      </w:r>
      <w:r w:rsidR="00D5156A">
        <w:t xml:space="preserve">, </w:t>
      </w:r>
      <w:r w:rsidR="00D5156A">
        <w:rPr>
          <w:i/>
        </w:rPr>
        <w:t xml:space="preserve">SE </w:t>
      </w:r>
      <w:r w:rsidR="00D5156A">
        <w:t xml:space="preserve">= .13, </w:t>
      </w:r>
      <w:r w:rsidR="00D5156A">
        <w:rPr>
          <w:i/>
        </w:rPr>
        <w:t xml:space="preserve">t </w:t>
      </w:r>
      <w:r w:rsidR="00EC747C">
        <w:t>= -2.95</w:t>
      </w:r>
      <w:r w:rsidR="00D5156A">
        <w:t xml:space="preserve">, </w:t>
      </w:r>
      <w:r w:rsidR="00D5156A">
        <w:rPr>
          <w:i/>
        </w:rPr>
        <w:t xml:space="preserve">p </w:t>
      </w:r>
      <w:r w:rsidR="00EC747C">
        <w:t>= .004</w:t>
      </w:r>
      <w:r w:rsidR="00602F8E">
        <w:t xml:space="preserve">. </w:t>
      </w:r>
      <w:r w:rsidR="00647CF5">
        <w:t>All</w:t>
      </w:r>
      <w:r w:rsidR="002865FE">
        <w:t xml:space="preserve"> other effects were non-significant </w:t>
      </w:r>
      <w:r w:rsidR="00EC747C">
        <w:t xml:space="preserve">(all </w:t>
      </w:r>
      <w:r w:rsidR="00EC747C">
        <w:rPr>
          <w:i/>
        </w:rPr>
        <w:t xml:space="preserve">ps </w:t>
      </w:r>
      <w:r w:rsidR="00EC747C">
        <w:t>&gt; .</w:t>
      </w:r>
      <w:r w:rsidR="004D13BA">
        <w:t>45</w:t>
      </w:r>
      <w:r w:rsidR="00EC747C">
        <w:t>)</w:t>
      </w:r>
      <w:r w:rsidR="00602F8E">
        <w:t xml:space="preserve">. </w:t>
      </w:r>
      <w:r w:rsidR="003B683C">
        <w:t xml:space="preserve">Finally, nostalgic (relative to non-nostalgic) </w:t>
      </w:r>
      <w:r w:rsidR="00023AF3">
        <w:t xml:space="preserve">narratives </w:t>
      </w:r>
      <w:r w:rsidR="003B683C">
        <w:t>contained more ambivalent emotion</w:t>
      </w:r>
      <w:r w:rsidR="00023AF3">
        <w:t>s</w:t>
      </w:r>
      <w:r w:rsidR="003B683C">
        <w:t xml:space="preserve">, </w:t>
      </w:r>
      <w:r w:rsidR="003B683C">
        <w:rPr>
          <w:i/>
        </w:rPr>
        <w:t xml:space="preserve">b </w:t>
      </w:r>
      <w:r w:rsidR="00941077">
        <w:t>= .26</w:t>
      </w:r>
      <w:r w:rsidR="003B683C">
        <w:t xml:space="preserve">, </w:t>
      </w:r>
      <w:r w:rsidR="003B683C">
        <w:rPr>
          <w:i/>
        </w:rPr>
        <w:t xml:space="preserve">SE </w:t>
      </w:r>
      <w:r w:rsidR="003B683C">
        <w:t xml:space="preserve">= .11, </w:t>
      </w:r>
      <w:r w:rsidR="003B683C">
        <w:rPr>
          <w:i/>
        </w:rPr>
        <w:t xml:space="preserve">t </w:t>
      </w:r>
      <w:r w:rsidR="00941077">
        <w:t>= 2.37</w:t>
      </w:r>
      <w:r w:rsidR="003B683C">
        <w:t xml:space="preserve">, </w:t>
      </w:r>
      <w:r w:rsidR="003B683C">
        <w:rPr>
          <w:i/>
        </w:rPr>
        <w:t xml:space="preserve">p </w:t>
      </w:r>
      <w:r w:rsidR="003B683C">
        <w:t>=</w:t>
      </w:r>
      <w:r w:rsidR="00941077">
        <w:t xml:space="preserve"> .02</w:t>
      </w:r>
      <w:r w:rsidR="00602F8E">
        <w:t xml:space="preserve">. </w:t>
      </w:r>
      <w:r w:rsidR="00647CF5">
        <w:t>A</w:t>
      </w:r>
      <w:r w:rsidR="002865FE">
        <w:t xml:space="preserve">ll other effects were non-significant </w:t>
      </w:r>
      <w:r w:rsidR="00941077">
        <w:t xml:space="preserve">(all </w:t>
      </w:r>
      <w:r w:rsidR="00941077">
        <w:rPr>
          <w:i/>
        </w:rPr>
        <w:t xml:space="preserve">ps </w:t>
      </w:r>
      <w:r w:rsidR="002164C2">
        <w:t>&gt; .</w:t>
      </w:r>
      <w:r w:rsidR="004D13BA">
        <w:t>09</w:t>
      </w:r>
      <w:r w:rsidR="00941077">
        <w:t>)</w:t>
      </w:r>
      <w:r w:rsidR="003B683C">
        <w:t>.</w:t>
      </w:r>
      <w:r>
        <w:t xml:space="preserve"> </w:t>
      </w:r>
    </w:p>
    <w:p w14:paraId="69EA92DD" w14:textId="77777777" w:rsidR="00B8008D" w:rsidRDefault="00B8008D" w:rsidP="00DE67C1">
      <w:pPr>
        <w:spacing w:line="480" w:lineRule="exact"/>
        <w:jc w:val="center"/>
        <w:rPr>
          <w:b/>
        </w:rPr>
      </w:pPr>
      <w:r>
        <w:rPr>
          <w:b/>
        </w:rPr>
        <w:t>Discussion</w:t>
      </w:r>
    </w:p>
    <w:p w14:paraId="67110DF6" w14:textId="77777777" w:rsidR="004B4E99" w:rsidRDefault="009535CC" w:rsidP="00DE67C1">
      <w:pPr>
        <w:spacing w:line="480" w:lineRule="exact"/>
        <w:ind w:firstLine="720"/>
      </w:pPr>
      <w:r>
        <w:t xml:space="preserve">The </w:t>
      </w:r>
      <w:r w:rsidR="00B9491C">
        <w:t>current study build</w:t>
      </w:r>
      <w:r w:rsidR="00112833">
        <w:t>s</w:t>
      </w:r>
      <w:r w:rsidR="00B9491C">
        <w:t xml:space="preserve"> on </w:t>
      </w:r>
      <w:r w:rsidR="00112833">
        <w:t xml:space="preserve">research indicating </w:t>
      </w:r>
      <w:r w:rsidR="00B9491C">
        <w:t xml:space="preserve">that </w:t>
      </w:r>
      <w:r w:rsidR="004B4E99">
        <w:t xml:space="preserve">individual differences predict </w:t>
      </w:r>
      <w:r w:rsidR="00112833">
        <w:t xml:space="preserve">nostalgic </w:t>
      </w:r>
      <w:r w:rsidR="004B4E99">
        <w:t>content (Hart et al., 2011)</w:t>
      </w:r>
      <w:r w:rsidR="00602F8E">
        <w:t xml:space="preserve">. </w:t>
      </w:r>
      <w:r w:rsidR="00B9491C">
        <w:t xml:space="preserve">In line with Wildschut and colleagues (2006), the presence of social information </w:t>
      </w:r>
      <w:r w:rsidR="00112833">
        <w:t>was</w:t>
      </w:r>
      <w:r w:rsidR="00CE31C1">
        <w:t xml:space="preserve"> a common feature of nostalgic narrative</w:t>
      </w:r>
      <w:r w:rsidR="00FB6864">
        <w:t>s</w:t>
      </w:r>
      <w:r w:rsidR="00644002">
        <w:t>:</w:t>
      </w:r>
      <w:r w:rsidR="00112833">
        <w:t xml:space="preserve"> </w:t>
      </w:r>
      <w:r w:rsidR="00CE31C1">
        <w:t xml:space="preserve">it </w:t>
      </w:r>
      <w:r w:rsidR="00B9491C">
        <w:t>did not vary as a function of attachment avoidance</w:t>
      </w:r>
      <w:r w:rsidR="00602F8E">
        <w:t xml:space="preserve">. </w:t>
      </w:r>
      <w:r w:rsidR="00B9491C">
        <w:t xml:space="preserve">However, the quality </w:t>
      </w:r>
      <w:r w:rsidR="00FB6864">
        <w:t xml:space="preserve">of </w:t>
      </w:r>
      <w:r w:rsidR="00B9491C">
        <w:t>social content did vary as a function of attachment avoidance</w:t>
      </w:r>
      <w:r w:rsidR="00602F8E">
        <w:t xml:space="preserve">. </w:t>
      </w:r>
      <w:r w:rsidR="00112833">
        <w:t>T</w:t>
      </w:r>
      <w:r w:rsidR="00D87496">
        <w:t>he</w:t>
      </w:r>
      <w:r w:rsidR="00B9491C">
        <w:t xml:space="preserve"> nostalgic </w:t>
      </w:r>
      <w:r w:rsidR="001542E1">
        <w:t>memories</w:t>
      </w:r>
      <w:r w:rsidR="00B9491C">
        <w:t xml:space="preserve"> of those low in avoidance were more likely to </w:t>
      </w:r>
      <w:r w:rsidR="009F766A">
        <w:t>reflect a sense of being loved, trusted, and comforted by others</w:t>
      </w:r>
      <w:r w:rsidR="00FB6864">
        <w:t xml:space="preserve"> than the nostalgic </w:t>
      </w:r>
      <w:r w:rsidR="001542E1">
        <w:t>memories</w:t>
      </w:r>
      <w:r w:rsidR="00FB6864">
        <w:t xml:space="preserve"> of those high in avoidance</w:t>
      </w:r>
      <w:r w:rsidR="00602F8E">
        <w:t>.</w:t>
      </w:r>
      <w:r w:rsidR="00611A16">
        <w:t xml:space="preserve"> </w:t>
      </w:r>
      <w:r w:rsidR="002E116D">
        <w:t>These</w:t>
      </w:r>
      <w:r w:rsidR="00B9491C">
        <w:t xml:space="preserve"> findings suggest</w:t>
      </w:r>
      <w:r w:rsidR="00AC151C">
        <w:t xml:space="preserve"> that</w:t>
      </w:r>
      <w:r w:rsidR="00112833">
        <w:t>,</w:t>
      </w:r>
      <w:r w:rsidR="00B9491C">
        <w:t xml:space="preserve"> even though nostalgic memories </w:t>
      </w:r>
      <w:r w:rsidR="00112833">
        <w:t xml:space="preserve">by and large </w:t>
      </w:r>
      <w:r w:rsidR="00B9491C">
        <w:t xml:space="preserve">feature </w:t>
      </w:r>
      <w:r w:rsidR="00112833">
        <w:t xml:space="preserve">close </w:t>
      </w:r>
      <w:r w:rsidR="00B9491C">
        <w:t>relationships</w:t>
      </w:r>
      <w:r w:rsidR="00AC151C">
        <w:t xml:space="preserve">, </w:t>
      </w:r>
      <w:r w:rsidR="00B9491C">
        <w:t xml:space="preserve">the way in which these relationships are </w:t>
      </w:r>
      <w:r w:rsidR="00AA51A4">
        <w:t xml:space="preserve">reflected upon </w:t>
      </w:r>
      <w:r w:rsidR="00B9491C">
        <w:t>is profoundly shaped by attachment</w:t>
      </w:r>
      <w:r w:rsidR="00FB6864">
        <w:t>-</w:t>
      </w:r>
      <w:r w:rsidR="00CE31C1">
        <w:t>related avoidance</w:t>
      </w:r>
      <w:r w:rsidR="00602F8E">
        <w:t xml:space="preserve">. </w:t>
      </w:r>
    </w:p>
    <w:p w14:paraId="145182DE" w14:textId="5BDC8930" w:rsidR="003A78F0" w:rsidRDefault="004B4E99" w:rsidP="00DE67C1">
      <w:pPr>
        <w:spacing w:line="480" w:lineRule="exact"/>
        <w:ind w:firstLine="720"/>
      </w:pPr>
      <w:r>
        <w:t xml:space="preserve">The </w:t>
      </w:r>
      <w:r w:rsidR="00340743">
        <w:t xml:space="preserve">current </w:t>
      </w:r>
      <w:r>
        <w:t xml:space="preserve">research </w:t>
      </w:r>
      <w:r w:rsidR="00D86C61">
        <w:t xml:space="preserve">also </w:t>
      </w:r>
      <w:r>
        <w:t xml:space="preserve">adds to the understanding of the </w:t>
      </w:r>
      <w:r w:rsidR="00816DCD">
        <w:t>link</w:t>
      </w:r>
      <w:r>
        <w:t xml:space="preserve"> between nostalgia and the attachment system more generally</w:t>
      </w:r>
      <w:r w:rsidR="00602F8E">
        <w:t xml:space="preserve">. </w:t>
      </w:r>
      <w:r>
        <w:t>A</w:t>
      </w:r>
      <w:r w:rsidR="003F6267">
        <w:t>ttachment theory proposes that experience</w:t>
      </w:r>
      <w:r w:rsidR="00555E4A">
        <w:t>s</w:t>
      </w:r>
      <w:r w:rsidR="003F6267">
        <w:t xml:space="preserve"> with interpersonal </w:t>
      </w:r>
      <w:r w:rsidR="002E116D">
        <w:t>relationships</w:t>
      </w:r>
      <w:r w:rsidR="003F6267">
        <w:t xml:space="preserve"> create stable cognitive structures </w:t>
      </w:r>
      <w:r w:rsidR="008F4E0B">
        <w:t xml:space="preserve">(i.e., internal working models) </w:t>
      </w:r>
      <w:r w:rsidR="003F6267">
        <w:t>that or</w:t>
      </w:r>
      <w:r w:rsidR="00647CF5">
        <w:t>ganize interpersonal knowledge</w:t>
      </w:r>
      <w:r w:rsidR="00807FEB">
        <w:t xml:space="preserve"> and</w:t>
      </w:r>
      <w:r w:rsidR="00647CF5">
        <w:t xml:space="preserve"> contain</w:t>
      </w:r>
      <w:r w:rsidR="00807FEB">
        <w:t xml:space="preserve"> scripts that direct interpersonal behaviors</w:t>
      </w:r>
      <w:r w:rsidR="00602F8E">
        <w:t xml:space="preserve">. </w:t>
      </w:r>
      <w:r w:rsidR="00807FEB">
        <w:t xml:space="preserve">Internal working models </w:t>
      </w:r>
      <w:r w:rsidR="00872DF7">
        <w:t xml:space="preserve">operate automatically and </w:t>
      </w:r>
      <w:r w:rsidR="00862F1E">
        <w:t xml:space="preserve">can </w:t>
      </w:r>
      <w:r w:rsidR="00807FEB">
        <w:t>be triggered by attachment</w:t>
      </w:r>
      <w:r w:rsidR="00FB6864">
        <w:t>-</w:t>
      </w:r>
      <w:r w:rsidR="00807FEB">
        <w:t>related events (Collins &amp; Allard, 2001)</w:t>
      </w:r>
      <w:r w:rsidR="00602F8E">
        <w:t xml:space="preserve">. </w:t>
      </w:r>
      <w:r>
        <w:t>The</w:t>
      </w:r>
      <w:r w:rsidR="00816DCD">
        <w:t xml:space="preserve"> current</w:t>
      </w:r>
      <w:r>
        <w:t xml:space="preserve"> results provide two </w:t>
      </w:r>
      <w:r w:rsidR="00816DCD">
        <w:t>strings of</w:t>
      </w:r>
      <w:r>
        <w:t xml:space="preserve"> evidence suggest</w:t>
      </w:r>
      <w:r w:rsidR="00816DCD">
        <w:t>ing</w:t>
      </w:r>
      <w:r>
        <w:t xml:space="preserve"> </w:t>
      </w:r>
      <w:r w:rsidR="0044661B">
        <w:t>n</w:t>
      </w:r>
      <w:r w:rsidR="00807FEB">
        <w:t xml:space="preserve">ostalgia may be one such experience that </w:t>
      </w:r>
      <w:r w:rsidR="00555E4A">
        <w:t>brings online</w:t>
      </w:r>
      <w:r w:rsidR="00807FEB">
        <w:t xml:space="preserve"> the attachment system</w:t>
      </w:r>
      <w:r w:rsidR="00602F8E">
        <w:t xml:space="preserve">. </w:t>
      </w:r>
      <w:r>
        <w:t>First, the content of nostalgic narratives reflected one</w:t>
      </w:r>
      <w:r w:rsidR="003A2F15">
        <w:t>’</w:t>
      </w:r>
      <w:r>
        <w:t xml:space="preserve">s level of </w:t>
      </w:r>
      <w:r w:rsidR="003A78F0">
        <w:t>attachment</w:t>
      </w:r>
      <w:r w:rsidR="00FB6864">
        <w:t>-</w:t>
      </w:r>
      <w:r w:rsidR="003A78F0">
        <w:t>related avoidance</w:t>
      </w:r>
      <w:r w:rsidR="00602F8E">
        <w:t>.</w:t>
      </w:r>
      <w:r w:rsidR="00F71DD5">
        <w:t xml:space="preserve"> That is,</w:t>
      </w:r>
      <w:r w:rsidR="00602F8E">
        <w:t xml:space="preserve"> </w:t>
      </w:r>
      <w:r w:rsidR="00F71DD5">
        <w:t>i</w:t>
      </w:r>
      <w:r w:rsidR="00816DCD">
        <w:t xml:space="preserve">ndividuals </w:t>
      </w:r>
      <w:r w:rsidR="0051418C">
        <w:t xml:space="preserve">high in attachment avoidance are thought to </w:t>
      </w:r>
      <w:r w:rsidR="004A5EFF">
        <w:t xml:space="preserve">eschew </w:t>
      </w:r>
      <w:r w:rsidR="0051418C">
        <w:t xml:space="preserve">interpersonal relationships as </w:t>
      </w:r>
      <w:r w:rsidR="004A5EFF">
        <w:t xml:space="preserve">a </w:t>
      </w:r>
      <w:r w:rsidR="0051418C">
        <w:t>source of psychological</w:t>
      </w:r>
      <w:r w:rsidR="002865FE">
        <w:t xml:space="preserve"> security (Brennan et al.</w:t>
      </w:r>
      <w:r w:rsidR="0051418C">
        <w:t>, 1998) and</w:t>
      </w:r>
      <w:r w:rsidR="00816DCD">
        <w:t>,</w:t>
      </w:r>
      <w:r w:rsidR="0051418C">
        <w:t xml:space="preserve"> consistent with this, </w:t>
      </w:r>
      <w:r w:rsidR="00F01118">
        <w:t>the</w:t>
      </w:r>
      <w:r>
        <w:t xml:space="preserve"> nostalgic memories </w:t>
      </w:r>
      <w:r w:rsidR="00F01118">
        <w:t xml:space="preserve">of high-avoidance individuals </w:t>
      </w:r>
      <w:r>
        <w:t>contained fewer</w:t>
      </w:r>
      <w:r w:rsidR="00D110E0">
        <w:t xml:space="preserve"> attachment-related</w:t>
      </w:r>
      <w:r>
        <w:t xml:space="preserve"> </w:t>
      </w:r>
      <w:r w:rsidR="0051418C">
        <w:t>references</w:t>
      </w:r>
      <w:r w:rsidR="00602F8E">
        <w:t xml:space="preserve">. </w:t>
      </w:r>
      <w:r w:rsidR="007835F9">
        <w:t>Individuals high in attachment avoidance are also thought to value self-reliance (Shaver &amp; Mikulincer, 2002), and there was evidence that nostalgic memories of high</w:t>
      </w:r>
      <w:r w:rsidR="00F01118">
        <w:t>-</w:t>
      </w:r>
      <w:r w:rsidR="007835F9">
        <w:t>avoidan</w:t>
      </w:r>
      <w:r w:rsidR="00F01118">
        <w:t>ce</w:t>
      </w:r>
      <w:r w:rsidR="007835F9">
        <w:t xml:space="preserve"> </w:t>
      </w:r>
      <w:r w:rsidR="00F01118">
        <w:t xml:space="preserve">individuals </w:t>
      </w:r>
      <w:r w:rsidR="007835F9">
        <w:t xml:space="preserve">contained more </w:t>
      </w:r>
      <w:r w:rsidR="007835F9">
        <w:lastRenderedPageBreak/>
        <w:t xml:space="preserve">references to personal competence, success, and power. </w:t>
      </w:r>
      <w:r w:rsidR="004345ED">
        <w:t xml:space="preserve">This finding is noteworthy because it shed light on the </w:t>
      </w:r>
      <w:r w:rsidR="00F01118">
        <w:t>role of nostalgia for individuals high in attachment avoidance</w:t>
      </w:r>
      <w:r w:rsidR="004345ED">
        <w:t xml:space="preserve">. </w:t>
      </w:r>
      <w:r w:rsidR="00592D2D">
        <w:t>Second, attachment</w:t>
      </w:r>
      <w:r w:rsidR="00644002">
        <w:t>-related</w:t>
      </w:r>
      <w:r w:rsidR="00592D2D">
        <w:t xml:space="preserve"> avoidance was related to attachment-related social content </w:t>
      </w:r>
      <w:r w:rsidR="007835F9">
        <w:t>and agency</w:t>
      </w:r>
      <w:r w:rsidR="00862F1E">
        <w:t>-</w:t>
      </w:r>
      <w:r w:rsidR="007835F9">
        <w:t xml:space="preserve">related content </w:t>
      </w:r>
      <w:r w:rsidR="00592D2D">
        <w:t>in nostalgic, but not in non-nostalgic</w:t>
      </w:r>
      <w:r w:rsidR="00862F1E">
        <w:t>,</w:t>
      </w:r>
      <w:r w:rsidR="00592D2D">
        <w:t xml:space="preserve"> memories</w:t>
      </w:r>
      <w:r w:rsidR="003A78F0">
        <w:t>.</w:t>
      </w:r>
      <w:r w:rsidR="00EC2114">
        <w:t xml:space="preserve"> </w:t>
      </w:r>
      <w:r w:rsidR="00862F1E">
        <w:t>We</w:t>
      </w:r>
      <w:r w:rsidR="001D7369">
        <w:t xml:space="preserve"> </w:t>
      </w:r>
      <w:r w:rsidR="00DC4B89">
        <w:t>note</w:t>
      </w:r>
      <w:r w:rsidR="00862F1E">
        <w:t xml:space="preserve"> </w:t>
      </w:r>
      <w:r w:rsidR="001D7369">
        <w:t>that</w:t>
      </w:r>
      <w:r w:rsidR="00862F1E">
        <w:t>,</w:t>
      </w:r>
      <w:r w:rsidR="001D7369">
        <w:t xml:space="preserve"> </w:t>
      </w:r>
      <w:r w:rsidR="00EC2114">
        <w:t>whe</w:t>
      </w:r>
      <w:r w:rsidR="00862F1E">
        <w:t>reas</w:t>
      </w:r>
      <w:r w:rsidR="00EC2114">
        <w:t xml:space="preserve"> </w:t>
      </w:r>
      <w:r w:rsidR="001D7369">
        <w:t xml:space="preserve">research suggests that </w:t>
      </w:r>
      <w:r w:rsidR="00DC4B89">
        <w:t xml:space="preserve">psychological </w:t>
      </w:r>
      <w:r w:rsidR="001D7369">
        <w:t xml:space="preserve">threat activates the attachment system </w:t>
      </w:r>
      <w:r w:rsidR="001855ED">
        <w:t>(Mikulincer, Gillath, &amp; Shaver</w:t>
      </w:r>
      <w:r w:rsidR="001D7369">
        <w:t>, 2002)</w:t>
      </w:r>
      <w:r w:rsidR="00EC2114">
        <w:t xml:space="preserve">, </w:t>
      </w:r>
      <w:r w:rsidR="00DC4B89">
        <w:t>there is no evidence that nostalgia is a threat</w:t>
      </w:r>
      <w:r w:rsidR="001D7369">
        <w:t xml:space="preserve">. </w:t>
      </w:r>
      <w:r w:rsidR="00DC4B89">
        <w:t>Instead, n</w:t>
      </w:r>
      <w:r w:rsidR="001D7369">
        <w:t xml:space="preserve">ostalgia </w:t>
      </w:r>
      <w:r w:rsidR="00DC4B89">
        <w:t xml:space="preserve">is triggered by psychological threat and </w:t>
      </w:r>
      <w:r w:rsidR="001D7369">
        <w:t>helps mitigate the impact of interpersonal threats</w:t>
      </w:r>
      <w:r w:rsidR="00611A16">
        <w:t xml:space="preserve"> </w:t>
      </w:r>
      <w:r w:rsidR="00DC4B89">
        <w:t xml:space="preserve">(e.g., loneliness) </w:t>
      </w:r>
      <w:r w:rsidR="00611A16">
        <w:t xml:space="preserve">by making salient </w:t>
      </w:r>
      <w:r w:rsidR="00862F1E">
        <w:t xml:space="preserve">a sense </w:t>
      </w:r>
      <w:r w:rsidR="00611A16">
        <w:t xml:space="preserve">of social </w:t>
      </w:r>
      <w:r w:rsidR="00DC4B89">
        <w:t>support</w:t>
      </w:r>
      <w:r w:rsidR="001D7369">
        <w:t xml:space="preserve"> (Zhou et al., 2008)</w:t>
      </w:r>
      <w:r w:rsidR="00DC4B89">
        <w:t xml:space="preserve">. Nostalgia thus appears to be a unique psychological resource that </w:t>
      </w:r>
      <w:r w:rsidR="00862F1E">
        <w:t>individuals</w:t>
      </w:r>
      <w:r w:rsidR="00D1551D">
        <w:t>, particularly those low in attachment avoidance,</w:t>
      </w:r>
      <w:r w:rsidR="00DC4B89">
        <w:t xml:space="preserve"> </w:t>
      </w:r>
      <w:r w:rsidR="00644002">
        <w:t>can</w:t>
      </w:r>
      <w:r w:rsidR="00DC4B89">
        <w:t xml:space="preserve"> </w:t>
      </w:r>
      <w:r w:rsidR="00862F1E">
        <w:t xml:space="preserve">implement </w:t>
      </w:r>
      <w:r w:rsidR="00DC4B89">
        <w:t xml:space="preserve">to </w:t>
      </w:r>
      <w:r w:rsidR="00862F1E">
        <w:t>activate</w:t>
      </w:r>
      <w:r w:rsidR="00B95615">
        <w:t xml:space="preserve"> the attachment system</w:t>
      </w:r>
      <w:r w:rsidR="00DC4B89">
        <w:t xml:space="preserve"> in response to threat</w:t>
      </w:r>
      <w:r w:rsidR="00B95615">
        <w:t xml:space="preserve">. </w:t>
      </w:r>
    </w:p>
    <w:p w14:paraId="161632BA" w14:textId="3687DC7E" w:rsidR="00946102" w:rsidRDefault="00B744AF" w:rsidP="00DE67C1">
      <w:pPr>
        <w:spacing w:line="480" w:lineRule="exact"/>
        <w:ind w:firstLine="720"/>
      </w:pPr>
      <w:r>
        <w:t>C</w:t>
      </w:r>
      <w:r w:rsidR="003A78F0">
        <w:t xml:space="preserve">onsistent with </w:t>
      </w:r>
      <w:r w:rsidR="00470D3C">
        <w:t xml:space="preserve">previous </w:t>
      </w:r>
      <w:r w:rsidR="00816DCD">
        <w:t xml:space="preserve">research </w:t>
      </w:r>
      <w:r w:rsidR="003A78F0">
        <w:t>on attachment differences in the interpersonal function of nostalgia</w:t>
      </w:r>
      <w:r w:rsidR="000017CA">
        <w:t xml:space="preserve"> (Wildschut et al., 2010)</w:t>
      </w:r>
      <w:r w:rsidR="003A78F0">
        <w:t>, the current study did not f</w:t>
      </w:r>
      <w:r w:rsidR="0051418C">
        <w:t xml:space="preserve">ind a </w:t>
      </w:r>
      <w:r w:rsidR="00816DCD">
        <w:t>link</w:t>
      </w:r>
      <w:r w:rsidR="0051418C">
        <w:t xml:space="preserve"> between the attachment</w:t>
      </w:r>
      <w:r w:rsidR="003A78F0">
        <w:t xml:space="preserve"> content of nost</w:t>
      </w:r>
      <w:r w:rsidR="001542E1">
        <w:t>algic narratives and attachment-</w:t>
      </w:r>
      <w:r w:rsidR="003A78F0">
        <w:t xml:space="preserve">related anxiety. </w:t>
      </w:r>
      <w:r w:rsidR="000017CA">
        <w:t>On the surface</w:t>
      </w:r>
      <w:r w:rsidR="00862F1E">
        <w:t>,</w:t>
      </w:r>
      <w:r w:rsidR="000017CA">
        <w:t xml:space="preserve"> this issue seems perplexing.</w:t>
      </w:r>
      <w:r w:rsidR="00CE31C1">
        <w:t xml:space="preserve"> </w:t>
      </w:r>
      <w:r w:rsidR="00C74EAB">
        <w:t>W</w:t>
      </w:r>
      <w:r w:rsidR="000017CA">
        <w:t xml:space="preserve">hy would </w:t>
      </w:r>
      <w:r w:rsidR="00816DCD">
        <w:t xml:space="preserve">individuals </w:t>
      </w:r>
      <w:r w:rsidR="000017CA">
        <w:t xml:space="preserve">who view </w:t>
      </w:r>
      <w:r w:rsidR="00413803">
        <w:t xml:space="preserve">themselves as unworthy of love </w:t>
      </w:r>
      <w:r w:rsidR="009C6DA9">
        <w:t>be as likely to reference love, trust, and support in nostalgic narratives</w:t>
      </w:r>
      <w:r w:rsidR="00A50CA0">
        <w:t>,</w:t>
      </w:r>
      <w:r w:rsidR="009C6DA9">
        <w:t xml:space="preserve"> as </w:t>
      </w:r>
      <w:r w:rsidR="00816DCD">
        <w:t xml:space="preserve">individuals </w:t>
      </w:r>
      <w:r w:rsidR="009C6DA9">
        <w:t xml:space="preserve">who </w:t>
      </w:r>
      <w:r w:rsidR="00271809" w:rsidRPr="00271809">
        <w:rPr>
          <w:i/>
        </w:rPr>
        <w:t>do</w:t>
      </w:r>
      <w:r w:rsidR="009C6DA9">
        <w:t xml:space="preserve"> view themselves as worthy of love</w:t>
      </w:r>
      <w:r w:rsidR="000017CA">
        <w:t xml:space="preserve">? </w:t>
      </w:r>
      <w:r w:rsidR="004E4503">
        <w:t xml:space="preserve">Those high in attachment anxiety are thought to be hypervigilant about relationships and highly attentive to </w:t>
      </w:r>
      <w:r w:rsidR="00702015">
        <w:t xml:space="preserve">attachment </w:t>
      </w:r>
      <w:r w:rsidR="004E4503">
        <w:t>info</w:t>
      </w:r>
      <w:r w:rsidR="00702015">
        <w:t>rmation</w:t>
      </w:r>
      <w:r w:rsidR="004E4503">
        <w:t xml:space="preserve"> (</w:t>
      </w:r>
      <w:r w:rsidR="00122E74">
        <w:t xml:space="preserve">Collins &amp; Allard, 2001; </w:t>
      </w:r>
      <w:r w:rsidR="004E4503">
        <w:t>Miku</w:t>
      </w:r>
      <w:r w:rsidR="00122E74">
        <w:t>lincer</w:t>
      </w:r>
      <w:r w:rsidR="001855ED">
        <w:t xml:space="preserve"> et al.,</w:t>
      </w:r>
      <w:r w:rsidR="00122E74">
        <w:t xml:space="preserve"> 2002</w:t>
      </w:r>
      <w:r w:rsidR="004E4503">
        <w:t>)</w:t>
      </w:r>
      <w:r w:rsidR="00345A18">
        <w:t xml:space="preserve">. </w:t>
      </w:r>
      <w:r w:rsidR="004E4503">
        <w:t xml:space="preserve">Thus, instead of avoiding interpersonal content </w:t>
      </w:r>
      <w:r w:rsidR="00AC151C">
        <w:t>when being nostalgic</w:t>
      </w:r>
      <w:r w:rsidR="004E4503">
        <w:t>, those high in anxiety might cling to idealized relationships from their past</w:t>
      </w:r>
      <w:r w:rsidR="00DE67C1">
        <w:t>,</w:t>
      </w:r>
      <w:r w:rsidR="00C74EAB">
        <w:t xml:space="preserve"> </w:t>
      </w:r>
      <w:r w:rsidR="00816DCD">
        <w:t xml:space="preserve">which </w:t>
      </w:r>
      <w:r w:rsidR="00C74EAB">
        <w:t>mitigate feelings that</w:t>
      </w:r>
      <w:r w:rsidR="003A2F15">
        <w:t xml:space="preserve"> they are unworthy of affection</w:t>
      </w:r>
      <w:r w:rsidR="004E4503">
        <w:t>.</w:t>
      </w:r>
      <w:r w:rsidR="00CE31C1">
        <w:t xml:space="preserve"> </w:t>
      </w:r>
    </w:p>
    <w:p w14:paraId="6CA4C643" w14:textId="15229063" w:rsidR="00B744AF" w:rsidRDefault="00B744AF" w:rsidP="00DE67C1">
      <w:pPr>
        <w:spacing w:line="480" w:lineRule="exact"/>
        <w:ind w:firstLine="720"/>
      </w:pPr>
      <w:r>
        <w:t xml:space="preserve">Finally, the current study builds upon </w:t>
      </w:r>
      <w:r w:rsidR="00DE67C1">
        <w:t>past work</w:t>
      </w:r>
      <w:r>
        <w:t xml:space="preserve"> on the emotional content of nostalgic narratives. The study replicates previous findings on the ambivalent emotional nature of nostalgia (</w:t>
      </w:r>
      <w:r w:rsidR="007468BF">
        <w:t>Wildschut et al., 2006), but also</w:t>
      </w:r>
      <w:r>
        <w:t xml:space="preserve"> extends those findings</w:t>
      </w:r>
      <w:r w:rsidR="003220BA">
        <w:t xml:space="preserve"> by providing</w:t>
      </w:r>
      <w:r>
        <w:t xml:space="preserve"> a non-nostalgic com</w:t>
      </w:r>
      <w:r w:rsidR="003220BA">
        <w:t xml:space="preserve">parison: </w:t>
      </w:r>
      <w:r>
        <w:t xml:space="preserve">nostalgic memories contain significantly more positive </w:t>
      </w:r>
      <w:r w:rsidR="003220BA">
        <w:t>and ambivalent, but</w:t>
      </w:r>
      <w:r>
        <w:t xml:space="preserve"> less negative</w:t>
      </w:r>
      <w:r w:rsidR="003220BA">
        <w:t>,</w:t>
      </w:r>
      <w:r>
        <w:t xml:space="preserve"> emotional content</w:t>
      </w:r>
      <w:r w:rsidR="003220BA">
        <w:t xml:space="preserve"> than </w:t>
      </w:r>
      <w:r w:rsidR="009B0BB4">
        <w:t>ordinary autobiographical memories</w:t>
      </w:r>
      <w:r>
        <w:t xml:space="preserve">. </w:t>
      </w:r>
    </w:p>
    <w:p w14:paraId="0856D721" w14:textId="466A847C" w:rsidR="00AA0CD7" w:rsidRDefault="00DE67C1" w:rsidP="00DE67C1">
      <w:pPr>
        <w:spacing w:line="480" w:lineRule="exact"/>
        <w:ind w:firstLine="720"/>
      </w:pPr>
      <w:r>
        <w:t>Our findings</w:t>
      </w:r>
      <w:r w:rsidR="00607AF3">
        <w:t xml:space="preserve"> suggest that</w:t>
      </w:r>
      <w:r>
        <w:t>,</w:t>
      </w:r>
      <w:r w:rsidR="00607AF3">
        <w:t xml:space="preserve"> i</w:t>
      </w:r>
      <w:r w:rsidR="00087A15">
        <w:t xml:space="preserve">nstead of being a one-size-fits-all </w:t>
      </w:r>
      <w:r w:rsidR="00607AF3">
        <w:t>experience, nostalgic memories are shaped by attachment-related avoidance</w:t>
      </w:r>
      <w:r w:rsidR="00087A15">
        <w:t xml:space="preserve">. It is critical to </w:t>
      </w:r>
      <w:r>
        <w:t>pursue</w:t>
      </w:r>
      <w:r w:rsidR="00087A15">
        <w:t xml:space="preserve"> investigat</w:t>
      </w:r>
      <w:r>
        <w:t>ions of</w:t>
      </w:r>
      <w:r w:rsidR="00087A15">
        <w:t xml:space="preserve"> </w:t>
      </w:r>
      <w:r w:rsidR="00087A15">
        <w:lastRenderedPageBreak/>
        <w:t>individual differences in the content of nostalgia not only to determine the nuanced forms that nostalgic memories take, but also to gain insight into the interpersonal and psychological benefits that nostalgia provides.</w:t>
      </w:r>
    </w:p>
    <w:p w14:paraId="7FF05DC5" w14:textId="0E0A8929" w:rsidR="00122E74" w:rsidRPr="00605F33" w:rsidRDefault="00AA0CD7" w:rsidP="00AA0CD7">
      <w:pPr>
        <w:spacing w:line="480" w:lineRule="exact"/>
        <w:jc w:val="center"/>
      </w:pPr>
      <w:r>
        <w:br w:type="column"/>
      </w:r>
      <w:r w:rsidR="001A3062" w:rsidRPr="00605F33">
        <w:lastRenderedPageBreak/>
        <w:t>References</w:t>
      </w:r>
    </w:p>
    <w:p w14:paraId="434A3ECF" w14:textId="77777777" w:rsidR="00122E74" w:rsidRPr="00CF0B19" w:rsidRDefault="00122E74" w:rsidP="00DE67C1">
      <w:pPr>
        <w:spacing w:line="480" w:lineRule="exact"/>
        <w:ind w:hanging="576"/>
        <w:rPr>
          <w:rFonts w:eastAsia="Calibri" w:cs="Times New Roman"/>
        </w:rPr>
      </w:pPr>
      <w:r w:rsidRPr="00CF0B19">
        <w:rPr>
          <w:rFonts w:eastAsia="Calibri" w:cs="Times New Roman"/>
        </w:rPr>
        <w:t xml:space="preserve">Bowlby, J. (1969). </w:t>
      </w:r>
      <w:r w:rsidRPr="00CF0B19">
        <w:rPr>
          <w:rFonts w:eastAsia="Calibri" w:cs="Times New Roman"/>
          <w:i/>
        </w:rPr>
        <w:t xml:space="preserve">Attachment and Loss: Vol. 2. Attachment. </w:t>
      </w:r>
      <w:r w:rsidRPr="00CF0B19">
        <w:rPr>
          <w:rFonts w:eastAsia="Calibri" w:cs="Times New Roman"/>
        </w:rPr>
        <w:t>New York, NY: Basic Books.</w:t>
      </w:r>
    </w:p>
    <w:p w14:paraId="125868F0" w14:textId="77777777" w:rsidR="00122E74" w:rsidRPr="00CF0B19" w:rsidRDefault="00122E74" w:rsidP="00DE67C1">
      <w:pPr>
        <w:spacing w:line="480" w:lineRule="exact"/>
        <w:ind w:hanging="576"/>
      </w:pPr>
      <w:r w:rsidRPr="00CF0B19">
        <w:rPr>
          <w:rFonts w:eastAsia="Calibri" w:cs="Times New Roman"/>
        </w:rPr>
        <w:t xml:space="preserve">Brennan, K. A., Clark, C. L., &amp; Shaver, P. R. (1998). Self-report measurement of adult attachment: An integrative overview. In J. A. Simpson &amp; W. S. Rholes (Eds.), </w:t>
      </w:r>
      <w:r w:rsidRPr="00CF0B19">
        <w:rPr>
          <w:rFonts w:eastAsia="Calibri" w:cs="Times New Roman"/>
          <w:i/>
        </w:rPr>
        <w:t xml:space="preserve">Attachment theory and close relationships </w:t>
      </w:r>
      <w:r w:rsidRPr="00CF0B19">
        <w:rPr>
          <w:rFonts w:eastAsia="Calibri" w:cs="Times New Roman"/>
        </w:rPr>
        <w:t>(pp. 46-76). New York, NY: Guilford Press.</w:t>
      </w:r>
    </w:p>
    <w:p w14:paraId="7A97C609" w14:textId="77777777" w:rsidR="00122E74" w:rsidRPr="00CF0B19" w:rsidRDefault="00122E74" w:rsidP="00DE67C1">
      <w:pPr>
        <w:spacing w:line="480" w:lineRule="exact"/>
        <w:ind w:hanging="576"/>
      </w:pPr>
      <w:proofErr w:type="gramStart"/>
      <w:r w:rsidRPr="00CF0B19">
        <w:t>Collins, N. L., &amp; Allard, L. M. (2001).</w:t>
      </w:r>
      <w:proofErr w:type="gramEnd"/>
      <w:r w:rsidRPr="00CF0B19">
        <w:t xml:space="preserve"> Cognitive representations of attachments: The content and function of working models. In G. J. O. Fletcher &amp; M. S. Clark (Eds.), Blackwell handbook of social psychology: </w:t>
      </w:r>
      <w:r w:rsidRPr="00CF0B19">
        <w:rPr>
          <w:i/>
        </w:rPr>
        <w:t xml:space="preserve">Vol. 2. Interpersonal processes </w:t>
      </w:r>
      <w:r w:rsidRPr="00CF0B19">
        <w:t>(pp. 60-85). Oxford, United Kingdom: Blackwell.</w:t>
      </w:r>
    </w:p>
    <w:p w14:paraId="2B954F57" w14:textId="77777777" w:rsidR="00122E74" w:rsidRPr="00CF0B19" w:rsidRDefault="00122E74" w:rsidP="00DE67C1">
      <w:pPr>
        <w:spacing w:line="480" w:lineRule="exact"/>
        <w:ind w:hanging="576"/>
      </w:pPr>
      <w:r w:rsidRPr="00CF0B19">
        <w:t xml:space="preserve">Edelstein, R. S. (2006). Attachment and emotional memory: Investigating the source and extent of avoidant memory deficits. </w:t>
      </w:r>
      <w:r w:rsidRPr="00CF0B19">
        <w:rPr>
          <w:i/>
        </w:rPr>
        <w:t>Emotion, 6,</w:t>
      </w:r>
      <w:r w:rsidRPr="00CF0B19">
        <w:t xml:space="preserve"> 340-345.</w:t>
      </w:r>
    </w:p>
    <w:p w14:paraId="1A11910D" w14:textId="77777777" w:rsidR="00122E74" w:rsidRPr="00CF0B19" w:rsidRDefault="00122E74" w:rsidP="00DE67C1">
      <w:pPr>
        <w:spacing w:line="480" w:lineRule="exact"/>
        <w:ind w:hanging="576"/>
      </w:pPr>
      <w:r w:rsidRPr="00CF0B19">
        <w:t xml:space="preserve">Hart, C. M., Sedikides, C., Wildschut, T., Arndt, J., Routledge, C., &amp; Vingerhoets, A. J. J. M. (2011). Nostalgic recollections of high and low narcissists. </w:t>
      </w:r>
      <w:r w:rsidRPr="00CF0B19">
        <w:rPr>
          <w:i/>
        </w:rPr>
        <w:t xml:space="preserve">Journal of Research in Personality, 45, </w:t>
      </w:r>
      <w:r w:rsidRPr="00CF0B19">
        <w:t>238-242.</w:t>
      </w:r>
    </w:p>
    <w:p w14:paraId="2EF66E66" w14:textId="77777777" w:rsidR="00122E74" w:rsidRPr="00CF0B19" w:rsidRDefault="00122E74" w:rsidP="00DE67C1">
      <w:pPr>
        <w:spacing w:line="480" w:lineRule="exact"/>
        <w:ind w:hanging="576"/>
      </w:pPr>
      <w:r w:rsidRPr="00CF0B19">
        <w:t xml:space="preserve">Juhl, J., Sand, E. C., &amp; Routledge, C. (2012). The effects of nostalgia and avoidant attachment on relationship satisfaction and romantic motives. </w:t>
      </w:r>
      <w:r w:rsidRPr="00CF0B19">
        <w:rPr>
          <w:i/>
        </w:rPr>
        <w:t xml:space="preserve">Journal of Social and Personal Relationships, 29, </w:t>
      </w:r>
      <w:r w:rsidRPr="00CF0B19">
        <w:t>661-670.</w:t>
      </w:r>
    </w:p>
    <w:p w14:paraId="3EF60E41" w14:textId="77777777" w:rsidR="00122E74" w:rsidRPr="00CF0B19" w:rsidRDefault="00122E74" w:rsidP="00DE67C1">
      <w:pPr>
        <w:spacing w:line="480" w:lineRule="exact"/>
        <w:ind w:hanging="576"/>
      </w:pPr>
      <w:proofErr w:type="gramStart"/>
      <w:r w:rsidRPr="00CF0B19">
        <w:t>Mikulincer, M., Gillath, O., &amp; Shaver, P. R. (2002).</w:t>
      </w:r>
      <w:proofErr w:type="gramEnd"/>
      <w:r w:rsidRPr="00CF0B19">
        <w:t xml:space="preserve"> Activation of the attachment system in adulthood: Threat-related primes increase the accessibility of mental representations of attachment figures. </w:t>
      </w:r>
      <w:r w:rsidRPr="00CF0B19">
        <w:rPr>
          <w:i/>
        </w:rPr>
        <w:t xml:space="preserve">Journal of Personality and Social Psychology, 83, </w:t>
      </w:r>
      <w:r w:rsidRPr="00CF0B19">
        <w:t>881-895.</w:t>
      </w:r>
    </w:p>
    <w:p w14:paraId="008DAD3B" w14:textId="384A9988" w:rsidR="00122E74" w:rsidRDefault="00122E74" w:rsidP="00DE67C1">
      <w:pPr>
        <w:tabs>
          <w:tab w:val="left" w:pos="720"/>
        </w:tabs>
        <w:spacing w:line="480" w:lineRule="exact"/>
        <w:ind w:hanging="576"/>
        <w:rPr>
          <w:lang w:val="en-GB"/>
        </w:rPr>
      </w:pPr>
      <w:proofErr w:type="gramStart"/>
      <w:r w:rsidRPr="00CF0B19">
        <w:rPr>
          <w:lang w:val="en-GB"/>
        </w:rPr>
        <w:t>Routledge, C., Wildschut, T., Sed</w:t>
      </w:r>
      <w:r w:rsidR="003220BA">
        <w:rPr>
          <w:lang w:val="en-GB"/>
        </w:rPr>
        <w:t>ikides, C., &amp; Juhl, J. (2013</w:t>
      </w:r>
      <w:r w:rsidRPr="00CF0B19">
        <w:rPr>
          <w:lang w:val="en-GB"/>
        </w:rPr>
        <w:t>).</w:t>
      </w:r>
      <w:proofErr w:type="gramEnd"/>
      <w:r w:rsidRPr="00CF0B19">
        <w:rPr>
          <w:lang w:val="en-GB"/>
        </w:rPr>
        <w:t xml:space="preserve"> </w:t>
      </w:r>
      <w:proofErr w:type="gramStart"/>
      <w:r w:rsidRPr="00CF0B19">
        <w:rPr>
          <w:lang w:val="en-GB"/>
        </w:rPr>
        <w:t>Nostalgia as a resource for psychological health and well-being.</w:t>
      </w:r>
      <w:proofErr w:type="gramEnd"/>
      <w:r w:rsidRPr="00CF0B19">
        <w:rPr>
          <w:lang w:val="en-GB"/>
        </w:rPr>
        <w:t xml:space="preserve"> </w:t>
      </w:r>
      <w:r w:rsidRPr="00CF0B19">
        <w:rPr>
          <w:i/>
          <w:lang w:val="en-GB"/>
        </w:rPr>
        <w:t>Social and Personality Psychology Compass</w:t>
      </w:r>
      <w:r w:rsidR="003220BA">
        <w:rPr>
          <w:i/>
          <w:lang w:val="en-GB"/>
        </w:rPr>
        <w:t xml:space="preserve">, </w:t>
      </w:r>
      <w:r w:rsidR="003220BA" w:rsidRPr="003220BA">
        <w:rPr>
          <w:lang w:val="en-GB"/>
        </w:rPr>
        <w:t>808-818</w:t>
      </w:r>
      <w:r w:rsidRPr="00CF0B19">
        <w:rPr>
          <w:lang w:val="en-GB"/>
        </w:rPr>
        <w:t>.</w:t>
      </w:r>
    </w:p>
    <w:p w14:paraId="563B6D33" w14:textId="77777777" w:rsidR="001855ED" w:rsidRPr="001855ED" w:rsidRDefault="001855ED" w:rsidP="00DE67C1">
      <w:pPr>
        <w:tabs>
          <w:tab w:val="left" w:pos="720"/>
        </w:tabs>
        <w:spacing w:line="480" w:lineRule="exact"/>
        <w:ind w:hanging="576"/>
        <w:rPr>
          <w:lang w:val="en-GB"/>
        </w:rPr>
      </w:pPr>
      <w:proofErr w:type="gramStart"/>
      <w:r>
        <w:rPr>
          <w:lang w:val="en-GB"/>
        </w:rPr>
        <w:t>Shaver, P. R., &amp; Mikulincer, M. (2002).</w:t>
      </w:r>
      <w:proofErr w:type="gramEnd"/>
      <w:r>
        <w:rPr>
          <w:lang w:val="en-GB"/>
        </w:rPr>
        <w:t xml:space="preserve"> Attachment-related psychodynamics. </w:t>
      </w:r>
      <w:r>
        <w:rPr>
          <w:i/>
          <w:lang w:val="en-GB"/>
        </w:rPr>
        <w:t xml:space="preserve">Attachment and Human Development, 4, </w:t>
      </w:r>
      <w:r>
        <w:rPr>
          <w:lang w:val="en-GB"/>
        </w:rPr>
        <w:t>133-161.</w:t>
      </w:r>
    </w:p>
    <w:p w14:paraId="40D92348" w14:textId="77777777" w:rsidR="00122E74" w:rsidRPr="00CF0B19" w:rsidRDefault="00122E74" w:rsidP="00DE67C1">
      <w:pPr>
        <w:spacing w:line="480" w:lineRule="exact"/>
        <w:ind w:hanging="576"/>
      </w:pPr>
      <w:proofErr w:type="gramStart"/>
      <w:r w:rsidRPr="00CF0B19">
        <w:t>Wildschut, T., Sedikides, C., Arndt, J., &amp; Routledge, C. (2006).</w:t>
      </w:r>
      <w:proofErr w:type="gramEnd"/>
      <w:r w:rsidRPr="00CF0B19">
        <w:t xml:space="preserve"> Nostalgia: Content, triggers, functions. </w:t>
      </w:r>
      <w:r w:rsidRPr="00CF0B19">
        <w:rPr>
          <w:i/>
        </w:rPr>
        <w:t xml:space="preserve">Journal of Personality and Social Psychology, 5, </w:t>
      </w:r>
      <w:r w:rsidRPr="00CF0B19">
        <w:t xml:space="preserve">975-993. </w:t>
      </w:r>
    </w:p>
    <w:p w14:paraId="652B59B8" w14:textId="77777777" w:rsidR="00122E74" w:rsidRPr="00CF0B19" w:rsidRDefault="00122E74" w:rsidP="00DE67C1">
      <w:pPr>
        <w:spacing w:line="480" w:lineRule="exact"/>
        <w:ind w:hanging="576"/>
      </w:pPr>
      <w:proofErr w:type="gramStart"/>
      <w:r w:rsidRPr="00CF0B19">
        <w:lastRenderedPageBreak/>
        <w:t>Wildschut, T., Sedikides, C., Routledge, C., Arndt, J., &amp; Cordaro, P. (2010).</w:t>
      </w:r>
      <w:proofErr w:type="gramEnd"/>
      <w:r w:rsidRPr="00CF0B19">
        <w:t xml:space="preserve"> Nostalgia as a repository of social connectedness: The role of attachment-related avoidance. </w:t>
      </w:r>
      <w:r w:rsidRPr="00CF0B19">
        <w:rPr>
          <w:i/>
        </w:rPr>
        <w:t xml:space="preserve">Journal of Personality and Social Psychology, 98, </w:t>
      </w:r>
      <w:r w:rsidRPr="00CF0B19">
        <w:t>573-586.</w:t>
      </w:r>
    </w:p>
    <w:p w14:paraId="4B1DDC82" w14:textId="77777777" w:rsidR="00122E74" w:rsidRDefault="00122E74" w:rsidP="00DE67C1">
      <w:pPr>
        <w:spacing w:line="480" w:lineRule="exact"/>
        <w:ind w:hanging="576"/>
      </w:pPr>
      <w:r w:rsidRPr="00707847">
        <w:rPr>
          <w:lang w:val="de-DE"/>
        </w:rPr>
        <w:t xml:space="preserve">Zhou, X., Sedikides, C., Wildschut, T., &amp; Gao, D. G. (2008). </w:t>
      </w:r>
      <w:r w:rsidRPr="00CF0B19">
        <w:t xml:space="preserve">Counteracting loneliness: On the restorative function of nostalgia. </w:t>
      </w:r>
      <w:r w:rsidRPr="00CF0B19">
        <w:rPr>
          <w:i/>
        </w:rPr>
        <w:t xml:space="preserve">Psychological Science, 19, </w:t>
      </w:r>
      <w:r w:rsidRPr="00CF0B19">
        <w:t>1023-1029.</w:t>
      </w:r>
    </w:p>
    <w:p w14:paraId="53A139F2" w14:textId="77777777" w:rsidR="00104C03" w:rsidRDefault="00104C03" w:rsidP="00DE67C1">
      <w:pPr>
        <w:spacing w:line="480" w:lineRule="exact"/>
        <w:ind w:hanging="576"/>
      </w:pPr>
    </w:p>
    <w:p w14:paraId="6B38E722" w14:textId="77777777" w:rsidR="00104C03" w:rsidRDefault="00104C03" w:rsidP="00DE67C1">
      <w:pPr>
        <w:spacing w:line="480" w:lineRule="exact"/>
        <w:ind w:hanging="576"/>
      </w:pPr>
    </w:p>
    <w:p w14:paraId="0107E49D" w14:textId="77777777" w:rsidR="00104C03" w:rsidRDefault="00104C03" w:rsidP="00122E74">
      <w:pPr>
        <w:ind w:left="576" w:hanging="576"/>
      </w:pPr>
    </w:p>
    <w:p w14:paraId="26DA05D2" w14:textId="77777777" w:rsidR="00DC4B89" w:rsidRDefault="00DC4B89" w:rsidP="00122E74">
      <w:pPr>
        <w:ind w:left="576" w:hanging="576"/>
      </w:pPr>
    </w:p>
    <w:p w14:paraId="151E1845" w14:textId="77777777" w:rsidR="00DC4B89" w:rsidRDefault="00DC4B89" w:rsidP="00122E74">
      <w:pPr>
        <w:ind w:left="576" w:hanging="576"/>
      </w:pPr>
    </w:p>
    <w:p w14:paraId="3E95B8EA" w14:textId="77777777" w:rsidR="00DC4B89" w:rsidRDefault="00DC4B89" w:rsidP="00122E74">
      <w:pPr>
        <w:ind w:left="576" w:hanging="576"/>
      </w:pPr>
    </w:p>
    <w:p w14:paraId="10E3C0CA" w14:textId="77777777" w:rsidR="00DC4B89" w:rsidRDefault="00DC4B89" w:rsidP="00122E74">
      <w:pPr>
        <w:ind w:left="576" w:hanging="576"/>
      </w:pPr>
    </w:p>
    <w:p w14:paraId="0C67C407" w14:textId="77777777" w:rsidR="00DC4B89" w:rsidRDefault="00DC4B89" w:rsidP="00122E74">
      <w:pPr>
        <w:ind w:left="576" w:hanging="576"/>
      </w:pPr>
    </w:p>
    <w:p w14:paraId="03D7EE54" w14:textId="77777777" w:rsidR="00DC4B89" w:rsidRDefault="00DC4B89" w:rsidP="00122E74">
      <w:pPr>
        <w:ind w:left="576" w:hanging="576"/>
      </w:pPr>
    </w:p>
    <w:p w14:paraId="0DDEBF52" w14:textId="77777777" w:rsidR="00607AF3" w:rsidRDefault="00607AF3" w:rsidP="00122E74">
      <w:pPr>
        <w:ind w:left="576" w:hanging="576"/>
      </w:pPr>
    </w:p>
    <w:p w14:paraId="355E661C" w14:textId="77777777" w:rsidR="00FA1ED4" w:rsidRDefault="00FA1ED4" w:rsidP="00122E74">
      <w:pPr>
        <w:ind w:left="576" w:hanging="576"/>
      </w:pPr>
    </w:p>
    <w:p w14:paraId="0180184B" w14:textId="77777777" w:rsidR="00DE67C1" w:rsidRDefault="00DE67C1">
      <w:r>
        <w:br w:type="page"/>
      </w:r>
    </w:p>
    <w:tbl>
      <w:tblPr>
        <w:tblStyle w:val="TableGrid"/>
        <w:tblW w:w="9990" w:type="dxa"/>
        <w:tblInd w:w="-522" w:type="dxa"/>
        <w:tblLayout w:type="fixed"/>
        <w:tblLook w:val="04A0" w:firstRow="1" w:lastRow="0" w:firstColumn="1" w:lastColumn="0" w:noHBand="0" w:noVBand="1"/>
      </w:tblPr>
      <w:tblGrid>
        <w:gridCol w:w="4860"/>
        <w:gridCol w:w="270"/>
        <w:gridCol w:w="1157"/>
        <w:gridCol w:w="1158"/>
        <w:gridCol w:w="1157"/>
        <w:gridCol w:w="1388"/>
      </w:tblGrid>
      <w:tr w:rsidR="00543BED" w14:paraId="5786A2CF" w14:textId="77777777" w:rsidTr="001855ED">
        <w:tc>
          <w:tcPr>
            <w:tcW w:w="9990" w:type="dxa"/>
            <w:gridSpan w:val="6"/>
            <w:tcBorders>
              <w:top w:val="nil"/>
              <w:left w:val="nil"/>
              <w:bottom w:val="single" w:sz="4" w:space="0" w:color="auto"/>
              <w:right w:val="nil"/>
            </w:tcBorders>
          </w:tcPr>
          <w:p w14:paraId="2A3099BD" w14:textId="77777777" w:rsidR="00351ED2" w:rsidRDefault="00DE6912" w:rsidP="00675A08">
            <w:r>
              <w:lastRenderedPageBreak/>
              <w:t>Table 1</w:t>
            </w:r>
          </w:p>
          <w:p w14:paraId="2586ACBF" w14:textId="77777777" w:rsidR="00EA0A97" w:rsidRDefault="00EA0A97" w:rsidP="00675A08"/>
          <w:p w14:paraId="3A9DEC7F" w14:textId="20F0C30F" w:rsidR="00351ED2" w:rsidRPr="007F12D2" w:rsidRDefault="00675A08" w:rsidP="00D87962">
            <w:pPr>
              <w:rPr>
                <w:i/>
              </w:rPr>
            </w:pPr>
            <w:r w:rsidRPr="007F12D2">
              <w:rPr>
                <w:i/>
              </w:rPr>
              <w:t xml:space="preserve"> Coding </w:t>
            </w:r>
            <w:r w:rsidR="00D87962">
              <w:rPr>
                <w:i/>
              </w:rPr>
              <w:t>Category</w:t>
            </w:r>
            <w:r w:rsidR="00D87962" w:rsidRPr="007F12D2">
              <w:rPr>
                <w:i/>
              </w:rPr>
              <w:t xml:space="preserve"> </w:t>
            </w:r>
            <w:r w:rsidR="007F12D2" w:rsidRPr="007F12D2">
              <w:rPr>
                <w:i/>
              </w:rPr>
              <w:t>I</w:t>
            </w:r>
            <w:r w:rsidRPr="007F12D2">
              <w:rPr>
                <w:i/>
              </w:rPr>
              <w:t xml:space="preserve">nterclass </w:t>
            </w:r>
            <w:r w:rsidR="007F12D2" w:rsidRPr="007F12D2">
              <w:rPr>
                <w:i/>
              </w:rPr>
              <w:t>C</w:t>
            </w:r>
            <w:r w:rsidRPr="007F12D2">
              <w:rPr>
                <w:i/>
              </w:rPr>
              <w:t xml:space="preserve">orrelations and </w:t>
            </w:r>
            <w:r w:rsidR="007F12D2" w:rsidRPr="007F12D2">
              <w:rPr>
                <w:i/>
              </w:rPr>
              <w:t>D</w:t>
            </w:r>
            <w:r w:rsidRPr="007F12D2">
              <w:rPr>
                <w:i/>
              </w:rPr>
              <w:t xml:space="preserve">escriptive </w:t>
            </w:r>
            <w:r w:rsidR="007F12D2" w:rsidRPr="007F12D2">
              <w:rPr>
                <w:i/>
              </w:rPr>
              <w:t>S</w:t>
            </w:r>
            <w:r w:rsidRPr="007F12D2">
              <w:rPr>
                <w:i/>
              </w:rPr>
              <w:t>tatistics</w:t>
            </w:r>
          </w:p>
        </w:tc>
      </w:tr>
      <w:tr w:rsidR="00543BED" w14:paraId="0FAF1315" w14:textId="77777777" w:rsidTr="00C14FFF">
        <w:tc>
          <w:tcPr>
            <w:tcW w:w="4860" w:type="dxa"/>
            <w:tcBorders>
              <w:left w:val="nil"/>
              <w:bottom w:val="single" w:sz="4" w:space="0" w:color="auto"/>
              <w:right w:val="nil"/>
            </w:tcBorders>
          </w:tcPr>
          <w:p w14:paraId="6320B91D" w14:textId="77777777" w:rsidR="00543BED" w:rsidRPr="007C55C1" w:rsidRDefault="00543BED" w:rsidP="00D87496">
            <w:pPr>
              <w:spacing w:line="360" w:lineRule="auto"/>
              <w:ind w:left="1512" w:hanging="1512"/>
              <w:rPr>
                <w:i/>
                <w:sz w:val="20"/>
                <w:szCs w:val="20"/>
              </w:rPr>
            </w:pPr>
          </w:p>
        </w:tc>
        <w:tc>
          <w:tcPr>
            <w:tcW w:w="270" w:type="dxa"/>
            <w:tcBorders>
              <w:left w:val="nil"/>
              <w:bottom w:val="single" w:sz="4" w:space="0" w:color="auto"/>
              <w:right w:val="nil"/>
            </w:tcBorders>
          </w:tcPr>
          <w:p w14:paraId="796A662C" w14:textId="77777777" w:rsidR="00543BED" w:rsidRDefault="00543BED" w:rsidP="00D87496">
            <w:pPr>
              <w:spacing w:line="360" w:lineRule="auto"/>
            </w:pPr>
          </w:p>
        </w:tc>
        <w:tc>
          <w:tcPr>
            <w:tcW w:w="1157" w:type="dxa"/>
            <w:tcBorders>
              <w:left w:val="nil"/>
              <w:bottom w:val="single" w:sz="4" w:space="0" w:color="auto"/>
              <w:right w:val="nil"/>
            </w:tcBorders>
          </w:tcPr>
          <w:p w14:paraId="01DEA19F" w14:textId="77777777" w:rsidR="00543BED" w:rsidRPr="00675A08" w:rsidRDefault="00543BED" w:rsidP="00D87496">
            <w:pPr>
              <w:spacing w:line="360" w:lineRule="auto"/>
              <w:jc w:val="center"/>
              <w:rPr>
                <w:i/>
              </w:rPr>
            </w:pPr>
            <w:r w:rsidRPr="00675A08">
              <w:rPr>
                <w:i/>
              </w:rPr>
              <w:t>ICC</w:t>
            </w:r>
          </w:p>
        </w:tc>
        <w:tc>
          <w:tcPr>
            <w:tcW w:w="1158" w:type="dxa"/>
            <w:tcBorders>
              <w:left w:val="nil"/>
              <w:bottom w:val="single" w:sz="4" w:space="0" w:color="auto"/>
              <w:right w:val="nil"/>
            </w:tcBorders>
          </w:tcPr>
          <w:p w14:paraId="54EAF926" w14:textId="77777777" w:rsidR="00543BED" w:rsidRPr="00675A08" w:rsidRDefault="00543BED" w:rsidP="00D87496">
            <w:pPr>
              <w:tabs>
                <w:tab w:val="left" w:pos="311"/>
              </w:tabs>
              <w:spacing w:line="360" w:lineRule="auto"/>
              <w:jc w:val="center"/>
              <w:rPr>
                <w:i/>
              </w:rPr>
            </w:pPr>
            <w:r w:rsidRPr="00675A08">
              <w:rPr>
                <w:i/>
              </w:rPr>
              <w:t>M</w:t>
            </w:r>
          </w:p>
        </w:tc>
        <w:tc>
          <w:tcPr>
            <w:tcW w:w="1157" w:type="dxa"/>
            <w:tcBorders>
              <w:left w:val="nil"/>
              <w:bottom w:val="single" w:sz="4" w:space="0" w:color="auto"/>
              <w:right w:val="nil"/>
            </w:tcBorders>
          </w:tcPr>
          <w:p w14:paraId="5564FCF9" w14:textId="77777777" w:rsidR="00543BED" w:rsidRPr="00675A08" w:rsidRDefault="00543BED" w:rsidP="00D87496">
            <w:pPr>
              <w:spacing w:line="360" w:lineRule="auto"/>
              <w:ind w:left="166" w:hanging="166"/>
              <w:jc w:val="center"/>
              <w:rPr>
                <w:i/>
              </w:rPr>
            </w:pPr>
            <w:r w:rsidRPr="00675A08">
              <w:rPr>
                <w:i/>
              </w:rPr>
              <w:t>SD</w:t>
            </w:r>
          </w:p>
        </w:tc>
        <w:tc>
          <w:tcPr>
            <w:tcW w:w="1388" w:type="dxa"/>
            <w:tcBorders>
              <w:left w:val="nil"/>
              <w:bottom w:val="single" w:sz="4" w:space="0" w:color="auto"/>
              <w:right w:val="nil"/>
            </w:tcBorders>
          </w:tcPr>
          <w:p w14:paraId="1E49C8F5" w14:textId="77777777" w:rsidR="00543BED" w:rsidRDefault="00543BED" w:rsidP="00D87496">
            <w:pPr>
              <w:spacing w:line="360" w:lineRule="auto"/>
              <w:jc w:val="center"/>
            </w:pPr>
          </w:p>
        </w:tc>
      </w:tr>
      <w:tr w:rsidR="00543BED" w14:paraId="1767712B" w14:textId="77777777" w:rsidTr="00C14FFF">
        <w:tc>
          <w:tcPr>
            <w:tcW w:w="4860" w:type="dxa"/>
            <w:tcBorders>
              <w:left w:val="nil"/>
              <w:bottom w:val="nil"/>
              <w:right w:val="nil"/>
            </w:tcBorders>
          </w:tcPr>
          <w:p w14:paraId="4A7BC952" w14:textId="77777777" w:rsidR="00351ED2" w:rsidRDefault="00351ED2" w:rsidP="00675A08">
            <w:pPr>
              <w:ind w:left="1512" w:hanging="1350"/>
              <w:rPr>
                <w:i/>
                <w:szCs w:val="24"/>
              </w:rPr>
            </w:pPr>
          </w:p>
          <w:p w14:paraId="09E72D94" w14:textId="4F77E952" w:rsidR="00543BED" w:rsidRPr="007F12D2" w:rsidRDefault="00D87496" w:rsidP="00D87962">
            <w:pPr>
              <w:ind w:left="1512" w:hanging="1350"/>
              <w:rPr>
                <w:szCs w:val="24"/>
              </w:rPr>
            </w:pPr>
            <w:r>
              <w:rPr>
                <w:szCs w:val="24"/>
              </w:rPr>
              <w:t xml:space="preserve">Emotional </w:t>
            </w:r>
            <w:r w:rsidR="00F6008E">
              <w:rPr>
                <w:szCs w:val="24"/>
              </w:rPr>
              <w:t xml:space="preserve">Content </w:t>
            </w:r>
            <w:r w:rsidR="00D87962">
              <w:rPr>
                <w:szCs w:val="24"/>
              </w:rPr>
              <w:t>Categories</w:t>
            </w:r>
          </w:p>
        </w:tc>
        <w:tc>
          <w:tcPr>
            <w:tcW w:w="270" w:type="dxa"/>
            <w:tcBorders>
              <w:left w:val="nil"/>
              <w:bottom w:val="nil"/>
              <w:right w:val="nil"/>
            </w:tcBorders>
          </w:tcPr>
          <w:p w14:paraId="04CC31A1" w14:textId="77777777" w:rsidR="00543BED" w:rsidRDefault="00543BED" w:rsidP="00946102"/>
        </w:tc>
        <w:tc>
          <w:tcPr>
            <w:tcW w:w="1157" w:type="dxa"/>
            <w:tcBorders>
              <w:left w:val="nil"/>
              <w:bottom w:val="nil"/>
              <w:right w:val="nil"/>
            </w:tcBorders>
          </w:tcPr>
          <w:p w14:paraId="28989D12" w14:textId="77777777" w:rsidR="00543BED" w:rsidRDefault="00543BED" w:rsidP="009C4B6F">
            <w:pPr>
              <w:jc w:val="center"/>
            </w:pPr>
          </w:p>
        </w:tc>
        <w:tc>
          <w:tcPr>
            <w:tcW w:w="1158" w:type="dxa"/>
            <w:tcBorders>
              <w:left w:val="nil"/>
              <w:bottom w:val="nil"/>
              <w:right w:val="nil"/>
            </w:tcBorders>
          </w:tcPr>
          <w:p w14:paraId="01CE7C22" w14:textId="77777777" w:rsidR="00543BED" w:rsidRDefault="00543BED" w:rsidP="009C4B6F">
            <w:pPr>
              <w:jc w:val="center"/>
            </w:pPr>
          </w:p>
        </w:tc>
        <w:tc>
          <w:tcPr>
            <w:tcW w:w="1157" w:type="dxa"/>
            <w:tcBorders>
              <w:left w:val="nil"/>
              <w:bottom w:val="nil"/>
              <w:right w:val="nil"/>
            </w:tcBorders>
          </w:tcPr>
          <w:p w14:paraId="697CC77E" w14:textId="77777777" w:rsidR="00543BED" w:rsidRDefault="00543BED" w:rsidP="009C4B6F">
            <w:pPr>
              <w:jc w:val="center"/>
            </w:pPr>
          </w:p>
        </w:tc>
        <w:tc>
          <w:tcPr>
            <w:tcW w:w="1388" w:type="dxa"/>
            <w:tcBorders>
              <w:left w:val="nil"/>
              <w:bottom w:val="nil"/>
              <w:right w:val="nil"/>
            </w:tcBorders>
          </w:tcPr>
          <w:p w14:paraId="72FE0DE1" w14:textId="77777777" w:rsidR="00351ED2" w:rsidRDefault="00351ED2" w:rsidP="009C4B6F">
            <w:pPr>
              <w:jc w:val="center"/>
            </w:pPr>
          </w:p>
        </w:tc>
      </w:tr>
      <w:tr w:rsidR="00543BED" w14:paraId="502FB50B" w14:textId="77777777" w:rsidTr="00C14FFF">
        <w:tc>
          <w:tcPr>
            <w:tcW w:w="4860" w:type="dxa"/>
            <w:tcBorders>
              <w:top w:val="nil"/>
              <w:left w:val="nil"/>
              <w:bottom w:val="nil"/>
              <w:right w:val="nil"/>
            </w:tcBorders>
          </w:tcPr>
          <w:p w14:paraId="766D3EFB" w14:textId="77777777" w:rsidR="00543BED" w:rsidRPr="00543BED" w:rsidRDefault="001542E1" w:rsidP="00D87496">
            <w:pPr>
              <w:tabs>
                <w:tab w:val="left" w:pos="2232"/>
              </w:tabs>
              <w:ind w:left="972" w:hanging="270"/>
              <w:rPr>
                <w:szCs w:val="24"/>
              </w:rPr>
            </w:pPr>
            <w:r>
              <w:rPr>
                <w:szCs w:val="24"/>
              </w:rPr>
              <w:t>Positive Valence</w:t>
            </w:r>
          </w:p>
        </w:tc>
        <w:tc>
          <w:tcPr>
            <w:tcW w:w="270" w:type="dxa"/>
            <w:tcBorders>
              <w:top w:val="nil"/>
              <w:left w:val="nil"/>
              <w:bottom w:val="nil"/>
              <w:right w:val="nil"/>
            </w:tcBorders>
          </w:tcPr>
          <w:p w14:paraId="58162482" w14:textId="77777777" w:rsidR="00543BED" w:rsidRDefault="00543BED" w:rsidP="00946102"/>
        </w:tc>
        <w:tc>
          <w:tcPr>
            <w:tcW w:w="1157" w:type="dxa"/>
            <w:tcBorders>
              <w:top w:val="nil"/>
              <w:left w:val="nil"/>
              <w:bottom w:val="nil"/>
              <w:right w:val="nil"/>
            </w:tcBorders>
          </w:tcPr>
          <w:p w14:paraId="64837CD8" w14:textId="77777777" w:rsidR="00543BED" w:rsidRDefault="00F6008E" w:rsidP="007B3232">
            <w:pPr>
              <w:jc w:val="center"/>
            </w:pPr>
            <w:r>
              <w:t>.82</w:t>
            </w:r>
            <w:r w:rsidR="00675A08">
              <w:t>*</w:t>
            </w:r>
          </w:p>
        </w:tc>
        <w:tc>
          <w:tcPr>
            <w:tcW w:w="1158" w:type="dxa"/>
            <w:tcBorders>
              <w:top w:val="nil"/>
              <w:left w:val="nil"/>
              <w:bottom w:val="nil"/>
              <w:right w:val="nil"/>
            </w:tcBorders>
          </w:tcPr>
          <w:p w14:paraId="235960B5" w14:textId="77777777" w:rsidR="00543BED" w:rsidRDefault="00F6008E" w:rsidP="007B3232">
            <w:pPr>
              <w:jc w:val="center"/>
            </w:pPr>
            <w:r>
              <w:t>2.39</w:t>
            </w:r>
          </w:p>
          <w:p w14:paraId="36DFCB5C" w14:textId="77777777" w:rsidR="00543BED" w:rsidRPr="00CD4743" w:rsidRDefault="00543BED" w:rsidP="007B3232">
            <w:pPr>
              <w:jc w:val="center"/>
            </w:pPr>
          </w:p>
        </w:tc>
        <w:tc>
          <w:tcPr>
            <w:tcW w:w="1157" w:type="dxa"/>
            <w:tcBorders>
              <w:top w:val="nil"/>
              <w:left w:val="nil"/>
              <w:bottom w:val="nil"/>
              <w:right w:val="nil"/>
            </w:tcBorders>
          </w:tcPr>
          <w:p w14:paraId="42894676" w14:textId="77777777" w:rsidR="00543BED" w:rsidRDefault="00F6008E" w:rsidP="007B3232">
            <w:pPr>
              <w:jc w:val="center"/>
            </w:pPr>
            <w:r>
              <w:t>0.91</w:t>
            </w:r>
          </w:p>
        </w:tc>
        <w:tc>
          <w:tcPr>
            <w:tcW w:w="1388" w:type="dxa"/>
            <w:tcBorders>
              <w:top w:val="nil"/>
              <w:left w:val="nil"/>
              <w:bottom w:val="nil"/>
              <w:right w:val="nil"/>
            </w:tcBorders>
          </w:tcPr>
          <w:p w14:paraId="276105FE" w14:textId="77777777" w:rsidR="00543BED" w:rsidRDefault="00543BED" w:rsidP="007B3232">
            <w:pPr>
              <w:jc w:val="center"/>
            </w:pPr>
          </w:p>
        </w:tc>
      </w:tr>
      <w:tr w:rsidR="00543BED" w14:paraId="7CA03409" w14:textId="77777777" w:rsidTr="00C14FFF">
        <w:tc>
          <w:tcPr>
            <w:tcW w:w="4860" w:type="dxa"/>
            <w:tcBorders>
              <w:top w:val="nil"/>
              <w:left w:val="nil"/>
              <w:bottom w:val="nil"/>
              <w:right w:val="nil"/>
            </w:tcBorders>
          </w:tcPr>
          <w:p w14:paraId="514143AF" w14:textId="77777777" w:rsidR="00543BED" w:rsidRDefault="001542E1" w:rsidP="00FE3AB9">
            <w:pPr>
              <w:ind w:left="882" w:hanging="180"/>
              <w:rPr>
                <w:szCs w:val="24"/>
              </w:rPr>
            </w:pPr>
            <w:r>
              <w:rPr>
                <w:szCs w:val="24"/>
              </w:rPr>
              <w:t>Negative Valence</w:t>
            </w:r>
          </w:p>
          <w:p w14:paraId="4FCE5E80" w14:textId="77777777" w:rsidR="001542E1" w:rsidRPr="00543BED" w:rsidRDefault="001542E1" w:rsidP="00FE3AB9">
            <w:pPr>
              <w:ind w:left="882" w:hanging="180"/>
              <w:rPr>
                <w:szCs w:val="24"/>
              </w:rPr>
            </w:pPr>
          </w:p>
        </w:tc>
        <w:tc>
          <w:tcPr>
            <w:tcW w:w="270" w:type="dxa"/>
            <w:tcBorders>
              <w:top w:val="nil"/>
              <w:left w:val="nil"/>
              <w:bottom w:val="nil"/>
              <w:right w:val="nil"/>
            </w:tcBorders>
          </w:tcPr>
          <w:p w14:paraId="3B0C2ABE" w14:textId="77777777" w:rsidR="00543BED" w:rsidRDefault="00543BED" w:rsidP="00946102"/>
        </w:tc>
        <w:tc>
          <w:tcPr>
            <w:tcW w:w="1157" w:type="dxa"/>
            <w:tcBorders>
              <w:top w:val="nil"/>
              <w:left w:val="nil"/>
              <w:bottom w:val="nil"/>
              <w:right w:val="nil"/>
            </w:tcBorders>
          </w:tcPr>
          <w:p w14:paraId="5CD0977C" w14:textId="77777777" w:rsidR="00543BED" w:rsidRDefault="00F6008E" w:rsidP="007B3232">
            <w:pPr>
              <w:jc w:val="center"/>
            </w:pPr>
            <w:r>
              <w:t>.85</w:t>
            </w:r>
            <w:r w:rsidR="00675A08">
              <w:t>*</w:t>
            </w:r>
          </w:p>
        </w:tc>
        <w:tc>
          <w:tcPr>
            <w:tcW w:w="1158" w:type="dxa"/>
            <w:tcBorders>
              <w:top w:val="nil"/>
              <w:left w:val="nil"/>
              <w:bottom w:val="nil"/>
              <w:right w:val="nil"/>
            </w:tcBorders>
          </w:tcPr>
          <w:p w14:paraId="49504F6E" w14:textId="77777777" w:rsidR="00543BED" w:rsidRDefault="00F6008E" w:rsidP="00F6008E">
            <w:pPr>
              <w:jc w:val="center"/>
            </w:pPr>
            <w:r>
              <w:t>1</w:t>
            </w:r>
            <w:r w:rsidR="00543BED">
              <w:t>.</w:t>
            </w:r>
            <w:r>
              <w:t>5</w:t>
            </w:r>
            <w:r w:rsidR="00543BED">
              <w:t>3</w:t>
            </w:r>
          </w:p>
        </w:tc>
        <w:tc>
          <w:tcPr>
            <w:tcW w:w="1157" w:type="dxa"/>
            <w:tcBorders>
              <w:top w:val="nil"/>
              <w:left w:val="nil"/>
              <w:bottom w:val="nil"/>
              <w:right w:val="nil"/>
            </w:tcBorders>
          </w:tcPr>
          <w:p w14:paraId="29041191" w14:textId="77777777" w:rsidR="00543BED" w:rsidRDefault="00F6008E" w:rsidP="007B3232">
            <w:pPr>
              <w:jc w:val="center"/>
            </w:pPr>
            <w:r>
              <w:t>0.70</w:t>
            </w:r>
          </w:p>
        </w:tc>
        <w:tc>
          <w:tcPr>
            <w:tcW w:w="1388" w:type="dxa"/>
            <w:tcBorders>
              <w:top w:val="nil"/>
              <w:left w:val="nil"/>
              <w:bottom w:val="nil"/>
              <w:right w:val="nil"/>
            </w:tcBorders>
          </w:tcPr>
          <w:p w14:paraId="1C22C304" w14:textId="77777777" w:rsidR="00543BED" w:rsidRDefault="00543BED" w:rsidP="007B3232">
            <w:pPr>
              <w:jc w:val="center"/>
            </w:pPr>
          </w:p>
        </w:tc>
      </w:tr>
      <w:tr w:rsidR="00543BED" w14:paraId="54007932" w14:textId="77777777" w:rsidTr="00C14FFF">
        <w:tc>
          <w:tcPr>
            <w:tcW w:w="4860" w:type="dxa"/>
            <w:tcBorders>
              <w:top w:val="nil"/>
              <w:left w:val="nil"/>
              <w:bottom w:val="nil"/>
              <w:right w:val="nil"/>
            </w:tcBorders>
          </w:tcPr>
          <w:p w14:paraId="28F93754" w14:textId="77777777" w:rsidR="00543BED" w:rsidRPr="00543BED" w:rsidRDefault="001542E1" w:rsidP="00F71DD5">
            <w:pPr>
              <w:tabs>
                <w:tab w:val="left" w:pos="1062"/>
              </w:tabs>
              <w:ind w:left="1062" w:hanging="360"/>
              <w:rPr>
                <w:szCs w:val="24"/>
              </w:rPr>
            </w:pPr>
            <w:r>
              <w:rPr>
                <w:noProof/>
              </w:rPr>
              <w:t>Emotional Ambivalence</w:t>
            </w:r>
          </w:p>
        </w:tc>
        <w:tc>
          <w:tcPr>
            <w:tcW w:w="270" w:type="dxa"/>
            <w:tcBorders>
              <w:top w:val="nil"/>
              <w:left w:val="nil"/>
              <w:bottom w:val="nil"/>
              <w:right w:val="nil"/>
            </w:tcBorders>
          </w:tcPr>
          <w:p w14:paraId="7BCC674E" w14:textId="77777777" w:rsidR="00543BED" w:rsidRDefault="00543BED" w:rsidP="00946102"/>
        </w:tc>
        <w:tc>
          <w:tcPr>
            <w:tcW w:w="1157" w:type="dxa"/>
            <w:tcBorders>
              <w:top w:val="nil"/>
              <w:left w:val="nil"/>
              <w:bottom w:val="nil"/>
              <w:right w:val="nil"/>
            </w:tcBorders>
          </w:tcPr>
          <w:p w14:paraId="6BA41AB6" w14:textId="77777777" w:rsidR="00543BED" w:rsidRDefault="00F6008E" w:rsidP="007B3232">
            <w:pPr>
              <w:jc w:val="center"/>
            </w:pPr>
            <w:r>
              <w:t>.7</w:t>
            </w:r>
            <w:r w:rsidR="00543BED">
              <w:t>3</w:t>
            </w:r>
            <w:r w:rsidR="00675A08">
              <w:t>*</w:t>
            </w:r>
          </w:p>
        </w:tc>
        <w:tc>
          <w:tcPr>
            <w:tcW w:w="1158" w:type="dxa"/>
            <w:tcBorders>
              <w:top w:val="nil"/>
              <w:left w:val="nil"/>
              <w:bottom w:val="nil"/>
              <w:right w:val="nil"/>
            </w:tcBorders>
          </w:tcPr>
          <w:p w14:paraId="11A1B03B" w14:textId="77777777" w:rsidR="00543BED" w:rsidRDefault="00F6008E" w:rsidP="007B3232">
            <w:pPr>
              <w:jc w:val="center"/>
            </w:pPr>
            <w:r>
              <w:t>1.37</w:t>
            </w:r>
          </w:p>
        </w:tc>
        <w:tc>
          <w:tcPr>
            <w:tcW w:w="1157" w:type="dxa"/>
            <w:tcBorders>
              <w:top w:val="nil"/>
              <w:left w:val="nil"/>
              <w:bottom w:val="nil"/>
              <w:right w:val="nil"/>
            </w:tcBorders>
          </w:tcPr>
          <w:p w14:paraId="02F28182" w14:textId="77777777" w:rsidR="00543BED" w:rsidRDefault="00F6008E" w:rsidP="007B3232">
            <w:pPr>
              <w:jc w:val="center"/>
            </w:pPr>
            <w:r>
              <w:t>0.56</w:t>
            </w:r>
          </w:p>
        </w:tc>
        <w:tc>
          <w:tcPr>
            <w:tcW w:w="1388" w:type="dxa"/>
            <w:tcBorders>
              <w:top w:val="nil"/>
              <w:left w:val="nil"/>
              <w:bottom w:val="nil"/>
              <w:right w:val="nil"/>
            </w:tcBorders>
          </w:tcPr>
          <w:p w14:paraId="2C5F02F0" w14:textId="77777777" w:rsidR="00543BED" w:rsidRDefault="00543BED" w:rsidP="007B3232">
            <w:pPr>
              <w:jc w:val="center"/>
            </w:pPr>
          </w:p>
        </w:tc>
      </w:tr>
      <w:tr w:rsidR="00351ED2" w14:paraId="5CB269D9" w14:textId="77777777" w:rsidTr="00C14FFF">
        <w:tc>
          <w:tcPr>
            <w:tcW w:w="4860" w:type="dxa"/>
            <w:tcBorders>
              <w:top w:val="nil"/>
              <w:left w:val="nil"/>
              <w:bottom w:val="nil"/>
              <w:right w:val="nil"/>
            </w:tcBorders>
          </w:tcPr>
          <w:p w14:paraId="31365300" w14:textId="77777777" w:rsidR="00351ED2" w:rsidRPr="00543BED" w:rsidRDefault="00351ED2" w:rsidP="00CD4743">
            <w:pPr>
              <w:tabs>
                <w:tab w:val="left" w:pos="1062"/>
              </w:tabs>
              <w:ind w:left="1062" w:hanging="360"/>
              <w:rPr>
                <w:szCs w:val="24"/>
              </w:rPr>
            </w:pPr>
          </w:p>
        </w:tc>
        <w:tc>
          <w:tcPr>
            <w:tcW w:w="270" w:type="dxa"/>
            <w:tcBorders>
              <w:top w:val="nil"/>
              <w:left w:val="nil"/>
              <w:bottom w:val="nil"/>
              <w:right w:val="nil"/>
            </w:tcBorders>
          </w:tcPr>
          <w:p w14:paraId="0C1AE6B1" w14:textId="77777777" w:rsidR="00351ED2" w:rsidRDefault="00351ED2" w:rsidP="00946102"/>
        </w:tc>
        <w:tc>
          <w:tcPr>
            <w:tcW w:w="1157" w:type="dxa"/>
            <w:tcBorders>
              <w:top w:val="nil"/>
              <w:left w:val="nil"/>
              <w:bottom w:val="nil"/>
              <w:right w:val="nil"/>
            </w:tcBorders>
          </w:tcPr>
          <w:p w14:paraId="7F10D6E9" w14:textId="77777777" w:rsidR="00351ED2" w:rsidRDefault="00351ED2" w:rsidP="007B3232">
            <w:pPr>
              <w:jc w:val="center"/>
            </w:pPr>
          </w:p>
        </w:tc>
        <w:tc>
          <w:tcPr>
            <w:tcW w:w="1158" w:type="dxa"/>
            <w:tcBorders>
              <w:top w:val="nil"/>
              <w:left w:val="nil"/>
              <w:bottom w:val="nil"/>
              <w:right w:val="nil"/>
            </w:tcBorders>
          </w:tcPr>
          <w:p w14:paraId="441194D7" w14:textId="77777777" w:rsidR="00351ED2" w:rsidRDefault="00351ED2" w:rsidP="007B3232">
            <w:pPr>
              <w:jc w:val="center"/>
            </w:pPr>
          </w:p>
        </w:tc>
        <w:tc>
          <w:tcPr>
            <w:tcW w:w="1157" w:type="dxa"/>
            <w:tcBorders>
              <w:top w:val="nil"/>
              <w:left w:val="nil"/>
              <w:bottom w:val="nil"/>
              <w:right w:val="nil"/>
            </w:tcBorders>
          </w:tcPr>
          <w:p w14:paraId="7187E108" w14:textId="77777777" w:rsidR="00351ED2" w:rsidRDefault="00351ED2" w:rsidP="007B3232">
            <w:pPr>
              <w:jc w:val="center"/>
            </w:pPr>
          </w:p>
        </w:tc>
        <w:tc>
          <w:tcPr>
            <w:tcW w:w="1388" w:type="dxa"/>
            <w:tcBorders>
              <w:top w:val="nil"/>
              <w:left w:val="nil"/>
              <w:bottom w:val="nil"/>
              <w:right w:val="nil"/>
            </w:tcBorders>
          </w:tcPr>
          <w:p w14:paraId="04D0E373" w14:textId="77777777" w:rsidR="00351ED2" w:rsidRDefault="00351ED2" w:rsidP="007B3232">
            <w:pPr>
              <w:jc w:val="center"/>
            </w:pPr>
          </w:p>
        </w:tc>
      </w:tr>
      <w:tr w:rsidR="00543BED" w14:paraId="0CD775F1" w14:textId="77777777" w:rsidTr="00C14FFF">
        <w:tc>
          <w:tcPr>
            <w:tcW w:w="4860" w:type="dxa"/>
            <w:tcBorders>
              <w:top w:val="nil"/>
              <w:left w:val="nil"/>
              <w:bottom w:val="nil"/>
              <w:right w:val="nil"/>
            </w:tcBorders>
          </w:tcPr>
          <w:p w14:paraId="43939714" w14:textId="463EC495" w:rsidR="00543BED" w:rsidRPr="007F12D2" w:rsidRDefault="00543BED" w:rsidP="00D87962">
            <w:pPr>
              <w:tabs>
                <w:tab w:val="left" w:pos="1062"/>
              </w:tabs>
              <w:ind w:left="1062" w:hanging="810"/>
              <w:rPr>
                <w:szCs w:val="24"/>
              </w:rPr>
            </w:pPr>
            <w:r w:rsidRPr="007F12D2">
              <w:rPr>
                <w:szCs w:val="24"/>
              </w:rPr>
              <w:t>Interpersonal Content</w:t>
            </w:r>
            <w:r w:rsidR="00F6008E">
              <w:rPr>
                <w:szCs w:val="24"/>
              </w:rPr>
              <w:t xml:space="preserve"> </w:t>
            </w:r>
            <w:r w:rsidR="00D87962">
              <w:rPr>
                <w:szCs w:val="24"/>
              </w:rPr>
              <w:t>Categories</w:t>
            </w:r>
          </w:p>
        </w:tc>
        <w:tc>
          <w:tcPr>
            <w:tcW w:w="270" w:type="dxa"/>
            <w:tcBorders>
              <w:top w:val="nil"/>
              <w:left w:val="nil"/>
              <w:bottom w:val="nil"/>
              <w:right w:val="nil"/>
            </w:tcBorders>
          </w:tcPr>
          <w:p w14:paraId="1017ADAA" w14:textId="77777777" w:rsidR="00543BED" w:rsidRDefault="00543BED" w:rsidP="00675A08">
            <w:pPr>
              <w:jc w:val="center"/>
            </w:pPr>
          </w:p>
        </w:tc>
        <w:tc>
          <w:tcPr>
            <w:tcW w:w="1157" w:type="dxa"/>
            <w:tcBorders>
              <w:top w:val="nil"/>
              <w:left w:val="nil"/>
              <w:bottom w:val="nil"/>
              <w:right w:val="nil"/>
            </w:tcBorders>
          </w:tcPr>
          <w:p w14:paraId="776E0C99" w14:textId="77777777" w:rsidR="00543BED" w:rsidRDefault="00543BED" w:rsidP="00675A08">
            <w:pPr>
              <w:jc w:val="center"/>
            </w:pPr>
          </w:p>
        </w:tc>
        <w:tc>
          <w:tcPr>
            <w:tcW w:w="1158" w:type="dxa"/>
            <w:tcBorders>
              <w:top w:val="nil"/>
              <w:left w:val="nil"/>
              <w:bottom w:val="nil"/>
              <w:right w:val="nil"/>
            </w:tcBorders>
          </w:tcPr>
          <w:p w14:paraId="53E6527A" w14:textId="77777777" w:rsidR="00543BED" w:rsidRDefault="00543BED" w:rsidP="00946102"/>
        </w:tc>
        <w:tc>
          <w:tcPr>
            <w:tcW w:w="1157" w:type="dxa"/>
            <w:tcBorders>
              <w:top w:val="nil"/>
              <w:left w:val="nil"/>
              <w:bottom w:val="nil"/>
              <w:right w:val="nil"/>
            </w:tcBorders>
          </w:tcPr>
          <w:p w14:paraId="45F6E6C4" w14:textId="77777777" w:rsidR="00543BED" w:rsidRDefault="00543BED" w:rsidP="00946102"/>
        </w:tc>
        <w:tc>
          <w:tcPr>
            <w:tcW w:w="1388" w:type="dxa"/>
            <w:tcBorders>
              <w:top w:val="nil"/>
              <w:left w:val="nil"/>
              <w:bottom w:val="nil"/>
              <w:right w:val="nil"/>
            </w:tcBorders>
          </w:tcPr>
          <w:p w14:paraId="2BFFBBE1" w14:textId="77777777" w:rsidR="00351ED2" w:rsidRDefault="00351ED2" w:rsidP="00543BED">
            <w:pPr>
              <w:ind w:left="167" w:hanging="167"/>
              <w:jc w:val="center"/>
            </w:pPr>
          </w:p>
        </w:tc>
      </w:tr>
      <w:tr w:rsidR="00543BED" w14:paraId="71FC0A5C" w14:textId="77777777" w:rsidTr="00C14FFF">
        <w:tc>
          <w:tcPr>
            <w:tcW w:w="4860" w:type="dxa"/>
            <w:tcBorders>
              <w:top w:val="nil"/>
              <w:left w:val="nil"/>
              <w:bottom w:val="nil"/>
              <w:right w:val="nil"/>
            </w:tcBorders>
          </w:tcPr>
          <w:p w14:paraId="40D451CD" w14:textId="77777777" w:rsidR="00543BED" w:rsidRDefault="00543BED" w:rsidP="001542E1">
            <w:pPr>
              <w:tabs>
                <w:tab w:val="left" w:pos="1062"/>
              </w:tabs>
              <w:ind w:left="1062" w:hanging="360"/>
              <w:rPr>
                <w:szCs w:val="24"/>
              </w:rPr>
            </w:pPr>
            <w:r w:rsidRPr="00543BED">
              <w:rPr>
                <w:szCs w:val="24"/>
              </w:rPr>
              <w:t xml:space="preserve"> </w:t>
            </w:r>
            <w:r w:rsidR="001542E1">
              <w:rPr>
                <w:szCs w:val="24"/>
              </w:rPr>
              <w:t>Sociality</w:t>
            </w:r>
          </w:p>
          <w:p w14:paraId="2C53089B" w14:textId="77777777" w:rsidR="001542E1" w:rsidRPr="00543BED" w:rsidRDefault="001542E1" w:rsidP="001542E1">
            <w:pPr>
              <w:tabs>
                <w:tab w:val="left" w:pos="1062"/>
              </w:tabs>
              <w:ind w:left="1062" w:hanging="360"/>
              <w:rPr>
                <w:szCs w:val="24"/>
              </w:rPr>
            </w:pPr>
          </w:p>
        </w:tc>
        <w:tc>
          <w:tcPr>
            <w:tcW w:w="270" w:type="dxa"/>
            <w:tcBorders>
              <w:top w:val="nil"/>
              <w:left w:val="nil"/>
              <w:bottom w:val="nil"/>
              <w:right w:val="nil"/>
            </w:tcBorders>
          </w:tcPr>
          <w:p w14:paraId="087DE1B4" w14:textId="77777777" w:rsidR="00543BED" w:rsidRDefault="00543BED" w:rsidP="00675A08">
            <w:pPr>
              <w:jc w:val="center"/>
            </w:pPr>
          </w:p>
        </w:tc>
        <w:tc>
          <w:tcPr>
            <w:tcW w:w="1157" w:type="dxa"/>
            <w:tcBorders>
              <w:top w:val="nil"/>
              <w:left w:val="nil"/>
              <w:bottom w:val="nil"/>
              <w:right w:val="nil"/>
            </w:tcBorders>
          </w:tcPr>
          <w:p w14:paraId="60485D20" w14:textId="77777777" w:rsidR="00543BED" w:rsidRDefault="00543BED" w:rsidP="00675A08">
            <w:pPr>
              <w:jc w:val="center"/>
            </w:pPr>
            <w:r>
              <w:t>.80</w:t>
            </w:r>
            <w:r w:rsidR="00675A08">
              <w:t>*</w:t>
            </w:r>
          </w:p>
        </w:tc>
        <w:tc>
          <w:tcPr>
            <w:tcW w:w="1158" w:type="dxa"/>
            <w:tcBorders>
              <w:top w:val="nil"/>
              <w:left w:val="nil"/>
              <w:bottom w:val="nil"/>
              <w:right w:val="nil"/>
            </w:tcBorders>
          </w:tcPr>
          <w:p w14:paraId="5329914E" w14:textId="77777777" w:rsidR="00543BED" w:rsidRDefault="00F6008E" w:rsidP="00F6008E">
            <w:pPr>
              <w:jc w:val="center"/>
            </w:pPr>
            <w:r>
              <w:t>2</w:t>
            </w:r>
            <w:r w:rsidR="00543BED">
              <w:t>.</w:t>
            </w:r>
            <w:r>
              <w:t>66</w:t>
            </w:r>
          </w:p>
        </w:tc>
        <w:tc>
          <w:tcPr>
            <w:tcW w:w="1157" w:type="dxa"/>
            <w:tcBorders>
              <w:top w:val="nil"/>
              <w:left w:val="nil"/>
              <w:bottom w:val="nil"/>
              <w:right w:val="nil"/>
            </w:tcBorders>
          </w:tcPr>
          <w:p w14:paraId="7CB840C3" w14:textId="77777777" w:rsidR="00543BED" w:rsidRDefault="00F6008E" w:rsidP="00F6008E">
            <w:pPr>
              <w:jc w:val="center"/>
            </w:pPr>
            <w:r>
              <w:t>1</w:t>
            </w:r>
            <w:r w:rsidR="00543BED">
              <w:t>.</w:t>
            </w:r>
            <w:r>
              <w:t>65</w:t>
            </w:r>
          </w:p>
        </w:tc>
        <w:tc>
          <w:tcPr>
            <w:tcW w:w="1388" w:type="dxa"/>
            <w:tcBorders>
              <w:top w:val="nil"/>
              <w:left w:val="nil"/>
              <w:bottom w:val="nil"/>
              <w:right w:val="nil"/>
            </w:tcBorders>
          </w:tcPr>
          <w:p w14:paraId="43997A77" w14:textId="77777777" w:rsidR="00543BED" w:rsidRDefault="00543BED" w:rsidP="00543BED">
            <w:pPr>
              <w:jc w:val="center"/>
            </w:pPr>
          </w:p>
        </w:tc>
      </w:tr>
      <w:tr w:rsidR="00543BED" w14:paraId="59424D32" w14:textId="77777777" w:rsidTr="00C14FFF">
        <w:tc>
          <w:tcPr>
            <w:tcW w:w="4860" w:type="dxa"/>
            <w:tcBorders>
              <w:top w:val="nil"/>
              <w:left w:val="nil"/>
              <w:bottom w:val="nil"/>
              <w:right w:val="nil"/>
            </w:tcBorders>
          </w:tcPr>
          <w:p w14:paraId="6D26512C" w14:textId="77777777" w:rsidR="00543BED" w:rsidRPr="00543BED" w:rsidRDefault="00F6008E" w:rsidP="001542E1">
            <w:pPr>
              <w:tabs>
                <w:tab w:val="left" w:pos="1062"/>
              </w:tabs>
              <w:ind w:left="1062" w:hanging="360"/>
              <w:rPr>
                <w:szCs w:val="24"/>
              </w:rPr>
            </w:pPr>
            <w:r>
              <w:rPr>
                <w:szCs w:val="24"/>
              </w:rPr>
              <w:t>Attachment Content</w:t>
            </w:r>
          </w:p>
        </w:tc>
        <w:tc>
          <w:tcPr>
            <w:tcW w:w="270" w:type="dxa"/>
            <w:tcBorders>
              <w:top w:val="nil"/>
              <w:left w:val="nil"/>
              <w:bottom w:val="nil"/>
              <w:right w:val="nil"/>
            </w:tcBorders>
          </w:tcPr>
          <w:p w14:paraId="7204F899" w14:textId="77777777" w:rsidR="00543BED" w:rsidRDefault="00543BED" w:rsidP="00675A08">
            <w:pPr>
              <w:jc w:val="center"/>
            </w:pPr>
          </w:p>
        </w:tc>
        <w:tc>
          <w:tcPr>
            <w:tcW w:w="1157" w:type="dxa"/>
            <w:tcBorders>
              <w:top w:val="nil"/>
              <w:left w:val="nil"/>
              <w:bottom w:val="nil"/>
              <w:right w:val="nil"/>
            </w:tcBorders>
          </w:tcPr>
          <w:p w14:paraId="43C1E9E9" w14:textId="77777777" w:rsidR="00543BED" w:rsidRDefault="00F6008E" w:rsidP="00675A08">
            <w:pPr>
              <w:jc w:val="center"/>
            </w:pPr>
            <w:r>
              <w:t>.8</w:t>
            </w:r>
            <w:r w:rsidR="00E05D04">
              <w:t>1</w:t>
            </w:r>
            <w:r w:rsidR="00675A08">
              <w:t>*</w:t>
            </w:r>
          </w:p>
        </w:tc>
        <w:tc>
          <w:tcPr>
            <w:tcW w:w="1158" w:type="dxa"/>
            <w:tcBorders>
              <w:top w:val="nil"/>
              <w:left w:val="nil"/>
              <w:bottom w:val="nil"/>
              <w:right w:val="nil"/>
            </w:tcBorders>
          </w:tcPr>
          <w:p w14:paraId="013771E1" w14:textId="77777777" w:rsidR="00543BED" w:rsidRDefault="00543BED" w:rsidP="00F6008E">
            <w:pPr>
              <w:jc w:val="center"/>
            </w:pPr>
            <w:r>
              <w:t>1.</w:t>
            </w:r>
            <w:r w:rsidR="00F6008E">
              <w:t>76</w:t>
            </w:r>
          </w:p>
        </w:tc>
        <w:tc>
          <w:tcPr>
            <w:tcW w:w="1157" w:type="dxa"/>
            <w:tcBorders>
              <w:top w:val="nil"/>
              <w:left w:val="nil"/>
              <w:bottom w:val="nil"/>
              <w:right w:val="nil"/>
            </w:tcBorders>
          </w:tcPr>
          <w:p w14:paraId="47187D3C" w14:textId="77777777" w:rsidR="00543BED" w:rsidRDefault="00F6008E" w:rsidP="00F6008E">
            <w:pPr>
              <w:jc w:val="center"/>
            </w:pPr>
            <w:r>
              <w:t>0</w:t>
            </w:r>
            <w:r w:rsidR="00543BED">
              <w:t>.</w:t>
            </w:r>
            <w:r>
              <w:t>96</w:t>
            </w:r>
          </w:p>
        </w:tc>
        <w:tc>
          <w:tcPr>
            <w:tcW w:w="1388" w:type="dxa"/>
            <w:tcBorders>
              <w:top w:val="nil"/>
              <w:left w:val="nil"/>
              <w:bottom w:val="nil"/>
              <w:right w:val="nil"/>
            </w:tcBorders>
          </w:tcPr>
          <w:p w14:paraId="11893EFE" w14:textId="77777777" w:rsidR="00543BED" w:rsidRDefault="00543BED" w:rsidP="00543BED">
            <w:pPr>
              <w:jc w:val="center"/>
            </w:pPr>
          </w:p>
        </w:tc>
      </w:tr>
      <w:tr w:rsidR="001855ED" w14:paraId="4491ECC4" w14:textId="77777777" w:rsidTr="00C14FFF">
        <w:tc>
          <w:tcPr>
            <w:tcW w:w="4860" w:type="dxa"/>
            <w:tcBorders>
              <w:top w:val="nil"/>
              <w:left w:val="nil"/>
              <w:bottom w:val="nil"/>
              <w:right w:val="nil"/>
            </w:tcBorders>
          </w:tcPr>
          <w:p w14:paraId="5F985679" w14:textId="77777777" w:rsidR="001855ED" w:rsidRDefault="001855ED" w:rsidP="001855ED">
            <w:pPr>
              <w:ind w:left="252"/>
              <w:rPr>
                <w:szCs w:val="24"/>
              </w:rPr>
            </w:pPr>
            <w:r>
              <w:rPr>
                <w:szCs w:val="24"/>
              </w:rPr>
              <w:t>Agency</w:t>
            </w:r>
          </w:p>
        </w:tc>
        <w:tc>
          <w:tcPr>
            <w:tcW w:w="270" w:type="dxa"/>
            <w:tcBorders>
              <w:top w:val="nil"/>
              <w:left w:val="nil"/>
              <w:bottom w:val="nil"/>
              <w:right w:val="nil"/>
            </w:tcBorders>
          </w:tcPr>
          <w:p w14:paraId="723A3B97" w14:textId="77777777" w:rsidR="001855ED" w:rsidRDefault="001855ED" w:rsidP="00675A08">
            <w:pPr>
              <w:jc w:val="center"/>
            </w:pPr>
          </w:p>
        </w:tc>
        <w:tc>
          <w:tcPr>
            <w:tcW w:w="1157" w:type="dxa"/>
            <w:tcBorders>
              <w:top w:val="nil"/>
              <w:left w:val="nil"/>
              <w:bottom w:val="nil"/>
              <w:right w:val="nil"/>
            </w:tcBorders>
          </w:tcPr>
          <w:p w14:paraId="3F0D15AE" w14:textId="77777777" w:rsidR="001855ED" w:rsidRDefault="001855ED" w:rsidP="001855ED">
            <w:pPr>
              <w:jc w:val="center"/>
            </w:pPr>
            <w:r>
              <w:t>.81*</w:t>
            </w:r>
          </w:p>
        </w:tc>
        <w:tc>
          <w:tcPr>
            <w:tcW w:w="1158" w:type="dxa"/>
            <w:tcBorders>
              <w:top w:val="nil"/>
              <w:left w:val="nil"/>
              <w:bottom w:val="nil"/>
              <w:right w:val="nil"/>
            </w:tcBorders>
          </w:tcPr>
          <w:p w14:paraId="74057792" w14:textId="77777777" w:rsidR="001855ED" w:rsidRDefault="001855ED" w:rsidP="00F6008E">
            <w:pPr>
              <w:jc w:val="center"/>
            </w:pPr>
            <w:r>
              <w:t>1.66</w:t>
            </w:r>
          </w:p>
        </w:tc>
        <w:tc>
          <w:tcPr>
            <w:tcW w:w="1157" w:type="dxa"/>
            <w:tcBorders>
              <w:top w:val="nil"/>
              <w:left w:val="nil"/>
              <w:bottom w:val="nil"/>
              <w:right w:val="nil"/>
            </w:tcBorders>
          </w:tcPr>
          <w:p w14:paraId="10C90132" w14:textId="77777777" w:rsidR="001855ED" w:rsidRDefault="001855ED" w:rsidP="00F6008E">
            <w:pPr>
              <w:jc w:val="center"/>
            </w:pPr>
            <w:r>
              <w:t>1.06</w:t>
            </w:r>
          </w:p>
        </w:tc>
        <w:tc>
          <w:tcPr>
            <w:tcW w:w="1388" w:type="dxa"/>
            <w:tcBorders>
              <w:top w:val="nil"/>
              <w:left w:val="nil"/>
              <w:bottom w:val="nil"/>
              <w:right w:val="nil"/>
            </w:tcBorders>
          </w:tcPr>
          <w:p w14:paraId="0A3F9709" w14:textId="77777777" w:rsidR="001855ED" w:rsidRDefault="001855ED" w:rsidP="00543BED">
            <w:pPr>
              <w:jc w:val="center"/>
            </w:pPr>
          </w:p>
        </w:tc>
      </w:tr>
      <w:tr w:rsidR="00543BED" w14:paraId="789336DA" w14:textId="77777777" w:rsidTr="00C14FFF">
        <w:tc>
          <w:tcPr>
            <w:tcW w:w="4860" w:type="dxa"/>
            <w:tcBorders>
              <w:top w:val="nil"/>
              <w:left w:val="nil"/>
              <w:bottom w:val="single" w:sz="4" w:space="0" w:color="auto"/>
              <w:right w:val="nil"/>
            </w:tcBorders>
          </w:tcPr>
          <w:p w14:paraId="2D34F365" w14:textId="77777777" w:rsidR="00543BED" w:rsidRPr="00543BED" w:rsidRDefault="00543BED" w:rsidP="009C4B6F">
            <w:pPr>
              <w:tabs>
                <w:tab w:val="left" w:pos="1062"/>
              </w:tabs>
              <w:ind w:left="1062" w:hanging="360"/>
              <w:rPr>
                <w:szCs w:val="24"/>
              </w:rPr>
            </w:pPr>
          </w:p>
        </w:tc>
        <w:tc>
          <w:tcPr>
            <w:tcW w:w="270" w:type="dxa"/>
            <w:tcBorders>
              <w:top w:val="nil"/>
              <w:left w:val="nil"/>
              <w:bottom w:val="single" w:sz="4" w:space="0" w:color="auto"/>
              <w:right w:val="nil"/>
            </w:tcBorders>
          </w:tcPr>
          <w:p w14:paraId="636A3B83" w14:textId="77777777" w:rsidR="00543BED" w:rsidRDefault="00543BED" w:rsidP="00675A08">
            <w:pPr>
              <w:jc w:val="center"/>
            </w:pPr>
          </w:p>
        </w:tc>
        <w:tc>
          <w:tcPr>
            <w:tcW w:w="1157" w:type="dxa"/>
            <w:tcBorders>
              <w:top w:val="nil"/>
              <w:left w:val="nil"/>
              <w:bottom w:val="single" w:sz="4" w:space="0" w:color="auto"/>
              <w:right w:val="nil"/>
            </w:tcBorders>
          </w:tcPr>
          <w:p w14:paraId="7D79F7EA" w14:textId="77777777" w:rsidR="00543BED" w:rsidRDefault="00543BED" w:rsidP="00675A08">
            <w:pPr>
              <w:jc w:val="center"/>
            </w:pPr>
          </w:p>
        </w:tc>
        <w:tc>
          <w:tcPr>
            <w:tcW w:w="1158" w:type="dxa"/>
            <w:tcBorders>
              <w:top w:val="nil"/>
              <w:left w:val="nil"/>
              <w:bottom w:val="single" w:sz="4" w:space="0" w:color="auto"/>
              <w:right w:val="nil"/>
            </w:tcBorders>
          </w:tcPr>
          <w:p w14:paraId="4B28B85B" w14:textId="77777777" w:rsidR="00543BED" w:rsidRDefault="00543BED" w:rsidP="00543BED">
            <w:pPr>
              <w:jc w:val="center"/>
            </w:pPr>
          </w:p>
        </w:tc>
        <w:tc>
          <w:tcPr>
            <w:tcW w:w="1157" w:type="dxa"/>
            <w:tcBorders>
              <w:top w:val="nil"/>
              <w:left w:val="nil"/>
              <w:bottom w:val="single" w:sz="4" w:space="0" w:color="auto"/>
              <w:right w:val="nil"/>
            </w:tcBorders>
          </w:tcPr>
          <w:p w14:paraId="743547B5" w14:textId="77777777" w:rsidR="00543BED" w:rsidRDefault="00543BED" w:rsidP="00543BED">
            <w:pPr>
              <w:jc w:val="center"/>
            </w:pPr>
          </w:p>
        </w:tc>
        <w:tc>
          <w:tcPr>
            <w:tcW w:w="1388" w:type="dxa"/>
            <w:tcBorders>
              <w:top w:val="nil"/>
              <w:left w:val="nil"/>
              <w:bottom w:val="single" w:sz="4" w:space="0" w:color="auto"/>
              <w:right w:val="nil"/>
            </w:tcBorders>
          </w:tcPr>
          <w:p w14:paraId="3B0CE3FD" w14:textId="77777777" w:rsidR="00543BED" w:rsidRDefault="00543BED" w:rsidP="00543BED">
            <w:pPr>
              <w:jc w:val="center"/>
            </w:pPr>
          </w:p>
        </w:tc>
      </w:tr>
      <w:tr w:rsidR="00675A08" w14:paraId="62BFEB75" w14:textId="77777777" w:rsidTr="00C14FFF">
        <w:tc>
          <w:tcPr>
            <w:tcW w:w="9990" w:type="dxa"/>
            <w:gridSpan w:val="6"/>
            <w:tcBorders>
              <w:left w:val="nil"/>
              <w:bottom w:val="nil"/>
              <w:right w:val="nil"/>
            </w:tcBorders>
          </w:tcPr>
          <w:p w14:paraId="42AC3026" w14:textId="71086124" w:rsidR="00675A08" w:rsidRPr="00675A08" w:rsidRDefault="00675A08" w:rsidP="00675A08">
            <w:r>
              <w:rPr>
                <w:i/>
              </w:rPr>
              <w:t xml:space="preserve">Note. </w:t>
            </w:r>
            <w:r w:rsidR="00AA0CD7">
              <w:t xml:space="preserve"> * </w:t>
            </w:r>
            <w:r>
              <w:rPr>
                <w:i/>
              </w:rPr>
              <w:t xml:space="preserve">p </w:t>
            </w:r>
            <w:r>
              <w:t>&lt; .001</w:t>
            </w:r>
          </w:p>
        </w:tc>
      </w:tr>
    </w:tbl>
    <w:p w14:paraId="77B8D68B" w14:textId="77777777" w:rsidR="00DC2028" w:rsidRDefault="00DC2028"/>
    <w:p w14:paraId="090B9A0C" w14:textId="77777777" w:rsidR="00DC2028" w:rsidRDefault="00DC2028"/>
    <w:p w14:paraId="1D21621A" w14:textId="77777777" w:rsidR="00DC2028" w:rsidRDefault="00DC2028"/>
    <w:p w14:paraId="24BD4B93" w14:textId="77777777" w:rsidR="00DC2028" w:rsidRDefault="00DC2028"/>
    <w:p w14:paraId="0D090EDD" w14:textId="77777777" w:rsidR="00DC2028" w:rsidRDefault="00DC2028"/>
    <w:p w14:paraId="2F8BDA33" w14:textId="77777777" w:rsidR="00DC2028" w:rsidRDefault="00DC2028"/>
    <w:p w14:paraId="233EACEC" w14:textId="77777777" w:rsidR="00DC2028" w:rsidRDefault="00DC2028"/>
    <w:p w14:paraId="367C9DC5" w14:textId="77777777" w:rsidR="00D62BC8" w:rsidRDefault="00D62BC8"/>
    <w:p w14:paraId="65BD65B5" w14:textId="77777777" w:rsidR="00D62BC8" w:rsidRDefault="00D62BC8"/>
    <w:p w14:paraId="2DF3B41C" w14:textId="77777777" w:rsidR="00D62BC8" w:rsidRDefault="00D62BC8"/>
    <w:p w14:paraId="79516A77" w14:textId="77777777" w:rsidR="00D62BC8" w:rsidRDefault="00D62BC8"/>
    <w:p w14:paraId="436E3E55" w14:textId="77777777" w:rsidR="00D62BC8" w:rsidRDefault="00D62BC8">
      <w:r w:rsidRPr="00D62BC8">
        <w:rPr>
          <w:noProof/>
          <w:lang w:val="en-GB" w:eastAsia="zh-CN"/>
        </w:rPr>
        <w:lastRenderedPageBreak/>
        <w:drawing>
          <wp:inline distT="0" distB="0" distL="0" distR="0" wp14:anchorId="0DE5B0E5" wp14:editId="3FBFEED3">
            <wp:extent cx="5848350" cy="3733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5A1A51" w14:textId="77777777" w:rsidR="00D62BC8" w:rsidRDefault="00D62BC8" w:rsidP="00816DCD">
      <w:r>
        <w:rPr>
          <w:i/>
        </w:rPr>
        <w:t xml:space="preserve">Figure 1. </w:t>
      </w:r>
      <w:proofErr w:type="gramStart"/>
      <w:r>
        <w:t xml:space="preserve">The </w:t>
      </w:r>
      <w:r w:rsidR="00816DCD">
        <w:t xml:space="preserve">association </w:t>
      </w:r>
      <w:r>
        <w:t>between attachment content and attachment</w:t>
      </w:r>
      <w:r w:rsidR="00903C9F">
        <w:t>-</w:t>
      </w:r>
      <w:r>
        <w:t>related avoidance in nostalgic and ordinary writing conditions.</w:t>
      </w:r>
      <w:proofErr w:type="gramEnd"/>
      <w:r>
        <w:t xml:space="preserve"> </w:t>
      </w:r>
    </w:p>
    <w:p w14:paraId="56B094A7" w14:textId="77777777" w:rsidR="00C14FFF" w:rsidRDefault="00C14FFF" w:rsidP="00816DCD">
      <w:r w:rsidRPr="00C14FFF">
        <w:rPr>
          <w:noProof/>
          <w:lang w:val="en-GB" w:eastAsia="zh-CN"/>
        </w:rPr>
        <w:lastRenderedPageBreak/>
        <w:drawing>
          <wp:inline distT="0" distB="0" distL="0" distR="0" wp14:anchorId="4139DFE1" wp14:editId="644EA2A9">
            <wp:extent cx="5848350" cy="37338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43B4FE" w14:textId="77777777" w:rsidR="00C14FFF" w:rsidRDefault="00C14FFF" w:rsidP="00C14FFF">
      <w:r>
        <w:rPr>
          <w:i/>
        </w:rPr>
        <w:t xml:space="preserve">Figure 2. </w:t>
      </w:r>
      <w:proofErr w:type="gramStart"/>
      <w:r>
        <w:t>The association between a</w:t>
      </w:r>
      <w:r w:rsidR="00521108">
        <w:t>gency</w:t>
      </w:r>
      <w:r>
        <w:t xml:space="preserve"> content and attachment-related avoidance in nostalgic and ordinary writing conditions.</w:t>
      </w:r>
      <w:proofErr w:type="gramEnd"/>
      <w:r>
        <w:t xml:space="preserve"> </w:t>
      </w:r>
    </w:p>
    <w:p w14:paraId="73834472" w14:textId="77777777" w:rsidR="00C14FFF" w:rsidRPr="00D62BC8" w:rsidRDefault="00C14FFF" w:rsidP="00816DCD"/>
    <w:sectPr w:rsidR="00C14FFF" w:rsidRPr="00D62BC8" w:rsidSect="00CB018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9546F" w14:textId="77777777" w:rsidR="00D87962" w:rsidRDefault="00D87962" w:rsidP="00CB0188">
      <w:pPr>
        <w:spacing w:line="240" w:lineRule="auto"/>
      </w:pPr>
      <w:r>
        <w:separator/>
      </w:r>
    </w:p>
  </w:endnote>
  <w:endnote w:type="continuationSeparator" w:id="0">
    <w:p w14:paraId="75317F62" w14:textId="77777777" w:rsidR="00D87962" w:rsidRDefault="00D87962" w:rsidP="00CB0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2B20" w14:textId="77777777" w:rsidR="00D87962" w:rsidRDefault="00D87962" w:rsidP="00CB0188">
      <w:pPr>
        <w:spacing w:line="240" w:lineRule="auto"/>
      </w:pPr>
      <w:r>
        <w:separator/>
      </w:r>
    </w:p>
  </w:footnote>
  <w:footnote w:type="continuationSeparator" w:id="0">
    <w:p w14:paraId="01D0A89D" w14:textId="77777777" w:rsidR="00D87962" w:rsidRDefault="00D87962" w:rsidP="00CB01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18B7" w14:textId="77777777" w:rsidR="00D87962" w:rsidRDefault="00D87962">
    <w:pPr>
      <w:pStyle w:val="Header"/>
    </w:pPr>
    <w:r>
      <w:t xml:space="preserve">ATTACHMENT AND THE SOCIAL CONTENT OF NOSTALGIA                                        </w:t>
    </w:r>
    <w:sdt>
      <w:sdtPr>
        <w:id w:val="-2110666630"/>
        <w:docPartObj>
          <w:docPartGallery w:val="Page Numbers (Top of Page)"/>
          <w:docPartUnique/>
        </w:docPartObj>
      </w:sdtPr>
      <w:sdtEndPr/>
      <w:sdtContent>
        <w:r>
          <w:fldChar w:fldCharType="begin"/>
        </w:r>
        <w:r>
          <w:instrText xml:space="preserve"> PAGE   \* MERGEFORMAT </w:instrText>
        </w:r>
        <w:r>
          <w:fldChar w:fldCharType="separate"/>
        </w:r>
        <w:r w:rsidR="00707847">
          <w:rPr>
            <w:noProof/>
          </w:rPr>
          <w:t>15</w:t>
        </w:r>
        <w:r>
          <w:rPr>
            <w:noProof/>
          </w:rPr>
          <w:fldChar w:fldCharType="end"/>
        </w:r>
      </w:sdtContent>
    </w:sdt>
  </w:p>
  <w:p w14:paraId="58641AB7" w14:textId="77777777" w:rsidR="00D87962" w:rsidRDefault="00D87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89D2" w14:textId="77777777" w:rsidR="00D87962" w:rsidRDefault="00D87962">
    <w:pPr>
      <w:pStyle w:val="Header"/>
    </w:pPr>
    <w:r>
      <w:t xml:space="preserve">Running head: ATTACHMENT AND THE SOCIAL CONTENT OF NOSTALGIA                 </w:t>
    </w:r>
    <w:sdt>
      <w:sdtPr>
        <w:id w:val="-2110666632"/>
        <w:docPartObj>
          <w:docPartGallery w:val="Page Numbers (Top of Page)"/>
          <w:docPartUnique/>
        </w:docPartObj>
      </w:sdtPr>
      <w:sdtEndPr/>
      <w:sdtContent>
        <w:r>
          <w:fldChar w:fldCharType="begin"/>
        </w:r>
        <w:r>
          <w:instrText xml:space="preserve"> PAGE   \* MERGEFORMAT </w:instrText>
        </w:r>
        <w:r>
          <w:fldChar w:fldCharType="separate"/>
        </w:r>
        <w:r w:rsidR="00707847">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6B"/>
    <w:rsid w:val="000017CA"/>
    <w:rsid w:val="00002195"/>
    <w:rsid w:val="00007A5D"/>
    <w:rsid w:val="00010714"/>
    <w:rsid w:val="000158D5"/>
    <w:rsid w:val="0001656B"/>
    <w:rsid w:val="00022B35"/>
    <w:rsid w:val="000236E4"/>
    <w:rsid w:val="00023AF3"/>
    <w:rsid w:val="00026B5E"/>
    <w:rsid w:val="0002794C"/>
    <w:rsid w:val="00035DF7"/>
    <w:rsid w:val="00041192"/>
    <w:rsid w:val="00043A49"/>
    <w:rsid w:val="00053ABB"/>
    <w:rsid w:val="00054DE0"/>
    <w:rsid w:val="00055550"/>
    <w:rsid w:val="0005796D"/>
    <w:rsid w:val="00061810"/>
    <w:rsid w:val="00087A15"/>
    <w:rsid w:val="00090DB5"/>
    <w:rsid w:val="000957F4"/>
    <w:rsid w:val="000969CE"/>
    <w:rsid w:val="000A027A"/>
    <w:rsid w:val="000A0654"/>
    <w:rsid w:val="000A117D"/>
    <w:rsid w:val="000A333D"/>
    <w:rsid w:val="000C288F"/>
    <w:rsid w:val="000D7810"/>
    <w:rsid w:val="000E3E31"/>
    <w:rsid w:val="000E4D0E"/>
    <w:rsid w:val="000F374C"/>
    <w:rsid w:val="000F4B9D"/>
    <w:rsid w:val="00101440"/>
    <w:rsid w:val="00104C03"/>
    <w:rsid w:val="00110EFA"/>
    <w:rsid w:val="00112833"/>
    <w:rsid w:val="00120E1D"/>
    <w:rsid w:val="00122E74"/>
    <w:rsid w:val="00126B81"/>
    <w:rsid w:val="00131FB3"/>
    <w:rsid w:val="001321F6"/>
    <w:rsid w:val="00136C46"/>
    <w:rsid w:val="00141099"/>
    <w:rsid w:val="00142B36"/>
    <w:rsid w:val="0014406A"/>
    <w:rsid w:val="00145081"/>
    <w:rsid w:val="00147187"/>
    <w:rsid w:val="001542E1"/>
    <w:rsid w:val="0015512C"/>
    <w:rsid w:val="00160A8B"/>
    <w:rsid w:val="001617A2"/>
    <w:rsid w:val="00166844"/>
    <w:rsid w:val="001843E8"/>
    <w:rsid w:val="001855ED"/>
    <w:rsid w:val="00186393"/>
    <w:rsid w:val="00186445"/>
    <w:rsid w:val="00195FD6"/>
    <w:rsid w:val="001A3062"/>
    <w:rsid w:val="001B0798"/>
    <w:rsid w:val="001B3F51"/>
    <w:rsid w:val="001B5FF1"/>
    <w:rsid w:val="001C1CF1"/>
    <w:rsid w:val="001D36F1"/>
    <w:rsid w:val="001D7369"/>
    <w:rsid w:val="001E0B13"/>
    <w:rsid w:val="001F3AE5"/>
    <w:rsid w:val="001F7D71"/>
    <w:rsid w:val="002062BE"/>
    <w:rsid w:val="00212428"/>
    <w:rsid w:val="002162DB"/>
    <w:rsid w:val="002164C2"/>
    <w:rsid w:val="00216BEA"/>
    <w:rsid w:val="00232F2E"/>
    <w:rsid w:val="0024466B"/>
    <w:rsid w:val="002527DB"/>
    <w:rsid w:val="0025482C"/>
    <w:rsid w:val="00256731"/>
    <w:rsid w:val="00257DD4"/>
    <w:rsid w:val="00264662"/>
    <w:rsid w:val="00271809"/>
    <w:rsid w:val="00277AD7"/>
    <w:rsid w:val="00282BAF"/>
    <w:rsid w:val="00282D07"/>
    <w:rsid w:val="002865FE"/>
    <w:rsid w:val="002A336A"/>
    <w:rsid w:val="002A5ABA"/>
    <w:rsid w:val="002B21BE"/>
    <w:rsid w:val="002B75FD"/>
    <w:rsid w:val="002C1B4D"/>
    <w:rsid w:val="002C1E0E"/>
    <w:rsid w:val="002C38D9"/>
    <w:rsid w:val="002C441E"/>
    <w:rsid w:val="002D1098"/>
    <w:rsid w:val="002E116D"/>
    <w:rsid w:val="002E14AE"/>
    <w:rsid w:val="002F175B"/>
    <w:rsid w:val="002F5650"/>
    <w:rsid w:val="00304305"/>
    <w:rsid w:val="003043D2"/>
    <w:rsid w:val="0030449C"/>
    <w:rsid w:val="00316D8B"/>
    <w:rsid w:val="00320F18"/>
    <w:rsid w:val="003220BA"/>
    <w:rsid w:val="00334939"/>
    <w:rsid w:val="003367D3"/>
    <w:rsid w:val="003374E0"/>
    <w:rsid w:val="00340743"/>
    <w:rsid w:val="00342A95"/>
    <w:rsid w:val="00345080"/>
    <w:rsid w:val="00345A18"/>
    <w:rsid w:val="003466A6"/>
    <w:rsid w:val="00346FB9"/>
    <w:rsid w:val="00351ED2"/>
    <w:rsid w:val="003706CB"/>
    <w:rsid w:val="0037198E"/>
    <w:rsid w:val="00374851"/>
    <w:rsid w:val="00375B27"/>
    <w:rsid w:val="00384D86"/>
    <w:rsid w:val="00385010"/>
    <w:rsid w:val="00396656"/>
    <w:rsid w:val="003A2F15"/>
    <w:rsid w:val="003A45FC"/>
    <w:rsid w:val="003A649D"/>
    <w:rsid w:val="003A78F0"/>
    <w:rsid w:val="003B055F"/>
    <w:rsid w:val="003B683C"/>
    <w:rsid w:val="003B73D4"/>
    <w:rsid w:val="003C7AAA"/>
    <w:rsid w:val="003D257A"/>
    <w:rsid w:val="003E0D88"/>
    <w:rsid w:val="003E0FFD"/>
    <w:rsid w:val="003E317C"/>
    <w:rsid w:val="003E383D"/>
    <w:rsid w:val="003F6267"/>
    <w:rsid w:val="003F6585"/>
    <w:rsid w:val="0040033E"/>
    <w:rsid w:val="00401534"/>
    <w:rsid w:val="00401B80"/>
    <w:rsid w:val="0040385D"/>
    <w:rsid w:val="00406B53"/>
    <w:rsid w:val="00413803"/>
    <w:rsid w:val="00414123"/>
    <w:rsid w:val="0041495B"/>
    <w:rsid w:val="0041705F"/>
    <w:rsid w:val="004345ED"/>
    <w:rsid w:val="00437D72"/>
    <w:rsid w:val="00440A12"/>
    <w:rsid w:val="00442163"/>
    <w:rsid w:val="004428AE"/>
    <w:rsid w:val="0044661B"/>
    <w:rsid w:val="004561F0"/>
    <w:rsid w:val="00464655"/>
    <w:rsid w:val="00470D3C"/>
    <w:rsid w:val="00474E02"/>
    <w:rsid w:val="00475A23"/>
    <w:rsid w:val="00485708"/>
    <w:rsid w:val="00490221"/>
    <w:rsid w:val="0049022E"/>
    <w:rsid w:val="004A4F0B"/>
    <w:rsid w:val="004A5EFF"/>
    <w:rsid w:val="004B3DB2"/>
    <w:rsid w:val="004B4E99"/>
    <w:rsid w:val="004B5245"/>
    <w:rsid w:val="004C104D"/>
    <w:rsid w:val="004C4F1F"/>
    <w:rsid w:val="004D13BA"/>
    <w:rsid w:val="004D64F2"/>
    <w:rsid w:val="004D69BF"/>
    <w:rsid w:val="004E3891"/>
    <w:rsid w:val="004E4503"/>
    <w:rsid w:val="004F0743"/>
    <w:rsid w:val="004F2A12"/>
    <w:rsid w:val="004F3373"/>
    <w:rsid w:val="004F68D5"/>
    <w:rsid w:val="00505D0C"/>
    <w:rsid w:val="005100FF"/>
    <w:rsid w:val="00511EB9"/>
    <w:rsid w:val="0051418C"/>
    <w:rsid w:val="005204E6"/>
    <w:rsid w:val="00521108"/>
    <w:rsid w:val="00526387"/>
    <w:rsid w:val="00526C3D"/>
    <w:rsid w:val="00526DBD"/>
    <w:rsid w:val="005339C7"/>
    <w:rsid w:val="00543BED"/>
    <w:rsid w:val="00544410"/>
    <w:rsid w:val="0054773A"/>
    <w:rsid w:val="00555AAC"/>
    <w:rsid w:val="00555E4A"/>
    <w:rsid w:val="00567211"/>
    <w:rsid w:val="005861E8"/>
    <w:rsid w:val="00592D2D"/>
    <w:rsid w:val="005A0394"/>
    <w:rsid w:val="005A1873"/>
    <w:rsid w:val="005A7F6C"/>
    <w:rsid w:val="005B0C00"/>
    <w:rsid w:val="005B155C"/>
    <w:rsid w:val="005C4473"/>
    <w:rsid w:val="005C4721"/>
    <w:rsid w:val="005C4E54"/>
    <w:rsid w:val="005D347A"/>
    <w:rsid w:val="005D6771"/>
    <w:rsid w:val="005E6939"/>
    <w:rsid w:val="00602F8E"/>
    <w:rsid w:val="00605F33"/>
    <w:rsid w:val="00607312"/>
    <w:rsid w:val="00607721"/>
    <w:rsid w:val="00607AF3"/>
    <w:rsid w:val="00610B65"/>
    <w:rsid w:val="00611A16"/>
    <w:rsid w:val="00622D8E"/>
    <w:rsid w:val="00642527"/>
    <w:rsid w:val="00644002"/>
    <w:rsid w:val="00647CF5"/>
    <w:rsid w:val="00660C23"/>
    <w:rsid w:val="00664D42"/>
    <w:rsid w:val="00675A08"/>
    <w:rsid w:val="00676579"/>
    <w:rsid w:val="00680E4E"/>
    <w:rsid w:val="00683D19"/>
    <w:rsid w:val="006858B4"/>
    <w:rsid w:val="00685C64"/>
    <w:rsid w:val="00687D51"/>
    <w:rsid w:val="006926EA"/>
    <w:rsid w:val="006938E2"/>
    <w:rsid w:val="0069660E"/>
    <w:rsid w:val="006969B9"/>
    <w:rsid w:val="006B5862"/>
    <w:rsid w:val="006C1421"/>
    <w:rsid w:val="006C5CD7"/>
    <w:rsid w:val="006D5EF8"/>
    <w:rsid w:val="006F061F"/>
    <w:rsid w:val="006F274B"/>
    <w:rsid w:val="007004F5"/>
    <w:rsid w:val="00701BA1"/>
    <w:rsid w:val="00702015"/>
    <w:rsid w:val="00704F11"/>
    <w:rsid w:val="00707455"/>
    <w:rsid w:val="00707847"/>
    <w:rsid w:val="0071021F"/>
    <w:rsid w:val="00722930"/>
    <w:rsid w:val="007265F4"/>
    <w:rsid w:val="007422F0"/>
    <w:rsid w:val="007468BF"/>
    <w:rsid w:val="00755F2F"/>
    <w:rsid w:val="00761293"/>
    <w:rsid w:val="007679DE"/>
    <w:rsid w:val="00773C23"/>
    <w:rsid w:val="0077618D"/>
    <w:rsid w:val="007835F9"/>
    <w:rsid w:val="00785E5F"/>
    <w:rsid w:val="00791F11"/>
    <w:rsid w:val="00796D50"/>
    <w:rsid w:val="007A0EF3"/>
    <w:rsid w:val="007A128E"/>
    <w:rsid w:val="007A1C2C"/>
    <w:rsid w:val="007A7687"/>
    <w:rsid w:val="007B0C13"/>
    <w:rsid w:val="007B3232"/>
    <w:rsid w:val="007B5445"/>
    <w:rsid w:val="007C1E0A"/>
    <w:rsid w:val="007C2BF1"/>
    <w:rsid w:val="007C55C1"/>
    <w:rsid w:val="007C5D21"/>
    <w:rsid w:val="007C6828"/>
    <w:rsid w:val="007D1670"/>
    <w:rsid w:val="007D3E96"/>
    <w:rsid w:val="007D5630"/>
    <w:rsid w:val="007D5CCB"/>
    <w:rsid w:val="007D70F8"/>
    <w:rsid w:val="007D7F88"/>
    <w:rsid w:val="007E094D"/>
    <w:rsid w:val="007E0BED"/>
    <w:rsid w:val="007E4741"/>
    <w:rsid w:val="007F12D2"/>
    <w:rsid w:val="00802AC5"/>
    <w:rsid w:val="00807FEB"/>
    <w:rsid w:val="00811C85"/>
    <w:rsid w:val="0081443E"/>
    <w:rsid w:val="00816DCD"/>
    <w:rsid w:val="00821C28"/>
    <w:rsid w:val="0082314F"/>
    <w:rsid w:val="00830311"/>
    <w:rsid w:val="00833B2B"/>
    <w:rsid w:val="00835F3A"/>
    <w:rsid w:val="0085239C"/>
    <w:rsid w:val="008546FB"/>
    <w:rsid w:val="00854A99"/>
    <w:rsid w:val="00862F1E"/>
    <w:rsid w:val="00867D94"/>
    <w:rsid w:val="008709CE"/>
    <w:rsid w:val="00872A77"/>
    <w:rsid w:val="00872DF7"/>
    <w:rsid w:val="008744B6"/>
    <w:rsid w:val="00885F23"/>
    <w:rsid w:val="00896E69"/>
    <w:rsid w:val="008A5972"/>
    <w:rsid w:val="008B64B9"/>
    <w:rsid w:val="008B798D"/>
    <w:rsid w:val="008C06C2"/>
    <w:rsid w:val="008C419E"/>
    <w:rsid w:val="008C4D75"/>
    <w:rsid w:val="008D6887"/>
    <w:rsid w:val="008E1EE1"/>
    <w:rsid w:val="008F2DBA"/>
    <w:rsid w:val="008F4C8C"/>
    <w:rsid w:val="008F4E0B"/>
    <w:rsid w:val="008F4F66"/>
    <w:rsid w:val="008F4FE2"/>
    <w:rsid w:val="008F7585"/>
    <w:rsid w:val="00903C9F"/>
    <w:rsid w:val="009073A6"/>
    <w:rsid w:val="00911C71"/>
    <w:rsid w:val="0091656E"/>
    <w:rsid w:val="00923DA5"/>
    <w:rsid w:val="00931F4D"/>
    <w:rsid w:val="00932BF0"/>
    <w:rsid w:val="00937428"/>
    <w:rsid w:val="0093792C"/>
    <w:rsid w:val="00941077"/>
    <w:rsid w:val="00944540"/>
    <w:rsid w:val="00946102"/>
    <w:rsid w:val="009535CC"/>
    <w:rsid w:val="0095588D"/>
    <w:rsid w:val="0095589B"/>
    <w:rsid w:val="00960F24"/>
    <w:rsid w:val="00977C0E"/>
    <w:rsid w:val="009857C3"/>
    <w:rsid w:val="009910B3"/>
    <w:rsid w:val="00995478"/>
    <w:rsid w:val="00996270"/>
    <w:rsid w:val="009A662A"/>
    <w:rsid w:val="009B0BB4"/>
    <w:rsid w:val="009C4B6F"/>
    <w:rsid w:val="009C6DA9"/>
    <w:rsid w:val="009C745F"/>
    <w:rsid w:val="009C7485"/>
    <w:rsid w:val="009D32C7"/>
    <w:rsid w:val="009E59D3"/>
    <w:rsid w:val="009F2590"/>
    <w:rsid w:val="009F766A"/>
    <w:rsid w:val="009F7810"/>
    <w:rsid w:val="009F7F7F"/>
    <w:rsid w:val="00A009A8"/>
    <w:rsid w:val="00A02C1A"/>
    <w:rsid w:val="00A06C88"/>
    <w:rsid w:val="00A143EF"/>
    <w:rsid w:val="00A14851"/>
    <w:rsid w:val="00A148E7"/>
    <w:rsid w:val="00A218C1"/>
    <w:rsid w:val="00A32D52"/>
    <w:rsid w:val="00A35195"/>
    <w:rsid w:val="00A356FC"/>
    <w:rsid w:val="00A4098A"/>
    <w:rsid w:val="00A41132"/>
    <w:rsid w:val="00A44596"/>
    <w:rsid w:val="00A50CA0"/>
    <w:rsid w:val="00A555CB"/>
    <w:rsid w:val="00A64F86"/>
    <w:rsid w:val="00A67A16"/>
    <w:rsid w:val="00A70868"/>
    <w:rsid w:val="00A71EF1"/>
    <w:rsid w:val="00A7205C"/>
    <w:rsid w:val="00A72E33"/>
    <w:rsid w:val="00A74331"/>
    <w:rsid w:val="00A83C9D"/>
    <w:rsid w:val="00A96EFF"/>
    <w:rsid w:val="00AA0493"/>
    <w:rsid w:val="00AA0CD7"/>
    <w:rsid w:val="00AA4809"/>
    <w:rsid w:val="00AA51A4"/>
    <w:rsid w:val="00AC151C"/>
    <w:rsid w:val="00AE0092"/>
    <w:rsid w:val="00AE238A"/>
    <w:rsid w:val="00AE39BE"/>
    <w:rsid w:val="00AE61FF"/>
    <w:rsid w:val="00AF00F1"/>
    <w:rsid w:val="00AF0951"/>
    <w:rsid w:val="00AF0A51"/>
    <w:rsid w:val="00AF127F"/>
    <w:rsid w:val="00AF746D"/>
    <w:rsid w:val="00B04ADE"/>
    <w:rsid w:val="00B11E12"/>
    <w:rsid w:val="00B21C38"/>
    <w:rsid w:val="00B316C6"/>
    <w:rsid w:val="00B31AED"/>
    <w:rsid w:val="00B33A93"/>
    <w:rsid w:val="00B458A0"/>
    <w:rsid w:val="00B46572"/>
    <w:rsid w:val="00B6129A"/>
    <w:rsid w:val="00B744AF"/>
    <w:rsid w:val="00B8008D"/>
    <w:rsid w:val="00B815FF"/>
    <w:rsid w:val="00B87D93"/>
    <w:rsid w:val="00B91621"/>
    <w:rsid w:val="00B9491C"/>
    <w:rsid w:val="00B95615"/>
    <w:rsid w:val="00BA1357"/>
    <w:rsid w:val="00BA43DD"/>
    <w:rsid w:val="00BA70D7"/>
    <w:rsid w:val="00BC3ABB"/>
    <w:rsid w:val="00BC3E5D"/>
    <w:rsid w:val="00BD0AA7"/>
    <w:rsid w:val="00BD525B"/>
    <w:rsid w:val="00BD5360"/>
    <w:rsid w:val="00BE5126"/>
    <w:rsid w:val="00BF10B8"/>
    <w:rsid w:val="00BF1F23"/>
    <w:rsid w:val="00BF6170"/>
    <w:rsid w:val="00C14FFF"/>
    <w:rsid w:val="00C20AAB"/>
    <w:rsid w:val="00C24AB2"/>
    <w:rsid w:val="00C32880"/>
    <w:rsid w:val="00C3354B"/>
    <w:rsid w:val="00C43BB9"/>
    <w:rsid w:val="00C62746"/>
    <w:rsid w:val="00C74EAB"/>
    <w:rsid w:val="00C82C8B"/>
    <w:rsid w:val="00C86B44"/>
    <w:rsid w:val="00C875B8"/>
    <w:rsid w:val="00C90F19"/>
    <w:rsid w:val="00C92F5C"/>
    <w:rsid w:val="00C9432B"/>
    <w:rsid w:val="00C95592"/>
    <w:rsid w:val="00CA7101"/>
    <w:rsid w:val="00CB0188"/>
    <w:rsid w:val="00CB144B"/>
    <w:rsid w:val="00CB35D8"/>
    <w:rsid w:val="00CB7A46"/>
    <w:rsid w:val="00CC2FBB"/>
    <w:rsid w:val="00CC321A"/>
    <w:rsid w:val="00CD4743"/>
    <w:rsid w:val="00CD683A"/>
    <w:rsid w:val="00CE0573"/>
    <w:rsid w:val="00CE1BF4"/>
    <w:rsid w:val="00CE270B"/>
    <w:rsid w:val="00CE31C1"/>
    <w:rsid w:val="00CE33D4"/>
    <w:rsid w:val="00CF2AE2"/>
    <w:rsid w:val="00CF4AE5"/>
    <w:rsid w:val="00D020E0"/>
    <w:rsid w:val="00D02C39"/>
    <w:rsid w:val="00D110E0"/>
    <w:rsid w:val="00D11E85"/>
    <w:rsid w:val="00D12CD2"/>
    <w:rsid w:val="00D1442B"/>
    <w:rsid w:val="00D1551D"/>
    <w:rsid w:val="00D16603"/>
    <w:rsid w:val="00D1789C"/>
    <w:rsid w:val="00D17AAF"/>
    <w:rsid w:val="00D20534"/>
    <w:rsid w:val="00D212F6"/>
    <w:rsid w:val="00D34380"/>
    <w:rsid w:val="00D34480"/>
    <w:rsid w:val="00D43ACD"/>
    <w:rsid w:val="00D442A0"/>
    <w:rsid w:val="00D5104A"/>
    <w:rsid w:val="00D5156A"/>
    <w:rsid w:val="00D54707"/>
    <w:rsid w:val="00D60ABB"/>
    <w:rsid w:val="00D62BC8"/>
    <w:rsid w:val="00D64101"/>
    <w:rsid w:val="00D71B3E"/>
    <w:rsid w:val="00D726D5"/>
    <w:rsid w:val="00D74B1C"/>
    <w:rsid w:val="00D74D75"/>
    <w:rsid w:val="00D75977"/>
    <w:rsid w:val="00D828B4"/>
    <w:rsid w:val="00D86C61"/>
    <w:rsid w:val="00D87496"/>
    <w:rsid w:val="00D87962"/>
    <w:rsid w:val="00D95CC8"/>
    <w:rsid w:val="00D96877"/>
    <w:rsid w:val="00DA13A3"/>
    <w:rsid w:val="00DA60FC"/>
    <w:rsid w:val="00DB0428"/>
    <w:rsid w:val="00DB0BDC"/>
    <w:rsid w:val="00DB1598"/>
    <w:rsid w:val="00DB264A"/>
    <w:rsid w:val="00DB28BE"/>
    <w:rsid w:val="00DB4AF4"/>
    <w:rsid w:val="00DB4E65"/>
    <w:rsid w:val="00DC2028"/>
    <w:rsid w:val="00DC45D3"/>
    <w:rsid w:val="00DC4B89"/>
    <w:rsid w:val="00DE67C1"/>
    <w:rsid w:val="00DE6912"/>
    <w:rsid w:val="00DF3695"/>
    <w:rsid w:val="00E0553E"/>
    <w:rsid w:val="00E05D04"/>
    <w:rsid w:val="00E10BF2"/>
    <w:rsid w:val="00E126CD"/>
    <w:rsid w:val="00E13CDF"/>
    <w:rsid w:val="00E203EB"/>
    <w:rsid w:val="00E2151F"/>
    <w:rsid w:val="00E27D80"/>
    <w:rsid w:val="00E27E90"/>
    <w:rsid w:val="00E53E6E"/>
    <w:rsid w:val="00E70908"/>
    <w:rsid w:val="00E70E42"/>
    <w:rsid w:val="00E746C8"/>
    <w:rsid w:val="00E7606E"/>
    <w:rsid w:val="00E82836"/>
    <w:rsid w:val="00E82BDF"/>
    <w:rsid w:val="00E875E4"/>
    <w:rsid w:val="00E935C1"/>
    <w:rsid w:val="00EA0A97"/>
    <w:rsid w:val="00EB1BF6"/>
    <w:rsid w:val="00EC2114"/>
    <w:rsid w:val="00EC5CF0"/>
    <w:rsid w:val="00EC747C"/>
    <w:rsid w:val="00ED26F9"/>
    <w:rsid w:val="00ED2A8F"/>
    <w:rsid w:val="00ED5FC6"/>
    <w:rsid w:val="00ED6755"/>
    <w:rsid w:val="00EE2997"/>
    <w:rsid w:val="00F01118"/>
    <w:rsid w:val="00F0274F"/>
    <w:rsid w:val="00F063D5"/>
    <w:rsid w:val="00F07EA8"/>
    <w:rsid w:val="00F1309C"/>
    <w:rsid w:val="00F20A16"/>
    <w:rsid w:val="00F212B7"/>
    <w:rsid w:val="00F32C4E"/>
    <w:rsid w:val="00F34675"/>
    <w:rsid w:val="00F40EE8"/>
    <w:rsid w:val="00F43BC9"/>
    <w:rsid w:val="00F530E6"/>
    <w:rsid w:val="00F6008E"/>
    <w:rsid w:val="00F63C07"/>
    <w:rsid w:val="00F71DD5"/>
    <w:rsid w:val="00F72C91"/>
    <w:rsid w:val="00F73CC7"/>
    <w:rsid w:val="00F80041"/>
    <w:rsid w:val="00F9040B"/>
    <w:rsid w:val="00FA0506"/>
    <w:rsid w:val="00FA1ED4"/>
    <w:rsid w:val="00FA2B21"/>
    <w:rsid w:val="00FA7FB4"/>
    <w:rsid w:val="00FB0895"/>
    <w:rsid w:val="00FB0C6D"/>
    <w:rsid w:val="00FB6864"/>
    <w:rsid w:val="00FD11DE"/>
    <w:rsid w:val="00FD4D65"/>
    <w:rsid w:val="00FD7665"/>
    <w:rsid w:val="00FE3AB9"/>
    <w:rsid w:val="00FE6C68"/>
    <w:rsid w:val="00FF2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0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A6"/>
  </w:style>
  <w:style w:type="paragraph" w:styleId="Heading1">
    <w:name w:val="heading 1"/>
    <w:basedOn w:val="Normal"/>
    <w:next w:val="Normal"/>
    <w:link w:val="Heading1Char"/>
    <w:qFormat/>
    <w:rsid w:val="007D1670"/>
    <w:pPr>
      <w:autoSpaceDE w:val="0"/>
      <w:autoSpaceDN w:val="0"/>
      <w:adjustRightInd w:val="0"/>
      <w:spacing w:line="240" w:lineRule="auto"/>
      <w:outlineLvl w:val="0"/>
    </w:pPr>
    <w:rPr>
      <w:rFonts w:ascii="ADMIGO+TimesNewRoman" w:eastAsia="PMingLiU" w:hAnsi="ADMIGO+TimesNew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188"/>
    <w:pPr>
      <w:tabs>
        <w:tab w:val="center" w:pos="4680"/>
        <w:tab w:val="right" w:pos="9360"/>
      </w:tabs>
      <w:spacing w:line="240" w:lineRule="auto"/>
    </w:pPr>
  </w:style>
  <w:style w:type="character" w:customStyle="1" w:styleId="HeaderChar">
    <w:name w:val="Header Char"/>
    <w:basedOn w:val="DefaultParagraphFont"/>
    <w:link w:val="Header"/>
    <w:uiPriority w:val="99"/>
    <w:rsid w:val="00CB0188"/>
  </w:style>
  <w:style w:type="paragraph" w:styleId="Footer">
    <w:name w:val="footer"/>
    <w:basedOn w:val="Normal"/>
    <w:link w:val="FooterChar"/>
    <w:uiPriority w:val="99"/>
    <w:unhideWhenUsed/>
    <w:rsid w:val="00CB0188"/>
    <w:pPr>
      <w:tabs>
        <w:tab w:val="center" w:pos="4680"/>
        <w:tab w:val="right" w:pos="9360"/>
      </w:tabs>
      <w:spacing w:line="240" w:lineRule="auto"/>
    </w:pPr>
  </w:style>
  <w:style w:type="character" w:customStyle="1" w:styleId="FooterChar">
    <w:name w:val="Footer Char"/>
    <w:basedOn w:val="DefaultParagraphFont"/>
    <w:link w:val="Footer"/>
    <w:uiPriority w:val="99"/>
    <w:rsid w:val="00CB0188"/>
  </w:style>
  <w:style w:type="character" w:styleId="CommentReference">
    <w:name w:val="annotation reference"/>
    <w:basedOn w:val="DefaultParagraphFont"/>
    <w:uiPriority w:val="99"/>
    <w:semiHidden/>
    <w:unhideWhenUsed/>
    <w:rsid w:val="00035DF7"/>
    <w:rPr>
      <w:sz w:val="18"/>
      <w:szCs w:val="18"/>
    </w:rPr>
  </w:style>
  <w:style w:type="paragraph" w:styleId="CommentText">
    <w:name w:val="annotation text"/>
    <w:basedOn w:val="Normal"/>
    <w:link w:val="CommentTextChar"/>
    <w:uiPriority w:val="99"/>
    <w:semiHidden/>
    <w:unhideWhenUsed/>
    <w:rsid w:val="00035DF7"/>
    <w:pPr>
      <w:spacing w:line="240" w:lineRule="auto"/>
    </w:pPr>
    <w:rPr>
      <w:szCs w:val="24"/>
    </w:rPr>
  </w:style>
  <w:style w:type="character" w:customStyle="1" w:styleId="CommentTextChar">
    <w:name w:val="Comment Text Char"/>
    <w:basedOn w:val="DefaultParagraphFont"/>
    <w:link w:val="CommentText"/>
    <w:uiPriority w:val="99"/>
    <w:semiHidden/>
    <w:rsid w:val="00035DF7"/>
    <w:rPr>
      <w:szCs w:val="24"/>
    </w:rPr>
  </w:style>
  <w:style w:type="paragraph" w:styleId="CommentSubject">
    <w:name w:val="annotation subject"/>
    <w:basedOn w:val="CommentText"/>
    <w:next w:val="CommentText"/>
    <w:link w:val="CommentSubjectChar"/>
    <w:uiPriority w:val="99"/>
    <w:semiHidden/>
    <w:unhideWhenUsed/>
    <w:rsid w:val="00035DF7"/>
    <w:rPr>
      <w:b/>
      <w:bCs/>
      <w:sz w:val="20"/>
      <w:szCs w:val="20"/>
    </w:rPr>
  </w:style>
  <w:style w:type="character" w:customStyle="1" w:styleId="CommentSubjectChar">
    <w:name w:val="Comment Subject Char"/>
    <w:basedOn w:val="CommentTextChar"/>
    <w:link w:val="CommentSubject"/>
    <w:uiPriority w:val="99"/>
    <w:semiHidden/>
    <w:rsid w:val="00035DF7"/>
    <w:rPr>
      <w:b/>
      <w:bCs/>
      <w:sz w:val="20"/>
      <w:szCs w:val="20"/>
    </w:rPr>
  </w:style>
  <w:style w:type="paragraph" w:styleId="BalloonText">
    <w:name w:val="Balloon Text"/>
    <w:basedOn w:val="Normal"/>
    <w:link w:val="BalloonTextChar"/>
    <w:uiPriority w:val="99"/>
    <w:semiHidden/>
    <w:unhideWhenUsed/>
    <w:rsid w:val="00035D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F7"/>
    <w:rPr>
      <w:rFonts w:ascii="Lucida Grande" w:hAnsi="Lucida Grande" w:cs="Lucida Grande"/>
      <w:sz w:val="18"/>
      <w:szCs w:val="18"/>
    </w:rPr>
  </w:style>
  <w:style w:type="table" w:styleId="TableGrid">
    <w:name w:val="Table Grid"/>
    <w:basedOn w:val="TableNormal"/>
    <w:uiPriority w:val="59"/>
    <w:rsid w:val="007C5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D1670"/>
    <w:rPr>
      <w:rFonts w:ascii="ADMIGO+TimesNewRoman" w:eastAsia="PMingLiU" w:hAnsi="ADMIGO+TimesNewRoman" w:cs="Times New Roman"/>
      <w:sz w:val="20"/>
      <w:szCs w:val="24"/>
    </w:rPr>
  </w:style>
  <w:style w:type="paragraph" w:styleId="Revision">
    <w:name w:val="Revision"/>
    <w:hidden/>
    <w:uiPriority w:val="99"/>
    <w:semiHidden/>
    <w:rsid w:val="007D167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A6"/>
  </w:style>
  <w:style w:type="paragraph" w:styleId="Heading1">
    <w:name w:val="heading 1"/>
    <w:basedOn w:val="Normal"/>
    <w:next w:val="Normal"/>
    <w:link w:val="Heading1Char"/>
    <w:qFormat/>
    <w:rsid w:val="007D1670"/>
    <w:pPr>
      <w:autoSpaceDE w:val="0"/>
      <w:autoSpaceDN w:val="0"/>
      <w:adjustRightInd w:val="0"/>
      <w:spacing w:line="240" w:lineRule="auto"/>
      <w:outlineLvl w:val="0"/>
    </w:pPr>
    <w:rPr>
      <w:rFonts w:ascii="ADMIGO+TimesNewRoman" w:eastAsia="PMingLiU" w:hAnsi="ADMIGO+TimesNew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188"/>
    <w:pPr>
      <w:tabs>
        <w:tab w:val="center" w:pos="4680"/>
        <w:tab w:val="right" w:pos="9360"/>
      </w:tabs>
      <w:spacing w:line="240" w:lineRule="auto"/>
    </w:pPr>
  </w:style>
  <w:style w:type="character" w:customStyle="1" w:styleId="HeaderChar">
    <w:name w:val="Header Char"/>
    <w:basedOn w:val="DefaultParagraphFont"/>
    <w:link w:val="Header"/>
    <w:uiPriority w:val="99"/>
    <w:rsid w:val="00CB0188"/>
  </w:style>
  <w:style w:type="paragraph" w:styleId="Footer">
    <w:name w:val="footer"/>
    <w:basedOn w:val="Normal"/>
    <w:link w:val="FooterChar"/>
    <w:uiPriority w:val="99"/>
    <w:unhideWhenUsed/>
    <w:rsid w:val="00CB0188"/>
    <w:pPr>
      <w:tabs>
        <w:tab w:val="center" w:pos="4680"/>
        <w:tab w:val="right" w:pos="9360"/>
      </w:tabs>
      <w:spacing w:line="240" w:lineRule="auto"/>
    </w:pPr>
  </w:style>
  <w:style w:type="character" w:customStyle="1" w:styleId="FooterChar">
    <w:name w:val="Footer Char"/>
    <w:basedOn w:val="DefaultParagraphFont"/>
    <w:link w:val="Footer"/>
    <w:uiPriority w:val="99"/>
    <w:rsid w:val="00CB0188"/>
  </w:style>
  <w:style w:type="character" w:styleId="CommentReference">
    <w:name w:val="annotation reference"/>
    <w:basedOn w:val="DefaultParagraphFont"/>
    <w:uiPriority w:val="99"/>
    <w:semiHidden/>
    <w:unhideWhenUsed/>
    <w:rsid w:val="00035DF7"/>
    <w:rPr>
      <w:sz w:val="18"/>
      <w:szCs w:val="18"/>
    </w:rPr>
  </w:style>
  <w:style w:type="paragraph" w:styleId="CommentText">
    <w:name w:val="annotation text"/>
    <w:basedOn w:val="Normal"/>
    <w:link w:val="CommentTextChar"/>
    <w:uiPriority w:val="99"/>
    <w:semiHidden/>
    <w:unhideWhenUsed/>
    <w:rsid w:val="00035DF7"/>
    <w:pPr>
      <w:spacing w:line="240" w:lineRule="auto"/>
    </w:pPr>
    <w:rPr>
      <w:szCs w:val="24"/>
    </w:rPr>
  </w:style>
  <w:style w:type="character" w:customStyle="1" w:styleId="CommentTextChar">
    <w:name w:val="Comment Text Char"/>
    <w:basedOn w:val="DefaultParagraphFont"/>
    <w:link w:val="CommentText"/>
    <w:uiPriority w:val="99"/>
    <w:semiHidden/>
    <w:rsid w:val="00035DF7"/>
    <w:rPr>
      <w:szCs w:val="24"/>
    </w:rPr>
  </w:style>
  <w:style w:type="paragraph" w:styleId="CommentSubject">
    <w:name w:val="annotation subject"/>
    <w:basedOn w:val="CommentText"/>
    <w:next w:val="CommentText"/>
    <w:link w:val="CommentSubjectChar"/>
    <w:uiPriority w:val="99"/>
    <w:semiHidden/>
    <w:unhideWhenUsed/>
    <w:rsid w:val="00035DF7"/>
    <w:rPr>
      <w:b/>
      <w:bCs/>
      <w:sz w:val="20"/>
      <w:szCs w:val="20"/>
    </w:rPr>
  </w:style>
  <w:style w:type="character" w:customStyle="1" w:styleId="CommentSubjectChar">
    <w:name w:val="Comment Subject Char"/>
    <w:basedOn w:val="CommentTextChar"/>
    <w:link w:val="CommentSubject"/>
    <w:uiPriority w:val="99"/>
    <w:semiHidden/>
    <w:rsid w:val="00035DF7"/>
    <w:rPr>
      <w:b/>
      <w:bCs/>
      <w:sz w:val="20"/>
      <w:szCs w:val="20"/>
    </w:rPr>
  </w:style>
  <w:style w:type="paragraph" w:styleId="BalloonText">
    <w:name w:val="Balloon Text"/>
    <w:basedOn w:val="Normal"/>
    <w:link w:val="BalloonTextChar"/>
    <w:uiPriority w:val="99"/>
    <w:semiHidden/>
    <w:unhideWhenUsed/>
    <w:rsid w:val="00035D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F7"/>
    <w:rPr>
      <w:rFonts w:ascii="Lucida Grande" w:hAnsi="Lucida Grande" w:cs="Lucida Grande"/>
      <w:sz w:val="18"/>
      <w:szCs w:val="18"/>
    </w:rPr>
  </w:style>
  <w:style w:type="table" w:styleId="TableGrid">
    <w:name w:val="Table Grid"/>
    <w:basedOn w:val="TableNormal"/>
    <w:uiPriority w:val="59"/>
    <w:rsid w:val="007C5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D1670"/>
    <w:rPr>
      <w:rFonts w:ascii="ADMIGO+TimesNewRoman" w:eastAsia="PMingLiU" w:hAnsi="ADMIGO+TimesNewRoman" w:cs="Times New Roman"/>
      <w:sz w:val="20"/>
      <w:szCs w:val="24"/>
    </w:rPr>
  </w:style>
  <w:style w:type="paragraph" w:styleId="Revision">
    <w:name w:val="Revision"/>
    <w:hidden/>
    <w:uiPriority w:val="99"/>
    <w:semiHidden/>
    <w:rsid w:val="007D16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Research\templates%20for%20visualizing%20interac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abeyta\My%20Documents\Google%20Drive\thumb%20drive\Research\templates%20for%20visualizing%20interac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90649565687296E-2"/>
          <c:y val="6.4615481693933899E-2"/>
          <c:w val="0.68162428720552504"/>
          <c:h val="0.83384740662171797"/>
        </c:manualLayout>
      </c:layout>
      <c:lineChart>
        <c:grouping val="standard"/>
        <c:varyColors val="0"/>
        <c:ser>
          <c:idx val="0"/>
          <c:order val="0"/>
          <c:tx>
            <c:strRef>
              <c:f>Sheet3!$A$7</c:f>
              <c:strCache>
                <c:ptCount val="1"/>
                <c:pt idx="0">
                  <c:v>Nostalgia</c:v>
                </c:pt>
              </c:strCache>
            </c:strRef>
          </c:tx>
          <c:spPr>
            <a:ln w="50800" cap="sq">
              <a:solidFill>
                <a:srgbClr val="000000"/>
              </a:solidFill>
              <a:prstDash val="solid"/>
            </a:ln>
          </c:spPr>
          <c:marker>
            <c:symbol val="none"/>
          </c:marker>
          <c:cat>
            <c:strRef>
              <c:f>Sheet3!$B$6:$C$6</c:f>
              <c:strCache>
                <c:ptCount val="2"/>
                <c:pt idx="0">
                  <c:v>Low Avoidance</c:v>
                </c:pt>
                <c:pt idx="1">
                  <c:v>High Avoidance</c:v>
                </c:pt>
              </c:strCache>
            </c:strRef>
          </c:cat>
          <c:val>
            <c:numRef>
              <c:f>Sheet3!$B$7:$C$7</c:f>
              <c:numCache>
                <c:formatCode>General</c:formatCode>
                <c:ptCount val="2"/>
                <c:pt idx="0">
                  <c:v>2.677</c:v>
                </c:pt>
                <c:pt idx="1">
                  <c:v>1.7643000000000071</c:v>
                </c:pt>
              </c:numCache>
            </c:numRef>
          </c:val>
          <c:smooth val="0"/>
        </c:ser>
        <c:ser>
          <c:idx val="1"/>
          <c:order val="1"/>
          <c:tx>
            <c:strRef>
              <c:f>Sheet3!$A$8</c:f>
              <c:strCache>
                <c:ptCount val="1"/>
                <c:pt idx="0">
                  <c:v>Ordinary</c:v>
                </c:pt>
              </c:strCache>
            </c:strRef>
          </c:tx>
          <c:spPr>
            <a:ln w="50800" cap="sq">
              <a:solidFill>
                <a:srgbClr val="808080"/>
              </a:solidFill>
              <a:prstDash val="lgDash"/>
            </a:ln>
          </c:spPr>
          <c:marker>
            <c:symbol val="none"/>
          </c:marker>
          <c:cat>
            <c:strRef>
              <c:f>Sheet3!$B$6:$C$6</c:f>
              <c:strCache>
                <c:ptCount val="2"/>
                <c:pt idx="0">
                  <c:v>Low Avoidance</c:v>
                </c:pt>
                <c:pt idx="1">
                  <c:v>High Avoidance</c:v>
                </c:pt>
              </c:strCache>
            </c:strRef>
          </c:cat>
          <c:val>
            <c:numRef>
              <c:f>Sheet3!$B$8:$C$8</c:f>
              <c:numCache>
                <c:formatCode>General</c:formatCode>
                <c:ptCount val="2"/>
                <c:pt idx="0">
                  <c:v>1.3911</c:v>
                </c:pt>
                <c:pt idx="1">
                  <c:v>1.4071999999999769</c:v>
                </c:pt>
              </c:numCache>
            </c:numRef>
          </c:val>
          <c:smooth val="0"/>
        </c:ser>
        <c:dLbls>
          <c:showLegendKey val="0"/>
          <c:showVal val="0"/>
          <c:showCatName val="0"/>
          <c:showSerName val="0"/>
          <c:showPercent val="0"/>
          <c:showBubbleSize val="0"/>
        </c:dLbls>
        <c:marker val="1"/>
        <c:smooth val="0"/>
        <c:axId val="152628608"/>
        <c:axId val="152908928"/>
      </c:lineChart>
      <c:catAx>
        <c:axId val="152628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pitchFamily="18" charset="0"/>
                <a:ea typeface="Verdana"/>
                <a:cs typeface="Times New Roman" pitchFamily="18" charset="0"/>
              </a:defRPr>
            </a:pPr>
            <a:endParaRPr lang="en-US"/>
          </a:p>
        </c:txPr>
        <c:crossAx val="152908928"/>
        <c:crosses val="autoZero"/>
        <c:auto val="1"/>
        <c:lblAlgn val="ctr"/>
        <c:lblOffset val="100"/>
        <c:tickLblSkip val="1"/>
        <c:tickMarkSkip val="1"/>
        <c:noMultiLvlLbl val="0"/>
      </c:catAx>
      <c:valAx>
        <c:axId val="152908928"/>
        <c:scaling>
          <c:orientation val="minMax"/>
          <c:max val="5"/>
          <c:min val="1"/>
        </c:scaling>
        <c:delete val="0"/>
        <c:axPos val="l"/>
        <c:title>
          <c:tx>
            <c:rich>
              <a:bodyPr/>
              <a:lstStyle/>
              <a:p>
                <a:pPr>
                  <a:defRPr sz="1200" b="1" i="0" u="none" strike="noStrike" baseline="0">
                    <a:solidFill>
                      <a:srgbClr val="000000"/>
                    </a:solidFill>
                    <a:latin typeface="Times New Roman" pitchFamily="18" charset="0"/>
                    <a:ea typeface="Verdana"/>
                    <a:cs typeface="Times New Roman" pitchFamily="18" charset="0"/>
                  </a:defRPr>
                </a:pPr>
                <a:r>
                  <a:rPr lang="en-US" sz="1200" b="1">
                    <a:latin typeface="Times New Roman" pitchFamily="18" charset="0"/>
                    <a:cs typeface="Times New Roman" pitchFamily="18" charset="0"/>
                  </a:rPr>
                  <a:t>Attachment Content </a:t>
                </a:r>
              </a:p>
            </c:rich>
          </c:tx>
          <c:layout>
            <c:manualLayout>
              <c:xMode val="edge"/>
              <c:yMode val="edge"/>
              <c:x val="1.1435100292829001E-2"/>
              <c:y val="0.304615771933665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Verdana"/>
                <a:ea typeface="Verdana"/>
                <a:cs typeface="Verdana"/>
              </a:defRPr>
            </a:pPr>
            <a:endParaRPr lang="en-US"/>
          </a:p>
        </c:txPr>
        <c:crossAx val="152628608"/>
        <c:crosses val="autoZero"/>
        <c:crossBetween val="between"/>
      </c:valAx>
      <c:spPr>
        <a:noFill/>
        <a:ln w="25400">
          <a:noFill/>
        </a:ln>
      </c:spPr>
    </c:plotArea>
    <c:legend>
      <c:legendPos val="r"/>
      <c:layout>
        <c:manualLayout>
          <c:xMode val="edge"/>
          <c:yMode val="edge"/>
          <c:x val="0.76457479460019595"/>
          <c:y val="0.42704403021050902"/>
          <c:w val="0.19871805238280099"/>
          <c:h val="0.119843055332369"/>
        </c:manualLayout>
      </c:layout>
      <c:overlay val="0"/>
      <c:spPr>
        <a:noFill/>
        <a:ln w="25400">
          <a:noFill/>
        </a:ln>
      </c:spPr>
      <c:txPr>
        <a:bodyPr/>
        <a:lstStyle/>
        <a:p>
          <a:pPr>
            <a:defRPr sz="1000" b="0" i="0" u="none" strike="noStrike" baseline="0">
              <a:solidFill>
                <a:srgbClr val="000000"/>
              </a:solidFill>
              <a:latin typeface="Times New Roman" pitchFamily="18" charset="0"/>
              <a:ea typeface="Verdana"/>
              <a:cs typeface="Times New Roman" pitchFamily="18" charset="0"/>
            </a:defRPr>
          </a:pPr>
          <a:endParaRPr lang="en-US"/>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90649565685298E-2"/>
          <c:y val="6.46154816939329E-2"/>
          <c:w val="0.68162428720551405"/>
          <c:h val="0.83384740662170698"/>
        </c:manualLayout>
      </c:layout>
      <c:lineChart>
        <c:grouping val="standard"/>
        <c:varyColors val="0"/>
        <c:ser>
          <c:idx val="0"/>
          <c:order val="0"/>
          <c:tx>
            <c:strRef>
              <c:f>Sheet3!$A$7</c:f>
              <c:strCache>
                <c:ptCount val="1"/>
                <c:pt idx="0">
                  <c:v>Nostalgia</c:v>
                </c:pt>
              </c:strCache>
            </c:strRef>
          </c:tx>
          <c:spPr>
            <a:ln w="50800" cap="sq">
              <a:solidFill>
                <a:srgbClr val="000000"/>
              </a:solidFill>
              <a:prstDash val="solid"/>
            </a:ln>
          </c:spPr>
          <c:marker>
            <c:symbol val="none"/>
          </c:marker>
          <c:cat>
            <c:strRef>
              <c:f>Sheet3!$B$6:$C$6</c:f>
              <c:strCache>
                <c:ptCount val="2"/>
                <c:pt idx="0">
                  <c:v>Low Avoidance</c:v>
                </c:pt>
                <c:pt idx="1">
                  <c:v>High Avoidance</c:v>
                </c:pt>
              </c:strCache>
            </c:strRef>
          </c:cat>
          <c:val>
            <c:numRef>
              <c:f>Sheet3!$B$7:$C$7</c:f>
              <c:numCache>
                <c:formatCode>General</c:formatCode>
                <c:ptCount val="2"/>
                <c:pt idx="0">
                  <c:v>1.5848</c:v>
                </c:pt>
                <c:pt idx="1">
                  <c:v>2.1922000000000001</c:v>
                </c:pt>
              </c:numCache>
            </c:numRef>
          </c:val>
          <c:smooth val="0"/>
        </c:ser>
        <c:ser>
          <c:idx val="1"/>
          <c:order val="1"/>
          <c:tx>
            <c:strRef>
              <c:f>Sheet3!$A$8</c:f>
              <c:strCache>
                <c:ptCount val="1"/>
                <c:pt idx="0">
                  <c:v>Ordinary</c:v>
                </c:pt>
              </c:strCache>
            </c:strRef>
          </c:tx>
          <c:spPr>
            <a:ln w="50800" cap="sq">
              <a:solidFill>
                <a:srgbClr val="808080"/>
              </a:solidFill>
              <a:prstDash val="lgDash"/>
            </a:ln>
          </c:spPr>
          <c:marker>
            <c:symbol val="none"/>
          </c:marker>
          <c:cat>
            <c:strRef>
              <c:f>Sheet3!$B$6:$C$6</c:f>
              <c:strCache>
                <c:ptCount val="2"/>
                <c:pt idx="0">
                  <c:v>Low Avoidance</c:v>
                </c:pt>
                <c:pt idx="1">
                  <c:v>High Avoidance</c:v>
                </c:pt>
              </c:strCache>
            </c:strRef>
          </c:cat>
          <c:val>
            <c:numRef>
              <c:f>Sheet3!$B$8:$C$8</c:f>
              <c:numCache>
                <c:formatCode>General</c:formatCode>
                <c:ptCount val="2"/>
                <c:pt idx="0">
                  <c:v>1.512699999999999</c:v>
                </c:pt>
                <c:pt idx="1">
                  <c:v>1.2982</c:v>
                </c:pt>
              </c:numCache>
            </c:numRef>
          </c:val>
          <c:smooth val="0"/>
        </c:ser>
        <c:dLbls>
          <c:showLegendKey val="0"/>
          <c:showVal val="0"/>
          <c:showCatName val="0"/>
          <c:showSerName val="0"/>
          <c:showPercent val="0"/>
          <c:showBubbleSize val="0"/>
        </c:dLbls>
        <c:marker val="1"/>
        <c:smooth val="0"/>
        <c:axId val="155338624"/>
        <c:axId val="155340160"/>
      </c:lineChart>
      <c:catAx>
        <c:axId val="1553386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pitchFamily="18" charset="0"/>
                <a:ea typeface="Verdana"/>
                <a:cs typeface="Times New Roman" pitchFamily="18" charset="0"/>
              </a:defRPr>
            </a:pPr>
            <a:endParaRPr lang="en-US"/>
          </a:p>
        </c:txPr>
        <c:crossAx val="155340160"/>
        <c:crosses val="autoZero"/>
        <c:auto val="1"/>
        <c:lblAlgn val="ctr"/>
        <c:lblOffset val="100"/>
        <c:tickLblSkip val="1"/>
        <c:tickMarkSkip val="1"/>
        <c:noMultiLvlLbl val="0"/>
      </c:catAx>
      <c:valAx>
        <c:axId val="155340160"/>
        <c:scaling>
          <c:orientation val="minMax"/>
          <c:max val="5"/>
          <c:min val="1"/>
        </c:scaling>
        <c:delete val="0"/>
        <c:axPos val="l"/>
        <c:title>
          <c:tx>
            <c:rich>
              <a:bodyPr/>
              <a:lstStyle/>
              <a:p>
                <a:pPr>
                  <a:defRPr sz="1200" b="1" i="0" u="none" strike="noStrike" baseline="0">
                    <a:solidFill>
                      <a:srgbClr val="000000"/>
                    </a:solidFill>
                    <a:latin typeface="Times New Roman" pitchFamily="18" charset="0"/>
                    <a:ea typeface="Verdana"/>
                    <a:cs typeface="Times New Roman" pitchFamily="18" charset="0"/>
                  </a:defRPr>
                </a:pPr>
                <a:r>
                  <a:rPr lang="en-US" sz="1200" b="1">
                    <a:latin typeface="Times New Roman" pitchFamily="18" charset="0"/>
                    <a:cs typeface="Times New Roman" pitchFamily="18" charset="0"/>
                  </a:rPr>
                  <a:t>Agency</a:t>
                </a:r>
                <a:r>
                  <a:rPr lang="en-US" sz="1200" b="1" baseline="0">
                    <a:latin typeface="Times New Roman" pitchFamily="18" charset="0"/>
                    <a:cs typeface="Times New Roman" pitchFamily="18" charset="0"/>
                  </a:rPr>
                  <a:t> Content</a:t>
                </a:r>
                <a:endParaRPr lang="en-US" sz="1200" b="1">
                  <a:latin typeface="Times New Roman" pitchFamily="18" charset="0"/>
                  <a:cs typeface="Times New Roman" pitchFamily="18" charset="0"/>
                </a:endParaRPr>
              </a:p>
            </c:rich>
          </c:tx>
          <c:layout>
            <c:manualLayout>
              <c:xMode val="edge"/>
              <c:yMode val="edge"/>
              <c:x val="2.7488094932758798E-3"/>
              <c:y val="0.243391183244951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Verdana"/>
                <a:ea typeface="Verdana"/>
                <a:cs typeface="Verdana"/>
              </a:defRPr>
            </a:pPr>
            <a:endParaRPr lang="en-US"/>
          </a:p>
        </c:txPr>
        <c:crossAx val="155338624"/>
        <c:crosses val="autoZero"/>
        <c:crossBetween val="between"/>
      </c:valAx>
      <c:spPr>
        <a:noFill/>
        <a:ln w="25400">
          <a:noFill/>
        </a:ln>
      </c:spPr>
    </c:plotArea>
    <c:legend>
      <c:legendPos val="r"/>
      <c:layout>
        <c:manualLayout>
          <c:xMode val="edge"/>
          <c:yMode val="edge"/>
          <c:x val="0.76457479460018796"/>
          <c:y val="0.42704403021050902"/>
          <c:w val="0.19871805238279899"/>
          <c:h val="0.119843055332369"/>
        </c:manualLayout>
      </c:layout>
      <c:overlay val="0"/>
      <c:spPr>
        <a:noFill/>
        <a:ln w="25400">
          <a:noFill/>
        </a:ln>
      </c:spPr>
      <c:txPr>
        <a:bodyPr/>
        <a:lstStyle/>
        <a:p>
          <a:pPr>
            <a:defRPr sz="1000" b="0" i="0" u="none" strike="noStrike" baseline="0">
              <a:solidFill>
                <a:srgbClr val="000000"/>
              </a:solidFill>
              <a:latin typeface="Times New Roman" pitchFamily="18" charset="0"/>
              <a:ea typeface="Verdana"/>
              <a:cs typeface="Times New Roman" pitchFamily="18" charset="0"/>
            </a:defRPr>
          </a:pPr>
          <a:endParaRPr lang="en-US"/>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Verdana"/>
          <a:ea typeface="Verdana"/>
          <a:cs typeface="Verdan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9D52-F611-4D8A-AE2F-7B29FB2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3066</Words>
  <Characters>18123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aabeyta</dc:creator>
  <cp:lastModifiedBy>Barrett-Gordon G.</cp:lastModifiedBy>
  <cp:revision>2</cp:revision>
  <cp:lastPrinted>2013-07-15T21:23:00Z</cp:lastPrinted>
  <dcterms:created xsi:type="dcterms:W3CDTF">2015-04-21T13:46:00Z</dcterms:created>
  <dcterms:modified xsi:type="dcterms:W3CDTF">2015-04-21T13:46:00Z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1962988403</vt:i4>
  </property>
  <property fmtid="{D5CDD505-2E9C-101B-9397-08002B2CF9AE}" pid="3" name="_NewReviewCycle">
    <vt:lpwstr/>
  </property>
  <property fmtid="{D5CDD505-2E9C-101B-9397-08002B2CF9AE}" pid="4" name="_EmailSubject">
    <vt:lpwstr>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