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C4B9BD" w14:textId="48233442" w:rsidR="0008397F" w:rsidRPr="002F0DB0" w:rsidRDefault="00572B71" w:rsidP="0008397F">
      <w:pPr>
        <w:rPr>
          <w:rFonts w:asciiTheme="majorHAnsi" w:hAnsiTheme="majorHAnsi"/>
          <w:sz w:val="24"/>
          <w:szCs w:val="24"/>
        </w:rPr>
      </w:pPr>
      <w:r w:rsidRPr="002F0DB0">
        <w:rPr>
          <w:rFonts w:asciiTheme="majorHAnsi" w:hAnsiTheme="majorHAnsi"/>
          <w:b/>
          <w:bCs/>
          <w:sz w:val="24"/>
          <w:szCs w:val="24"/>
        </w:rPr>
        <w:t>SUPP</w:t>
      </w:r>
      <w:r w:rsidR="00DE6C02" w:rsidRPr="002F0DB0">
        <w:rPr>
          <w:rFonts w:asciiTheme="majorHAnsi" w:hAnsiTheme="majorHAnsi"/>
          <w:b/>
          <w:bCs/>
          <w:sz w:val="24"/>
          <w:szCs w:val="24"/>
        </w:rPr>
        <w:t>ORTING</w:t>
      </w:r>
      <w:r w:rsidR="00EB2DF3" w:rsidRPr="002F0DB0">
        <w:rPr>
          <w:rFonts w:asciiTheme="majorHAnsi" w:hAnsiTheme="majorHAnsi"/>
          <w:b/>
          <w:bCs/>
          <w:sz w:val="24"/>
          <w:szCs w:val="24"/>
        </w:rPr>
        <w:t xml:space="preserve"> INFORMATION</w:t>
      </w:r>
    </w:p>
    <w:p w14:paraId="4C164C4B" w14:textId="77777777" w:rsidR="00E85701" w:rsidRPr="002F0DB0" w:rsidRDefault="00E85701" w:rsidP="00E85701">
      <w:pPr>
        <w:spacing w:after="0"/>
        <w:rPr>
          <w:rFonts w:asciiTheme="majorHAnsi" w:eastAsia="Cambria" w:hAnsiTheme="majorHAnsi" w:cs="Arial"/>
          <w:b/>
          <w:bCs/>
          <w:sz w:val="24"/>
          <w:szCs w:val="24"/>
          <w:lang w:eastAsia="en-US"/>
        </w:rPr>
      </w:pPr>
      <w:r w:rsidRPr="002F0DB0">
        <w:rPr>
          <w:rFonts w:asciiTheme="majorHAnsi" w:eastAsia="Cambria" w:hAnsiTheme="majorHAnsi" w:cs="Arial"/>
          <w:b/>
          <w:bCs/>
          <w:sz w:val="24"/>
          <w:szCs w:val="24"/>
          <w:lang w:eastAsia="en-US"/>
        </w:rPr>
        <w:t xml:space="preserve">Variant B cell receptor isotype functions differ in Hairy cell leukemia with mutated </w:t>
      </w:r>
      <w:r w:rsidRPr="002F0DB0">
        <w:rPr>
          <w:rFonts w:asciiTheme="majorHAnsi" w:eastAsia="Cambria" w:hAnsiTheme="majorHAnsi" w:cs="Arial"/>
          <w:b/>
          <w:bCs/>
          <w:i/>
          <w:iCs/>
          <w:sz w:val="24"/>
          <w:szCs w:val="24"/>
          <w:lang w:eastAsia="en-US"/>
        </w:rPr>
        <w:t>BRAF</w:t>
      </w:r>
      <w:r w:rsidRPr="002F0DB0">
        <w:rPr>
          <w:rFonts w:asciiTheme="majorHAnsi" w:eastAsia="Cambria" w:hAnsiTheme="majorHAnsi" w:cs="Arial"/>
          <w:b/>
          <w:bCs/>
          <w:sz w:val="24"/>
          <w:szCs w:val="24"/>
          <w:lang w:eastAsia="en-US"/>
        </w:rPr>
        <w:t xml:space="preserve"> and </w:t>
      </w:r>
      <w:r w:rsidRPr="002F0DB0">
        <w:rPr>
          <w:rFonts w:asciiTheme="majorHAnsi" w:eastAsia="Cambria" w:hAnsiTheme="majorHAnsi" w:cs="Arial"/>
          <w:b/>
          <w:bCs/>
          <w:i/>
          <w:iCs/>
          <w:sz w:val="24"/>
          <w:szCs w:val="24"/>
          <w:lang w:eastAsia="en-US"/>
        </w:rPr>
        <w:t xml:space="preserve">IGHV </w:t>
      </w:r>
      <w:r w:rsidRPr="002F0DB0">
        <w:rPr>
          <w:rFonts w:asciiTheme="majorHAnsi" w:eastAsia="Cambria" w:hAnsiTheme="majorHAnsi" w:cs="Arial"/>
          <w:b/>
          <w:bCs/>
          <w:sz w:val="24"/>
          <w:szCs w:val="24"/>
          <w:lang w:eastAsia="en-US"/>
        </w:rPr>
        <w:t>genes</w:t>
      </w:r>
    </w:p>
    <w:p w14:paraId="0E79C1C6" w14:textId="77777777" w:rsidR="00E85701" w:rsidRPr="002F0DB0" w:rsidRDefault="00E85701" w:rsidP="00E85701">
      <w:pPr>
        <w:spacing w:after="0"/>
        <w:rPr>
          <w:rFonts w:asciiTheme="majorHAnsi" w:eastAsia="Cambria" w:hAnsiTheme="majorHAnsi" w:cs="Arial"/>
          <w:sz w:val="24"/>
          <w:szCs w:val="24"/>
          <w:lang w:eastAsia="en-US"/>
        </w:rPr>
      </w:pPr>
      <w:r w:rsidRPr="002F0DB0">
        <w:rPr>
          <w:rFonts w:asciiTheme="majorHAnsi" w:eastAsia="Cambria" w:hAnsiTheme="majorHAnsi" w:cs="Arial"/>
          <w:sz w:val="24"/>
          <w:szCs w:val="24"/>
          <w:lang w:eastAsia="en-US"/>
        </w:rPr>
        <w:t>Nicola J Weston-Bell, Francesco Forconi, Hanneke C Kluin-Nelemans &amp; Surinder S Sahota</w:t>
      </w:r>
    </w:p>
    <w:p w14:paraId="05EC79B9" w14:textId="77777777" w:rsidR="00E85701" w:rsidRPr="002F0DB0" w:rsidRDefault="00E85701" w:rsidP="0008397F">
      <w:pPr>
        <w:rPr>
          <w:rFonts w:asciiTheme="majorHAnsi" w:hAnsiTheme="majorHAnsi"/>
          <w:b/>
          <w:sz w:val="24"/>
          <w:szCs w:val="24"/>
        </w:rPr>
      </w:pPr>
    </w:p>
    <w:p w14:paraId="5C0652D8" w14:textId="77777777" w:rsidR="0008397F" w:rsidRPr="002F0DB0" w:rsidRDefault="00E85701" w:rsidP="0008397F">
      <w:pPr>
        <w:rPr>
          <w:rFonts w:asciiTheme="majorHAnsi" w:hAnsiTheme="majorHAnsi"/>
          <w:sz w:val="24"/>
          <w:szCs w:val="24"/>
        </w:rPr>
      </w:pPr>
      <w:r w:rsidRPr="002F0DB0">
        <w:rPr>
          <w:rFonts w:asciiTheme="majorHAnsi" w:hAnsiTheme="majorHAnsi"/>
          <w:b/>
          <w:sz w:val="24"/>
          <w:szCs w:val="24"/>
        </w:rPr>
        <w:t xml:space="preserve">Supplementary </w:t>
      </w:r>
      <w:r w:rsidR="0008397F" w:rsidRPr="002F0DB0">
        <w:rPr>
          <w:rFonts w:asciiTheme="majorHAnsi" w:hAnsiTheme="majorHAnsi"/>
          <w:b/>
          <w:sz w:val="24"/>
          <w:szCs w:val="24"/>
        </w:rPr>
        <w:t>Materials and Methods</w:t>
      </w:r>
    </w:p>
    <w:p w14:paraId="79A521D9" w14:textId="77777777" w:rsidR="0008397F" w:rsidRPr="002F0DB0" w:rsidRDefault="0008397F" w:rsidP="0008397F">
      <w:pPr>
        <w:rPr>
          <w:rFonts w:asciiTheme="majorHAnsi" w:hAnsiTheme="majorHAnsi"/>
          <w:i/>
          <w:sz w:val="24"/>
          <w:szCs w:val="24"/>
        </w:rPr>
      </w:pPr>
      <w:r w:rsidRPr="002F0DB0">
        <w:rPr>
          <w:rFonts w:asciiTheme="majorHAnsi" w:hAnsiTheme="majorHAnsi"/>
          <w:i/>
          <w:sz w:val="24"/>
          <w:szCs w:val="24"/>
        </w:rPr>
        <w:t>Patient Samples</w:t>
      </w:r>
    </w:p>
    <w:p w14:paraId="4F108BED" w14:textId="71F6A815" w:rsidR="0008397F" w:rsidRPr="002F0DB0" w:rsidRDefault="0008397F" w:rsidP="008E79B1">
      <w:pPr>
        <w:rPr>
          <w:rFonts w:asciiTheme="majorHAnsi" w:hAnsiTheme="majorHAnsi"/>
          <w:sz w:val="24"/>
          <w:szCs w:val="24"/>
        </w:rPr>
      </w:pPr>
      <w:r w:rsidRPr="002F0DB0">
        <w:rPr>
          <w:rFonts w:asciiTheme="majorHAnsi" w:hAnsiTheme="majorHAnsi"/>
          <w:sz w:val="24"/>
          <w:szCs w:val="24"/>
          <w:lang w:val="en-US"/>
        </w:rPr>
        <w:t>The diagnosis of typical HCL disease was established on the basis of clinical criteria, morphology of the neoplastic cells in blood and histology of bone marrow and spleen, cytochemical analysis, and immunophenotype (CD11C/CD19/CD22/CD25</w:t>
      </w:r>
      <w:r w:rsidRPr="002F0DB0">
        <w:rPr>
          <w:rFonts w:asciiTheme="majorHAnsi" w:hAnsiTheme="majorHAnsi"/>
          <w:sz w:val="24"/>
          <w:szCs w:val="24"/>
          <w:vertAlign w:val="superscript"/>
          <w:lang w:val="en-US"/>
        </w:rPr>
        <w:t>+</w:t>
      </w:r>
      <w:r w:rsidRPr="002F0DB0">
        <w:rPr>
          <w:rFonts w:asciiTheme="majorHAnsi" w:hAnsiTheme="majorHAnsi"/>
          <w:sz w:val="24"/>
          <w:szCs w:val="24"/>
          <w:lang w:val="en-US"/>
        </w:rPr>
        <w:t>)</w:t>
      </w:r>
      <w:r w:rsidR="00B441D7">
        <w:rPr>
          <w:rFonts w:asciiTheme="majorHAnsi" w:hAnsiTheme="majorHAnsi"/>
          <w:sz w:val="24"/>
          <w:szCs w:val="24"/>
          <w:lang w:val="en-US"/>
        </w:rPr>
        <w:t xml:space="preserve"> [22]</w:t>
      </w:r>
      <w:r w:rsidRPr="002F0DB0">
        <w:rPr>
          <w:rFonts w:asciiTheme="majorHAnsi" w:hAnsiTheme="majorHAnsi"/>
          <w:sz w:val="24"/>
          <w:szCs w:val="24"/>
          <w:lang w:val="en-US"/>
        </w:rPr>
        <w:t xml:space="preserve">. </w:t>
      </w:r>
      <w:r w:rsidRPr="002F0DB0">
        <w:rPr>
          <w:rFonts w:asciiTheme="majorHAnsi" w:hAnsiTheme="majorHAnsi"/>
          <w:sz w:val="24"/>
          <w:szCs w:val="24"/>
        </w:rPr>
        <w:t>Patients underwent splenectomy, and disaggregated splenic lymphocytes were stored in liquid N</w:t>
      </w:r>
      <w:r w:rsidRPr="003829EA">
        <w:rPr>
          <w:rFonts w:asciiTheme="majorHAnsi" w:hAnsiTheme="majorHAnsi"/>
          <w:sz w:val="24"/>
          <w:szCs w:val="24"/>
          <w:vertAlign w:val="subscript"/>
        </w:rPr>
        <w:t>2</w:t>
      </w:r>
      <w:r w:rsidRPr="002F0DB0">
        <w:rPr>
          <w:rFonts w:asciiTheme="majorHAnsi" w:hAnsiTheme="majorHAnsi"/>
          <w:sz w:val="24"/>
          <w:szCs w:val="24"/>
        </w:rPr>
        <w:t xml:space="preserve"> until use. </w:t>
      </w:r>
    </w:p>
    <w:p w14:paraId="48D4D3F2" w14:textId="77777777" w:rsidR="0008397F" w:rsidRPr="002F0DB0" w:rsidRDefault="0008397F" w:rsidP="0008397F">
      <w:pPr>
        <w:rPr>
          <w:rFonts w:asciiTheme="majorHAnsi" w:hAnsiTheme="majorHAnsi"/>
          <w:sz w:val="24"/>
          <w:szCs w:val="24"/>
        </w:rPr>
      </w:pPr>
      <w:r w:rsidRPr="002F0DB0">
        <w:rPr>
          <w:rFonts w:asciiTheme="majorHAnsi" w:hAnsiTheme="majorHAnsi"/>
          <w:sz w:val="24"/>
          <w:szCs w:val="24"/>
        </w:rPr>
        <w:t>Frozen samples were thawed, washed and resuspended in complete RPMI medium (cRPMI) (RPMI 1640, 20% fetal calf serum, 1 mM sodium pyruvate MEM, 0.1 mM MEM non-essential amino acids, 2 mM L-glutamine (Gibco Invitrogen, Paisley, UK)) and allowed to stabilise at 37ºC in 5% CO</w:t>
      </w:r>
      <w:r w:rsidRPr="002F0DB0">
        <w:rPr>
          <w:rFonts w:asciiTheme="majorHAnsi" w:hAnsiTheme="majorHAnsi"/>
          <w:sz w:val="24"/>
          <w:szCs w:val="24"/>
          <w:vertAlign w:val="subscript"/>
        </w:rPr>
        <w:t>2</w:t>
      </w:r>
      <w:r w:rsidRPr="002F0DB0">
        <w:rPr>
          <w:rFonts w:asciiTheme="majorHAnsi" w:hAnsiTheme="majorHAnsi"/>
          <w:sz w:val="24"/>
          <w:szCs w:val="24"/>
        </w:rPr>
        <w:t xml:space="preserve"> for at least 1h prior to use. Viablilty was assessed by trypan blue exclusion. </w:t>
      </w:r>
    </w:p>
    <w:p w14:paraId="27D3C461" w14:textId="77777777" w:rsidR="0008397F" w:rsidRPr="002F0DB0" w:rsidRDefault="0008397F" w:rsidP="0008397F">
      <w:pPr>
        <w:rPr>
          <w:rFonts w:asciiTheme="majorHAnsi" w:hAnsiTheme="majorHAnsi"/>
          <w:i/>
          <w:sz w:val="24"/>
          <w:szCs w:val="24"/>
        </w:rPr>
      </w:pPr>
      <w:r w:rsidRPr="002F0DB0">
        <w:rPr>
          <w:rFonts w:asciiTheme="majorHAnsi" w:hAnsiTheme="majorHAnsi"/>
          <w:i/>
          <w:sz w:val="24"/>
          <w:szCs w:val="24"/>
        </w:rPr>
        <w:t>Immunophenotyping</w:t>
      </w:r>
    </w:p>
    <w:p w14:paraId="02219270" w14:textId="77777777" w:rsidR="00E85701" w:rsidRPr="002F0DB0" w:rsidRDefault="0008397F" w:rsidP="00E85701">
      <w:pPr>
        <w:rPr>
          <w:rFonts w:asciiTheme="majorHAnsi" w:hAnsiTheme="majorHAnsi"/>
          <w:sz w:val="24"/>
          <w:szCs w:val="24"/>
        </w:rPr>
      </w:pPr>
      <w:r w:rsidRPr="002F0DB0">
        <w:rPr>
          <w:rFonts w:asciiTheme="majorHAnsi" w:hAnsiTheme="majorHAnsi"/>
          <w:sz w:val="24"/>
          <w:szCs w:val="24"/>
        </w:rPr>
        <w:t xml:space="preserve">For flow cytometry (FC), HCL cells were incubated with </w:t>
      </w:r>
      <w:r w:rsidRPr="002F0DB0">
        <w:rPr>
          <w:rFonts w:asciiTheme="majorHAnsi" w:hAnsiTheme="majorHAnsi"/>
          <w:sz w:val="24"/>
          <w:szCs w:val="24"/>
        </w:rPr>
        <w:sym w:font="Symbol" w:char="F061"/>
      </w:r>
      <w:r w:rsidRPr="002F0DB0">
        <w:rPr>
          <w:rFonts w:asciiTheme="majorHAnsi" w:hAnsiTheme="majorHAnsi"/>
          <w:sz w:val="24"/>
          <w:szCs w:val="24"/>
        </w:rPr>
        <w:t xml:space="preserve">-CD19-perCP-cy5.5, </w:t>
      </w:r>
      <w:r w:rsidRPr="002F0DB0">
        <w:rPr>
          <w:rFonts w:asciiTheme="majorHAnsi" w:hAnsiTheme="majorHAnsi"/>
          <w:sz w:val="24"/>
          <w:szCs w:val="24"/>
        </w:rPr>
        <w:sym w:font="Symbol" w:char="F061"/>
      </w:r>
      <w:r w:rsidRPr="002F0DB0">
        <w:rPr>
          <w:rFonts w:asciiTheme="majorHAnsi" w:hAnsiTheme="majorHAnsi"/>
          <w:sz w:val="24"/>
          <w:szCs w:val="24"/>
        </w:rPr>
        <w:t xml:space="preserve">-CD19-Pacific Blue or </w:t>
      </w:r>
      <w:r w:rsidRPr="002F0DB0">
        <w:rPr>
          <w:rFonts w:asciiTheme="majorHAnsi" w:hAnsiTheme="majorHAnsi"/>
          <w:sz w:val="24"/>
          <w:szCs w:val="24"/>
        </w:rPr>
        <w:sym w:font="Symbol" w:char="F061"/>
      </w:r>
      <w:r w:rsidRPr="002F0DB0">
        <w:rPr>
          <w:rFonts w:asciiTheme="majorHAnsi" w:hAnsiTheme="majorHAnsi"/>
          <w:sz w:val="24"/>
          <w:szCs w:val="24"/>
        </w:rPr>
        <w:t xml:space="preserve">-CD19-V450 (BD Pharmingen, Oxford, UK) and </w:t>
      </w:r>
      <w:r w:rsidRPr="002F0DB0">
        <w:rPr>
          <w:rFonts w:asciiTheme="majorHAnsi" w:hAnsiTheme="majorHAnsi"/>
          <w:sz w:val="24"/>
          <w:szCs w:val="24"/>
        </w:rPr>
        <w:sym w:font="Symbol" w:char="F061"/>
      </w:r>
      <w:r w:rsidRPr="002F0DB0">
        <w:rPr>
          <w:rFonts w:asciiTheme="majorHAnsi" w:hAnsiTheme="majorHAnsi"/>
          <w:sz w:val="24"/>
          <w:szCs w:val="24"/>
        </w:rPr>
        <w:t xml:space="preserve">-CD11c-APC at 1:10 (Biolegend, San Diego, CA, USA) </w:t>
      </w:r>
      <w:r w:rsidR="00A250E0" w:rsidRPr="002F0DB0">
        <w:rPr>
          <w:rFonts w:asciiTheme="majorHAnsi" w:hAnsiTheme="majorHAnsi" w:cs="Arial"/>
          <w:sz w:val="24"/>
          <w:szCs w:val="24"/>
        </w:rPr>
        <w:t xml:space="preserve">and/or </w:t>
      </w:r>
      <w:r w:rsidR="00A250E0" w:rsidRPr="002F0DB0">
        <w:rPr>
          <w:rFonts w:asciiTheme="majorHAnsi" w:hAnsiTheme="majorHAnsi" w:cs="Arial"/>
          <w:sz w:val="24"/>
          <w:szCs w:val="24"/>
        </w:rPr>
        <w:sym w:font="Symbol" w:char="F061"/>
      </w:r>
      <w:r w:rsidR="00A250E0" w:rsidRPr="002F0DB0">
        <w:rPr>
          <w:rFonts w:asciiTheme="majorHAnsi" w:hAnsiTheme="majorHAnsi" w:cs="Arial"/>
          <w:sz w:val="24"/>
          <w:szCs w:val="24"/>
        </w:rPr>
        <w:t xml:space="preserve">-CD103-PE-Cy7 at 1:20 (BioLegend, London, UK) </w:t>
      </w:r>
      <w:r w:rsidRPr="002F0DB0">
        <w:rPr>
          <w:rFonts w:asciiTheme="majorHAnsi" w:hAnsiTheme="majorHAnsi"/>
          <w:sz w:val="24"/>
          <w:szCs w:val="24"/>
        </w:rPr>
        <w:t xml:space="preserve">with combinations of rabbit </w:t>
      </w:r>
      <w:proofErr w:type="gramStart"/>
      <w:r w:rsidRPr="002F0DB0">
        <w:rPr>
          <w:rFonts w:asciiTheme="majorHAnsi" w:hAnsiTheme="majorHAnsi"/>
          <w:sz w:val="24"/>
          <w:szCs w:val="24"/>
        </w:rPr>
        <w:t>F(</w:t>
      </w:r>
      <w:proofErr w:type="gramEnd"/>
      <w:r w:rsidRPr="002F0DB0">
        <w:rPr>
          <w:rFonts w:asciiTheme="majorHAnsi" w:hAnsiTheme="majorHAnsi"/>
          <w:sz w:val="24"/>
          <w:szCs w:val="24"/>
        </w:rPr>
        <w:t>ab’)</w:t>
      </w:r>
      <w:r w:rsidRPr="002F0DB0">
        <w:rPr>
          <w:rFonts w:asciiTheme="majorHAnsi" w:hAnsiTheme="majorHAnsi"/>
          <w:sz w:val="24"/>
          <w:szCs w:val="24"/>
          <w:vertAlign w:val="subscript"/>
        </w:rPr>
        <w:t>2</w:t>
      </w:r>
      <w:r w:rsidRPr="002F0DB0">
        <w:rPr>
          <w:rFonts w:asciiTheme="majorHAnsi" w:hAnsiTheme="majorHAnsi"/>
          <w:sz w:val="24"/>
          <w:szCs w:val="24"/>
        </w:rPr>
        <w:t xml:space="preserve"> </w:t>
      </w:r>
      <w:r w:rsidRPr="002F0DB0">
        <w:rPr>
          <w:rFonts w:asciiTheme="majorHAnsi" w:hAnsiTheme="majorHAnsi"/>
          <w:sz w:val="24"/>
          <w:szCs w:val="24"/>
        </w:rPr>
        <w:sym w:font="Symbol" w:char="F061"/>
      </w:r>
      <w:r w:rsidRPr="002F0DB0">
        <w:rPr>
          <w:rFonts w:asciiTheme="majorHAnsi" w:hAnsiTheme="majorHAnsi"/>
          <w:sz w:val="24"/>
          <w:szCs w:val="24"/>
        </w:rPr>
        <w:t xml:space="preserve">-IgA-FITC, </w:t>
      </w:r>
      <w:r w:rsidRPr="002F0DB0">
        <w:rPr>
          <w:rFonts w:asciiTheme="majorHAnsi" w:hAnsiTheme="majorHAnsi"/>
          <w:sz w:val="24"/>
          <w:szCs w:val="24"/>
        </w:rPr>
        <w:sym w:font="Symbol" w:char="F061"/>
      </w:r>
      <w:r w:rsidRPr="002F0DB0">
        <w:rPr>
          <w:rFonts w:asciiTheme="majorHAnsi" w:hAnsiTheme="majorHAnsi"/>
          <w:sz w:val="24"/>
          <w:szCs w:val="24"/>
        </w:rPr>
        <w:t xml:space="preserve">-IgD-FITC. </w:t>
      </w:r>
      <w:r w:rsidRPr="002F0DB0">
        <w:rPr>
          <w:rFonts w:asciiTheme="majorHAnsi" w:hAnsiTheme="majorHAnsi"/>
          <w:sz w:val="24"/>
          <w:szCs w:val="24"/>
        </w:rPr>
        <w:sym w:font="Symbol" w:char="F061"/>
      </w:r>
      <w:r w:rsidRPr="002F0DB0">
        <w:rPr>
          <w:rFonts w:asciiTheme="majorHAnsi" w:hAnsiTheme="majorHAnsi"/>
          <w:sz w:val="24"/>
          <w:szCs w:val="24"/>
        </w:rPr>
        <w:t xml:space="preserve">-IgD-PE, </w:t>
      </w:r>
      <w:r w:rsidRPr="002F0DB0">
        <w:rPr>
          <w:rFonts w:asciiTheme="majorHAnsi" w:hAnsiTheme="majorHAnsi"/>
          <w:sz w:val="24"/>
          <w:szCs w:val="24"/>
        </w:rPr>
        <w:sym w:font="Symbol" w:char="F061"/>
      </w:r>
      <w:r w:rsidRPr="002F0DB0">
        <w:rPr>
          <w:rFonts w:asciiTheme="majorHAnsi" w:hAnsiTheme="majorHAnsi"/>
          <w:sz w:val="24"/>
          <w:szCs w:val="24"/>
        </w:rPr>
        <w:t xml:space="preserve">-IgG-FITC, </w:t>
      </w:r>
      <w:r w:rsidRPr="002F0DB0">
        <w:rPr>
          <w:rFonts w:asciiTheme="majorHAnsi" w:hAnsiTheme="majorHAnsi"/>
          <w:sz w:val="24"/>
          <w:szCs w:val="24"/>
        </w:rPr>
        <w:sym w:font="Symbol" w:char="F061"/>
      </w:r>
      <w:r w:rsidRPr="002F0DB0">
        <w:rPr>
          <w:rFonts w:asciiTheme="majorHAnsi" w:hAnsiTheme="majorHAnsi"/>
          <w:sz w:val="24"/>
          <w:szCs w:val="24"/>
        </w:rPr>
        <w:t xml:space="preserve">-IgM-PE, </w:t>
      </w:r>
      <w:r w:rsidRPr="002F0DB0">
        <w:rPr>
          <w:rFonts w:asciiTheme="majorHAnsi" w:hAnsiTheme="majorHAnsi"/>
          <w:sz w:val="24"/>
          <w:szCs w:val="24"/>
        </w:rPr>
        <w:sym w:font="Symbol" w:char="F061"/>
      </w:r>
      <w:r w:rsidRPr="002F0DB0">
        <w:rPr>
          <w:rFonts w:asciiTheme="majorHAnsi" w:hAnsiTheme="majorHAnsi"/>
          <w:sz w:val="24"/>
          <w:szCs w:val="24"/>
        </w:rPr>
        <w:t xml:space="preserve">-kappa-FITC, </w:t>
      </w:r>
      <w:r w:rsidRPr="002F0DB0">
        <w:rPr>
          <w:rFonts w:asciiTheme="majorHAnsi" w:hAnsiTheme="majorHAnsi"/>
          <w:sz w:val="24"/>
          <w:szCs w:val="24"/>
        </w:rPr>
        <w:sym w:font="Symbol" w:char="F061"/>
      </w:r>
      <w:r w:rsidRPr="002F0DB0">
        <w:rPr>
          <w:rFonts w:asciiTheme="majorHAnsi" w:hAnsiTheme="majorHAnsi"/>
          <w:sz w:val="24"/>
          <w:szCs w:val="24"/>
        </w:rPr>
        <w:t xml:space="preserve">-kappa-PE, </w:t>
      </w:r>
      <w:r w:rsidRPr="002F0DB0">
        <w:rPr>
          <w:rFonts w:asciiTheme="majorHAnsi" w:hAnsiTheme="majorHAnsi"/>
          <w:sz w:val="24"/>
          <w:szCs w:val="24"/>
        </w:rPr>
        <w:sym w:font="Symbol" w:char="F061"/>
      </w:r>
      <w:r w:rsidRPr="002F0DB0">
        <w:rPr>
          <w:rFonts w:asciiTheme="majorHAnsi" w:hAnsiTheme="majorHAnsi"/>
          <w:sz w:val="24"/>
          <w:szCs w:val="24"/>
        </w:rPr>
        <w:t xml:space="preserve">-lambda-FITC and </w:t>
      </w:r>
      <w:r w:rsidRPr="002F0DB0">
        <w:rPr>
          <w:rFonts w:asciiTheme="majorHAnsi" w:hAnsiTheme="majorHAnsi"/>
          <w:sz w:val="24"/>
          <w:szCs w:val="24"/>
        </w:rPr>
        <w:sym w:font="Symbol" w:char="F061"/>
      </w:r>
      <w:r w:rsidRPr="002F0DB0">
        <w:rPr>
          <w:rFonts w:asciiTheme="majorHAnsi" w:hAnsiTheme="majorHAnsi"/>
          <w:sz w:val="24"/>
          <w:szCs w:val="24"/>
        </w:rPr>
        <w:t>-lambda-PE (all Dako, Ely, UK), or with relevant isotype control antibodies in FACS Buffer (1% BSA, 4 mM EDTA, 0.15 mM sodium azide in phosphate buffered saline) for 30 minutes at 4</w:t>
      </w:r>
      <w:r w:rsidRPr="002F0DB0">
        <w:rPr>
          <w:rFonts w:asciiTheme="majorHAnsi" w:hAnsiTheme="majorHAnsi"/>
          <w:sz w:val="24"/>
          <w:szCs w:val="24"/>
        </w:rPr>
        <w:sym w:font="Symbol" w:char="F0B0"/>
      </w:r>
      <w:r w:rsidRPr="002F0DB0">
        <w:rPr>
          <w:rFonts w:asciiTheme="majorHAnsi" w:hAnsiTheme="majorHAnsi"/>
          <w:sz w:val="24"/>
          <w:szCs w:val="24"/>
        </w:rPr>
        <w:t>C. Isotype control labeling was performed with mIgG</w:t>
      </w:r>
      <w:r w:rsidRPr="002F0DB0">
        <w:rPr>
          <w:rFonts w:asciiTheme="majorHAnsi" w:hAnsiTheme="majorHAnsi"/>
          <w:sz w:val="24"/>
          <w:szCs w:val="24"/>
          <w:vertAlign w:val="subscript"/>
        </w:rPr>
        <w:t>1</w:t>
      </w:r>
      <w:proofErr w:type="gramStart"/>
      <w:r w:rsidRPr="002F0DB0">
        <w:rPr>
          <w:rFonts w:asciiTheme="majorHAnsi" w:hAnsiTheme="majorHAnsi"/>
          <w:sz w:val="24"/>
          <w:szCs w:val="24"/>
        </w:rPr>
        <w:t>,k</w:t>
      </w:r>
      <w:proofErr w:type="gramEnd"/>
      <w:r w:rsidRPr="002F0DB0">
        <w:rPr>
          <w:rFonts w:asciiTheme="majorHAnsi" w:hAnsiTheme="majorHAnsi"/>
          <w:sz w:val="24"/>
          <w:szCs w:val="24"/>
        </w:rPr>
        <w:t>-perCP-cy5.5 (BD), mIgG</w:t>
      </w:r>
      <w:r w:rsidRPr="002F0DB0">
        <w:rPr>
          <w:rFonts w:asciiTheme="majorHAnsi" w:hAnsiTheme="majorHAnsi"/>
          <w:sz w:val="24"/>
          <w:szCs w:val="24"/>
          <w:vertAlign w:val="subscript"/>
        </w:rPr>
        <w:t>1</w:t>
      </w:r>
      <w:r w:rsidRPr="002F0DB0">
        <w:rPr>
          <w:rFonts w:asciiTheme="majorHAnsi" w:hAnsiTheme="majorHAnsi"/>
          <w:sz w:val="24"/>
          <w:szCs w:val="24"/>
        </w:rPr>
        <w:t>,k-APC (BD), mIgG</w:t>
      </w:r>
      <w:r w:rsidRPr="002F0DB0">
        <w:rPr>
          <w:rFonts w:asciiTheme="majorHAnsi" w:hAnsiTheme="majorHAnsi"/>
          <w:sz w:val="24"/>
          <w:szCs w:val="24"/>
          <w:vertAlign w:val="subscript"/>
        </w:rPr>
        <w:t>1</w:t>
      </w:r>
      <w:r w:rsidRPr="002F0DB0">
        <w:rPr>
          <w:rFonts w:asciiTheme="majorHAnsi" w:hAnsiTheme="majorHAnsi"/>
          <w:sz w:val="24"/>
          <w:szCs w:val="24"/>
        </w:rPr>
        <w:t>,k-Pacific Blue (BD), mIgG</w:t>
      </w:r>
      <w:r w:rsidRPr="002F0DB0">
        <w:rPr>
          <w:rFonts w:asciiTheme="majorHAnsi" w:hAnsiTheme="majorHAnsi"/>
          <w:sz w:val="24"/>
          <w:szCs w:val="24"/>
          <w:vertAlign w:val="subscript"/>
        </w:rPr>
        <w:t>1</w:t>
      </w:r>
      <w:r w:rsidRPr="002F0DB0">
        <w:rPr>
          <w:rFonts w:asciiTheme="majorHAnsi" w:hAnsiTheme="majorHAnsi"/>
          <w:sz w:val="24"/>
          <w:szCs w:val="24"/>
        </w:rPr>
        <w:t xml:space="preserve">,k-V450, </w:t>
      </w:r>
      <w:r w:rsidR="00A250E0" w:rsidRPr="002F0DB0">
        <w:rPr>
          <w:rFonts w:asciiTheme="majorHAnsi" w:hAnsiTheme="majorHAnsi" w:cs="Arial"/>
          <w:sz w:val="24"/>
          <w:szCs w:val="24"/>
        </w:rPr>
        <w:t>mIgG</w:t>
      </w:r>
      <w:r w:rsidR="00A250E0" w:rsidRPr="002F0DB0">
        <w:rPr>
          <w:rFonts w:asciiTheme="majorHAnsi" w:hAnsiTheme="majorHAnsi" w:cs="Arial"/>
          <w:sz w:val="24"/>
          <w:szCs w:val="24"/>
          <w:vertAlign w:val="subscript"/>
        </w:rPr>
        <w:t>1</w:t>
      </w:r>
      <w:r w:rsidR="00A250E0" w:rsidRPr="002F0DB0">
        <w:rPr>
          <w:rFonts w:asciiTheme="majorHAnsi" w:hAnsiTheme="majorHAnsi" w:cs="Arial"/>
          <w:sz w:val="24"/>
          <w:szCs w:val="24"/>
        </w:rPr>
        <w:t xml:space="preserve">,k-PE/Cy7 (BioLegend), </w:t>
      </w:r>
      <w:r w:rsidRPr="002F0DB0">
        <w:rPr>
          <w:rFonts w:asciiTheme="majorHAnsi" w:hAnsiTheme="majorHAnsi"/>
          <w:sz w:val="24"/>
          <w:szCs w:val="24"/>
        </w:rPr>
        <w:t>rF(ab)</w:t>
      </w:r>
      <w:r w:rsidRPr="002F0DB0">
        <w:rPr>
          <w:rFonts w:asciiTheme="majorHAnsi" w:hAnsiTheme="majorHAnsi"/>
          <w:sz w:val="24"/>
          <w:szCs w:val="24"/>
          <w:vertAlign w:val="subscript"/>
        </w:rPr>
        <w:t>2</w:t>
      </w:r>
      <w:r w:rsidRPr="002F0DB0">
        <w:rPr>
          <w:rFonts w:asciiTheme="majorHAnsi" w:hAnsiTheme="majorHAnsi"/>
          <w:sz w:val="24"/>
          <w:szCs w:val="24"/>
        </w:rPr>
        <w:t>-FITC (Dako) and rF(ab)</w:t>
      </w:r>
      <w:r w:rsidRPr="002F0DB0">
        <w:rPr>
          <w:rFonts w:asciiTheme="majorHAnsi" w:hAnsiTheme="majorHAnsi"/>
          <w:sz w:val="24"/>
          <w:szCs w:val="24"/>
          <w:vertAlign w:val="subscript"/>
        </w:rPr>
        <w:t>2</w:t>
      </w:r>
      <w:r w:rsidRPr="002F0DB0">
        <w:rPr>
          <w:rFonts w:asciiTheme="majorHAnsi" w:hAnsiTheme="majorHAnsi"/>
          <w:sz w:val="24"/>
          <w:szCs w:val="24"/>
        </w:rPr>
        <w:t>-PE (Dako) at equivalent concentration to relevant staining antibody. Cells were gated first as lymphocytes for measurement of tumor population or large lymphocytes for hairy cell gating according to forward and side scatter, then CD19</w:t>
      </w:r>
      <w:r w:rsidRPr="002F0DB0">
        <w:rPr>
          <w:rFonts w:asciiTheme="majorHAnsi" w:hAnsiTheme="majorHAnsi"/>
          <w:sz w:val="24"/>
          <w:szCs w:val="24"/>
          <w:vertAlign w:val="superscript"/>
        </w:rPr>
        <w:t>+</w:t>
      </w:r>
      <w:r w:rsidRPr="002F0DB0">
        <w:rPr>
          <w:rFonts w:asciiTheme="majorHAnsi" w:hAnsiTheme="majorHAnsi"/>
          <w:sz w:val="24"/>
          <w:szCs w:val="24"/>
        </w:rPr>
        <w:t xml:space="preserve"> CD11c</w:t>
      </w:r>
      <w:r w:rsidRPr="002F0DB0">
        <w:rPr>
          <w:rFonts w:asciiTheme="majorHAnsi" w:hAnsiTheme="majorHAnsi"/>
          <w:sz w:val="24"/>
          <w:szCs w:val="24"/>
          <w:vertAlign w:val="superscript"/>
        </w:rPr>
        <w:t>+</w:t>
      </w:r>
      <w:r w:rsidRPr="002F0DB0">
        <w:rPr>
          <w:rFonts w:asciiTheme="majorHAnsi" w:hAnsiTheme="majorHAnsi"/>
          <w:sz w:val="24"/>
          <w:szCs w:val="24"/>
        </w:rPr>
        <w:t xml:space="preserve"> hairy cells were analyzed on a FACSCalibur or FACS Canto II (BD Biosciences, Oxford, UK) for sIg expression.  </w:t>
      </w:r>
      <w:r w:rsidR="001725AB" w:rsidRPr="002F0DB0">
        <w:rPr>
          <w:rFonts w:asciiTheme="majorHAnsi" w:hAnsiTheme="majorHAnsi"/>
          <w:sz w:val="24"/>
          <w:szCs w:val="24"/>
        </w:rPr>
        <w:t xml:space="preserve">Isotype controls were used to establish correct gates. </w:t>
      </w:r>
      <w:r w:rsidRPr="002F0DB0">
        <w:rPr>
          <w:rFonts w:asciiTheme="majorHAnsi" w:hAnsiTheme="majorHAnsi"/>
          <w:sz w:val="24"/>
          <w:szCs w:val="24"/>
        </w:rPr>
        <w:t>Data was analyzed using CellQuest Pro or FACSDiva software (BD Biosciences).</w:t>
      </w:r>
    </w:p>
    <w:p w14:paraId="5CFB73F4" w14:textId="77777777" w:rsidR="0008397F" w:rsidRPr="002F0DB0" w:rsidRDefault="0008397F" w:rsidP="0008397F">
      <w:pPr>
        <w:rPr>
          <w:rFonts w:asciiTheme="majorHAnsi" w:hAnsiTheme="majorHAnsi"/>
          <w:i/>
          <w:sz w:val="24"/>
          <w:szCs w:val="24"/>
        </w:rPr>
      </w:pPr>
      <w:r w:rsidRPr="002F0DB0">
        <w:rPr>
          <w:rFonts w:asciiTheme="majorHAnsi" w:hAnsiTheme="majorHAnsi"/>
          <w:i/>
          <w:sz w:val="24"/>
          <w:szCs w:val="24"/>
        </w:rPr>
        <w:t>BCR induced intracellular calcium flux</w:t>
      </w:r>
    </w:p>
    <w:p w14:paraId="359C4A5C" w14:textId="77777777" w:rsidR="0008397F" w:rsidRPr="002F0DB0" w:rsidRDefault="0008397F" w:rsidP="00572B71">
      <w:pPr>
        <w:rPr>
          <w:rFonts w:asciiTheme="majorHAnsi" w:hAnsiTheme="majorHAnsi"/>
          <w:sz w:val="24"/>
          <w:szCs w:val="24"/>
        </w:rPr>
      </w:pPr>
      <w:r w:rsidRPr="002F0DB0">
        <w:rPr>
          <w:rFonts w:asciiTheme="majorHAnsi" w:hAnsiTheme="majorHAnsi"/>
          <w:sz w:val="24"/>
          <w:szCs w:val="24"/>
        </w:rPr>
        <w:t>Approximately 5x10</w:t>
      </w:r>
      <w:r w:rsidRPr="002F0DB0">
        <w:rPr>
          <w:rFonts w:asciiTheme="majorHAnsi" w:hAnsiTheme="majorHAnsi"/>
          <w:sz w:val="24"/>
          <w:szCs w:val="24"/>
          <w:vertAlign w:val="superscript"/>
        </w:rPr>
        <w:t>6</w:t>
      </w:r>
      <w:r w:rsidRPr="002F0DB0">
        <w:rPr>
          <w:rFonts w:asciiTheme="majorHAnsi" w:hAnsiTheme="majorHAnsi"/>
          <w:sz w:val="24"/>
          <w:szCs w:val="24"/>
        </w:rPr>
        <w:t xml:space="preserve"> cells were washed and loaded with 7 µM Fluo-3AM (FluoroPure grade, Molecular Probes, Invitrogen, Paisley, UK) in cRPMI medium with 0.04 % pluronic F-127 </w:t>
      </w:r>
      <w:r w:rsidRPr="002F0DB0">
        <w:rPr>
          <w:rFonts w:asciiTheme="majorHAnsi" w:hAnsiTheme="majorHAnsi"/>
          <w:sz w:val="24"/>
          <w:szCs w:val="24"/>
        </w:rPr>
        <w:lastRenderedPageBreak/>
        <w:t>(Sigma, Poole, UK) for 30’/37</w:t>
      </w:r>
      <w:r w:rsidRPr="002F0DB0">
        <w:rPr>
          <w:rFonts w:asciiTheme="majorHAnsi" w:hAnsiTheme="majorHAnsi"/>
          <w:sz w:val="24"/>
          <w:szCs w:val="24"/>
        </w:rPr>
        <w:sym w:font="Symbol" w:char="F0B0"/>
      </w:r>
      <w:r w:rsidRPr="002F0DB0">
        <w:rPr>
          <w:rFonts w:asciiTheme="majorHAnsi" w:hAnsiTheme="majorHAnsi"/>
          <w:sz w:val="24"/>
          <w:szCs w:val="24"/>
        </w:rPr>
        <w:t xml:space="preserve">C. Cells were washed and stained with </w:t>
      </w:r>
      <w:r w:rsidRPr="002F0DB0">
        <w:rPr>
          <w:rFonts w:asciiTheme="majorHAnsi" w:hAnsiTheme="majorHAnsi"/>
          <w:sz w:val="24"/>
          <w:szCs w:val="24"/>
        </w:rPr>
        <w:sym w:font="Symbol" w:char="F061"/>
      </w:r>
      <w:r w:rsidRPr="002F0DB0">
        <w:rPr>
          <w:rFonts w:asciiTheme="majorHAnsi" w:hAnsiTheme="majorHAnsi"/>
          <w:sz w:val="24"/>
          <w:szCs w:val="24"/>
        </w:rPr>
        <w:t xml:space="preserve">-CD19-perCP-cy5.5 at 1:10 or </w:t>
      </w:r>
      <w:r w:rsidRPr="002F0DB0">
        <w:rPr>
          <w:rFonts w:asciiTheme="majorHAnsi" w:hAnsiTheme="majorHAnsi"/>
          <w:sz w:val="24"/>
          <w:szCs w:val="24"/>
        </w:rPr>
        <w:sym w:font="Symbol" w:char="F061"/>
      </w:r>
      <w:r w:rsidRPr="002F0DB0">
        <w:rPr>
          <w:rFonts w:asciiTheme="majorHAnsi" w:hAnsiTheme="majorHAnsi"/>
          <w:sz w:val="24"/>
          <w:szCs w:val="24"/>
        </w:rPr>
        <w:t xml:space="preserve">-CD19-Pacific Blue/V450 at 1:20 (BD Biosciences, Oxford, UK) with </w:t>
      </w:r>
      <w:r w:rsidRPr="002F0DB0">
        <w:rPr>
          <w:rFonts w:asciiTheme="majorHAnsi" w:hAnsiTheme="majorHAnsi"/>
          <w:sz w:val="24"/>
          <w:szCs w:val="24"/>
        </w:rPr>
        <w:sym w:font="Symbol" w:char="F061"/>
      </w:r>
      <w:r w:rsidRPr="002F0DB0">
        <w:rPr>
          <w:rFonts w:asciiTheme="majorHAnsi" w:hAnsiTheme="majorHAnsi"/>
          <w:sz w:val="24"/>
          <w:szCs w:val="24"/>
        </w:rPr>
        <w:t xml:space="preserve">-CD11c-APC at 1:10 for 10 minutes at room temperature in the dark, before a final wash in cRPMI. CD19+CD11c+ gated lymphocytes were acquired in cRPMI using a FACSCalibur or FACS Canto II (BD Biosciences, Oxford, UK) for 30 seconds unstimulated, before unlabeled goat </w:t>
      </w:r>
      <w:proofErr w:type="gramStart"/>
      <w:r w:rsidRPr="002F0DB0">
        <w:rPr>
          <w:rFonts w:asciiTheme="majorHAnsi" w:hAnsiTheme="majorHAnsi"/>
          <w:sz w:val="24"/>
          <w:szCs w:val="24"/>
        </w:rPr>
        <w:t>F(</w:t>
      </w:r>
      <w:proofErr w:type="gramEnd"/>
      <w:r w:rsidRPr="002F0DB0">
        <w:rPr>
          <w:rFonts w:asciiTheme="majorHAnsi" w:hAnsiTheme="majorHAnsi"/>
          <w:sz w:val="24"/>
          <w:szCs w:val="24"/>
        </w:rPr>
        <w:t>ab’)</w:t>
      </w:r>
      <w:r w:rsidRPr="002F0DB0">
        <w:rPr>
          <w:rFonts w:asciiTheme="majorHAnsi" w:hAnsiTheme="majorHAnsi"/>
          <w:sz w:val="24"/>
          <w:szCs w:val="24"/>
          <w:vertAlign w:val="subscript"/>
        </w:rPr>
        <w:t>2</w:t>
      </w:r>
      <w:r w:rsidRPr="002F0DB0">
        <w:rPr>
          <w:rFonts w:asciiTheme="majorHAnsi" w:hAnsiTheme="majorHAnsi"/>
          <w:sz w:val="24"/>
          <w:szCs w:val="24"/>
        </w:rPr>
        <w:t xml:space="preserve"> </w:t>
      </w:r>
      <w:r w:rsidRPr="002F0DB0">
        <w:rPr>
          <w:rFonts w:asciiTheme="majorHAnsi" w:hAnsiTheme="majorHAnsi"/>
          <w:sz w:val="24"/>
          <w:szCs w:val="24"/>
        </w:rPr>
        <w:sym w:font="Symbol" w:char="F061"/>
      </w:r>
      <w:r w:rsidRPr="002F0DB0">
        <w:rPr>
          <w:rFonts w:asciiTheme="majorHAnsi" w:hAnsiTheme="majorHAnsi"/>
          <w:sz w:val="24"/>
          <w:szCs w:val="24"/>
        </w:rPr>
        <w:t>-human IgA, IgD, IgG, IgM, kappa or lambda (Southern Biotech) was added at 20 µg/ml and cells acquired for the remainder of 5 minutes</w:t>
      </w:r>
      <w:r w:rsidR="00976495" w:rsidRPr="002F0DB0">
        <w:rPr>
          <w:rFonts w:asciiTheme="majorHAnsi" w:hAnsiTheme="majorHAnsi"/>
          <w:sz w:val="24"/>
          <w:szCs w:val="24"/>
        </w:rPr>
        <w:t>.</w:t>
      </w:r>
      <w:r w:rsidR="008138D9" w:rsidRPr="002F0DB0">
        <w:rPr>
          <w:rFonts w:asciiTheme="majorHAnsi" w:hAnsiTheme="majorHAnsi" w:cs="Arial"/>
          <w:sz w:val="24"/>
          <w:szCs w:val="24"/>
        </w:rPr>
        <w:t xml:space="preserve"> </w:t>
      </w:r>
      <w:r w:rsidR="00512BB1" w:rsidRPr="002F0DB0">
        <w:rPr>
          <w:rFonts w:asciiTheme="majorHAnsi" w:hAnsiTheme="majorHAnsi"/>
          <w:sz w:val="24"/>
          <w:szCs w:val="24"/>
        </w:rPr>
        <w:t>Each of these stimulating antibody preparations is formulated with the same buffers</w:t>
      </w:r>
      <w:r w:rsidR="004149AA" w:rsidRPr="002F0DB0">
        <w:rPr>
          <w:rFonts w:asciiTheme="majorHAnsi" w:hAnsiTheme="majorHAnsi"/>
          <w:sz w:val="24"/>
          <w:szCs w:val="24"/>
        </w:rPr>
        <w:t>, and</w:t>
      </w:r>
      <w:r w:rsidR="00A3414A" w:rsidRPr="002F0DB0">
        <w:rPr>
          <w:rFonts w:asciiTheme="majorHAnsi" w:hAnsiTheme="majorHAnsi"/>
          <w:sz w:val="24"/>
          <w:szCs w:val="24"/>
        </w:rPr>
        <w:t xml:space="preserve"> used at identical concentrations</w:t>
      </w:r>
      <w:r w:rsidR="004149AA" w:rsidRPr="002F0DB0">
        <w:rPr>
          <w:rFonts w:asciiTheme="majorHAnsi" w:hAnsiTheme="majorHAnsi"/>
          <w:sz w:val="24"/>
          <w:szCs w:val="24"/>
        </w:rPr>
        <w:t xml:space="preserve"> </w:t>
      </w:r>
      <w:r w:rsidR="00A3414A" w:rsidRPr="002F0DB0">
        <w:rPr>
          <w:rFonts w:asciiTheme="majorHAnsi" w:hAnsiTheme="majorHAnsi"/>
          <w:sz w:val="24"/>
          <w:szCs w:val="24"/>
        </w:rPr>
        <w:t>in control assays with non-functional isotypes</w:t>
      </w:r>
      <w:r w:rsidR="00512BB1" w:rsidRPr="002F0DB0">
        <w:rPr>
          <w:rFonts w:asciiTheme="majorHAnsi" w:hAnsiTheme="majorHAnsi"/>
          <w:sz w:val="24"/>
          <w:szCs w:val="24"/>
        </w:rPr>
        <w:t>.</w:t>
      </w:r>
      <w:r w:rsidR="00226EFC" w:rsidRPr="002F0DB0">
        <w:rPr>
          <w:rFonts w:asciiTheme="majorHAnsi" w:hAnsiTheme="majorHAnsi"/>
          <w:sz w:val="24"/>
          <w:szCs w:val="24"/>
        </w:rPr>
        <w:t xml:space="preserve"> </w:t>
      </w:r>
      <w:r w:rsidR="00976495" w:rsidRPr="002F0DB0">
        <w:rPr>
          <w:rFonts w:asciiTheme="majorHAnsi" w:hAnsiTheme="majorHAnsi" w:cs="Arial"/>
          <w:sz w:val="24"/>
          <w:szCs w:val="24"/>
        </w:rPr>
        <w:t xml:space="preserve">Alternatively, to confirm that CD19/CD11c/CD103 gating antibodies did not trigger calcium flux themselves, </w:t>
      </w:r>
      <w:r w:rsidR="00976495" w:rsidRPr="002F0DB0">
        <w:rPr>
          <w:rFonts w:asciiTheme="majorHAnsi" w:hAnsiTheme="majorHAnsi" w:cs="Arial"/>
          <w:sz w:val="24"/>
          <w:szCs w:val="24"/>
        </w:rPr>
        <w:sym w:font="Symbol" w:char="F061"/>
      </w:r>
      <w:r w:rsidR="00976495" w:rsidRPr="002F0DB0">
        <w:rPr>
          <w:rFonts w:asciiTheme="majorHAnsi" w:hAnsiTheme="majorHAnsi" w:cs="Arial"/>
          <w:sz w:val="24"/>
          <w:szCs w:val="24"/>
        </w:rPr>
        <w:t xml:space="preserve">-CD19-perCP-cy5.5 at 1:10, </w:t>
      </w:r>
      <w:r w:rsidR="00976495" w:rsidRPr="002F0DB0">
        <w:rPr>
          <w:rFonts w:asciiTheme="majorHAnsi" w:hAnsiTheme="majorHAnsi" w:cs="Arial"/>
          <w:sz w:val="24"/>
          <w:szCs w:val="24"/>
        </w:rPr>
        <w:sym w:font="Symbol" w:char="F061"/>
      </w:r>
      <w:r w:rsidR="00976495" w:rsidRPr="002F0DB0">
        <w:rPr>
          <w:rFonts w:asciiTheme="majorHAnsi" w:hAnsiTheme="majorHAnsi" w:cs="Arial"/>
          <w:sz w:val="24"/>
          <w:szCs w:val="24"/>
        </w:rPr>
        <w:t xml:space="preserve">-CD19-Pacific Blue/V450 at 1:20, </w:t>
      </w:r>
      <w:r w:rsidR="00976495" w:rsidRPr="002F0DB0">
        <w:rPr>
          <w:rFonts w:asciiTheme="majorHAnsi" w:hAnsiTheme="majorHAnsi" w:cs="Arial"/>
          <w:sz w:val="24"/>
          <w:szCs w:val="24"/>
        </w:rPr>
        <w:sym w:font="Symbol" w:char="F061"/>
      </w:r>
      <w:r w:rsidR="00976495" w:rsidRPr="002F0DB0">
        <w:rPr>
          <w:rFonts w:asciiTheme="majorHAnsi" w:hAnsiTheme="majorHAnsi" w:cs="Arial"/>
          <w:sz w:val="24"/>
          <w:szCs w:val="24"/>
        </w:rPr>
        <w:t xml:space="preserve">-CD11c-APC at 1:10 or </w:t>
      </w:r>
      <w:r w:rsidR="00976495" w:rsidRPr="002F0DB0">
        <w:rPr>
          <w:rFonts w:asciiTheme="majorHAnsi" w:hAnsiTheme="majorHAnsi" w:cs="Arial"/>
          <w:sz w:val="24"/>
          <w:szCs w:val="24"/>
        </w:rPr>
        <w:sym w:font="Symbol" w:char="F061"/>
      </w:r>
      <w:r w:rsidR="00976495" w:rsidRPr="002F0DB0">
        <w:rPr>
          <w:rFonts w:asciiTheme="majorHAnsi" w:hAnsiTheme="majorHAnsi" w:cs="Arial"/>
          <w:sz w:val="24"/>
          <w:szCs w:val="24"/>
        </w:rPr>
        <w:t xml:space="preserve">-CD103-PE-Cy7 at 1:20 were added, following 30s unstimulated, and cells acquired for the remainder of 5 minutes. </w:t>
      </w:r>
      <w:r w:rsidRPr="002F0DB0">
        <w:rPr>
          <w:rFonts w:asciiTheme="majorHAnsi" w:hAnsiTheme="majorHAnsi"/>
          <w:sz w:val="24"/>
          <w:szCs w:val="24"/>
        </w:rPr>
        <w:t>Data was analyzed using FlowJo (Tree Star Inc., Ashland, OR, USA).</w:t>
      </w:r>
    </w:p>
    <w:p w14:paraId="47DD796C" w14:textId="77777777" w:rsidR="0008397F" w:rsidRPr="002F0DB0" w:rsidRDefault="0008397F" w:rsidP="0008397F">
      <w:pPr>
        <w:rPr>
          <w:rFonts w:asciiTheme="majorHAnsi" w:hAnsiTheme="majorHAnsi"/>
          <w:i/>
          <w:iCs/>
          <w:sz w:val="24"/>
          <w:szCs w:val="24"/>
        </w:rPr>
      </w:pPr>
      <w:r w:rsidRPr="002F0DB0">
        <w:rPr>
          <w:rFonts w:asciiTheme="majorHAnsi" w:hAnsiTheme="majorHAnsi"/>
          <w:i/>
          <w:iCs/>
          <w:sz w:val="24"/>
          <w:szCs w:val="24"/>
        </w:rPr>
        <w:t>BD Phosflow protocol for measurement of BCR induced ERK phosphorylation</w:t>
      </w:r>
    </w:p>
    <w:p w14:paraId="16880173" w14:textId="77777777" w:rsidR="0008397F" w:rsidRPr="002F0DB0" w:rsidRDefault="0008397F" w:rsidP="0008397F">
      <w:pPr>
        <w:rPr>
          <w:rFonts w:asciiTheme="majorHAnsi" w:hAnsiTheme="majorHAnsi"/>
          <w:sz w:val="24"/>
          <w:szCs w:val="24"/>
        </w:rPr>
      </w:pPr>
      <w:r w:rsidRPr="002F0DB0">
        <w:rPr>
          <w:rFonts w:asciiTheme="majorHAnsi" w:hAnsiTheme="majorHAnsi"/>
          <w:sz w:val="24"/>
          <w:szCs w:val="24"/>
        </w:rPr>
        <w:t>BD Phosflow protocol II (mild alcohol permeabilization) with BD Cytofix and ice cold 90% MeOH was used. 1x10</w:t>
      </w:r>
      <w:r w:rsidRPr="002F0DB0">
        <w:rPr>
          <w:rFonts w:asciiTheme="majorHAnsi" w:hAnsiTheme="majorHAnsi"/>
          <w:sz w:val="24"/>
          <w:szCs w:val="24"/>
          <w:vertAlign w:val="superscript"/>
        </w:rPr>
        <w:t>6</w:t>
      </w:r>
      <w:r w:rsidRPr="002F0DB0">
        <w:rPr>
          <w:rFonts w:asciiTheme="majorHAnsi" w:hAnsiTheme="majorHAnsi"/>
          <w:sz w:val="24"/>
          <w:szCs w:val="24"/>
        </w:rPr>
        <w:t xml:space="preserve"> cells in 100µl cRPMI were stimulated with 20 µg/ml goat </w:t>
      </w:r>
      <w:proofErr w:type="gramStart"/>
      <w:r w:rsidRPr="002F0DB0">
        <w:rPr>
          <w:rFonts w:asciiTheme="majorHAnsi" w:hAnsiTheme="majorHAnsi"/>
          <w:sz w:val="24"/>
          <w:szCs w:val="24"/>
        </w:rPr>
        <w:t>F(</w:t>
      </w:r>
      <w:proofErr w:type="gramEnd"/>
      <w:r w:rsidRPr="002F0DB0">
        <w:rPr>
          <w:rFonts w:asciiTheme="majorHAnsi" w:hAnsiTheme="majorHAnsi"/>
          <w:sz w:val="24"/>
          <w:szCs w:val="24"/>
        </w:rPr>
        <w:t>ab’)</w:t>
      </w:r>
      <w:r w:rsidRPr="002F0DB0">
        <w:rPr>
          <w:rFonts w:asciiTheme="majorHAnsi" w:hAnsiTheme="majorHAnsi"/>
          <w:sz w:val="24"/>
          <w:szCs w:val="24"/>
          <w:vertAlign w:val="subscript"/>
        </w:rPr>
        <w:t>2</w:t>
      </w:r>
      <w:r w:rsidRPr="002F0DB0">
        <w:rPr>
          <w:rFonts w:asciiTheme="majorHAnsi" w:hAnsiTheme="majorHAnsi"/>
          <w:sz w:val="24"/>
          <w:szCs w:val="24"/>
        </w:rPr>
        <w:t xml:space="preserve"> anti-human IgA, IgD, IgG, IgM, kappa or lambda and stopped by fixation after 30, 20, 15, 10, 7, 4 and 2 minutes. Cells were fixed for 15 minutes at 37ºC then immediately transferred to -80ºC for storage overnight. Following thawing cells were pelleted and resuspended in 2 ml ice cold 90% methanol and incubated for 20 minutes at 4ºC to permeabilize. Cells were then washed twice in FACS buffer and stained with </w:t>
      </w:r>
      <w:r w:rsidRPr="002F0DB0">
        <w:rPr>
          <w:rFonts w:asciiTheme="majorHAnsi" w:hAnsiTheme="majorHAnsi"/>
          <w:sz w:val="24"/>
          <w:szCs w:val="24"/>
        </w:rPr>
        <w:sym w:font="Symbol" w:char="F061"/>
      </w:r>
      <w:r w:rsidRPr="002F0DB0">
        <w:rPr>
          <w:rFonts w:asciiTheme="majorHAnsi" w:hAnsiTheme="majorHAnsi"/>
          <w:sz w:val="24"/>
          <w:szCs w:val="24"/>
        </w:rPr>
        <w:t xml:space="preserve">-CD19-perCP-cy5.5 at 1:10 or </w:t>
      </w:r>
      <w:r w:rsidRPr="002F0DB0">
        <w:rPr>
          <w:rFonts w:asciiTheme="majorHAnsi" w:hAnsiTheme="majorHAnsi"/>
          <w:sz w:val="24"/>
          <w:szCs w:val="24"/>
        </w:rPr>
        <w:sym w:font="Symbol" w:char="F061"/>
      </w:r>
      <w:r w:rsidRPr="002F0DB0">
        <w:rPr>
          <w:rFonts w:asciiTheme="majorHAnsi" w:hAnsiTheme="majorHAnsi"/>
          <w:sz w:val="24"/>
          <w:szCs w:val="24"/>
        </w:rPr>
        <w:t xml:space="preserve">-CD19-Pacific Blue/V450 at 1:20 (BD Biosciences, Oxford, UK) with </w:t>
      </w:r>
      <w:r w:rsidRPr="002F0DB0">
        <w:rPr>
          <w:rFonts w:asciiTheme="majorHAnsi" w:hAnsiTheme="majorHAnsi"/>
          <w:sz w:val="24"/>
          <w:szCs w:val="24"/>
        </w:rPr>
        <w:sym w:font="Symbol" w:char="F061"/>
      </w:r>
      <w:r w:rsidRPr="002F0DB0">
        <w:rPr>
          <w:rFonts w:asciiTheme="majorHAnsi" w:hAnsiTheme="majorHAnsi"/>
          <w:sz w:val="24"/>
          <w:szCs w:val="24"/>
        </w:rPr>
        <w:t xml:space="preserve">-CD11c-APC and </w:t>
      </w:r>
      <w:r w:rsidRPr="002F0DB0">
        <w:rPr>
          <w:rFonts w:asciiTheme="majorHAnsi" w:hAnsiTheme="majorHAnsi"/>
          <w:sz w:val="24"/>
          <w:szCs w:val="24"/>
        </w:rPr>
        <w:sym w:font="Symbol" w:char="F061"/>
      </w:r>
      <w:r w:rsidRPr="002F0DB0">
        <w:rPr>
          <w:rFonts w:asciiTheme="majorHAnsi" w:hAnsiTheme="majorHAnsi"/>
          <w:sz w:val="24"/>
          <w:szCs w:val="24"/>
        </w:rPr>
        <w:t>-phosphoERK1/2-alexafluor488 at 1:20 (BD). Data were acquired using a FACSCalibur or FACS Canto II (BD Biosciences) and CD19+CD11c+ gated lymphocytes analyzed for changes in phosphoERK fluorescence in CellQuest Pro or FACSDiva software.</w:t>
      </w:r>
    </w:p>
    <w:p w14:paraId="7AAC4AC0" w14:textId="77777777" w:rsidR="0008397F" w:rsidRPr="002F0DB0" w:rsidRDefault="0008397F" w:rsidP="0008397F">
      <w:pPr>
        <w:rPr>
          <w:rFonts w:asciiTheme="majorHAnsi" w:hAnsiTheme="majorHAnsi"/>
          <w:i/>
          <w:iCs/>
          <w:sz w:val="24"/>
          <w:szCs w:val="24"/>
        </w:rPr>
      </w:pPr>
      <w:r w:rsidRPr="002F0DB0">
        <w:rPr>
          <w:rFonts w:asciiTheme="majorHAnsi" w:hAnsiTheme="majorHAnsi"/>
          <w:i/>
          <w:iCs/>
          <w:sz w:val="24"/>
          <w:szCs w:val="24"/>
        </w:rPr>
        <w:t xml:space="preserve">BCR endocytosis </w:t>
      </w:r>
    </w:p>
    <w:p w14:paraId="3EBCADDF" w14:textId="4473188A" w:rsidR="0008397F" w:rsidRPr="002F0DB0" w:rsidRDefault="0008397F" w:rsidP="0008397F">
      <w:pPr>
        <w:rPr>
          <w:rFonts w:asciiTheme="majorHAnsi" w:hAnsiTheme="majorHAnsi"/>
          <w:sz w:val="24"/>
          <w:szCs w:val="24"/>
        </w:rPr>
      </w:pPr>
      <w:r w:rsidRPr="002F0DB0">
        <w:rPr>
          <w:rFonts w:asciiTheme="majorHAnsi" w:hAnsiTheme="majorHAnsi"/>
          <w:sz w:val="24"/>
          <w:szCs w:val="24"/>
        </w:rPr>
        <w:t xml:space="preserve">Two methods were employed to assess changes in surface Ig expression following stimulation. For both methods goat </w:t>
      </w:r>
      <w:proofErr w:type="gramStart"/>
      <w:r w:rsidRPr="002F0DB0">
        <w:rPr>
          <w:rFonts w:asciiTheme="majorHAnsi" w:hAnsiTheme="majorHAnsi"/>
          <w:sz w:val="24"/>
          <w:szCs w:val="24"/>
        </w:rPr>
        <w:t>F(</w:t>
      </w:r>
      <w:proofErr w:type="gramEnd"/>
      <w:r w:rsidRPr="002F0DB0">
        <w:rPr>
          <w:rFonts w:asciiTheme="majorHAnsi" w:hAnsiTheme="majorHAnsi"/>
          <w:sz w:val="24"/>
          <w:szCs w:val="24"/>
        </w:rPr>
        <w:t>ab)</w:t>
      </w:r>
      <w:r w:rsidRPr="002F0DB0">
        <w:rPr>
          <w:rFonts w:asciiTheme="majorHAnsi" w:hAnsiTheme="majorHAnsi"/>
          <w:sz w:val="24"/>
          <w:szCs w:val="24"/>
          <w:vertAlign w:val="subscript"/>
        </w:rPr>
        <w:t>2</w:t>
      </w:r>
      <w:r w:rsidRPr="002F0DB0">
        <w:rPr>
          <w:rFonts w:asciiTheme="majorHAnsi" w:hAnsiTheme="majorHAnsi"/>
          <w:sz w:val="24"/>
          <w:szCs w:val="24"/>
        </w:rPr>
        <w:t xml:space="preserve"> α-human IgA, IgD, IgG, IgM, kappa or lambda antibodies (Southern Biotech) were allowed to bind for 30 minutes at 4ºC in complete RPMI. Cells were then washed and incubated for 1 hour at 37ºC in complete RPMI to allow endocytosis or at 4ºC in endocytosis stop buffer (0.1% azide, 0.1% BSA in PBS). Cells were then washed in cold endocytosis stop buffer and stained with </w:t>
      </w:r>
      <w:r w:rsidRPr="002F0DB0">
        <w:rPr>
          <w:rFonts w:asciiTheme="majorHAnsi" w:hAnsiTheme="majorHAnsi"/>
          <w:sz w:val="24"/>
          <w:szCs w:val="24"/>
        </w:rPr>
        <w:sym w:font="Symbol" w:char="F061"/>
      </w:r>
      <w:r w:rsidRPr="002F0DB0">
        <w:rPr>
          <w:rFonts w:asciiTheme="majorHAnsi" w:hAnsiTheme="majorHAnsi"/>
          <w:sz w:val="24"/>
          <w:szCs w:val="24"/>
        </w:rPr>
        <w:t xml:space="preserve">-CD19-V450 (BD) and </w:t>
      </w:r>
      <w:r w:rsidRPr="002F0DB0">
        <w:rPr>
          <w:rFonts w:asciiTheme="majorHAnsi" w:hAnsiTheme="majorHAnsi"/>
          <w:sz w:val="24"/>
          <w:szCs w:val="24"/>
        </w:rPr>
        <w:sym w:font="Symbol" w:char="F061"/>
      </w:r>
      <w:r w:rsidRPr="002F0DB0">
        <w:rPr>
          <w:rFonts w:asciiTheme="majorHAnsi" w:hAnsiTheme="majorHAnsi"/>
          <w:sz w:val="24"/>
          <w:szCs w:val="24"/>
        </w:rPr>
        <w:t xml:space="preserve">-CD11c-APC (BD). At this point, two methods of measuring changes in sIg expression were employed in parallel. Either cells were stained with a FITC-labeled rabbit </w:t>
      </w:r>
      <w:proofErr w:type="gramStart"/>
      <w:r w:rsidRPr="002F0DB0">
        <w:rPr>
          <w:rFonts w:asciiTheme="majorHAnsi" w:hAnsiTheme="majorHAnsi"/>
          <w:sz w:val="24"/>
          <w:szCs w:val="24"/>
        </w:rPr>
        <w:t>F(</w:t>
      </w:r>
      <w:proofErr w:type="gramEnd"/>
      <w:r w:rsidRPr="002F0DB0">
        <w:rPr>
          <w:rFonts w:asciiTheme="majorHAnsi" w:hAnsiTheme="majorHAnsi"/>
          <w:sz w:val="24"/>
          <w:szCs w:val="24"/>
        </w:rPr>
        <w:t>ab’)</w:t>
      </w:r>
      <w:r w:rsidRPr="002F0DB0">
        <w:rPr>
          <w:rFonts w:asciiTheme="majorHAnsi" w:hAnsiTheme="majorHAnsi"/>
          <w:sz w:val="24"/>
          <w:szCs w:val="24"/>
          <w:vertAlign w:val="subscript"/>
        </w:rPr>
        <w:t>2</w:t>
      </w:r>
      <w:r w:rsidRPr="002F0DB0">
        <w:rPr>
          <w:rFonts w:asciiTheme="majorHAnsi" w:hAnsiTheme="majorHAnsi"/>
          <w:sz w:val="24"/>
          <w:szCs w:val="24"/>
        </w:rPr>
        <w:t xml:space="preserve"> anti-goat F(ab’)</w:t>
      </w:r>
      <w:r w:rsidRPr="002F0DB0">
        <w:rPr>
          <w:rFonts w:asciiTheme="majorHAnsi" w:hAnsiTheme="majorHAnsi"/>
          <w:sz w:val="24"/>
          <w:szCs w:val="24"/>
          <w:vertAlign w:val="subscript"/>
        </w:rPr>
        <w:t>2</w:t>
      </w:r>
      <w:r w:rsidRPr="002F0DB0">
        <w:rPr>
          <w:rFonts w:asciiTheme="majorHAnsi" w:hAnsiTheme="majorHAnsi"/>
          <w:sz w:val="24"/>
          <w:szCs w:val="24"/>
        </w:rPr>
        <w:t xml:space="preserve"> (Jackson Immunology, where, where) secondary antibody to detect remaining goat F(ab’)</w:t>
      </w:r>
      <w:r w:rsidRPr="002F0DB0">
        <w:rPr>
          <w:rFonts w:asciiTheme="majorHAnsi" w:hAnsiTheme="majorHAnsi"/>
          <w:sz w:val="24"/>
          <w:szCs w:val="24"/>
          <w:vertAlign w:val="subscript"/>
        </w:rPr>
        <w:t>2</w:t>
      </w:r>
      <w:r w:rsidRPr="002F0DB0">
        <w:rPr>
          <w:rFonts w:asciiTheme="majorHAnsi" w:hAnsiTheme="majorHAnsi"/>
          <w:sz w:val="24"/>
          <w:szCs w:val="24"/>
        </w:rPr>
        <w:t xml:space="preserve"> on the cell surface, or with rabbit F(ab’)</w:t>
      </w:r>
      <w:r w:rsidRPr="002F0DB0">
        <w:rPr>
          <w:rFonts w:asciiTheme="majorHAnsi" w:hAnsiTheme="majorHAnsi"/>
          <w:sz w:val="24"/>
          <w:szCs w:val="24"/>
          <w:vertAlign w:val="subscript"/>
        </w:rPr>
        <w:t>2</w:t>
      </w:r>
      <w:r w:rsidRPr="002F0DB0">
        <w:rPr>
          <w:rFonts w:asciiTheme="majorHAnsi" w:hAnsiTheme="majorHAnsi"/>
          <w:sz w:val="24"/>
          <w:szCs w:val="24"/>
        </w:rPr>
        <w:t xml:space="preserve"> </w:t>
      </w:r>
      <w:r w:rsidRPr="002F0DB0">
        <w:rPr>
          <w:rFonts w:asciiTheme="majorHAnsi" w:hAnsiTheme="majorHAnsi"/>
          <w:sz w:val="24"/>
          <w:szCs w:val="24"/>
        </w:rPr>
        <w:sym w:font="Symbol" w:char="F061"/>
      </w:r>
      <w:r w:rsidR="003829EA">
        <w:rPr>
          <w:rFonts w:asciiTheme="majorHAnsi" w:hAnsiTheme="majorHAnsi"/>
          <w:sz w:val="24"/>
          <w:szCs w:val="24"/>
        </w:rPr>
        <w:t>- human Ig antibodies</w:t>
      </w:r>
      <w:r w:rsidRPr="002F0DB0">
        <w:rPr>
          <w:rFonts w:asciiTheme="majorHAnsi" w:hAnsiTheme="majorHAnsi"/>
          <w:sz w:val="24"/>
          <w:szCs w:val="24"/>
        </w:rPr>
        <w:t>,</w:t>
      </w:r>
      <w:r w:rsidR="003829EA">
        <w:rPr>
          <w:rFonts w:asciiTheme="majorHAnsi" w:hAnsiTheme="majorHAnsi"/>
          <w:sz w:val="24"/>
          <w:szCs w:val="24"/>
        </w:rPr>
        <w:t xml:space="preserve"> </w:t>
      </w:r>
      <w:r w:rsidRPr="002F0DB0">
        <w:rPr>
          <w:rFonts w:asciiTheme="majorHAnsi" w:hAnsiTheme="majorHAnsi"/>
          <w:sz w:val="24"/>
          <w:szCs w:val="24"/>
        </w:rPr>
        <w:t xml:space="preserve">as for immunophenotyping (Dako) for 30 minutes at 4ºC to allow analysis  of changes in paired IgH </w:t>
      </w:r>
      <w:r w:rsidRPr="002F0DB0">
        <w:rPr>
          <w:rFonts w:asciiTheme="majorHAnsi" w:hAnsiTheme="majorHAnsi"/>
          <w:sz w:val="24"/>
          <w:szCs w:val="24"/>
        </w:rPr>
        <w:lastRenderedPageBreak/>
        <w:t xml:space="preserve">and IgL chains. Data were acquired on a FACS Canto II with FACSDiva (BDBiosciences) and FlowJo (Treestar) software for analysis. </w:t>
      </w:r>
    </w:p>
    <w:p w14:paraId="6767233E" w14:textId="77777777" w:rsidR="0008397F" w:rsidRPr="002F0DB0" w:rsidRDefault="0008397F" w:rsidP="0008397F">
      <w:pPr>
        <w:rPr>
          <w:rFonts w:asciiTheme="majorHAnsi" w:hAnsiTheme="majorHAnsi"/>
          <w:i/>
          <w:iCs/>
          <w:sz w:val="24"/>
          <w:szCs w:val="24"/>
        </w:rPr>
      </w:pPr>
      <w:r w:rsidRPr="002F0DB0">
        <w:rPr>
          <w:rFonts w:asciiTheme="majorHAnsi" w:hAnsiTheme="majorHAnsi"/>
          <w:i/>
          <w:iCs/>
          <w:sz w:val="24"/>
          <w:szCs w:val="24"/>
        </w:rPr>
        <w:t>Induction of intracellular calcium flux following BCR endocytosis</w:t>
      </w:r>
    </w:p>
    <w:p w14:paraId="7ABFFC8D" w14:textId="77777777" w:rsidR="0008397F" w:rsidRPr="002F0DB0" w:rsidRDefault="0008397F" w:rsidP="0008397F">
      <w:pPr>
        <w:rPr>
          <w:rFonts w:asciiTheme="majorHAnsi" w:hAnsiTheme="majorHAnsi"/>
          <w:sz w:val="24"/>
          <w:szCs w:val="24"/>
        </w:rPr>
      </w:pPr>
      <w:r w:rsidRPr="002F0DB0">
        <w:rPr>
          <w:rFonts w:asciiTheme="majorHAnsi" w:hAnsiTheme="majorHAnsi"/>
          <w:sz w:val="24"/>
          <w:szCs w:val="24"/>
        </w:rPr>
        <w:t xml:space="preserve">Endocytosis of sIg was induced as above, with 30 minutes pre-binding of goat </w:t>
      </w:r>
      <w:proofErr w:type="gramStart"/>
      <w:r w:rsidRPr="002F0DB0">
        <w:rPr>
          <w:rFonts w:asciiTheme="majorHAnsi" w:hAnsiTheme="majorHAnsi"/>
          <w:sz w:val="24"/>
          <w:szCs w:val="24"/>
        </w:rPr>
        <w:t>F(</w:t>
      </w:r>
      <w:proofErr w:type="gramEnd"/>
      <w:r w:rsidRPr="002F0DB0">
        <w:rPr>
          <w:rFonts w:asciiTheme="majorHAnsi" w:hAnsiTheme="majorHAnsi"/>
          <w:sz w:val="24"/>
          <w:szCs w:val="24"/>
        </w:rPr>
        <w:t>ab)</w:t>
      </w:r>
      <w:r w:rsidRPr="002F0DB0">
        <w:rPr>
          <w:rFonts w:asciiTheme="majorHAnsi" w:hAnsiTheme="majorHAnsi"/>
          <w:sz w:val="24"/>
          <w:szCs w:val="24"/>
          <w:vertAlign w:val="subscript"/>
        </w:rPr>
        <w:t xml:space="preserve">2 </w:t>
      </w:r>
      <w:r w:rsidRPr="002F0DB0">
        <w:rPr>
          <w:rFonts w:asciiTheme="majorHAnsi" w:hAnsiTheme="majorHAnsi"/>
          <w:sz w:val="24"/>
          <w:szCs w:val="24"/>
        </w:rPr>
        <w:t>anti-IgH or IgL (Southern Biotech), followed by 1 hour incubation at 37ºC in cRPMI. Cells were then washed and loaded with fluo3-AM for 30 minutes at 37ºC, followed by staining with α-CD19-V450 and α-CD11c-APC. Data were acquired as for calcium flux method above using a FACS Canto II and analysed in FlowJo (Treestar).</w:t>
      </w:r>
    </w:p>
    <w:p w14:paraId="3248B72B" w14:textId="77777777" w:rsidR="0008397F" w:rsidRPr="002F0DB0" w:rsidRDefault="0008397F" w:rsidP="0008397F">
      <w:pPr>
        <w:rPr>
          <w:rFonts w:asciiTheme="majorHAnsi" w:hAnsiTheme="majorHAnsi"/>
          <w:i/>
          <w:iCs/>
          <w:sz w:val="24"/>
          <w:szCs w:val="24"/>
        </w:rPr>
      </w:pPr>
      <w:r w:rsidRPr="002F0DB0">
        <w:rPr>
          <w:rFonts w:asciiTheme="majorHAnsi" w:hAnsiTheme="majorHAnsi"/>
          <w:i/>
          <w:iCs/>
          <w:sz w:val="24"/>
          <w:szCs w:val="24"/>
        </w:rPr>
        <w:t>Induction of Apoptosis following BCR stimulation</w:t>
      </w:r>
    </w:p>
    <w:p w14:paraId="2AA7AF89" w14:textId="6EB55397" w:rsidR="00FE0B49" w:rsidRPr="002F0DB0" w:rsidRDefault="0008397F" w:rsidP="006577A8">
      <w:pPr>
        <w:rPr>
          <w:rFonts w:asciiTheme="majorHAnsi" w:hAnsiTheme="majorHAnsi" w:cs="Arial"/>
          <w:sz w:val="24"/>
          <w:szCs w:val="24"/>
          <w:lang w:val="en-US"/>
        </w:rPr>
      </w:pPr>
      <w:r w:rsidRPr="002F0DB0">
        <w:rPr>
          <w:rFonts w:asciiTheme="majorHAnsi" w:hAnsiTheme="majorHAnsi"/>
          <w:sz w:val="24"/>
          <w:szCs w:val="24"/>
        </w:rPr>
        <w:t>Stimulations were performed in 96-well plates in quadruplicate. 0.1-0.2x10</w:t>
      </w:r>
      <w:r w:rsidRPr="002F0DB0">
        <w:rPr>
          <w:rFonts w:asciiTheme="majorHAnsi" w:hAnsiTheme="majorHAnsi"/>
          <w:sz w:val="24"/>
          <w:szCs w:val="24"/>
          <w:vertAlign w:val="superscript"/>
        </w:rPr>
        <w:t>6</w:t>
      </w:r>
      <w:r w:rsidRPr="002F0DB0">
        <w:rPr>
          <w:rFonts w:asciiTheme="majorHAnsi" w:hAnsiTheme="majorHAnsi"/>
          <w:sz w:val="24"/>
          <w:szCs w:val="24"/>
        </w:rPr>
        <w:t xml:space="preserve"> HCL cells were stimulated with 20 µg/ ml goat </w:t>
      </w:r>
      <w:proofErr w:type="gramStart"/>
      <w:r w:rsidRPr="002F0DB0">
        <w:rPr>
          <w:rFonts w:asciiTheme="majorHAnsi" w:hAnsiTheme="majorHAnsi"/>
          <w:sz w:val="24"/>
          <w:szCs w:val="24"/>
        </w:rPr>
        <w:t>F(</w:t>
      </w:r>
      <w:proofErr w:type="gramEnd"/>
      <w:r w:rsidRPr="002F0DB0">
        <w:rPr>
          <w:rFonts w:asciiTheme="majorHAnsi" w:hAnsiTheme="majorHAnsi"/>
          <w:sz w:val="24"/>
          <w:szCs w:val="24"/>
        </w:rPr>
        <w:t>ab)</w:t>
      </w:r>
      <w:r w:rsidRPr="002F0DB0">
        <w:rPr>
          <w:rFonts w:asciiTheme="majorHAnsi" w:hAnsiTheme="majorHAnsi"/>
          <w:sz w:val="24"/>
          <w:szCs w:val="24"/>
          <w:vertAlign w:val="subscript"/>
        </w:rPr>
        <w:t>2</w:t>
      </w:r>
      <w:r w:rsidRPr="002F0DB0">
        <w:rPr>
          <w:rFonts w:asciiTheme="majorHAnsi" w:hAnsiTheme="majorHAnsi"/>
          <w:sz w:val="24"/>
          <w:szCs w:val="24"/>
        </w:rPr>
        <w:t xml:space="preserve"> α-human IgA, IgD, IgG, IgM, kappa or lambda soluble antibodies or 10-20 µg/ml anti-human IgA, IgG or IgM coated immunobeads (</w:t>
      </w:r>
      <w:r w:rsidR="00FE0B49" w:rsidRPr="002F0DB0">
        <w:rPr>
          <w:rFonts w:asciiTheme="majorHAnsi" w:hAnsiTheme="majorHAnsi" w:cs="Arial"/>
          <w:sz w:val="24"/>
          <w:szCs w:val="24"/>
        </w:rPr>
        <w:t>Irvine Scientific, Newtownmountkennedy, Ireland)</w:t>
      </w:r>
      <w:r w:rsidRPr="002F0DB0">
        <w:rPr>
          <w:rFonts w:asciiTheme="majorHAnsi" w:hAnsiTheme="majorHAnsi"/>
          <w:sz w:val="24"/>
          <w:szCs w:val="24"/>
        </w:rPr>
        <w:t xml:space="preserve"> in cRPMI for 2/3 hours/37ºC</w:t>
      </w:r>
      <w:r w:rsidR="000D2021" w:rsidRPr="002F0DB0">
        <w:rPr>
          <w:rFonts w:asciiTheme="majorHAnsi" w:hAnsiTheme="majorHAnsi"/>
          <w:sz w:val="24"/>
          <w:szCs w:val="24"/>
        </w:rPr>
        <w:t xml:space="preserve"> [100 ul medium + 4 </w:t>
      </w:r>
      <w:r w:rsidR="00D55573">
        <w:rPr>
          <w:rFonts w:ascii="Calibri" w:hAnsi="Calibri"/>
          <w:sz w:val="24"/>
          <w:szCs w:val="24"/>
        </w:rPr>
        <w:t>μ</w:t>
      </w:r>
      <w:r w:rsidR="000D2021" w:rsidRPr="002F0DB0">
        <w:rPr>
          <w:rFonts w:asciiTheme="majorHAnsi" w:hAnsiTheme="majorHAnsi"/>
          <w:sz w:val="24"/>
          <w:szCs w:val="24"/>
        </w:rPr>
        <w:t>l Ab, dil</w:t>
      </w:r>
      <w:r w:rsidR="00572B71" w:rsidRPr="002F0DB0">
        <w:rPr>
          <w:rFonts w:asciiTheme="majorHAnsi" w:hAnsiTheme="majorHAnsi"/>
          <w:sz w:val="24"/>
          <w:szCs w:val="24"/>
        </w:rPr>
        <w:t>uted</w:t>
      </w:r>
      <w:r w:rsidR="000D2021" w:rsidRPr="002F0DB0">
        <w:rPr>
          <w:rFonts w:asciiTheme="majorHAnsi" w:hAnsiTheme="majorHAnsi"/>
          <w:sz w:val="24"/>
          <w:szCs w:val="24"/>
        </w:rPr>
        <w:t xml:space="preserve"> 1/25]</w:t>
      </w:r>
      <w:r w:rsidRPr="002F0DB0">
        <w:rPr>
          <w:rFonts w:asciiTheme="majorHAnsi" w:hAnsiTheme="majorHAnsi"/>
          <w:sz w:val="24"/>
          <w:szCs w:val="24"/>
        </w:rPr>
        <w:t>. Induction of apoptosis was measured either using Apostat (</w:t>
      </w:r>
      <w:r w:rsidR="00FE0B49" w:rsidRPr="002F0DB0">
        <w:rPr>
          <w:rFonts w:asciiTheme="majorHAnsi" w:hAnsiTheme="majorHAnsi" w:cs="Arial"/>
          <w:sz w:val="24"/>
          <w:szCs w:val="24"/>
        </w:rPr>
        <w:t>R&amp;D Systems, Abingdon, UK</w:t>
      </w:r>
      <w:r w:rsidRPr="002F0DB0">
        <w:rPr>
          <w:rFonts w:asciiTheme="majorHAnsi" w:hAnsiTheme="majorHAnsi"/>
          <w:sz w:val="24"/>
          <w:szCs w:val="24"/>
        </w:rPr>
        <w:t>)</w:t>
      </w:r>
      <w:r w:rsidR="00FE0B49" w:rsidRPr="002F0DB0">
        <w:rPr>
          <w:rFonts w:asciiTheme="majorHAnsi" w:hAnsiTheme="majorHAnsi"/>
          <w:sz w:val="24"/>
          <w:szCs w:val="24"/>
        </w:rPr>
        <w:t xml:space="preserve">, </w:t>
      </w:r>
      <w:r w:rsidR="00FE0B49" w:rsidRPr="002F0DB0">
        <w:rPr>
          <w:rFonts w:asciiTheme="majorHAnsi" w:hAnsiTheme="majorHAnsi" w:cs="Arial"/>
          <w:sz w:val="24"/>
          <w:szCs w:val="24"/>
        </w:rPr>
        <w:t xml:space="preserve">a </w:t>
      </w:r>
      <w:r w:rsidR="00572B71" w:rsidRPr="002F0DB0">
        <w:rPr>
          <w:rFonts w:asciiTheme="majorHAnsi" w:hAnsiTheme="majorHAnsi" w:cs="Arial"/>
          <w:sz w:val="24"/>
          <w:szCs w:val="24"/>
          <w:lang w:val="en-US"/>
        </w:rPr>
        <w:t>cell permeable</w:t>
      </w:r>
      <w:r w:rsidR="00FE0B49" w:rsidRPr="002F0DB0">
        <w:rPr>
          <w:rFonts w:asciiTheme="majorHAnsi" w:hAnsiTheme="majorHAnsi" w:cs="Arial"/>
          <w:sz w:val="24"/>
          <w:szCs w:val="24"/>
          <w:lang w:val="en-US"/>
        </w:rPr>
        <w:t xml:space="preserve"> FITC-conjugated pan-caspase inhibitor that irreversibly labels cells undergoing apoptosis,</w:t>
      </w:r>
      <w:r w:rsidR="00572B71" w:rsidRPr="002F0DB0">
        <w:rPr>
          <w:rFonts w:asciiTheme="majorHAnsi" w:hAnsiTheme="majorHAnsi"/>
          <w:sz w:val="24"/>
          <w:szCs w:val="24"/>
        </w:rPr>
        <w:t xml:space="preserve"> or Apo2.7-PE </w:t>
      </w:r>
      <w:r w:rsidR="00FE0B49" w:rsidRPr="002F0DB0">
        <w:rPr>
          <w:rFonts w:asciiTheme="majorHAnsi" w:hAnsiTheme="majorHAnsi" w:cs="Arial"/>
          <w:sz w:val="24"/>
          <w:szCs w:val="24"/>
        </w:rPr>
        <w:t xml:space="preserve">(Beckman-Coulter, High Wycombe, UK), </w:t>
      </w:r>
      <w:r w:rsidR="00FE0B49" w:rsidRPr="002F0DB0">
        <w:rPr>
          <w:rFonts w:asciiTheme="majorHAnsi" w:hAnsiTheme="majorHAnsi" w:cs="Arial"/>
          <w:sz w:val="24"/>
          <w:szCs w:val="24"/>
          <w:lang w:val="en-US"/>
        </w:rPr>
        <w:t>a mitochondrial membrane protein which is exposed on cells undergoing early apoptosis.</w:t>
      </w:r>
      <w:r w:rsidRPr="002F0DB0">
        <w:rPr>
          <w:rFonts w:asciiTheme="majorHAnsi" w:hAnsiTheme="majorHAnsi"/>
          <w:sz w:val="24"/>
          <w:szCs w:val="24"/>
        </w:rPr>
        <w:t xml:space="preserve"> Apostat was added</w:t>
      </w:r>
      <w:r w:rsidR="00FE0B49" w:rsidRPr="002F0DB0">
        <w:rPr>
          <w:rFonts w:asciiTheme="majorHAnsi" w:hAnsiTheme="majorHAnsi"/>
          <w:sz w:val="24"/>
          <w:szCs w:val="24"/>
        </w:rPr>
        <w:t xml:space="preserve"> </w:t>
      </w:r>
      <w:r w:rsidR="00FE0B49" w:rsidRPr="002F0DB0">
        <w:rPr>
          <w:rFonts w:asciiTheme="majorHAnsi" w:hAnsiTheme="majorHAnsi" w:cs="Arial"/>
          <w:sz w:val="24"/>
          <w:szCs w:val="24"/>
        </w:rPr>
        <w:t>according to manufacturer’s protocol</w:t>
      </w:r>
      <w:r w:rsidRPr="002F0DB0">
        <w:rPr>
          <w:rFonts w:asciiTheme="majorHAnsi" w:hAnsiTheme="majorHAnsi"/>
          <w:sz w:val="24"/>
          <w:szCs w:val="24"/>
        </w:rPr>
        <w:t xml:space="preserve">, 30’ prior to the end of the incubation time, Apo2.7-PE (1:10) staining was performed </w:t>
      </w:r>
      <w:r w:rsidR="00572B71" w:rsidRPr="002F0DB0">
        <w:rPr>
          <w:rFonts w:asciiTheme="majorHAnsi" w:hAnsiTheme="majorHAnsi"/>
          <w:sz w:val="24"/>
          <w:szCs w:val="24"/>
        </w:rPr>
        <w:t>together with</w:t>
      </w:r>
      <w:r w:rsidRPr="002F0DB0">
        <w:rPr>
          <w:rFonts w:asciiTheme="majorHAnsi" w:hAnsiTheme="majorHAnsi"/>
          <w:sz w:val="24"/>
          <w:szCs w:val="24"/>
        </w:rPr>
        <w:t xml:space="preserve"> CD19 and CD11c staining. At the end of incubation times cells were washed with FACS buffer and stained with </w:t>
      </w:r>
      <w:r w:rsidRPr="002F0DB0">
        <w:rPr>
          <w:rFonts w:asciiTheme="majorHAnsi" w:hAnsiTheme="majorHAnsi"/>
          <w:sz w:val="24"/>
          <w:szCs w:val="24"/>
        </w:rPr>
        <w:sym w:font="Symbol" w:char="F061"/>
      </w:r>
      <w:r w:rsidRPr="002F0DB0">
        <w:rPr>
          <w:rFonts w:asciiTheme="majorHAnsi" w:hAnsiTheme="majorHAnsi"/>
          <w:sz w:val="24"/>
          <w:szCs w:val="24"/>
        </w:rPr>
        <w:t xml:space="preserve">-CD19-V450 (BD) or </w:t>
      </w:r>
      <w:r w:rsidRPr="002F0DB0">
        <w:rPr>
          <w:rFonts w:asciiTheme="majorHAnsi" w:hAnsiTheme="majorHAnsi"/>
          <w:sz w:val="24"/>
          <w:szCs w:val="24"/>
        </w:rPr>
        <w:sym w:font="Symbol" w:char="F061"/>
      </w:r>
      <w:r w:rsidRPr="002F0DB0">
        <w:rPr>
          <w:rFonts w:asciiTheme="majorHAnsi" w:hAnsiTheme="majorHAnsi"/>
          <w:sz w:val="24"/>
          <w:szCs w:val="24"/>
        </w:rPr>
        <w:t xml:space="preserve">-CD19-APC-H7 (BD) </w:t>
      </w:r>
      <w:proofErr w:type="gramStart"/>
      <w:r w:rsidR="00FE0B49" w:rsidRPr="002F0DB0">
        <w:rPr>
          <w:rFonts w:asciiTheme="majorHAnsi" w:hAnsiTheme="majorHAnsi" w:cs="Arial"/>
          <w:sz w:val="24"/>
          <w:szCs w:val="24"/>
        </w:rPr>
        <w:t xml:space="preserve">with </w:t>
      </w:r>
      <w:r w:rsidRPr="002F0DB0">
        <w:rPr>
          <w:rFonts w:asciiTheme="majorHAnsi" w:hAnsiTheme="majorHAnsi"/>
          <w:sz w:val="24"/>
          <w:szCs w:val="24"/>
        </w:rPr>
        <w:t xml:space="preserve"> </w:t>
      </w:r>
      <w:proofErr w:type="gramEnd"/>
      <w:r w:rsidRPr="002F0DB0">
        <w:rPr>
          <w:rFonts w:asciiTheme="majorHAnsi" w:hAnsiTheme="majorHAnsi"/>
          <w:sz w:val="24"/>
          <w:szCs w:val="24"/>
        </w:rPr>
        <w:sym w:font="Symbol" w:char="F061"/>
      </w:r>
      <w:r w:rsidRPr="002F0DB0">
        <w:rPr>
          <w:rFonts w:asciiTheme="majorHAnsi" w:hAnsiTheme="majorHAnsi"/>
          <w:sz w:val="24"/>
          <w:szCs w:val="24"/>
        </w:rPr>
        <w:t>-CD11c-APC (BD</w:t>
      </w:r>
      <w:r w:rsidR="00FE0B49" w:rsidRPr="002F0DB0">
        <w:rPr>
          <w:rFonts w:asciiTheme="majorHAnsi" w:hAnsiTheme="majorHAnsi" w:cs="Arial"/>
          <w:sz w:val="24"/>
          <w:szCs w:val="24"/>
        </w:rPr>
        <w:t>)/</w:t>
      </w:r>
      <w:r w:rsidR="00FE0B49" w:rsidRPr="002F0DB0">
        <w:rPr>
          <w:rFonts w:asciiTheme="majorHAnsi" w:hAnsiTheme="majorHAnsi" w:cs="Arial"/>
          <w:sz w:val="24"/>
          <w:szCs w:val="24"/>
        </w:rPr>
        <w:sym w:font="Symbol" w:char="F061"/>
      </w:r>
      <w:r w:rsidR="00FE0B49" w:rsidRPr="002F0DB0">
        <w:rPr>
          <w:rFonts w:asciiTheme="majorHAnsi" w:hAnsiTheme="majorHAnsi" w:cs="Arial"/>
          <w:sz w:val="24"/>
          <w:szCs w:val="24"/>
        </w:rPr>
        <w:t>-CD103-PE-Cy7 (BioLegend)</w:t>
      </w:r>
      <w:r w:rsidRPr="002F0DB0">
        <w:rPr>
          <w:rFonts w:asciiTheme="majorHAnsi" w:hAnsiTheme="majorHAnsi"/>
          <w:sz w:val="24"/>
          <w:szCs w:val="24"/>
        </w:rPr>
        <w:t xml:space="preserve">, with Apo2.7-PE as appropriate, for 10 minutes at room temperature and washed twice with FACS buffer. Cells were then analyzed using a FACS Canto II with FACSDiva and PRISM (GraphPad, La Jolla, CA, USA) software. </w:t>
      </w:r>
    </w:p>
    <w:p w14:paraId="7E05D61C" w14:textId="77777777" w:rsidR="00FE0B49" w:rsidRPr="002F0DB0" w:rsidRDefault="00FE0B49" w:rsidP="00FE0B49">
      <w:pPr>
        <w:jc w:val="both"/>
        <w:rPr>
          <w:rFonts w:asciiTheme="majorHAnsi" w:hAnsiTheme="majorHAnsi" w:cs="Arial"/>
          <w:i/>
          <w:iCs/>
          <w:sz w:val="24"/>
          <w:szCs w:val="24"/>
        </w:rPr>
      </w:pPr>
      <w:r w:rsidRPr="002F0DB0">
        <w:rPr>
          <w:rFonts w:asciiTheme="majorHAnsi" w:hAnsiTheme="majorHAnsi" w:cs="Arial"/>
          <w:i/>
          <w:iCs/>
          <w:sz w:val="24"/>
          <w:szCs w:val="24"/>
        </w:rPr>
        <w:t>Analysis of proliferation following BCR stimulation</w:t>
      </w:r>
    </w:p>
    <w:p w14:paraId="40F3EAFB" w14:textId="77777777" w:rsidR="00FE0B49" w:rsidRPr="002F0DB0" w:rsidRDefault="00FE0B49" w:rsidP="00FE0B49">
      <w:pPr>
        <w:widowControl w:val="0"/>
        <w:autoSpaceDE w:val="0"/>
        <w:autoSpaceDN w:val="0"/>
        <w:adjustRightInd w:val="0"/>
        <w:rPr>
          <w:rFonts w:asciiTheme="majorHAnsi" w:hAnsiTheme="majorHAnsi"/>
          <w:sz w:val="24"/>
          <w:szCs w:val="24"/>
        </w:rPr>
      </w:pPr>
      <w:r w:rsidRPr="002F0DB0">
        <w:rPr>
          <w:rFonts w:asciiTheme="majorHAnsi" w:hAnsiTheme="majorHAnsi" w:cs="Arial"/>
          <w:iCs/>
          <w:sz w:val="24"/>
          <w:szCs w:val="24"/>
        </w:rPr>
        <w:t>0.1-0.2x10</w:t>
      </w:r>
      <w:r w:rsidRPr="002F0DB0">
        <w:rPr>
          <w:rFonts w:asciiTheme="majorHAnsi" w:hAnsiTheme="majorHAnsi" w:cs="Arial"/>
          <w:iCs/>
          <w:sz w:val="24"/>
          <w:szCs w:val="24"/>
          <w:vertAlign w:val="superscript"/>
        </w:rPr>
        <w:t>6</w:t>
      </w:r>
      <w:r w:rsidRPr="002F0DB0">
        <w:rPr>
          <w:rFonts w:asciiTheme="majorHAnsi" w:hAnsiTheme="majorHAnsi" w:cs="Arial"/>
          <w:iCs/>
          <w:sz w:val="24"/>
          <w:szCs w:val="24"/>
        </w:rPr>
        <w:t xml:space="preserve"> HCL cells were stimulated </w:t>
      </w:r>
      <w:r w:rsidRPr="002F0DB0">
        <w:rPr>
          <w:rFonts w:asciiTheme="majorHAnsi" w:hAnsiTheme="majorHAnsi" w:cs="Arial"/>
          <w:sz w:val="24"/>
          <w:szCs w:val="24"/>
        </w:rPr>
        <w:t xml:space="preserve">in 96-well plates in quadruplicate with 20 µg/ ml goat </w:t>
      </w:r>
      <w:proofErr w:type="gramStart"/>
      <w:r w:rsidRPr="002F0DB0">
        <w:rPr>
          <w:rFonts w:asciiTheme="majorHAnsi" w:hAnsiTheme="majorHAnsi" w:cs="Arial"/>
          <w:sz w:val="24"/>
          <w:szCs w:val="24"/>
        </w:rPr>
        <w:t>F(</w:t>
      </w:r>
      <w:proofErr w:type="gramEnd"/>
      <w:r w:rsidRPr="002F0DB0">
        <w:rPr>
          <w:rFonts w:asciiTheme="majorHAnsi" w:hAnsiTheme="majorHAnsi" w:cs="Arial"/>
          <w:sz w:val="24"/>
          <w:szCs w:val="24"/>
        </w:rPr>
        <w:t>ab)</w:t>
      </w:r>
      <w:r w:rsidRPr="002F0DB0">
        <w:rPr>
          <w:rFonts w:asciiTheme="majorHAnsi" w:hAnsiTheme="majorHAnsi" w:cs="Arial"/>
          <w:sz w:val="24"/>
          <w:szCs w:val="24"/>
          <w:vertAlign w:val="subscript"/>
        </w:rPr>
        <w:t>2</w:t>
      </w:r>
      <w:r w:rsidRPr="002F0DB0">
        <w:rPr>
          <w:rFonts w:asciiTheme="majorHAnsi" w:hAnsiTheme="majorHAnsi" w:cs="Arial"/>
          <w:sz w:val="24"/>
          <w:szCs w:val="24"/>
        </w:rPr>
        <w:t xml:space="preserve"> α-human IgA, IgD, IgG, IgM, kappa or lambda</w:t>
      </w:r>
      <w:r w:rsidRPr="002F0DB0">
        <w:rPr>
          <w:rFonts w:asciiTheme="majorHAnsi" w:hAnsiTheme="majorHAnsi" w:cs="Arial"/>
          <w:iCs/>
          <w:sz w:val="24"/>
          <w:szCs w:val="24"/>
        </w:rPr>
        <w:t xml:space="preserve"> in cRPMI at </w:t>
      </w:r>
      <w:r w:rsidRPr="002F0DB0">
        <w:rPr>
          <w:rFonts w:asciiTheme="majorHAnsi" w:hAnsiTheme="majorHAnsi" w:cs="Arial"/>
          <w:sz w:val="24"/>
          <w:szCs w:val="24"/>
        </w:rPr>
        <w:t>37ºC</w:t>
      </w:r>
      <w:r w:rsidRPr="002F0DB0">
        <w:rPr>
          <w:rFonts w:asciiTheme="majorHAnsi" w:hAnsiTheme="majorHAnsi" w:cs="Arial"/>
          <w:iCs/>
          <w:sz w:val="24"/>
          <w:szCs w:val="24"/>
        </w:rPr>
        <w:t xml:space="preserve"> and Cell Proliferation Kit II</w:t>
      </w:r>
      <w:r w:rsidRPr="002F0DB0">
        <w:rPr>
          <w:rFonts w:asciiTheme="majorHAnsi" w:hAnsiTheme="majorHAnsi"/>
          <w:sz w:val="24"/>
          <w:szCs w:val="24"/>
        </w:rPr>
        <w:t xml:space="preserve"> (XTT) (Roche, Welwyn Garden City, UK) was used to measure proliferation according to the manufacturer’s protocol. Briefly, XTT, a</w:t>
      </w:r>
      <w:r w:rsidRPr="002F0DB0">
        <w:rPr>
          <w:rFonts w:asciiTheme="majorHAnsi" w:hAnsiTheme="majorHAnsi" w:cs="Verdana"/>
          <w:sz w:val="24"/>
          <w:szCs w:val="24"/>
          <w:lang w:val="en-US"/>
        </w:rPr>
        <w:t xml:space="preserve"> tetrazolium salt that is cleaved to formazan in metabolically active cells only, and PMS, an electron coupling reagent, </w:t>
      </w:r>
      <w:r w:rsidRPr="002F0DB0">
        <w:rPr>
          <w:rFonts w:asciiTheme="majorHAnsi" w:hAnsiTheme="majorHAnsi"/>
          <w:sz w:val="24"/>
          <w:szCs w:val="24"/>
        </w:rPr>
        <w:t>were included for 4 hours alongside anti-BCR stimulation, then OD measured at 490 nm. Data were analyzed in PRISM (GraphPad, La Jolla, CA, USA).</w:t>
      </w:r>
    </w:p>
    <w:p w14:paraId="688A6DEE" w14:textId="77777777" w:rsidR="0008397F" w:rsidRPr="002F0DB0" w:rsidRDefault="0008397F" w:rsidP="0008397F">
      <w:pPr>
        <w:rPr>
          <w:rFonts w:asciiTheme="majorHAnsi" w:hAnsiTheme="majorHAnsi"/>
          <w:iCs/>
        </w:rPr>
      </w:pPr>
    </w:p>
    <w:p w14:paraId="21A83FFE" w14:textId="77777777" w:rsidR="0008397F" w:rsidRPr="002F0DB0" w:rsidRDefault="0008397F" w:rsidP="0008397F">
      <w:pPr>
        <w:rPr>
          <w:rFonts w:asciiTheme="majorHAnsi" w:hAnsiTheme="majorHAnsi"/>
        </w:rPr>
      </w:pPr>
    </w:p>
    <w:p w14:paraId="4EABC8C4" w14:textId="77777777" w:rsidR="00E85701" w:rsidRPr="002F0DB0" w:rsidRDefault="00E85701" w:rsidP="00E85701">
      <w:pPr>
        <w:rPr>
          <w:rFonts w:asciiTheme="majorHAnsi" w:hAnsiTheme="majorHAnsi"/>
        </w:rPr>
      </w:pPr>
    </w:p>
    <w:p w14:paraId="2F41EAB6" w14:textId="77777777" w:rsidR="00E85701" w:rsidRPr="002F0DB0" w:rsidRDefault="00E85701" w:rsidP="00E85701">
      <w:pPr>
        <w:rPr>
          <w:rFonts w:asciiTheme="majorHAnsi" w:hAnsiTheme="majorHAnsi"/>
        </w:rPr>
        <w:sectPr w:rsidR="00E85701" w:rsidRPr="002F0DB0" w:rsidSect="006577A8">
          <w:footerReference w:type="default" r:id="rId7"/>
          <w:pgSz w:w="11900" w:h="16840"/>
          <w:pgMar w:top="1440" w:right="1410" w:bottom="1440" w:left="1474" w:header="709" w:footer="709" w:gutter="0"/>
          <w:cols w:space="708"/>
          <w:docGrid w:linePitch="360"/>
        </w:sectPr>
      </w:pPr>
    </w:p>
    <w:tbl>
      <w:tblPr>
        <w:tblpPr w:leftFromText="180" w:rightFromText="180" w:vertAnchor="text" w:horzAnchor="page" w:tblpX="1611" w:tblpY="729"/>
        <w:tblOverlap w:val="never"/>
        <w:tblW w:w="13106" w:type="dxa"/>
        <w:tblLayout w:type="fixed"/>
        <w:tblLook w:val="0000" w:firstRow="0" w:lastRow="0" w:firstColumn="0" w:lastColumn="0" w:noHBand="0" w:noVBand="0"/>
      </w:tblPr>
      <w:tblGrid>
        <w:gridCol w:w="1065"/>
        <w:gridCol w:w="601"/>
        <w:gridCol w:w="643"/>
        <w:gridCol w:w="740"/>
        <w:gridCol w:w="657"/>
        <w:gridCol w:w="755"/>
        <w:gridCol w:w="880"/>
        <w:gridCol w:w="863"/>
        <w:gridCol w:w="487"/>
        <w:gridCol w:w="489"/>
        <w:gridCol w:w="531"/>
        <w:gridCol w:w="539"/>
        <w:gridCol w:w="496"/>
        <w:gridCol w:w="497"/>
        <w:gridCol w:w="708"/>
        <w:gridCol w:w="993"/>
        <w:gridCol w:w="425"/>
        <w:gridCol w:w="425"/>
        <w:gridCol w:w="425"/>
        <w:gridCol w:w="426"/>
        <w:gridCol w:w="461"/>
      </w:tblGrid>
      <w:tr w:rsidR="007A3FB1" w:rsidRPr="002F0DB0" w14:paraId="0446C640" w14:textId="77777777" w:rsidTr="00EE218D">
        <w:trPr>
          <w:trHeight w:val="260"/>
        </w:trPr>
        <w:tc>
          <w:tcPr>
            <w:tcW w:w="1065" w:type="dxa"/>
            <w:tcMar>
              <w:left w:w="170" w:type="dxa"/>
              <w:right w:w="113" w:type="dxa"/>
            </w:tcMar>
            <w:vAlign w:val="center"/>
          </w:tcPr>
          <w:p w14:paraId="0ED603FD" w14:textId="75CD5248" w:rsidR="00E85701" w:rsidRPr="002F0DB0" w:rsidRDefault="00E85701" w:rsidP="00EE218D">
            <w:pPr>
              <w:spacing w:after="0" w:line="240" w:lineRule="auto"/>
              <w:ind w:left="-57" w:right="-57" w:hanging="57"/>
              <w:rPr>
                <w:rFonts w:asciiTheme="majorHAnsi" w:eastAsia="Cambria" w:hAnsiTheme="majorHAnsi" w:cs="Times New Roman"/>
                <w:b/>
                <w:bCs/>
                <w:sz w:val="24"/>
                <w:szCs w:val="24"/>
                <w:lang w:eastAsia="en-US"/>
              </w:rPr>
            </w:pPr>
          </w:p>
        </w:tc>
        <w:tc>
          <w:tcPr>
            <w:tcW w:w="601" w:type="dxa"/>
            <w:shd w:val="clear" w:color="auto" w:fill="auto"/>
            <w:tcMar>
              <w:left w:w="170" w:type="dxa"/>
              <w:right w:w="113" w:type="dxa"/>
            </w:tcMar>
            <w:vAlign w:val="center"/>
          </w:tcPr>
          <w:p w14:paraId="4363B968" w14:textId="7A32A081" w:rsidR="00E85701" w:rsidRPr="002F0DB0" w:rsidRDefault="00E85701" w:rsidP="00EE218D">
            <w:pPr>
              <w:spacing w:after="0" w:line="240" w:lineRule="auto"/>
              <w:ind w:left="-57" w:right="-57" w:hanging="57"/>
              <w:rPr>
                <w:rFonts w:asciiTheme="majorHAnsi" w:eastAsia="Cambria" w:hAnsiTheme="majorHAnsi" w:cs="Times New Roman"/>
                <w:b/>
                <w:bCs/>
                <w:sz w:val="24"/>
                <w:szCs w:val="24"/>
                <w:lang w:eastAsia="en-US"/>
              </w:rPr>
            </w:pPr>
          </w:p>
        </w:tc>
        <w:tc>
          <w:tcPr>
            <w:tcW w:w="4538" w:type="dxa"/>
            <w:gridSpan w:val="6"/>
            <w:shd w:val="clear" w:color="auto" w:fill="auto"/>
            <w:tcMar>
              <w:left w:w="170" w:type="dxa"/>
              <w:right w:w="113" w:type="dxa"/>
            </w:tcMar>
            <w:vAlign w:val="center"/>
          </w:tcPr>
          <w:p w14:paraId="63CCA2F8" w14:textId="1787C07A" w:rsidR="00E85701" w:rsidRPr="002F0DB0" w:rsidRDefault="00E85701" w:rsidP="00EE218D">
            <w:pPr>
              <w:spacing w:after="0" w:line="240" w:lineRule="auto"/>
              <w:ind w:left="-57" w:right="-57" w:hanging="57"/>
              <w:rPr>
                <w:rFonts w:asciiTheme="majorHAnsi" w:eastAsia="Cambria" w:hAnsiTheme="majorHAnsi" w:cs="Times New Roman"/>
                <w:b/>
                <w:bCs/>
                <w:sz w:val="24"/>
                <w:szCs w:val="24"/>
                <w:lang w:eastAsia="en-US"/>
              </w:rPr>
            </w:pPr>
          </w:p>
        </w:tc>
        <w:tc>
          <w:tcPr>
            <w:tcW w:w="3039" w:type="dxa"/>
            <w:gridSpan w:val="6"/>
            <w:shd w:val="clear" w:color="auto" w:fill="auto"/>
            <w:tcMar>
              <w:left w:w="170" w:type="dxa"/>
              <w:right w:w="113" w:type="dxa"/>
            </w:tcMar>
            <w:vAlign w:val="center"/>
          </w:tcPr>
          <w:p w14:paraId="3C94FC47" w14:textId="77777777" w:rsidR="00E85701" w:rsidRPr="002F0DB0" w:rsidRDefault="00E85701" w:rsidP="00EE218D">
            <w:pPr>
              <w:spacing w:after="0" w:line="240" w:lineRule="auto"/>
              <w:ind w:left="-57" w:right="-57" w:hanging="57"/>
              <w:rPr>
                <w:rFonts w:asciiTheme="majorHAnsi" w:eastAsia="Cambria" w:hAnsiTheme="majorHAnsi" w:cs="Times New Roman"/>
                <w:b/>
                <w:bCs/>
                <w:sz w:val="24"/>
                <w:szCs w:val="24"/>
                <w:lang w:eastAsia="en-US"/>
              </w:rPr>
            </w:pPr>
          </w:p>
        </w:tc>
        <w:tc>
          <w:tcPr>
            <w:tcW w:w="3863" w:type="dxa"/>
            <w:gridSpan w:val="7"/>
            <w:shd w:val="clear" w:color="auto" w:fill="auto"/>
            <w:tcMar>
              <w:left w:w="170" w:type="dxa"/>
              <w:right w:w="113" w:type="dxa"/>
            </w:tcMar>
            <w:vAlign w:val="center"/>
          </w:tcPr>
          <w:p w14:paraId="3A9F171F" w14:textId="77777777" w:rsidR="00E85701" w:rsidRPr="002F0DB0" w:rsidRDefault="00E8570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IGHV gene status</w:t>
            </w:r>
          </w:p>
        </w:tc>
      </w:tr>
      <w:tr w:rsidR="007A3FB1" w:rsidRPr="002F0DB0" w14:paraId="558181C4" w14:textId="77777777" w:rsidTr="00EE218D">
        <w:trPr>
          <w:trHeight w:val="263"/>
        </w:trPr>
        <w:tc>
          <w:tcPr>
            <w:tcW w:w="1065" w:type="dxa"/>
            <w:tcMar>
              <w:left w:w="170" w:type="dxa"/>
              <w:right w:w="113" w:type="dxa"/>
            </w:tcMar>
            <w:vAlign w:val="center"/>
          </w:tcPr>
          <w:p w14:paraId="2A302B64" w14:textId="77777777" w:rsidR="00C73E30" w:rsidRPr="002F0DB0" w:rsidRDefault="00C73E30" w:rsidP="00EE218D">
            <w:pPr>
              <w:spacing w:after="0" w:line="240" w:lineRule="auto"/>
              <w:ind w:left="-57" w:right="-57" w:hanging="57"/>
              <w:rPr>
                <w:rFonts w:asciiTheme="majorHAnsi" w:eastAsia="Cambria" w:hAnsiTheme="majorHAnsi" w:cs="Times New Roman"/>
                <w:b/>
                <w:bCs/>
                <w:sz w:val="24"/>
                <w:szCs w:val="24"/>
                <w:lang w:eastAsia="en-US"/>
              </w:rPr>
            </w:pPr>
          </w:p>
        </w:tc>
        <w:tc>
          <w:tcPr>
            <w:tcW w:w="601" w:type="dxa"/>
            <w:shd w:val="clear" w:color="auto" w:fill="auto"/>
            <w:tcMar>
              <w:left w:w="170" w:type="dxa"/>
              <w:right w:w="113" w:type="dxa"/>
            </w:tcMar>
            <w:vAlign w:val="center"/>
          </w:tcPr>
          <w:p w14:paraId="14FD6044" w14:textId="77777777" w:rsidR="00C73E30" w:rsidRPr="002F0DB0" w:rsidRDefault="00C73E30" w:rsidP="00EE218D">
            <w:pPr>
              <w:spacing w:after="0" w:line="240" w:lineRule="auto"/>
              <w:ind w:left="-57" w:right="-57" w:hanging="57"/>
              <w:rPr>
                <w:rFonts w:asciiTheme="majorHAnsi" w:eastAsia="Cambria" w:hAnsiTheme="majorHAnsi" w:cs="Times New Roman"/>
                <w:b/>
                <w:bCs/>
                <w:sz w:val="24"/>
                <w:szCs w:val="24"/>
                <w:lang w:eastAsia="en-US"/>
              </w:rPr>
            </w:pPr>
          </w:p>
        </w:tc>
        <w:tc>
          <w:tcPr>
            <w:tcW w:w="4538" w:type="dxa"/>
            <w:gridSpan w:val="6"/>
            <w:shd w:val="clear" w:color="auto" w:fill="auto"/>
            <w:tcMar>
              <w:left w:w="170" w:type="dxa"/>
              <w:right w:w="113" w:type="dxa"/>
            </w:tcMar>
            <w:vAlign w:val="center"/>
          </w:tcPr>
          <w:p w14:paraId="277FFE5A" w14:textId="4DEFBC8B" w:rsidR="00C73E30" w:rsidRPr="002F0DB0" w:rsidRDefault="00C73E30" w:rsidP="00EE218D">
            <w:pPr>
              <w:spacing w:after="0" w:line="240" w:lineRule="auto"/>
              <w:ind w:left="-57" w:right="-57" w:hanging="57"/>
              <w:jc w:val="both"/>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HCL phenotype</w:t>
            </w:r>
          </w:p>
        </w:tc>
        <w:tc>
          <w:tcPr>
            <w:tcW w:w="3039" w:type="dxa"/>
            <w:gridSpan w:val="6"/>
            <w:shd w:val="clear" w:color="auto" w:fill="auto"/>
            <w:tcMar>
              <w:left w:w="170" w:type="dxa"/>
              <w:right w:w="113" w:type="dxa"/>
            </w:tcMar>
            <w:vAlign w:val="center"/>
          </w:tcPr>
          <w:p w14:paraId="744D9962" w14:textId="77777777" w:rsidR="00C73E30" w:rsidRPr="002F0DB0" w:rsidRDefault="00C73E30" w:rsidP="00EE218D">
            <w:pPr>
              <w:spacing w:after="0" w:line="240" w:lineRule="auto"/>
              <w:ind w:left="-57" w:right="-57" w:hanging="57"/>
              <w:rPr>
                <w:rFonts w:asciiTheme="majorHAnsi" w:eastAsia="Cambria" w:hAnsiTheme="majorHAnsi" w:cs="Times New Roman"/>
                <w:b/>
                <w:bCs/>
                <w:sz w:val="24"/>
                <w:szCs w:val="24"/>
                <w:lang w:eastAsia="en-US"/>
              </w:rPr>
            </w:pPr>
            <w:proofErr w:type="gramStart"/>
            <w:r w:rsidRPr="002F0DB0">
              <w:rPr>
                <w:rFonts w:asciiTheme="majorHAnsi" w:eastAsia="Cambria" w:hAnsiTheme="majorHAnsi" w:cs="Times New Roman"/>
                <w:b/>
                <w:bCs/>
                <w:sz w:val="24"/>
                <w:szCs w:val="24"/>
                <w:lang w:eastAsia="en-US"/>
              </w:rPr>
              <w:t>sIg</w:t>
            </w:r>
            <w:proofErr w:type="gramEnd"/>
            <w:r w:rsidRPr="002F0DB0">
              <w:rPr>
                <w:rFonts w:asciiTheme="majorHAnsi" w:eastAsia="Cambria" w:hAnsiTheme="majorHAnsi" w:cs="Times New Roman"/>
                <w:b/>
                <w:bCs/>
                <w:sz w:val="24"/>
                <w:szCs w:val="24"/>
                <w:lang w:eastAsia="en-US"/>
              </w:rPr>
              <w:t xml:space="preserve"> phenotype</w:t>
            </w:r>
          </w:p>
        </w:tc>
        <w:tc>
          <w:tcPr>
            <w:tcW w:w="708" w:type="dxa"/>
            <w:shd w:val="clear" w:color="auto" w:fill="auto"/>
            <w:tcMar>
              <w:left w:w="170" w:type="dxa"/>
              <w:right w:w="113" w:type="dxa"/>
            </w:tcMar>
            <w:vAlign w:val="center"/>
          </w:tcPr>
          <w:p w14:paraId="60024ADF" w14:textId="77777777" w:rsidR="00C73E30" w:rsidRPr="002F0DB0" w:rsidRDefault="00C73E30" w:rsidP="00EE218D">
            <w:pPr>
              <w:spacing w:after="0" w:line="240" w:lineRule="auto"/>
              <w:ind w:left="-57" w:right="-57" w:hanging="57"/>
              <w:rPr>
                <w:rFonts w:asciiTheme="majorHAnsi" w:eastAsia="Cambria" w:hAnsiTheme="majorHAnsi" w:cs="Times New Roman"/>
                <w:b/>
                <w:bCs/>
                <w:sz w:val="24"/>
                <w:szCs w:val="24"/>
                <w:lang w:eastAsia="en-US"/>
              </w:rPr>
            </w:pPr>
          </w:p>
        </w:tc>
        <w:tc>
          <w:tcPr>
            <w:tcW w:w="993" w:type="dxa"/>
            <w:shd w:val="clear" w:color="auto" w:fill="auto"/>
            <w:tcMar>
              <w:left w:w="170" w:type="dxa"/>
              <w:right w:w="113" w:type="dxa"/>
            </w:tcMar>
            <w:vAlign w:val="center"/>
          </w:tcPr>
          <w:p w14:paraId="52FF3A08" w14:textId="77777777" w:rsidR="00C73E30" w:rsidRPr="002F0DB0" w:rsidRDefault="00C73E30" w:rsidP="00EE218D">
            <w:pPr>
              <w:spacing w:after="0" w:line="240" w:lineRule="auto"/>
              <w:ind w:left="-57" w:right="-57" w:hanging="57"/>
              <w:rPr>
                <w:rFonts w:asciiTheme="majorHAnsi" w:eastAsia="Cambria" w:hAnsiTheme="majorHAnsi" w:cs="Times New Roman"/>
                <w:b/>
                <w:bCs/>
                <w:sz w:val="24"/>
                <w:szCs w:val="24"/>
                <w:lang w:eastAsia="en-US"/>
              </w:rPr>
            </w:pPr>
          </w:p>
        </w:tc>
        <w:tc>
          <w:tcPr>
            <w:tcW w:w="1701" w:type="dxa"/>
            <w:gridSpan w:val="4"/>
            <w:shd w:val="clear" w:color="auto" w:fill="auto"/>
            <w:tcMar>
              <w:left w:w="170" w:type="dxa"/>
              <w:right w:w="113" w:type="dxa"/>
            </w:tcMar>
            <w:vAlign w:val="center"/>
          </w:tcPr>
          <w:p w14:paraId="246229C3" w14:textId="77777777" w:rsidR="00C73E30" w:rsidRPr="002F0DB0" w:rsidRDefault="00C73E30" w:rsidP="00EE218D">
            <w:pPr>
              <w:spacing w:after="0" w:line="240" w:lineRule="auto"/>
              <w:ind w:left="-57" w:right="-57" w:hanging="57"/>
              <w:rPr>
                <w:rFonts w:asciiTheme="majorHAnsi" w:eastAsia="Cambria" w:hAnsiTheme="majorHAnsi" w:cs="Times New Roman"/>
                <w:b/>
                <w:bCs/>
                <w:sz w:val="24"/>
                <w:szCs w:val="24"/>
                <w:lang w:eastAsia="en-US"/>
              </w:rPr>
            </w:pPr>
            <w:proofErr w:type="gramStart"/>
            <w:r w:rsidRPr="002F0DB0">
              <w:rPr>
                <w:rFonts w:asciiTheme="majorHAnsi" w:eastAsia="Cambria" w:hAnsiTheme="majorHAnsi" w:cs="Times New Roman"/>
                <w:b/>
                <w:bCs/>
                <w:sz w:val="24"/>
                <w:szCs w:val="24"/>
                <w:lang w:eastAsia="en-US"/>
              </w:rPr>
              <w:t>clonal</w:t>
            </w:r>
            <w:proofErr w:type="gramEnd"/>
            <w:r w:rsidRPr="002F0DB0">
              <w:rPr>
                <w:rFonts w:asciiTheme="majorHAnsi" w:eastAsia="Cambria" w:hAnsiTheme="majorHAnsi" w:cs="Times New Roman"/>
                <w:b/>
                <w:bCs/>
                <w:sz w:val="24"/>
                <w:szCs w:val="24"/>
                <w:lang w:eastAsia="en-US"/>
              </w:rPr>
              <w:t xml:space="preserve"> isotypes</w:t>
            </w:r>
          </w:p>
        </w:tc>
        <w:tc>
          <w:tcPr>
            <w:tcW w:w="461" w:type="dxa"/>
            <w:shd w:val="clear" w:color="auto" w:fill="auto"/>
            <w:tcMar>
              <w:left w:w="170" w:type="dxa"/>
              <w:right w:w="113" w:type="dxa"/>
            </w:tcMar>
            <w:vAlign w:val="center"/>
          </w:tcPr>
          <w:p w14:paraId="64E8E40C" w14:textId="77777777" w:rsidR="00C73E30" w:rsidRPr="002F0DB0" w:rsidRDefault="00C73E30" w:rsidP="00EE218D">
            <w:pPr>
              <w:spacing w:after="0" w:line="240" w:lineRule="auto"/>
              <w:ind w:left="-57" w:right="-57" w:hanging="57"/>
              <w:rPr>
                <w:rFonts w:asciiTheme="majorHAnsi" w:eastAsia="Cambria" w:hAnsiTheme="majorHAnsi" w:cs="Times New Roman"/>
                <w:b/>
                <w:bCs/>
                <w:sz w:val="24"/>
                <w:szCs w:val="24"/>
                <w:lang w:eastAsia="en-US"/>
              </w:rPr>
            </w:pPr>
          </w:p>
        </w:tc>
      </w:tr>
      <w:tr w:rsidR="00B065F9" w:rsidRPr="002F0DB0" w14:paraId="13ADE600" w14:textId="77777777" w:rsidTr="00EE218D">
        <w:trPr>
          <w:trHeight w:val="483"/>
        </w:trPr>
        <w:tc>
          <w:tcPr>
            <w:tcW w:w="1065" w:type="dxa"/>
            <w:tcMar>
              <w:left w:w="170" w:type="dxa"/>
              <w:right w:w="113" w:type="dxa"/>
            </w:tcMar>
            <w:vAlign w:val="center"/>
          </w:tcPr>
          <w:p w14:paraId="645C1B23" w14:textId="48760D4C"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proofErr w:type="gramStart"/>
            <w:r w:rsidRPr="002F0DB0">
              <w:rPr>
                <w:rFonts w:asciiTheme="majorHAnsi" w:eastAsia="Cambria" w:hAnsiTheme="majorHAnsi" w:cs="Times New Roman"/>
                <w:b/>
                <w:bCs/>
                <w:sz w:val="24"/>
                <w:szCs w:val="24"/>
                <w:lang w:eastAsia="en-US"/>
              </w:rPr>
              <w:t>sIg</w:t>
            </w:r>
            <w:proofErr w:type="gramEnd"/>
            <w:r w:rsidRPr="002F0DB0">
              <w:rPr>
                <w:rFonts w:asciiTheme="majorHAnsi" w:eastAsia="Cambria" w:hAnsiTheme="majorHAnsi" w:cs="Times New Roman"/>
                <w:b/>
                <w:bCs/>
                <w:sz w:val="24"/>
                <w:szCs w:val="24"/>
                <w:lang w:eastAsia="en-US"/>
              </w:rPr>
              <w:t xml:space="preserve"> Status</w:t>
            </w:r>
          </w:p>
        </w:tc>
        <w:tc>
          <w:tcPr>
            <w:tcW w:w="601" w:type="dxa"/>
            <w:shd w:val="clear" w:color="auto" w:fill="auto"/>
            <w:tcMar>
              <w:left w:w="170" w:type="dxa"/>
              <w:right w:w="113" w:type="dxa"/>
            </w:tcMar>
            <w:vAlign w:val="center"/>
          </w:tcPr>
          <w:p w14:paraId="3C89ECE0" w14:textId="0344797E"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Case</w:t>
            </w:r>
          </w:p>
        </w:tc>
        <w:tc>
          <w:tcPr>
            <w:tcW w:w="643" w:type="dxa"/>
            <w:shd w:val="clear" w:color="auto" w:fill="auto"/>
            <w:tcMar>
              <w:left w:w="170" w:type="dxa"/>
              <w:right w:w="113" w:type="dxa"/>
            </w:tcMar>
            <w:vAlign w:val="center"/>
          </w:tcPr>
          <w:p w14:paraId="12511B14" w14:textId="4A20DF16" w:rsidR="00F407F1" w:rsidRPr="002F0DB0" w:rsidRDefault="00F407F1" w:rsidP="00EE218D">
            <w:pPr>
              <w:spacing w:after="0" w:line="240" w:lineRule="auto"/>
              <w:ind w:left="-57" w:right="-57" w:hanging="57"/>
              <w:rPr>
                <w:rFonts w:asciiTheme="majorHAnsi" w:eastAsia="Cambria" w:hAnsiTheme="majorHAnsi" w:cs="Times New Roman"/>
                <w:sz w:val="24"/>
                <w:szCs w:val="24"/>
                <w:lang w:eastAsia="en-US"/>
              </w:rPr>
            </w:pPr>
            <w:r w:rsidRPr="002F0DB0">
              <w:rPr>
                <w:rFonts w:asciiTheme="majorHAnsi" w:eastAsia="Cambria" w:hAnsiTheme="majorHAnsi" w:cs="Times New Roman"/>
                <w:sz w:val="24"/>
                <w:szCs w:val="24"/>
                <w:lang w:eastAsia="en-US"/>
              </w:rPr>
              <w:t>CD19</w:t>
            </w:r>
          </w:p>
        </w:tc>
        <w:tc>
          <w:tcPr>
            <w:tcW w:w="740" w:type="dxa"/>
            <w:shd w:val="clear" w:color="auto" w:fill="auto"/>
            <w:tcMar>
              <w:left w:w="170" w:type="dxa"/>
              <w:right w:w="113" w:type="dxa"/>
            </w:tcMar>
            <w:vAlign w:val="center"/>
          </w:tcPr>
          <w:p w14:paraId="4C888F9A" w14:textId="6A1B32A5" w:rsidR="00F407F1" w:rsidRPr="002F0DB0" w:rsidRDefault="00F407F1" w:rsidP="00EE218D">
            <w:pPr>
              <w:spacing w:after="0" w:line="240" w:lineRule="auto"/>
              <w:ind w:left="-57" w:right="-57" w:hanging="57"/>
              <w:rPr>
                <w:rFonts w:asciiTheme="majorHAnsi" w:eastAsia="Cambria" w:hAnsiTheme="majorHAnsi" w:cs="Times New Roman"/>
                <w:sz w:val="24"/>
                <w:szCs w:val="24"/>
                <w:lang w:eastAsia="en-US"/>
              </w:rPr>
            </w:pPr>
            <w:r w:rsidRPr="002F0DB0">
              <w:rPr>
                <w:rFonts w:asciiTheme="majorHAnsi" w:eastAsia="Cambria" w:hAnsiTheme="majorHAnsi" w:cs="Times New Roman"/>
                <w:sz w:val="24"/>
                <w:szCs w:val="24"/>
                <w:lang w:eastAsia="en-US"/>
              </w:rPr>
              <w:t>CD11c</w:t>
            </w:r>
          </w:p>
        </w:tc>
        <w:tc>
          <w:tcPr>
            <w:tcW w:w="657" w:type="dxa"/>
            <w:shd w:val="clear" w:color="auto" w:fill="auto"/>
            <w:tcMar>
              <w:left w:w="170" w:type="dxa"/>
              <w:right w:w="113" w:type="dxa"/>
            </w:tcMar>
            <w:vAlign w:val="center"/>
          </w:tcPr>
          <w:p w14:paraId="2DF9EFC5" w14:textId="3072D41C" w:rsidR="00F407F1" w:rsidRPr="002F0DB0" w:rsidRDefault="00F407F1" w:rsidP="00EE218D">
            <w:pPr>
              <w:spacing w:after="0" w:line="240" w:lineRule="auto"/>
              <w:ind w:left="-57" w:right="-57" w:hanging="57"/>
              <w:rPr>
                <w:rFonts w:asciiTheme="majorHAnsi" w:eastAsia="Cambria" w:hAnsiTheme="majorHAnsi" w:cs="Times New Roman"/>
                <w:sz w:val="24"/>
                <w:szCs w:val="24"/>
                <w:lang w:eastAsia="en-US"/>
              </w:rPr>
            </w:pPr>
            <w:r w:rsidRPr="002F0DB0">
              <w:rPr>
                <w:rFonts w:asciiTheme="majorHAnsi" w:eastAsia="Cambria" w:hAnsiTheme="majorHAnsi" w:cs="Times New Roman"/>
                <w:sz w:val="24"/>
                <w:szCs w:val="24"/>
                <w:lang w:eastAsia="en-US"/>
              </w:rPr>
              <w:t>CD27</w:t>
            </w:r>
          </w:p>
        </w:tc>
        <w:tc>
          <w:tcPr>
            <w:tcW w:w="755" w:type="dxa"/>
            <w:shd w:val="clear" w:color="auto" w:fill="auto"/>
            <w:tcMar>
              <w:left w:w="170" w:type="dxa"/>
              <w:right w:w="113" w:type="dxa"/>
            </w:tcMar>
            <w:vAlign w:val="center"/>
          </w:tcPr>
          <w:p w14:paraId="687036D3" w14:textId="40400CCA" w:rsidR="00F407F1" w:rsidRPr="002F0DB0" w:rsidRDefault="00F407F1" w:rsidP="00EE218D">
            <w:pPr>
              <w:spacing w:after="0" w:line="240" w:lineRule="auto"/>
              <w:ind w:left="-57" w:right="-57" w:hanging="57"/>
              <w:rPr>
                <w:rFonts w:asciiTheme="majorHAnsi" w:eastAsia="Cambria" w:hAnsiTheme="majorHAnsi" w:cs="Times New Roman"/>
                <w:sz w:val="24"/>
                <w:szCs w:val="24"/>
                <w:lang w:eastAsia="en-US"/>
              </w:rPr>
            </w:pPr>
            <w:r w:rsidRPr="002F0DB0">
              <w:rPr>
                <w:rFonts w:asciiTheme="majorHAnsi" w:eastAsia="Cambria" w:hAnsiTheme="majorHAnsi" w:cs="Times New Roman"/>
                <w:sz w:val="24"/>
                <w:szCs w:val="24"/>
                <w:lang w:eastAsia="en-US"/>
              </w:rPr>
              <w:t>CD103</w:t>
            </w:r>
          </w:p>
        </w:tc>
        <w:tc>
          <w:tcPr>
            <w:tcW w:w="880" w:type="dxa"/>
            <w:shd w:val="clear" w:color="auto" w:fill="auto"/>
            <w:tcMar>
              <w:left w:w="170" w:type="dxa"/>
              <w:right w:w="113" w:type="dxa"/>
            </w:tcMar>
            <w:vAlign w:val="center"/>
          </w:tcPr>
          <w:p w14:paraId="33F429D3" w14:textId="74377A52" w:rsidR="00F407F1" w:rsidRPr="002F0DB0" w:rsidRDefault="00F407F1" w:rsidP="00EE218D">
            <w:pPr>
              <w:spacing w:after="0" w:line="240" w:lineRule="auto"/>
              <w:ind w:left="-57" w:right="-57" w:hanging="57"/>
              <w:rPr>
                <w:rFonts w:asciiTheme="majorHAnsi" w:eastAsia="Cambria" w:hAnsiTheme="majorHAnsi" w:cs="Times New Roman"/>
                <w:sz w:val="24"/>
                <w:szCs w:val="24"/>
                <w:lang w:eastAsia="en-US"/>
              </w:rPr>
            </w:pPr>
            <w:r w:rsidRPr="002F0DB0">
              <w:rPr>
                <w:rFonts w:asciiTheme="majorHAnsi" w:eastAsia="Cambria" w:hAnsiTheme="majorHAnsi" w:cs="Times New Roman"/>
                <w:sz w:val="24"/>
                <w:szCs w:val="24"/>
                <w:lang w:eastAsia="en-US"/>
              </w:rPr>
              <w:t xml:space="preserve">% </w:t>
            </w:r>
            <w:proofErr w:type="gramStart"/>
            <w:r w:rsidRPr="002F0DB0">
              <w:rPr>
                <w:rFonts w:asciiTheme="majorHAnsi" w:eastAsia="Cambria" w:hAnsiTheme="majorHAnsi" w:cs="Times New Roman"/>
                <w:sz w:val="24"/>
                <w:szCs w:val="24"/>
                <w:lang w:eastAsia="en-US"/>
              </w:rPr>
              <w:t>tumor</w:t>
            </w:r>
            <w:proofErr w:type="gramEnd"/>
          </w:p>
        </w:tc>
        <w:tc>
          <w:tcPr>
            <w:tcW w:w="863" w:type="dxa"/>
            <w:shd w:val="clear" w:color="auto" w:fill="auto"/>
            <w:tcMar>
              <w:left w:w="170" w:type="dxa"/>
              <w:right w:w="113" w:type="dxa"/>
            </w:tcMar>
            <w:vAlign w:val="center"/>
          </w:tcPr>
          <w:p w14:paraId="38F55014" w14:textId="6CA8BEF3" w:rsidR="00F407F1" w:rsidRPr="002F0DB0" w:rsidRDefault="00F407F1" w:rsidP="00EE218D">
            <w:pPr>
              <w:spacing w:after="0" w:line="240" w:lineRule="auto"/>
              <w:ind w:left="-57" w:right="-57" w:hanging="57"/>
              <w:rPr>
                <w:rFonts w:asciiTheme="majorHAnsi" w:eastAsia="Cambria" w:hAnsiTheme="majorHAnsi" w:cs="Times New Roman"/>
                <w:sz w:val="24"/>
                <w:szCs w:val="24"/>
                <w:lang w:eastAsia="en-US"/>
              </w:rPr>
            </w:pPr>
            <w:r w:rsidRPr="002F0DB0">
              <w:rPr>
                <w:rFonts w:asciiTheme="majorHAnsi" w:eastAsia="Cambria" w:hAnsiTheme="majorHAnsi" w:cs="Times New Roman"/>
                <w:sz w:val="24"/>
                <w:szCs w:val="24"/>
                <w:lang w:eastAsia="en-US"/>
              </w:rPr>
              <w:t xml:space="preserve">BRAF </w:t>
            </w:r>
            <w:r w:rsidR="00C73E30" w:rsidRPr="002F0DB0">
              <w:rPr>
                <w:rFonts w:asciiTheme="majorHAnsi" w:eastAsia="Cambria" w:hAnsiTheme="majorHAnsi" w:cs="Times New Roman"/>
                <w:sz w:val="24"/>
                <w:szCs w:val="24"/>
                <w:lang w:eastAsia="en-US"/>
              </w:rPr>
              <w:t>V600E</w:t>
            </w:r>
          </w:p>
        </w:tc>
        <w:tc>
          <w:tcPr>
            <w:tcW w:w="487" w:type="dxa"/>
            <w:shd w:val="clear" w:color="auto" w:fill="auto"/>
            <w:tcMar>
              <w:left w:w="170" w:type="dxa"/>
              <w:right w:w="113" w:type="dxa"/>
            </w:tcMar>
            <w:vAlign w:val="center"/>
          </w:tcPr>
          <w:p w14:paraId="360DF398"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A</w:t>
            </w:r>
          </w:p>
        </w:tc>
        <w:tc>
          <w:tcPr>
            <w:tcW w:w="489" w:type="dxa"/>
            <w:shd w:val="clear" w:color="auto" w:fill="auto"/>
            <w:tcMar>
              <w:left w:w="170" w:type="dxa"/>
              <w:right w:w="113" w:type="dxa"/>
            </w:tcMar>
            <w:vAlign w:val="center"/>
          </w:tcPr>
          <w:p w14:paraId="5046F060"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D</w:t>
            </w:r>
          </w:p>
        </w:tc>
        <w:tc>
          <w:tcPr>
            <w:tcW w:w="531" w:type="dxa"/>
            <w:shd w:val="clear" w:color="auto" w:fill="auto"/>
            <w:tcMar>
              <w:left w:w="170" w:type="dxa"/>
              <w:right w:w="113" w:type="dxa"/>
            </w:tcMar>
            <w:vAlign w:val="center"/>
          </w:tcPr>
          <w:p w14:paraId="4C806AC4"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G</w:t>
            </w:r>
          </w:p>
        </w:tc>
        <w:tc>
          <w:tcPr>
            <w:tcW w:w="539" w:type="dxa"/>
            <w:shd w:val="clear" w:color="auto" w:fill="auto"/>
            <w:tcMar>
              <w:left w:w="170" w:type="dxa"/>
              <w:right w:w="113" w:type="dxa"/>
            </w:tcMar>
            <w:vAlign w:val="center"/>
          </w:tcPr>
          <w:p w14:paraId="758CBD83"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M</w:t>
            </w:r>
          </w:p>
        </w:tc>
        <w:tc>
          <w:tcPr>
            <w:tcW w:w="496" w:type="dxa"/>
            <w:shd w:val="clear" w:color="auto" w:fill="auto"/>
            <w:tcMar>
              <w:left w:w="170" w:type="dxa"/>
              <w:right w:w="113" w:type="dxa"/>
            </w:tcMar>
            <w:vAlign w:val="center"/>
          </w:tcPr>
          <w:p w14:paraId="334F4267"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K</w:t>
            </w:r>
          </w:p>
        </w:tc>
        <w:tc>
          <w:tcPr>
            <w:tcW w:w="497" w:type="dxa"/>
            <w:shd w:val="clear" w:color="auto" w:fill="auto"/>
            <w:tcMar>
              <w:left w:w="170" w:type="dxa"/>
              <w:right w:w="113" w:type="dxa"/>
            </w:tcMar>
            <w:vAlign w:val="center"/>
          </w:tcPr>
          <w:p w14:paraId="02B32DFB"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L</w:t>
            </w:r>
          </w:p>
        </w:tc>
        <w:tc>
          <w:tcPr>
            <w:tcW w:w="708" w:type="dxa"/>
            <w:shd w:val="clear" w:color="auto" w:fill="auto"/>
            <w:tcMar>
              <w:left w:w="170" w:type="dxa"/>
              <w:right w:w="113" w:type="dxa"/>
            </w:tcMar>
            <w:vAlign w:val="center"/>
          </w:tcPr>
          <w:p w14:paraId="2EF7B161"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IGHV</w:t>
            </w:r>
          </w:p>
        </w:tc>
        <w:tc>
          <w:tcPr>
            <w:tcW w:w="993" w:type="dxa"/>
            <w:shd w:val="clear" w:color="auto" w:fill="auto"/>
            <w:tcMar>
              <w:left w:w="170" w:type="dxa"/>
              <w:right w:w="113" w:type="dxa"/>
            </w:tcMar>
            <w:vAlign w:val="center"/>
          </w:tcPr>
          <w:p w14:paraId="6F5C9CBF"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 xml:space="preserve">% </w:t>
            </w:r>
            <w:proofErr w:type="gramStart"/>
            <w:r w:rsidRPr="002F0DB0">
              <w:rPr>
                <w:rFonts w:asciiTheme="majorHAnsi" w:eastAsia="Cambria" w:hAnsiTheme="majorHAnsi" w:cs="Times New Roman"/>
                <w:b/>
                <w:bCs/>
                <w:sz w:val="24"/>
                <w:szCs w:val="24"/>
                <w:lang w:eastAsia="en-US"/>
              </w:rPr>
              <w:t>homol</w:t>
            </w:r>
            <w:proofErr w:type="gramEnd"/>
          </w:p>
        </w:tc>
        <w:tc>
          <w:tcPr>
            <w:tcW w:w="425" w:type="dxa"/>
            <w:shd w:val="clear" w:color="auto" w:fill="auto"/>
            <w:tcMar>
              <w:left w:w="170" w:type="dxa"/>
              <w:right w:w="113" w:type="dxa"/>
            </w:tcMar>
            <w:vAlign w:val="center"/>
          </w:tcPr>
          <w:p w14:paraId="4EF6394E"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A</w:t>
            </w:r>
          </w:p>
        </w:tc>
        <w:tc>
          <w:tcPr>
            <w:tcW w:w="425" w:type="dxa"/>
            <w:shd w:val="clear" w:color="auto" w:fill="auto"/>
            <w:tcMar>
              <w:left w:w="170" w:type="dxa"/>
              <w:right w:w="113" w:type="dxa"/>
            </w:tcMar>
            <w:vAlign w:val="center"/>
          </w:tcPr>
          <w:p w14:paraId="57015128"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G</w:t>
            </w:r>
          </w:p>
        </w:tc>
        <w:tc>
          <w:tcPr>
            <w:tcW w:w="425" w:type="dxa"/>
            <w:shd w:val="clear" w:color="auto" w:fill="auto"/>
            <w:tcMar>
              <w:left w:w="170" w:type="dxa"/>
              <w:right w:w="113" w:type="dxa"/>
            </w:tcMar>
            <w:vAlign w:val="center"/>
          </w:tcPr>
          <w:p w14:paraId="689353FB"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M</w:t>
            </w:r>
          </w:p>
        </w:tc>
        <w:tc>
          <w:tcPr>
            <w:tcW w:w="426" w:type="dxa"/>
            <w:shd w:val="clear" w:color="auto" w:fill="auto"/>
            <w:tcMar>
              <w:left w:w="170" w:type="dxa"/>
              <w:right w:w="113" w:type="dxa"/>
            </w:tcMar>
            <w:vAlign w:val="center"/>
          </w:tcPr>
          <w:p w14:paraId="7709A5F6"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D</w:t>
            </w:r>
          </w:p>
        </w:tc>
        <w:tc>
          <w:tcPr>
            <w:tcW w:w="461" w:type="dxa"/>
            <w:shd w:val="clear" w:color="auto" w:fill="auto"/>
            <w:tcMar>
              <w:left w:w="170" w:type="dxa"/>
              <w:right w:w="113" w:type="dxa"/>
            </w:tcMar>
            <w:vAlign w:val="center"/>
          </w:tcPr>
          <w:p w14:paraId="4830D025"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ICH</w:t>
            </w:r>
          </w:p>
        </w:tc>
      </w:tr>
      <w:tr w:rsidR="00B065F9" w:rsidRPr="002F0DB0" w14:paraId="71E2CF95" w14:textId="77777777" w:rsidTr="00EE218D">
        <w:trPr>
          <w:trHeight w:val="260"/>
        </w:trPr>
        <w:tc>
          <w:tcPr>
            <w:tcW w:w="1065" w:type="dxa"/>
            <w:tcMar>
              <w:left w:w="170" w:type="dxa"/>
              <w:right w:w="113" w:type="dxa"/>
            </w:tcMar>
            <w:vAlign w:val="center"/>
          </w:tcPr>
          <w:p w14:paraId="115D3737"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D-ve</w:t>
            </w:r>
          </w:p>
        </w:tc>
        <w:tc>
          <w:tcPr>
            <w:tcW w:w="601" w:type="dxa"/>
            <w:shd w:val="clear" w:color="auto" w:fill="auto"/>
            <w:tcMar>
              <w:left w:w="170" w:type="dxa"/>
              <w:right w:w="113" w:type="dxa"/>
            </w:tcMar>
            <w:vAlign w:val="center"/>
          </w:tcPr>
          <w:p w14:paraId="401BE8B6"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2</w:t>
            </w:r>
          </w:p>
        </w:tc>
        <w:tc>
          <w:tcPr>
            <w:tcW w:w="643" w:type="dxa"/>
            <w:tcMar>
              <w:left w:w="170" w:type="dxa"/>
              <w:right w:w="113" w:type="dxa"/>
            </w:tcMar>
            <w:vAlign w:val="center"/>
          </w:tcPr>
          <w:p w14:paraId="09BB5CA5"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c>
          <w:tcPr>
            <w:tcW w:w="740" w:type="dxa"/>
            <w:shd w:val="clear" w:color="auto" w:fill="auto"/>
            <w:tcMar>
              <w:left w:w="170" w:type="dxa"/>
              <w:right w:w="113" w:type="dxa"/>
            </w:tcMar>
            <w:vAlign w:val="center"/>
          </w:tcPr>
          <w:p w14:paraId="73DDE733"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c>
          <w:tcPr>
            <w:tcW w:w="657" w:type="dxa"/>
            <w:shd w:val="clear" w:color="auto" w:fill="auto"/>
            <w:tcMar>
              <w:left w:w="170" w:type="dxa"/>
              <w:right w:w="113" w:type="dxa"/>
            </w:tcMar>
            <w:vAlign w:val="center"/>
          </w:tcPr>
          <w:p w14:paraId="22FB97C0" w14:textId="77777777" w:rsidR="00F407F1" w:rsidRPr="002F0DB0" w:rsidRDefault="00F407F1" w:rsidP="00EE218D">
            <w:pPr>
              <w:spacing w:after="0" w:line="240" w:lineRule="auto"/>
              <w:ind w:left="-57" w:right="-57" w:hanging="57"/>
              <w:rPr>
                <w:rFonts w:asciiTheme="majorHAnsi" w:eastAsia="Cambria" w:hAnsiTheme="majorHAnsi" w:cs="Times New Roman"/>
                <w:bCs/>
                <w:sz w:val="24"/>
                <w:szCs w:val="24"/>
                <w:lang w:eastAsia="en-US"/>
              </w:rPr>
            </w:pPr>
            <w:r w:rsidRPr="002F0DB0">
              <w:rPr>
                <w:rFonts w:asciiTheme="majorHAnsi" w:eastAsia="Cambria" w:hAnsiTheme="majorHAnsi" w:cs="Times New Roman"/>
                <w:bCs/>
                <w:sz w:val="24"/>
                <w:szCs w:val="24"/>
                <w:lang w:eastAsia="en-US"/>
              </w:rPr>
              <w:t>ND</w:t>
            </w:r>
          </w:p>
        </w:tc>
        <w:tc>
          <w:tcPr>
            <w:tcW w:w="755" w:type="dxa"/>
            <w:shd w:val="clear" w:color="auto" w:fill="auto"/>
            <w:tcMar>
              <w:left w:w="170" w:type="dxa"/>
              <w:right w:w="113" w:type="dxa"/>
            </w:tcMar>
            <w:vAlign w:val="center"/>
          </w:tcPr>
          <w:p w14:paraId="28F95CEB"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c>
          <w:tcPr>
            <w:tcW w:w="880" w:type="dxa"/>
            <w:shd w:val="clear" w:color="auto" w:fill="auto"/>
            <w:tcMar>
              <w:left w:w="170" w:type="dxa"/>
              <w:right w:w="113" w:type="dxa"/>
            </w:tcMar>
            <w:vAlign w:val="center"/>
          </w:tcPr>
          <w:p w14:paraId="016E77BF" w14:textId="77777777" w:rsidR="00F407F1" w:rsidRPr="002F0DB0" w:rsidRDefault="00F407F1" w:rsidP="00EE218D">
            <w:pPr>
              <w:spacing w:after="0" w:line="240" w:lineRule="auto"/>
              <w:ind w:left="-57" w:right="-57" w:hanging="57"/>
              <w:rPr>
                <w:rFonts w:asciiTheme="majorHAnsi" w:eastAsia="Cambria" w:hAnsiTheme="majorHAnsi" w:cs="Times New Roman"/>
                <w:sz w:val="24"/>
                <w:szCs w:val="24"/>
                <w:lang w:eastAsia="en-US"/>
              </w:rPr>
            </w:pPr>
            <w:r w:rsidRPr="002F0DB0">
              <w:rPr>
                <w:rFonts w:asciiTheme="majorHAnsi" w:eastAsia="Cambria" w:hAnsiTheme="majorHAnsi" w:cs="Times New Roman"/>
                <w:sz w:val="24"/>
                <w:szCs w:val="24"/>
                <w:lang w:eastAsia="en-US"/>
              </w:rPr>
              <w:t>86</w:t>
            </w:r>
          </w:p>
        </w:tc>
        <w:tc>
          <w:tcPr>
            <w:tcW w:w="863" w:type="dxa"/>
            <w:shd w:val="clear" w:color="auto" w:fill="auto"/>
            <w:tcMar>
              <w:left w:w="170" w:type="dxa"/>
              <w:right w:w="113" w:type="dxa"/>
            </w:tcMar>
            <w:vAlign w:val="center"/>
          </w:tcPr>
          <w:p w14:paraId="05F47BBC" w14:textId="77777777" w:rsidR="00F407F1" w:rsidRPr="002F0DB0" w:rsidRDefault="00F407F1" w:rsidP="00EE218D">
            <w:pPr>
              <w:spacing w:after="0" w:line="240" w:lineRule="auto"/>
              <w:ind w:left="-57" w:right="-57" w:hanging="57"/>
              <w:rPr>
                <w:rFonts w:asciiTheme="majorHAnsi" w:eastAsia="Cambria" w:hAnsiTheme="majorHAnsi" w:cs="Times New Roman"/>
                <w:sz w:val="24"/>
                <w:szCs w:val="24"/>
                <w:lang w:eastAsia="en-US"/>
              </w:rPr>
            </w:pPr>
            <w:r w:rsidRPr="002F0DB0">
              <w:rPr>
                <w:rFonts w:asciiTheme="majorHAnsi" w:eastAsia="Cambria" w:hAnsiTheme="majorHAnsi" w:cs="Times New Roman"/>
                <w:sz w:val="24"/>
                <w:szCs w:val="24"/>
                <w:lang w:eastAsia="en-US"/>
              </w:rPr>
              <w:t>+</w:t>
            </w:r>
          </w:p>
        </w:tc>
        <w:tc>
          <w:tcPr>
            <w:tcW w:w="487" w:type="dxa"/>
            <w:shd w:val="clear" w:color="auto" w:fill="auto"/>
            <w:tcMar>
              <w:left w:w="170" w:type="dxa"/>
              <w:right w:w="113" w:type="dxa"/>
            </w:tcMar>
            <w:vAlign w:val="center"/>
          </w:tcPr>
          <w:p w14:paraId="0F3B8842"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c>
          <w:tcPr>
            <w:tcW w:w="489" w:type="dxa"/>
            <w:shd w:val="clear" w:color="auto" w:fill="auto"/>
            <w:tcMar>
              <w:left w:w="170" w:type="dxa"/>
              <w:right w:w="113" w:type="dxa"/>
            </w:tcMar>
            <w:vAlign w:val="center"/>
          </w:tcPr>
          <w:p w14:paraId="79E70A59"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c>
          <w:tcPr>
            <w:tcW w:w="531" w:type="dxa"/>
            <w:shd w:val="clear" w:color="auto" w:fill="auto"/>
            <w:tcMar>
              <w:left w:w="170" w:type="dxa"/>
              <w:right w:w="113" w:type="dxa"/>
            </w:tcMar>
            <w:vAlign w:val="center"/>
          </w:tcPr>
          <w:p w14:paraId="2F84E602"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c>
          <w:tcPr>
            <w:tcW w:w="539" w:type="dxa"/>
            <w:shd w:val="clear" w:color="auto" w:fill="auto"/>
            <w:tcMar>
              <w:left w:w="170" w:type="dxa"/>
              <w:right w:w="113" w:type="dxa"/>
            </w:tcMar>
            <w:vAlign w:val="center"/>
          </w:tcPr>
          <w:p w14:paraId="1878B983"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c>
          <w:tcPr>
            <w:tcW w:w="496" w:type="dxa"/>
            <w:shd w:val="clear" w:color="auto" w:fill="auto"/>
            <w:tcMar>
              <w:left w:w="170" w:type="dxa"/>
              <w:right w:w="113" w:type="dxa"/>
            </w:tcMar>
            <w:vAlign w:val="center"/>
          </w:tcPr>
          <w:p w14:paraId="6A71A7CF"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c>
          <w:tcPr>
            <w:tcW w:w="497" w:type="dxa"/>
            <w:shd w:val="clear" w:color="auto" w:fill="auto"/>
            <w:tcMar>
              <w:left w:w="170" w:type="dxa"/>
              <w:right w:w="113" w:type="dxa"/>
            </w:tcMar>
            <w:vAlign w:val="center"/>
          </w:tcPr>
          <w:p w14:paraId="253FAC82"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c>
          <w:tcPr>
            <w:tcW w:w="708" w:type="dxa"/>
            <w:shd w:val="clear" w:color="auto" w:fill="auto"/>
            <w:tcMar>
              <w:left w:w="170" w:type="dxa"/>
              <w:right w:w="113" w:type="dxa"/>
            </w:tcMar>
            <w:vAlign w:val="center"/>
          </w:tcPr>
          <w:p w14:paraId="16C9B7D1" w14:textId="77777777" w:rsidR="00F407F1" w:rsidRPr="002F0DB0" w:rsidRDefault="00F407F1" w:rsidP="00EE218D">
            <w:pPr>
              <w:spacing w:after="0" w:line="240" w:lineRule="auto"/>
              <w:ind w:left="-57" w:right="-57" w:hanging="57"/>
              <w:rPr>
                <w:rFonts w:asciiTheme="majorHAnsi" w:eastAsia="Cambria" w:hAnsiTheme="majorHAnsi" w:cs="Times New Roman"/>
                <w:sz w:val="24"/>
                <w:szCs w:val="24"/>
                <w:lang w:eastAsia="en-US"/>
              </w:rPr>
            </w:pPr>
            <w:r w:rsidRPr="002F0DB0">
              <w:rPr>
                <w:rFonts w:asciiTheme="majorHAnsi" w:eastAsia="Cambria" w:hAnsiTheme="majorHAnsi" w:cs="Times New Roman"/>
                <w:sz w:val="24"/>
                <w:szCs w:val="24"/>
                <w:lang w:eastAsia="en-US"/>
              </w:rPr>
              <w:t>3-30</w:t>
            </w:r>
          </w:p>
        </w:tc>
        <w:tc>
          <w:tcPr>
            <w:tcW w:w="993" w:type="dxa"/>
            <w:shd w:val="clear" w:color="auto" w:fill="auto"/>
            <w:tcMar>
              <w:left w:w="170" w:type="dxa"/>
              <w:right w:w="113" w:type="dxa"/>
            </w:tcMar>
            <w:vAlign w:val="center"/>
          </w:tcPr>
          <w:p w14:paraId="539D966E" w14:textId="77777777" w:rsidR="00F407F1" w:rsidRPr="002F0DB0" w:rsidRDefault="00F407F1" w:rsidP="00EE218D">
            <w:pPr>
              <w:spacing w:after="0" w:line="240" w:lineRule="auto"/>
              <w:ind w:left="-57" w:right="-57" w:hanging="57"/>
              <w:rPr>
                <w:rFonts w:asciiTheme="majorHAnsi" w:eastAsia="Cambria" w:hAnsiTheme="majorHAnsi" w:cs="Times New Roman"/>
                <w:sz w:val="24"/>
                <w:szCs w:val="24"/>
                <w:lang w:eastAsia="en-US"/>
              </w:rPr>
            </w:pPr>
            <w:r w:rsidRPr="002F0DB0">
              <w:rPr>
                <w:rFonts w:asciiTheme="majorHAnsi" w:eastAsia="Cambria" w:hAnsiTheme="majorHAnsi" w:cs="Times New Roman"/>
                <w:sz w:val="24"/>
                <w:szCs w:val="24"/>
                <w:lang w:eastAsia="en-US"/>
              </w:rPr>
              <w:t>96.7</w:t>
            </w:r>
          </w:p>
        </w:tc>
        <w:tc>
          <w:tcPr>
            <w:tcW w:w="425" w:type="dxa"/>
            <w:shd w:val="clear" w:color="auto" w:fill="auto"/>
            <w:tcMar>
              <w:left w:w="170" w:type="dxa"/>
              <w:right w:w="113" w:type="dxa"/>
            </w:tcMar>
            <w:vAlign w:val="center"/>
          </w:tcPr>
          <w:p w14:paraId="5FA0DB11" w14:textId="77777777" w:rsidR="00F407F1" w:rsidRPr="002F0DB0" w:rsidRDefault="00F407F1" w:rsidP="00EE218D">
            <w:pPr>
              <w:spacing w:after="0" w:line="240" w:lineRule="auto"/>
              <w:ind w:left="-57" w:right="-57" w:hanging="57"/>
              <w:rPr>
                <w:rFonts w:asciiTheme="majorHAnsi" w:eastAsia="Cambria" w:hAnsiTheme="majorHAnsi" w:cs="Times New Roman"/>
                <w:sz w:val="24"/>
                <w:szCs w:val="24"/>
                <w:lang w:eastAsia="en-US"/>
              </w:rPr>
            </w:pPr>
            <w:r w:rsidRPr="002F0DB0">
              <w:rPr>
                <w:rFonts w:asciiTheme="majorHAnsi" w:eastAsia="Cambria" w:hAnsiTheme="majorHAnsi" w:cs="Times New Roman"/>
                <w:sz w:val="24"/>
                <w:szCs w:val="24"/>
                <w:lang w:eastAsia="en-US"/>
              </w:rPr>
              <w:t>+</w:t>
            </w:r>
          </w:p>
        </w:tc>
        <w:tc>
          <w:tcPr>
            <w:tcW w:w="425" w:type="dxa"/>
            <w:shd w:val="clear" w:color="auto" w:fill="auto"/>
            <w:tcMar>
              <w:left w:w="170" w:type="dxa"/>
              <w:right w:w="113" w:type="dxa"/>
            </w:tcMar>
            <w:vAlign w:val="center"/>
          </w:tcPr>
          <w:p w14:paraId="3901049A" w14:textId="77777777" w:rsidR="00F407F1" w:rsidRPr="002F0DB0" w:rsidRDefault="00F407F1" w:rsidP="00EE218D">
            <w:pPr>
              <w:spacing w:after="0" w:line="240" w:lineRule="auto"/>
              <w:ind w:left="-57" w:right="-57" w:hanging="57"/>
              <w:rPr>
                <w:rFonts w:asciiTheme="majorHAnsi" w:eastAsia="Cambria" w:hAnsiTheme="majorHAnsi" w:cs="Times New Roman"/>
                <w:sz w:val="24"/>
                <w:szCs w:val="24"/>
                <w:lang w:eastAsia="en-US"/>
              </w:rPr>
            </w:pPr>
            <w:r w:rsidRPr="002F0DB0">
              <w:rPr>
                <w:rFonts w:asciiTheme="majorHAnsi" w:eastAsia="Cambria" w:hAnsiTheme="majorHAnsi" w:cs="Times New Roman"/>
                <w:sz w:val="24"/>
                <w:szCs w:val="24"/>
                <w:lang w:eastAsia="en-US"/>
              </w:rPr>
              <w:t>+</w:t>
            </w:r>
          </w:p>
        </w:tc>
        <w:tc>
          <w:tcPr>
            <w:tcW w:w="425" w:type="dxa"/>
            <w:shd w:val="clear" w:color="auto" w:fill="auto"/>
            <w:tcMar>
              <w:left w:w="170" w:type="dxa"/>
              <w:right w:w="113" w:type="dxa"/>
            </w:tcMar>
            <w:vAlign w:val="center"/>
          </w:tcPr>
          <w:p w14:paraId="771A5139" w14:textId="77777777" w:rsidR="00F407F1" w:rsidRPr="002F0DB0" w:rsidRDefault="00F407F1" w:rsidP="00EE218D">
            <w:pPr>
              <w:spacing w:after="0" w:line="240" w:lineRule="auto"/>
              <w:ind w:left="-57" w:right="-57" w:hanging="57"/>
              <w:rPr>
                <w:rFonts w:asciiTheme="majorHAnsi" w:eastAsia="Cambria" w:hAnsiTheme="majorHAnsi" w:cs="Times New Roman"/>
                <w:sz w:val="24"/>
                <w:szCs w:val="24"/>
                <w:lang w:eastAsia="en-US"/>
              </w:rPr>
            </w:pPr>
            <w:r w:rsidRPr="002F0DB0">
              <w:rPr>
                <w:rFonts w:asciiTheme="majorHAnsi" w:eastAsia="Cambria" w:hAnsiTheme="majorHAnsi" w:cs="Times New Roman"/>
                <w:sz w:val="24"/>
                <w:szCs w:val="24"/>
                <w:lang w:eastAsia="en-US"/>
              </w:rPr>
              <w:t>ND</w:t>
            </w:r>
          </w:p>
        </w:tc>
        <w:tc>
          <w:tcPr>
            <w:tcW w:w="426" w:type="dxa"/>
            <w:shd w:val="clear" w:color="auto" w:fill="auto"/>
            <w:tcMar>
              <w:left w:w="170" w:type="dxa"/>
              <w:right w:w="113" w:type="dxa"/>
            </w:tcMar>
            <w:vAlign w:val="center"/>
          </w:tcPr>
          <w:p w14:paraId="47AAEA46" w14:textId="77777777" w:rsidR="00F407F1" w:rsidRPr="002F0DB0" w:rsidRDefault="00F407F1" w:rsidP="00EE218D">
            <w:pPr>
              <w:spacing w:after="0" w:line="240" w:lineRule="auto"/>
              <w:ind w:left="-57" w:right="-57" w:hanging="57"/>
              <w:rPr>
                <w:rFonts w:asciiTheme="majorHAnsi" w:eastAsia="Cambria" w:hAnsiTheme="majorHAnsi" w:cs="Times New Roman"/>
                <w:sz w:val="24"/>
                <w:szCs w:val="24"/>
                <w:lang w:eastAsia="en-US"/>
              </w:rPr>
            </w:pPr>
            <w:r w:rsidRPr="002F0DB0">
              <w:rPr>
                <w:rFonts w:asciiTheme="majorHAnsi" w:eastAsia="Cambria" w:hAnsiTheme="majorHAnsi" w:cs="Times New Roman"/>
                <w:sz w:val="24"/>
                <w:szCs w:val="24"/>
                <w:lang w:eastAsia="en-US"/>
              </w:rPr>
              <w:t>-</w:t>
            </w:r>
          </w:p>
        </w:tc>
        <w:tc>
          <w:tcPr>
            <w:tcW w:w="461" w:type="dxa"/>
            <w:shd w:val="clear" w:color="auto" w:fill="auto"/>
            <w:tcMar>
              <w:left w:w="170" w:type="dxa"/>
              <w:right w:w="113" w:type="dxa"/>
            </w:tcMar>
            <w:vAlign w:val="center"/>
          </w:tcPr>
          <w:p w14:paraId="02EA4EEF"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r>
      <w:tr w:rsidR="00B065F9" w:rsidRPr="002F0DB0" w14:paraId="1B0D2656" w14:textId="77777777" w:rsidTr="00EE218D">
        <w:trPr>
          <w:trHeight w:val="260"/>
        </w:trPr>
        <w:tc>
          <w:tcPr>
            <w:tcW w:w="1065" w:type="dxa"/>
            <w:tcMar>
              <w:left w:w="170" w:type="dxa"/>
              <w:right w:w="113" w:type="dxa"/>
            </w:tcMar>
            <w:vAlign w:val="center"/>
          </w:tcPr>
          <w:p w14:paraId="25428024"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D-ve</w:t>
            </w:r>
          </w:p>
        </w:tc>
        <w:tc>
          <w:tcPr>
            <w:tcW w:w="601" w:type="dxa"/>
            <w:shd w:val="clear" w:color="auto" w:fill="auto"/>
            <w:tcMar>
              <w:left w:w="170" w:type="dxa"/>
              <w:right w:w="113" w:type="dxa"/>
            </w:tcMar>
            <w:vAlign w:val="center"/>
          </w:tcPr>
          <w:p w14:paraId="033ABCF9"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3</w:t>
            </w:r>
          </w:p>
        </w:tc>
        <w:tc>
          <w:tcPr>
            <w:tcW w:w="643" w:type="dxa"/>
            <w:tcMar>
              <w:left w:w="170" w:type="dxa"/>
              <w:right w:w="113" w:type="dxa"/>
            </w:tcMar>
            <w:vAlign w:val="center"/>
          </w:tcPr>
          <w:p w14:paraId="7F705267"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c>
          <w:tcPr>
            <w:tcW w:w="740" w:type="dxa"/>
            <w:shd w:val="clear" w:color="auto" w:fill="auto"/>
            <w:tcMar>
              <w:left w:w="170" w:type="dxa"/>
              <w:right w:w="113" w:type="dxa"/>
            </w:tcMar>
            <w:vAlign w:val="center"/>
          </w:tcPr>
          <w:p w14:paraId="1316313C"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c>
          <w:tcPr>
            <w:tcW w:w="657" w:type="dxa"/>
            <w:shd w:val="clear" w:color="auto" w:fill="auto"/>
            <w:tcMar>
              <w:left w:w="170" w:type="dxa"/>
              <w:right w:w="113" w:type="dxa"/>
            </w:tcMar>
            <w:vAlign w:val="center"/>
          </w:tcPr>
          <w:p w14:paraId="556B7FEC"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c>
          <w:tcPr>
            <w:tcW w:w="755" w:type="dxa"/>
            <w:shd w:val="clear" w:color="auto" w:fill="auto"/>
            <w:tcMar>
              <w:left w:w="170" w:type="dxa"/>
              <w:right w:w="113" w:type="dxa"/>
            </w:tcMar>
            <w:vAlign w:val="center"/>
          </w:tcPr>
          <w:p w14:paraId="18175242"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c>
          <w:tcPr>
            <w:tcW w:w="880" w:type="dxa"/>
            <w:shd w:val="clear" w:color="auto" w:fill="auto"/>
            <w:tcMar>
              <w:left w:w="170" w:type="dxa"/>
              <w:right w:w="113" w:type="dxa"/>
            </w:tcMar>
            <w:vAlign w:val="center"/>
          </w:tcPr>
          <w:p w14:paraId="51BB796E" w14:textId="77777777" w:rsidR="00F407F1" w:rsidRPr="002F0DB0" w:rsidRDefault="00F407F1" w:rsidP="00EE218D">
            <w:pPr>
              <w:spacing w:after="0" w:line="240" w:lineRule="auto"/>
              <w:ind w:left="-57" w:right="-57" w:hanging="57"/>
              <w:rPr>
                <w:rFonts w:asciiTheme="majorHAnsi" w:eastAsia="Cambria" w:hAnsiTheme="majorHAnsi" w:cs="Times New Roman"/>
                <w:sz w:val="24"/>
                <w:szCs w:val="24"/>
                <w:lang w:eastAsia="en-US"/>
              </w:rPr>
            </w:pPr>
            <w:r w:rsidRPr="002F0DB0">
              <w:rPr>
                <w:rFonts w:asciiTheme="majorHAnsi" w:eastAsia="Cambria" w:hAnsiTheme="majorHAnsi" w:cs="Times New Roman"/>
                <w:sz w:val="24"/>
                <w:szCs w:val="24"/>
                <w:lang w:eastAsia="en-US"/>
              </w:rPr>
              <w:t>83</w:t>
            </w:r>
          </w:p>
        </w:tc>
        <w:tc>
          <w:tcPr>
            <w:tcW w:w="863" w:type="dxa"/>
            <w:shd w:val="clear" w:color="auto" w:fill="auto"/>
            <w:tcMar>
              <w:left w:w="170" w:type="dxa"/>
              <w:right w:w="113" w:type="dxa"/>
            </w:tcMar>
            <w:vAlign w:val="center"/>
          </w:tcPr>
          <w:p w14:paraId="202E476E" w14:textId="77777777" w:rsidR="00F407F1" w:rsidRPr="002F0DB0" w:rsidRDefault="00F407F1" w:rsidP="00EE218D">
            <w:pPr>
              <w:spacing w:after="0" w:line="240" w:lineRule="auto"/>
              <w:ind w:left="-57" w:right="-57" w:hanging="57"/>
              <w:rPr>
                <w:rFonts w:asciiTheme="majorHAnsi" w:eastAsia="Cambria" w:hAnsiTheme="majorHAnsi" w:cs="Times New Roman"/>
                <w:sz w:val="24"/>
                <w:szCs w:val="24"/>
                <w:lang w:eastAsia="en-US"/>
              </w:rPr>
            </w:pPr>
            <w:r w:rsidRPr="002F0DB0">
              <w:rPr>
                <w:rFonts w:asciiTheme="majorHAnsi" w:eastAsia="Cambria" w:hAnsiTheme="majorHAnsi" w:cs="Times New Roman"/>
                <w:sz w:val="24"/>
                <w:szCs w:val="24"/>
                <w:lang w:eastAsia="en-US"/>
              </w:rPr>
              <w:t>+</w:t>
            </w:r>
          </w:p>
        </w:tc>
        <w:tc>
          <w:tcPr>
            <w:tcW w:w="487" w:type="dxa"/>
            <w:shd w:val="clear" w:color="auto" w:fill="auto"/>
            <w:tcMar>
              <w:left w:w="170" w:type="dxa"/>
              <w:right w:w="113" w:type="dxa"/>
            </w:tcMar>
            <w:vAlign w:val="center"/>
          </w:tcPr>
          <w:p w14:paraId="2A7711F7"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c>
          <w:tcPr>
            <w:tcW w:w="489" w:type="dxa"/>
            <w:shd w:val="clear" w:color="auto" w:fill="auto"/>
            <w:tcMar>
              <w:left w:w="170" w:type="dxa"/>
              <w:right w:w="113" w:type="dxa"/>
            </w:tcMar>
            <w:vAlign w:val="center"/>
          </w:tcPr>
          <w:p w14:paraId="34F903C1"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c>
          <w:tcPr>
            <w:tcW w:w="531" w:type="dxa"/>
            <w:shd w:val="clear" w:color="auto" w:fill="auto"/>
            <w:tcMar>
              <w:left w:w="170" w:type="dxa"/>
              <w:right w:w="113" w:type="dxa"/>
            </w:tcMar>
            <w:vAlign w:val="center"/>
          </w:tcPr>
          <w:p w14:paraId="5011C07B"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c>
          <w:tcPr>
            <w:tcW w:w="539" w:type="dxa"/>
            <w:shd w:val="clear" w:color="auto" w:fill="auto"/>
            <w:tcMar>
              <w:left w:w="170" w:type="dxa"/>
              <w:right w:w="113" w:type="dxa"/>
            </w:tcMar>
            <w:vAlign w:val="center"/>
          </w:tcPr>
          <w:p w14:paraId="5411FF75"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c>
          <w:tcPr>
            <w:tcW w:w="496" w:type="dxa"/>
            <w:shd w:val="clear" w:color="auto" w:fill="auto"/>
            <w:tcMar>
              <w:left w:w="170" w:type="dxa"/>
              <w:right w:w="113" w:type="dxa"/>
            </w:tcMar>
            <w:vAlign w:val="center"/>
          </w:tcPr>
          <w:p w14:paraId="5181FE00"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c>
          <w:tcPr>
            <w:tcW w:w="497" w:type="dxa"/>
            <w:shd w:val="clear" w:color="auto" w:fill="auto"/>
            <w:tcMar>
              <w:left w:w="170" w:type="dxa"/>
              <w:right w:w="113" w:type="dxa"/>
            </w:tcMar>
            <w:vAlign w:val="center"/>
          </w:tcPr>
          <w:p w14:paraId="02FA1F52"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c>
          <w:tcPr>
            <w:tcW w:w="708" w:type="dxa"/>
            <w:shd w:val="clear" w:color="auto" w:fill="auto"/>
            <w:tcMar>
              <w:left w:w="170" w:type="dxa"/>
              <w:right w:w="113" w:type="dxa"/>
            </w:tcMar>
            <w:vAlign w:val="center"/>
          </w:tcPr>
          <w:p w14:paraId="50902DAF" w14:textId="77777777" w:rsidR="00F407F1" w:rsidRPr="002F0DB0" w:rsidRDefault="00F407F1" w:rsidP="00EE218D">
            <w:pPr>
              <w:spacing w:after="0" w:line="240" w:lineRule="auto"/>
              <w:ind w:left="-57" w:right="-57" w:hanging="57"/>
              <w:rPr>
                <w:rFonts w:asciiTheme="majorHAnsi" w:eastAsia="Cambria" w:hAnsiTheme="majorHAnsi" w:cs="Times New Roman"/>
                <w:sz w:val="24"/>
                <w:szCs w:val="24"/>
                <w:lang w:eastAsia="en-US"/>
              </w:rPr>
            </w:pPr>
            <w:r w:rsidRPr="002F0DB0">
              <w:rPr>
                <w:rFonts w:asciiTheme="majorHAnsi" w:eastAsia="Cambria" w:hAnsiTheme="majorHAnsi" w:cs="Times New Roman"/>
                <w:sz w:val="24"/>
                <w:szCs w:val="24"/>
                <w:lang w:eastAsia="en-US"/>
              </w:rPr>
              <w:t>3-30</w:t>
            </w:r>
          </w:p>
        </w:tc>
        <w:tc>
          <w:tcPr>
            <w:tcW w:w="993" w:type="dxa"/>
            <w:shd w:val="clear" w:color="auto" w:fill="auto"/>
            <w:tcMar>
              <w:left w:w="170" w:type="dxa"/>
              <w:right w:w="113" w:type="dxa"/>
            </w:tcMar>
            <w:vAlign w:val="center"/>
          </w:tcPr>
          <w:p w14:paraId="46356273" w14:textId="77777777" w:rsidR="00F407F1" w:rsidRPr="002F0DB0" w:rsidRDefault="00F407F1" w:rsidP="00EE218D">
            <w:pPr>
              <w:spacing w:after="0" w:line="240" w:lineRule="auto"/>
              <w:ind w:left="-57" w:right="-57" w:hanging="57"/>
              <w:rPr>
                <w:rFonts w:asciiTheme="majorHAnsi" w:eastAsia="Cambria" w:hAnsiTheme="majorHAnsi" w:cs="Times New Roman"/>
                <w:sz w:val="24"/>
                <w:szCs w:val="24"/>
                <w:lang w:eastAsia="en-US"/>
              </w:rPr>
            </w:pPr>
            <w:r w:rsidRPr="002F0DB0">
              <w:rPr>
                <w:rFonts w:asciiTheme="majorHAnsi" w:eastAsia="Cambria" w:hAnsiTheme="majorHAnsi" w:cs="Times New Roman"/>
                <w:sz w:val="24"/>
                <w:szCs w:val="24"/>
                <w:lang w:eastAsia="en-US"/>
              </w:rPr>
              <w:t>96.1</w:t>
            </w:r>
          </w:p>
        </w:tc>
        <w:tc>
          <w:tcPr>
            <w:tcW w:w="425" w:type="dxa"/>
            <w:shd w:val="clear" w:color="auto" w:fill="auto"/>
            <w:tcMar>
              <w:left w:w="170" w:type="dxa"/>
              <w:right w:w="113" w:type="dxa"/>
            </w:tcMar>
            <w:vAlign w:val="center"/>
          </w:tcPr>
          <w:p w14:paraId="090EB863" w14:textId="77777777" w:rsidR="00F407F1" w:rsidRPr="002F0DB0" w:rsidRDefault="00F407F1" w:rsidP="00EE218D">
            <w:pPr>
              <w:spacing w:after="0" w:line="240" w:lineRule="auto"/>
              <w:ind w:left="-57" w:right="-57" w:hanging="57"/>
              <w:rPr>
                <w:rFonts w:asciiTheme="majorHAnsi" w:eastAsia="Cambria" w:hAnsiTheme="majorHAnsi" w:cs="Times New Roman"/>
                <w:sz w:val="24"/>
                <w:szCs w:val="24"/>
                <w:lang w:eastAsia="en-US"/>
              </w:rPr>
            </w:pPr>
            <w:r w:rsidRPr="002F0DB0">
              <w:rPr>
                <w:rFonts w:asciiTheme="majorHAnsi" w:eastAsia="Cambria" w:hAnsiTheme="majorHAnsi" w:cs="Times New Roman"/>
                <w:sz w:val="24"/>
                <w:szCs w:val="24"/>
                <w:lang w:eastAsia="en-US"/>
              </w:rPr>
              <w:t>+</w:t>
            </w:r>
          </w:p>
        </w:tc>
        <w:tc>
          <w:tcPr>
            <w:tcW w:w="425" w:type="dxa"/>
            <w:shd w:val="clear" w:color="auto" w:fill="auto"/>
            <w:tcMar>
              <w:left w:w="170" w:type="dxa"/>
              <w:right w:w="113" w:type="dxa"/>
            </w:tcMar>
            <w:vAlign w:val="center"/>
          </w:tcPr>
          <w:p w14:paraId="14C462F1" w14:textId="77777777" w:rsidR="00F407F1" w:rsidRPr="002F0DB0" w:rsidRDefault="00F407F1" w:rsidP="00EE218D">
            <w:pPr>
              <w:spacing w:after="0" w:line="240" w:lineRule="auto"/>
              <w:ind w:left="-57" w:right="-57" w:hanging="57"/>
              <w:rPr>
                <w:rFonts w:asciiTheme="majorHAnsi" w:eastAsia="Cambria" w:hAnsiTheme="majorHAnsi" w:cs="Times New Roman"/>
                <w:sz w:val="24"/>
                <w:szCs w:val="24"/>
                <w:lang w:eastAsia="en-US"/>
              </w:rPr>
            </w:pPr>
            <w:r w:rsidRPr="002F0DB0">
              <w:rPr>
                <w:rFonts w:asciiTheme="majorHAnsi" w:eastAsia="Cambria" w:hAnsiTheme="majorHAnsi" w:cs="Times New Roman"/>
                <w:sz w:val="24"/>
                <w:szCs w:val="24"/>
                <w:lang w:eastAsia="en-US"/>
              </w:rPr>
              <w:t>+</w:t>
            </w:r>
          </w:p>
        </w:tc>
        <w:tc>
          <w:tcPr>
            <w:tcW w:w="425" w:type="dxa"/>
            <w:shd w:val="clear" w:color="auto" w:fill="auto"/>
            <w:tcMar>
              <w:left w:w="170" w:type="dxa"/>
              <w:right w:w="113" w:type="dxa"/>
            </w:tcMar>
            <w:vAlign w:val="center"/>
          </w:tcPr>
          <w:p w14:paraId="4D147B23" w14:textId="77777777" w:rsidR="00F407F1" w:rsidRPr="002F0DB0" w:rsidRDefault="00F407F1" w:rsidP="00EE218D">
            <w:pPr>
              <w:spacing w:after="0" w:line="240" w:lineRule="auto"/>
              <w:ind w:left="-57" w:right="-57" w:hanging="57"/>
              <w:rPr>
                <w:rFonts w:asciiTheme="majorHAnsi" w:eastAsia="Cambria" w:hAnsiTheme="majorHAnsi" w:cs="Times New Roman"/>
                <w:sz w:val="24"/>
                <w:szCs w:val="24"/>
                <w:lang w:eastAsia="en-US"/>
              </w:rPr>
            </w:pPr>
            <w:r w:rsidRPr="002F0DB0">
              <w:rPr>
                <w:rFonts w:asciiTheme="majorHAnsi" w:eastAsia="Cambria" w:hAnsiTheme="majorHAnsi" w:cs="Times New Roman"/>
                <w:sz w:val="24"/>
                <w:szCs w:val="24"/>
                <w:lang w:eastAsia="en-US"/>
              </w:rPr>
              <w:t>+</w:t>
            </w:r>
          </w:p>
        </w:tc>
        <w:tc>
          <w:tcPr>
            <w:tcW w:w="426" w:type="dxa"/>
            <w:shd w:val="clear" w:color="auto" w:fill="auto"/>
            <w:tcMar>
              <w:left w:w="170" w:type="dxa"/>
              <w:right w:w="113" w:type="dxa"/>
            </w:tcMar>
            <w:vAlign w:val="center"/>
          </w:tcPr>
          <w:p w14:paraId="25C4C169" w14:textId="77777777" w:rsidR="00F407F1" w:rsidRPr="002F0DB0" w:rsidRDefault="00F407F1" w:rsidP="00EE218D">
            <w:pPr>
              <w:spacing w:after="0" w:line="240" w:lineRule="auto"/>
              <w:ind w:left="-57" w:right="-57" w:hanging="57"/>
              <w:rPr>
                <w:rFonts w:asciiTheme="majorHAnsi" w:eastAsia="Cambria" w:hAnsiTheme="majorHAnsi" w:cs="Times New Roman"/>
                <w:sz w:val="24"/>
                <w:szCs w:val="24"/>
                <w:lang w:eastAsia="en-US"/>
              </w:rPr>
            </w:pPr>
            <w:r w:rsidRPr="002F0DB0">
              <w:rPr>
                <w:rFonts w:asciiTheme="majorHAnsi" w:eastAsia="Cambria" w:hAnsiTheme="majorHAnsi" w:cs="Times New Roman"/>
                <w:sz w:val="24"/>
                <w:szCs w:val="24"/>
                <w:lang w:eastAsia="en-US"/>
              </w:rPr>
              <w:t>-</w:t>
            </w:r>
          </w:p>
        </w:tc>
        <w:tc>
          <w:tcPr>
            <w:tcW w:w="461" w:type="dxa"/>
            <w:shd w:val="clear" w:color="auto" w:fill="auto"/>
            <w:tcMar>
              <w:left w:w="170" w:type="dxa"/>
              <w:right w:w="113" w:type="dxa"/>
            </w:tcMar>
            <w:vAlign w:val="center"/>
          </w:tcPr>
          <w:p w14:paraId="083CAEDE"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r>
      <w:tr w:rsidR="00B065F9" w:rsidRPr="002F0DB0" w14:paraId="7DF475BB" w14:textId="77777777" w:rsidTr="00EE218D">
        <w:trPr>
          <w:trHeight w:val="260"/>
        </w:trPr>
        <w:tc>
          <w:tcPr>
            <w:tcW w:w="1065" w:type="dxa"/>
            <w:tcMar>
              <w:left w:w="170" w:type="dxa"/>
              <w:right w:w="113" w:type="dxa"/>
            </w:tcMar>
            <w:vAlign w:val="center"/>
          </w:tcPr>
          <w:p w14:paraId="628460BF"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D-ve</w:t>
            </w:r>
          </w:p>
        </w:tc>
        <w:tc>
          <w:tcPr>
            <w:tcW w:w="601" w:type="dxa"/>
            <w:shd w:val="clear" w:color="auto" w:fill="auto"/>
            <w:tcMar>
              <w:left w:w="170" w:type="dxa"/>
              <w:right w:w="113" w:type="dxa"/>
            </w:tcMar>
            <w:vAlign w:val="center"/>
          </w:tcPr>
          <w:p w14:paraId="0B805F60"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4</w:t>
            </w:r>
          </w:p>
        </w:tc>
        <w:tc>
          <w:tcPr>
            <w:tcW w:w="643" w:type="dxa"/>
            <w:tcMar>
              <w:left w:w="170" w:type="dxa"/>
              <w:right w:w="113" w:type="dxa"/>
            </w:tcMar>
            <w:vAlign w:val="center"/>
          </w:tcPr>
          <w:p w14:paraId="56D78D23"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c>
          <w:tcPr>
            <w:tcW w:w="740" w:type="dxa"/>
            <w:shd w:val="clear" w:color="auto" w:fill="auto"/>
            <w:tcMar>
              <w:left w:w="170" w:type="dxa"/>
              <w:right w:w="113" w:type="dxa"/>
            </w:tcMar>
            <w:vAlign w:val="center"/>
          </w:tcPr>
          <w:p w14:paraId="264E5873"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c>
          <w:tcPr>
            <w:tcW w:w="657" w:type="dxa"/>
            <w:shd w:val="clear" w:color="auto" w:fill="auto"/>
            <w:tcMar>
              <w:left w:w="170" w:type="dxa"/>
              <w:right w:w="113" w:type="dxa"/>
            </w:tcMar>
            <w:vAlign w:val="center"/>
          </w:tcPr>
          <w:p w14:paraId="26A3FA5D" w14:textId="77777777" w:rsidR="00F407F1" w:rsidRPr="002F0DB0" w:rsidRDefault="00F407F1" w:rsidP="00EE218D">
            <w:pPr>
              <w:spacing w:after="0" w:line="240" w:lineRule="auto"/>
              <w:ind w:left="-57" w:right="-57" w:hanging="57"/>
              <w:rPr>
                <w:rFonts w:asciiTheme="majorHAnsi" w:eastAsia="Cambria" w:hAnsiTheme="majorHAnsi" w:cs="Times New Roman"/>
                <w:bCs/>
                <w:sz w:val="24"/>
                <w:szCs w:val="24"/>
                <w:lang w:eastAsia="en-US"/>
              </w:rPr>
            </w:pPr>
            <w:r w:rsidRPr="002F0DB0">
              <w:rPr>
                <w:rFonts w:asciiTheme="majorHAnsi" w:eastAsia="Cambria" w:hAnsiTheme="majorHAnsi" w:cs="Times New Roman"/>
                <w:bCs/>
                <w:sz w:val="24"/>
                <w:szCs w:val="24"/>
                <w:lang w:eastAsia="en-US"/>
              </w:rPr>
              <w:t>ND</w:t>
            </w:r>
          </w:p>
        </w:tc>
        <w:tc>
          <w:tcPr>
            <w:tcW w:w="755" w:type="dxa"/>
            <w:shd w:val="clear" w:color="auto" w:fill="auto"/>
            <w:tcMar>
              <w:left w:w="170" w:type="dxa"/>
              <w:right w:w="113" w:type="dxa"/>
            </w:tcMar>
            <w:vAlign w:val="center"/>
          </w:tcPr>
          <w:p w14:paraId="7BC8794E" w14:textId="77777777" w:rsidR="00F407F1" w:rsidRPr="002F0DB0" w:rsidRDefault="00F407F1" w:rsidP="00EE218D">
            <w:pPr>
              <w:spacing w:after="0" w:line="240" w:lineRule="auto"/>
              <w:ind w:left="-57" w:right="-57" w:hanging="57"/>
              <w:rPr>
                <w:rFonts w:asciiTheme="majorHAnsi" w:eastAsia="Cambria" w:hAnsiTheme="majorHAnsi" w:cs="Times New Roman"/>
                <w:bCs/>
                <w:sz w:val="24"/>
                <w:szCs w:val="24"/>
                <w:lang w:eastAsia="en-US"/>
              </w:rPr>
            </w:pPr>
            <w:r w:rsidRPr="002F0DB0">
              <w:rPr>
                <w:rFonts w:asciiTheme="majorHAnsi" w:eastAsia="Cambria" w:hAnsiTheme="majorHAnsi" w:cs="Times New Roman"/>
                <w:bCs/>
                <w:sz w:val="24"/>
                <w:szCs w:val="24"/>
                <w:lang w:eastAsia="en-US"/>
              </w:rPr>
              <w:t>ND</w:t>
            </w:r>
          </w:p>
        </w:tc>
        <w:tc>
          <w:tcPr>
            <w:tcW w:w="880" w:type="dxa"/>
            <w:shd w:val="clear" w:color="auto" w:fill="auto"/>
            <w:tcMar>
              <w:left w:w="170" w:type="dxa"/>
              <w:right w:w="113" w:type="dxa"/>
            </w:tcMar>
            <w:vAlign w:val="center"/>
          </w:tcPr>
          <w:p w14:paraId="54E29607" w14:textId="77777777" w:rsidR="00F407F1" w:rsidRPr="002F0DB0" w:rsidRDefault="00F407F1" w:rsidP="00EE218D">
            <w:pPr>
              <w:spacing w:after="0" w:line="240" w:lineRule="auto"/>
              <w:ind w:left="-57" w:right="-57" w:hanging="57"/>
              <w:rPr>
                <w:rFonts w:asciiTheme="majorHAnsi" w:eastAsia="Cambria" w:hAnsiTheme="majorHAnsi" w:cs="Times New Roman"/>
                <w:sz w:val="24"/>
                <w:szCs w:val="24"/>
                <w:lang w:eastAsia="en-US"/>
              </w:rPr>
            </w:pPr>
            <w:r w:rsidRPr="002F0DB0">
              <w:rPr>
                <w:rFonts w:asciiTheme="majorHAnsi" w:eastAsia="Cambria" w:hAnsiTheme="majorHAnsi" w:cs="Times New Roman"/>
                <w:sz w:val="24"/>
                <w:szCs w:val="24"/>
                <w:lang w:eastAsia="en-US"/>
              </w:rPr>
              <w:t>73</w:t>
            </w:r>
          </w:p>
        </w:tc>
        <w:tc>
          <w:tcPr>
            <w:tcW w:w="863" w:type="dxa"/>
            <w:shd w:val="clear" w:color="auto" w:fill="auto"/>
            <w:tcMar>
              <w:left w:w="170" w:type="dxa"/>
              <w:right w:w="113" w:type="dxa"/>
            </w:tcMar>
            <w:vAlign w:val="center"/>
          </w:tcPr>
          <w:p w14:paraId="13A26B94" w14:textId="77777777" w:rsidR="00F407F1" w:rsidRPr="002F0DB0" w:rsidRDefault="00F407F1" w:rsidP="00EE218D">
            <w:pPr>
              <w:spacing w:after="0" w:line="240" w:lineRule="auto"/>
              <w:ind w:left="-57" w:right="-57" w:hanging="57"/>
              <w:rPr>
                <w:rFonts w:asciiTheme="majorHAnsi" w:eastAsia="Cambria" w:hAnsiTheme="majorHAnsi" w:cs="Times New Roman"/>
                <w:sz w:val="24"/>
                <w:szCs w:val="24"/>
                <w:lang w:eastAsia="en-US"/>
              </w:rPr>
            </w:pPr>
            <w:r w:rsidRPr="002F0DB0">
              <w:rPr>
                <w:rFonts w:asciiTheme="majorHAnsi" w:eastAsia="Cambria" w:hAnsiTheme="majorHAnsi" w:cs="Times New Roman"/>
                <w:sz w:val="24"/>
                <w:szCs w:val="24"/>
                <w:lang w:eastAsia="en-US"/>
              </w:rPr>
              <w:t>+</w:t>
            </w:r>
          </w:p>
        </w:tc>
        <w:tc>
          <w:tcPr>
            <w:tcW w:w="487" w:type="dxa"/>
            <w:shd w:val="clear" w:color="auto" w:fill="auto"/>
            <w:tcMar>
              <w:left w:w="170" w:type="dxa"/>
              <w:right w:w="113" w:type="dxa"/>
            </w:tcMar>
            <w:vAlign w:val="center"/>
          </w:tcPr>
          <w:p w14:paraId="5905C8DB"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c>
          <w:tcPr>
            <w:tcW w:w="489" w:type="dxa"/>
            <w:shd w:val="clear" w:color="auto" w:fill="auto"/>
            <w:tcMar>
              <w:left w:w="170" w:type="dxa"/>
              <w:right w:w="113" w:type="dxa"/>
            </w:tcMar>
            <w:vAlign w:val="center"/>
          </w:tcPr>
          <w:p w14:paraId="4DF76D53"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c>
          <w:tcPr>
            <w:tcW w:w="531" w:type="dxa"/>
            <w:shd w:val="clear" w:color="auto" w:fill="auto"/>
            <w:tcMar>
              <w:left w:w="170" w:type="dxa"/>
              <w:right w:w="113" w:type="dxa"/>
            </w:tcMar>
            <w:vAlign w:val="center"/>
          </w:tcPr>
          <w:p w14:paraId="2829D4FB"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c>
          <w:tcPr>
            <w:tcW w:w="539" w:type="dxa"/>
            <w:shd w:val="clear" w:color="auto" w:fill="auto"/>
            <w:tcMar>
              <w:left w:w="170" w:type="dxa"/>
              <w:right w:w="113" w:type="dxa"/>
            </w:tcMar>
            <w:vAlign w:val="center"/>
          </w:tcPr>
          <w:p w14:paraId="67DC7421"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c>
          <w:tcPr>
            <w:tcW w:w="496" w:type="dxa"/>
            <w:shd w:val="clear" w:color="auto" w:fill="auto"/>
            <w:tcMar>
              <w:left w:w="170" w:type="dxa"/>
              <w:right w:w="113" w:type="dxa"/>
            </w:tcMar>
            <w:vAlign w:val="center"/>
          </w:tcPr>
          <w:p w14:paraId="0F5FF2C1"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c>
          <w:tcPr>
            <w:tcW w:w="497" w:type="dxa"/>
            <w:shd w:val="clear" w:color="auto" w:fill="auto"/>
            <w:tcMar>
              <w:left w:w="170" w:type="dxa"/>
              <w:right w:w="113" w:type="dxa"/>
            </w:tcMar>
            <w:vAlign w:val="center"/>
          </w:tcPr>
          <w:p w14:paraId="6EF084A4"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c>
          <w:tcPr>
            <w:tcW w:w="708" w:type="dxa"/>
            <w:shd w:val="clear" w:color="auto" w:fill="auto"/>
            <w:tcMar>
              <w:left w:w="170" w:type="dxa"/>
              <w:right w:w="113" w:type="dxa"/>
            </w:tcMar>
            <w:vAlign w:val="center"/>
          </w:tcPr>
          <w:p w14:paraId="1C1D8011" w14:textId="77777777" w:rsidR="00F407F1" w:rsidRPr="002F0DB0" w:rsidRDefault="00F407F1" w:rsidP="00EE218D">
            <w:pPr>
              <w:spacing w:after="0" w:line="240" w:lineRule="auto"/>
              <w:ind w:left="-57" w:right="-57" w:hanging="57"/>
              <w:rPr>
                <w:rFonts w:asciiTheme="majorHAnsi" w:eastAsia="Cambria" w:hAnsiTheme="majorHAnsi" w:cs="Times New Roman"/>
                <w:sz w:val="24"/>
                <w:szCs w:val="24"/>
                <w:lang w:eastAsia="en-US"/>
              </w:rPr>
            </w:pPr>
            <w:r w:rsidRPr="002F0DB0">
              <w:rPr>
                <w:rFonts w:asciiTheme="majorHAnsi" w:eastAsia="Cambria" w:hAnsiTheme="majorHAnsi" w:cs="Times New Roman"/>
                <w:sz w:val="24"/>
                <w:szCs w:val="24"/>
                <w:lang w:eastAsia="en-US"/>
              </w:rPr>
              <w:t>1-02</w:t>
            </w:r>
          </w:p>
        </w:tc>
        <w:tc>
          <w:tcPr>
            <w:tcW w:w="993" w:type="dxa"/>
            <w:shd w:val="clear" w:color="auto" w:fill="auto"/>
            <w:tcMar>
              <w:left w:w="170" w:type="dxa"/>
              <w:right w:w="113" w:type="dxa"/>
            </w:tcMar>
            <w:vAlign w:val="center"/>
          </w:tcPr>
          <w:p w14:paraId="32C6C2A6" w14:textId="77777777" w:rsidR="00F407F1" w:rsidRPr="002F0DB0" w:rsidRDefault="00F407F1" w:rsidP="00EE218D">
            <w:pPr>
              <w:spacing w:after="0" w:line="240" w:lineRule="auto"/>
              <w:ind w:left="-57" w:right="-57" w:hanging="57"/>
              <w:rPr>
                <w:rFonts w:asciiTheme="majorHAnsi" w:eastAsia="Cambria" w:hAnsiTheme="majorHAnsi" w:cs="Times New Roman"/>
                <w:sz w:val="24"/>
                <w:szCs w:val="24"/>
                <w:lang w:eastAsia="en-US"/>
              </w:rPr>
            </w:pPr>
            <w:r w:rsidRPr="002F0DB0">
              <w:rPr>
                <w:rFonts w:asciiTheme="majorHAnsi" w:eastAsia="Cambria" w:hAnsiTheme="majorHAnsi" w:cs="Times New Roman"/>
                <w:sz w:val="24"/>
                <w:szCs w:val="24"/>
                <w:lang w:eastAsia="en-US"/>
              </w:rPr>
              <w:t>93.1</w:t>
            </w:r>
          </w:p>
        </w:tc>
        <w:tc>
          <w:tcPr>
            <w:tcW w:w="425" w:type="dxa"/>
            <w:shd w:val="clear" w:color="auto" w:fill="auto"/>
            <w:tcMar>
              <w:left w:w="170" w:type="dxa"/>
              <w:right w:w="113" w:type="dxa"/>
            </w:tcMar>
            <w:vAlign w:val="center"/>
          </w:tcPr>
          <w:p w14:paraId="0E26362C" w14:textId="77777777" w:rsidR="00F407F1" w:rsidRPr="002F0DB0" w:rsidRDefault="00F407F1" w:rsidP="00EE218D">
            <w:pPr>
              <w:spacing w:after="0" w:line="240" w:lineRule="auto"/>
              <w:ind w:left="-57" w:right="-57" w:hanging="57"/>
              <w:rPr>
                <w:rFonts w:asciiTheme="majorHAnsi" w:eastAsia="Cambria" w:hAnsiTheme="majorHAnsi" w:cs="Times New Roman"/>
                <w:sz w:val="24"/>
                <w:szCs w:val="24"/>
                <w:lang w:eastAsia="en-US"/>
              </w:rPr>
            </w:pPr>
            <w:r w:rsidRPr="002F0DB0">
              <w:rPr>
                <w:rFonts w:asciiTheme="majorHAnsi" w:eastAsia="Cambria" w:hAnsiTheme="majorHAnsi" w:cs="Times New Roman"/>
                <w:sz w:val="24"/>
                <w:szCs w:val="24"/>
                <w:lang w:eastAsia="en-US"/>
              </w:rPr>
              <w:t>-</w:t>
            </w:r>
          </w:p>
        </w:tc>
        <w:tc>
          <w:tcPr>
            <w:tcW w:w="425" w:type="dxa"/>
            <w:shd w:val="clear" w:color="auto" w:fill="auto"/>
            <w:tcMar>
              <w:left w:w="170" w:type="dxa"/>
              <w:right w:w="113" w:type="dxa"/>
            </w:tcMar>
            <w:vAlign w:val="center"/>
          </w:tcPr>
          <w:p w14:paraId="6AF8DD9F" w14:textId="77777777" w:rsidR="00F407F1" w:rsidRPr="002F0DB0" w:rsidRDefault="00F407F1" w:rsidP="00EE218D">
            <w:pPr>
              <w:spacing w:after="0" w:line="240" w:lineRule="auto"/>
              <w:ind w:left="-57" w:right="-57" w:hanging="57"/>
              <w:rPr>
                <w:rFonts w:asciiTheme="majorHAnsi" w:eastAsia="Cambria" w:hAnsiTheme="majorHAnsi" w:cs="Times New Roman"/>
                <w:sz w:val="24"/>
                <w:szCs w:val="24"/>
                <w:lang w:eastAsia="en-US"/>
              </w:rPr>
            </w:pPr>
            <w:r w:rsidRPr="002F0DB0">
              <w:rPr>
                <w:rFonts w:asciiTheme="majorHAnsi" w:eastAsia="Cambria" w:hAnsiTheme="majorHAnsi" w:cs="Times New Roman"/>
                <w:sz w:val="24"/>
                <w:szCs w:val="24"/>
                <w:lang w:eastAsia="en-US"/>
              </w:rPr>
              <w:t>+</w:t>
            </w:r>
          </w:p>
        </w:tc>
        <w:tc>
          <w:tcPr>
            <w:tcW w:w="425" w:type="dxa"/>
            <w:shd w:val="clear" w:color="auto" w:fill="auto"/>
            <w:tcMar>
              <w:left w:w="170" w:type="dxa"/>
              <w:right w:w="113" w:type="dxa"/>
            </w:tcMar>
            <w:vAlign w:val="center"/>
          </w:tcPr>
          <w:p w14:paraId="685AF9F8" w14:textId="77777777" w:rsidR="00F407F1" w:rsidRPr="002F0DB0" w:rsidRDefault="00F407F1" w:rsidP="00EE218D">
            <w:pPr>
              <w:spacing w:after="0" w:line="240" w:lineRule="auto"/>
              <w:ind w:left="-57" w:right="-57" w:hanging="57"/>
              <w:rPr>
                <w:rFonts w:asciiTheme="majorHAnsi" w:eastAsia="Cambria" w:hAnsiTheme="majorHAnsi" w:cs="Times New Roman"/>
                <w:sz w:val="24"/>
                <w:szCs w:val="24"/>
                <w:lang w:eastAsia="en-US"/>
              </w:rPr>
            </w:pPr>
            <w:r w:rsidRPr="002F0DB0">
              <w:rPr>
                <w:rFonts w:asciiTheme="majorHAnsi" w:eastAsia="Cambria" w:hAnsiTheme="majorHAnsi" w:cs="Times New Roman"/>
                <w:sz w:val="24"/>
                <w:szCs w:val="24"/>
                <w:lang w:eastAsia="en-US"/>
              </w:rPr>
              <w:t>+</w:t>
            </w:r>
          </w:p>
        </w:tc>
        <w:tc>
          <w:tcPr>
            <w:tcW w:w="426" w:type="dxa"/>
            <w:shd w:val="clear" w:color="auto" w:fill="auto"/>
            <w:tcMar>
              <w:left w:w="170" w:type="dxa"/>
              <w:right w:w="113" w:type="dxa"/>
            </w:tcMar>
            <w:vAlign w:val="center"/>
          </w:tcPr>
          <w:p w14:paraId="05349DCD" w14:textId="77777777" w:rsidR="00F407F1" w:rsidRPr="002F0DB0" w:rsidRDefault="00F407F1" w:rsidP="00EE218D">
            <w:pPr>
              <w:spacing w:after="0" w:line="240" w:lineRule="auto"/>
              <w:ind w:left="-57" w:right="-57" w:hanging="57"/>
              <w:rPr>
                <w:rFonts w:asciiTheme="majorHAnsi" w:eastAsia="Cambria" w:hAnsiTheme="majorHAnsi" w:cs="Times New Roman"/>
                <w:sz w:val="24"/>
                <w:szCs w:val="24"/>
                <w:lang w:eastAsia="en-US"/>
              </w:rPr>
            </w:pPr>
            <w:r w:rsidRPr="002F0DB0">
              <w:rPr>
                <w:rFonts w:asciiTheme="majorHAnsi" w:eastAsia="Cambria" w:hAnsiTheme="majorHAnsi" w:cs="Times New Roman"/>
                <w:sz w:val="24"/>
                <w:szCs w:val="24"/>
                <w:lang w:eastAsia="en-US"/>
              </w:rPr>
              <w:t>-</w:t>
            </w:r>
          </w:p>
        </w:tc>
        <w:tc>
          <w:tcPr>
            <w:tcW w:w="461" w:type="dxa"/>
            <w:shd w:val="clear" w:color="auto" w:fill="auto"/>
            <w:tcMar>
              <w:left w:w="170" w:type="dxa"/>
              <w:right w:w="113" w:type="dxa"/>
            </w:tcMar>
            <w:vAlign w:val="center"/>
          </w:tcPr>
          <w:p w14:paraId="4E967ADE"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r>
      <w:tr w:rsidR="00B065F9" w:rsidRPr="002F0DB0" w14:paraId="1180C334" w14:textId="77777777" w:rsidTr="00EE218D">
        <w:trPr>
          <w:trHeight w:val="260"/>
        </w:trPr>
        <w:tc>
          <w:tcPr>
            <w:tcW w:w="1065" w:type="dxa"/>
            <w:tcMar>
              <w:left w:w="170" w:type="dxa"/>
              <w:right w:w="113" w:type="dxa"/>
            </w:tcMar>
            <w:vAlign w:val="center"/>
          </w:tcPr>
          <w:p w14:paraId="26557408"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D-ve</w:t>
            </w:r>
          </w:p>
        </w:tc>
        <w:tc>
          <w:tcPr>
            <w:tcW w:w="601" w:type="dxa"/>
            <w:shd w:val="clear" w:color="auto" w:fill="auto"/>
            <w:tcMar>
              <w:left w:w="170" w:type="dxa"/>
              <w:right w:w="113" w:type="dxa"/>
            </w:tcMar>
            <w:vAlign w:val="center"/>
          </w:tcPr>
          <w:p w14:paraId="37511C5E"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5</w:t>
            </w:r>
          </w:p>
        </w:tc>
        <w:tc>
          <w:tcPr>
            <w:tcW w:w="643" w:type="dxa"/>
            <w:tcMar>
              <w:left w:w="170" w:type="dxa"/>
              <w:right w:w="113" w:type="dxa"/>
            </w:tcMar>
            <w:vAlign w:val="center"/>
          </w:tcPr>
          <w:p w14:paraId="3DBA043C"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c>
          <w:tcPr>
            <w:tcW w:w="740" w:type="dxa"/>
            <w:shd w:val="clear" w:color="auto" w:fill="auto"/>
            <w:tcMar>
              <w:left w:w="170" w:type="dxa"/>
              <w:right w:w="113" w:type="dxa"/>
            </w:tcMar>
            <w:vAlign w:val="center"/>
          </w:tcPr>
          <w:p w14:paraId="24415395"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c>
          <w:tcPr>
            <w:tcW w:w="657" w:type="dxa"/>
            <w:shd w:val="clear" w:color="auto" w:fill="auto"/>
            <w:tcMar>
              <w:left w:w="170" w:type="dxa"/>
              <w:right w:w="113" w:type="dxa"/>
            </w:tcMar>
            <w:vAlign w:val="center"/>
          </w:tcPr>
          <w:p w14:paraId="7930302D"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c>
          <w:tcPr>
            <w:tcW w:w="755" w:type="dxa"/>
            <w:shd w:val="clear" w:color="auto" w:fill="auto"/>
            <w:tcMar>
              <w:left w:w="170" w:type="dxa"/>
              <w:right w:w="113" w:type="dxa"/>
            </w:tcMar>
            <w:vAlign w:val="center"/>
          </w:tcPr>
          <w:p w14:paraId="48B51F44"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c>
          <w:tcPr>
            <w:tcW w:w="880" w:type="dxa"/>
            <w:shd w:val="clear" w:color="auto" w:fill="auto"/>
            <w:tcMar>
              <w:left w:w="170" w:type="dxa"/>
              <w:right w:w="113" w:type="dxa"/>
            </w:tcMar>
            <w:vAlign w:val="center"/>
          </w:tcPr>
          <w:p w14:paraId="677D435A" w14:textId="77777777" w:rsidR="00F407F1" w:rsidRPr="002F0DB0" w:rsidRDefault="00F407F1" w:rsidP="00EE218D">
            <w:pPr>
              <w:spacing w:after="0" w:line="240" w:lineRule="auto"/>
              <w:ind w:left="-57" w:right="-57" w:hanging="57"/>
              <w:rPr>
                <w:rFonts w:asciiTheme="majorHAnsi" w:eastAsia="Cambria" w:hAnsiTheme="majorHAnsi" w:cs="Times New Roman"/>
                <w:sz w:val="24"/>
                <w:szCs w:val="24"/>
                <w:lang w:eastAsia="en-US"/>
              </w:rPr>
            </w:pPr>
            <w:r w:rsidRPr="002F0DB0">
              <w:rPr>
                <w:rFonts w:asciiTheme="majorHAnsi" w:eastAsia="Cambria" w:hAnsiTheme="majorHAnsi" w:cs="Times New Roman"/>
                <w:sz w:val="24"/>
                <w:szCs w:val="24"/>
                <w:lang w:eastAsia="en-US"/>
              </w:rPr>
              <w:t>80</w:t>
            </w:r>
          </w:p>
        </w:tc>
        <w:tc>
          <w:tcPr>
            <w:tcW w:w="863" w:type="dxa"/>
            <w:shd w:val="clear" w:color="auto" w:fill="auto"/>
            <w:tcMar>
              <w:left w:w="170" w:type="dxa"/>
              <w:right w:w="113" w:type="dxa"/>
            </w:tcMar>
            <w:vAlign w:val="center"/>
          </w:tcPr>
          <w:p w14:paraId="4B8DB0C2" w14:textId="77777777" w:rsidR="00F407F1" w:rsidRPr="002F0DB0" w:rsidRDefault="00F407F1" w:rsidP="00EE218D">
            <w:pPr>
              <w:spacing w:after="0" w:line="240" w:lineRule="auto"/>
              <w:ind w:left="-57" w:right="-57" w:hanging="57"/>
              <w:rPr>
                <w:rFonts w:asciiTheme="majorHAnsi" w:eastAsia="Cambria" w:hAnsiTheme="majorHAnsi" w:cs="Times New Roman"/>
                <w:sz w:val="24"/>
                <w:szCs w:val="24"/>
                <w:lang w:eastAsia="en-US"/>
              </w:rPr>
            </w:pPr>
            <w:r w:rsidRPr="002F0DB0">
              <w:rPr>
                <w:rFonts w:asciiTheme="majorHAnsi" w:eastAsia="Cambria" w:hAnsiTheme="majorHAnsi" w:cs="Times New Roman"/>
                <w:sz w:val="24"/>
                <w:szCs w:val="24"/>
                <w:lang w:eastAsia="en-US"/>
              </w:rPr>
              <w:t>+</w:t>
            </w:r>
          </w:p>
        </w:tc>
        <w:tc>
          <w:tcPr>
            <w:tcW w:w="487" w:type="dxa"/>
            <w:shd w:val="clear" w:color="auto" w:fill="auto"/>
            <w:tcMar>
              <w:left w:w="170" w:type="dxa"/>
              <w:right w:w="113" w:type="dxa"/>
            </w:tcMar>
            <w:vAlign w:val="center"/>
          </w:tcPr>
          <w:p w14:paraId="15C2CCE2"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c>
          <w:tcPr>
            <w:tcW w:w="489" w:type="dxa"/>
            <w:shd w:val="clear" w:color="auto" w:fill="auto"/>
            <w:tcMar>
              <w:left w:w="170" w:type="dxa"/>
              <w:right w:w="113" w:type="dxa"/>
            </w:tcMar>
            <w:vAlign w:val="center"/>
          </w:tcPr>
          <w:p w14:paraId="6D3ABBBC"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c>
          <w:tcPr>
            <w:tcW w:w="531" w:type="dxa"/>
            <w:shd w:val="clear" w:color="auto" w:fill="auto"/>
            <w:tcMar>
              <w:left w:w="170" w:type="dxa"/>
              <w:right w:w="113" w:type="dxa"/>
            </w:tcMar>
            <w:vAlign w:val="center"/>
          </w:tcPr>
          <w:p w14:paraId="01412000"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c>
          <w:tcPr>
            <w:tcW w:w="539" w:type="dxa"/>
            <w:shd w:val="clear" w:color="auto" w:fill="auto"/>
            <w:tcMar>
              <w:left w:w="170" w:type="dxa"/>
              <w:right w:w="113" w:type="dxa"/>
            </w:tcMar>
            <w:vAlign w:val="center"/>
          </w:tcPr>
          <w:p w14:paraId="3A75477D"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c>
          <w:tcPr>
            <w:tcW w:w="496" w:type="dxa"/>
            <w:shd w:val="clear" w:color="auto" w:fill="auto"/>
            <w:tcMar>
              <w:left w:w="170" w:type="dxa"/>
              <w:right w:w="113" w:type="dxa"/>
            </w:tcMar>
            <w:vAlign w:val="center"/>
          </w:tcPr>
          <w:p w14:paraId="404455B0"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c>
          <w:tcPr>
            <w:tcW w:w="497" w:type="dxa"/>
            <w:shd w:val="clear" w:color="auto" w:fill="auto"/>
            <w:tcMar>
              <w:left w:w="170" w:type="dxa"/>
              <w:right w:w="113" w:type="dxa"/>
            </w:tcMar>
            <w:vAlign w:val="center"/>
          </w:tcPr>
          <w:p w14:paraId="189806A0"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c>
          <w:tcPr>
            <w:tcW w:w="708" w:type="dxa"/>
            <w:shd w:val="clear" w:color="auto" w:fill="auto"/>
            <w:tcMar>
              <w:left w:w="170" w:type="dxa"/>
              <w:right w:w="113" w:type="dxa"/>
            </w:tcMar>
            <w:vAlign w:val="center"/>
          </w:tcPr>
          <w:p w14:paraId="1B42D8C2" w14:textId="77777777" w:rsidR="00F407F1" w:rsidRPr="002F0DB0" w:rsidRDefault="00F407F1" w:rsidP="00EE218D">
            <w:pPr>
              <w:spacing w:after="0" w:line="240" w:lineRule="auto"/>
              <w:ind w:left="-57" w:right="-57" w:hanging="57"/>
              <w:rPr>
                <w:rFonts w:asciiTheme="majorHAnsi" w:eastAsia="Cambria" w:hAnsiTheme="majorHAnsi" w:cs="Times New Roman"/>
                <w:sz w:val="24"/>
                <w:szCs w:val="24"/>
                <w:lang w:eastAsia="en-US"/>
              </w:rPr>
            </w:pPr>
            <w:r w:rsidRPr="002F0DB0">
              <w:rPr>
                <w:rFonts w:asciiTheme="majorHAnsi" w:eastAsia="Cambria" w:hAnsiTheme="majorHAnsi" w:cs="Times New Roman"/>
                <w:sz w:val="24"/>
                <w:szCs w:val="24"/>
                <w:lang w:eastAsia="en-US"/>
              </w:rPr>
              <w:t>3-15</w:t>
            </w:r>
          </w:p>
        </w:tc>
        <w:tc>
          <w:tcPr>
            <w:tcW w:w="993" w:type="dxa"/>
            <w:shd w:val="clear" w:color="auto" w:fill="auto"/>
            <w:tcMar>
              <w:left w:w="170" w:type="dxa"/>
              <w:right w:w="113" w:type="dxa"/>
            </w:tcMar>
            <w:vAlign w:val="center"/>
          </w:tcPr>
          <w:p w14:paraId="6E823987" w14:textId="77777777" w:rsidR="00F407F1" w:rsidRPr="002F0DB0" w:rsidRDefault="00F407F1" w:rsidP="00EE218D">
            <w:pPr>
              <w:spacing w:after="0" w:line="240" w:lineRule="auto"/>
              <w:ind w:left="-57" w:right="-57" w:hanging="57"/>
              <w:rPr>
                <w:rFonts w:asciiTheme="majorHAnsi" w:eastAsia="Cambria" w:hAnsiTheme="majorHAnsi" w:cs="Times New Roman"/>
                <w:sz w:val="24"/>
                <w:szCs w:val="24"/>
                <w:lang w:eastAsia="en-US"/>
              </w:rPr>
            </w:pPr>
            <w:r w:rsidRPr="002F0DB0">
              <w:rPr>
                <w:rFonts w:asciiTheme="majorHAnsi" w:eastAsia="Cambria" w:hAnsiTheme="majorHAnsi" w:cs="Times New Roman"/>
                <w:sz w:val="24"/>
                <w:szCs w:val="24"/>
                <w:lang w:eastAsia="en-US"/>
              </w:rPr>
              <w:t>92.2</w:t>
            </w:r>
          </w:p>
        </w:tc>
        <w:tc>
          <w:tcPr>
            <w:tcW w:w="425" w:type="dxa"/>
            <w:shd w:val="clear" w:color="auto" w:fill="auto"/>
            <w:tcMar>
              <w:left w:w="170" w:type="dxa"/>
              <w:right w:w="113" w:type="dxa"/>
            </w:tcMar>
            <w:vAlign w:val="center"/>
          </w:tcPr>
          <w:p w14:paraId="14E5F2F2" w14:textId="77777777" w:rsidR="00F407F1" w:rsidRPr="002F0DB0" w:rsidRDefault="00F407F1" w:rsidP="00EE218D">
            <w:pPr>
              <w:spacing w:after="0" w:line="240" w:lineRule="auto"/>
              <w:ind w:left="-57" w:right="-57" w:hanging="57"/>
              <w:rPr>
                <w:rFonts w:asciiTheme="majorHAnsi" w:eastAsia="Cambria" w:hAnsiTheme="majorHAnsi" w:cs="Times New Roman"/>
                <w:sz w:val="24"/>
                <w:szCs w:val="24"/>
                <w:lang w:eastAsia="en-US"/>
              </w:rPr>
            </w:pPr>
            <w:r w:rsidRPr="002F0DB0">
              <w:rPr>
                <w:rFonts w:asciiTheme="majorHAnsi" w:eastAsia="Cambria" w:hAnsiTheme="majorHAnsi" w:cs="Times New Roman"/>
                <w:sz w:val="24"/>
                <w:szCs w:val="24"/>
                <w:lang w:eastAsia="en-US"/>
              </w:rPr>
              <w:t>+</w:t>
            </w:r>
          </w:p>
        </w:tc>
        <w:tc>
          <w:tcPr>
            <w:tcW w:w="425" w:type="dxa"/>
            <w:shd w:val="clear" w:color="auto" w:fill="auto"/>
            <w:tcMar>
              <w:left w:w="170" w:type="dxa"/>
              <w:right w:w="113" w:type="dxa"/>
            </w:tcMar>
            <w:vAlign w:val="center"/>
          </w:tcPr>
          <w:p w14:paraId="54A5EDFA" w14:textId="77777777" w:rsidR="00F407F1" w:rsidRPr="002F0DB0" w:rsidRDefault="00F407F1" w:rsidP="00EE218D">
            <w:pPr>
              <w:spacing w:after="0" w:line="240" w:lineRule="auto"/>
              <w:ind w:left="-57" w:right="-57" w:hanging="57"/>
              <w:rPr>
                <w:rFonts w:asciiTheme="majorHAnsi" w:eastAsia="Cambria" w:hAnsiTheme="majorHAnsi" w:cs="Times New Roman"/>
                <w:sz w:val="24"/>
                <w:szCs w:val="24"/>
                <w:lang w:eastAsia="en-US"/>
              </w:rPr>
            </w:pPr>
            <w:r w:rsidRPr="002F0DB0">
              <w:rPr>
                <w:rFonts w:asciiTheme="majorHAnsi" w:eastAsia="Cambria" w:hAnsiTheme="majorHAnsi" w:cs="Times New Roman"/>
                <w:sz w:val="24"/>
                <w:szCs w:val="24"/>
                <w:lang w:eastAsia="en-US"/>
              </w:rPr>
              <w:t>+</w:t>
            </w:r>
          </w:p>
        </w:tc>
        <w:tc>
          <w:tcPr>
            <w:tcW w:w="425" w:type="dxa"/>
            <w:shd w:val="clear" w:color="auto" w:fill="auto"/>
            <w:tcMar>
              <w:left w:w="170" w:type="dxa"/>
              <w:right w:w="113" w:type="dxa"/>
            </w:tcMar>
            <w:vAlign w:val="center"/>
          </w:tcPr>
          <w:p w14:paraId="7CA77545" w14:textId="77777777" w:rsidR="00F407F1" w:rsidRPr="002F0DB0" w:rsidRDefault="00F407F1" w:rsidP="00EE218D">
            <w:pPr>
              <w:spacing w:after="0" w:line="240" w:lineRule="auto"/>
              <w:ind w:left="-57" w:right="-57" w:hanging="57"/>
              <w:rPr>
                <w:rFonts w:asciiTheme="majorHAnsi" w:eastAsia="Cambria" w:hAnsiTheme="majorHAnsi" w:cs="Times New Roman"/>
                <w:sz w:val="24"/>
                <w:szCs w:val="24"/>
                <w:lang w:eastAsia="en-US"/>
              </w:rPr>
            </w:pPr>
            <w:r w:rsidRPr="002F0DB0">
              <w:rPr>
                <w:rFonts w:asciiTheme="majorHAnsi" w:eastAsia="Cambria" w:hAnsiTheme="majorHAnsi" w:cs="Times New Roman"/>
                <w:sz w:val="24"/>
                <w:szCs w:val="24"/>
                <w:lang w:eastAsia="en-US"/>
              </w:rPr>
              <w:t>ND</w:t>
            </w:r>
          </w:p>
        </w:tc>
        <w:tc>
          <w:tcPr>
            <w:tcW w:w="426" w:type="dxa"/>
            <w:shd w:val="clear" w:color="auto" w:fill="auto"/>
            <w:tcMar>
              <w:left w:w="170" w:type="dxa"/>
              <w:right w:w="113" w:type="dxa"/>
            </w:tcMar>
            <w:vAlign w:val="center"/>
          </w:tcPr>
          <w:p w14:paraId="3F4AD605" w14:textId="77777777" w:rsidR="00F407F1" w:rsidRPr="002F0DB0" w:rsidRDefault="00F407F1" w:rsidP="00EE218D">
            <w:pPr>
              <w:spacing w:after="0" w:line="240" w:lineRule="auto"/>
              <w:ind w:left="-57" w:right="-57" w:hanging="57"/>
              <w:rPr>
                <w:rFonts w:asciiTheme="majorHAnsi" w:eastAsia="Cambria" w:hAnsiTheme="majorHAnsi" w:cs="Times New Roman"/>
                <w:sz w:val="24"/>
                <w:szCs w:val="24"/>
                <w:lang w:eastAsia="en-US"/>
              </w:rPr>
            </w:pPr>
            <w:r w:rsidRPr="002F0DB0">
              <w:rPr>
                <w:rFonts w:asciiTheme="majorHAnsi" w:eastAsia="Cambria" w:hAnsiTheme="majorHAnsi" w:cs="Times New Roman"/>
                <w:sz w:val="24"/>
                <w:szCs w:val="24"/>
                <w:lang w:eastAsia="en-US"/>
              </w:rPr>
              <w:t>-</w:t>
            </w:r>
          </w:p>
        </w:tc>
        <w:tc>
          <w:tcPr>
            <w:tcW w:w="461" w:type="dxa"/>
            <w:shd w:val="clear" w:color="auto" w:fill="auto"/>
            <w:tcMar>
              <w:left w:w="170" w:type="dxa"/>
              <w:right w:w="113" w:type="dxa"/>
            </w:tcMar>
            <w:vAlign w:val="center"/>
          </w:tcPr>
          <w:p w14:paraId="350164B2"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r>
      <w:tr w:rsidR="00B065F9" w:rsidRPr="002F0DB0" w14:paraId="0646E46B" w14:textId="77777777" w:rsidTr="00EE218D">
        <w:trPr>
          <w:trHeight w:val="260"/>
        </w:trPr>
        <w:tc>
          <w:tcPr>
            <w:tcW w:w="1065" w:type="dxa"/>
            <w:tcMar>
              <w:left w:w="170" w:type="dxa"/>
              <w:right w:w="113" w:type="dxa"/>
            </w:tcMar>
            <w:vAlign w:val="center"/>
          </w:tcPr>
          <w:p w14:paraId="13CD60C2"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D-ve</w:t>
            </w:r>
          </w:p>
        </w:tc>
        <w:tc>
          <w:tcPr>
            <w:tcW w:w="601" w:type="dxa"/>
            <w:shd w:val="clear" w:color="auto" w:fill="auto"/>
            <w:tcMar>
              <w:left w:w="170" w:type="dxa"/>
              <w:right w:w="113" w:type="dxa"/>
            </w:tcMar>
            <w:vAlign w:val="center"/>
          </w:tcPr>
          <w:p w14:paraId="4905B52A"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10</w:t>
            </w:r>
          </w:p>
        </w:tc>
        <w:tc>
          <w:tcPr>
            <w:tcW w:w="643" w:type="dxa"/>
            <w:tcMar>
              <w:left w:w="170" w:type="dxa"/>
              <w:right w:w="113" w:type="dxa"/>
            </w:tcMar>
            <w:vAlign w:val="center"/>
          </w:tcPr>
          <w:p w14:paraId="7B03D90E"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c>
          <w:tcPr>
            <w:tcW w:w="740" w:type="dxa"/>
            <w:shd w:val="clear" w:color="auto" w:fill="auto"/>
            <w:tcMar>
              <w:left w:w="170" w:type="dxa"/>
              <w:right w:w="113" w:type="dxa"/>
            </w:tcMar>
            <w:vAlign w:val="center"/>
          </w:tcPr>
          <w:p w14:paraId="5DAAF541"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c>
          <w:tcPr>
            <w:tcW w:w="657" w:type="dxa"/>
            <w:shd w:val="clear" w:color="auto" w:fill="auto"/>
            <w:tcMar>
              <w:left w:w="170" w:type="dxa"/>
              <w:right w:w="113" w:type="dxa"/>
            </w:tcMar>
            <w:vAlign w:val="center"/>
          </w:tcPr>
          <w:p w14:paraId="028FB288"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c>
          <w:tcPr>
            <w:tcW w:w="755" w:type="dxa"/>
            <w:shd w:val="clear" w:color="auto" w:fill="auto"/>
            <w:tcMar>
              <w:left w:w="170" w:type="dxa"/>
              <w:right w:w="113" w:type="dxa"/>
            </w:tcMar>
            <w:vAlign w:val="center"/>
          </w:tcPr>
          <w:p w14:paraId="5DC0BECE"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c>
          <w:tcPr>
            <w:tcW w:w="880" w:type="dxa"/>
            <w:shd w:val="clear" w:color="auto" w:fill="auto"/>
            <w:tcMar>
              <w:left w:w="170" w:type="dxa"/>
              <w:right w:w="113" w:type="dxa"/>
            </w:tcMar>
            <w:vAlign w:val="center"/>
          </w:tcPr>
          <w:p w14:paraId="4664D5E8" w14:textId="77777777" w:rsidR="00F407F1" w:rsidRPr="002F0DB0" w:rsidRDefault="00F407F1" w:rsidP="00EE218D">
            <w:pPr>
              <w:spacing w:after="0" w:line="240" w:lineRule="auto"/>
              <w:ind w:left="-57" w:right="-57" w:hanging="57"/>
              <w:rPr>
                <w:rFonts w:asciiTheme="majorHAnsi" w:eastAsia="Cambria" w:hAnsiTheme="majorHAnsi" w:cs="Times New Roman"/>
                <w:sz w:val="24"/>
                <w:szCs w:val="24"/>
                <w:lang w:eastAsia="en-US"/>
              </w:rPr>
            </w:pPr>
            <w:r w:rsidRPr="002F0DB0">
              <w:rPr>
                <w:rFonts w:asciiTheme="majorHAnsi" w:eastAsia="Cambria" w:hAnsiTheme="majorHAnsi" w:cs="Times New Roman"/>
                <w:sz w:val="24"/>
                <w:szCs w:val="24"/>
                <w:lang w:eastAsia="en-US"/>
              </w:rPr>
              <w:t>55</w:t>
            </w:r>
          </w:p>
        </w:tc>
        <w:tc>
          <w:tcPr>
            <w:tcW w:w="863" w:type="dxa"/>
            <w:shd w:val="clear" w:color="auto" w:fill="auto"/>
            <w:tcMar>
              <w:left w:w="170" w:type="dxa"/>
              <w:right w:w="113" w:type="dxa"/>
            </w:tcMar>
            <w:vAlign w:val="center"/>
          </w:tcPr>
          <w:p w14:paraId="256EF36F" w14:textId="77777777" w:rsidR="00F407F1" w:rsidRPr="002F0DB0" w:rsidRDefault="00F407F1" w:rsidP="00EE218D">
            <w:pPr>
              <w:spacing w:after="0" w:line="240" w:lineRule="auto"/>
              <w:ind w:left="-57" w:right="-57" w:hanging="57"/>
              <w:rPr>
                <w:rFonts w:asciiTheme="majorHAnsi" w:eastAsia="Cambria" w:hAnsiTheme="majorHAnsi" w:cs="Times New Roman"/>
                <w:sz w:val="24"/>
                <w:szCs w:val="24"/>
                <w:lang w:eastAsia="en-US"/>
              </w:rPr>
            </w:pPr>
            <w:r w:rsidRPr="002F0DB0">
              <w:rPr>
                <w:rFonts w:asciiTheme="majorHAnsi" w:eastAsia="Cambria" w:hAnsiTheme="majorHAnsi" w:cs="Times New Roman"/>
                <w:sz w:val="24"/>
                <w:szCs w:val="24"/>
                <w:lang w:eastAsia="en-US"/>
              </w:rPr>
              <w:t>+</w:t>
            </w:r>
          </w:p>
        </w:tc>
        <w:tc>
          <w:tcPr>
            <w:tcW w:w="487" w:type="dxa"/>
            <w:shd w:val="clear" w:color="auto" w:fill="auto"/>
            <w:tcMar>
              <w:left w:w="170" w:type="dxa"/>
              <w:right w:w="113" w:type="dxa"/>
            </w:tcMar>
            <w:vAlign w:val="center"/>
          </w:tcPr>
          <w:p w14:paraId="2C7DAE1C"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c>
          <w:tcPr>
            <w:tcW w:w="489" w:type="dxa"/>
            <w:shd w:val="clear" w:color="auto" w:fill="auto"/>
            <w:tcMar>
              <w:left w:w="170" w:type="dxa"/>
              <w:right w:w="113" w:type="dxa"/>
            </w:tcMar>
            <w:vAlign w:val="center"/>
          </w:tcPr>
          <w:p w14:paraId="6C8D3845"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c>
          <w:tcPr>
            <w:tcW w:w="531" w:type="dxa"/>
            <w:shd w:val="clear" w:color="auto" w:fill="auto"/>
            <w:tcMar>
              <w:left w:w="170" w:type="dxa"/>
              <w:right w:w="113" w:type="dxa"/>
            </w:tcMar>
            <w:vAlign w:val="center"/>
          </w:tcPr>
          <w:p w14:paraId="00B48F94"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c>
          <w:tcPr>
            <w:tcW w:w="539" w:type="dxa"/>
            <w:shd w:val="clear" w:color="auto" w:fill="auto"/>
            <w:tcMar>
              <w:left w:w="170" w:type="dxa"/>
              <w:right w:w="113" w:type="dxa"/>
            </w:tcMar>
            <w:vAlign w:val="center"/>
          </w:tcPr>
          <w:p w14:paraId="29F4D272"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c>
          <w:tcPr>
            <w:tcW w:w="496" w:type="dxa"/>
            <w:shd w:val="clear" w:color="auto" w:fill="auto"/>
            <w:tcMar>
              <w:left w:w="170" w:type="dxa"/>
              <w:right w:w="113" w:type="dxa"/>
            </w:tcMar>
            <w:vAlign w:val="center"/>
          </w:tcPr>
          <w:p w14:paraId="303A234D"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c>
          <w:tcPr>
            <w:tcW w:w="497" w:type="dxa"/>
            <w:shd w:val="clear" w:color="auto" w:fill="auto"/>
            <w:tcMar>
              <w:left w:w="170" w:type="dxa"/>
              <w:right w:w="113" w:type="dxa"/>
            </w:tcMar>
            <w:vAlign w:val="center"/>
          </w:tcPr>
          <w:p w14:paraId="416915AE"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c>
          <w:tcPr>
            <w:tcW w:w="708" w:type="dxa"/>
            <w:shd w:val="clear" w:color="auto" w:fill="auto"/>
            <w:tcMar>
              <w:left w:w="170" w:type="dxa"/>
              <w:right w:w="113" w:type="dxa"/>
            </w:tcMar>
            <w:vAlign w:val="center"/>
          </w:tcPr>
          <w:p w14:paraId="77718817" w14:textId="77777777" w:rsidR="00F407F1" w:rsidRPr="002F0DB0" w:rsidRDefault="00F407F1" w:rsidP="00EE218D">
            <w:pPr>
              <w:spacing w:after="0" w:line="240" w:lineRule="auto"/>
              <w:ind w:left="-57" w:right="-57" w:hanging="57"/>
              <w:rPr>
                <w:rFonts w:asciiTheme="majorHAnsi" w:eastAsia="Cambria" w:hAnsiTheme="majorHAnsi" w:cs="Times New Roman"/>
                <w:sz w:val="24"/>
                <w:szCs w:val="24"/>
                <w:lang w:eastAsia="en-US"/>
              </w:rPr>
            </w:pPr>
            <w:r w:rsidRPr="002F0DB0">
              <w:rPr>
                <w:rFonts w:asciiTheme="majorHAnsi" w:eastAsia="Cambria" w:hAnsiTheme="majorHAnsi" w:cs="Times New Roman"/>
                <w:sz w:val="24"/>
                <w:szCs w:val="24"/>
                <w:lang w:eastAsia="en-US"/>
              </w:rPr>
              <w:t>1-46</w:t>
            </w:r>
          </w:p>
        </w:tc>
        <w:tc>
          <w:tcPr>
            <w:tcW w:w="993" w:type="dxa"/>
            <w:shd w:val="clear" w:color="auto" w:fill="auto"/>
            <w:tcMar>
              <w:left w:w="170" w:type="dxa"/>
              <w:right w:w="113" w:type="dxa"/>
            </w:tcMar>
            <w:vAlign w:val="center"/>
          </w:tcPr>
          <w:p w14:paraId="597ED4A3" w14:textId="77777777" w:rsidR="00F407F1" w:rsidRPr="002F0DB0" w:rsidRDefault="00F407F1" w:rsidP="00EE218D">
            <w:pPr>
              <w:spacing w:after="0" w:line="240" w:lineRule="auto"/>
              <w:ind w:left="-57" w:right="-57" w:hanging="57"/>
              <w:rPr>
                <w:rFonts w:asciiTheme="majorHAnsi" w:eastAsia="Cambria" w:hAnsiTheme="majorHAnsi" w:cs="Times New Roman"/>
                <w:sz w:val="24"/>
                <w:szCs w:val="24"/>
                <w:lang w:eastAsia="en-US"/>
              </w:rPr>
            </w:pPr>
            <w:r w:rsidRPr="002F0DB0">
              <w:rPr>
                <w:rFonts w:asciiTheme="majorHAnsi" w:eastAsia="Cambria" w:hAnsiTheme="majorHAnsi" w:cs="Times New Roman"/>
                <w:sz w:val="24"/>
                <w:szCs w:val="24"/>
                <w:lang w:eastAsia="en-US"/>
              </w:rPr>
              <w:t>95.1</w:t>
            </w:r>
          </w:p>
        </w:tc>
        <w:tc>
          <w:tcPr>
            <w:tcW w:w="425" w:type="dxa"/>
            <w:shd w:val="clear" w:color="auto" w:fill="auto"/>
            <w:tcMar>
              <w:left w:w="170" w:type="dxa"/>
              <w:right w:w="113" w:type="dxa"/>
            </w:tcMar>
            <w:vAlign w:val="center"/>
          </w:tcPr>
          <w:p w14:paraId="71B05BD6" w14:textId="77777777" w:rsidR="00F407F1" w:rsidRPr="002F0DB0" w:rsidRDefault="00F407F1" w:rsidP="00EE218D">
            <w:pPr>
              <w:spacing w:after="0" w:line="240" w:lineRule="auto"/>
              <w:ind w:left="-57" w:right="-57" w:hanging="57"/>
              <w:rPr>
                <w:rFonts w:asciiTheme="majorHAnsi" w:eastAsia="Cambria" w:hAnsiTheme="majorHAnsi" w:cs="Times New Roman"/>
                <w:sz w:val="24"/>
                <w:szCs w:val="24"/>
                <w:lang w:eastAsia="en-US"/>
              </w:rPr>
            </w:pPr>
            <w:r w:rsidRPr="002F0DB0">
              <w:rPr>
                <w:rFonts w:asciiTheme="majorHAnsi" w:eastAsia="Cambria" w:hAnsiTheme="majorHAnsi" w:cs="Times New Roman"/>
                <w:sz w:val="24"/>
                <w:szCs w:val="24"/>
                <w:lang w:eastAsia="en-US"/>
              </w:rPr>
              <w:t>+</w:t>
            </w:r>
          </w:p>
        </w:tc>
        <w:tc>
          <w:tcPr>
            <w:tcW w:w="425" w:type="dxa"/>
            <w:shd w:val="clear" w:color="auto" w:fill="auto"/>
            <w:tcMar>
              <w:left w:w="170" w:type="dxa"/>
              <w:right w:w="113" w:type="dxa"/>
            </w:tcMar>
            <w:vAlign w:val="center"/>
          </w:tcPr>
          <w:p w14:paraId="15C00CCB" w14:textId="77777777" w:rsidR="00F407F1" w:rsidRPr="002F0DB0" w:rsidRDefault="00F407F1" w:rsidP="00EE218D">
            <w:pPr>
              <w:spacing w:after="0" w:line="240" w:lineRule="auto"/>
              <w:ind w:left="-57" w:right="-57" w:hanging="57"/>
              <w:rPr>
                <w:rFonts w:asciiTheme="majorHAnsi" w:eastAsia="Cambria" w:hAnsiTheme="majorHAnsi" w:cs="Times New Roman"/>
                <w:sz w:val="24"/>
                <w:szCs w:val="24"/>
                <w:lang w:eastAsia="en-US"/>
              </w:rPr>
            </w:pPr>
            <w:r w:rsidRPr="002F0DB0">
              <w:rPr>
                <w:rFonts w:asciiTheme="majorHAnsi" w:eastAsia="Cambria" w:hAnsiTheme="majorHAnsi" w:cs="Times New Roman"/>
                <w:sz w:val="24"/>
                <w:szCs w:val="24"/>
                <w:lang w:eastAsia="en-US"/>
              </w:rPr>
              <w:t>+</w:t>
            </w:r>
          </w:p>
        </w:tc>
        <w:tc>
          <w:tcPr>
            <w:tcW w:w="425" w:type="dxa"/>
            <w:shd w:val="clear" w:color="auto" w:fill="auto"/>
            <w:tcMar>
              <w:left w:w="170" w:type="dxa"/>
              <w:right w:w="113" w:type="dxa"/>
            </w:tcMar>
            <w:vAlign w:val="center"/>
          </w:tcPr>
          <w:p w14:paraId="03B77887" w14:textId="77777777" w:rsidR="00F407F1" w:rsidRPr="002F0DB0" w:rsidRDefault="00F407F1" w:rsidP="00EE218D">
            <w:pPr>
              <w:spacing w:after="0" w:line="240" w:lineRule="auto"/>
              <w:ind w:left="-57" w:right="-57" w:hanging="57"/>
              <w:rPr>
                <w:rFonts w:asciiTheme="majorHAnsi" w:eastAsia="Cambria" w:hAnsiTheme="majorHAnsi" w:cs="Times New Roman"/>
                <w:sz w:val="24"/>
                <w:szCs w:val="24"/>
                <w:lang w:eastAsia="en-US"/>
              </w:rPr>
            </w:pPr>
            <w:r w:rsidRPr="002F0DB0">
              <w:rPr>
                <w:rFonts w:asciiTheme="majorHAnsi" w:eastAsia="Cambria" w:hAnsiTheme="majorHAnsi" w:cs="Times New Roman"/>
                <w:sz w:val="24"/>
                <w:szCs w:val="24"/>
                <w:lang w:eastAsia="en-US"/>
              </w:rPr>
              <w:t>+</w:t>
            </w:r>
          </w:p>
        </w:tc>
        <w:tc>
          <w:tcPr>
            <w:tcW w:w="426" w:type="dxa"/>
            <w:shd w:val="clear" w:color="auto" w:fill="auto"/>
            <w:tcMar>
              <w:left w:w="170" w:type="dxa"/>
              <w:right w:w="113" w:type="dxa"/>
            </w:tcMar>
            <w:vAlign w:val="center"/>
          </w:tcPr>
          <w:p w14:paraId="30979009" w14:textId="77777777" w:rsidR="00F407F1" w:rsidRPr="002F0DB0" w:rsidRDefault="00F407F1" w:rsidP="00EE218D">
            <w:pPr>
              <w:spacing w:after="0" w:line="240" w:lineRule="auto"/>
              <w:ind w:left="-57" w:right="-57" w:hanging="57"/>
              <w:rPr>
                <w:rFonts w:asciiTheme="majorHAnsi" w:eastAsia="Cambria" w:hAnsiTheme="majorHAnsi" w:cs="Times New Roman"/>
                <w:sz w:val="24"/>
                <w:szCs w:val="24"/>
                <w:lang w:eastAsia="en-US"/>
              </w:rPr>
            </w:pPr>
            <w:r w:rsidRPr="002F0DB0">
              <w:rPr>
                <w:rFonts w:asciiTheme="majorHAnsi" w:eastAsia="Cambria" w:hAnsiTheme="majorHAnsi" w:cs="Times New Roman"/>
                <w:sz w:val="24"/>
                <w:szCs w:val="24"/>
                <w:lang w:eastAsia="en-US"/>
              </w:rPr>
              <w:t>+</w:t>
            </w:r>
          </w:p>
        </w:tc>
        <w:tc>
          <w:tcPr>
            <w:tcW w:w="461" w:type="dxa"/>
            <w:shd w:val="clear" w:color="auto" w:fill="auto"/>
            <w:tcMar>
              <w:left w:w="170" w:type="dxa"/>
              <w:right w:w="113" w:type="dxa"/>
            </w:tcMar>
            <w:vAlign w:val="center"/>
          </w:tcPr>
          <w:p w14:paraId="417D7D90"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r>
      <w:tr w:rsidR="00B065F9" w:rsidRPr="002F0DB0" w14:paraId="1840584B" w14:textId="77777777" w:rsidTr="00EE218D">
        <w:trPr>
          <w:trHeight w:val="260"/>
        </w:trPr>
        <w:tc>
          <w:tcPr>
            <w:tcW w:w="1065" w:type="dxa"/>
            <w:tcMar>
              <w:left w:w="170" w:type="dxa"/>
              <w:right w:w="113" w:type="dxa"/>
            </w:tcMar>
            <w:vAlign w:val="center"/>
          </w:tcPr>
          <w:p w14:paraId="68B58DF2"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D-ve</w:t>
            </w:r>
          </w:p>
        </w:tc>
        <w:tc>
          <w:tcPr>
            <w:tcW w:w="601" w:type="dxa"/>
            <w:shd w:val="clear" w:color="auto" w:fill="auto"/>
            <w:tcMar>
              <w:left w:w="170" w:type="dxa"/>
              <w:right w:w="113" w:type="dxa"/>
            </w:tcMar>
            <w:vAlign w:val="center"/>
          </w:tcPr>
          <w:p w14:paraId="18137C25"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11</w:t>
            </w:r>
          </w:p>
        </w:tc>
        <w:tc>
          <w:tcPr>
            <w:tcW w:w="643" w:type="dxa"/>
            <w:tcMar>
              <w:left w:w="170" w:type="dxa"/>
              <w:right w:w="113" w:type="dxa"/>
            </w:tcMar>
            <w:vAlign w:val="center"/>
          </w:tcPr>
          <w:p w14:paraId="3E8E5B40"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c>
          <w:tcPr>
            <w:tcW w:w="740" w:type="dxa"/>
            <w:shd w:val="clear" w:color="auto" w:fill="auto"/>
            <w:tcMar>
              <w:left w:w="170" w:type="dxa"/>
              <w:right w:w="113" w:type="dxa"/>
            </w:tcMar>
            <w:vAlign w:val="center"/>
          </w:tcPr>
          <w:p w14:paraId="764F8ED9"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c>
          <w:tcPr>
            <w:tcW w:w="657" w:type="dxa"/>
            <w:shd w:val="clear" w:color="auto" w:fill="auto"/>
            <w:tcMar>
              <w:left w:w="170" w:type="dxa"/>
              <w:right w:w="113" w:type="dxa"/>
            </w:tcMar>
            <w:vAlign w:val="center"/>
          </w:tcPr>
          <w:p w14:paraId="65280A8C"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c>
          <w:tcPr>
            <w:tcW w:w="755" w:type="dxa"/>
            <w:shd w:val="clear" w:color="auto" w:fill="auto"/>
            <w:tcMar>
              <w:left w:w="170" w:type="dxa"/>
              <w:right w:w="113" w:type="dxa"/>
            </w:tcMar>
            <w:vAlign w:val="center"/>
          </w:tcPr>
          <w:p w14:paraId="4C299678"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c>
          <w:tcPr>
            <w:tcW w:w="880" w:type="dxa"/>
            <w:shd w:val="clear" w:color="auto" w:fill="auto"/>
            <w:tcMar>
              <w:left w:w="170" w:type="dxa"/>
              <w:right w:w="113" w:type="dxa"/>
            </w:tcMar>
            <w:vAlign w:val="center"/>
          </w:tcPr>
          <w:p w14:paraId="727E4BDD" w14:textId="77777777" w:rsidR="00F407F1" w:rsidRPr="002F0DB0" w:rsidRDefault="00F407F1" w:rsidP="00EE218D">
            <w:pPr>
              <w:spacing w:after="0" w:line="240" w:lineRule="auto"/>
              <w:ind w:left="-57" w:right="-57" w:hanging="57"/>
              <w:rPr>
                <w:rFonts w:asciiTheme="majorHAnsi" w:eastAsia="Cambria" w:hAnsiTheme="majorHAnsi" w:cs="Times New Roman"/>
                <w:sz w:val="24"/>
                <w:szCs w:val="24"/>
                <w:lang w:eastAsia="en-US"/>
              </w:rPr>
            </w:pPr>
            <w:r w:rsidRPr="002F0DB0">
              <w:rPr>
                <w:rFonts w:asciiTheme="majorHAnsi" w:eastAsia="Cambria" w:hAnsiTheme="majorHAnsi" w:cs="Times New Roman"/>
                <w:sz w:val="24"/>
                <w:szCs w:val="24"/>
                <w:lang w:eastAsia="en-US"/>
              </w:rPr>
              <w:t>52</w:t>
            </w:r>
          </w:p>
        </w:tc>
        <w:tc>
          <w:tcPr>
            <w:tcW w:w="863" w:type="dxa"/>
            <w:shd w:val="clear" w:color="auto" w:fill="auto"/>
            <w:tcMar>
              <w:left w:w="170" w:type="dxa"/>
              <w:right w:w="113" w:type="dxa"/>
            </w:tcMar>
            <w:vAlign w:val="center"/>
          </w:tcPr>
          <w:p w14:paraId="7231480E" w14:textId="77777777" w:rsidR="00F407F1" w:rsidRPr="002F0DB0" w:rsidRDefault="00F407F1" w:rsidP="00EE218D">
            <w:pPr>
              <w:spacing w:after="0" w:line="240" w:lineRule="auto"/>
              <w:ind w:left="-57" w:right="-57" w:hanging="57"/>
              <w:rPr>
                <w:rFonts w:asciiTheme="majorHAnsi" w:eastAsia="Cambria" w:hAnsiTheme="majorHAnsi" w:cs="Times New Roman"/>
                <w:sz w:val="24"/>
                <w:szCs w:val="24"/>
                <w:lang w:eastAsia="en-US"/>
              </w:rPr>
            </w:pPr>
            <w:r w:rsidRPr="002F0DB0">
              <w:rPr>
                <w:rFonts w:asciiTheme="majorHAnsi" w:eastAsia="Cambria" w:hAnsiTheme="majorHAnsi" w:cs="Times New Roman"/>
                <w:sz w:val="24"/>
                <w:szCs w:val="24"/>
                <w:lang w:eastAsia="en-US"/>
              </w:rPr>
              <w:t>+</w:t>
            </w:r>
          </w:p>
        </w:tc>
        <w:tc>
          <w:tcPr>
            <w:tcW w:w="487" w:type="dxa"/>
            <w:shd w:val="clear" w:color="auto" w:fill="auto"/>
            <w:tcMar>
              <w:left w:w="170" w:type="dxa"/>
              <w:right w:w="113" w:type="dxa"/>
            </w:tcMar>
            <w:vAlign w:val="center"/>
          </w:tcPr>
          <w:p w14:paraId="67A63B24"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c>
          <w:tcPr>
            <w:tcW w:w="489" w:type="dxa"/>
            <w:shd w:val="clear" w:color="auto" w:fill="auto"/>
            <w:tcMar>
              <w:left w:w="170" w:type="dxa"/>
              <w:right w:w="113" w:type="dxa"/>
            </w:tcMar>
            <w:vAlign w:val="center"/>
          </w:tcPr>
          <w:p w14:paraId="6F37D03B"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c>
          <w:tcPr>
            <w:tcW w:w="531" w:type="dxa"/>
            <w:shd w:val="clear" w:color="auto" w:fill="auto"/>
            <w:tcMar>
              <w:left w:w="170" w:type="dxa"/>
              <w:right w:w="113" w:type="dxa"/>
            </w:tcMar>
            <w:vAlign w:val="center"/>
          </w:tcPr>
          <w:p w14:paraId="4B3C66D0"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c>
          <w:tcPr>
            <w:tcW w:w="539" w:type="dxa"/>
            <w:shd w:val="clear" w:color="auto" w:fill="auto"/>
            <w:tcMar>
              <w:left w:w="170" w:type="dxa"/>
              <w:right w:w="113" w:type="dxa"/>
            </w:tcMar>
            <w:vAlign w:val="center"/>
          </w:tcPr>
          <w:p w14:paraId="67410B4F"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c>
          <w:tcPr>
            <w:tcW w:w="496" w:type="dxa"/>
            <w:shd w:val="clear" w:color="auto" w:fill="auto"/>
            <w:tcMar>
              <w:left w:w="170" w:type="dxa"/>
              <w:right w:w="113" w:type="dxa"/>
            </w:tcMar>
            <w:vAlign w:val="center"/>
          </w:tcPr>
          <w:p w14:paraId="455BB60F"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c>
          <w:tcPr>
            <w:tcW w:w="497" w:type="dxa"/>
            <w:shd w:val="clear" w:color="auto" w:fill="auto"/>
            <w:tcMar>
              <w:left w:w="170" w:type="dxa"/>
              <w:right w:w="113" w:type="dxa"/>
            </w:tcMar>
            <w:vAlign w:val="center"/>
          </w:tcPr>
          <w:p w14:paraId="6A64278D"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c>
          <w:tcPr>
            <w:tcW w:w="708" w:type="dxa"/>
            <w:shd w:val="clear" w:color="auto" w:fill="auto"/>
            <w:tcMar>
              <w:left w:w="170" w:type="dxa"/>
              <w:right w:w="113" w:type="dxa"/>
            </w:tcMar>
            <w:vAlign w:val="center"/>
          </w:tcPr>
          <w:p w14:paraId="1F4E3EB7" w14:textId="77777777" w:rsidR="00F407F1" w:rsidRPr="002F0DB0" w:rsidRDefault="00F407F1" w:rsidP="00EE218D">
            <w:pPr>
              <w:spacing w:after="0" w:line="240" w:lineRule="auto"/>
              <w:ind w:left="-57" w:right="-57" w:hanging="57"/>
              <w:rPr>
                <w:rFonts w:asciiTheme="majorHAnsi" w:eastAsia="Cambria" w:hAnsiTheme="majorHAnsi" w:cs="Times New Roman"/>
                <w:sz w:val="24"/>
                <w:szCs w:val="24"/>
                <w:lang w:eastAsia="en-US"/>
              </w:rPr>
            </w:pPr>
            <w:r w:rsidRPr="002F0DB0">
              <w:rPr>
                <w:rFonts w:asciiTheme="majorHAnsi" w:eastAsia="Cambria" w:hAnsiTheme="majorHAnsi" w:cs="Times New Roman"/>
                <w:sz w:val="24"/>
                <w:szCs w:val="24"/>
                <w:lang w:eastAsia="en-US"/>
              </w:rPr>
              <w:t>3-20</w:t>
            </w:r>
          </w:p>
        </w:tc>
        <w:tc>
          <w:tcPr>
            <w:tcW w:w="993" w:type="dxa"/>
            <w:shd w:val="clear" w:color="auto" w:fill="auto"/>
            <w:tcMar>
              <w:left w:w="170" w:type="dxa"/>
              <w:right w:w="113" w:type="dxa"/>
            </w:tcMar>
            <w:vAlign w:val="center"/>
          </w:tcPr>
          <w:p w14:paraId="17C8BAF0" w14:textId="77777777" w:rsidR="00F407F1" w:rsidRPr="002F0DB0" w:rsidRDefault="00F407F1" w:rsidP="00EE218D">
            <w:pPr>
              <w:spacing w:after="0" w:line="240" w:lineRule="auto"/>
              <w:ind w:left="-57" w:right="-57" w:hanging="57"/>
              <w:rPr>
                <w:rFonts w:asciiTheme="majorHAnsi" w:eastAsia="Cambria" w:hAnsiTheme="majorHAnsi" w:cs="Times New Roman"/>
                <w:sz w:val="24"/>
                <w:szCs w:val="24"/>
                <w:lang w:eastAsia="en-US"/>
              </w:rPr>
            </w:pPr>
            <w:r w:rsidRPr="002F0DB0">
              <w:rPr>
                <w:rFonts w:asciiTheme="majorHAnsi" w:eastAsia="Cambria" w:hAnsiTheme="majorHAnsi" w:cs="Times New Roman"/>
                <w:sz w:val="24"/>
                <w:szCs w:val="24"/>
                <w:lang w:eastAsia="en-US"/>
              </w:rPr>
              <w:t>94.8</w:t>
            </w:r>
          </w:p>
        </w:tc>
        <w:tc>
          <w:tcPr>
            <w:tcW w:w="425" w:type="dxa"/>
            <w:shd w:val="clear" w:color="auto" w:fill="auto"/>
            <w:tcMar>
              <w:left w:w="170" w:type="dxa"/>
              <w:right w:w="113" w:type="dxa"/>
            </w:tcMar>
            <w:vAlign w:val="center"/>
          </w:tcPr>
          <w:p w14:paraId="0AB85578" w14:textId="77777777" w:rsidR="00F407F1" w:rsidRPr="002F0DB0" w:rsidRDefault="00F407F1" w:rsidP="00EE218D">
            <w:pPr>
              <w:spacing w:after="0" w:line="240" w:lineRule="auto"/>
              <w:ind w:left="-57" w:right="-57" w:hanging="57"/>
              <w:rPr>
                <w:rFonts w:asciiTheme="majorHAnsi" w:eastAsia="Cambria" w:hAnsiTheme="majorHAnsi" w:cs="Times New Roman"/>
                <w:sz w:val="24"/>
                <w:szCs w:val="24"/>
                <w:lang w:eastAsia="en-US"/>
              </w:rPr>
            </w:pPr>
            <w:r w:rsidRPr="002F0DB0">
              <w:rPr>
                <w:rFonts w:asciiTheme="majorHAnsi" w:eastAsia="Cambria" w:hAnsiTheme="majorHAnsi" w:cs="Times New Roman"/>
                <w:sz w:val="24"/>
                <w:szCs w:val="24"/>
                <w:lang w:eastAsia="en-US"/>
              </w:rPr>
              <w:t>-</w:t>
            </w:r>
          </w:p>
        </w:tc>
        <w:tc>
          <w:tcPr>
            <w:tcW w:w="425" w:type="dxa"/>
            <w:shd w:val="clear" w:color="auto" w:fill="auto"/>
            <w:tcMar>
              <w:left w:w="170" w:type="dxa"/>
              <w:right w:w="113" w:type="dxa"/>
            </w:tcMar>
            <w:vAlign w:val="center"/>
          </w:tcPr>
          <w:p w14:paraId="5CB38C9F" w14:textId="77777777" w:rsidR="00F407F1" w:rsidRPr="002F0DB0" w:rsidRDefault="00F407F1" w:rsidP="00EE218D">
            <w:pPr>
              <w:spacing w:after="0" w:line="240" w:lineRule="auto"/>
              <w:ind w:left="-57" w:right="-57" w:hanging="57"/>
              <w:rPr>
                <w:rFonts w:asciiTheme="majorHAnsi" w:eastAsia="Cambria" w:hAnsiTheme="majorHAnsi" w:cs="Times New Roman"/>
                <w:sz w:val="24"/>
                <w:szCs w:val="24"/>
                <w:lang w:eastAsia="en-US"/>
              </w:rPr>
            </w:pPr>
            <w:r w:rsidRPr="002F0DB0">
              <w:rPr>
                <w:rFonts w:asciiTheme="majorHAnsi" w:eastAsia="Cambria" w:hAnsiTheme="majorHAnsi" w:cs="Times New Roman"/>
                <w:sz w:val="24"/>
                <w:szCs w:val="24"/>
                <w:lang w:eastAsia="en-US"/>
              </w:rPr>
              <w:t>+</w:t>
            </w:r>
          </w:p>
        </w:tc>
        <w:tc>
          <w:tcPr>
            <w:tcW w:w="425" w:type="dxa"/>
            <w:shd w:val="clear" w:color="auto" w:fill="auto"/>
            <w:tcMar>
              <w:left w:w="170" w:type="dxa"/>
              <w:right w:w="113" w:type="dxa"/>
            </w:tcMar>
            <w:vAlign w:val="center"/>
          </w:tcPr>
          <w:p w14:paraId="6F269A28" w14:textId="77777777" w:rsidR="00F407F1" w:rsidRPr="002F0DB0" w:rsidRDefault="00F407F1" w:rsidP="00EE218D">
            <w:pPr>
              <w:spacing w:after="0" w:line="240" w:lineRule="auto"/>
              <w:ind w:left="-57" w:right="-57" w:hanging="57"/>
              <w:rPr>
                <w:rFonts w:asciiTheme="majorHAnsi" w:eastAsia="Cambria" w:hAnsiTheme="majorHAnsi" w:cs="Times New Roman"/>
                <w:sz w:val="24"/>
                <w:szCs w:val="24"/>
                <w:lang w:eastAsia="en-US"/>
              </w:rPr>
            </w:pPr>
            <w:r w:rsidRPr="002F0DB0">
              <w:rPr>
                <w:rFonts w:asciiTheme="majorHAnsi" w:eastAsia="Cambria" w:hAnsiTheme="majorHAnsi" w:cs="Times New Roman"/>
                <w:sz w:val="24"/>
                <w:szCs w:val="24"/>
                <w:lang w:eastAsia="en-US"/>
              </w:rPr>
              <w:t>+</w:t>
            </w:r>
          </w:p>
        </w:tc>
        <w:tc>
          <w:tcPr>
            <w:tcW w:w="426" w:type="dxa"/>
            <w:shd w:val="clear" w:color="auto" w:fill="auto"/>
            <w:tcMar>
              <w:left w:w="170" w:type="dxa"/>
              <w:right w:w="113" w:type="dxa"/>
            </w:tcMar>
            <w:vAlign w:val="center"/>
          </w:tcPr>
          <w:p w14:paraId="36F4EE09" w14:textId="77777777" w:rsidR="00F407F1" w:rsidRPr="002F0DB0" w:rsidRDefault="00F407F1" w:rsidP="00EE218D">
            <w:pPr>
              <w:spacing w:after="0" w:line="240" w:lineRule="auto"/>
              <w:ind w:left="-57" w:right="-57" w:hanging="57"/>
              <w:rPr>
                <w:rFonts w:asciiTheme="majorHAnsi" w:eastAsia="Cambria" w:hAnsiTheme="majorHAnsi" w:cs="Times New Roman"/>
                <w:sz w:val="24"/>
                <w:szCs w:val="24"/>
                <w:lang w:eastAsia="en-US"/>
              </w:rPr>
            </w:pPr>
            <w:r w:rsidRPr="002F0DB0">
              <w:rPr>
                <w:rFonts w:asciiTheme="majorHAnsi" w:eastAsia="Cambria" w:hAnsiTheme="majorHAnsi" w:cs="Times New Roman"/>
                <w:sz w:val="24"/>
                <w:szCs w:val="24"/>
                <w:lang w:eastAsia="en-US"/>
              </w:rPr>
              <w:t>-</w:t>
            </w:r>
          </w:p>
        </w:tc>
        <w:tc>
          <w:tcPr>
            <w:tcW w:w="461" w:type="dxa"/>
            <w:shd w:val="clear" w:color="auto" w:fill="auto"/>
            <w:tcMar>
              <w:left w:w="170" w:type="dxa"/>
              <w:right w:w="113" w:type="dxa"/>
            </w:tcMar>
            <w:vAlign w:val="center"/>
          </w:tcPr>
          <w:p w14:paraId="6D5CB2B2"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r>
      <w:tr w:rsidR="00B065F9" w:rsidRPr="002F0DB0" w14:paraId="26485C75" w14:textId="77777777" w:rsidTr="00EE218D">
        <w:trPr>
          <w:trHeight w:val="260"/>
        </w:trPr>
        <w:tc>
          <w:tcPr>
            <w:tcW w:w="1065" w:type="dxa"/>
            <w:tcMar>
              <w:left w:w="170" w:type="dxa"/>
              <w:right w:w="113" w:type="dxa"/>
            </w:tcMar>
            <w:vAlign w:val="center"/>
          </w:tcPr>
          <w:p w14:paraId="7787F203"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D+ve</w:t>
            </w:r>
          </w:p>
        </w:tc>
        <w:tc>
          <w:tcPr>
            <w:tcW w:w="601" w:type="dxa"/>
            <w:shd w:val="clear" w:color="auto" w:fill="auto"/>
            <w:tcMar>
              <w:left w:w="170" w:type="dxa"/>
              <w:right w:w="113" w:type="dxa"/>
            </w:tcMar>
            <w:vAlign w:val="center"/>
          </w:tcPr>
          <w:p w14:paraId="355C42D8"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6</w:t>
            </w:r>
          </w:p>
        </w:tc>
        <w:tc>
          <w:tcPr>
            <w:tcW w:w="643" w:type="dxa"/>
            <w:tcMar>
              <w:left w:w="170" w:type="dxa"/>
              <w:right w:w="113" w:type="dxa"/>
            </w:tcMar>
            <w:vAlign w:val="center"/>
          </w:tcPr>
          <w:p w14:paraId="2F7D25B9"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c>
          <w:tcPr>
            <w:tcW w:w="740" w:type="dxa"/>
            <w:shd w:val="clear" w:color="auto" w:fill="auto"/>
            <w:tcMar>
              <w:left w:w="170" w:type="dxa"/>
              <w:right w:w="113" w:type="dxa"/>
            </w:tcMar>
            <w:vAlign w:val="center"/>
          </w:tcPr>
          <w:p w14:paraId="6F1CE818"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c>
          <w:tcPr>
            <w:tcW w:w="657" w:type="dxa"/>
            <w:shd w:val="clear" w:color="auto" w:fill="auto"/>
            <w:tcMar>
              <w:left w:w="170" w:type="dxa"/>
              <w:right w:w="113" w:type="dxa"/>
            </w:tcMar>
            <w:vAlign w:val="center"/>
          </w:tcPr>
          <w:p w14:paraId="4300E245"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c>
          <w:tcPr>
            <w:tcW w:w="755" w:type="dxa"/>
            <w:shd w:val="clear" w:color="auto" w:fill="auto"/>
            <w:tcMar>
              <w:left w:w="170" w:type="dxa"/>
              <w:right w:w="113" w:type="dxa"/>
            </w:tcMar>
            <w:vAlign w:val="center"/>
          </w:tcPr>
          <w:p w14:paraId="13F54D28"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c>
          <w:tcPr>
            <w:tcW w:w="880" w:type="dxa"/>
            <w:shd w:val="clear" w:color="auto" w:fill="auto"/>
            <w:tcMar>
              <w:left w:w="170" w:type="dxa"/>
              <w:right w:w="113" w:type="dxa"/>
            </w:tcMar>
            <w:vAlign w:val="center"/>
          </w:tcPr>
          <w:p w14:paraId="449DB413" w14:textId="77777777" w:rsidR="00F407F1" w:rsidRPr="002F0DB0" w:rsidRDefault="00F407F1" w:rsidP="00EE218D">
            <w:pPr>
              <w:spacing w:after="0" w:line="240" w:lineRule="auto"/>
              <w:ind w:left="-57" w:right="-57" w:hanging="57"/>
              <w:rPr>
                <w:rFonts w:asciiTheme="majorHAnsi" w:eastAsia="Cambria" w:hAnsiTheme="majorHAnsi" w:cs="Times New Roman"/>
                <w:sz w:val="24"/>
                <w:szCs w:val="24"/>
                <w:lang w:eastAsia="en-US"/>
              </w:rPr>
            </w:pPr>
            <w:r w:rsidRPr="002F0DB0">
              <w:rPr>
                <w:rFonts w:asciiTheme="majorHAnsi" w:eastAsia="Cambria" w:hAnsiTheme="majorHAnsi" w:cs="Times New Roman"/>
                <w:sz w:val="24"/>
                <w:szCs w:val="24"/>
                <w:lang w:eastAsia="en-US"/>
              </w:rPr>
              <w:t>82</w:t>
            </w:r>
          </w:p>
        </w:tc>
        <w:tc>
          <w:tcPr>
            <w:tcW w:w="863" w:type="dxa"/>
            <w:shd w:val="clear" w:color="auto" w:fill="auto"/>
            <w:tcMar>
              <w:left w:w="170" w:type="dxa"/>
              <w:right w:w="113" w:type="dxa"/>
            </w:tcMar>
            <w:vAlign w:val="center"/>
          </w:tcPr>
          <w:p w14:paraId="71120DBF" w14:textId="77777777" w:rsidR="00F407F1" w:rsidRPr="002F0DB0" w:rsidRDefault="00F407F1" w:rsidP="00EE218D">
            <w:pPr>
              <w:spacing w:after="0" w:line="240" w:lineRule="auto"/>
              <w:ind w:left="-57" w:right="-57" w:hanging="57"/>
              <w:rPr>
                <w:rFonts w:asciiTheme="majorHAnsi" w:eastAsia="Cambria" w:hAnsiTheme="majorHAnsi" w:cs="Times New Roman"/>
                <w:sz w:val="24"/>
                <w:szCs w:val="24"/>
                <w:lang w:eastAsia="en-US"/>
              </w:rPr>
            </w:pPr>
            <w:r w:rsidRPr="002F0DB0">
              <w:rPr>
                <w:rFonts w:asciiTheme="majorHAnsi" w:eastAsia="Cambria" w:hAnsiTheme="majorHAnsi" w:cs="Times New Roman"/>
                <w:sz w:val="24"/>
                <w:szCs w:val="24"/>
                <w:lang w:eastAsia="en-US"/>
              </w:rPr>
              <w:t>+</w:t>
            </w:r>
          </w:p>
        </w:tc>
        <w:tc>
          <w:tcPr>
            <w:tcW w:w="487" w:type="dxa"/>
            <w:shd w:val="clear" w:color="auto" w:fill="auto"/>
            <w:tcMar>
              <w:left w:w="170" w:type="dxa"/>
              <w:right w:w="113" w:type="dxa"/>
            </w:tcMar>
            <w:vAlign w:val="center"/>
          </w:tcPr>
          <w:p w14:paraId="5CA65837"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c>
          <w:tcPr>
            <w:tcW w:w="489" w:type="dxa"/>
            <w:shd w:val="clear" w:color="auto" w:fill="auto"/>
            <w:tcMar>
              <w:left w:w="170" w:type="dxa"/>
              <w:right w:w="113" w:type="dxa"/>
            </w:tcMar>
            <w:vAlign w:val="center"/>
          </w:tcPr>
          <w:p w14:paraId="74930B52"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c>
          <w:tcPr>
            <w:tcW w:w="531" w:type="dxa"/>
            <w:shd w:val="clear" w:color="auto" w:fill="auto"/>
            <w:tcMar>
              <w:left w:w="170" w:type="dxa"/>
              <w:right w:w="113" w:type="dxa"/>
            </w:tcMar>
            <w:vAlign w:val="center"/>
          </w:tcPr>
          <w:p w14:paraId="482644B8"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c>
          <w:tcPr>
            <w:tcW w:w="539" w:type="dxa"/>
            <w:shd w:val="clear" w:color="auto" w:fill="auto"/>
            <w:tcMar>
              <w:left w:w="170" w:type="dxa"/>
              <w:right w:w="113" w:type="dxa"/>
            </w:tcMar>
            <w:vAlign w:val="center"/>
          </w:tcPr>
          <w:p w14:paraId="7F273177"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c>
          <w:tcPr>
            <w:tcW w:w="496" w:type="dxa"/>
            <w:shd w:val="clear" w:color="auto" w:fill="auto"/>
            <w:tcMar>
              <w:left w:w="170" w:type="dxa"/>
              <w:right w:w="113" w:type="dxa"/>
            </w:tcMar>
            <w:vAlign w:val="center"/>
          </w:tcPr>
          <w:p w14:paraId="1DA18E48"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c>
          <w:tcPr>
            <w:tcW w:w="497" w:type="dxa"/>
            <w:shd w:val="clear" w:color="auto" w:fill="auto"/>
            <w:tcMar>
              <w:left w:w="170" w:type="dxa"/>
              <w:right w:w="113" w:type="dxa"/>
            </w:tcMar>
            <w:vAlign w:val="center"/>
          </w:tcPr>
          <w:p w14:paraId="59DC10EF"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c>
          <w:tcPr>
            <w:tcW w:w="708" w:type="dxa"/>
            <w:shd w:val="clear" w:color="auto" w:fill="auto"/>
            <w:tcMar>
              <w:left w:w="170" w:type="dxa"/>
              <w:right w:w="113" w:type="dxa"/>
            </w:tcMar>
            <w:vAlign w:val="center"/>
          </w:tcPr>
          <w:p w14:paraId="6A82842D" w14:textId="77777777" w:rsidR="00F407F1" w:rsidRPr="002F0DB0" w:rsidRDefault="00F407F1" w:rsidP="00EE218D">
            <w:pPr>
              <w:spacing w:after="0" w:line="240" w:lineRule="auto"/>
              <w:ind w:left="-57" w:right="-57" w:hanging="57"/>
              <w:rPr>
                <w:rFonts w:asciiTheme="majorHAnsi" w:eastAsia="Cambria" w:hAnsiTheme="majorHAnsi" w:cs="Times New Roman"/>
                <w:sz w:val="24"/>
                <w:szCs w:val="24"/>
                <w:lang w:eastAsia="en-US"/>
              </w:rPr>
            </w:pPr>
            <w:r w:rsidRPr="002F0DB0">
              <w:rPr>
                <w:rFonts w:asciiTheme="majorHAnsi" w:eastAsia="Cambria" w:hAnsiTheme="majorHAnsi" w:cs="Times New Roman"/>
                <w:sz w:val="24"/>
                <w:szCs w:val="24"/>
                <w:lang w:eastAsia="en-US"/>
              </w:rPr>
              <w:t>5-51</w:t>
            </w:r>
          </w:p>
        </w:tc>
        <w:tc>
          <w:tcPr>
            <w:tcW w:w="993" w:type="dxa"/>
            <w:shd w:val="clear" w:color="auto" w:fill="auto"/>
            <w:tcMar>
              <w:left w:w="170" w:type="dxa"/>
              <w:right w:w="113" w:type="dxa"/>
            </w:tcMar>
            <w:vAlign w:val="center"/>
          </w:tcPr>
          <w:p w14:paraId="2C15AD02" w14:textId="77777777" w:rsidR="00F407F1" w:rsidRPr="002F0DB0" w:rsidRDefault="00F407F1" w:rsidP="00EE218D">
            <w:pPr>
              <w:spacing w:after="0" w:line="240" w:lineRule="auto"/>
              <w:ind w:left="-57" w:right="-57" w:hanging="57"/>
              <w:rPr>
                <w:rFonts w:asciiTheme="majorHAnsi" w:eastAsia="Cambria" w:hAnsiTheme="majorHAnsi" w:cs="Times New Roman"/>
                <w:sz w:val="24"/>
                <w:szCs w:val="24"/>
                <w:vertAlign w:val="superscript"/>
                <w:lang w:eastAsia="en-US"/>
              </w:rPr>
            </w:pPr>
            <w:r w:rsidRPr="002F0DB0">
              <w:rPr>
                <w:rFonts w:asciiTheme="majorHAnsi" w:eastAsia="Cambria" w:hAnsiTheme="majorHAnsi" w:cs="Times New Roman"/>
                <w:sz w:val="24"/>
                <w:szCs w:val="24"/>
                <w:lang w:eastAsia="en-US"/>
              </w:rPr>
              <w:t>98.6</w:t>
            </w:r>
            <w:r w:rsidRPr="002F0DB0">
              <w:rPr>
                <w:rFonts w:asciiTheme="majorHAnsi" w:eastAsia="Cambria" w:hAnsiTheme="majorHAnsi" w:cs="Times New Roman"/>
                <w:sz w:val="24"/>
                <w:szCs w:val="24"/>
                <w:vertAlign w:val="superscript"/>
                <w:lang w:eastAsia="en-US"/>
              </w:rPr>
              <w:t>#</w:t>
            </w:r>
          </w:p>
        </w:tc>
        <w:tc>
          <w:tcPr>
            <w:tcW w:w="425" w:type="dxa"/>
            <w:shd w:val="clear" w:color="auto" w:fill="auto"/>
            <w:tcMar>
              <w:left w:w="170" w:type="dxa"/>
              <w:right w:w="113" w:type="dxa"/>
            </w:tcMar>
            <w:vAlign w:val="center"/>
          </w:tcPr>
          <w:p w14:paraId="569AE677" w14:textId="77777777" w:rsidR="00F407F1" w:rsidRPr="002F0DB0" w:rsidRDefault="00F407F1" w:rsidP="00EE218D">
            <w:pPr>
              <w:spacing w:after="0" w:line="240" w:lineRule="auto"/>
              <w:ind w:left="-57" w:right="-57" w:hanging="57"/>
              <w:rPr>
                <w:rFonts w:asciiTheme="majorHAnsi" w:eastAsia="Cambria" w:hAnsiTheme="majorHAnsi" w:cs="Times New Roman"/>
                <w:sz w:val="24"/>
                <w:szCs w:val="24"/>
                <w:lang w:eastAsia="en-US"/>
              </w:rPr>
            </w:pPr>
            <w:r w:rsidRPr="002F0DB0">
              <w:rPr>
                <w:rFonts w:asciiTheme="majorHAnsi" w:eastAsia="Cambria" w:hAnsiTheme="majorHAnsi" w:cs="Times New Roman"/>
                <w:sz w:val="24"/>
                <w:szCs w:val="24"/>
                <w:lang w:eastAsia="en-US"/>
              </w:rPr>
              <w:t>+</w:t>
            </w:r>
          </w:p>
        </w:tc>
        <w:tc>
          <w:tcPr>
            <w:tcW w:w="425" w:type="dxa"/>
            <w:shd w:val="clear" w:color="auto" w:fill="auto"/>
            <w:tcMar>
              <w:left w:w="170" w:type="dxa"/>
              <w:right w:w="113" w:type="dxa"/>
            </w:tcMar>
            <w:vAlign w:val="center"/>
          </w:tcPr>
          <w:p w14:paraId="0F883AAD" w14:textId="77777777" w:rsidR="00F407F1" w:rsidRPr="002F0DB0" w:rsidRDefault="00F407F1" w:rsidP="00EE218D">
            <w:pPr>
              <w:spacing w:after="0" w:line="240" w:lineRule="auto"/>
              <w:ind w:left="-57" w:right="-57" w:hanging="57"/>
              <w:rPr>
                <w:rFonts w:asciiTheme="majorHAnsi" w:eastAsia="Cambria" w:hAnsiTheme="majorHAnsi" w:cs="Times New Roman"/>
                <w:sz w:val="24"/>
                <w:szCs w:val="24"/>
                <w:lang w:eastAsia="en-US"/>
              </w:rPr>
            </w:pPr>
            <w:r w:rsidRPr="002F0DB0">
              <w:rPr>
                <w:rFonts w:asciiTheme="majorHAnsi" w:eastAsia="Cambria" w:hAnsiTheme="majorHAnsi" w:cs="Times New Roman"/>
                <w:sz w:val="24"/>
                <w:szCs w:val="24"/>
                <w:lang w:eastAsia="en-US"/>
              </w:rPr>
              <w:t>+</w:t>
            </w:r>
          </w:p>
        </w:tc>
        <w:tc>
          <w:tcPr>
            <w:tcW w:w="425" w:type="dxa"/>
            <w:shd w:val="clear" w:color="auto" w:fill="auto"/>
            <w:tcMar>
              <w:left w:w="170" w:type="dxa"/>
              <w:right w:w="113" w:type="dxa"/>
            </w:tcMar>
            <w:vAlign w:val="center"/>
          </w:tcPr>
          <w:p w14:paraId="783FB159" w14:textId="77777777" w:rsidR="00F407F1" w:rsidRPr="002F0DB0" w:rsidRDefault="00F407F1" w:rsidP="00EE218D">
            <w:pPr>
              <w:spacing w:after="0" w:line="240" w:lineRule="auto"/>
              <w:ind w:left="-57" w:right="-57" w:hanging="57"/>
              <w:rPr>
                <w:rFonts w:asciiTheme="majorHAnsi" w:eastAsia="Cambria" w:hAnsiTheme="majorHAnsi" w:cs="Times New Roman"/>
                <w:sz w:val="24"/>
                <w:szCs w:val="24"/>
                <w:lang w:eastAsia="en-US"/>
              </w:rPr>
            </w:pPr>
            <w:r w:rsidRPr="002F0DB0">
              <w:rPr>
                <w:rFonts w:asciiTheme="majorHAnsi" w:eastAsia="Cambria" w:hAnsiTheme="majorHAnsi" w:cs="Times New Roman"/>
                <w:sz w:val="24"/>
                <w:szCs w:val="24"/>
                <w:lang w:eastAsia="en-US"/>
              </w:rPr>
              <w:t>+</w:t>
            </w:r>
          </w:p>
        </w:tc>
        <w:tc>
          <w:tcPr>
            <w:tcW w:w="426" w:type="dxa"/>
            <w:shd w:val="clear" w:color="auto" w:fill="auto"/>
            <w:tcMar>
              <w:left w:w="170" w:type="dxa"/>
              <w:right w:w="113" w:type="dxa"/>
            </w:tcMar>
            <w:vAlign w:val="center"/>
          </w:tcPr>
          <w:p w14:paraId="3E838D81" w14:textId="77777777" w:rsidR="00F407F1" w:rsidRPr="002F0DB0" w:rsidRDefault="00F407F1" w:rsidP="00EE218D">
            <w:pPr>
              <w:spacing w:after="0" w:line="240" w:lineRule="auto"/>
              <w:ind w:left="-57" w:right="-57" w:hanging="57"/>
              <w:rPr>
                <w:rFonts w:asciiTheme="majorHAnsi" w:eastAsia="Cambria" w:hAnsiTheme="majorHAnsi" w:cs="Times New Roman"/>
                <w:sz w:val="24"/>
                <w:szCs w:val="24"/>
                <w:lang w:eastAsia="en-US"/>
              </w:rPr>
            </w:pPr>
            <w:r w:rsidRPr="002F0DB0">
              <w:rPr>
                <w:rFonts w:asciiTheme="majorHAnsi" w:eastAsia="Cambria" w:hAnsiTheme="majorHAnsi" w:cs="Times New Roman"/>
                <w:sz w:val="24"/>
                <w:szCs w:val="24"/>
                <w:lang w:eastAsia="en-US"/>
              </w:rPr>
              <w:t>+</w:t>
            </w:r>
          </w:p>
        </w:tc>
        <w:tc>
          <w:tcPr>
            <w:tcW w:w="461" w:type="dxa"/>
            <w:shd w:val="clear" w:color="auto" w:fill="auto"/>
            <w:tcMar>
              <w:left w:w="170" w:type="dxa"/>
              <w:right w:w="113" w:type="dxa"/>
            </w:tcMar>
            <w:vAlign w:val="center"/>
          </w:tcPr>
          <w:p w14:paraId="57D87689"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r>
      <w:tr w:rsidR="00B065F9" w:rsidRPr="002F0DB0" w14:paraId="335F0319" w14:textId="77777777" w:rsidTr="00EE218D">
        <w:trPr>
          <w:trHeight w:val="260"/>
        </w:trPr>
        <w:tc>
          <w:tcPr>
            <w:tcW w:w="1065" w:type="dxa"/>
            <w:tcMar>
              <w:left w:w="170" w:type="dxa"/>
              <w:right w:w="113" w:type="dxa"/>
            </w:tcMar>
            <w:vAlign w:val="center"/>
          </w:tcPr>
          <w:p w14:paraId="410FC38E"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D+ve</w:t>
            </w:r>
          </w:p>
        </w:tc>
        <w:tc>
          <w:tcPr>
            <w:tcW w:w="601" w:type="dxa"/>
            <w:shd w:val="clear" w:color="auto" w:fill="auto"/>
            <w:tcMar>
              <w:left w:w="170" w:type="dxa"/>
              <w:right w:w="113" w:type="dxa"/>
            </w:tcMar>
            <w:vAlign w:val="center"/>
          </w:tcPr>
          <w:p w14:paraId="14CDEA44"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7</w:t>
            </w:r>
          </w:p>
        </w:tc>
        <w:tc>
          <w:tcPr>
            <w:tcW w:w="643" w:type="dxa"/>
            <w:tcMar>
              <w:left w:w="170" w:type="dxa"/>
              <w:right w:w="113" w:type="dxa"/>
            </w:tcMar>
            <w:vAlign w:val="center"/>
          </w:tcPr>
          <w:p w14:paraId="3AA0F7B6"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c>
          <w:tcPr>
            <w:tcW w:w="740" w:type="dxa"/>
            <w:shd w:val="clear" w:color="auto" w:fill="auto"/>
            <w:tcMar>
              <w:left w:w="170" w:type="dxa"/>
              <w:right w:w="113" w:type="dxa"/>
            </w:tcMar>
            <w:vAlign w:val="center"/>
          </w:tcPr>
          <w:p w14:paraId="4C4BE61F"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c>
          <w:tcPr>
            <w:tcW w:w="657" w:type="dxa"/>
            <w:shd w:val="clear" w:color="auto" w:fill="auto"/>
            <w:tcMar>
              <w:left w:w="170" w:type="dxa"/>
              <w:right w:w="113" w:type="dxa"/>
            </w:tcMar>
            <w:vAlign w:val="center"/>
          </w:tcPr>
          <w:p w14:paraId="16C80769"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c>
          <w:tcPr>
            <w:tcW w:w="755" w:type="dxa"/>
            <w:shd w:val="clear" w:color="auto" w:fill="auto"/>
            <w:tcMar>
              <w:left w:w="170" w:type="dxa"/>
              <w:right w:w="113" w:type="dxa"/>
            </w:tcMar>
            <w:vAlign w:val="center"/>
          </w:tcPr>
          <w:p w14:paraId="12D0F9F3"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c>
          <w:tcPr>
            <w:tcW w:w="880" w:type="dxa"/>
            <w:shd w:val="clear" w:color="auto" w:fill="auto"/>
            <w:tcMar>
              <w:left w:w="170" w:type="dxa"/>
              <w:right w:w="113" w:type="dxa"/>
            </w:tcMar>
            <w:vAlign w:val="center"/>
          </w:tcPr>
          <w:p w14:paraId="76119898" w14:textId="77777777" w:rsidR="00F407F1" w:rsidRPr="002F0DB0" w:rsidRDefault="00F407F1" w:rsidP="00EE218D">
            <w:pPr>
              <w:spacing w:after="0" w:line="240" w:lineRule="auto"/>
              <w:ind w:left="-57" w:right="-57" w:hanging="57"/>
              <w:rPr>
                <w:rFonts w:asciiTheme="majorHAnsi" w:eastAsia="Cambria" w:hAnsiTheme="majorHAnsi" w:cs="Times New Roman"/>
                <w:sz w:val="24"/>
                <w:szCs w:val="24"/>
                <w:lang w:eastAsia="en-US"/>
              </w:rPr>
            </w:pPr>
            <w:r w:rsidRPr="002F0DB0">
              <w:rPr>
                <w:rFonts w:asciiTheme="majorHAnsi" w:eastAsia="Cambria" w:hAnsiTheme="majorHAnsi" w:cs="Times New Roman"/>
                <w:sz w:val="24"/>
                <w:szCs w:val="24"/>
                <w:lang w:eastAsia="en-US"/>
              </w:rPr>
              <w:t>86</w:t>
            </w:r>
          </w:p>
        </w:tc>
        <w:tc>
          <w:tcPr>
            <w:tcW w:w="863" w:type="dxa"/>
            <w:shd w:val="clear" w:color="auto" w:fill="auto"/>
            <w:tcMar>
              <w:left w:w="170" w:type="dxa"/>
              <w:right w:w="113" w:type="dxa"/>
            </w:tcMar>
            <w:vAlign w:val="center"/>
          </w:tcPr>
          <w:p w14:paraId="1C17FDB3" w14:textId="77777777" w:rsidR="00F407F1" w:rsidRPr="002F0DB0" w:rsidRDefault="00F407F1" w:rsidP="00EE218D">
            <w:pPr>
              <w:spacing w:after="0" w:line="240" w:lineRule="auto"/>
              <w:ind w:left="-57" w:right="-57" w:hanging="57"/>
              <w:rPr>
                <w:rFonts w:asciiTheme="majorHAnsi" w:eastAsia="Cambria" w:hAnsiTheme="majorHAnsi" w:cs="Times New Roman"/>
                <w:sz w:val="24"/>
                <w:szCs w:val="24"/>
                <w:lang w:eastAsia="en-US"/>
              </w:rPr>
            </w:pPr>
            <w:r w:rsidRPr="002F0DB0">
              <w:rPr>
                <w:rFonts w:asciiTheme="majorHAnsi" w:eastAsia="Cambria" w:hAnsiTheme="majorHAnsi" w:cs="Times New Roman"/>
                <w:sz w:val="24"/>
                <w:szCs w:val="24"/>
                <w:lang w:eastAsia="en-US"/>
              </w:rPr>
              <w:t>+</w:t>
            </w:r>
          </w:p>
        </w:tc>
        <w:tc>
          <w:tcPr>
            <w:tcW w:w="487" w:type="dxa"/>
            <w:shd w:val="clear" w:color="auto" w:fill="auto"/>
            <w:tcMar>
              <w:left w:w="170" w:type="dxa"/>
              <w:right w:w="113" w:type="dxa"/>
            </w:tcMar>
            <w:vAlign w:val="center"/>
          </w:tcPr>
          <w:p w14:paraId="5F6C86E1"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c>
          <w:tcPr>
            <w:tcW w:w="489" w:type="dxa"/>
            <w:shd w:val="clear" w:color="auto" w:fill="auto"/>
            <w:tcMar>
              <w:left w:w="170" w:type="dxa"/>
              <w:right w:w="113" w:type="dxa"/>
            </w:tcMar>
            <w:vAlign w:val="center"/>
          </w:tcPr>
          <w:p w14:paraId="617F512F"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c>
          <w:tcPr>
            <w:tcW w:w="531" w:type="dxa"/>
            <w:shd w:val="clear" w:color="auto" w:fill="auto"/>
            <w:tcMar>
              <w:left w:w="170" w:type="dxa"/>
              <w:right w:w="113" w:type="dxa"/>
            </w:tcMar>
            <w:vAlign w:val="center"/>
          </w:tcPr>
          <w:p w14:paraId="6C5A640B"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c>
          <w:tcPr>
            <w:tcW w:w="539" w:type="dxa"/>
            <w:shd w:val="clear" w:color="auto" w:fill="auto"/>
            <w:tcMar>
              <w:left w:w="170" w:type="dxa"/>
              <w:right w:w="113" w:type="dxa"/>
            </w:tcMar>
            <w:vAlign w:val="center"/>
          </w:tcPr>
          <w:p w14:paraId="62BCF062"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c>
          <w:tcPr>
            <w:tcW w:w="496" w:type="dxa"/>
            <w:shd w:val="clear" w:color="auto" w:fill="auto"/>
            <w:tcMar>
              <w:left w:w="170" w:type="dxa"/>
              <w:right w:w="113" w:type="dxa"/>
            </w:tcMar>
            <w:vAlign w:val="center"/>
          </w:tcPr>
          <w:p w14:paraId="055EB925"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c>
          <w:tcPr>
            <w:tcW w:w="497" w:type="dxa"/>
            <w:shd w:val="clear" w:color="auto" w:fill="auto"/>
            <w:tcMar>
              <w:left w:w="170" w:type="dxa"/>
              <w:right w:w="113" w:type="dxa"/>
            </w:tcMar>
            <w:vAlign w:val="center"/>
          </w:tcPr>
          <w:p w14:paraId="1DF1763E"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c>
          <w:tcPr>
            <w:tcW w:w="708" w:type="dxa"/>
            <w:shd w:val="clear" w:color="auto" w:fill="auto"/>
            <w:tcMar>
              <w:left w:w="170" w:type="dxa"/>
              <w:right w:w="113" w:type="dxa"/>
            </w:tcMar>
            <w:vAlign w:val="center"/>
          </w:tcPr>
          <w:p w14:paraId="5351EC08" w14:textId="77777777" w:rsidR="00F407F1" w:rsidRPr="002F0DB0" w:rsidRDefault="00F407F1" w:rsidP="00EE218D">
            <w:pPr>
              <w:spacing w:after="0" w:line="240" w:lineRule="auto"/>
              <w:ind w:left="-57" w:right="-57" w:hanging="57"/>
              <w:rPr>
                <w:rFonts w:asciiTheme="majorHAnsi" w:eastAsia="Cambria" w:hAnsiTheme="majorHAnsi" w:cs="Times New Roman"/>
                <w:sz w:val="24"/>
                <w:szCs w:val="24"/>
                <w:lang w:eastAsia="en-US"/>
              </w:rPr>
            </w:pPr>
            <w:r w:rsidRPr="002F0DB0">
              <w:rPr>
                <w:rFonts w:asciiTheme="majorHAnsi" w:eastAsia="Cambria" w:hAnsiTheme="majorHAnsi" w:cs="Times New Roman"/>
                <w:sz w:val="24"/>
                <w:szCs w:val="24"/>
                <w:lang w:eastAsia="en-US"/>
              </w:rPr>
              <w:t>3-23</w:t>
            </w:r>
          </w:p>
        </w:tc>
        <w:tc>
          <w:tcPr>
            <w:tcW w:w="993" w:type="dxa"/>
            <w:shd w:val="clear" w:color="auto" w:fill="auto"/>
            <w:tcMar>
              <w:left w:w="170" w:type="dxa"/>
              <w:right w:w="113" w:type="dxa"/>
            </w:tcMar>
            <w:vAlign w:val="center"/>
          </w:tcPr>
          <w:p w14:paraId="08D8E200" w14:textId="77777777" w:rsidR="00F407F1" w:rsidRPr="002F0DB0" w:rsidRDefault="00F407F1" w:rsidP="00EE218D">
            <w:pPr>
              <w:spacing w:after="0" w:line="240" w:lineRule="auto"/>
              <w:ind w:left="-57" w:right="-57" w:hanging="57"/>
              <w:rPr>
                <w:rFonts w:asciiTheme="majorHAnsi" w:eastAsia="Cambria" w:hAnsiTheme="majorHAnsi" w:cs="Times New Roman"/>
                <w:sz w:val="24"/>
                <w:szCs w:val="24"/>
                <w:lang w:eastAsia="en-US"/>
              </w:rPr>
            </w:pPr>
            <w:r w:rsidRPr="002F0DB0">
              <w:rPr>
                <w:rFonts w:asciiTheme="majorHAnsi" w:eastAsia="Cambria" w:hAnsiTheme="majorHAnsi" w:cs="Times New Roman"/>
                <w:sz w:val="24"/>
                <w:szCs w:val="24"/>
                <w:lang w:eastAsia="en-US"/>
              </w:rPr>
              <w:t>96.5</w:t>
            </w:r>
          </w:p>
        </w:tc>
        <w:tc>
          <w:tcPr>
            <w:tcW w:w="425" w:type="dxa"/>
            <w:shd w:val="clear" w:color="auto" w:fill="auto"/>
            <w:tcMar>
              <w:left w:w="170" w:type="dxa"/>
              <w:right w:w="113" w:type="dxa"/>
            </w:tcMar>
            <w:vAlign w:val="center"/>
          </w:tcPr>
          <w:p w14:paraId="0362CD7B" w14:textId="77777777" w:rsidR="00F407F1" w:rsidRPr="002F0DB0" w:rsidRDefault="00F407F1" w:rsidP="00EE218D">
            <w:pPr>
              <w:spacing w:after="0" w:line="240" w:lineRule="auto"/>
              <w:ind w:left="-57" w:right="-57" w:hanging="57"/>
              <w:rPr>
                <w:rFonts w:asciiTheme="majorHAnsi" w:eastAsia="Cambria" w:hAnsiTheme="majorHAnsi" w:cs="Times New Roman"/>
                <w:sz w:val="24"/>
                <w:szCs w:val="24"/>
                <w:lang w:eastAsia="en-US"/>
              </w:rPr>
            </w:pPr>
            <w:r w:rsidRPr="002F0DB0">
              <w:rPr>
                <w:rFonts w:asciiTheme="majorHAnsi" w:eastAsia="Cambria" w:hAnsiTheme="majorHAnsi" w:cs="Times New Roman"/>
                <w:sz w:val="24"/>
                <w:szCs w:val="24"/>
                <w:lang w:eastAsia="en-US"/>
              </w:rPr>
              <w:t>+</w:t>
            </w:r>
          </w:p>
        </w:tc>
        <w:tc>
          <w:tcPr>
            <w:tcW w:w="425" w:type="dxa"/>
            <w:shd w:val="clear" w:color="auto" w:fill="auto"/>
            <w:tcMar>
              <w:left w:w="170" w:type="dxa"/>
              <w:right w:w="113" w:type="dxa"/>
            </w:tcMar>
            <w:vAlign w:val="center"/>
          </w:tcPr>
          <w:p w14:paraId="007192FF" w14:textId="77777777" w:rsidR="00F407F1" w:rsidRPr="002F0DB0" w:rsidRDefault="00F407F1" w:rsidP="00EE218D">
            <w:pPr>
              <w:spacing w:after="0" w:line="240" w:lineRule="auto"/>
              <w:ind w:left="-57" w:right="-57" w:hanging="57"/>
              <w:rPr>
                <w:rFonts w:asciiTheme="majorHAnsi" w:eastAsia="Cambria" w:hAnsiTheme="majorHAnsi" w:cs="Times New Roman"/>
                <w:sz w:val="24"/>
                <w:szCs w:val="24"/>
                <w:lang w:eastAsia="en-US"/>
              </w:rPr>
            </w:pPr>
            <w:r w:rsidRPr="002F0DB0">
              <w:rPr>
                <w:rFonts w:asciiTheme="majorHAnsi" w:eastAsia="Cambria" w:hAnsiTheme="majorHAnsi" w:cs="Times New Roman"/>
                <w:sz w:val="24"/>
                <w:szCs w:val="24"/>
                <w:lang w:eastAsia="en-US"/>
              </w:rPr>
              <w:t>+</w:t>
            </w:r>
          </w:p>
        </w:tc>
        <w:tc>
          <w:tcPr>
            <w:tcW w:w="425" w:type="dxa"/>
            <w:shd w:val="clear" w:color="auto" w:fill="auto"/>
            <w:tcMar>
              <w:left w:w="170" w:type="dxa"/>
              <w:right w:w="113" w:type="dxa"/>
            </w:tcMar>
            <w:vAlign w:val="center"/>
          </w:tcPr>
          <w:p w14:paraId="2020F3AA" w14:textId="77777777" w:rsidR="00F407F1" w:rsidRPr="002F0DB0" w:rsidRDefault="00F407F1" w:rsidP="00EE218D">
            <w:pPr>
              <w:spacing w:after="0" w:line="240" w:lineRule="auto"/>
              <w:ind w:left="-57" w:right="-57" w:hanging="57"/>
              <w:rPr>
                <w:rFonts w:asciiTheme="majorHAnsi" w:eastAsia="Cambria" w:hAnsiTheme="majorHAnsi" w:cs="Times New Roman"/>
                <w:sz w:val="24"/>
                <w:szCs w:val="24"/>
                <w:lang w:eastAsia="en-US"/>
              </w:rPr>
            </w:pPr>
            <w:r w:rsidRPr="002F0DB0">
              <w:rPr>
                <w:rFonts w:asciiTheme="majorHAnsi" w:eastAsia="Cambria" w:hAnsiTheme="majorHAnsi" w:cs="Times New Roman"/>
                <w:sz w:val="24"/>
                <w:szCs w:val="24"/>
                <w:lang w:eastAsia="en-US"/>
              </w:rPr>
              <w:t>+</w:t>
            </w:r>
          </w:p>
        </w:tc>
        <w:tc>
          <w:tcPr>
            <w:tcW w:w="426" w:type="dxa"/>
            <w:shd w:val="clear" w:color="auto" w:fill="auto"/>
            <w:tcMar>
              <w:left w:w="170" w:type="dxa"/>
              <w:right w:w="113" w:type="dxa"/>
            </w:tcMar>
            <w:vAlign w:val="center"/>
          </w:tcPr>
          <w:p w14:paraId="2B308EFC" w14:textId="77777777" w:rsidR="00F407F1" w:rsidRPr="002F0DB0" w:rsidRDefault="00F407F1" w:rsidP="00EE218D">
            <w:pPr>
              <w:spacing w:after="0" w:line="240" w:lineRule="auto"/>
              <w:ind w:left="-57" w:right="-57" w:hanging="57"/>
              <w:rPr>
                <w:rFonts w:asciiTheme="majorHAnsi" w:eastAsia="Cambria" w:hAnsiTheme="majorHAnsi" w:cs="Times New Roman"/>
                <w:sz w:val="24"/>
                <w:szCs w:val="24"/>
                <w:lang w:eastAsia="en-US"/>
              </w:rPr>
            </w:pPr>
            <w:r w:rsidRPr="002F0DB0">
              <w:rPr>
                <w:rFonts w:asciiTheme="majorHAnsi" w:eastAsia="Cambria" w:hAnsiTheme="majorHAnsi" w:cs="Times New Roman"/>
                <w:sz w:val="24"/>
                <w:szCs w:val="24"/>
                <w:lang w:eastAsia="en-US"/>
              </w:rPr>
              <w:t>+</w:t>
            </w:r>
          </w:p>
        </w:tc>
        <w:tc>
          <w:tcPr>
            <w:tcW w:w="461" w:type="dxa"/>
            <w:shd w:val="clear" w:color="auto" w:fill="auto"/>
            <w:tcMar>
              <w:left w:w="170" w:type="dxa"/>
              <w:right w:w="113" w:type="dxa"/>
            </w:tcMar>
            <w:vAlign w:val="center"/>
          </w:tcPr>
          <w:p w14:paraId="00EA30CE"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r>
      <w:tr w:rsidR="00B065F9" w:rsidRPr="002F0DB0" w14:paraId="1CD152D4" w14:textId="77777777" w:rsidTr="00EE218D">
        <w:trPr>
          <w:trHeight w:val="260"/>
        </w:trPr>
        <w:tc>
          <w:tcPr>
            <w:tcW w:w="1065" w:type="dxa"/>
            <w:tcMar>
              <w:left w:w="170" w:type="dxa"/>
              <w:right w:w="113" w:type="dxa"/>
            </w:tcMar>
            <w:vAlign w:val="center"/>
          </w:tcPr>
          <w:p w14:paraId="5F06B760"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D+ve</w:t>
            </w:r>
          </w:p>
        </w:tc>
        <w:tc>
          <w:tcPr>
            <w:tcW w:w="601" w:type="dxa"/>
            <w:shd w:val="clear" w:color="auto" w:fill="auto"/>
            <w:tcMar>
              <w:left w:w="170" w:type="dxa"/>
              <w:right w:w="113" w:type="dxa"/>
            </w:tcMar>
            <w:vAlign w:val="center"/>
          </w:tcPr>
          <w:p w14:paraId="1FB5D10B"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9</w:t>
            </w:r>
          </w:p>
        </w:tc>
        <w:tc>
          <w:tcPr>
            <w:tcW w:w="643" w:type="dxa"/>
            <w:tcMar>
              <w:left w:w="170" w:type="dxa"/>
              <w:right w:w="113" w:type="dxa"/>
            </w:tcMar>
            <w:vAlign w:val="center"/>
          </w:tcPr>
          <w:p w14:paraId="1D214D71"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c>
          <w:tcPr>
            <w:tcW w:w="740" w:type="dxa"/>
            <w:shd w:val="clear" w:color="auto" w:fill="auto"/>
            <w:tcMar>
              <w:left w:w="170" w:type="dxa"/>
              <w:right w:w="113" w:type="dxa"/>
            </w:tcMar>
            <w:vAlign w:val="center"/>
          </w:tcPr>
          <w:p w14:paraId="21A4B59B"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c>
          <w:tcPr>
            <w:tcW w:w="657" w:type="dxa"/>
            <w:shd w:val="clear" w:color="auto" w:fill="auto"/>
            <w:tcMar>
              <w:left w:w="170" w:type="dxa"/>
              <w:right w:w="113" w:type="dxa"/>
            </w:tcMar>
            <w:vAlign w:val="center"/>
          </w:tcPr>
          <w:p w14:paraId="46D7AEB6"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c>
          <w:tcPr>
            <w:tcW w:w="755" w:type="dxa"/>
            <w:shd w:val="clear" w:color="auto" w:fill="auto"/>
            <w:tcMar>
              <w:left w:w="170" w:type="dxa"/>
              <w:right w:w="113" w:type="dxa"/>
            </w:tcMar>
            <w:vAlign w:val="center"/>
          </w:tcPr>
          <w:p w14:paraId="5B5646D2"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c>
          <w:tcPr>
            <w:tcW w:w="880" w:type="dxa"/>
            <w:shd w:val="clear" w:color="auto" w:fill="auto"/>
            <w:tcMar>
              <w:left w:w="170" w:type="dxa"/>
              <w:right w:w="113" w:type="dxa"/>
            </w:tcMar>
            <w:vAlign w:val="center"/>
          </w:tcPr>
          <w:p w14:paraId="17E7C3CD" w14:textId="77777777" w:rsidR="00F407F1" w:rsidRPr="002F0DB0" w:rsidRDefault="00F407F1" w:rsidP="00EE218D">
            <w:pPr>
              <w:spacing w:after="0" w:line="240" w:lineRule="auto"/>
              <w:ind w:left="-57" w:right="-57" w:hanging="57"/>
              <w:rPr>
                <w:rFonts w:asciiTheme="majorHAnsi" w:eastAsia="Cambria" w:hAnsiTheme="majorHAnsi" w:cs="Times New Roman"/>
                <w:sz w:val="24"/>
                <w:szCs w:val="24"/>
                <w:lang w:eastAsia="en-US"/>
              </w:rPr>
            </w:pPr>
            <w:r w:rsidRPr="002F0DB0">
              <w:rPr>
                <w:rFonts w:asciiTheme="majorHAnsi" w:eastAsia="Cambria" w:hAnsiTheme="majorHAnsi" w:cs="Times New Roman"/>
                <w:sz w:val="24"/>
                <w:szCs w:val="24"/>
                <w:lang w:eastAsia="en-US"/>
              </w:rPr>
              <w:t>65</w:t>
            </w:r>
          </w:p>
        </w:tc>
        <w:tc>
          <w:tcPr>
            <w:tcW w:w="863" w:type="dxa"/>
            <w:shd w:val="clear" w:color="auto" w:fill="auto"/>
            <w:tcMar>
              <w:left w:w="170" w:type="dxa"/>
              <w:right w:w="113" w:type="dxa"/>
            </w:tcMar>
            <w:vAlign w:val="center"/>
          </w:tcPr>
          <w:p w14:paraId="314F5D53" w14:textId="77777777" w:rsidR="00F407F1" w:rsidRPr="002F0DB0" w:rsidRDefault="00F407F1" w:rsidP="00EE218D">
            <w:pPr>
              <w:spacing w:after="0" w:line="240" w:lineRule="auto"/>
              <w:ind w:left="-57" w:right="-57" w:hanging="57"/>
              <w:rPr>
                <w:rFonts w:asciiTheme="majorHAnsi" w:eastAsia="Cambria" w:hAnsiTheme="majorHAnsi" w:cs="Times New Roman"/>
                <w:sz w:val="24"/>
                <w:szCs w:val="24"/>
                <w:lang w:eastAsia="en-US"/>
              </w:rPr>
            </w:pPr>
            <w:r w:rsidRPr="002F0DB0">
              <w:rPr>
                <w:rFonts w:asciiTheme="majorHAnsi" w:eastAsia="Cambria" w:hAnsiTheme="majorHAnsi" w:cs="Times New Roman"/>
                <w:sz w:val="24"/>
                <w:szCs w:val="24"/>
                <w:lang w:eastAsia="en-US"/>
              </w:rPr>
              <w:t>+</w:t>
            </w:r>
          </w:p>
        </w:tc>
        <w:tc>
          <w:tcPr>
            <w:tcW w:w="487" w:type="dxa"/>
            <w:shd w:val="clear" w:color="auto" w:fill="auto"/>
            <w:tcMar>
              <w:left w:w="170" w:type="dxa"/>
              <w:right w:w="113" w:type="dxa"/>
            </w:tcMar>
            <w:vAlign w:val="center"/>
          </w:tcPr>
          <w:p w14:paraId="4CBC086D"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c>
          <w:tcPr>
            <w:tcW w:w="489" w:type="dxa"/>
            <w:shd w:val="clear" w:color="auto" w:fill="auto"/>
            <w:tcMar>
              <w:left w:w="170" w:type="dxa"/>
              <w:right w:w="113" w:type="dxa"/>
            </w:tcMar>
            <w:vAlign w:val="center"/>
          </w:tcPr>
          <w:p w14:paraId="649C1E2E"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c>
          <w:tcPr>
            <w:tcW w:w="531" w:type="dxa"/>
            <w:shd w:val="clear" w:color="auto" w:fill="auto"/>
            <w:tcMar>
              <w:left w:w="170" w:type="dxa"/>
              <w:right w:w="113" w:type="dxa"/>
            </w:tcMar>
            <w:vAlign w:val="center"/>
          </w:tcPr>
          <w:p w14:paraId="543EA9B8"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c>
          <w:tcPr>
            <w:tcW w:w="539" w:type="dxa"/>
            <w:shd w:val="clear" w:color="auto" w:fill="auto"/>
            <w:tcMar>
              <w:left w:w="170" w:type="dxa"/>
              <w:right w:w="113" w:type="dxa"/>
            </w:tcMar>
            <w:vAlign w:val="center"/>
          </w:tcPr>
          <w:p w14:paraId="0301DDFA"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c>
          <w:tcPr>
            <w:tcW w:w="496" w:type="dxa"/>
            <w:shd w:val="clear" w:color="auto" w:fill="auto"/>
            <w:tcMar>
              <w:left w:w="170" w:type="dxa"/>
              <w:right w:w="113" w:type="dxa"/>
            </w:tcMar>
            <w:vAlign w:val="center"/>
          </w:tcPr>
          <w:p w14:paraId="79AD6309"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c>
          <w:tcPr>
            <w:tcW w:w="497" w:type="dxa"/>
            <w:shd w:val="clear" w:color="auto" w:fill="auto"/>
            <w:tcMar>
              <w:left w:w="170" w:type="dxa"/>
              <w:right w:w="113" w:type="dxa"/>
            </w:tcMar>
            <w:vAlign w:val="center"/>
          </w:tcPr>
          <w:p w14:paraId="0BBD385A"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c>
          <w:tcPr>
            <w:tcW w:w="708" w:type="dxa"/>
            <w:shd w:val="clear" w:color="auto" w:fill="auto"/>
            <w:tcMar>
              <w:left w:w="170" w:type="dxa"/>
              <w:right w:w="113" w:type="dxa"/>
            </w:tcMar>
            <w:vAlign w:val="center"/>
          </w:tcPr>
          <w:p w14:paraId="75278446" w14:textId="77777777" w:rsidR="00F407F1" w:rsidRPr="002F0DB0" w:rsidRDefault="00F407F1" w:rsidP="00EE218D">
            <w:pPr>
              <w:spacing w:after="0" w:line="240" w:lineRule="auto"/>
              <w:ind w:left="-57" w:right="-57" w:hanging="57"/>
              <w:rPr>
                <w:rFonts w:asciiTheme="majorHAnsi" w:eastAsia="Cambria" w:hAnsiTheme="majorHAnsi" w:cs="Times New Roman"/>
                <w:sz w:val="24"/>
                <w:szCs w:val="24"/>
                <w:lang w:eastAsia="en-US"/>
              </w:rPr>
            </w:pPr>
            <w:r w:rsidRPr="002F0DB0">
              <w:rPr>
                <w:rFonts w:asciiTheme="majorHAnsi" w:eastAsia="Cambria" w:hAnsiTheme="majorHAnsi" w:cs="Times New Roman"/>
                <w:sz w:val="24"/>
                <w:szCs w:val="24"/>
                <w:lang w:eastAsia="en-US"/>
              </w:rPr>
              <w:t>3-30</w:t>
            </w:r>
          </w:p>
        </w:tc>
        <w:tc>
          <w:tcPr>
            <w:tcW w:w="993" w:type="dxa"/>
            <w:shd w:val="clear" w:color="auto" w:fill="auto"/>
            <w:tcMar>
              <w:left w:w="170" w:type="dxa"/>
              <w:right w:w="113" w:type="dxa"/>
            </w:tcMar>
            <w:vAlign w:val="center"/>
          </w:tcPr>
          <w:p w14:paraId="080A5863" w14:textId="77777777" w:rsidR="00F407F1" w:rsidRPr="002F0DB0" w:rsidRDefault="00F407F1" w:rsidP="00EE218D">
            <w:pPr>
              <w:spacing w:after="0" w:line="240" w:lineRule="auto"/>
              <w:ind w:left="-57" w:right="-57" w:hanging="57"/>
              <w:rPr>
                <w:rFonts w:asciiTheme="majorHAnsi" w:eastAsia="Cambria" w:hAnsiTheme="majorHAnsi" w:cs="Times New Roman"/>
                <w:sz w:val="24"/>
                <w:szCs w:val="24"/>
                <w:lang w:eastAsia="en-US"/>
              </w:rPr>
            </w:pPr>
            <w:r w:rsidRPr="002F0DB0">
              <w:rPr>
                <w:rFonts w:asciiTheme="majorHAnsi" w:eastAsia="Cambria" w:hAnsiTheme="majorHAnsi" w:cs="Times New Roman"/>
                <w:sz w:val="24"/>
                <w:szCs w:val="24"/>
                <w:lang w:eastAsia="en-US"/>
              </w:rPr>
              <w:t>92.7</w:t>
            </w:r>
          </w:p>
        </w:tc>
        <w:tc>
          <w:tcPr>
            <w:tcW w:w="425" w:type="dxa"/>
            <w:shd w:val="clear" w:color="auto" w:fill="auto"/>
            <w:tcMar>
              <w:left w:w="170" w:type="dxa"/>
              <w:right w:w="113" w:type="dxa"/>
            </w:tcMar>
            <w:vAlign w:val="center"/>
          </w:tcPr>
          <w:p w14:paraId="0FED7142" w14:textId="77777777" w:rsidR="00F407F1" w:rsidRPr="002F0DB0" w:rsidRDefault="00F407F1" w:rsidP="00EE218D">
            <w:pPr>
              <w:spacing w:after="0" w:line="240" w:lineRule="auto"/>
              <w:ind w:left="-57" w:right="-57" w:hanging="57"/>
              <w:rPr>
                <w:rFonts w:asciiTheme="majorHAnsi" w:eastAsia="Cambria" w:hAnsiTheme="majorHAnsi" w:cs="Times New Roman"/>
                <w:sz w:val="24"/>
                <w:szCs w:val="24"/>
                <w:lang w:eastAsia="en-US"/>
              </w:rPr>
            </w:pPr>
            <w:r w:rsidRPr="002F0DB0">
              <w:rPr>
                <w:rFonts w:asciiTheme="majorHAnsi" w:eastAsia="Cambria" w:hAnsiTheme="majorHAnsi" w:cs="Times New Roman"/>
                <w:sz w:val="24"/>
                <w:szCs w:val="24"/>
                <w:lang w:eastAsia="en-US"/>
              </w:rPr>
              <w:t>+</w:t>
            </w:r>
          </w:p>
        </w:tc>
        <w:tc>
          <w:tcPr>
            <w:tcW w:w="425" w:type="dxa"/>
            <w:shd w:val="clear" w:color="auto" w:fill="auto"/>
            <w:tcMar>
              <w:left w:w="170" w:type="dxa"/>
              <w:right w:w="113" w:type="dxa"/>
            </w:tcMar>
            <w:vAlign w:val="center"/>
          </w:tcPr>
          <w:p w14:paraId="231EB9A9" w14:textId="77777777" w:rsidR="00F407F1" w:rsidRPr="002F0DB0" w:rsidRDefault="00F407F1" w:rsidP="00EE218D">
            <w:pPr>
              <w:spacing w:after="0" w:line="240" w:lineRule="auto"/>
              <w:ind w:left="-57" w:right="-57" w:hanging="57"/>
              <w:rPr>
                <w:rFonts w:asciiTheme="majorHAnsi" w:eastAsia="Cambria" w:hAnsiTheme="majorHAnsi" w:cs="Times New Roman"/>
                <w:sz w:val="24"/>
                <w:szCs w:val="24"/>
                <w:lang w:eastAsia="en-US"/>
              </w:rPr>
            </w:pPr>
            <w:r w:rsidRPr="002F0DB0">
              <w:rPr>
                <w:rFonts w:asciiTheme="majorHAnsi" w:eastAsia="Cambria" w:hAnsiTheme="majorHAnsi" w:cs="Times New Roman"/>
                <w:sz w:val="24"/>
                <w:szCs w:val="24"/>
                <w:lang w:eastAsia="en-US"/>
              </w:rPr>
              <w:t>-</w:t>
            </w:r>
          </w:p>
        </w:tc>
        <w:tc>
          <w:tcPr>
            <w:tcW w:w="425" w:type="dxa"/>
            <w:shd w:val="clear" w:color="auto" w:fill="auto"/>
            <w:tcMar>
              <w:left w:w="170" w:type="dxa"/>
              <w:right w:w="113" w:type="dxa"/>
            </w:tcMar>
            <w:vAlign w:val="center"/>
          </w:tcPr>
          <w:p w14:paraId="6CC54336" w14:textId="77777777" w:rsidR="00F407F1" w:rsidRPr="002F0DB0" w:rsidRDefault="00F407F1" w:rsidP="00EE218D">
            <w:pPr>
              <w:spacing w:after="0" w:line="240" w:lineRule="auto"/>
              <w:ind w:left="-57" w:right="-57" w:hanging="57"/>
              <w:rPr>
                <w:rFonts w:asciiTheme="majorHAnsi" w:eastAsia="Cambria" w:hAnsiTheme="majorHAnsi" w:cs="Times New Roman"/>
                <w:sz w:val="24"/>
                <w:szCs w:val="24"/>
                <w:lang w:eastAsia="en-US"/>
              </w:rPr>
            </w:pPr>
            <w:r w:rsidRPr="002F0DB0">
              <w:rPr>
                <w:rFonts w:asciiTheme="majorHAnsi" w:eastAsia="Cambria" w:hAnsiTheme="majorHAnsi" w:cs="Times New Roman"/>
                <w:sz w:val="24"/>
                <w:szCs w:val="24"/>
                <w:lang w:eastAsia="en-US"/>
              </w:rPr>
              <w:t>+</w:t>
            </w:r>
          </w:p>
        </w:tc>
        <w:tc>
          <w:tcPr>
            <w:tcW w:w="426" w:type="dxa"/>
            <w:shd w:val="clear" w:color="auto" w:fill="auto"/>
            <w:tcMar>
              <w:left w:w="170" w:type="dxa"/>
              <w:right w:w="113" w:type="dxa"/>
            </w:tcMar>
            <w:vAlign w:val="center"/>
          </w:tcPr>
          <w:p w14:paraId="66B05F02" w14:textId="77777777" w:rsidR="00F407F1" w:rsidRPr="002F0DB0" w:rsidRDefault="00F407F1" w:rsidP="00EE218D">
            <w:pPr>
              <w:spacing w:after="0" w:line="240" w:lineRule="auto"/>
              <w:ind w:left="-57" w:right="-57" w:hanging="57"/>
              <w:rPr>
                <w:rFonts w:asciiTheme="majorHAnsi" w:eastAsia="Cambria" w:hAnsiTheme="majorHAnsi" w:cs="Times New Roman"/>
                <w:sz w:val="24"/>
                <w:szCs w:val="24"/>
                <w:lang w:eastAsia="en-US"/>
              </w:rPr>
            </w:pPr>
            <w:r w:rsidRPr="002F0DB0">
              <w:rPr>
                <w:rFonts w:asciiTheme="majorHAnsi" w:eastAsia="Cambria" w:hAnsiTheme="majorHAnsi" w:cs="Times New Roman"/>
                <w:sz w:val="24"/>
                <w:szCs w:val="24"/>
                <w:lang w:eastAsia="en-US"/>
              </w:rPr>
              <w:t>+</w:t>
            </w:r>
          </w:p>
        </w:tc>
        <w:tc>
          <w:tcPr>
            <w:tcW w:w="461" w:type="dxa"/>
            <w:shd w:val="clear" w:color="auto" w:fill="auto"/>
            <w:tcMar>
              <w:left w:w="170" w:type="dxa"/>
              <w:right w:w="113" w:type="dxa"/>
            </w:tcMar>
            <w:vAlign w:val="center"/>
          </w:tcPr>
          <w:p w14:paraId="1739BB40"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r>
      <w:tr w:rsidR="00B065F9" w:rsidRPr="002F0DB0" w14:paraId="724F3D2B" w14:textId="77777777" w:rsidTr="00EE218D">
        <w:trPr>
          <w:trHeight w:val="260"/>
        </w:trPr>
        <w:tc>
          <w:tcPr>
            <w:tcW w:w="1065" w:type="dxa"/>
            <w:tcMar>
              <w:left w:w="170" w:type="dxa"/>
              <w:right w:w="113" w:type="dxa"/>
            </w:tcMar>
            <w:vAlign w:val="center"/>
          </w:tcPr>
          <w:p w14:paraId="25635AEC"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D+ve</w:t>
            </w:r>
          </w:p>
        </w:tc>
        <w:tc>
          <w:tcPr>
            <w:tcW w:w="601" w:type="dxa"/>
            <w:shd w:val="clear" w:color="auto" w:fill="auto"/>
            <w:tcMar>
              <w:left w:w="170" w:type="dxa"/>
              <w:right w:w="113" w:type="dxa"/>
            </w:tcMar>
            <w:vAlign w:val="center"/>
          </w:tcPr>
          <w:p w14:paraId="6FA3C348"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13</w:t>
            </w:r>
          </w:p>
        </w:tc>
        <w:tc>
          <w:tcPr>
            <w:tcW w:w="643" w:type="dxa"/>
            <w:tcMar>
              <w:left w:w="170" w:type="dxa"/>
              <w:right w:w="113" w:type="dxa"/>
            </w:tcMar>
            <w:vAlign w:val="center"/>
          </w:tcPr>
          <w:p w14:paraId="7887A028"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c>
          <w:tcPr>
            <w:tcW w:w="740" w:type="dxa"/>
            <w:shd w:val="clear" w:color="auto" w:fill="auto"/>
            <w:tcMar>
              <w:left w:w="170" w:type="dxa"/>
              <w:right w:w="113" w:type="dxa"/>
            </w:tcMar>
            <w:vAlign w:val="center"/>
          </w:tcPr>
          <w:p w14:paraId="06181A3E"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c>
          <w:tcPr>
            <w:tcW w:w="657" w:type="dxa"/>
            <w:shd w:val="clear" w:color="auto" w:fill="auto"/>
            <w:tcMar>
              <w:left w:w="170" w:type="dxa"/>
              <w:right w:w="113" w:type="dxa"/>
            </w:tcMar>
            <w:vAlign w:val="center"/>
          </w:tcPr>
          <w:p w14:paraId="65B36BCD"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c>
          <w:tcPr>
            <w:tcW w:w="755" w:type="dxa"/>
            <w:shd w:val="clear" w:color="auto" w:fill="auto"/>
            <w:tcMar>
              <w:left w:w="170" w:type="dxa"/>
              <w:right w:w="113" w:type="dxa"/>
            </w:tcMar>
            <w:vAlign w:val="center"/>
          </w:tcPr>
          <w:p w14:paraId="2F3B88EA"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c>
          <w:tcPr>
            <w:tcW w:w="880" w:type="dxa"/>
            <w:shd w:val="clear" w:color="auto" w:fill="auto"/>
            <w:tcMar>
              <w:left w:w="170" w:type="dxa"/>
              <w:right w:w="113" w:type="dxa"/>
            </w:tcMar>
            <w:vAlign w:val="center"/>
          </w:tcPr>
          <w:p w14:paraId="1A005300" w14:textId="77777777" w:rsidR="00F407F1" w:rsidRPr="002F0DB0" w:rsidRDefault="00F407F1" w:rsidP="00EE218D">
            <w:pPr>
              <w:spacing w:after="0" w:line="240" w:lineRule="auto"/>
              <w:ind w:left="-57" w:right="-57" w:hanging="57"/>
              <w:rPr>
                <w:rFonts w:asciiTheme="majorHAnsi" w:eastAsia="Cambria" w:hAnsiTheme="majorHAnsi" w:cs="Times New Roman"/>
                <w:sz w:val="24"/>
                <w:szCs w:val="24"/>
                <w:lang w:eastAsia="en-US"/>
              </w:rPr>
            </w:pPr>
            <w:r w:rsidRPr="002F0DB0">
              <w:rPr>
                <w:rFonts w:asciiTheme="majorHAnsi" w:eastAsia="Cambria" w:hAnsiTheme="majorHAnsi" w:cs="Times New Roman"/>
                <w:sz w:val="24"/>
                <w:szCs w:val="24"/>
                <w:lang w:eastAsia="en-US"/>
              </w:rPr>
              <w:t>67</w:t>
            </w:r>
          </w:p>
        </w:tc>
        <w:tc>
          <w:tcPr>
            <w:tcW w:w="863" w:type="dxa"/>
            <w:shd w:val="clear" w:color="auto" w:fill="auto"/>
            <w:tcMar>
              <w:left w:w="170" w:type="dxa"/>
              <w:right w:w="113" w:type="dxa"/>
            </w:tcMar>
            <w:vAlign w:val="center"/>
          </w:tcPr>
          <w:p w14:paraId="197CE03F" w14:textId="77777777" w:rsidR="00F407F1" w:rsidRPr="002F0DB0" w:rsidRDefault="00F407F1" w:rsidP="00EE218D">
            <w:pPr>
              <w:spacing w:after="0" w:line="240" w:lineRule="auto"/>
              <w:ind w:left="-57" w:right="-57" w:hanging="57"/>
              <w:rPr>
                <w:rFonts w:asciiTheme="majorHAnsi" w:eastAsia="Cambria" w:hAnsiTheme="majorHAnsi" w:cs="Times New Roman"/>
                <w:sz w:val="24"/>
                <w:szCs w:val="24"/>
                <w:lang w:eastAsia="en-US"/>
              </w:rPr>
            </w:pPr>
            <w:r w:rsidRPr="002F0DB0">
              <w:rPr>
                <w:rFonts w:asciiTheme="majorHAnsi" w:eastAsia="Cambria" w:hAnsiTheme="majorHAnsi" w:cs="Times New Roman"/>
                <w:sz w:val="24"/>
                <w:szCs w:val="24"/>
                <w:lang w:eastAsia="en-US"/>
              </w:rPr>
              <w:t>+</w:t>
            </w:r>
          </w:p>
        </w:tc>
        <w:tc>
          <w:tcPr>
            <w:tcW w:w="487" w:type="dxa"/>
            <w:shd w:val="clear" w:color="auto" w:fill="auto"/>
            <w:tcMar>
              <w:left w:w="170" w:type="dxa"/>
              <w:right w:w="113" w:type="dxa"/>
            </w:tcMar>
            <w:vAlign w:val="center"/>
          </w:tcPr>
          <w:p w14:paraId="66B3A208"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c>
          <w:tcPr>
            <w:tcW w:w="489" w:type="dxa"/>
            <w:shd w:val="clear" w:color="auto" w:fill="auto"/>
            <w:tcMar>
              <w:left w:w="170" w:type="dxa"/>
              <w:right w:w="113" w:type="dxa"/>
            </w:tcMar>
            <w:vAlign w:val="center"/>
          </w:tcPr>
          <w:p w14:paraId="145C023F"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c>
          <w:tcPr>
            <w:tcW w:w="531" w:type="dxa"/>
            <w:shd w:val="clear" w:color="auto" w:fill="auto"/>
            <w:tcMar>
              <w:left w:w="170" w:type="dxa"/>
              <w:right w:w="113" w:type="dxa"/>
            </w:tcMar>
            <w:vAlign w:val="center"/>
          </w:tcPr>
          <w:p w14:paraId="28CEEF99"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c>
          <w:tcPr>
            <w:tcW w:w="539" w:type="dxa"/>
            <w:shd w:val="clear" w:color="auto" w:fill="auto"/>
            <w:tcMar>
              <w:left w:w="170" w:type="dxa"/>
              <w:right w:w="113" w:type="dxa"/>
            </w:tcMar>
            <w:vAlign w:val="center"/>
          </w:tcPr>
          <w:p w14:paraId="25CA89B7"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c>
          <w:tcPr>
            <w:tcW w:w="496" w:type="dxa"/>
            <w:shd w:val="clear" w:color="auto" w:fill="auto"/>
            <w:tcMar>
              <w:left w:w="170" w:type="dxa"/>
              <w:right w:w="113" w:type="dxa"/>
            </w:tcMar>
            <w:vAlign w:val="center"/>
          </w:tcPr>
          <w:p w14:paraId="6611EFBE"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c>
          <w:tcPr>
            <w:tcW w:w="497" w:type="dxa"/>
            <w:shd w:val="clear" w:color="auto" w:fill="auto"/>
            <w:tcMar>
              <w:left w:w="170" w:type="dxa"/>
              <w:right w:w="113" w:type="dxa"/>
            </w:tcMar>
            <w:vAlign w:val="center"/>
          </w:tcPr>
          <w:p w14:paraId="59274A0D" w14:textId="77777777" w:rsidR="00F407F1" w:rsidRPr="002F0DB0" w:rsidRDefault="00F407F1" w:rsidP="00EE218D">
            <w:pPr>
              <w:spacing w:after="0" w:line="240" w:lineRule="auto"/>
              <w:ind w:left="-57" w:right="-57" w:hanging="57"/>
              <w:rPr>
                <w:rFonts w:asciiTheme="majorHAnsi" w:eastAsia="Cambria" w:hAnsiTheme="majorHAnsi" w:cs="Times New Roman"/>
                <w:b/>
                <w:bCs/>
                <w:sz w:val="24"/>
                <w:szCs w:val="24"/>
                <w:lang w:eastAsia="en-US"/>
              </w:rPr>
            </w:pPr>
            <w:r w:rsidRPr="002F0DB0">
              <w:rPr>
                <w:rFonts w:asciiTheme="majorHAnsi" w:eastAsia="Cambria" w:hAnsiTheme="majorHAnsi" w:cs="Times New Roman"/>
                <w:b/>
                <w:bCs/>
                <w:sz w:val="24"/>
                <w:szCs w:val="24"/>
                <w:lang w:eastAsia="en-US"/>
              </w:rPr>
              <w:t>+++</w:t>
            </w:r>
          </w:p>
        </w:tc>
        <w:tc>
          <w:tcPr>
            <w:tcW w:w="708" w:type="dxa"/>
            <w:shd w:val="clear" w:color="auto" w:fill="auto"/>
            <w:tcMar>
              <w:left w:w="170" w:type="dxa"/>
              <w:right w:w="113" w:type="dxa"/>
            </w:tcMar>
            <w:vAlign w:val="center"/>
          </w:tcPr>
          <w:p w14:paraId="5350C27E" w14:textId="77777777" w:rsidR="00F407F1" w:rsidRPr="002F0DB0" w:rsidRDefault="00F407F1" w:rsidP="00EE218D">
            <w:pPr>
              <w:spacing w:after="0" w:line="240" w:lineRule="auto"/>
              <w:ind w:left="-57" w:right="-57" w:hanging="57"/>
              <w:rPr>
                <w:rFonts w:asciiTheme="majorHAnsi" w:eastAsia="Cambria" w:hAnsiTheme="majorHAnsi" w:cs="Times New Roman"/>
                <w:sz w:val="24"/>
                <w:szCs w:val="24"/>
                <w:lang w:eastAsia="en-US"/>
              </w:rPr>
            </w:pPr>
            <w:r w:rsidRPr="002F0DB0">
              <w:rPr>
                <w:rFonts w:asciiTheme="majorHAnsi" w:eastAsia="Cambria" w:hAnsiTheme="majorHAnsi" w:cs="Times New Roman"/>
                <w:sz w:val="24"/>
                <w:szCs w:val="24"/>
                <w:lang w:eastAsia="en-US"/>
              </w:rPr>
              <w:t>3-33</w:t>
            </w:r>
          </w:p>
        </w:tc>
        <w:tc>
          <w:tcPr>
            <w:tcW w:w="993" w:type="dxa"/>
            <w:shd w:val="clear" w:color="auto" w:fill="auto"/>
            <w:tcMar>
              <w:left w:w="170" w:type="dxa"/>
              <w:right w:w="113" w:type="dxa"/>
            </w:tcMar>
            <w:vAlign w:val="center"/>
          </w:tcPr>
          <w:p w14:paraId="5C423995" w14:textId="77777777" w:rsidR="00F407F1" w:rsidRPr="002F0DB0" w:rsidRDefault="00F407F1" w:rsidP="00EE218D">
            <w:pPr>
              <w:spacing w:after="0" w:line="240" w:lineRule="auto"/>
              <w:ind w:left="-57" w:right="-57" w:hanging="57"/>
              <w:rPr>
                <w:rFonts w:asciiTheme="majorHAnsi" w:eastAsia="Cambria" w:hAnsiTheme="majorHAnsi" w:cs="Times New Roman"/>
                <w:sz w:val="24"/>
                <w:szCs w:val="24"/>
                <w:lang w:eastAsia="en-US"/>
              </w:rPr>
            </w:pPr>
            <w:r w:rsidRPr="002F0DB0">
              <w:rPr>
                <w:rFonts w:asciiTheme="majorHAnsi" w:eastAsia="Cambria" w:hAnsiTheme="majorHAnsi" w:cs="Times New Roman"/>
                <w:sz w:val="24"/>
                <w:szCs w:val="24"/>
                <w:lang w:eastAsia="en-US"/>
              </w:rPr>
              <w:t>96.2</w:t>
            </w:r>
          </w:p>
        </w:tc>
        <w:tc>
          <w:tcPr>
            <w:tcW w:w="425" w:type="dxa"/>
            <w:shd w:val="clear" w:color="auto" w:fill="auto"/>
            <w:tcMar>
              <w:left w:w="170" w:type="dxa"/>
              <w:right w:w="113" w:type="dxa"/>
            </w:tcMar>
            <w:vAlign w:val="center"/>
          </w:tcPr>
          <w:p w14:paraId="73A7F2DA" w14:textId="77777777" w:rsidR="00F407F1" w:rsidRPr="002F0DB0" w:rsidRDefault="00F407F1" w:rsidP="00EE218D">
            <w:pPr>
              <w:spacing w:after="0" w:line="240" w:lineRule="auto"/>
              <w:ind w:left="-57" w:right="-57" w:hanging="57"/>
              <w:rPr>
                <w:rFonts w:asciiTheme="majorHAnsi" w:eastAsia="Cambria" w:hAnsiTheme="majorHAnsi" w:cs="Times New Roman"/>
                <w:sz w:val="24"/>
                <w:szCs w:val="24"/>
                <w:lang w:eastAsia="en-US"/>
              </w:rPr>
            </w:pPr>
            <w:r w:rsidRPr="002F0DB0">
              <w:rPr>
                <w:rFonts w:asciiTheme="majorHAnsi" w:eastAsia="Cambria" w:hAnsiTheme="majorHAnsi" w:cs="Times New Roman"/>
                <w:sz w:val="24"/>
                <w:szCs w:val="24"/>
                <w:lang w:eastAsia="en-US"/>
              </w:rPr>
              <w:t>+</w:t>
            </w:r>
          </w:p>
        </w:tc>
        <w:tc>
          <w:tcPr>
            <w:tcW w:w="425" w:type="dxa"/>
            <w:shd w:val="clear" w:color="auto" w:fill="auto"/>
            <w:tcMar>
              <w:left w:w="170" w:type="dxa"/>
              <w:right w:w="113" w:type="dxa"/>
            </w:tcMar>
            <w:vAlign w:val="center"/>
          </w:tcPr>
          <w:p w14:paraId="0D1C7A5A" w14:textId="77777777" w:rsidR="00F407F1" w:rsidRPr="002F0DB0" w:rsidRDefault="00F407F1" w:rsidP="00EE218D">
            <w:pPr>
              <w:spacing w:after="0" w:line="240" w:lineRule="auto"/>
              <w:ind w:left="-57" w:right="-57" w:hanging="57"/>
              <w:rPr>
                <w:rFonts w:asciiTheme="majorHAnsi" w:eastAsia="Cambria" w:hAnsiTheme="majorHAnsi" w:cs="Times New Roman"/>
                <w:sz w:val="24"/>
                <w:szCs w:val="24"/>
                <w:lang w:eastAsia="en-US"/>
              </w:rPr>
            </w:pPr>
            <w:r w:rsidRPr="002F0DB0">
              <w:rPr>
                <w:rFonts w:asciiTheme="majorHAnsi" w:eastAsia="Cambria" w:hAnsiTheme="majorHAnsi" w:cs="Times New Roman"/>
                <w:sz w:val="24"/>
                <w:szCs w:val="24"/>
                <w:lang w:eastAsia="en-US"/>
              </w:rPr>
              <w:t>+</w:t>
            </w:r>
          </w:p>
        </w:tc>
        <w:tc>
          <w:tcPr>
            <w:tcW w:w="425" w:type="dxa"/>
            <w:shd w:val="clear" w:color="auto" w:fill="auto"/>
            <w:tcMar>
              <w:left w:w="170" w:type="dxa"/>
              <w:right w:w="113" w:type="dxa"/>
            </w:tcMar>
            <w:vAlign w:val="center"/>
          </w:tcPr>
          <w:p w14:paraId="188E8A91" w14:textId="77777777" w:rsidR="00F407F1" w:rsidRPr="002F0DB0" w:rsidRDefault="00F407F1" w:rsidP="00EE218D">
            <w:pPr>
              <w:spacing w:after="0" w:line="240" w:lineRule="auto"/>
              <w:ind w:left="-57" w:right="-57" w:hanging="57"/>
              <w:rPr>
                <w:rFonts w:asciiTheme="majorHAnsi" w:eastAsia="Cambria" w:hAnsiTheme="majorHAnsi" w:cs="Times New Roman"/>
                <w:sz w:val="24"/>
                <w:szCs w:val="24"/>
                <w:lang w:eastAsia="en-US"/>
              </w:rPr>
            </w:pPr>
            <w:r w:rsidRPr="002F0DB0">
              <w:rPr>
                <w:rFonts w:asciiTheme="majorHAnsi" w:eastAsia="Cambria" w:hAnsiTheme="majorHAnsi" w:cs="Times New Roman"/>
                <w:sz w:val="24"/>
                <w:szCs w:val="24"/>
                <w:lang w:eastAsia="en-US"/>
              </w:rPr>
              <w:t>+</w:t>
            </w:r>
          </w:p>
        </w:tc>
        <w:tc>
          <w:tcPr>
            <w:tcW w:w="426" w:type="dxa"/>
            <w:shd w:val="clear" w:color="auto" w:fill="auto"/>
            <w:tcMar>
              <w:left w:w="170" w:type="dxa"/>
              <w:right w:w="113" w:type="dxa"/>
            </w:tcMar>
            <w:vAlign w:val="center"/>
          </w:tcPr>
          <w:p w14:paraId="2F66952C" w14:textId="77777777" w:rsidR="00F407F1" w:rsidRPr="002F0DB0" w:rsidRDefault="00F407F1" w:rsidP="00EE218D">
            <w:pPr>
              <w:spacing w:after="0" w:line="240" w:lineRule="auto"/>
              <w:ind w:left="-57" w:right="-57" w:hanging="57"/>
              <w:rPr>
                <w:rFonts w:asciiTheme="majorHAnsi" w:eastAsia="Cambria" w:hAnsiTheme="majorHAnsi" w:cs="Times New Roman"/>
                <w:sz w:val="24"/>
                <w:szCs w:val="24"/>
                <w:lang w:eastAsia="en-US"/>
              </w:rPr>
            </w:pPr>
            <w:r w:rsidRPr="002F0DB0">
              <w:rPr>
                <w:rFonts w:asciiTheme="majorHAnsi" w:eastAsia="Cambria" w:hAnsiTheme="majorHAnsi" w:cs="Times New Roman"/>
                <w:sz w:val="24"/>
                <w:szCs w:val="24"/>
                <w:lang w:eastAsia="en-US"/>
              </w:rPr>
              <w:t>+</w:t>
            </w:r>
          </w:p>
        </w:tc>
        <w:tc>
          <w:tcPr>
            <w:tcW w:w="461" w:type="dxa"/>
            <w:shd w:val="clear" w:color="auto" w:fill="auto"/>
            <w:tcMar>
              <w:left w:w="170" w:type="dxa"/>
              <w:right w:w="113" w:type="dxa"/>
            </w:tcMar>
            <w:vAlign w:val="center"/>
          </w:tcPr>
          <w:p w14:paraId="0D75912E" w14:textId="77777777" w:rsidR="00F407F1" w:rsidRPr="002F0DB0" w:rsidRDefault="00F407F1" w:rsidP="00EE218D">
            <w:pPr>
              <w:spacing w:after="0" w:line="240" w:lineRule="auto"/>
              <w:ind w:left="-57" w:right="-57" w:hanging="57"/>
              <w:rPr>
                <w:rFonts w:asciiTheme="majorHAnsi" w:eastAsia="Cambria" w:hAnsiTheme="majorHAnsi" w:cs="Times New Roman"/>
                <w:sz w:val="24"/>
                <w:szCs w:val="24"/>
                <w:lang w:eastAsia="en-US"/>
              </w:rPr>
            </w:pPr>
            <w:r w:rsidRPr="002F0DB0">
              <w:rPr>
                <w:rFonts w:asciiTheme="majorHAnsi" w:eastAsia="Cambria" w:hAnsiTheme="majorHAnsi" w:cs="Times New Roman"/>
                <w:sz w:val="24"/>
                <w:szCs w:val="24"/>
                <w:lang w:eastAsia="en-US"/>
              </w:rPr>
              <w:t>+</w:t>
            </w:r>
          </w:p>
        </w:tc>
      </w:tr>
    </w:tbl>
    <w:p w14:paraId="58DC04AD" w14:textId="0BAC3D8A" w:rsidR="0070626C" w:rsidRDefault="00E85701" w:rsidP="00E85701">
      <w:pPr>
        <w:spacing w:after="0" w:line="240" w:lineRule="auto"/>
        <w:rPr>
          <w:rFonts w:asciiTheme="majorHAnsi" w:eastAsia="Cambria" w:hAnsiTheme="majorHAnsi" w:cs="Times New Roman"/>
          <w:b/>
          <w:bCs/>
          <w:vertAlign w:val="superscript"/>
          <w:lang w:eastAsia="en-US"/>
        </w:rPr>
      </w:pPr>
      <w:r w:rsidRPr="002F0DB0">
        <w:rPr>
          <w:rFonts w:asciiTheme="majorHAnsi" w:eastAsia="Cambria" w:hAnsiTheme="majorHAnsi" w:cs="Times New Roman"/>
          <w:b/>
          <w:bCs/>
          <w:lang w:eastAsia="en-US"/>
        </w:rPr>
        <w:t>Table S1</w:t>
      </w:r>
      <w:r w:rsidR="00324AFD" w:rsidRPr="002F0DB0">
        <w:rPr>
          <w:rFonts w:asciiTheme="majorHAnsi" w:eastAsia="Cambria" w:hAnsiTheme="majorHAnsi" w:cs="Times New Roman"/>
          <w:b/>
          <w:bCs/>
          <w:lang w:eastAsia="en-US"/>
        </w:rPr>
        <w:t xml:space="preserve">. Summary of immunophenotype of mult-HCL cases and mutation status of </w:t>
      </w:r>
      <w:r w:rsidR="00324AFD" w:rsidRPr="002F0DB0">
        <w:rPr>
          <w:rFonts w:asciiTheme="majorHAnsi" w:eastAsia="Cambria" w:hAnsiTheme="majorHAnsi" w:cs="Times New Roman"/>
          <w:b/>
          <w:bCs/>
          <w:i/>
          <w:iCs/>
          <w:lang w:eastAsia="en-US"/>
        </w:rPr>
        <w:t>BRAF</w:t>
      </w:r>
      <w:r w:rsidR="00324AFD" w:rsidRPr="002F0DB0">
        <w:rPr>
          <w:rFonts w:asciiTheme="majorHAnsi" w:eastAsia="Cambria" w:hAnsiTheme="majorHAnsi" w:cs="Times New Roman"/>
          <w:b/>
          <w:bCs/>
          <w:lang w:eastAsia="en-US"/>
        </w:rPr>
        <w:t xml:space="preserve"> and </w:t>
      </w:r>
      <w:r w:rsidR="00324AFD" w:rsidRPr="002F0DB0">
        <w:rPr>
          <w:rFonts w:asciiTheme="majorHAnsi" w:eastAsia="Cambria" w:hAnsiTheme="majorHAnsi" w:cs="Times New Roman"/>
          <w:b/>
          <w:bCs/>
          <w:i/>
          <w:iCs/>
          <w:lang w:eastAsia="en-US"/>
        </w:rPr>
        <w:t>IGHV</w:t>
      </w:r>
      <w:r w:rsidR="00324AFD" w:rsidRPr="002F0DB0">
        <w:rPr>
          <w:rFonts w:asciiTheme="majorHAnsi" w:eastAsia="Cambria" w:hAnsiTheme="majorHAnsi" w:cs="Times New Roman"/>
          <w:b/>
          <w:bCs/>
          <w:lang w:eastAsia="en-US"/>
        </w:rPr>
        <w:t xml:space="preserve"> genes</w:t>
      </w:r>
      <w:r w:rsidR="00403532" w:rsidRPr="002F0DB0">
        <w:rPr>
          <w:rFonts w:asciiTheme="majorHAnsi" w:eastAsia="Cambria" w:hAnsiTheme="majorHAnsi" w:cs="Times New Roman"/>
          <w:b/>
          <w:bCs/>
          <w:vertAlign w:val="superscript"/>
          <w:lang w:eastAsia="en-US"/>
        </w:rPr>
        <w:t>*</w:t>
      </w:r>
    </w:p>
    <w:p w14:paraId="08971D4F" w14:textId="77777777" w:rsidR="00EE218D" w:rsidRPr="002F0DB0" w:rsidRDefault="00EE218D" w:rsidP="00E85701">
      <w:pPr>
        <w:spacing w:after="0" w:line="240" w:lineRule="auto"/>
        <w:rPr>
          <w:rFonts w:asciiTheme="majorHAnsi" w:eastAsia="Cambria" w:hAnsiTheme="majorHAnsi" w:cs="Times New Roman"/>
          <w:b/>
          <w:bCs/>
          <w:vertAlign w:val="superscript"/>
          <w:lang w:eastAsia="en-US"/>
        </w:rPr>
      </w:pPr>
      <w:bookmarkStart w:id="0" w:name="_GoBack"/>
    </w:p>
    <w:bookmarkEnd w:id="0"/>
    <w:p w14:paraId="13880D57" w14:textId="77777777" w:rsidR="00E85701" w:rsidRPr="002F0DB0" w:rsidRDefault="00E85701" w:rsidP="00E85701">
      <w:pPr>
        <w:spacing w:after="0" w:line="240" w:lineRule="auto"/>
        <w:rPr>
          <w:rFonts w:asciiTheme="majorHAnsi" w:eastAsia="Cambria" w:hAnsiTheme="majorHAnsi" w:cs="Times New Roman"/>
          <w:sz w:val="24"/>
          <w:szCs w:val="24"/>
          <w:lang w:eastAsia="en-US"/>
        </w:rPr>
      </w:pPr>
    </w:p>
    <w:p w14:paraId="5897EA03" w14:textId="77777777" w:rsidR="00C73E30" w:rsidRPr="002F0DB0" w:rsidRDefault="00C73E30" w:rsidP="004158E1">
      <w:pPr>
        <w:rPr>
          <w:rFonts w:asciiTheme="majorHAnsi" w:hAnsiTheme="majorHAnsi"/>
          <w:b/>
          <w:vertAlign w:val="superscript"/>
        </w:rPr>
      </w:pPr>
    </w:p>
    <w:p w14:paraId="56F95406" w14:textId="77777777" w:rsidR="00C73E30" w:rsidRPr="002F0DB0" w:rsidRDefault="00C73E30" w:rsidP="004158E1">
      <w:pPr>
        <w:rPr>
          <w:rFonts w:asciiTheme="majorHAnsi" w:hAnsiTheme="majorHAnsi"/>
          <w:b/>
          <w:vertAlign w:val="superscript"/>
        </w:rPr>
      </w:pPr>
    </w:p>
    <w:p w14:paraId="36194957" w14:textId="77777777" w:rsidR="00C73E30" w:rsidRPr="002F0DB0" w:rsidRDefault="00C73E30" w:rsidP="004158E1">
      <w:pPr>
        <w:rPr>
          <w:rFonts w:asciiTheme="majorHAnsi" w:hAnsiTheme="majorHAnsi"/>
          <w:b/>
          <w:vertAlign w:val="superscript"/>
        </w:rPr>
      </w:pPr>
    </w:p>
    <w:p w14:paraId="031F5C4F" w14:textId="77777777" w:rsidR="00C73E30" w:rsidRPr="002F0DB0" w:rsidRDefault="00C73E30" w:rsidP="004158E1">
      <w:pPr>
        <w:rPr>
          <w:rFonts w:asciiTheme="majorHAnsi" w:hAnsiTheme="majorHAnsi"/>
          <w:b/>
          <w:vertAlign w:val="superscript"/>
        </w:rPr>
      </w:pPr>
    </w:p>
    <w:p w14:paraId="65250409" w14:textId="77777777" w:rsidR="00C73E30" w:rsidRPr="002F0DB0" w:rsidRDefault="00C73E30" w:rsidP="004158E1">
      <w:pPr>
        <w:rPr>
          <w:rFonts w:asciiTheme="majorHAnsi" w:hAnsiTheme="majorHAnsi"/>
          <w:b/>
          <w:vertAlign w:val="superscript"/>
        </w:rPr>
      </w:pPr>
    </w:p>
    <w:p w14:paraId="5818B618" w14:textId="77777777" w:rsidR="00C73E30" w:rsidRPr="002F0DB0" w:rsidRDefault="00C73E30" w:rsidP="004158E1">
      <w:pPr>
        <w:rPr>
          <w:rFonts w:asciiTheme="majorHAnsi" w:hAnsiTheme="majorHAnsi"/>
          <w:b/>
          <w:vertAlign w:val="superscript"/>
        </w:rPr>
      </w:pPr>
    </w:p>
    <w:p w14:paraId="470EABFB" w14:textId="77777777" w:rsidR="00C73E30" w:rsidRPr="002F0DB0" w:rsidRDefault="00C73E30" w:rsidP="004158E1">
      <w:pPr>
        <w:rPr>
          <w:rFonts w:asciiTheme="majorHAnsi" w:hAnsiTheme="majorHAnsi"/>
          <w:b/>
          <w:vertAlign w:val="superscript"/>
        </w:rPr>
      </w:pPr>
    </w:p>
    <w:p w14:paraId="18E8A04A" w14:textId="77777777" w:rsidR="00C73E30" w:rsidRPr="002F0DB0" w:rsidRDefault="00C73E30" w:rsidP="004158E1">
      <w:pPr>
        <w:rPr>
          <w:rFonts w:asciiTheme="majorHAnsi" w:hAnsiTheme="majorHAnsi"/>
          <w:b/>
          <w:vertAlign w:val="superscript"/>
        </w:rPr>
      </w:pPr>
    </w:p>
    <w:p w14:paraId="2F5A0423" w14:textId="77777777" w:rsidR="00C73E30" w:rsidRPr="002F0DB0" w:rsidRDefault="00C73E30" w:rsidP="004158E1">
      <w:pPr>
        <w:rPr>
          <w:rFonts w:asciiTheme="majorHAnsi" w:hAnsiTheme="majorHAnsi"/>
          <w:b/>
          <w:vertAlign w:val="superscript"/>
        </w:rPr>
      </w:pPr>
    </w:p>
    <w:p w14:paraId="5BDEE73E" w14:textId="73A8CA3F" w:rsidR="0008397F" w:rsidRPr="001926B1" w:rsidRDefault="00403532" w:rsidP="0070626C">
      <w:pPr>
        <w:rPr>
          <w:rFonts w:asciiTheme="majorHAnsi" w:hAnsiTheme="majorHAnsi"/>
          <w:sz w:val="24"/>
          <w:szCs w:val="24"/>
        </w:rPr>
      </w:pPr>
      <w:r w:rsidRPr="002F0DB0">
        <w:rPr>
          <w:rFonts w:asciiTheme="majorHAnsi" w:hAnsiTheme="majorHAnsi"/>
          <w:b/>
          <w:vertAlign w:val="superscript"/>
        </w:rPr>
        <w:t>*</w:t>
      </w:r>
      <w:r w:rsidR="00324AFD" w:rsidRPr="002F0DB0">
        <w:rPr>
          <w:rFonts w:asciiTheme="majorHAnsi" w:hAnsiTheme="majorHAnsi"/>
          <w:bCs/>
        </w:rPr>
        <w:t xml:space="preserve">BRAF mutation was confirmed as T1860A-V600E; </w:t>
      </w:r>
      <w:r w:rsidR="00421841" w:rsidRPr="002F0DB0">
        <w:rPr>
          <w:rFonts w:asciiTheme="majorHAnsi" w:hAnsiTheme="majorHAnsi"/>
          <w:bCs/>
        </w:rPr>
        <w:t>Clonal isotype variant transcripts were identified using our reported procedure [15,16];</w:t>
      </w:r>
      <w:r w:rsidR="004158E1" w:rsidRPr="002F0DB0">
        <w:rPr>
          <w:rFonts w:asciiTheme="majorHAnsi" w:eastAsia="Times New Roman" w:hAnsiTheme="majorHAnsi"/>
        </w:rPr>
        <w:t xml:space="preserve"> </w:t>
      </w:r>
      <w:r w:rsidR="004158E1" w:rsidRPr="002F0DB0">
        <w:rPr>
          <w:rFonts w:asciiTheme="majorHAnsi" w:eastAsia="Times New Roman" w:hAnsiTheme="majorHAnsi"/>
          <w:vertAlign w:val="superscript"/>
        </w:rPr>
        <w:t>#</w:t>
      </w:r>
      <w:r w:rsidR="004158E1" w:rsidRPr="002F0DB0">
        <w:rPr>
          <w:rFonts w:asciiTheme="majorHAnsi" w:eastAsia="Times New Roman" w:hAnsiTheme="majorHAnsi"/>
        </w:rPr>
        <w:t>&lt;2% mutation deviation from germline can be considered for functional imprint of antigen selection and impact of somatic hypermutation [Forconi F, Sahota SS et al Leukemia 2004</w:t>
      </w:r>
      <w:proofErr w:type="gramStart"/>
      <w:r w:rsidR="004158E1" w:rsidRPr="002F0DB0">
        <w:rPr>
          <w:rFonts w:asciiTheme="majorHAnsi" w:eastAsia="Times New Roman" w:hAnsiTheme="majorHAnsi"/>
        </w:rPr>
        <w:t>;18:882</w:t>
      </w:r>
      <w:proofErr w:type="gramEnd"/>
      <w:r w:rsidR="004158E1" w:rsidRPr="002F0DB0">
        <w:rPr>
          <w:rFonts w:asciiTheme="majorHAnsi" w:eastAsia="Times New Roman" w:hAnsiTheme="majorHAnsi"/>
        </w:rPr>
        <w:t>-3];</w:t>
      </w:r>
      <w:r w:rsidR="00421841" w:rsidRPr="002F0DB0">
        <w:rPr>
          <w:rFonts w:asciiTheme="majorHAnsi" w:hAnsiTheme="majorHAnsi"/>
          <w:bCs/>
        </w:rPr>
        <w:t xml:space="preserve"> </w:t>
      </w:r>
      <w:r w:rsidR="00324AFD" w:rsidRPr="002F0DB0">
        <w:rPr>
          <w:rFonts w:asciiTheme="majorHAnsi" w:hAnsiTheme="majorHAnsi"/>
        </w:rPr>
        <w:t xml:space="preserve">ICH denotes intraclonal heterogeneity in IGHV gene sequences; </w:t>
      </w:r>
      <w:r w:rsidR="003C6E26" w:rsidRPr="002F0DB0">
        <w:rPr>
          <w:rFonts w:asciiTheme="majorHAnsi" w:hAnsiTheme="majorHAnsi"/>
        </w:rPr>
        <w:t xml:space="preserve">10/10 tumors are mult-HCL, </w:t>
      </w:r>
      <w:r w:rsidR="003C6E26" w:rsidRPr="002F0DB0">
        <w:rPr>
          <w:rFonts w:asciiTheme="majorHAnsi" w:hAnsiTheme="majorHAnsi"/>
          <w:bCs/>
        </w:rPr>
        <w:t>p</w:t>
      </w:r>
      <w:r w:rsidR="00324AFD" w:rsidRPr="002F0DB0">
        <w:rPr>
          <w:rFonts w:asciiTheme="majorHAnsi" w:hAnsiTheme="majorHAnsi"/>
          <w:bCs/>
        </w:rPr>
        <w:t xml:space="preserve">ercentage of </w:t>
      </w:r>
      <w:r w:rsidR="003C6E26" w:rsidRPr="002F0DB0">
        <w:rPr>
          <w:rFonts w:asciiTheme="majorHAnsi" w:hAnsiTheme="majorHAnsi"/>
          <w:bCs/>
        </w:rPr>
        <w:t xml:space="preserve">hairy </w:t>
      </w:r>
      <w:r w:rsidR="00324AFD" w:rsidRPr="002F0DB0">
        <w:rPr>
          <w:rFonts w:asciiTheme="majorHAnsi" w:hAnsiTheme="majorHAnsi"/>
          <w:bCs/>
        </w:rPr>
        <w:t>cells expressing each sIg isotype is represented as: - &lt;10% cells, + 10-50% cells,</w:t>
      </w:r>
      <w:r w:rsidRPr="002F0DB0">
        <w:rPr>
          <w:rFonts w:asciiTheme="majorHAnsi" w:hAnsiTheme="majorHAnsi"/>
          <w:bCs/>
        </w:rPr>
        <w:t xml:space="preserve"> ++ 50-90% cell, +++ &gt;90% cells; CD19</w:t>
      </w:r>
      <w:r w:rsidRPr="002F0DB0">
        <w:rPr>
          <w:rFonts w:asciiTheme="majorHAnsi" w:hAnsiTheme="majorHAnsi"/>
          <w:bCs/>
          <w:vertAlign w:val="superscript"/>
        </w:rPr>
        <w:t>+</w:t>
      </w:r>
      <w:r w:rsidRPr="002F0DB0">
        <w:rPr>
          <w:rFonts w:asciiTheme="majorHAnsi" w:hAnsiTheme="majorHAnsi"/>
          <w:bCs/>
        </w:rPr>
        <w:t>CD11c</w:t>
      </w:r>
      <w:r w:rsidRPr="002F0DB0">
        <w:rPr>
          <w:rFonts w:asciiTheme="majorHAnsi" w:hAnsiTheme="majorHAnsi"/>
          <w:bCs/>
          <w:vertAlign w:val="superscript"/>
        </w:rPr>
        <w:t>+</w:t>
      </w:r>
      <w:r w:rsidRPr="002F0DB0">
        <w:rPr>
          <w:rFonts w:asciiTheme="majorHAnsi" w:hAnsiTheme="majorHAnsi"/>
          <w:bCs/>
        </w:rPr>
        <w:t>CD103</w:t>
      </w:r>
      <w:r w:rsidRPr="002F0DB0">
        <w:rPr>
          <w:rFonts w:asciiTheme="majorHAnsi" w:hAnsiTheme="majorHAnsi"/>
          <w:bCs/>
          <w:vertAlign w:val="superscript"/>
        </w:rPr>
        <w:t>+</w:t>
      </w:r>
      <w:r w:rsidRPr="002F0DB0">
        <w:rPr>
          <w:rFonts w:asciiTheme="majorHAnsi" w:hAnsiTheme="majorHAnsi"/>
          <w:bCs/>
        </w:rPr>
        <w:t xml:space="preserve"> or CD19</w:t>
      </w:r>
      <w:r w:rsidRPr="002F0DB0">
        <w:rPr>
          <w:rFonts w:asciiTheme="majorHAnsi" w:hAnsiTheme="majorHAnsi"/>
          <w:bCs/>
          <w:vertAlign w:val="superscript"/>
        </w:rPr>
        <w:t>+</w:t>
      </w:r>
      <w:r w:rsidRPr="002F0DB0">
        <w:rPr>
          <w:rFonts w:asciiTheme="majorHAnsi" w:hAnsiTheme="majorHAnsi"/>
          <w:bCs/>
        </w:rPr>
        <w:t>CD11c</w:t>
      </w:r>
      <w:r w:rsidRPr="002F0DB0">
        <w:rPr>
          <w:rFonts w:asciiTheme="majorHAnsi" w:hAnsiTheme="majorHAnsi"/>
          <w:bCs/>
          <w:vertAlign w:val="superscript"/>
        </w:rPr>
        <w:t>+</w:t>
      </w:r>
      <w:r w:rsidR="0044506B">
        <w:rPr>
          <w:rFonts w:asciiTheme="majorHAnsi" w:hAnsiTheme="majorHAnsi"/>
          <w:bCs/>
        </w:rPr>
        <w:t xml:space="preserve"> (Patient 4</w:t>
      </w:r>
      <w:r w:rsidRPr="002F0DB0">
        <w:rPr>
          <w:rFonts w:asciiTheme="majorHAnsi" w:hAnsiTheme="majorHAnsi"/>
          <w:bCs/>
        </w:rPr>
        <w:t>) were used to delineate tumor burden</w:t>
      </w:r>
      <w:r w:rsidR="0070626C">
        <w:rPr>
          <w:rFonts w:asciiTheme="majorHAnsi" w:hAnsiTheme="majorHAnsi"/>
        </w:rPr>
        <w:t>.</w:t>
      </w:r>
    </w:p>
    <w:sectPr w:rsidR="0008397F" w:rsidRPr="001926B1" w:rsidSect="0070626C">
      <w:pgSz w:w="16840" w:h="11901" w:orient="landscape"/>
      <w:pgMar w:top="1474" w:right="1440" w:bottom="1474" w:left="144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3F088A" w14:textId="77777777" w:rsidR="00D55573" w:rsidRDefault="00D55573" w:rsidP="005C7768">
      <w:pPr>
        <w:spacing w:after="0" w:line="240" w:lineRule="auto"/>
      </w:pPr>
      <w:r>
        <w:separator/>
      </w:r>
    </w:p>
  </w:endnote>
  <w:endnote w:type="continuationSeparator" w:id="0">
    <w:p w14:paraId="1879BB8B" w14:textId="77777777" w:rsidR="00D55573" w:rsidRDefault="00D55573" w:rsidP="005C7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Symbol">
    <w:panose1 w:val="00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2584172"/>
      <w:docPartObj>
        <w:docPartGallery w:val="Page Numbers (Bottom of Page)"/>
        <w:docPartUnique/>
      </w:docPartObj>
    </w:sdtPr>
    <w:sdtEndPr>
      <w:rPr>
        <w:noProof/>
      </w:rPr>
    </w:sdtEndPr>
    <w:sdtContent>
      <w:p w14:paraId="0B6EE73F" w14:textId="77777777" w:rsidR="00D55573" w:rsidRDefault="00D55573">
        <w:pPr>
          <w:pStyle w:val="Footer"/>
          <w:jc w:val="right"/>
        </w:pPr>
        <w:r>
          <w:fldChar w:fldCharType="begin"/>
        </w:r>
        <w:r>
          <w:instrText xml:space="preserve"> PAGE   \* MERGEFORMAT </w:instrText>
        </w:r>
        <w:r>
          <w:fldChar w:fldCharType="separate"/>
        </w:r>
        <w:r w:rsidR="00EE218D">
          <w:rPr>
            <w:noProof/>
          </w:rPr>
          <w:t>3</w:t>
        </w:r>
        <w:r>
          <w:rPr>
            <w:noProof/>
          </w:rPr>
          <w:fldChar w:fldCharType="end"/>
        </w:r>
      </w:p>
    </w:sdtContent>
  </w:sdt>
  <w:p w14:paraId="38AA0B64" w14:textId="77777777" w:rsidR="00D55573" w:rsidRDefault="00D5557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06DF65" w14:textId="77777777" w:rsidR="00D55573" w:rsidRDefault="00D55573" w:rsidP="005C7768">
      <w:pPr>
        <w:spacing w:after="0" w:line="240" w:lineRule="auto"/>
      </w:pPr>
      <w:r>
        <w:separator/>
      </w:r>
    </w:p>
  </w:footnote>
  <w:footnote w:type="continuationSeparator" w:id="0">
    <w:p w14:paraId="0D60B3C5" w14:textId="77777777" w:rsidR="00D55573" w:rsidRDefault="00D55573" w:rsidP="005C77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97F"/>
    <w:rsid w:val="0008397F"/>
    <w:rsid w:val="000D2021"/>
    <w:rsid w:val="00145D9F"/>
    <w:rsid w:val="001725AB"/>
    <w:rsid w:val="001926B1"/>
    <w:rsid w:val="00226EFC"/>
    <w:rsid w:val="002D191C"/>
    <w:rsid w:val="002D3902"/>
    <w:rsid w:val="002F0DB0"/>
    <w:rsid w:val="00313940"/>
    <w:rsid w:val="00324AFD"/>
    <w:rsid w:val="003829EA"/>
    <w:rsid w:val="003C6E26"/>
    <w:rsid w:val="00403532"/>
    <w:rsid w:val="004149AA"/>
    <w:rsid w:val="004158E1"/>
    <w:rsid w:val="00420345"/>
    <w:rsid w:val="00421841"/>
    <w:rsid w:val="0044506B"/>
    <w:rsid w:val="00465C29"/>
    <w:rsid w:val="004C0098"/>
    <w:rsid w:val="004C20D7"/>
    <w:rsid w:val="00512BB1"/>
    <w:rsid w:val="005477E4"/>
    <w:rsid w:val="00572B71"/>
    <w:rsid w:val="005C7768"/>
    <w:rsid w:val="006577A8"/>
    <w:rsid w:val="006C2FF2"/>
    <w:rsid w:val="0070626C"/>
    <w:rsid w:val="007662CD"/>
    <w:rsid w:val="007A3FB1"/>
    <w:rsid w:val="008138D9"/>
    <w:rsid w:val="00832096"/>
    <w:rsid w:val="008E79B1"/>
    <w:rsid w:val="00903517"/>
    <w:rsid w:val="00916345"/>
    <w:rsid w:val="00976495"/>
    <w:rsid w:val="009B056B"/>
    <w:rsid w:val="00A01E6E"/>
    <w:rsid w:val="00A250E0"/>
    <w:rsid w:val="00A2761D"/>
    <w:rsid w:val="00A3414A"/>
    <w:rsid w:val="00B065F9"/>
    <w:rsid w:val="00B441D7"/>
    <w:rsid w:val="00B52BB6"/>
    <w:rsid w:val="00C03F25"/>
    <w:rsid w:val="00C328DD"/>
    <w:rsid w:val="00C73E30"/>
    <w:rsid w:val="00CC74D6"/>
    <w:rsid w:val="00D02E6A"/>
    <w:rsid w:val="00D55573"/>
    <w:rsid w:val="00D60EC8"/>
    <w:rsid w:val="00DA4E03"/>
    <w:rsid w:val="00DE6C02"/>
    <w:rsid w:val="00E21D0E"/>
    <w:rsid w:val="00E85701"/>
    <w:rsid w:val="00EB2DF3"/>
    <w:rsid w:val="00EE218D"/>
    <w:rsid w:val="00EE4192"/>
    <w:rsid w:val="00F407F1"/>
    <w:rsid w:val="00F55F7F"/>
    <w:rsid w:val="00F94C43"/>
    <w:rsid w:val="00FE0B49"/>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22CA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97F"/>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397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397F"/>
    <w:rPr>
      <w:rFonts w:ascii="Lucida Grande" w:hAnsi="Lucida Grande" w:cs="Lucida Grande"/>
      <w:sz w:val="18"/>
      <w:szCs w:val="18"/>
      <w:lang w:eastAsia="zh-CN"/>
    </w:rPr>
  </w:style>
  <w:style w:type="paragraph" w:styleId="Header">
    <w:name w:val="header"/>
    <w:basedOn w:val="Normal"/>
    <w:link w:val="HeaderChar"/>
    <w:uiPriority w:val="99"/>
    <w:unhideWhenUsed/>
    <w:rsid w:val="005C77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7768"/>
    <w:rPr>
      <w:sz w:val="22"/>
      <w:szCs w:val="22"/>
      <w:lang w:eastAsia="zh-CN"/>
    </w:rPr>
  </w:style>
  <w:style w:type="paragraph" w:styleId="Footer">
    <w:name w:val="footer"/>
    <w:basedOn w:val="Normal"/>
    <w:link w:val="FooterChar"/>
    <w:uiPriority w:val="99"/>
    <w:unhideWhenUsed/>
    <w:rsid w:val="005C77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7768"/>
    <w:rPr>
      <w:sz w:val="22"/>
      <w:szCs w:val="22"/>
      <w:lang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97F"/>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397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397F"/>
    <w:rPr>
      <w:rFonts w:ascii="Lucida Grande" w:hAnsi="Lucida Grande" w:cs="Lucida Grande"/>
      <w:sz w:val="18"/>
      <w:szCs w:val="18"/>
      <w:lang w:eastAsia="zh-CN"/>
    </w:rPr>
  </w:style>
  <w:style w:type="paragraph" w:styleId="Header">
    <w:name w:val="header"/>
    <w:basedOn w:val="Normal"/>
    <w:link w:val="HeaderChar"/>
    <w:uiPriority w:val="99"/>
    <w:unhideWhenUsed/>
    <w:rsid w:val="005C77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7768"/>
    <w:rPr>
      <w:sz w:val="22"/>
      <w:szCs w:val="22"/>
      <w:lang w:eastAsia="zh-CN"/>
    </w:rPr>
  </w:style>
  <w:style w:type="paragraph" w:styleId="Footer">
    <w:name w:val="footer"/>
    <w:basedOn w:val="Normal"/>
    <w:link w:val="FooterChar"/>
    <w:uiPriority w:val="99"/>
    <w:unhideWhenUsed/>
    <w:rsid w:val="005C77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7768"/>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87100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4</Pages>
  <Words>1435</Words>
  <Characters>8180</Characters>
  <Application>Microsoft Macintosh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9596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Weston-Bell</dc:creator>
  <cp:lastModifiedBy>Nicola Weston-Bell</cp:lastModifiedBy>
  <cp:revision>24</cp:revision>
  <cp:lastPrinted>2013-11-26T11:47:00Z</cp:lastPrinted>
  <dcterms:created xsi:type="dcterms:W3CDTF">2014-01-08T17:17:00Z</dcterms:created>
  <dcterms:modified xsi:type="dcterms:W3CDTF">2014-01-09T15:42:00Z</dcterms:modified>
</cp:coreProperties>
</file>