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052A9" w14:textId="77777777" w:rsidR="00266A1E" w:rsidRPr="00266A1E" w:rsidRDefault="00266A1E" w:rsidP="009C42CF">
      <w:pPr>
        <w:pStyle w:val="PlainText"/>
      </w:pPr>
    </w:p>
    <w:p w14:paraId="43A00578" w14:textId="77777777" w:rsidR="00266A1E" w:rsidRPr="00266A1E" w:rsidRDefault="00266A1E" w:rsidP="009C42CF">
      <w:pPr>
        <w:pStyle w:val="PlainText"/>
      </w:pPr>
      <w:r w:rsidRPr="00266A1E">
        <w:t>Figure_S1.tif</w:t>
      </w:r>
    </w:p>
    <w:p w14:paraId="6CFEB1E5" w14:textId="77777777" w:rsidR="00266A1E" w:rsidRPr="00266A1E" w:rsidRDefault="00266A1E" w:rsidP="00AA32AB">
      <w:pPr>
        <w:pStyle w:val="PlainText"/>
      </w:pPr>
      <w:proofErr w:type="spellStart"/>
      <w:r w:rsidRPr="00FF7592">
        <w:rPr>
          <w:b/>
        </w:rPr>
        <w:t>Multiparameter</w:t>
      </w:r>
      <w:proofErr w:type="spellEnd"/>
      <w:r w:rsidRPr="00FF7592">
        <w:rPr>
          <w:b/>
        </w:rPr>
        <w:t xml:space="preserve"> flow </w:t>
      </w:r>
      <w:proofErr w:type="spellStart"/>
      <w:r w:rsidRPr="00FF7592">
        <w:rPr>
          <w:b/>
        </w:rPr>
        <w:t>cytometry</w:t>
      </w:r>
      <w:proofErr w:type="spellEnd"/>
      <w:r w:rsidRPr="00FF7592">
        <w:rPr>
          <w:b/>
        </w:rPr>
        <w:t xml:space="preserve"> to define immunophenotype of single </w:t>
      </w:r>
      <w:proofErr w:type="spellStart"/>
      <w:r w:rsidRPr="00FF7592">
        <w:rPr>
          <w:b/>
        </w:rPr>
        <w:t>tumor</w:t>
      </w:r>
      <w:proofErr w:type="spellEnd"/>
      <w:r w:rsidRPr="00FF7592">
        <w:rPr>
          <w:b/>
        </w:rPr>
        <w:t xml:space="preserve"> cells in </w:t>
      </w:r>
      <w:proofErr w:type="spellStart"/>
      <w:r w:rsidRPr="00FF7592">
        <w:rPr>
          <w:b/>
        </w:rPr>
        <w:t>mult</w:t>
      </w:r>
      <w:proofErr w:type="spellEnd"/>
      <w:r w:rsidRPr="00FF7592">
        <w:rPr>
          <w:b/>
        </w:rPr>
        <w:t>-HCL.</w:t>
      </w:r>
      <w:r w:rsidRPr="00266A1E">
        <w:t xml:space="preserve"> Normal PBMNCs and isolated spleen cells from HCL cases were </w:t>
      </w:r>
      <w:proofErr w:type="spellStart"/>
      <w:r w:rsidRPr="00266A1E">
        <w:t>immunophenotyped</w:t>
      </w:r>
      <w:proofErr w:type="spellEnd"/>
      <w:r w:rsidRPr="00266A1E">
        <w:t xml:space="preserve"> by gating on live cells and staining for CD19/CD11c/CD103 and </w:t>
      </w:r>
      <w:proofErr w:type="spellStart"/>
      <w:r w:rsidRPr="00266A1E">
        <w:t>sIgH</w:t>
      </w:r>
      <w:proofErr w:type="spellEnd"/>
      <w:r w:rsidRPr="00266A1E">
        <w:t>/L surface expression. (A) Following FSC/SSC gating, CD19</w:t>
      </w:r>
      <w:r w:rsidRPr="00FF7592">
        <w:rPr>
          <w:vertAlign w:val="superscript"/>
        </w:rPr>
        <w:t>hi</w:t>
      </w:r>
      <w:r w:rsidRPr="00266A1E">
        <w:t>CD11c</w:t>
      </w:r>
      <w:r w:rsidRPr="00FF7592">
        <w:rPr>
          <w:vertAlign w:val="superscript"/>
        </w:rPr>
        <w:t>hi</w:t>
      </w:r>
      <w:r w:rsidRPr="00266A1E">
        <w:t>cells (for 7/10 cases) or CD19</w:t>
      </w:r>
      <w:r w:rsidRPr="00FF7592">
        <w:rPr>
          <w:vertAlign w:val="superscript"/>
        </w:rPr>
        <w:t>hi</w:t>
      </w:r>
      <w:r w:rsidRPr="00266A1E">
        <w:t>CD11c</w:t>
      </w:r>
      <w:r w:rsidRPr="00FF7592">
        <w:rPr>
          <w:vertAlign w:val="superscript"/>
        </w:rPr>
        <w:t>hi</w:t>
      </w:r>
      <w:r w:rsidRPr="00266A1E">
        <w:t>CD103</w:t>
      </w:r>
      <w:r w:rsidRPr="00FF7592">
        <w:rPr>
          <w:vertAlign w:val="superscript"/>
        </w:rPr>
        <w:t>+</w:t>
      </w:r>
      <w:r w:rsidRPr="00266A1E">
        <w:t xml:space="preserve"> cells (for 3/10 cases) were examined for </w:t>
      </w:r>
      <w:proofErr w:type="spellStart"/>
      <w:r w:rsidRPr="00266A1E">
        <w:t>sIg</w:t>
      </w:r>
      <w:proofErr w:type="spellEnd"/>
      <w:r w:rsidRPr="00266A1E">
        <w:t xml:space="preserve"> expression using rabbit </w:t>
      </w:r>
      <w:proofErr w:type="gramStart"/>
      <w:r w:rsidRPr="00266A1E">
        <w:t>F(</w:t>
      </w:r>
      <w:proofErr w:type="spellStart"/>
      <w:proofErr w:type="gramEnd"/>
      <w:r w:rsidRPr="00266A1E">
        <w:t>ab</w:t>
      </w:r>
      <w:proofErr w:type="spellEnd"/>
      <w:r w:rsidR="00FF7592">
        <w:t>`)</w:t>
      </w:r>
      <w:r w:rsidRPr="00FF7592">
        <w:rPr>
          <w:vertAlign w:val="subscript"/>
        </w:rPr>
        <w:t>2</w:t>
      </w:r>
      <w:r w:rsidR="00FF7592">
        <w:rPr>
          <w:vertAlign w:val="subscript"/>
        </w:rPr>
        <w:t xml:space="preserve"> </w:t>
      </w:r>
      <w:r w:rsidRPr="00266A1E">
        <w:t xml:space="preserve">anti-human </w:t>
      </w:r>
      <w:proofErr w:type="spellStart"/>
      <w:r w:rsidRPr="00266A1E">
        <w:t>Ig</w:t>
      </w:r>
      <w:proofErr w:type="spellEnd"/>
      <w:r w:rsidRPr="00266A1E">
        <w:t xml:space="preserve"> antibodies. Normal PBMNC </w:t>
      </w:r>
      <w:proofErr w:type="gramStart"/>
      <w:r w:rsidRPr="00266A1E">
        <w:t>are</w:t>
      </w:r>
      <w:proofErr w:type="gramEnd"/>
      <w:r w:rsidRPr="00266A1E">
        <w:t xml:space="preserve"> virtually devoid of B-cells that are dual CD11c</w:t>
      </w:r>
      <w:r w:rsidRPr="00FF7592">
        <w:rPr>
          <w:vertAlign w:val="superscript"/>
        </w:rPr>
        <w:t>hi</w:t>
      </w:r>
      <w:r w:rsidRPr="00266A1E">
        <w:t>CD103</w:t>
      </w:r>
      <w:r w:rsidRPr="00FF7592">
        <w:rPr>
          <w:vertAlign w:val="superscript"/>
        </w:rPr>
        <w:t>+</w:t>
      </w:r>
      <w:r w:rsidRPr="00266A1E">
        <w:t xml:space="preserve">. (B) Representative example of immunophenotype of a </w:t>
      </w:r>
      <w:proofErr w:type="spellStart"/>
      <w:r w:rsidRPr="00266A1E">
        <w:t>mult</w:t>
      </w:r>
      <w:proofErr w:type="spellEnd"/>
      <w:r w:rsidRPr="00266A1E">
        <w:t xml:space="preserve">-HCL </w:t>
      </w:r>
      <w:proofErr w:type="spellStart"/>
      <w:r w:rsidRPr="00266A1E">
        <w:t>tumor</w:t>
      </w:r>
      <w:proofErr w:type="spellEnd"/>
      <w:r w:rsidRPr="00266A1E">
        <w:t xml:space="preserve">. </w:t>
      </w:r>
      <w:proofErr w:type="spellStart"/>
      <w:r w:rsidRPr="00266A1E">
        <w:t>IgD</w:t>
      </w:r>
      <w:r w:rsidR="00FF7592" w:rsidRPr="00FF7592">
        <w:rPr>
          <w:vertAlign w:val="superscript"/>
        </w:rPr>
        <w:t>-</w:t>
      </w:r>
      <w:r w:rsidRPr="00FF7592">
        <w:rPr>
          <w:vertAlign w:val="superscript"/>
        </w:rPr>
        <w:t>ve</w:t>
      </w:r>
      <w:proofErr w:type="spellEnd"/>
      <w:r w:rsidRPr="00266A1E">
        <w:t xml:space="preserve"> </w:t>
      </w:r>
      <w:proofErr w:type="spellStart"/>
      <w:r w:rsidRPr="00266A1E">
        <w:t>mult</w:t>
      </w:r>
      <w:proofErr w:type="spellEnd"/>
      <w:r w:rsidRPr="00266A1E">
        <w:t>-HCL Case 10 CD19</w:t>
      </w:r>
      <w:r w:rsidRPr="00FF7592">
        <w:rPr>
          <w:vertAlign w:val="superscript"/>
        </w:rPr>
        <w:t>hi</w:t>
      </w:r>
      <w:r w:rsidRPr="00266A1E">
        <w:t>CD11c</w:t>
      </w:r>
      <w:r w:rsidRPr="00FF7592">
        <w:rPr>
          <w:vertAlign w:val="superscript"/>
        </w:rPr>
        <w:t>hi</w:t>
      </w:r>
      <w:r w:rsidRPr="00266A1E">
        <w:t>CD103</w:t>
      </w:r>
      <w:r w:rsidRPr="00FF7592">
        <w:rPr>
          <w:vertAlign w:val="superscript"/>
        </w:rPr>
        <w:t>+</w:t>
      </w:r>
      <w:r w:rsidRPr="00266A1E">
        <w:t xml:space="preserve"> cells display co-expression of </w:t>
      </w:r>
      <w:proofErr w:type="spellStart"/>
      <w:r w:rsidRPr="00266A1E">
        <w:t>sIgG</w:t>
      </w:r>
      <w:proofErr w:type="spellEnd"/>
      <w:r w:rsidRPr="00266A1E">
        <w:t xml:space="preserve"> and </w:t>
      </w:r>
      <w:r w:rsidR="00FF7592">
        <w:rPr>
          <w:rFonts w:ascii="Lucida Grande" w:hAnsi="Lucida Grande" w:cs="Lucida Grande"/>
        </w:rPr>
        <w:t>λ</w:t>
      </w:r>
      <w:r w:rsidRPr="00266A1E">
        <w:t xml:space="preserve">; in 100% of HCL cells, with subsets of cells also </w:t>
      </w:r>
      <w:proofErr w:type="spellStart"/>
      <w:r w:rsidRPr="00266A1E">
        <w:t>sIgA</w:t>
      </w:r>
      <w:proofErr w:type="spellEnd"/>
      <w:r w:rsidRPr="00266A1E">
        <w:t xml:space="preserve"> (72%) and </w:t>
      </w:r>
      <w:proofErr w:type="spellStart"/>
      <w:r w:rsidRPr="00266A1E">
        <w:t>sIgM</w:t>
      </w:r>
      <w:proofErr w:type="spellEnd"/>
      <w:r w:rsidRPr="00266A1E">
        <w:t xml:space="preserve"> (18%) positive</w:t>
      </w:r>
      <w:r w:rsidR="00AA32AB">
        <w:t>.</w:t>
      </w:r>
    </w:p>
    <w:p w14:paraId="01FB8E37" w14:textId="77777777" w:rsidR="00266A1E" w:rsidRPr="00266A1E" w:rsidRDefault="00266A1E" w:rsidP="009C42CF">
      <w:pPr>
        <w:pStyle w:val="PlainText"/>
      </w:pPr>
      <w:r w:rsidRPr="00266A1E">
        <w:t>10.1371/journal.pone.0086556.s001</w:t>
      </w:r>
    </w:p>
    <w:p w14:paraId="2A8B7660" w14:textId="77777777" w:rsidR="00266A1E" w:rsidRPr="00266A1E" w:rsidRDefault="00266A1E" w:rsidP="009C42CF">
      <w:pPr>
        <w:pStyle w:val="PlainText"/>
      </w:pPr>
    </w:p>
    <w:p w14:paraId="434902AA" w14:textId="77777777" w:rsidR="00266A1E" w:rsidRPr="00266A1E" w:rsidRDefault="00266A1E" w:rsidP="009C42CF">
      <w:pPr>
        <w:pStyle w:val="PlainText"/>
      </w:pPr>
      <w:r w:rsidRPr="00266A1E">
        <w:t>Figure_S2.tif</w:t>
      </w:r>
    </w:p>
    <w:p w14:paraId="61A452F3" w14:textId="69E470E0" w:rsidR="00266A1E" w:rsidRPr="00266A1E" w:rsidRDefault="00266A1E" w:rsidP="00B72747">
      <w:pPr>
        <w:pStyle w:val="PlainText"/>
      </w:pPr>
      <w:r w:rsidRPr="00AA32AB">
        <w:rPr>
          <w:b/>
        </w:rPr>
        <w:t>Anti-</w:t>
      </w:r>
      <w:proofErr w:type="spellStart"/>
      <w:r w:rsidRPr="00AA32AB">
        <w:rPr>
          <w:b/>
        </w:rPr>
        <w:t>sIg</w:t>
      </w:r>
      <w:proofErr w:type="spellEnd"/>
      <w:r w:rsidRPr="00AA32AB">
        <w:rPr>
          <w:b/>
        </w:rPr>
        <w:t xml:space="preserve"> stimulation results in endocytosis of functional BCR in </w:t>
      </w:r>
      <w:proofErr w:type="spellStart"/>
      <w:r w:rsidRPr="00AA32AB">
        <w:rPr>
          <w:b/>
        </w:rPr>
        <w:t>IgD</w:t>
      </w:r>
      <w:proofErr w:type="spellEnd"/>
      <w:r w:rsidRPr="00AA32AB">
        <w:rPr>
          <w:b/>
        </w:rPr>
        <w:t xml:space="preserve">&lt;sup&gt;+&lt;/sup&gt; </w:t>
      </w:r>
      <w:proofErr w:type="spellStart"/>
      <w:r w:rsidRPr="00AA32AB">
        <w:rPr>
          <w:b/>
        </w:rPr>
        <w:t>mult</w:t>
      </w:r>
      <w:proofErr w:type="spellEnd"/>
      <w:r w:rsidRPr="00AA32AB">
        <w:rPr>
          <w:b/>
        </w:rPr>
        <w:t>-HCL.</w:t>
      </w:r>
      <w:r w:rsidRPr="00266A1E">
        <w:t xml:space="preserve"> Cells were stimulated with goat </w:t>
      </w:r>
      <w:proofErr w:type="gramStart"/>
      <w:r w:rsidRPr="00266A1E">
        <w:t>F(</w:t>
      </w:r>
      <w:proofErr w:type="spellStart"/>
      <w:proofErr w:type="gramEnd"/>
      <w:r w:rsidRPr="00266A1E">
        <w:t>ab</w:t>
      </w:r>
      <w:proofErr w:type="spellEnd"/>
      <w:r w:rsidR="00AA32AB">
        <w:t>`</w:t>
      </w:r>
      <w:r w:rsidRPr="00266A1E">
        <w:t>)</w:t>
      </w:r>
      <w:r w:rsidRPr="00AA32AB">
        <w:rPr>
          <w:vertAlign w:val="subscript"/>
        </w:rPr>
        <w:t>2</w:t>
      </w:r>
      <w:r w:rsidRPr="00266A1E">
        <w:t xml:space="preserve"> anti-</w:t>
      </w:r>
      <w:proofErr w:type="spellStart"/>
      <w:r w:rsidRPr="00266A1E">
        <w:t>Ig</w:t>
      </w:r>
      <w:proofErr w:type="spellEnd"/>
      <w:r w:rsidRPr="00266A1E">
        <w:t xml:space="preserve"> antibodies for 1 hour either at 37</w:t>
      </w:r>
      <w:r w:rsidR="00AA32AB">
        <w:t>°</w:t>
      </w:r>
      <w:r w:rsidRPr="00266A1E">
        <w:t>C to allow endocytosis or at 4</w:t>
      </w:r>
      <w:r w:rsidR="00B72747">
        <w:t>°</w:t>
      </w:r>
      <w:r w:rsidRPr="00266A1E">
        <w:t xml:space="preserve">C to prevent it. Changes in stimulated </w:t>
      </w:r>
      <w:proofErr w:type="spellStart"/>
      <w:r w:rsidRPr="00266A1E">
        <w:t>sIg</w:t>
      </w:r>
      <w:proofErr w:type="spellEnd"/>
      <w:r w:rsidRPr="00266A1E">
        <w:t xml:space="preserve"> expression levels were then measured by secondary staining using rabbit </w:t>
      </w:r>
      <w:proofErr w:type="gramStart"/>
      <w:r w:rsidR="00B72747" w:rsidRPr="00266A1E">
        <w:t>F(</w:t>
      </w:r>
      <w:proofErr w:type="spellStart"/>
      <w:proofErr w:type="gramEnd"/>
      <w:r w:rsidR="00B72747" w:rsidRPr="00266A1E">
        <w:t>ab</w:t>
      </w:r>
      <w:proofErr w:type="spellEnd"/>
      <w:r w:rsidR="00B72747">
        <w:t>`</w:t>
      </w:r>
      <w:r w:rsidR="00B72747" w:rsidRPr="00266A1E">
        <w:t>)</w:t>
      </w:r>
      <w:r w:rsidR="00B72747" w:rsidRPr="00AA32AB">
        <w:rPr>
          <w:vertAlign w:val="subscript"/>
        </w:rPr>
        <w:t>2</w:t>
      </w:r>
      <w:r w:rsidRPr="00266A1E">
        <w:t xml:space="preserve"> anti-goat </w:t>
      </w:r>
      <w:r w:rsidR="00B72747" w:rsidRPr="00266A1E">
        <w:t>F(</w:t>
      </w:r>
      <w:proofErr w:type="spellStart"/>
      <w:r w:rsidR="00B72747" w:rsidRPr="00266A1E">
        <w:t>ab</w:t>
      </w:r>
      <w:proofErr w:type="spellEnd"/>
      <w:r w:rsidR="00B72747">
        <w:t>`</w:t>
      </w:r>
      <w:r w:rsidR="00B72747" w:rsidRPr="00266A1E">
        <w:t>)</w:t>
      </w:r>
      <w:r w:rsidR="00B72747" w:rsidRPr="00AA32AB">
        <w:rPr>
          <w:vertAlign w:val="subscript"/>
        </w:rPr>
        <w:t>2</w:t>
      </w:r>
      <w:r w:rsidRPr="00266A1E">
        <w:t xml:space="preserve"> (A, top panels). Changes in expression of paired </w:t>
      </w:r>
      <w:proofErr w:type="spellStart"/>
      <w:r w:rsidRPr="00266A1E">
        <w:t>sIg</w:t>
      </w:r>
      <w:proofErr w:type="spellEnd"/>
      <w:r w:rsidRPr="00266A1E">
        <w:t xml:space="preserve"> were measured using rabbit </w:t>
      </w:r>
      <w:proofErr w:type="gramStart"/>
      <w:r w:rsidR="00B72747" w:rsidRPr="00266A1E">
        <w:t>F(</w:t>
      </w:r>
      <w:proofErr w:type="spellStart"/>
      <w:proofErr w:type="gramEnd"/>
      <w:r w:rsidR="00B72747" w:rsidRPr="00266A1E">
        <w:t>ab</w:t>
      </w:r>
      <w:proofErr w:type="spellEnd"/>
      <w:r w:rsidR="00B72747">
        <w:t>`</w:t>
      </w:r>
      <w:r w:rsidR="00B72747" w:rsidRPr="00266A1E">
        <w:t>)</w:t>
      </w:r>
      <w:r w:rsidR="00B72747" w:rsidRPr="00AA32AB">
        <w:rPr>
          <w:vertAlign w:val="subscript"/>
        </w:rPr>
        <w:t>2</w:t>
      </w:r>
      <w:r w:rsidRPr="00266A1E">
        <w:t xml:space="preserve"> anti-</w:t>
      </w:r>
      <w:proofErr w:type="spellStart"/>
      <w:r w:rsidRPr="00266A1E">
        <w:t>Ig</w:t>
      </w:r>
      <w:proofErr w:type="spellEnd"/>
      <w:r w:rsidRPr="00266A1E">
        <w:t xml:space="preserve"> (A, lower 2 rows). Loss of functional </w:t>
      </w:r>
      <w:proofErr w:type="spellStart"/>
      <w:r w:rsidRPr="00266A1E">
        <w:t>sIg</w:t>
      </w:r>
      <w:proofErr w:type="spellEnd"/>
      <w:r w:rsidRPr="00266A1E">
        <w:t xml:space="preserve"> was further confirmed by measuring induction of calcium flux following endocytosis (B). Using the anti-goat secondary antibody method (A, top panels) stimulation via </w:t>
      </w:r>
      <w:proofErr w:type="spellStart"/>
      <w:r w:rsidRPr="00266A1E">
        <w:t>sIgD</w:t>
      </w:r>
      <w:proofErr w:type="spellEnd"/>
      <w:r w:rsidRPr="00266A1E">
        <w:t xml:space="preserve">, </w:t>
      </w:r>
      <w:r w:rsidR="00B72747">
        <w:rPr>
          <w:rFonts w:ascii="Lucida Grande" w:hAnsi="Lucida Grande" w:cs="Lucida Grande"/>
        </w:rPr>
        <w:t>λ</w:t>
      </w:r>
      <w:r w:rsidRPr="00266A1E">
        <w:t xml:space="preserve"> and </w:t>
      </w:r>
      <w:proofErr w:type="spellStart"/>
      <w:r w:rsidRPr="00266A1E">
        <w:t>sIgM</w:t>
      </w:r>
      <w:proofErr w:type="spellEnd"/>
      <w:r w:rsidRPr="00266A1E">
        <w:t xml:space="preserve"> in Case 13 as a representative example resulted in reduction of surface expression of these specific </w:t>
      </w:r>
      <w:proofErr w:type="spellStart"/>
      <w:r w:rsidRPr="00266A1E">
        <w:t>isotypes</w:t>
      </w:r>
      <w:proofErr w:type="spellEnd"/>
      <w:r w:rsidRPr="00266A1E">
        <w:t xml:space="preserve">. Stimulation of non-functional </w:t>
      </w:r>
      <w:proofErr w:type="spellStart"/>
      <w:r w:rsidRPr="00266A1E">
        <w:t>sIgA</w:t>
      </w:r>
      <w:proofErr w:type="spellEnd"/>
      <w:r w:rsidRPr="00266A1E">
        <w:t xml:space="preserve"> in this </w:t>
      </w:r>
      <w:proofErr w:type="spellStart"/>
      <w:r w:rsidRPr="00266A1E">
        <w:t>tumor</w:t>
      </w:r>
      <w:proofErr w:type="spellEnd"/>
      <w:r w:rsidRPr="00266A1E">
        <w:t xml:space="preserve"> did not result in endocytosis (A, top right panel). Using the rabbit </w:t>
      </w:r>
      <w:proofErr w:type="gramStart"/>
      <w:r w:rsidR="00B72747" w:rsidRPr="00266A1E">
        <w:t>F(</w:t>
      </w:r>
      <w:proofErr w:type="spellStart"/>
      <w:proofErr w:type="gramEnd"/>
      <w:r w:rsidR="00B72747" w:rsidRPr="00266A1E">
        <w:t>ab</w:t>
      </w:r>
      <w:proofErr w:type="spellEnd"/>
      <w:r w:rsidR="00B72747">
        <w:t>`</w:t>
      </w:r>
      <w:r w:rsidR="00B72747" w:rsidRPr="00266A1E">
        <w:t>)</w:t>
      </w:r>
      <w:r w:rsidR="00B72747" w:rsidRPr="00AA32AB">
        <w:rPr>
          <w:vertAlign w:val="subscript"/>
        </w:rPr>
        <w:t>2</w:t>
      </w:r>
      <w:r w:rsidRPr="00266A1E">
        <w:t xml:space="preserve"> staining method (A, lower 2 rows) stimulation of </w:t>
      </w:r>
      <w:proofErr w:type="spellStart"/>
      <w:r w:rsidRPr="00266A1E">
        <w:t>sIgD</w:t>
      </w:r>
      <w:proofErr w:type="spellEnd"/>
      <w:r w:rsidRPr="00266A1E">
        <w:t xml:space="preserve"> (left panels) in Case 13 resulted in loss of </w:t>
      </w:r>
      <w:r w:rsidR="00B72747">
        <w:rPr>
          <w:rFonts w:ascii="Lucida Grande" w:hAnsi="Lucida Grande" w:cs="Lucida Grande"/>
        </w:rPr>
        <w:t>λ</w:t>
      </w:r>
      <w:r w:rsidRPr="00266A1E">
        <w:t xml:space="preserve">, but not </w:t>
      </w:r>
      <w:r w:rsidR="00B72747">
        <w:rPr>
          <w:rFonts w:ascii="Lucida Grande" w:hAnsi="Lucida Grande" w:cs="Lucida Grande"/>
        </w:rPr>
        <w:t>κ</w:t>
      </w:r>
      <w:r w:rsidRPr="00266A1E">
        <w:t xml:space="preserve"> light chain expression. Lambda stimulation, second column, resulted in loss of both surface </w:t>
      </w:r>
      <w:proofErr w:type="spellStart"/>
      <w:proofErr w:type="gramStart"/>
      <w:r w:rsidRPr="00266A1E">
        <w:t>IgD</w:t>
      </w:r>
      <w:proofErr w:type="spellEnd"/>
      <w:r w:rsidRPr="00266A1E">
        <w:t xml:space="preserve"> and </w:t>
      </w:r>
      <w:proofErr w:type="spellStart"/>
      <w:r w:rsidRPr="00266A1E">
        <w:t>IgM</w:t>
      </w:r>
      <w:proofErr w:type="spellEnd"/>
      <w:r w:rsidRPr="00266A1E">
        <w:t xml:space="preserve"> expression.</w:t>
      </w:r>
      <w:proofErr w:type="gramEnd"/>
      <w:r w:rsidRPr="00266A1E">
        <w:t xml:space="preserve"> </w:t>
      </w:r>
      <w:proofErr w:type="spellStart"/>
      <w:proofErr w:type="gramStart"/>
      <w:r w:rsidRPr="00266A1E">
        <w:t>IgM</w:t>
      </w:r>
      <w:proofErr w:type="spellEnd"/>
      <w:r w:rsidRPr="00266A1E">
        <w:t xml:space="preserve"> stimulation, third column, resulted in marginal loss of </w:t>
      </w:r>
      <w:r w:rsidR="00B72747">
        <w:rPr>
          <w:rFonts w:ascii="Lucida Grande" w:hAnsi="Lucida Grande" w:cs="Lucida Grande"/>
        </w:rPr>
        <w:t>λ</w:t>
      </w:r>
      <w:r w:rsidRPr="00266A1E">
        <w:t xml:space="preserve"> but not </w:t>
      </w:r>
      <w:r w:rsidR="00B72747">
        <w:rPr>
          <w:rFonts w:ascii="Lucida Grande" w:hAnsi="Lucida Grande" w:cs="Lucida Grande"/>
        </w:rPr>
        <w:t>κ</w:t>
      </w:r>
      <w:r w:rsidRPr="00266A1E">
        <w:t>; surface expression.</w:t>
      </w:r>
      <w:proofErr w:type="gramEnd"/>
      <w:r w:rsidRPr="00266A1E">
        <w:t xml:space="preserve"> Inset of a Table of the </w:t>
      </w:r>
      <w:proofErr w:type="spellStart"/>
      <w:r w:rsidRPr="00266A1E">
        <w:t>sIg</w:t>
      </w:r>
      <w:proofErr w:type="spellEnd"/>
      <w:r w:rsidRPr="00266A1E">
        <w:t xml:space="preserve"> phenotype and functional </w:t>
      </w:r>
      <w:proofErr w:type="spellStart"/>
      <w:r w:rsidRPr="00266A1E">
        <w:t>sIg</w:t>
      </w:r>
      <w:proofErr w:type="spellEnd"/>
      <w:r w:rsidRPr="00266A1E">
        <w:t xml:space="preserve"> </w:t>
      </w:r>
      <w:proofErr w:type="spellStart"/>
      <w:r w:rsidRPr="00266A1E">
        <w:t>isotypes</w:t>
      </w:r>
      <w:proofErr w:type="spellEnd"/>
      <w:r w:rsidRPr="00266A1E">
        <w:t xml:space="preserve"> is included for reference purposes to evaluate data (A, lower right). The ability to induce Ca</w:t>
      </w:r>
      <w:r w:rsidRPr="00B72747">
        <w:rPr>
          <w:vertAlign w:val="superscript"/>
        </w:rPr>
        <w:t>2+</w:t>
      </w:r>
      <w:r w:rsidRPr="00266A1E">
        <w:t xml:space="preserve"> flux (B) via </w:t>
      </w:r>
      <w:proofErr w:type="spellStart"/>
      <w:r w:rsidRPr="00266A1E">
        <w:t>IgD</w:t>
      </w:r>
      <w:proofErr w:type="spellEnd"/>
      <w:r w:rsidRPr="00266A1E">
        <w:t xml:space="preserve"> was markedly reduced following endocytosis by </w:t>
      </w:r>
      <w:r w:rsidR="00B72747">
        <w:rPr>
          <w:rFonts w:ascii="Lucida Grande" w:hAnsi="Lucida Grande" w:cs="Lucida Grande"/>
        </w:rPr>
        <w:t>λ</w:t>
      </w:r>
      <w:r w:rsidRPr="00266A1E">
        <w:t xml:space="preserve"> stimulation (B, left panel). Ability to induce Ca</w:t>
      </w:r>
      <w:r w:rsidRPr="00B72747">
        <w:rPr>
          <w:vertAlign w:val="superscript"/>
        </w:rPr>
        <w:t>2+</w:t>
      </w:r>
      <w:r w:rsidR="00B72747">
        <w:t xml:space="preserve"> </w:t>
      </w:r>
      <w:r w:rsidRPr="00266A1E">
        <w:t xml:space="preserve">flux via </w:t>
      </w:r>
      <w:r w:rsidR="00B72747">
        <w:rPr>
          <w:rFonts w:ascii="Lucida Grande" w:hAnsi="Lucida Grande" w:cs="Lucida Grande"/>
        </w:rPr>
        <w:t>λ</w:t>
      </w:r>
      <w:r w:rsidRPr="00266A1E">
        <w:t xml:space="preserve"> was ablated by </w:t>
      </w:r>
      <w:proofErr w:type="spellStart"/>
      <w:r w:rsidRPr="00266A1E">
        <w:t>IgD</w:t>
      </w:r>
      <w:proofErr w:type="spellEnd"/>
      <w:r w:rsidRPr="00266A1E">
        <w:t xml:space="preserve"> endocytosis and also greatly reduced by </w:t>
      </w:r>
      <w:proofErr w:type="spellStart"/>
      <w:r w:rsidRPr="00266A1E">
        <w:t>IgM</w:t>
      </w:r>
      <w:proofErr w:type="spellEnd"/>
      <w:r w:rsidRPr="00266A1E">
        <w:t xml:space="preserve"> endocytosis (B, centre panel). Similarly, </w:t>
      </w:r>
      <w:proofErr w:type="spellStart"/>
      <w:r w:rsidRPr="00266A1E">
        <w:t>IgM</w:t>
      </w:r>
      <w:proofErr w:type="spellEnd"/>
      <w:r w:rsidRPr="00266A1E">
        <w:t xml:space="preserve"> induced flux was completely ablated following endocytosis following anti-</w:t>
      </w:r>
      <w:r w:rsidR="00B72747">
        <w:rPr>
          <w:rFonts w:ascii="Lucida Grande" w:hAnsi="Lucida Grande" w:cs="Lucida Grande"/>
        </w:rPr>
        <w:t>λ</w:t>
      </w:r>
      <w:r w:rsidRPr="00266A1E">
        <w:t xml:space="preserve"> stimulation (B, right panel).</w:t>
      </w:r>
    </w:p>
    <w:p w14:paraId="780F2484" w14:textId="77777777" w:rsidR="00266A1E" w:rsidRPr="00266A1E" w:rsidRDefault="00266A1E" w:rsidP="009C42CF">
      <w:pPr>
        <w:pStyle w:val="PlainText"/>
      </w:pPr>
      <w:r w:rsidRPr="00266A1E">
        <w:t>10.1371/journal.pone.0086556.s002</w:t>
      </w:r>
    </w:p>
    <w:p w14:paraId="77F8DFE6" w14:textId="77777777" w:rsidR="00266A1E" w:rsidRPr="00266A1E" w:rsidRDefault="00266A1E" w:rsidP="009C42CF">
      <w:pPr>
        <w:pStyle w:val="PlainText"/>
      </w:pPr>
    </w:p>
    <w:p w14:paraId="21B275D0" w14:textId="77777777" w:rsidR="00266A1E" w:rsidRPr="00266A1E" w:rsidRDefault="00266A1E" w:rsidP="009C42CF">
      <w:pPr>
        <w:pStyle w:val="PlainText"/>
      </w:pPr>
      <w:r w:rsidRPr="00266A1E">
        <w:t>Figure_S3.tif</w:t>
      </w:r>
    </w:p>
    <w:p w14:paraId="0231BC49" w14:textId="327F8BD4" w:rsidR="00266A1E" w:rsidRPr="00266A1E" w:rsidRDefault="00266A1E" w:rsidP="009C42CF">
      <w:pPr>
        <w:pStyle w:val="PlainText"/>
      </w:pPr>
      <w:r w:rsidRPr="00903DAF">
        <w:rPr>
          <w:b/>
        </w:rPr>
        <w:t xml:space="preserve">Stimulation of BCR in </w:t>
      </w:r>
      <w:proofErr w:type="spellStart"/>
      <w:r w:rsidRPr="00903DAF">
        <w:rPr>
          <w:b/>
        </w:rPr>
        <w:t>mult</w:t>
      </w:r>
      <w:proofErr w:type="spellEnd"/>
      <w:r w:rsidRPr="00903DAF">
        <w:rPr>
          <w:b/>
        </w:rPr>
        <w:t>-HCL triggers apoptosis not proliferation.</w:t>
      </w:r>
      <w:r w:rsidRPr="00266A1E">
        <w:t xml:space="preserve"> Cells were stimulated with goat </w:t>
      </w:r>
      <w:proofErr w:type="gramStart"/>
      <w:r w:rsidR="00903DAF" w:rsidRPr="00266A1E">
        <w:t>F(</w:t>
      </w:r>
      <w:proofErr w:type="spellStart"/>
      <w:proofErr w:type="gramEnd"/>
      <w:r w:rsidR="00903DAF" w:rsidRPr="00266A1E">
        <w:t>ab</w:t>
      </w:r>
      <w:proofErr w:type="spellEnd"/>
      <w:r w:rsidR="00903DAF">
        <w:t>`</w:t>
      </w:r>
      <w:r w:rsidR="00903DAF" w:rsidRPr="00266A1E">
        <w:t>)</w:t>
      </w:r>
      <w:r w:rsidR="00903DAF" w:rsidRPr="00AA32AB">
        <w:rPr>
          <w:vertAlign w:val="subscript"/>
        </w:rPr>
        <w:t>2</w:t>
      </w:r>
      <w:r w:rsidRPr="00266A1E">
        <w:t xml:space="preserve"> anti-</w:t>
      </w:r>
      <w:proofErr w:type="spellStart"/>
      <w:r w:rsidRPr="00266A1E">
        <w:t>Ig</w:t>
      </w:r>
      <w:proofErr w:type="spellEnd"/>
      <w:r w:rsidRPr="00266A1E">
        <w:t xml:space="preserve"> antibodies for 4 hours at 37</w:t>
      </w:r>
      <w:r w:rsidR="00903DAF">
        <w:t>°</w:t>
      </w:r>
      <w:r w:rsidRPr="00266A1E">
        <w:t xml:space="preserve">C and early apoptosis was measured in CD19+CD11c+CD103+ HCL cells using </w:t>
      </w:r>
      <w:proofErr w:type="spellStart"/>
      <w:r w:rsidRPr="00266A1E">
        <w:t>Apostat</w:t>
      </w:r>
      <w:proofErr w:type="spellEnd"/>
      <w:r w:rsidRPr="00266A1E">
        <w:t xml:space="preserve"> (left panels). Alternatively, XTT, a </w:t>
      </w:r>
      <w:proofErr w:type="spellStart"/>
      <w:r w:rsidRPr="00266A1E">
        <w:t>tetrazolium</w:t>
      </w:r>
      <w:proofErr w:type="spellEnd"/>
      <w:r w:rsidRPr="00266A1E">
        <w:t xml:space="preserve"> salt that is cleaved to </w:t>
      </w:r>
      <w:proofErr w:type="spellStart"/>
      <w:r w:rsidRPr="00266A1E">
        <w:t>formazan</w:t>
      </w:r>
      <w:proofErr w:type="spellEnd"/>
      <w:r w:rsidRPr="00266A1E">
        <w:t xml:space="preserve"> in metabolically active cells only was used to assess viability and proliferation following anti-BCR stimuli and OD assayed at 490 nm (right panels). In 2/2 HCL cases (HCL #3, top panels; HCL #10, lower panels) </w:t>
      </w:r>
      <w:proofErr w:type="spellStart"/>
      <w:r w:rsidRPr="00266A1E">
        <w:t>ApoStat</w:t>
      </w:r>
      <w:proofErr w:type="spellEnd"/>
      <w:r w:rsidRPr="00266A1E">
        <w:t xml:space="preserve"> assays revealed significant increases in apoptosis in response to both functional heavy (</w:t>
      </w:r>
      <w:proofErr w:type="spellStart"/>
      <w:r w:rsidRPr="00266A1E">
        <w:t>IgG</w:t>
      </w:r>
      <w:proofErr w:type="spellEnd"/>
      <w:r w:rsidRPr="00266A1E">
        <w:t>) and light (</w:t>
      </w:r>
      <w:r w:rsidR="00903DAF">
        <w:rPr>
          <w:rFonts w:ascii="Lucida Grande" w:hAnsi="Lucida Grande" w:cs="Lucida Grande"/>
        </w:rPr>
        <w:t>κ</w:t>
      </w:r>
      <w:r w:rsidRPr="00266A1E">
        <w:t>; HCL 3)/</w:t>
      </w:r>
      <w:proofErr w:type="spellStart"/>
      <w:r w:rsidR="00903DAF">
        <w:rPr>
          <w:rFonts w:ascii="Lucida Grande" w:hAnsi="Lucida Grande" w:cs="Lucida Grande"/>
        </w:rPr>
        <w:t>λ</w:t>
      </w:r>
      <w:proofErr w:type="gramStart"/>
      <w:r w:rsidRPr="00266A1E">
        <w:t>;HCL</w:t>
      </w:r>
      <w:proofErr w:type="spellEnd"/>
      <w:proofErr w:type="gramEnd"/>
      <w:r w:rsidRPr="00266A1E">
        <w:t xml:space="preserve"> 10) chain stimulation. No apparent increase in numbers of metabolically active </w:t>
      </w:r>
      <w:proofErr w:type="spellStart"/>
      <w:r w:rsidRPr="00266A1E">
        <w:t>tumor</w:t>
      </w:r>
      <w:proofErr w:type="spellEnd"/>
      <w:r w:rsidRPr="00266A1E">
        <w:t xml:space="preserve"> cells was observed in response to BCR stimulation in either HCL case by XTT assay (right panels).</w:t>
      </w:r>
    </w:p>
    <w:p w14:paraId="4910EDE6" w14:textId="77777777" w:rsidR="00266A1E" w:rsidRPr="00266A1E" w:rsidRDefault="00266A1E" w:rsidP="009C42CF">
      <w:pPr>
        <w:pStyle w:val="PlainText"/>
      </w:pPr>
      <w:r w:rsidRPr="00266A1E">
        <w:t>10.1371/journal.pone.0086556.s003</w:t>
      </w:r>
    </w:p>
    <w:p w14:paraId="29835EEF" w14:textId="77777777" w:rsidR="00266A1E" w:rsidRPr="00266A1E" w:rsidRDefault="00266A1E" w:rsidP="009C42CF">
      <w:pPr>
        <w:pStyle w:val="PlainText"/>
      </w:pPr>
    </w:p>
    <w:p w14:paraId="2FDDC128" w14:textId="77777777" w:rsidR="00266A1E" w:rsidRPr="00266A1E" w:rsidRDefault="00266A1E" w:rsidP="009C42CF">
      <w:pPr>
        <w:pStyle w:val="PlainText"/>
      </w:pPr>
      <w:r w:rsidRPr="00266A1E">
        <w:t>File_S1.docx</w:t>
      </w:r>
    </w:p>
    <w:p w14:paraId="03F144FD" w14:textId="1D01FE99" w:rsidR="00266A1E" w:rsidRPr="00903DAF" w:rsidRDefault="00266A1E" w:rsidP="00903DAF">
      <w:pPr>
        <w:pStyle w:val="PlainText"/>
        <w:rPr>
          <w:b/>
        </w:rPr>
      </w:pPr>
      <w:r w:rsidRPr="00903DAF">
        <w:rPr>
          <w:b/>
        </w:rPr>
        <w:t>Contains supplementary materials and methods and Table S1</w:t>
      </w:r>
      <w:r w:rsidR="00903DAF" w:rsidRPr="00903DAF">
        <w:rPr>
          <w:b/>
        </w:rPr>
        <w:t>.</w:t>
      </w:r>
    </w:p>
    <w:p w14:paraId="59F044F2" w14:textId="77777777" w:rsidR="00266A1E" w:rsidRPr="00266A1E" w:rsidRDefault="00266A1E" w:rsidP="009C42CF">
      <w:pPr>
        <w:pStyle w:val="PlainText"/>
      </w:pPr>
      <w:r w:rsidRPr="00266A1E">
        <w:t>10.1371/journal.pone.0086556.s004</w:t>
      </w:r>
    </w:p>
    <w:p w14:paraId="7191EA1A" w14:textId="77777777" w:rsidR="00266A1E" w:rsidRPr="00266A1E" w:rsidRDefault="00266A1E" w:rsidP="009C42CF">
      <w:pPr>
        <w:pStyle w:val="PlainText"/>
      </w:pPr>
      <w:bookmarkStart w:id="0" w:name="_GoBack"/>
      <w:bookmarkEnd w:id="0"/>
    </w:p>
    <w:sectPr w:rsidR="00266A1E" w:rsidRPr="00266A1E" w:rsidSect="009C42CF">
      <w:pgSz w:w="11900" w:h="16840"/>
      <w:pgMar w:top="1440" w:right="909" w:bottom="1440" w:left="9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98"/>
    <w:rsid w:val="00266A1E"/>
    <w:rsid w:val="004C0098"/>
    <w:rsid w:val="00903DAF"/>
    <w:rsid w:val="00AA32AB"/>
    <w:rsid w:val="00B72747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9128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42C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42CF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42CF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42CF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534</Words>
  <Characters>3044</Characters>
  <Application>Microsoft Macintosh Word</Application>
  <DocSecurity>0</DocSecurity>
  <Lines>25</Lines>
  <Paragraphs>7</Paragraphs>
  <ScaleCrop>false</ScaleCrop>
  <Company>University of Southampton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Weston-Bell</dc:creator>
  <cp:keywords/>
  <dc:description/>
  <cp:lastModifiedBy>Nicola Weston-Bell</cp:lastModifiedBy>
  <cp:revision>5</cp:revision>
  <dcterms:created xsi:type="dcterms:W3CDTF">2015-05-06T11:34:00Z</dcterms:created>
  <dcterms:modified xsi:type="dcterms:W3CDTF">2015-05-06T11:43:00Z</dcterms:modified>
</cp:coreProperties>
</file>