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5DDBB" w14:textId="77777777" w:rsidR="004B7B4C" w:rsidRPr="004B7B4C" w:rsidRDefault="004B7B4C" w:rsidP="004B7B4C">
      <w:pPr>
        <w:jc w:val="center"/>
        <w:rPr>
          <w:rFonts w:cstheme="majorBidi"/>
          <w:b/>
          <w:bCs/>
        </w:rPr>
      </w:pPr>
      <w:bookmarkStart w:id="0" w:name="_GoBack"/>
      <w:bookmarkEnd w:id="0"/>
      <w:r w:rsidRPr="004B7B4C">
        <w:rPr>
          <w:rFonts w:cstheme="majorBidi"/>
          <w:b/>
          <w:bCs/>
        </w:rPr>
        <w:t>Modelling the optimal phosphate fertiliser and soil management strategy for crops</w:t>
      </w:r>
    </w:p>
    <w:p w14:paraId="3E181464" w14:textId="2A96F109" w:rsidR="004B7B4C" w:rsidRDefault="004B7B4C" w:rsidP="004B7B4C">
      <w:pPr>
        <w:rPr>
          <w:rFonts w:cstheme="majorBidi"/>
        </w:rPr>
      </w:pPr>
      <w:r w:rsidRPr="004B7B4C">
        <w:rPr>
          <w:rFonts w:cstheme="majorBidi"/>
        </w:rPr>
        <w:t>J. Heppell</w:t>
      </w:r>
      <w:r w:rsidRPr="004B7B4C">
        <w:rPr>
          <w:rFonts w:cstheme="majorBidi"/>
          <w:vertAlign w:val="superscript"/>
        </w:rPr>
        <w:t>1</w:t>
      </w:r>
      <w:r w:rsidR="00B16020" w:rsidRPr="004B7B4C">
        <w:rPr>
          <w:rFonts w:cstheme="majorBidi"/>
          <w:vertAlign w:val="superscript"/>
        </w:rPr>
        <w:t>, 3, 4, 5</w:t>
      </w:r>
      <w:r w:rsidRPr="004B7B4C">
        <w:rPr>
          <w:rFonts w:cstheme="majorBidi"/>
        </w:rPr>
        <w:t>, S. Payvandi</w:t>
      </w:r>
      <w:r w:rsidRPr="004B7B4C">
        <w:rPr>
          <w:rFonts w:cstheme="majorBidi"/>
          <w:vertAlign w:val="superscript"/>
        </w:rPr>
        <w:t>2</w:t>
      </w:r>
      <w:r w:rsidR="00B16020" w:rsidRPr="004B7B4C">
        <w:rPr>
          <w:rFonts w:cstheme="majorBidi"/>
          <w:vertAlign w:val="superscript"/>
        </w:rPr>
        <w:t>, 5</w:t>
      </w:r>
      <w:r w:rsidRPr="004B7B4C">
        <w:rPr>
          <w:rFonts w:cstheme="majorBidi"/>
        </w:rPr>
        <w:t>, P.Talboys</w:t>
      </w:r>
      <w:r w:rsidRPr="004B7B4C">
        <w:rPr>
          <w:rFonts w:cstheme="majorBidi"/>
          <w:vertAlign w:val="superscript"/>
        </w:rPr>
        <w:t>6</w:t>
      </w:r>
      <w:r w:rsidRPr="004B7B4C">
        <w:rPr>
          <w:rFonts w:cstheme="majorBidi"/>
        </w:rPr>
        <w:t>, K.</w:t>
      </w:r>
      <w:r w:rsidR="009E7AEE">
        <w:rPr>
          <w:rFonts w:cstheme="majorBidi"/>
        </w:rPr>
        <w:t xml:space="preserve"> C.</w:t>
      </w:r>
      <w:r w:rsidRPr="004B7B4C">
        <w:rPr>
          <w:rFonts w:cstheme="majorBidi"/>
        </w:rPr>
        <w:t xml:space="preserve"> Zygalakis</w:t>
      </w:r>
      <w:r w:rsidRPr="004B7B4C">
        <w:rPr>
          <w:rFonts w:cstheme="majorBidi"/>
          <w:vertAlign w:val="superscript"/>
        </w:rPr>
        <w:t>3</w:t>
      </w:r>
      <w:r w:rsidR="00B16020" w:rsidRPr="004B7B4C">
        <w:rPr>
          <w:rFonts w:cstheme="majorBidi"/>
          <w:vertAlign w:val="superscript"/>
        </w:rPr>
        <w:t>, 5</w:t>
      </w:r>
      <w:r w:rsidRPr="004B7B4C">
        <w:rPr>
          <w:rFonts w:cstheme="majorBidi"/>
        </w:rPr>
        <w:t>, J. Fliege</w:t>
      </w:r>
      <w:r w:rsidRPr="004B7B4C">
        <w:rPr>
          <w:rFonts w:cstheme="majorBidi"/>
          <w:vertAlign w:val="superscript"/>
        </w:rPr>
        <w:t>3</w:t>
      </w:r>
      <w:r w:rsidR="00B16020" w:rsidRPr="004B7B4C">
        <w:rPr>
          <w:rFonts w:cstheme="majorBidi"/>
          <w:vertAlign w:val="superscript"/>
        </w:rPr>
        <w:t>, 4</w:t>
      </w:r>
      <w:r w:rsidRPr="004B7B4C">
        <w:rPr>
          <w:rFonts w:cstheme="majorBidi"/>
        </w:rPr>
        <w:t>,</w:t>
      </w:r>
      <w:r w:rsidR="00D1536F">
        <w:rPr>
          <w:rFonts w:cstheme="majorBidi"/>
        </w:rPr>
        <w:t xml:space="preserve"> D. Langton</w:t>
      </w:r>
      <w:r w:rsidR="00D1536F" w:rsidRPr="00D1536F">
        <w:rPr>
          <w:rFonts w:cstheme="majorBidi"/>
          <w:vertAlign w:val="superscript"/>
        </w:rPr>
        <w:t>7</w:t>
      </w:r>
      <w:r w:rsidR="00D1536F">
        <w:rPr>
          <w:rFonts w:cstheme="majorBidi"/>
        </w:rPr>
        <w:t>,</w:t>
      </w:r>
      <w:r w:rsidRPr="004B7B4C">
        <w:rPr>
          <w:rFonts w:cstheme="majorBidi"/>
        </w:rPr>
        <w:t xml:space="preserve"> R.Sylvester-Bradley</w:t>
      </w:r>
      <w:r w:rsidR="00D1536F">
        <w:rPr>
          <w:rFonts w:cstheme="majorBidi"/>
          <w:vertAlign w:val="superscript"/>
        </w:rPr>
        <w:t>8</w:t>
      </w:r>
      <w:r w:rsidRPr="004B7B4C">
        <w:rPr>
          <w:rFonts w:cstheme="majorBidi"/>
        </w:rPr>
        <w:t>, R.Walker</w:t>
      </w:r>
      <w:r w:rsidR="00D1536F">
        <w:rPr>
          <w:rFonts w:cstheme="majorBidi"/>
          <w:vertAlign w:val="superscript"/>
        </w:rPr>
        <w:t>9</w:t>
      </w:r>
      <w:r w:rsidRPr="004B7B4C">
        <w:rPr>
          <w:rFonts w:cstheme="majorBidi"/>
        </w:rPr>
        <w:t>, D.L.Jones</w:t>
      </w:r>
      <w:r w:rsidRPr="004B7B4C">
        <w:rPr>
          <w:rFonts w:cstheme="majorBidi"/>
          <w:vertAlign w:val="superscript"/>
        </w:rPr>
        <w:t>6</w:t>
      </w:r>
      <w:r w:rsidRPr="004B7B4C">
        <w:rPr>
          <w:rFonts w:cstheme="majorBidi"/>
        </w:rPr>
        <w:t xml:space="preserve"> and T. Roose</w:t>
      </w:r>
      <w:r w:rsidRPr="004B7B4C">
        <w:rPr>
          <w:rFonts w:cstheme="majorBidi"/>
          <w:vertAlign w:val="superscript"/>
        </w:rPr>
        <w:t>2</w:t>
      </w:r>
      <w:r w:rsidR="00B16020" w:rsidRPr="004B7B4C">
        <w:rPr>
          <w:rFonts w:cstheme="majorBidi"/>
          <w:vertAlign w:val="superscript"/>
        </w:rPr>
        <w:t>, 5</w:t>
      </w:r>
      <w:r w:rsidRPr="004B7B4C">
        <w:rPr>
          <w:rFonts w:cstheme="majorBidi"/>
        </w:rPr>
        <w:t xml:space="preserve"> </w:t>
      </w:r>
    </w:p>
    <w:p w14:paraId="239B0819" w14:textId="6AE6075F" w:rsidR="00BD4690" w:rsidRDefault="00BD4690" w:rsidP="009D5CBD">
      <w:pPr>
        <w:rPr>
          <w:rFonts w:cstheme="majorBidi"/>
        </w:rPr>
      </w:pPr>
      <w:proofErr w:type="gramStart"/>
      <w:r w:rsidRPr="00BD4690">
        <w:rPr>
          <w:rFonts w:cstheme="majorBidi"/>
          <w:vertAlign w:val="superscript"/>
        </w:rPr>
        <w:t>1</w:t>
      </w:r>
      <w:r w:rsidRPr="00BD4690">
        <w:rPr>
          <w:rFonts w:cstheme="majorBidi"/>
        </w:rPr>
        <w:t>Institute for Complex Systems Simulation, University of Southampton, Southampton, UK.</w:t>
      </w:r>
      <w:proofErr w:type="gramEnd"/>
      <w:r w:rsidRPr="00BD4690">
        <w:rPr>
          <w:rFonts w:cstheme="majorBidi"/>
        </w:rPr>
        <w:t xml:space="preserve"> </w:t>
      </w:r>
      <w:proofErr w:type="gramStart"/>
      <w:r w:rsidRPr="00BD4690">
        <w:rPr>
          <w:rFonts w:cstheme="majorBidi"/>
          <w:vertAlign w:val="superscript"/>
        </w:rPr>
        <w:t>2</w:t>
      </w:r>
      <w:r w:rsidRPr="00BD4690">
        <w:rPr>
          <w:rFonts w:cstheme="majorBidi"/>
        </w:rPr>
        <w:t>Faculty of Engineering and the Environment, University of Southampton, Southampton, UK.</w:t>
      </w:r>
      <w:proofErr w:type="gramEnd"/>
      <w:r>
        <w:rPr>
          <w:rFonts w:cstheme="majorBidi"/>
        </w:rPr>
        <w:t xml:space="preserve"> </w:t>
      </w:r>
      <w:proofErr w:type="gramStart"/>
      <w:r w:rsidRPr="00BD4690">
        <w:rPr>
          <w:rFonts w:cstheme="majorBidi"/>
          <w:vertAlign w:val="superscript"/>
        </w:rPr>
        <w:t>3</w:t>
      </w:r>
      <w:r w:rsidRPr="00BD4690">
        <w:rPr>
          <w:rFonts w:cstheme="majorBidi"/>
        </w:rPr>
        <w:t>School of Mathematics, University of Southampton, Southampton, UK.</w:t>
      </w:r>
      <w:proofErr w:type="gramEnd"/>
      <w:r w:rsidRPr="00BD4690">
        <w:rPr>
          <w:rFonts w:cstheme="majorBidi"/>
        </w:rPr>
        <w:t xml:space="preserve"> </w:t>
      </w:r>
      <w:proofErr w:type="gramStart"/>
      <w:r w:rsidRPr="00BD4690">
        <w:rPr>
          <w:rFonts w:cstheme="majorBidi"/>
          <w:vertAlign w:val="superscript"/>
        </w:rPr>
        <w:t>4</w:t>
      </w:r>
      <w:r w:rsidRPr="00BD4690">
        <w:rPr>
          <w:rFonts w:cstheme="majorBidi"/>
        </w:rPr>
        <w:t>CORMSIS, University of Southampton, Southampton UK</w:t>
      </w:r>
      <w:r>
        <w:rPr>
          <w:rFonts w:cstheme="majorBidi"/>
        </w:rPr>
        <w:t>.</w:t>
      </w:r>
      <w:proofErr w:type="gramEnd"/>
      <w:r>
        <w:rPr>
          <w:rFonts w:cstheme="majorBidi"/>
        </w:rPr>
        <w:t xml:space="preserve"> </w:t>
      </w:r>
      <w:r w:rsidRPr="00BD4690">
        <w:rPr>
          <w:rFonts w:cstheme="majorBidi"/>
          <w:vertAlign w:val="superscript"/>
        </w:rPr>
        <w:t>5</w:t>
      </w:r>
      <w:r w:rsidRPr="00BD4690">
        <w:rPr>
          <w:rFonts w:cstheme="majorBidi"/>
        </w:rPr>
        <w:t>IFLS Crop Systems Engineering, University of Southampton, Southampton, UK</w:t>
      </w:r>
      <w:r>
        <w:rPr>
          <w:rFonts w:cstheme="majorBidi"/>
        </w:rPr>
        <w:t xml:space="preserve">. </w:t>
      </w:r>
      <w:proofErr w:type="gramStart"/>
      <w:r w:rsidRPr="00BD4690">
        <w:rPr>
          <w:rFonts w:cstheme="majorBidi"/>
          <w:vertAlign w:val="superscript"/>
        </w:rPr>
        <w:t>6</w:t>
      </w:r>
      <w:r w:rsidRPr="00BD4690">
        <w:rPr>
          <w:rFonts w:cstheme="majorBidi"/>
        </w:rPr>
        <w:t>School of Environment, Natural Resources and Geography, University of Bangor, Bangor 57 2UW, UK</w:t>
      </w:r>
      <w:r>
        <w:rPr>
          <w:rFonts w:cstheme="majorBidi"/>
        </w:rPr>
        <w:t>.</w:t>
      </w:r>
      <w:proofErr w:type="gramEnd"/>
      <w:r>
        <w:rPr>
          <w:rFonts w:cstheme="majorBidi"/>
        </w:rPr>
        <w:t xml:space="preserve"> </w:t>
      </w:r>
      <w:proofErr w:type="gramStart"/>
      <w:r w:rsidRPr="00BD4690">
        <w:rPr>
          <w:rFonts w:cstheme="majorBidi"/>
          <w:vertAlign w:val="superscript"/>
        </w:rPr>
        <w:t>7</w:t>
      </w:r>
      <w:r w:rsidR="009D5CBD">
        <w:rPr>
          <w:rFonts w:cstheme="majorBidi"/>
        </w:rPr>
        <w:t>Agrii</w:t>
      </w:r>
      <w:r>
        <w:rPr>
          <w:rFonts w:cstheme="majorBidi"/>
        </w:rPr>
        <w:t>, UK.</w:t>
      </w:r>
      <w:proofErr w:type="gramEnd"/>
      <w:r>
        <w:rPr>
          <w:rFonts w:cstheme="majorBidi"/>
        </w:rPr>
        <w:t xml:space="preserve"> </w:t>
      </w:r>
      <w:proofErr w:type="gramStart"/>
      <w:r w:rsidR="00FB5D5F">
        <w:rPr>
          <w:rFonts w:cstheme="majorBidi"/>
          <w:vertAlign w:val="superscript"/>
        </w:rPr>
        <w:t>8</w:t>
      </w:r>
      <w:r w:rsidR="00FB5D5F" w:rsidRPr="00FB5D5F">
        <w:rPr>
          <w:rFonts w:cstheme="majorBidi"/>
        </w:rPr>
        <w:t xml:space="preserve">ADAS </w:t>
      </w:r>
      <w:proofErr w:type="spellStart"/>
      <w:r w:rsidR="00FB5D5F" w:rsidRPr="00FB5D5F">
        <w:rPr>
          <w:rFonts w:cstheme="majorBidi"/>
        </w:rPr>
        <w:t>Boxworth</w:t>
      </w:r>
      <w:proofErr w:type="spellEnd"/>
      <w:r w:rsidR="00FB5D5F" w:rsidRPr="00FB5D5F">
        <w:rPr>
          <w:rFonts w:cstheme="majorBidi"/>
        </w:rPr>
        <w:t>, Cambridge CB23 4NN, UK.</w:t>
      </w:r>
      <w:proofErr w:type="gramEnd"/>
      <w:r>
        <w:rPr>
          <w:rFonts w:cstheme="majorBidi"/>
        </w:rPr>
        <w:t xml:space="preserve"> </w:t>
      </w:r>
      <w:r w:rsidRPr="00BD4690">
        <w:rPr>
          <w:rFonts w:cstheme="majorBidi"/>
          <w:vertAlign w:val="superscript"/>
        </w:rPr>
        <w:t>9</w:t>
      </w:r>
      <w:r>
        <w:rPr>
          <w:rFonts w:cstheme="majorBidi"/>
        </w:rPr>
        <w:t>Scotland’s Rural College, Aberdeen, AB21 9YA.</w:t>
      </w:r>
    </w:p>
    <w:p w14:paraId="146AC014" w14:textId="4384885B" w:rsidR="00427740" w:rsidRPr="004B7B4C" w:rsidRDefault="00427740" w:rsidP="009D5CBD">
      <w:pPr>
        <w:rPr>
          <w:rFonts w:cstheme="majorBidi"/>
        </w:rPr>
      </w:pPr>
      <w:r>
        <w:rPr>
          <w:rFonts w:cstheme="majorBidi"/>
        </w:rPr>
        <w:t xml:space="preserve">Corresponding Author: </w:t>
      </w:r>
      <w:hyperlink r:id="rId8" w:history="1">
        <w:r w:rsidRPr="00270CAA">
          <w:rPr>
            <w:rStyle w:val="Hyperlink"/>
            <w:rFonts w:cstheme="majorBidi"/>
          </w:rPr>
          <w:t>jph106@soton.ac.uk</w:t>
        </w:r>
      </w:hyperlink>
      <w:r>
        <w:rPr>
          <w:rFonts w:cstheme="majorBidi"/>
        </w:rPr>
        <w:t xml:space="preserve"> (J. Heppell)</w:t>
      </w:r>
    </w:p>
    <w:p w14:paraId="4307105E" w14:textId="25035F07" w:rsidR="009C686F" w:rsidRPr="00B6334A" w:rsidRDefault="007E213D" w:rsidP="009C686F">
      <w:pPr>
        <w:spacing w:after="0"/>
        <w:jc w:val="both"/>
        <w:rPr>
          <w:rFonts w:cstheme="majorBidi"/>
        </w:rPr>
      </w:pPr>
      <w:r w:rsidRPr="0083765E">
        <w:rPr>
          <w:b/>
          <w:bCs/>
        </w:rPr>
        <w:t>Abstract:</w:t>
      </w:r>
      <w:r>
        <w:rPr>
          <w:b/>
          <w:bCs/>
        </w:rPr>
        <w:t xml:space="preserve"> </w:t>
      </w:r>
    </w:p>
    <w:p w14:paraId="2C605D33" w14:textId="4EABCF8E" w:rsidR="00C11D2E" w:rsidRDefault="00C11D2E" w:rsidP="001D7CFB">
      <w:pPr>
        <w:jc w:val="both"/>
      </w:pPr>
      <w:r w:rsidRPr="009C686F">
        <w:rPr>
          <w:i/>
          <w:iCs/>
        </w:rPr>
        <w:t>Aims</w:t>
      </w:r>
      <w:r>
        <w:t xml:space="preserve"> </w:t>
      </w:r>
      <w:r w:rsidR="009C686F" w:rsidRPr="004B7B4C">
        <w:rPr>
          <w:rFonts w:cstheme="majorBidi"/>
        </w:rPr>
        <w:t xml:space="preserve">The readily available global rock phosphate (P) reserves </w:t>
      </w:r>
      <w:r w:rsidR="009C686F">
        <w:rPr>
          <w:rFonts w:cstheme="majorBidi"/>
        </w:rPr>
        <w:t>may</w:t>
      </w:r>
      <w:r w:rsidR="009C686F" w:rsidRPr="004B7B4C">
        <w:rPr>
          <w:rFonts w:cstheme="majorBidi"/>
        </w:rPr>
        <w:t xml:space="preserve"> </w:t>
      </w:r>
      <w:r w:rsidR="009C686F">
        <w:rPr>
          <w:rFonts w:cstheme="majorBidi"/>
        </w:rPr>
        <w:t>be depleted</w:t>
      </w:r>
      <w:r w:rsidR="009C686F" w:rsidRPr="004B7B4C">
        <w:rPr>
          <w:rFonts w:cstheme="majorBidi"/>
        </w:rPr>
        <w:t xml:space="preserve"> within the next 50-130 years</w:t>
      </w:r>
      <w:r w:rsidR="009C686F">
        <w:rPr>
          <w:rFonts w:cstheme="majorBidi"/>
        </w:rPr>
        <w:t xml:space="preserve"> </w:t>
      </w:r>
      <w:r w:rsidR="00F31D4E">
        <w:rPr>
          <w:rFonts w:cstheme="majorBidi"/>
        </w:rPr>
        <w:t xml:space="preserve">warranting </w:t>
      </w:r>
      <w:r w:rsidR="00F852C2">
        <w:rPr>
          <w:rFonts w:cstheme="majorBidi"/>
        </w:rPr>
        <w:t>c</w:t>
      </w:r>
      <w:r w:rsidR="009C686F" w:rsidRPr="004B7B4C">
        <w:rPr>
          <w:rFonts w:cstheme="majorBidi"/>
        </w:rPr>
        <w:t>areful use of thi</w:t>
      </w:r>
      <w:r w:rsidR="009C686F">
        <w:rPr>
          <w:rFonts w:cstheme="majorBidi"/>
        </w:rPr>
        <w:t>s finite resource</w:t>
      </w:r>
      <w:r w:rsidR="009C686F" w:rsidRPr="004B7B4C">
        <w:rPr>
          <w:rFonts w:cstheme="majorBidi"/>
        </w:rPr>
        <w:t xml:space="preserve">. We </w:t>
      </w:r>
      <w:r w:rsidR="009C686F">
        <w:rPr>
          <w:rFonts w:cstheme="majorBidi"/>
        </w:rPr>
        <w:t>develop a model that allows us to assess</w:t>
      </w:r>
      <w:r w:rsidR="009C686F" w:rsidRPr="004B7B4C">
        <w:rPr>
          <w:rFonts w:cstheme="majorBidi"/>
        </w:rPr>
        <w:t xml:space="preserve"> </w:t>
      </w:r>
      <w:r w:rsidR="009C686F">
        <w:rPr>
          <w:rFonts w:cstheme="majorBidi"/>
        </w:rPr>
        <w:t>a range of P</w:t>
      </w:r>
      <w:r w:rsidR="009C686F" w:rsidRPr="004B7B4C">
        <w:rPr>
          <w:rFonts w:cstheme="majorBidi"/>
        </w:rPr>
        <w:t xml:space="preserve"> fertiliser and soil management strategies</w:t>
      </w:r>
      <w:r w:rsidR="007C5C73">
        <w:rPr>
          <w:rFonts w:cstheme="majorBidi"/>
        </w:rPr>
        <w:t xml:space="preserve"> for Barley</w:t>
      </w:r>
      <w:r w:rsidR="009C686F">
        <w:rPr>
          <w:rFonts w:cstheme="majorBidi"/>
        </w:rPr>
        <w:t xml:space="preserve"> in order to find which one maximises</w:t>
      </w:r>
      <w:r w:rsidR="009C686F" w:rsidRPr="004B7B4C">
        <w:rPr>
          <w:rFonts w:cstheme="majorBidi"/>
        </w:rPr>
        <w:t xml:space="preserve"> plant P uptake</w:t>
      </w:r>
      <w:r w:rsidR="009C686F">
        <w:rPr>
          <w:rFonts w:cstheme="majorBidi"/>
        </w:rPr>
        <w:t xml:space="preserve"> </w:t>
      </w:r>
      <w:r w:rsidR="001D7CFB">
        <w:rPr>
          <w:rFonts w:cstheme="majorBidi"/>
        </w:rPr>
        <w:t>under certain</w:t>
      </w:r>
      <w:r w:rsidR="009C686F">
        <w:rPr>
          <w:rFonts w:cstheme="majorBidi"/>
        </w:rPr>
        <w:t xml:space="preserve"> climate conditions</w:t>
      </w:r>
      <w:r w:rsidR="009C686F" w:rsidRPr="004B7B4C">
        <w:rPr>
          <w:rFonts w:cstheme="majorBidi"/>
        </w:rPr>
        <w:t>.</w:t>
      </w:r>
    </w:p>
    <w:p w14:paraId="57E6BD1C" w14:textId="6C310B94" w:rsidR="00C11D2E" w:rsidRDefault="00C11D2E" w:rsidP="00387A91">
      <w:pPr>
        <w:jc w:val="both"/>
      </w:pPr>
      <w:r w:rsidRPr="009C686F">
        <w:rPr>
          <w:i/>
          <w:iCs/>
        </w:rPr>
        <w:t>Methods</w:t>
      </w:r>
      <w:r w:rsidR="009C686F">
        <w:t xml:space="preserve"> </w:t>
      </w:r>
      <w:r w:rsidR="009C686F">
        <w:rPr>
          <w:rFonts w:cstheme="majorBidi"/>
        </w:rPr>
        <w:t>Our</w:t>
      </w:r>
      <w:r w:rsidR="009C686F" w:rsidRPr="004B7B4C">
        <w:rPr>
          <w:rFonts w:cstheme="majorBidi"/>
        </w:rPr>
        <w:t xml:space="preserve"> model describes the development of the </w:t>
      </w:r>
      <w:r w:rsidR="009C686F">
        <w:rPr>
          <w:rFonts w:cstheme="majorBidi"/>
        </w:rPr>
        <w:t>P</w:t>
      </w:r>
      <w:r w:rsidR="009C686F" w:rsidRPr="004B7B4C">
        <w:rPr>
          <w:rFonts w:cstheme="majorBidi"/>
        </w:rPr>
        <w:t xml:space="preserve"> and wate</w:t>
      </w:r>
      <w:r w:rsidR="009C686F">
        <w:rPr>
          <w:rFonts w:cstheme="majorBidi"/>
        </w:rPr>
        <w:t>r profiles within the soil</w:t>
      </w:r>
      <w:r w:rsidR="009C686F" w:rsidRPr="004B7B4C">
        <w:rPr>
          <w:rFonts w:cstheme="majorBidi"/>
        </w:rPr>
        <w:t>. Current cultivation techniques such as ploughing and reduced till gradient are simulated along with fertiliser options to feed the top soil or</w:t>
      </w:r>
      <w:r w:rsidR="009C686F">
        <w:rPr>
          <w:rFonts w:cstheme="majorBidi"/>
        </w:rPr>
        <w:t xml:space="preserve"> the soil right</w:t>
      </w:r>
      <w:r w:rsidR="009C686F" w:rsidRPr="004B7B4C">
        <w:rPr>
          <w:rFonts w:cstheme="majorBidi"/>
        </w:rPr>
        <w:t xml:space="preserve"> below the seed.</w:t>
      </w:r>
      <w:r w:rsidR="00387A91">
        <w:rPr>
          <w:rFonts w:cstheme="majorBidi"/>
        </w:rPr>
        <w:t xml:space="preserve"> </w:t>
      </w:r>
    </w:p>
    <w:p w14:paraId="59639E21" w14:textId="22727C4F" w:rsidR="00C11D2E" w:rsidRDefault="00C11D2E" w:rsidP="001D7CFB">
      <w:pPr>
        <w:jc w:val="both"/>
      </w:pPr>
      <w:r w:rsidRPr="009C686F">
        <w:rPr>
          <w:i/>
          <w:iCs/>
        </w:rPr>
        <w:t>Results</w:t>
      </w:r>
      <w:r w:rsidR="009C686F">
        <w:t xml:space="preserve"> </w:t>
      </w:r>
      <w:r w:rsidR="00387A91">
        <w:rPr>
          <w:rFonts w:cstheme="majorBidi"/>
        </w:rPr>
        <w:t>Our model was able to fit</w:t>
      </w:r>
      <w:r w:rsidR="00F31D4E">
        <w:rPr>
          <w:rFonts w:cstheme="majorBidi"/>
        </w:rPr>
        <w:t xml:space="preserve"> data from two barley field tria</w:t>
      </w:r>
      <w:r w:rsidR="00387A91">
        <w:rPr>
          <w:rFonts w:cstheme="majorBidi"/>
        </w:rPr>
        <w:t xml:space="preserve">ls, achieving a good fit at early growth stages but a poor fit at late growth stages, </w:t>
      </w:r>
      <w:r w:rsidR="001D7CFB">
        <w:rPr>
          <w:rFonts w:cstheme="majorBidi"/>
        </w:rPr>
        <w:t xml:space="preserve">where the model </w:t>
      </w:r>
      <w:r w:rsidR="00387A91">
        <w:rPr>
          <w:rFonts w:cstheme="majorBidi"/>
        </w:rPr>
        <w:t>underestimat</w:t>
      </w:r>
      <w:r w:rsidR="001D7CFB">
        <w:rPr>
          <w:rFonts w:cstheme="majorBidi"/>
        </w:rPr>
        <w:t>ed</w:t>
      </w:r>
      <w:r w:rsidR="00387A91">
        <w:rPr>
          <w:rFonts w:cstheme="majorBidi"/>
        </w:rPr>
        <w:t xml:space="preserve"> plant P uptake. </w:t>
      </w:r>
      <w:r w:rsidR="009C686F">
        <w:rPr>
          <w:rFonts w:cstheme="majorBidi"/>
        </w:rPr>
        <w:t>A</w:t>
      </w:r>
      <w:r w:rsidR="009C686F" w:rsidRPr="004B7B4C">
        <w:rPr>
          <w:rFonts w:cstheme="majorBidi"/>
        </w:rPr>
        <w:t xml:space="preserve"> well-mixed soil (</w:t>
      </w:r>
      <w:r w:rsidR="009C686F">
        <w:rPr>
          <w:rFonts w:cstheme="majorBidi"/>
        </w:rPr>
        <w:t>inverted and 25 cm ploughing</w:t>
      </w:r>
      <w:r w:rsidR="009C686F" w:rsidRPr="004B7B4C">
        <w:rPr>
          <w:rFonts w:cstheme="majorBidi"/>
        </w:rPr>
        <w:t xml:space="preserve">) is </w:t>
      </w:r>
      <w:r w:rsidR="009C686F">
        <w:rPr>
          <w:rFonts w:cstheme="majorBidi"/>
        </w:rPr>
        <w:t>important</w:t>
      </w:r>
      <w:r w:rsidR="009C686F" w:rsidRPr="004B7B4C">
        <w:rPr>
          <w:rFonts w:cstheme="majorBidi"/>
        </w:rPr>
        <w:t xml:space="preserve"> for optimal</w:t>
      </w:r>
      <w:r w:rsidR="009C686F">
        <w:rPr>
          <w:rFonts w:cstheme="majorBidi"/>
        </w:rPr>
        <w:t xml:space="preserve"> plant</w:t>
      </w:r>
      <w:r w:rsidR="009C686F" w:rsidRPr="004B7B4C">
        <w:rPr>
          <w:rFonts w:cstheme="majorBidi"/>
        </w:rPr>
        <w:t xml:space="preserve"> P uptake and provides the best environment for the root system.</w:t>
      </w:r>
      <w:r w:rsidR="00387A91">
        <w:rPr>
          <w:rFonts w:cstheme="majorBidi"/>
        </w:rPr>
        <w:t xml:space="preserve"> </w:t>
      </w:r>
    </w:p>
    <w:p w14:paraId="166DDB50" w14:textId="37FB9062" w:rsidR="009C686F" w:rsidRDefault="00C11D2E" w:rsidP="009C686F">
      <w:pPr>
        <w:spacing w:after="0"/>
        <w:jc w:val="both"/>
        <w:rPr>
          <w:rFonts w:cstheme="majorBidi"/>
        </w:rPr>
      </w:pPr>
      <w:r w:rsidRPr="009C686F">
        <w:rPr>
          <w:i/>
          <w:iCs/>
        </w:rPr>
        <w:t>Conclusions</w:t>
      </w:r>
      <w:r>
        <w:t xml:space="preserve"> </w:t>
      </w:r>
      <w:r w:rsidR="009C686F">
        <w:t>T</w:t>
      </w:r>
      <w:r w:rsidR="009C686F">
        <w:rPr>
          <w:rFonts w:cstheme="majorBidi"/>
        </w:rPr>
        <w:t>he model is sensitive to the initial state of P and its distribution within the soil profile; experimental parameters which are sparsely measured.</w:t>
      </w:r>
      <w:r w:rsidR="009C686F" w:rsidRPr="004B7B4C">
        <w:rPr>
          <w:rFonts w:cstheme="majorBidi"/>
        </w:rPr>
        <w:t xml:space="preserve"> The combination of modelling and experimental data provides useful </w:t>
      </w:r>
      <w:r w:rsidR="009C686F">
        <w:rPr>
          <w:rFonts w:cstheme="majorBidi"/>
        </w:rPr>
        <w:t xml:space="preserve">agricultural </w:t>
      </w:r>
      <w:r w:rsidR="009C686F" w:rsidRPr="004B7B4C">
        <w:rPr>
          <w:rFonts w:cstheme="majorBidi"/>
        </w:rPr>
        <w:t>predictions for site specific locations.</w:t>
      </w:r>
    </w:p>
    <w:p w14:paraId="0BD03C14" w14:textId="355F989F" w:rsidR="007E213D" w:rsidRDefault="007E213D" w:rsidP="00B92F5E">
      <w:pPr>
        <w:jc w:val="both"/>
      </w:pPr>
    </w:p>
    <w:p w14:paraId="4DAA2843" w14:textId="38B0727E" w:rsidR="00C11D2E" w:rsidRPr="00C11D2E" w:rsidRDefault="00C11D2E" w:rsidP="00C11D2E">
      <w:pPr>
        <w:jc w:val="both"/>
      </w:pPr>
      <w:r w:rsidRPr="00C11D2E">
        <w:rPr>
          <w:b/>
          <w:bCs/>
        </w:rPr>
        <w:t>Keywords</w:t>
      </w:r>
      <w:r>
        <w:rPr>
          <w:b/>
          <w:bCs/>
        </w:rPr>
        <w:t xml:space="preserve"> </w:t>
      </w:r>
      <w:r w:rsidRPr="00C11D2E">
        <w:t xml:space="preserve">Mathematical </w:t>
      </w:r>
      <w:r>
        <w:t>m</w:t>
      </w:r>
      <w:r w:rsidR="003A755C">
        <w:t>odelling, phosphate, fertilis</w:t>
      </w:r>
      <w:r>
        <w:t>er strategy, barley field study, soil buffer power</w:t>
      </w:r>
    </w:p>
    <w:p w14:paraId="4E9D8050" w14:textId="77777777" w:rsidR="007E213D" w:rsidRPr="00965661" w:rsidRDefault="007E213D" w:rsidP="00B92F5E">
      <w:pPr>
        <w:jc w:val="both"/>
        <w:rPr>
          <w:b/>
          <w:bCs/>
        </w:rPr>
      </w:pPr>
      <w:r w:rsidRPr="00965661">
        <w:rPr>
          <w:b/>
          <w:bCs/>
        </w:rPr>
        <w:t>Introduction</w:t>
      </w:r>
    </w:p>
    <w:p w14:paraId="279805C2" w14:textId="145B5432" w:rsidR="00A45447" w:rsidRPr="0025492B" w:rsidRDefault="00BA3290" w:rsidP="00F31252">
      <w:pPr>
        <w:jc w:val="both"/>
      </w:pPr>
      <w:r>
        <w:t>Within the agricultural industry, t</w:t>
      </w:r>
      <w:r w:rsidR="00A45447">
        <w:t>he m</w:t>
      </w:r>
      <w:r w:rsidR="003A0DF8">
        <w:t xml:space="preserve">anagement of soils and crops varies widely </w:t>
      </w:r>
      <w:r w:rsidR="00A45447">
        <w:t>around the world</w:t>
      </w:r>
      <w:r w:rsidR="00212449">
        <w:t xml:space="preserve"> (Jordan-</w:t>
      </w:r>
      <w:proofErr w:type="spellStart"/>
      <w:r w:rsidR="00212449">
        <w:t>Meille</w:t>
      </w:r>
      <w:proofErr w:type="spellEnd"/>
      <w:r w:rsidR="00212449">
        <w:t xml:space="preserve"> </w:t>
      </w:r>
      <w:r w:rsidR="00212449" w:rsidRPr="0063368E">
        <w:rPr>
          <w:i/>
          <w:iCs/>
        </w:rPr>
        <w:t>et al.</w:t>
      </w:r>
      <w:r w:rsidR="00212449">
        <w:t>, 2012)</w:t>
      </w:r>
      <w:r w:rsidR="00A45447">
        <w:t xml:space="preserve">, and slight adjustments to </w:t>
      </w:r>
      <w:r w:rsidR="00CE26F7">
        <w:t>reduce</w:t>
      </w:r>
      <w:r w:rsidR="00A45447">
        <w:t xml:space="preserve"> costs </w:t>
      </w:r>
      <w:r w:rsidR="00CE26F7">
        <w:t>and/or increase crop</w:t>
      </w:r>
      <w:r w:rsidR="00342D66">
        <w:t xml:space="preserve"> yields can make</w:t>
      </w:r>
      <w:r w:rsidR="00A45447">
        <w:t xml:space="preserve"> subst</w:t>
      </w:r>
      <w:r>
        <w:t>antial difference</w:t>
      </w:r>
      <w:r w:rsidR="00342D66">
        <w:t>s</w:t>
      </w:r>
      <w:r>
        <w:t xml:space="preserve"> </w:t>
      </w:r>
      <w:r w:rsidR="00CE26F7">
        <w:t>on the global scale</w:t>
      </w:r>
      <w:r w:rsidR="00A45447">
        <w:t>.</w:t>
      </w:r>
      <w:r w:rsidR="00A45447" w:rsidRPr="00A45447">
        <w:t xml:space="preserve"> </w:t>
      </w:r>
      <w:r w:rsidR="00B904EC">
        <w:t>T</w:t>
      </w:r>
      <w:r w:rsidR="00212449">
        <w:t>h</w:t>
      </w:r>
      <w:r w:rsidR="00764F09">
        <w:t>e demand for food is increasing; f</w:t>
      </w:r>
      <w:r w:rsidR="00212449">
        <w:t>rom 1992 to 2012 the production of cereals worldwide increased from 1.97 b</w:t>
      </w:r>
      <w:r w:rsidR="0053495D">
        <w:t>illio</w:t>
      </w:r>
      <w:r w:rsidR="00212449">
        <w:t xml:space="preserve">n to </w:t>
      </w:r>
      <w:r w:rsidR="00DC6287">
        <w:t>2.55 b</w:t>
      </w:r>
      <w:r w:rsidR="0053495D">
        <w:t>illio</w:t>
      </w:r>
      <w:r w:rsidR="00DC6287">
        <w:t>n tonnes (</w:t>
      </w:r>
      <w:hyperlink r:id="rId9" w:history="1">
        <w:r w:rsidR="00DC6287" w:rsidRPr="005968EA">
          <w:rPr>
            <w:rStyle w:val="Hyperlink"/>
          </w:rPr>
          <w:t>http://faostat.fao.org/</w:t>
        </w:r>
      </w:hyperlink>
      <w:r w:rsidR="005846A2">
        <w:t>). In 2012 the UK alone produced 19.5 m</w:t>
      </w:r>
      <w:r w:rsidR="0053495D">
        <w:t>illion</w:t>
      </w:r>
      <w:r w:rsidR="005846A2">
        <w:t xml:space="preserve"> tonnes</w:t>
      </w:r>
      <w:r w:rsidR="00CE26F7">
        <w:t xml:space="preserve"> of cereals</w:t>
      </w:r>
      <w:r w:rsidR="005846A2">
        <w:t>, 5.52</w:t>
      </w:r>
      <w:r w:rsidR="0053495D">
        <w:t xml:space="preserve"> </w:t>
      </w:r>
      <w:r w:rsidR="005846A2">
        <w:t>m</w:t>
      </w:r>
      <w:r w:rsidR="0053495D">
        <w:t>illion</w:t>
      </w:r>
      <w:r w:rsidR="005846A2">
        <w:t xml:space="preserve"> of which was barley.</w:t>
      </w:r>
      <w:r w:rsidR="00DC6287">
        <w:t xml:space="preserve"> </w:t>
      </w:r>
      <w:r w:rsidR="00955742">
        <w:t xml:space="preserve">One of the most important </w:t>
      </w:r>
      <w:r w:rsidR="00342D66">
        <w:t>nutrients</w:t>
      </w:r>
      <w:r w:rsidR="00955742">
        <w:t xml:space="preserve"> for plant growth is phosphate</w:t>
      </w:r>
      <w:r w:rsidR="004B637F">
        <w:t xml:space="preserve"> (P)</w:t>
      </w:r>
      <w:r w:rsidR="00955742">
        <w:t xml:space="preserve">, which is often the most limiting due to </w:t>
      </w:r>
      <w:r w:rsidR="00C46FD8">
        <w:t>its low mobility in soils (</w:t>
      </w:r>
      <w:r w:rsidR="00C46FD8" w:rsidRPr="001B36D4">
        <w:t>Bucher 2007</w:t>
      </w:r>
      <w:r w:rsidR="00DC6287">
        <w:t xml:space="preserve">). </w:t>
      </w:r>
      <w:r w:rsidR="004803D6">
        <w:t xml:space="preserve">The </w:t>
      </w:r>
      <w:r w:rsidR="005E4E59">
        <w:t xml:space="preserve">current world </w:t>
      </w:r>
      <w:r w:rsidR="004803D6">
        <w:t>rate</w:t>
      </w:r>
      <w:r w:rsidR="005E4E59">
        <w:t xml:space="preserve"> of P consumption for fertilisers</w:t>
      </w:r>
      <w:r w:rsidR="004803D6">
        <w:t xml:space="preserve"> is not sustainable</w:t>
      </w:r>
      <w:r w:rsidR="003E13BD">
        <w:t>,</w:t>
      </w:r>
      <w:r w:rsidR="00B8771C">
        <w:t xml:space="preserve"> and there are warnings that readily available global </w:t>
      </w:r>
      <w:r w:rsidR="00B8771C">
        <w:lastRenderedPageBreak/>
        <w:t xml:space="preserve">rock </w:t>
      </w:r>
      <w:r w:rsidR="004B637F">
        <w:t>P</w:t>
      </w:r>
      <w:r w:rsidR="00B8771C">
        <w:t xml:space="preserve"> reserves </w:t>
      </w:r>
      <w:r w:rsidR="00003190">
        <w:t>may</w:t>
      </w:r>
      <w:r w:rsidR="00B8771C">
        <w:t xml:space="preserve"> be depleted within the next 50-130 years (</w:t>
      </w:r>
      <w:proofErr w:type="spellStart"/>
      <w:r w:rsidR="00B8771C">
        <w:t>Déry</w:t>
      </w:r>
      <w:proofErr w:type="spellEnd"/>
      <w:r w:rsidR="00B8771C">
        <w:t xml:space="preserve"> </w:t>
      </w:r>
      <w:r w:rsidR="00F31252">
        <w:t xml:space="preserve">and </w:t>
      </w:r>
      <w:r w:rsidR="00B8771C">
        <w:t xml:space="preserve">Anderson, 2007; Cordell, </w:t>
      </w:r>
      <w:proofErr w:type="spellStart"/>
      <w:r w:rsidR="00B8771C">
        <w:t>Drangert</w:t>
      </w:r>
      <w:proofErr w:type="spellEnd"/>
      <w:r w:rsidR="00B8771C">
        <w:t xml:space="preserve"> </w:t>
      </w:r>
      <w:r w:rsidR="00F31252">
        <w:t xml:space="preserve">and </w:t>
      </w:r>
      <w:r w:rsidR="00B8771C">
        <w:t>White, 2009</w:t>
      </w:r>
      <w:r w:rsidR="0091192D">
        <w:t xml:space="preserve">; </w:t>
      </w:r>
      <w:proofErr w:type="spellStart"/>
      <w:r w:rsidR="0091192D">
        <w:t>Vaccari</w:t>
      </w:r>
      <w:proofErr w:type="spellEnd"/>
      <w:r w:rsidR="0091192D">
        <w:t xml:space="preserve"> D, 2009</w:t>
      </w:r>
      <w:r w:rsidR="00B8771C">
        <w:t>).</w:t>
      </w:r>
    </w:p>
    <w:p w14:paraId="0E21B993" w14:textId="087D0A3B" w:rsidR="00C46FD8" w:rsidRPr="003112C7" w:rsidRDefault="000957AC" w:rsidP="00FD6254">
      <w:pPr>
        <w:jc w:val="both"/>
      </w:pPr>
      <w:r w:rsidRPr="003112C7">
        <w:t xml:space="preserve">European governments </w:t>
      </w:r>
      <w:r>
        <w:t xml:space="preserve">(DEFRA, 2010 and </w:t>
      </w:r>
      <w:proofErr w:type="spellStart"/>
      <w:r>
        <w:t>Lalor</w:t>
      </w:r>
      <w:proofErr w:type="spellEnd"/>
      <w:r>
        <w:t xml:space="preserve"> </w:t>
      </w:r>
      <w:r w:rsidRPr="00A803C5">
        <w:rPr>
          <w:i/>
          <w:iCs/>
        </w:rPr>
        <w:t>et al.</w:t>
      </w:r>
      <w:r>
        <w:t xml:space="preserve">, 2013) </w:t>
      </w:r>
      <w:r w:rsidRPr="003112C7">
        <w:t xml:space="preserve">are reducing the amount of </w:t>
      </w:r>
      <w:r>
        <w:t>P fertilisation</w:t>
      </w:r>
      <w:r w:rsidRPr="003112C7">
        <w:t xml:space="preserve"> in agricultural sites</w:t>
      </w:r>
      <w:r>
        <w:t xml:space="preserve"> to reduce soil P content </w:t>
      </w:r>
      <w:r w:rsidRPr="003112C7">
        <w:t>from</w:t>
      </w:r>
      <w:r>
        <w:t xml:space="preserve"> </w:t>
      </w:r>
      <w:r w:rsidRPr="003112C7">
        <w:t>a high Olsen P index 3 (26-45 mg</w:t>
      </w:r>
      <w:r w:rsidR="00FD6254">
        <w:t xml:space="preserve"> </w:t>
      </w:r>
      <w:r w:rsidRPr="003112C7">
        <w:t>l</w:t>
      </w:r>
      <w:r w:rsidR="00FD6254" w:rsidRPr="008A048F">
        <w:rPr>
          <w:vertAlign w:val="superscript"/>
        </w:rPr>
        <w:t>-1</w:t>
      </w:r>
      <w:r w:rsidRPr="003112C7">
        <w:t xml:space="preserve">) to either </w:t>
      </w:r>
      <w:r>
        <w:t xml:space="preserve">index </w:t>
      </w:r>
      <w:r w:rsidRPr="003112C7">
        <w:t>2 (16-25 mg</w:t>
      </w:r>
      <w:r w:rsidR="00FD6254">
        <w:t xml:space="preserve"> </w:t>
      </w:r>
      <w:r w:rsidRPr="003112C7">
        <w:t>l</w:t>
      </w:r>
      <w:r w:rsidR="00FD6254" w:rsidRPr="008A048F">
        <w:rPr>
          <w:vertAlign w:val="superscript"/>
        </w:rPr>
        <w:t>-1</w:t>
      </w:r>
      <w:r w:rsidRPr="003112C7">
        <w:t xml:space="preserve">) or </w:t>
      </w:r>
      <w:r>
        <w:t xml:space="preserve">index </w:t>
      </w:r>
      <w:r w:rsidRPr="003112C7">
        <w:t>1 (10-15 mg</w:t>
      </w:r>
      <w:r w:rsidR="00FD6254">
        <w:t xml:space="preserve"> </w:t>
      </w:r>
      <w:r w:rsidRPr="003112C7">
        <w:t>l</w:t>
      </w:r>
      <w:r w:rsidR="00FD6254" w:rsidRPr="008A048F">
        <w:rPr>
          <w:vertAlign w:val="superscript"/>
        </w:rPr>
        <w:t>-1</w:t>
      </w:r>
      <w:r w:rsidRPr="003112C7">
        <w:t>)</w:t>
      </w:r>
      <w:r>
        <w:t>, as an attempt to increase the sustainable use of P.</w:t>
      </w:r>
      <w:r w:rsidR="002858E3" w:rsidRPr="003112C7">
        <w:t xml:space="preserve"> However, lower P</w:t>
      </w:r>
      <w:r w:rsidR="00BF4F3E">
        <w:t xml:space="preserve"> content</w:t>
      </w:r>
      <w:r w:rsidR="002858E3" w:rsidRPr="003112C7">
        <w:t xml:space="preserve"> soils</w:t>
      </w:r>
      <w:r w:rsidR="00CE26F7">
        <w:t xml:space="preserve"> can</w:t>
      </w:r>
      <w:r w:rsidR="002858E3" w:rsidRPr="003112C7">
        <w:t xml:space="preserve"> lead to </w:t>
      </w:r>
      <w:r w:rsidR="00CE26F7">
        <w:t>reduced yields</w:t>
      </w:r>
      <w:r w:rsidR="00095D1D" w:rsidRPr="003112C7">
        <w:t xml:space="preserve"> (</w:t>
      </w:r>
      <w:r w:rsidR="00BE5E65">
        <w:t xml:space="preserve">Withers </w:t>
      </w:r>
      <w:r w:rsidR="00BE5E65" w:rsidRPr="00BE5E65">
        <w:rPr>
          <w:i/>
          <w:iCs/>
        </w:rPr>
        <w:t>et al.</w:t>
      </w:r>
      <w:r w:rsidR="00BE5E65">
        <w:t>, 2014</w:t>
      </w:r>
      <w:r w:rsidR="00D27A41">
        <w:t xml:space="preserve">). </w:t>
      </w:r>
      <w:r w:rsidR="003E13BD" w:rsidRPr="003112C7">
        <w:t xml:space="preserve">Therefore it is vital to </w:t>
      </w:r>
      <w:r w:rsidR="00CE26F7">
        <w:t>identify</w:t>
      </w:r>
      <w:r w:rsidR="003E13BD" w:rsidRPr="003112C7">
        <w:t xml:space="preserve"> optimal soil management strategies </w:t>
      </w:r>
      <w:r w:rsidR="003C3673">
        <w:t>for more efficient use of P</w:t>
      </w:r>
      <w:r w:rsidR="00A5571B">
        <w:t xml:space="preserve"> (</w:t>
      </w:r>
      <w:proofErr w:type="spellStart"/>
      <w:r w:rsidR="00A5571B">
        <w:t>Dungait</w:t>
      </w:r>
      <w:proofErr w:type="spellEnd"/>
      <w:r w:rsidR="00A5571B">
        <w:t xml:space="preserve"> </w:t>
      </w:r>
      <w:r w:rsidR="00A5571B" w:rsidRPr="00A5571B">
        <w:rPr>
          <w:i/>
          <w:iCs/>
        </w:rPr>
        <w:t>et al.</w:t>
      </w:r>
      <w:r w:rsidR="00A5571B">
        <w:t>, 2012)</w:t>
      </w:r>
      <w:r w:rsidR="00B45D62">
        <w:t xml:space="preserve">. </w:t>
      </w:r>
      <w:r w:rsidR="00137FA9">
        <w:t>However, optimal strategies</w:t>
      </w:r>
      <w:r w:rsidR="00B45D62">
        <w:t xml:space="preserve"> can</w:t>
      </w:r>
      <w:r w:rsidR="003E13BD" w:rsidRPr="003112C7">
        <w:t xml:space="preserve"> depend </w:t>
      </w:r>
      <w:r w:rsidR="00B45D62">
        <w:t>up</w:t>
      </w:r>
      <w:r w:rsidR="003E13BD" w:rsidRPr="003112C7">
        <w:t>on the</w:t>
      </w:r>
      <w:r w:rsidR="00D7730A">
        <w:t xml:space="preserve"> current climate and</w:t>
      </w:r>
      <w:r w:rsidR="003E13BD" w:rsidRPr="003112C7">
        <w:t xml:space="preserve"> </w:t>
      </w:r>
      <w:r w:rsidR="00D7730A">
        <w:t xml:space="preserve">the </w:t>
      </w:r>
      <w:r w:rsidR="003E13BD" w:rsidRPr="003112C7">
        <w:t>di</w:t>
      </w:r>
      <w:r w:rsidR="00D7730A">
        <w:t>stribution of P within the soil. The distribution of P is</w:t>
      </w:r>
      <w:r w:rsidR="003E13BD" w:rsidRPr="003112C7">
        <w:t xml:space="preserve"> a </w:t>
      </w:r>
      <w:r w:rsidR="00137FA9">
        <w:t>feature</w:t>
      </w:r>
      <w:r w:rsidR="003E13BD" w:rsidRPr="003112C7">
        <w:t xml:space="preserve"> which is generally unknown for field </w:t>
      </w:r>
      <w:r w:rsidR="003C3673" w:rsidRPr="003112C7">
        <w:t>sit</w:t>
      </w:r>
      <w:r w:rsidR="003C3673">
        <w:t>uations</w:t>
      </w:r>
      <w:r w:rsidR="00B45D62">
        <w:t xml:space="preserve">, but is becoming more </w:t>
      </w:r>
      <w:r w:rsidR="00317A67">
        <w:t>regularly sampled</w:t>
      </w:r>
      <w:r w:rsidR="00B45D62">
        <w:t xml:space="preserve"> (Vu </w:t>
      </w:r>
      <w:r w:rsidR="00B45D62" w:rsidRPr="00B45D62">
        <w:rPr>
          <w:i/>
          <w:iCs/>
        </w:rPr>
        <w:t>et al.</w:t>
      </w:r>
      <w:r w:rsidR="00B45D62">
        <w:t>, 2009</w:t>
      </w:r>
      <w:r w:rsidR="004435AE">
        <w:t xml:space="preserve"> and Stutter </w:t>
      </w:r>
      <w:r w:rsidR="004435AE" w:rsidRPr="004435AE">
        <w:rPr>
          <w:i/>
          <w:iCs/>
        </w:rPr>
        <w:t>et al.</w:t>
      </w:r>
      <w:r w:rsidR="004435AE">
        <w:t>, 2012</w:t>
      </w:r>
      <w:r w:rsidR="00B45D62">
        <w:t>).</w:t>
      </w:r>
    </w:p>
    <w:p w14:paraId="3ED8E490" w14:textId="3FFE215F" w:rsidR="006E5CEB" w:rsidRPr="001B36D4" w:rsidRDefault="00C46FD8" w:rsidP="009C33E1">
      <w:pPr>
        <w:jc w:val="both"/>
        <w:rPr>
          <w:color w:val="FF0000"/>
        </w:rPr>
      </w:pPr>
      <w:r>
        <w:t xml:space="preserve">Farmers implement a range of soil strategies based on information from a variety of sources. </w:t>
      </w:r>
      <w:r w:rsidR="00033112">
        <w:t>The fertiliser manual (RB209) published by the Department for Environmental, Food &amp; Rural Affairs (DEFRA) provides a guide to farmers as to the amount of fertiliser to use for given soil types</w:t>
      </w:r>
      <w:r w:rsidR="00402301">
        <w:t xml:space="preserve"> (DEFRA, 2009)</w:t>
      </w:r>
      <w:r w:rsidR="00033112">
        <w:t xml:space="preserve">. </w:t>
      </w:r>
      <w:r>
        <w:t xml:space="preserve">Field-specific advice is also given </w:t>
      </w:r>
      <w:r w:rsidR="00402301">
        <w:t>by</w:t>
      </w:r>
      <w:r>
        <w:t xml:space="preserve"> agronomists</w:t>
      </w:r>
      <w:r w:rsidR="00402301">
        <w:t xml:space="preserve"> based on </w:t>
      </w:r>
      <w:r w:rsidR="009C33E1">
        <w:t>previous</w:t>
      </w:r>
      <w:r w:rsidR="00402301">
        <w:t xml:space="preserve"> P use</w:t>
      </w:r>
      <w:r>
        <w:t xml:space="preserve">. </w:t>
      </w:r>
      <w:r w:rsidR="001319DA">
        <w:t xml:space="preserve">Previous history </w:t>
      </w:r>
      <w:r w:rsidR="003C3673">
        <w:t xml:space="preserve">of any specific site </w:t>
      </w:r>
      <w:r w:rsidR="001319DA">
        <w:t>also remains an important factor as</w:t>
      </w:r>
      <w:r>
        <w:t xml:space="preserve"> </w:t>
      </w:r>
      <w:r w:rsidR="00C222CC">
        <w:t>repeating cropping strategies for similar environments provides experience on which strategies perform best (</w:t>
      </w:r>
      <w:proofErr w:type="spellStart"/>
      <w:r w:rsidR="00C222CC">
        <w:t>Reijneveld</w:t>
      </w:r>
      <w:proofErr w:type="spellEnd"/>
      <w:r w:rsidR="00C222CC">
        <w:t xml:space="preserve"> </w:t>
      </w:r>
      <w:r w:rsidR="00C222CC" w:rsidRPr="0063368E">
        <w:rPr>
          <w:i/>
          <w:iCs/>
        </w:rPr>
        <w:t>et al.</w:t>
      </w:r>
      <w:r w:rsidR="00C222CC">
        <w:t xml:space="preserve">, 2010). </w:t>
      </w:r>
      <w:r w:rsidR="00C86616" w:rsidRPr="0079556B">
        <w:t>T</w:t>
      </w:r>
      <w:r w:rsidR="006E5CEB" w:rsidRPr="0079556B">
        <w:t>he general guideline</w:t>
      </w:r>
      <w:r w:rsidR="00C86616" w:rsidRPr="0079556B">
        <w:t>s</w:t>
      </w:r>
      <w:r w:rsidR="00C222CC" w:rsidRPr="0079556B">
        <w:t xml:space="preserve"> in the RB209 </w:t>
      </w:r>
      <w:r w:rsidR="006E5CEB" w:rsidRPr="0079556B">
        <w:t>manual</w:t>
      </w:r>
      <w:r w:rsidR="00C222CC" w:rsidRPr="0079556B">
        <w:t xml:space="preserve"> for applying fertiliser</w:t>
      </w:r>
      <w:r w:rsidR="006E5CEB" w:rsidRPr="0079556B">
        <w:t xml:space="preserve"> </w:t>
      </w:r>
      <w:r w:rsidR="00C222CC" w:rsidRPr="0079556B">
        <w:t>are based on soil P concentrations</w:t>
      </w:r>
      <w:r w:rsidR="00312234">
        <w:t>,</w:t>
      </w:r>
      <w:r w:rsidR="00402301">
        <w:t xml:space="preserve"> often taken from spot measurements</w:t>
      </w:r>
      <w:r w:rsidR="00C222CC" w:rsidRPr="0079556B">
        <w:t>. The</w:t>
      </w:r>
      <w:r w:rsidR="001E6CCA">
        <w:t xml:space="preserve"> amount</w:t>
      </w:r>
      <w:r w:rsidR="00C222CC" w:rsidRPr="0079556B">
        <w:t xml:space="preserve"> </w:t>
      </w:r>
      <w:r w:rsidR="00464336" w:rsidRPr="0079556B">
        <w:t xml:space="preserve">of P </w:t>
      </w:r>
      <w:r w:rsidR="00402301">
        <w:t xml:space="preserve">application </w:t>
      </w:r>
      <w:r w:rsidR="001B36D4" w:rsidRPr="0079556B">
        <w:t xml:space="preserve">recommended </w:t>
      </w:r>
      <w:r w:rsidR="001E6CCA">
        <w:t>is</w:t>
      </w:r>
      <w:r w:rsidR="00C222CC" w:rsidRPr="0079556B">
        <w:t xml:space="preserve"> classified </w:t>
      </w:r>
      <w:r w:rsidR="001B36D4" w:rsidRPr="0079556B">
        <w:t xml:space="preserve">into different </w:t>
      </w:r>
      <w:r w:rsidR="00990C80">
        <w:t>categories</w:t>
      </w:r>
      <w:r w:rsidR="001B36D4" w:rsidRPr="0079556B">
        <w:t xml:space="preserve">. </w:t>
      </w:r>
      <w:r w:rsidR="00C222CC" w:rsidRPr="0079556B">
        <w:t xml:space="preserve"> </w:t>
      </w:r>
      <w:r w:rsidR="0079556B" w:rsidRPr="0079556B">
        <w:t>However, this classification</w:t>
      </w:r>
      <w:r w:rsidR="001B36D4" w:rsidRPr="0079556B">
        <w:t xml:space="preserve"> means th</w:t>
      </w:r>
      <w:r w:rsidR="0079556B" w:rsidRPr="0079556B">
        <w:t>at soils</w:t>
      </w:r>
      <w:r w:rsidR="007F77BA">
        <w:t xml:space="preserve"> </w:t>
      </w:r>
      <w:r w:rsidR="007F77BA" w:rsidRPr="0079556B">
        <w:t>can have entirely different fertiliser recommendations</w:t>
      </w:r>
      <w:r w:rsidR="007F77BA">
        <w:t xml:space="preserve"> if they </w:t>
      </w:r>
      <w:r w:rsidR="0079556B" w:rsidRPr="0079556B">
        <w:t xml:space="preserve">have similar soil P concentrations, but lie across the boundaries of the classification. </w:t>
      </w:r>
      <w:r w:rsidR="006E5CEB">
        <w:t>This leads to a varying selection of treatments on similar plots of land</w:t>
      </w:r>
      <w:r w:rsidR="00027954">
        <w:t xml:space="preserve"> and makes it difficult to reduce the amount of P in soils, as </w:t>
      </w:r>
      <w:r w:rsidR="00F37A17">
        <w:t xml:space="preserve">a recent study in </w:t>
      </w:r>
      <w:r w:rsidR="002E74D8">
        <w:t>Ireland</w:t>
      </w:r>
      <w:r w:rsidR="00F37A17">
        <w:t xml:space="preserve"> showed</w:t>
      </w:r>
      <w:r w:rsidR="00027954">
        <w:t xml:space="preserve"> (</w:t>
      </w:r>
      <w:proofErr w:type="spellStart"/>
      <w:r w:rsidR="00027954">
        <w:t>Lalor</w:t>
      </w:r>
      <w:proofErr w:type="spellEnd"/>
      <w:r w:rsidR="00027954">
        <w:t xml:space="preserve"> </w:t>
      </w:r>
      <w:r w:rsidR="00027954" w:rsidRPr="0063368E">
        <w:rPr>
          <w:i/>
          <w:iCs/>
        </w:rPr>
        <w:t>et al.</w:t>
      </w:r>
      <w:r w:rsidR="00027954">
        <w:t xml:space="preserve">, 2012). </w:t>
      </w:r>
      <w:r w:rsidR="00C222CC">
        <w:t>Site-</w:t>
      </w:r>
      <w:r w:rsidR="006E5CEB">
        <w:t>specific guideline</w:t>
      </w:r>
      <w:r w:rsidR="00C222CC">
        <w:t>s</w:t>
      </w:r>
      <w:r w:rsidR="006E5CEB">
        <w:t xml:space="preserve"> may provid</w:t>
      </w:r>
      <w:r w:rsidR="003C3673">
        <w:t xml:space="preserve">e a better basis to implement </w:t>
      </w:r>
      <w:r w:rsidR="006E5CEB">
        <w:t>optimal</w:t>
      </w:r>
      <w:r w:rsidR="007A7617">
        <w:t xml:space="preserve"> fertiliser and soil cultivation</w:t>
      </w:r>
      <w:r w:rsidR="006E5CEB">
        <w:t xml:space="preserve"> strateg</w:t>
      </w:r>
      <w:r w:rsidR="003C3673">
        <w:t>ies</w:t>
      </w:r>
      <w:r w:rsidR="006E5CEB">
        <w:t xml:space="preserve"> when it comes to cultivating crops. </w:t>
      </w:r>
      <w:r w:rsidR="00C222CC">
        <w:t>The aim</w:t>
      </w:r>
      <w:r w:rsidR="00053913">
        <w:t xml:space="preserve"> is to more efficien</w:t>
      </w:r>
      <w:r w:rsidR="00C222CC">
        <w:t>tly use applied P, not over-</w:t>
      </w:r>
      <w:r w:rsidR="00053913">
        <w:t>apply in cases where it is not needed</w:t>
      </w:r>
      <w:r w:rsidR="00FC6E73">
        <w:t xml:space="preserve"> or under apply </w:t>
      </w:r>
      <w:r w:rsidR="003C3673">
        <w:t xml:space="preserve">it </w:t>
      </w:r>
      <w:r w:rsidR="00FC6E73">
        <w:t xml:space="preserve">and not meet crop yield </w:t>
      </w:r>
      <w:r w:rsidR="006913AB">
        <w:t>targets</w:t>
      </w:r>
      <w:r w:rsidR="00FC6E73">
        <w:t>.</w:t>
      </w:r>
      <w:r w:rsidR="00053913">
        <w:t xml:space="preserve"> Therefore</w:t>
      </w:r>
      <w:r w:rsidR="006913AB">
        <w:t>,</w:t>
      </w:r>
      <w:r w:rsidR="00C222CC">
        <w:t xml:space="preserve"> instead of having a</w:t>
      </w:r>
      <w:r w:rsidR="00053913">
        <w:t xml:space="preserve"> table of</w:t>
      </w:r>
      <w:r w:rsidR="00C222CC">
        <w:t xml:space="preserve"> discrete</w:t>
      </w:r>
      <w:r w:rsidR="00053913">
        <w:t xml:space="preserve"> amounts </w:t>
      </w:r>
      <w:r w:rsidR="003C3673">
        <w:t xml:space="preserve">of fertiliser </w:t>
      </w:r>
      <w:r w:rsidR="00053913">
        <w:t xml:space="preserve">to add, a simple linear or saturating </w:t>
      </w:r>
      <w:r w:rsidR="003C3673">
        <w:t>continuingly graded expression could</w:t>
      </w:r>
      <w:r w:rsidR="00053913">
        <w:t xml:space="preserve"> govern </w:t>
      </w:r>
      <w:r w:rsidR="003C3673">
        <w:t xml:space="preserve">how much P to add. Also, </w:t>
      </w:r>
      <w:r w:rsidR="00FC6E73">
        <w:t>a better classification of soi</w:t>
      </w:r>
      <w:r w:rsidR="00542E7D">
        <w:t>ls is needed;</w:t>
      </w:r>
      <w:r w:rsidR="003C3673">
        <w:t xml:space="preserve"> much like the </w:t>
      </w:r>
      <w:r w:rsidR="00402301" w:rsidRPr="00402301">
        <w:t>varied</w:t>
      </w:r>
      <w:r w:rsidR="00542E7D">
        <w:t xml:space="preserve"> description</w:t>
      </w:r>
      <w:r w:rsidR="003C3673">
        <w:t>s</w:t>
      </w:r>
      <w:r w:rsidR="00542E7D">
        <w:t xml:space="preserve"> of soils in </w:t>
      </w:r>
      <w:r w:rsidR="00A4279B">
        <w:t>S</w:t>
      </w:r>
      <w:r w:rsidR="00542E7D">
        <w:t>cotland</w:t>
      </w:r>
      <w:r w:rsidR="00FC6E73">
        <w:t xml:space="preserve"> (</w:t>
      </w:r>
      <w:r w:rsidR="00A4279B">
        <w:t>S</w:t>
      </w:r>
      <w:r w:rsidR="00A4279B" w:rsidRPr="00A4279B">
        <w:t>oil Survey of Scotland Staff, 1981</w:t>
      </w:r>
      <w:r w:rsidR="00FC6E73">
        <w:t>).</w:t>
      </w:r>
    </w:p>
    <w:p w14:paraId="21C54FF1" w14:textId="740921A6" w:rsidR="00CB2E4F" w:rsidRDefault="00877D70" w:rsidP="00AF688D">
      <w:pPr>
        <w:jc w:val="both"/>
      </w:pPr>
      <w:r>
        <w:t>Increasing</w:t>
      </w:r>
      <w:r w:rsidR="00A4279B">
        <w:t xml:space="preserve"> information</w:t>
      </w:r>
      <w:r>
        <w:t xml:space="preserve"> collected</w:t>
      </w:r>
      <w:r w:rsidR="00A4279B">
        <w:t xml:space="preserve"> about soil type and characteristics </w:t>
      </w:r>
      <w:r w:rsidR="007116AE">
        <w:t>will</w:t>
      </w:r>
      <w:r>
        <w:t xml:space="preserve"> provide</w:t>
      </w:r>
      <w:r w:rsidR="00A4279B">
        <w:t xml:space="preserve"> a better understanding of </w:t>
      </w:r>
      <w:r>
        <w:t xml:space="preserve">fertiliser </w:t>
      </w:r>
      <w:r w:rsidR="00AF688D">
        <w:t xml:space="preserve">placement and amount </w:t>
      </w:r>
      <w:r w:rsidR="00A4279B">
        <w:t>to apply</w:t>
      </w:r>
      <w:r w:rsidR="00DB7E9E">
        <w:t>, resulting in</w:t>
      </w:r>
      <w:r w:rsidR="00A4279B">
        <w:t xml:space="preserve"> a</w:t>
      </w:r>
      <w:r>
        <w:t xml:space="preserve"> more</w:t>
      </w:r>
      <w:r w:rsidR="00A4279B">
        <w:t xml:space="preserve"> successful crop for a given season. </w:t>
      </w:r>
      <w:r w:rsidR="00C222CC">
        <w:t>However, c</w:t>
      </w:r>
      <w:r w:rsidR="00A4279B">
        <w:t>ollectin</w:t>
      </w:r>
      <w:r w:rsidR="00C222CC">
        <w:t xml:space="preserve">g detailed data about </w:t>
      </w:r>
      <w:r w:rsidR="00A4279B">
        <w:t>soil</w:t>
      </w:r>
      <w:r w:rsidR="003C3673">
        <w:t>s</w:t>
      </w:r>
      <w:r w:rsidR="00A4279B">
        <w:t xml:space="preserve"> is expensive</w:t>
      </w:r>
      <w:r w:rsidR="00464336">
        <w:t>. In addition,</w:t>
      </w:r>
      <w:r w:rsidR="00A4279B">
        <w:t xml:space="preserve"> </w:t>
      </w:r>
      <w:r w:rsidR="00E81E80">
        <w:t xml:space="preserve">it </w:t>
      </w:r>
      <w:r w:rsidR="00C66A1C">
        <w:t>is difficult to ascertain</w:t>
      </w:r>
      <w:r w:rsidR="00A4279B">
        <w:t xml:space="preserve"> how much data is actually need</w:t>
      </w:r>
      <w:r w:rsidR="00E81E80">
        <w:t xml:space="preserve">ed to </w:t>
      </w:r>
      <w:r w:rsidR="003B63CC">
        <w:t>give the best prediction for</w:t>
      </w:r>
      <w:r w:rsidR="00A015C2">
        <w:t xml:space="preserve"> a successful strategy</w:t>
      </w:r>
      <w:r w:rsidR="003B63CC">
        <w:t xml:space="preserve"> (</w:t>
      </w:r>
      <w:proofErr w:type="spellStart"/>
      <w:r w:rsidR="003B63CC">
        <w:t>Kamprath</w:t>
      </w:r>
      <w:proofErr w:type="spellEnd"/>
      <w:r w:rsidR="003B63CC">
        <w:t xml:space="preserve"> </w:t>
      </w:r>
      <w:r w:rsidR="003B63CC" w:rsidRPr="0063368E">
        <w:rPr>
          <w:i/>
          <w:iCs/>
        </w:rPr>
        <w:t>et al.</w:t>
      </w:r>
      <w:r w:rsidR="003B63CC">
        <w:t>, 2000)</w:t>
      </w:r>
      <w:r w:rsidR="00A015C2">
        <w:t xml:space="preserve">. </w:t>
      </w:r>
      <w:r w:rsidR="007116AE">
        <w:t>Mathematical m</w:t>
      </w:r>
      <w:r w:rsidR="00CB2E4F">
        <w:t>odels</w:t>
      </w:r>
      <w:r w:rsidR="00C66A1C">
        <w:t xml:space="preserve"> can</w:t>
      </w:r>
      <w:r w:rsidR="00CB2E4F">
        <w:t xml:space="preserve"> provide the analysis needed to evaluate a large range of strategies that cannot all be tested at the field scale, due to time, money and location specific</w:t>
      </w:r>
      <w:r w:rsidR="00021EFF">
        <w:t xml:space="preserve"> re</w:t>
      </w:r>
      <w:r w:rsidR="000B6F65">
        <w:t>strictions</w:t>
      </w:r>
      <w:r w:rsidR="001D1DE1">
        <w:t xml:space="preserve"> (</w:t>
      </w:r>
      <w:proofErr w:type="spellStart"/>
      <w:r w:rsidR="00C36E2F">
        <w:t>Selmants</w:t>
      </w:r>
      <w:proofErr w:type="spellEnd"/>
      <w:r w:rsidR="00C36E2F">
        <w:t xml:space="preserve"> and Hart, 2010; </w:t>
      </w:r>
      <w:proofErr w:type="spellStart"/>
      <w:r w:rsidR="001D1DE1">
        <w:t>Jeuffroy</w:t>
      </w:r>
      <w:proofErr w:type="spellEnd"/>
      <w:r w:rsidR="001D1DE1">
        <w:t xml:space="preserve"> </w:t>
      </w:r>
      <w:r w:rsidR="001D1DE1" w:rsidRPr="0063368E">
        <w:rPr>
          <w:i/>
          <w:iCs/>
        </w:rPr>
        <w:t>et al.</w:t>
      </w:r>
      <w:r w:rsidR="001D1DE1">
        <w:t>, 2012)</w:t>
      </w:r>
      <w:r w:rsidR="00CB2E4F">
        <w:t>. Once optimal strategies are found</w:t>
      </w:r>
      <w:r w:rsidR="00643F3E">
        <w:t>,</w:t>
      </w:r>
      <w:r w:rsidR="00CB2E4F">
        <w:t xml:space="preserve"> they can be tested and evaluated among other strategies to prove their </w:t>
      </w:r>
      <w:r w:rsidR="00FC6E73">
        <w:t>validity, in the hope to support evidence for a better understanding of</w:t>
      </w:r>
      <w:r>
        <w:t xml:space="preserve"> applying P to soils</w:t>
      </w:r>
      <w:r w:rsidR="00CB2E4F">
        <w:t xml:space="preserve">. </w:t>
      </w:r>
    </w:p>
    <w:p w14:paraId="29988C0C" w14:textId="4EE85E18" w:rsidR="008F0E68" w:rsidRDefault="00C33B06" w:rsidP="001E5044">
      <w:pPr>
        <w:jc w:val="both"/>
      </w:pPr>
      <w:r>
        <w:t xml:space="preserve">Many models used to describe the root system </w:t>
      </w:r>
      <w:r w:rsidR="00464336">
        <w:t xml:space="preserve">consider </w:t>
      </w:r>
      <w:r>
        <w:t>a density of root mas</w:t>
      </w:r>
      <w:r w:rsidR="00021EFF">
        <w:t xml:space="preserve">s for a given </w:t>
      </w:r>
      <w:r w:rsidR="003A4764">
        <w:t>volume</w:t>
      </w:r>
      <w:r>
        <w:t xml:space="preserve"> in soil. </w:t>
      </w:r>
      <w:r w:rsidR="00E93BF6">
        <w:t>The root mass</w:t>
      </w:r>
      <w:r>
        <w:t xml:space="preserve"> can be</w:t>
      </w:r>
      <w:r w:rsidR="00E93BF6">
        <w:t xml:space="preserve"> estimated</w:t>
      </w:r>
      <w:r>
        <w:t xml:space="preserve"> from averaging a 3</w:t>
      </w:r>
      <w:r w:rsidR="003B3412">
        <w:t>D</w:t>
      </w:r>
      <w:r>
        <w:t xml:space="preserve"> growth </w:t>
      </w:r>
      <w:r w:rsidR="00645C17">
        <w:t xml:space="preserve">approach (Lynch </w:t>
      </w:r>
      <w:r w:rsidR="00645C17" w:rsidRPr="0063368E">
        <w:rPr>
          <w:i/>
          <w:iCs/>
        </w:rPr>
        <w:t>et al.</w:t>
      </w:r>
      <w:r w:rsidR="00645C17">
        <w:t>, 1997</w:t>
      </w:r>
      <w:r w:rsidR="00402301">
        <w:t xml:space="preserve">; </w:t>
      </w:r>
      <w:r w:rsidR="00402301" w:rsidRPr="00EE6F7D">
        <w:t xml:space="preserve">Chen </w:t>
      </w:r>
      <w:r w:rsidR="00402301" w:rsidRPr="00EE6F7D">
        <w:rPr>
          <w:i/>
          <w:iCs/>
        </w:rPr>
        <w:t>et al.</w:t>
      </w:r>
      <w:r w:rsidR="00402301" w:rsidRPr="00EE6F7D">
        <w:t>, 201</w:t>
      </w:r>
      <w:r w:rsidR="00872096" w:rsidRPr="00EE6F7D">
        <w:t>3</w:t>
      </w:r>
      <w:r w:rsidR="00645C17">
        <w:t>)</w:t>
      </w:r>
      <w:r>
        <w:t xml:space="preserve"> or </w:t>
      </w:r>
      <w:r w:rsidR="00B20A2E">
        <w:t xml:space="preserve">by </w:t>
      </w:r>
      <w:r w:rsidR="003A4764">
        <w:t>considering a 3</w:t>
      </w:r>
      <w:r w:rsidR="003B3412">
        <w:t>D</w:t>
      </w:r>
      <w:r>
        <w:t xml:space="preserve"> growth model</w:t>
      </w:r>
      <w:r w:rsidR="00645C17">
        <w:t>, for example L systems</w:t>
      </w:r>
      <w:r>
        <w:t xml:space="preserve"> </w:t>
      </w:r>
      <w:r w:rsidR="00645C17">
        <w:t>(</w:t>
      </w:r>
      <w:proofErr w:type="spellStart"/>
      <w:r w:rsidR="00645C17">
        <w:t>Leitner</w:t>
      </w:r>
      <w:proofErr w:type="spellEnd"/>
      <w:r w:rsidR="00645C17">
        <w:t xml:space="preserve"> </w:t>
      </w:r>
      <w:r w:rsidR="00645C17" w:rsidRPr="0063368E">
        <w:rPr>
          <w:i/>
          <w:iCs/>
        </w:rPr>
        <w:t>et al</w:t>
      </w:r>
      <w:r w:rsidR="00645C17" w:rsidRPr="00645C17">
        <w:rPr>
          <w:i/>
          <w:iCs/>
        </w:rPr>
        <w:t>.</w:t>
      </w:r>
      <w:r w:rsidR="00645C17">
        <w:t>, 2010).</w:t>
      </w:r>
      <w:r w:rsidR="00D6336E" w:rsidRPr="00D6336E">
        <w:t xml:space="preserve"> </w:t>
      </w:r>
      <w:r w:rsidR="00D6336E">
        <w:t>These approaches however cannot be easily assessed experimentally</w:t>
      </w:r>
      <w:r w:rsidR="00B92F5E">
        <w:t xml:space="preserve"> </w:t>
      </w:r>
      <w:r w:rsidR="00D6336E">
        <w:t>and</w:t>
      </w:r>
      <w:r w:rsidR="00F32C3D">
        <w:t xml:space="preserve"> can</w:t>
      </w:r>
      <w:r w:rsidR="00D6336E">
        <w:t xml:space="preserve"> lead to </w:t>
      </w:r>
      <w:r w:rsidR="00D6336E" w:rsidRPr="00BA1D42">
        <w:t xml:space="preserve">numerical inaccuracies </w:t>
      </w:r>
      <w:r w:rsidR="00021EFF">
        <w:t>o</w:t>
      </w:r>
      <w:r w:rsidR="00D6336E">
        <w:t>f</w:t>
      </w:r>
      <w:r w:rsidR="00F32C3D">
        <w:t xml:space="preserve"> up to 30% when compared to computed</w:t>
      </w:r>
      <w:r w:rsidR="00D664F1">
        <w:t xml:space="preserve"> plant P</w:t>
      </w:r>
      <w:r w:rsidR="00F32C3D">
        <w:t xml:space="preserve"> uptake, when</w:t>
      </w:r>
      <w:r w:rsidR="00D6336E">
        <w:t xml:space="preserve"> up-scaling to the field </w:t>
      </w:r>
      <w:r w:rsidR="00D6336E">
        <w:lastRenderedPageBreak/>
        <w:t xml:space="preserve">level (Roose &amp; </w:t>
      </w:r>
      <w:proofErr w:type="spellStart"/>
      <w:r w:rsidR="00D6336E">
        <w:t>Schnepf</w:t>
      </w:r>
      <w:proofErr w:type="spellEnd"/>
      <w:r w:rsidR="00D6336E">
        <w:t>, 2008)</w:t>
      </w:r>
      <w:r w:rsidR="00645C17">
        <w:t>.</w:t>
      </w:r>
      <w:r w:rsidR="00C66A1C">
        <w:rPr>
          <w:color w:val="FF0000"/>
        </w:rPr>
        <w:t xml:space="preserve"> </w:t>
      </w:r>
      <w:r w:rsidR="00FC6E73">
        <w:t xml:space="preserve">In this paper, we </w:t>
      </w:r>
      <w:r w:rsidR="00021EFF">
        <w:t>model</w:t>
      </w:r>
      <w:r w:rsidR="00FC6E73">
        <w:t xml:space="preserve"> the movement of P and water within the soil profile</w:t>
      </w:r>
      <w:r w:rsidR="00C66A1C">
        <w:t xml:space="preserve"> </w:t>
      </w:r>
      <w:r w:rsidR="00FC6E73">
        <w:t xml:space="preserve">over time. </w:t>
      </w:r>
      <w:r w:rsidR="00464336">
        <w:t>We extend the</w:t>
      </w:r>
      <w:r w:rsidR="00FC6E73">
        <w:t xml:space="preserve"> model</w:t>
      </w:r>
      <w:r w:rsidR="00021EFF">
        <w:t>s</w:t>
      </w:r>
      <w:r w:rsidR="00FC6E73">
        <w:t xml:space="preserve"> </w:t>
      </w:r>
      <w:r w:rsidR="00464336">
        <w:t>of</w:t>
      </w:r>
      <w:r w:rsidR="00FC6E73">
        <w:t xml:space="preserve"> Roose </w:t>
      </w:r>
      <w:r w:rsidR="00126F96">
        <w:t>and Fowler</w:t>
      </w:r>
      <w:r w:rsidR="00FC6E73">
        <w:t xml:space="preserve"> (2004</w:t>
      </w:r>
      <w:r w:rsidR="00F351DE">
        <w:t>b</w:t>
      </w:r>
      <w:r w:rsidR="00FC6E73">
        <w:t>)</w:t>
      </w:r>
      <w:r w:rsidR="00021EFF">
        <w:t xml:space="preserve"> and Heppell </w:t>
      </w:r>
      <w:r w:rsidR="00021EFF" w:rsidRPr="0063368E">
        <w:rPr>
          <w:i/>
          <w:iCs/>
        </w:rPr>
        <w:t>et al</w:t>
      </w:r>
      <w:r w:rsidR="00021EFF" w:rsidRPr="00021EFF">
        <w:rPr>
          <w:i/>
          <w:iCs/>
        </w:rPr>
        <w:t>.</w:t>
      </w:r>
      <w:r w:rsidR="00021EFF">
        <w:t xml:space="preserve"> (</w:t>
      </w:r>
      <w:r w:rsidR="001E5044">
        <w:t>2015</w:t>
      </w:r>
      <w:r w:rsidR="00021EFF">
        <w:t>)</w:t>
      </w:r>
      <w:r w:rsidR="00E3027C">
        <w:t xml:space="preserve"> to</w:t>
      </w:r>
      <w:r w:rsidR="00FC6E73">
        <w:t xml:space="preserve"> estimate the uptake of P</w:t>
      </w:r>
      <w:r w:rsidR="006E7DCD">
        <w:t xml:space="preserve"> </w:t>
      </w:r>
      <w:r w:rsidR="00D576CF">
        <w:t xml:space="preserve">by </w:t>
      </w:r>
      <w:r w:rsidR="006E7DCD">
        <w:t>crop roots for a</w:t>
      </w:r>
      <w:r w:rsidR="00C66A1C">
        <w:t xml:space="preserve"> given surface area of soil</w:t>
      </w:r>
      <w:r w:rsidR="003A5A57">
        <w:t xml:space="preserve">. </w:t>
      </w:r>
      <w:r w:rsidR="00D270A0">
        <w:t xml:space="preserve">This </w:t>
      </w:r>
      <w:r w:rsidR="00A4575C">
        <w:t xml:space="preserve">extended </w:t>
      </w:r>
      <w:r w:rsidR="00D270A0">
        <w:t>model</w:t>
      </w:r>
      <w:r w:rsidR="00F970C1">
        <w:t xml:space="preserve"> is comparable to other density-</w:t>
      </w:r>
      <w:r w:rsidR="00D270A0">
        <w:t>ba</w:t>
      </w:r>
      <w:r w:rsidR="00C66A1C">
        <w:t>sed models (</w:t>
      </w:r>
      <w:proofErr w:type="spellStart"/>
      <w:r w:rsidR="00C66A1C">
        <w:t>Dupuy</w:t>
      </w:r>
      <w:proofErr w:type="spellEnd"/>
      <w:r w:rsidR="00C66A1C">
        <w:t xml:space="preserve"> </w:t>
      </w:r>
      <w:r w:rsidR="00C66A1C" w:rsidRPr="0063368E">
        <w:rPr>
          <w:i/>
          <w:iCs/>
        </w:rPr>
        <w:t>et al.</w:t>
      </w:r>
      <w:r w:rsidR="00C66A1C">
        <w:t>, 2010), and</w:t>
      </w:r>
      <w:r w:rsidR="00D270A0">
        <w:t xml:space="preserve"> </w:t>
      </w:r>
      <w:r w:rsidR="00AD5CAA">
        <w:t>accounts for</w:t>
      </w:r>
      <w:r w:rsidR="00D270A0">
        <w:t xml:space="preserve"> the </w:t>
      </w:r>
      <w:r w:rsidR="00815332">
        <w:t>P</w:t>
      </w:r>
      <w:r w:rsidR="00D270A0">
        <w:t xml:space="preserve"> depletion zone along all roots.</w:t>
      </w:r>
      <w:r w:rsidR="00C66A1C">
        <w:t xml:space="preserve"> </w:t>
      </w:r>
      <w:r w:rsidR="004D440C">
        <w:t xml:space="preserve">We compare the </w:t>
      </w:r>
      <w:r w:rsidR="00A4575C">
        <w:t xml:space="preserve">extended </w:t>
      </w:r>
      <w:r w:rsidR="004D440C">
        <w:t xml:space="preserve">model output, estimating plant </w:t>
      </w:r>
      <w:r w:rsidR="00023C39">
        <w:t>P</w:t>
      </w:r>
      <w:r w:rsidR="00021EFF">
        <w:t xml:space="preserve"> uptake </w:t>
      </w:r>
      <w:r w:rsidR="00126F96">
        <w:t>(kg P</w:t>
      </w:r>
      <w:r w:rsidR="00FD6254">
        <w:t xml:space="preserve"> </w:t>
      </w:r>
      <w:r w:rsidR="00126F96">
        <w:t>ha</w:t>
      </w:r>
      <w:r w:rsidR="00FD6254" w:rsidRPr="008A048F">
        <w:rPr>
          <w:vertAlign w:val="superscript"/>
        </w:rPr>
        <w:t>-1</w:t>
      </w:r>
      <w:r w:rsidR="00126F96">
        <w:t>)</w:t>
      </w:r>
      <w:r w:rsidR="00643F3E">
        <w:t>,</w:t>
      </w:r>
      <w:r w:rsidR="004D440C">
        <w:t xml:space="preserve"> against two </w:t>
      </w:r>
      <w:r w:rsidR="00165053">
        <w:t>sets of field trial data for barley.</w:t>
      </w:r>
      <w:r w:rsidR="00F970C1">
        <w:t xml:space="preserve"> </w:t>
      </w:r>
      <w:r w:rsidR="004D440C">
        <w:t>Following this</w:t>
      </w:r>
      <w:r w:rsidR="004D062F">
        <w:t>,</w:t>
      </w:r>
      <w:r w:rsidR="00021EFF">
        <w:t xml:space="preserve"> the</w:t>
      </w:r>
      <w:r w:rsidR="00A4575C">
        <w:t xml:space="preserve"> extended</w:t>
      </w:r>
      <w:r w:rsidR="008F0E68">
        <w:t xml:space="preserve"> model is used to predict the best </w:t>
      </w:r>
      <w:r w:rsidR="004467EB">
        <w:t xml:space="preserve">fertiliser and </w:t>
      </w:r>
      <w:r w:rsidR="008F0E68">
        <w:t xml:space="preserve">soil </w:t>
      </w:r>
      <w:r w:rsidR="004467EB">
        <w:t>cultivation</w:t>
      </w:r>
      <w:r w:rsidR="008F0E68">
        <w:t xml:space="preserve"> strategy </w:t>
      </w:r>
      <w:r w:rsidR="004D440C">
        <w:t xml:space="preserve">which maximises plant P uptake. </w:t>
      </w:r>
      <w:r w:rsidR="006D636B">
        <w:t>As a result</w:t>
      </w:r>
      <w:r w:rsidR="00160250">
        <w:t xml:space="preserve">, the optimal strategy should also </w:t>
      </w:r>
      <w:r w:rsidR="00002DAF">
        <w:t>maxi</w:t>
      </w:r>
      <w:r w:rsidR="00160250">
        <w:t>mise</w:t>
      </w:r>
      <w:r w:rsidR="008F0E68">
        <w:t xml:space="preserve"> </w:t>
      </w:r>
      <w:r w:rsidR="00002DAF">
        <w:t>‘</w:t>
      </w:r>
      <w:r w:rsidR="008F0E68">
        <w:t>P</w:t>
      </w:r>
      <w:r w:rsidR="00AF688D">
        <w:t>-use</w:t>
      </w:r>
      <w:r w:rsidR="008F0E68">
        <w:t xml:space="preserve"> efficiency</w:t>
      </w:r>
      <w:r w:rsidR="00002DAF">
        <w:t>’</w:t>
      </w:r>
      <w:r w:rsidR="008F0E68">
        <w:t xml:space="preserve"> within a low P environment. </w:t>
      </w:r>
    </w:p>
    <w:p w14:paraId="7C0D363F" w14:textId="6C76A12A" w:rsidR="00D6336E" w:rsidRPr="00E80DE7" w:rsidRDefault="00D6336E" w:rsidP="001E5044">
      <w:pPr>
        <w:jc w:val="both"/>
      </w:pPr>
      <w:r w:rsidRPr="00E80DE7">
        <w:t xml:space="preserve">In </w:t>
      </w:r>
      <w:r w:rsidR="001A1377">
        <w:t>the Materials and Methods section</w:t>
      </w:r>
      <w:r w:rsidRPr="00E80DE7">
        <w:t xml:space="preserve"> we discu</w:t>
      </w:r>
      <w:r w:rsidR="009A725F">
        <w:t>s</w:t>
      </w:r>
      <w:r w:rsidRPr="00E80DE7">
        <w:t xml:space="preserve">s </w:t>
      </w:r>
      <w:r w:rsidR="00B2179D">
        <w:t>P</w:t>
      </w:r>
      <w:r w:rsidRPr="00E80DE7">
        <w:t xml:space="preserve"> and water uptake models, looking more closely at Roose</w:t>
      </w:r>
      <w:r w:rsidRPr="00126F96">
        <w:t xml:space="preserve"> </w:t>
      </w:r>
      <w:r w:rsidR="00126F96" w:rsidRPr="00126F96">
        <w:t>and Fowler</w:t>
      </w:r>
      <w:r w:rsidR="00ED4E0C">
        <w:t xml:space="preserve"> (</w:t>
      </w:r>
      <w:r w:rsidRPr="00E80DE7">
        <w:t>2004b</w:t>
      </w:r>
      <w:r w:rsidR="00ED4E0C">
        <w:t>)</w:t>
      </w:r>
      <w:r w:rsidR="00021EFF">
        <w:t xml:space="preserve"> and Heppell </w:t>
      </w:r>
      <w:r w:rsidR="00021EFF" w:rsidRPr="0063368E">
        <w:rPr>
          <w:i/>
          <w:iCs/>
        </w:rPr>
        <w:t xml:space="preserve">et </w:t>
      </w:r>
      <w:r w:rsidR="00021EFF" w:rsidRPr="00021EFF">
        <w:rPr>
          <w:i/>
          <w:iCs/>
        </w:rPr>
        <w:t>al.</w:t>
      </w:r>
      <w:r w:rsidR="00021EFF">
        <w:t xml:space="preserve"> </w:t>
      </w:r>
      <w:r w:rsidR="00ED4E0C">
        <w:t>(</w:t>
      </w:r>
      <w:r w:rsidR="001E5044">
        <w:t>2015</w:t>
      </w:r>
      <w:r w:rsidR="00ED4E0C">
        <w:t>)</w:t>
      </w:r>
      <w:r w:rsidRPr="00E80DE7">
        <w:t xml:space="preserve"> and </w:t>
      </w:r>
      <w:r w:rsidR="00447DF3">
        <w:t>our adaptations made to them</w:t>
      </w:r>
      <w:r w:rsidRPr="00E80DE7">
        <w:t xml:space="preserve">. </w:t>
      </w:r>
      <w:r w:rsidR="00021EFF">
        <w:t xml:space="preserve">We then describe how the data </w:t>
      </w:r>
      <w:r w:rsidR="00733DDF">
        <w:t xml:space="preserve">are </w:t>
      </w:r>
      <w:r w:rsidR="00021EFF">
        <w:t xml:space="preserve">collected and </w:t>
      </w:r>
      <w:r w:rsidR="00BF10B5">
        <w:t>the values used for</w:t>
      </w:r>
      <w:r w:rsidR="00021EFF">
        <w:t xml:space="preserve"> the model</w:t>
      </w:r>
      <w:r w:rsidRPr="00E80DE7">
        <w:t>.</w:t>
      </w:r>
      <w:r w:rsidR="00402301">
        <w:t xml:space="preserve"> </w:t>
      </w:r>
      <w:r w:rsidR="00ED4E0C">
        <w:t xml:space="preserve">Modelling </w:t>
      </w:r>
      <w:r w:rsidR="00ED4E0C" w:rsidRPr="00E80DE7">
        <w:t>results</w:t>
      </w:r>
      <w:r w:rsidRPr="00E80DE7">
        <w:t xml:space="preserve"> are </w:t>
      </w:r>
      <w:r w:rsidR="001A1377">
        <w:t>described</w:t>
      </w:r>
      <w:r w:rsidRPr="00E80DE7">
        <w:t xml:space="preserve"> in</w:t>
      </w:r>
      <w:r w:rsidR="001A1377">
        <w:t xml:space="preserve"> the </w:t>
      </w:r>
      <w:r w:rsidR="00ED4E0C">
        <w:t>results</w:t>
      </w:r>
      <w:r w:rsidR="001A1377">
        <w:t xml:space="preserve"> section</w:t>
      </w:r>
      <w:r w:rsidRPr="00E80DE7">
        <w:t xml:space="preserve"> follow</w:t>
      </w:r>
      <w:r w:rsidR="00021EFF">
        <w:t>ed</w:t>
      </w:r>
      <w:r w:rsidRPr="00E80DE7">
        <w:t xml:space="preserve"> by a discussion</w:t>
      </w:r>
      <w:r w:rsidR="00ED4E0C">
        <w:t xml:space="preserve"> section describing our </w:t>
      </w:r>
      <w:r w:rsidR="001A1377">
        <w:t xml:space="preserve">findings and future </w:t>
      </w:r>
      <w:r w:rsidR="00021EFF">
        <w:t>avenues for work</w:t>
      </w:r>
      <w:r w:rsidRPr="00E80DE7">
        <w:t>.</w:t>
      </w:r>
    </w:p>
    <w:p w14:paraId="5C416460" w14:textId="77777777" w:rsidR="006E7DCD" w:rsidRPr="006E7DCD" w:rsidRDefault="006E7DCD" w:rsidP="00B92F5E">
      <w:pPr>
        <w:jc w:val="both"/>
        <w:rPr>
          <w:b/>
          <w:bCs/>
        </w:rPr>
      </w:pPr>
      <w:r w:rsidRPr="006E7DCD">
        <w:rPr>
          <w:b/>
          <w:bCs/>
        </w:rPr>
        <w:t>Materials and Methods</w:t>
      </w:r>
    </w:p>
    <w:p w14:paraId="338BBA50" w14:textId="77777777" w:rsidR="000F1581" w:rsidRDefault="000F1581" w:rsidP="00B92F5E">
      <w:pPr>
        <w:jc w:val="both"/>
        <w:rPr>
          <w:b/>
          <w:bCs/>
        </w:rPr>
      </w:pPr>
      <w:r>
        <w:rPr>
          <w:b/>
          <w:bCs/>
        </w:rPr>
        <w:t>Phosphate and water uptake model</w:t>
      </w:r>
    </w:p>
    <w:p w14:paraId="034FA1C4" w14:textId="2E63E42C" w:rsidR="00655238" w:rsidRDefault="00DB3DA9" w:rsidP="001E5044">
      <w:pPr>
        <w:jc w:val="both"/>
      </w:pPr>
      <w:r>
        <w:t xml:space="preserve">It is expensive to experimentally determine the distribution and movement of water and </w:t>
      </w:r>
      <w:r w:rsidR="000C24E5">
        <w:t>P</w:t>
      </w:r>
      <w:r>
        <w:t xml:space="preserve"> within </w:t>
      </w:r>
      <w:r w:rsidR="004E0637">
        <w:t xml:space="preserve">the </w:t>
      </w:r>
      <w:r>
        <w:t>soil and the consequent uptake into the plant root system.</w:t>
      </w:r>
      <w:r w:rsidR="007C47DC">
        <w:t xml:space="preserve"> </w:t>
      </w:r>
      <w:r w:rsidR="00CC40C7">
        <w:t xml:space="preserve">The use of modelling in combination with experimental data </w:t>
      </w:r>
      <w:r w:rsidR="00D7505D">
        <w:t>allows us to predict</w:t>
      </w:r>
      <w:r w:rsidR="00A979BA">
        <w:t xml:space="preserve"> optimal</w:t>
      </w:r>
      <w:r w:rsidR="00B33B5E">
        <w:t xml:space="preserve"> management strategies in</w:t>
      </w:r>
      <w:r w:rsidR="00A979BA">
        <w:t xml:space="preserve"> </w:t>
      </w:r>
      <w:r w:rsidR="009C1F40">
        <w:t>agricultural</w:t>
      </w:r>
      <w:r w:rsidR="00A979BA">
        <w:t xml:space="preserve"> system</w:t>
      </w:r>
      <w:r w:rsidR="007B7EA3">
        <w:t>s</w:t>
      </w:r>
      <w:r w:rsidR="00A979BA">
        <w:t xml:space="preserve">. Many models exist that </w:t>
      </w:r>
      <w:r w:rsidR="00BD62A8">
        <w:t>estimate</w:t>
      </w:r>
      <w:r w:rsidR="00A979BA">
        <w:t xml:space="preserve"> </w:t>
      </w:r>
      <w:r w:rsidR="00402548">
        <w:t>water</w:t>
      </w:r>
      <w:r w:rsidR="00A979BA">
        <w:t xml:space="preserve"> and </w:t>
      </w:r>
      <w:r w:rsidR="00402548">
        <w:t>P</w:t>
      </w:r>
      <w:r w:rsidR="004E0637">
        <w:t xml:space="preserve"> movement</w:t>
      </w:r>
      <w:r w:rsidR="00A979BA">
        <w:t xml:space="preserve"> within soil</w:t>
      </w:r>
      <w:r w:rsidR="00B33B5E">
        <w:t xml:space="preserve">. For example </w:t>
      </w:r>
      <w:proofErr w:type="spellStart"/>
      <w:r w:rsidR="00B33B5E">
        <w:t>Dunbabin</w:t>
      </w:r>
      <w:proofErr w:type="spellEnd"/>
      <w:r w:rsidR="00B33B5E">
        <w:t xml:space="preserve"> </w:t>
      </w:r>
      <w:r w:rsidR="00B33B5E" w:rsidRPr="0063368E">
        <w:rPr>
          <w:i/>
          <w:iCs/>
        </w:rPr>
        <w:t>et</w:t>
      </w:r>
      <w:r w:rsidR="00B33B5E">
        <w:t xml:space="preserve"> </w:t>
      </w:r>
      <w:r w:rsidR="00B33B5E" w:rsidRPr="00124E0D">
        <w:rPr>
          <w:i/>
          <w:iCs/>
        </w:rPr>
        <w:t>al.</w:t>
      </w:r>
      <w:r w:rsidR="00B33B5E">
        <w:t xml:space="preserve"> (2013) developed a model that predicts</w:t>
      </w:r>
      <w:r w:rsidR="00C92999">
        <w:t xml:space="preserve"> plant</w:t>
      </w:r>
      <w:r w:rsidR="00B33B5E">
        <w:t xml:space="preserve"> </w:t>
      </w:r>
      <w:r w:rsidR="0060261C">
        <w:t>P</w:t>
      </w:r>
      <w:r w:rsidR="00B33B5E">
        <w:t xml:space="preserve"> uptake by </w:t>
      </w:r>
      <w:r w:rsidR="00A23F00">
        <w:t>estimating</w:t>
      </w:r>
      <w:r w:rsidR="00B33B5E">
        <w:t xml:space="preserve"> </w:t>
      </w:r>
      <w:r w:rsidR="00C92999">
        <w:t>the distribution of</w:t>
      </w:r>
      <w:r w:rsidR="00B33B5E">
        <w:t xml:space="preserve"> </w:t>
      </w:r>
      <w:r w:rsidR="0060261C">
        <w:t>P</w:t>
      </w:r>
      <w:r w:rsidR="00B33B5E">
        <w:t xml:space="preserve"> in </w:t>
      </w:r>
      <w:r w:rsidR="00F54997">
        <w:t>3D</w:t>
      </w:r>
      <w:r w:rsidR="006205A6">
        <w:t xml:space="preserve">. The 3D </w:t>
      </w:r>
      <w:r w:rsidR="0060261C">
        <w:t>P</w:t>
      </w:r>
      <w:r w:rsidR="006205A6">
        <w:t xml:space="preserve"> information</w:t>
      </w:r>
      <w:r w:rsidR="00B33B5E">
        <w:t xml:space="preserve"> </w:t>
      </w:r>
      <w:r w:rsidR="003F063F">
        <w:t>can be combined with other models, such as one that estimates the fractal geometry of simulated root systems in 1, 2 and 3D (</w:t>
      </w:r>
      <w:r w:rsidR="009838F7" w:rsidRPr="00E72360">
        <w:t xml:space="preserve">Lynch </w:t>
      </w:r>
      <w:r w:rsidR="009838F7" w:rsidRPr="0063368E">
        <w:rPr>
          <w:i/>
          <w:iCs/>
        </w:rPr>
        <w:t xml:space="preserve">et </w:t>
      </w:r>
      <w:r w:rsidR="003F063F">
        <w:rPr>
          <w:i/>
          <w:iCs/>
        </w:rPr>
        <w:t>al,</w:t>
      </w:r>
      <w:r w:rsidR="003F063F">
        <w:t xml:space="preserve"> </w:t>
      </w:r>
      <w:r w:rsidR="004E0637">
        <w:t>1997</w:t>
      </w:r>
      <w:r w:rsidR="00402548">
        <w:t>)</w:t>
      </w:r>
      <w:r w:rsidR="003F063F">
        <w:t>.</w:t>
      </w:r>
      <w:r w:rsidR="009838F7">
        <w:t xml:space="preserve"> </w:t>
      </w:r>
      <w:r w:rsidR="00017307">
        <w:t>However, due to memory and computational limitations, these models are not appropriate for</w:t>
      </w:r>
      <w:r w:rsidR="006B3659">
        <w:t xml:space="preserve"> up-scaling to the field level (Roose and </w:t>
      </w:r>
      <w:proofErr w:type="spellStart"/>
      <w:r w:rsidR="006B3659">
        <w:t>Schnepf</w:t>
      </w:r>
      <w:proofErr w:type="spellEnd"/>
      <w:r w:rsidR="006B3659">
        <w:t>, 2008).</w:t>
      </w:r>
      <w:r w:rsidR="00124E0D">
        <w:t xml:space="preserve"> </w:t>
      </w:r>
      <w:r w:rsidR="009D4B43">
        <w:t>Other</w:t>
      </w:r>
      <w:r w:rsidR="006B3659">
        <w:t xml:space="preserve"> models</w:t>
      </w:r>
      <w:r w:rsidR="009D4B43">
        <w:t xml:space="preserve"> focus on the root architecture and the </w:t>
      </w:r>
      <w:r w:rsidR="00D16D71">
        <w:t>uptake</w:t>
      </w:r>
      <w:r w:rsidR="009D4B43">
        <w:t xml:space="preserve"> of P</w:t>
      </w:r>
      <w:r w:rsidR="006B3659">
        <w:t xml:space="preserve"> by the root system</w:t>
      </w:r>
      <w:r w:rsidR="009D4B43">
        <w:t xml:space="preserve"> (Ge </w:t>
      </w:r>
      <w:r w:rsidR="009D4B43" w:rsidRPr="0063368E">
        <w:rPr>
          <w:i/>
          <w:iCs/>
        </w:rPr>
        <w:t>et al.</w:t>
      </w:r>
      <w:r w:rsidR="009D4B43">
        <w:t xml:space="preserve">, 2000; Lynch and Brown, 2001; Grant and Robertson, 1997; Roose </w:t>
      </w:r>
      <w:r w:rsidR="009D4B43" w:rsidRPr="0063368E">
        <w:rPr>
          <w:i/>
          <w:iCs/>
        </w:rPr>
        <w:t>et al.</w:t>
      </w:r>
      <w:r w:rsidR="009D4B43">
        <w:t>, 2001).</w:t>
      </w:r>
      <w:r w:rsidR="006B3659">
        <w:t xml:space="preserve"> Roose </w:t>
      </w:r>
      <w:r w:rsidR="006B3659" w:rsidRPr="0063368E">
        <w:rPr>
          <w:i/>
          <w:iCs/>
        </w:rPr>
        <w:t>et al.</w:t>
      </w:r>
      <w:r w:rsidR="006B3659">
        <w:t xml:space="preserve"> (2001) capture the </w:t>
      </w:r>
      <w:r w:rsidR="00BF08DA">
        <w:t>P</w:t>
      </w:r>
      <w:r w:rsidR="006B3659">
        <w:t xml:space="preserve"> depletion zone along all roots </w:t>
      </w:r>
      <w:r w:rsidR="00017307">
        <w:t>and obtain an analytical solution</w:t>
      </w:r>
      <w:r w:rsidR="00B42D40">
        <w:t>;</w:t>
      </w:r>
      <w:r w:rsidR="00017307">
        <w:t xml:space="preserve"> </w:t>
      </w:r>
      <w:r w:rsidR="00B42D40">
        <w:t>t</w:t>
      </w:r>
      <w:r w:rsidR="00017307">
        <w:t>h</w:t>
      </w:r>
      <w:r w:rsidR="00146A7F">
        <w:t xml:space="preserve">eir model </w:t>
      </w:r>
      <w:r w:rsidR="00417763">
        <w:t>estimates pla</w:t>
      </w:r>
      <w:r w:rsidR="006B3659">
        <w:t>nt</w:t>
      </w:r>
      <w:r w:rsidR="00017307">
        <w:t xml:space="preserve"> P uptake per so</w:t>
      </w:r>
      <w:r w:rsidR="00417763">
        <w:t xml:space="preserve">il surface area </w:t>
      </w:r>
      <w:r w:rsidR="00B42D40">
        <w:t>which</w:t>
      </w:r>
      <w:r w:rsidR="00417763">
        <w:t xml:space="preserve"> can be used to</w:t>
      </w:r>
      <w:r w:rsidR="00017307">
        <w:t xml:space="preserve"> predict</w:t>
      </w:r>
      <w:r w:rsidR="00417763">
        <w:t xml:space="preserve"> plant</w:t>
      </w:r>
      <w:r w:rsidR="00017307">
        <w:t xml:space="preserve"> P uptake on </w:t>
      </w:r>
      <w:r w:rsidR="0058177F">
        <w:t>a</w:t>
      </w:r>
      <w:r w:rsidR="00017307">
        <w:t xml:space="preserve"> field scale</w:t>
      </w:r>
      <w:r w:rsidR="006B3659">
        <w:t xml:space="preserve">. </w:t>
      </w:r>
      <w:r w:rsidR="00655238">
        <w:t xml:space="preserve">Roose </w:t>
      </w:r>
      <w:r w:rsidR="00402548" w:rsidRPr="00402548">
        <w:t>and Fowler</w:t>
      </w:r>
      <w:r w:rsidR="00655238">
        <w:t xml:space="preserve"> </w:t>
      </w:r>
      <w:r w:rsidR="0009727F">
        <w:t>(</w:t>
      </w:r>
      <w:r w:rsidR="00E831A9">
        <w:t>2004b</w:t>
      </w:r>
      <w:r w:rsidR="0009727F">
        <w:t>)</w:t>
      </w:r>
      <w:r w:rsidR="00E831A9">
        <w:t xml:space="preserve"> advanced</w:t>
      </w:r>
      <w:r w:rsidR="00655238">
        <w:t xml:space="preserve"> the model by tracking</w:t>
      </w:r>
      <w:r w:rsidR="008C762A">
        <w:t xml:space="preserve"> the m</w:t>
      </w:r>
      <w:r w:rsidR="00655238">
        <w:t xml:space="preserve">ovement of </w:t>
      </w:r>
      <w:r w:rsidR="00402548">
        <w:t>water</w:t>
      </w:r>
      <w:r w:rsidR="00655238">
        <w:t xml:space="preserve"> and </w:t>
      </w:r>
      <w:r w:rsidR="00402548">
        <w:t>P</w:t>
      </w:r>
      <w:r w:rsidR="00655238">
        <w:t xml:space="preserve"> spatially</w:t>
      </w:r>
      <w:r w:rsidR="001A4F15">
        <w:t xml:space="preserve">. </w:t>
      </w:r>
      <w:r w:rsidR="00655238">
        <w:t>In this paper</w:t>
      </w:r>
      <w:r w:rsidR="003B5422">
        <w:t>, for the first time,</w:t>
      </w:r>
      <w:r w:rsidR="00655238">
        <w:t xml:space="preserve"> we extend the model </w:t>
      </w:r>
      <w:r w:rsidR="00F30E24">
        <w:t>of</w:t>
      </w:r>
      <w:r w:rsidR="00655238">
        <w:t xml:space="preserve"> Roose</w:t>
      </w:r>
      <w:r w:rsidR="00655238" w:rsidRPr="00402548">
        <w:t xml:space="preserve"> </w:t>
      </w:r>
      <w:r w:rsidR="00402548" w:rsidRPr="00402548">
        <w:t>and Fowler</w:t>
      </w:r>
      <w:r w:rsidR="00655238">
        <w:t xml:space="preserve"> </w:t>
      </w:r>
      <w:r w:rsidR="0009727F">
        <w:t>(</w:t>
      </w:r>
      <w:r w:rsidR="00655238">
        <w:t>2004b</w:t>
      </w:r>
      <w:r w:rsidR="0009727F">
        <w:t>)</w:t>
      </w:r>
      <w:r w:rsidR="00655238">
        <w:t xml:space="preserve"> </w:t>
      </w:r>
      <w:r w:rsidR="00E840C8">
        <w:t xml:space="preserve">and Heppell </w:t>
      </w:r>
      <w:r w:rsidR="00806637">
        <w:rPr>
          <w:i/>
          <w:iCs/>
        </w:rPr>
        <w:t>et al</w:t>
      </w:r>
      <w:r w:rsidR="00073174">
        <w:rPr>
          <w:i/>
          <w:iCs/>
        </w:rPr>
        <w:t>.</w:t>
      </w:r>
      <w:r w:rsidR="00E840C8" w:rsidRPr="00E840C8">
        <w:rPr>
          <w:i/>
          <w:iCs/>
        </w:rPr>
        <w:t>,</w:t>
      </w:r>
      <w:r w:rsidR="00806637">
        <w:rPr>
          <w:i/>
          <w:iCs/>
        </w:rPr>
        <w:t xml:space="preserve"> </w:t>
      </w:r>
      <w:r w:rsidR="00E840C8">
        <w:t>(</w:t>
      </w:r>
      <w:r w:rsidR="001E5044">
        <w:t>2015</w:t>
      </w:r>
      <w:r w:rsidR="00E840C8">
        <w:t xml:space="preserve">) </w:t>
      </w:r>
      <w:r w:rsidR="00655238">
        <w:t xml:space="preserve">by adding </w:t>
      </w:r>
      <w:r w:rsidR="00464336">
        <w:t xml:space="preserve">the effect of </w:t>
      </w:r>
      <w:r w:rsidR="00655238">
        <w:t>c</w:t>
      </w:r>
      <w:r w:rsidR="00A55665">
        <w:t xml:space="preserve">limate, via surface </w:t>
      </w:r>
      <w:r w:rsidR="00655238">
        <w:t>water flux and xylem pressures</w:t>
      </w:r>
      <w:r w:rsidR="004E0637">
        <w:t xml:space="preserve"> as in Heppell </w:t>
      </w:r>
      <w:r w:rsidR="004E0637" w:rsidRPr="004E0637">
        <w:rPr>
          <w:i/>
          <w:iCs/>
        </w:rPr>
        <w:t>et al.</w:t>
      </w:r>
      <w:r w:rsidR="004E0637">
        <w:t xml:space="preserve"> </w:t>
      </w:r>
      <w:r w:rsidR="0009727F">
        <w:t>(</w:t>
      </w:r>
      <w:r w:rsidR="004E0637">
        <w:t>2014</w:t>
      </w:r>
      <w:r w:rsidR="0009727F">
        <w:t>)</w:t>
      </w:r>
      <w:r w:rsidR="00655238">
        <w:t xml:space="preserve">. This </w:t>
      </w:r>
      <w:r w:rsidR="00B83F53">
        <w:t xml:space="preserve">extension </w:t>
      </w:r>
      <w:r w:rsidR="00655238">
        <w:t xml:space="preserve">allows </w:t>
      </w:r>
      <w:r w:rsidR="0084187C">
        <w:t>comparison</w:t>
      </w:r>
      <w:r w:rsidR="00655238">
        <w:t xml:space="preserve"> of</w:t>
      </w:r>
      <w:r w:rsidR="008F16D6">
        <w:t xml:space="preserve"> the</w:t>
      </w:r>
      <w:r w:rsidR="00655238">
        <w:t xml:space="preserve"> model </w:t>
      </w:r>
      <w:r w:rsidR="0038328A">
        <w:t xml:space="preserve">output, </w:t>
      </w:r>
      <w:r w:rsidR="008F16D6">
        <w:t>plant</w:t>
      </w:r>
      <w:r w:rsidR="00655238">
        <w:t xml:space="preserve"> P uptake</w:t>
      </w:r>
      <w:r w:rsidR="0038328A">
        <w:t>,</w:t>
      </w:r>
      <w:r w:rsidR="00655238">
        <w:t xml:space="preserve"> against</w:t>
      </w:r>
      <w:r w:rsidR="00A55665">
        <w:t xml:space="preserve"> field study experimental data</w:t>
      </w:r>
      <w:r w:rsidR="008F16D6">
        <w:t>,</w:t>
      </w:r>
      <w:r w:rsidR="00655238">
        <w:t xml:space="preserve"> for differ</w:t>
      </w:r>
      <w:r w:rsidR="00402548">
        <w:t>ent</w:t>
      </w:r>
      <w:r w:rsidR="00655238">
        <w:t xml:space="preserve"> environmental conditions</w:t>
      </w:r>
      <w:r w:rsidR="00A55665">
        <w:t>.</w:t>
      </w:r>
      <w:r w:rsidR="00655238">
        <w:t xml:space="preserve"> In addition, we incorporate temperature</w:t>
      </w:r>
      <w:r w:rsidR="00464336">
        <w:t>-dependent</w:t>
      </w:r>
      <w:r w:rsidR="00655238">
        <w:t xml:space="preserve"> root growth </w:t>
      </w:r>
      <w:r w:rsidR="00675485">
        <w:t>so</w:t>
      </w:r>
      <w:r w:rsidR="00655238">
        <w:t xml:space="preserve"> that the model can be used for winter crops</w:t>
      </w:r>
      <w:r w:rsidR="00D55134">
        <w:t xml:space="preserve">, as there is </w:t>
      </w:r>
      <w:r w:rsidR="00DD5587">
        <w:t>little</w:t>
      </w:r>
      <w:r w:rsidR="00D55134">
        <w:t xml:space="preserve"> or no</w:t>
      </w:r>
      <w:r w:rsidR="00FA05C4">
        <w:t xml:space="preserve"> root/plant</w:t>
      </w:r>
      <w:r w:rsidR="00D55134">
        <w:t xml:space="preserve"> growth at low temperatures.</w:t>
      </w:r>
      <w:r w:rsidR="002608BC">
        <w:t xml:space="preserve"> Our mathematical model is based on well-known equations governing P and water movement within the soil (Roose et al., 2014), and the aim of this work is to see if the model can explain variations in P uptake observed at field sites. If not, this indicates that further development of the model or model inputs is required.</w:t>
      </w:r>
      <w:r w:rsidR="00655238">
        <w:t xml:space="preserve"> We first describe details of the Roose </w:t>
      </w:r>
      <w:r w:rsidR="00402548" w:rsidRPr="00402548">
        <w:t>and Fowler</w:t>
      </w:r>
      <w:r w:rsidR="00655238">
        <w:t xml:space="preserve"> </w:t>
      </w:r>
      <w:r w:rsidR="0009727F">
        <w:t>(</w:t>
      </w:r>
      <w:r w:rsidR="00655238">
        <w:t>2004b</w:t>
      </w:r>
      <w:r w:rsidR="0009727F">
        <w:t>)</w:t>
      </w:r>
      <w:r w:rsidR="00655238">
        <w:t xml:space="preserve"> model and then the adapt</w:t>
      </w:r>
      <w:r w:rsidR="00627275">
        <w:t>at</w:t>
      </w:r>
      <w:r w:rsidR="00655238">
        <w:t>ions made to it.</w:t>
      </w:r>
    </w:p>
    <w:p w14:paraId="6EA48EA5" w14:textId="567F3863" w:rsidR="00655238" w:rsidRDefault="00655238" w:rsidP="00B92F5E">
      <w:pPr>
        <w:jc w:val="both"/>
      </w:pPr>
      <w:r w:rsidRPr="006157DF">
        <w:rPr>
          <w:b/>
          <w:bCs/>
          <w:i/>
          <w:iCs/>
        </w:rPr>
        <w:t xml:space="preserve">Roose and Fowler </w:t>
      </w:r>
      <w:r>
        <w:rPr>
          <w:b/>
          <w:bCs/>
          <w:i/>
          <w:iCs/>
        </w:rPr>
        <w:t>model</w:t>
      </w:r>
    </w:p>
    <w:p w14:paraId="067F5FF1" w14:textId="1AF06E02" w:rsidR="00EF7911" w:rsidRDefault="00EF7911" w:rsidP="00B92F5E">
      <w:pPr>
        <w:jc w:val="both"/>
      </w:pPr>
      <w:r>
        <w:t>Roose and Fowler (2004b) model water and</w:t>
      </w:r>
      <w:r w:rsidR="00373E53">
        <w:t xml:space="preserve"> </w:t>
      </w:r>
      <w:r w:rsidR="002446A2">
        <w:t>P</w:t>
      </w:r>
      <w:r w:rsidR="00373E53">
        <w:t xml:space="preserve"> flow through soil to calculate </w:t>
      </w:r>
      <w:r>
        <w:t xml:space="preserve">uptake into </w:t>
      </w:r>
      <w:r w:rsidR="00063397">
        <w:t>a surrounding plant root system</w:t>
      </w:r>
      <w:r>
        <w:t xml:space="preserve"> usi</w:t>
      </w:r>
      <w:r w:rsidR="00247360">
        <w:t xml:space="preserve">ng </w:t>
      </w:r>
      <w:r w:rsidR="00BB556B">
        <w:t xml:space="preserve">a </w:t>
      </w:r>
      <w:r w:rsidR="00247360">
        <w:t>Richards E</w:t>
      </w:r>
      <w:r>
        <w:t>quation</w:t>
      </w:r>
      <w:r w:rsidR="00BB556B">
        <w:t xml:space="preserve"> coupled to a diffusion-convection equation </w:t>
      </w:r>
      <w:r w:rsidR="00BB556B">
        <w:lastRenderedPageBreak/>
        <w:t>describing P movement in the soil. The model</w:t>
      </w:r>
      <w:r>
        <w:t xml:space="preserve"> assume</w:t>
      </w:r>
      <w:r w:rsidR="00BB556B">
        <w:t>s</w:t>
      </w:r>
      <w:r>
        <w:t xml:space="preserve"> that the soil is homogeneous and neglect</w:t>
      </w:r>
      <w:r w:rsidR="00BB556B">
        <w:t>s</w:t>
      </w:r>
      <w:r>
        <w:t xml:space="preserve"> horizontal movement </w:t>
      </w:r>
      <w:r w:rsidR="00BB556B">
        <w:t>of</w:t>
      </w:r>
      <w:r>
        <w:t xml:space="preserve"> water and </w:t>
      </w:r>
      <w:r w:rsidR="002446A2">
        <w:t>P</w:t>
      </w:r>
      <w:r w:rsidR="00F07CB9">
        <w:t>,</w:t>
      </w:r>
      <w:r w:rsidR="00BA7032">
        <w:t xml:space="preserve"> since</w:t>
      </w:r>
      <w:r w:rsidR="00373E53">
        <w:t xml:space="preserve"> at</w:t>
      </w:r>
      <w:r w:rsidR="00F07CB9">
        <w:t xml:space="preserve"> the</w:t>
      </w:r>
      <w:r w:rsidR="00373E53">
        <w:t xml:space="preserve"> field scale the differences in the horizontal variation for the root length density are negligible</w:t>
      </w:r>
      <w:r w:rsidR="00480B19">
        <w:t xml:space="preserve"> compared to</w:t>
      </w:r>
      <w:r w:rsidR="00F07CB9">
        <w:t xml:space="preserve"> the</w:t>
      </w:r>
      <w:r w:rsidR="00480B19">
        <w:t xml:space="preserve"> vertical variation</w:t>
      </w:r>
      <w:r w:rsidR="00373E53">
        <w:t xml:space="preserve"> (</w:t>
      </w:r>
      <w:r w:rsidR="005144F9">
        <w:t>Roose</w:t>
      </w:r>
      <w:r w:rsidR="00922A0E">
        <w:t xml:space="preserve"> and Fowler</w:t>
      </w:r>
      <w:r w:rsidR="005144F9">
        <w:t>, 2004a</w:t>
      </w:r>
      <w:r w:rsidR="00373E53">
        <w:t xml:space="preserve">). </w:t>
      </w:r>
      <w:r w:rsidR="00DE2C5D">
        <w:t xml:space="preserve">For model simplicity we assume that there is a concentration of P available to the root system (P in solution, ‘available P’) and a concentration sorbed to the soil particles (P sorbed, ‘non-available P’). Many new papers use the term ‘available P’ to represent this state of P in the soil, for example Johnson </w:t>
      </w:r>
      <w:r w:rsidR="00DE2C5D" w:rsidRPr="008A048F">
        <w:rPr>
          <w:i/>
          <w:iCs/>
        </w:rPr>
        <w:t>et al.</w:t>
      </w:r>
      <w:r w:rsidR="00DE2C5D">
        <w:t xml:space="preserve">, 2014. </w:t>
      </w:r>
      <w:r>
        <w:t>The</w:t>
      </w:r>
      <w:r w:rsidR="00DE2C5D">
        <w:t xml:space="preserve"> Roose and Fowler</w:t>
      </w:r>
      <w:r>
        <w:t xml:space="preserve"> model is described by t</w:t>
      </w:r>
      <w:r w:rsidR="00373E53">
        <w:t xml:space="preserve">he following </w:t>
      </w:r>
      <w:r w:rsidR="00E831A9">
        <w:t>two</w:t>
      </w:r>
      <w:r w:rsidR="00373E53">
        <w:t xml:space="preserve"> equations for</w:t>
      </w:r>
      <w:r>
        <w:t xml:space="preserve"> </w:t>
      </w:r>
      <w:r w:rsidR="00373E53">
        <w:t xml:space="preserve">water and </w:t>
      </w:r>
      <w:r w:rsidR="00997DB1">
        <w:t>P</w:t>
      </w:r>
      <w:r w:rsidR="00373E53">
        <w:t xml:space="preserve"> conservation</w:t>
      </w:r>
      <w:r>
        <w:t>, respectively,</w:t>
      </w:r>
    </w:p>
    <w:p w14:paraId="5F90675B" w14:textId="0E956F6C" w:rsidR="00EF7911" w:rsidRPr="00F44F26" w:rsidRDefault="003E2618" w:rsidP="00B92F5E">
      <w:pPr>
        <w:jc w:val="both"/>
        <w:rPr>
          <w:lang w:val="es-ES"/>
        </w:rPr>
      </w:pPr>
      <w:r w:rsidRPr="00F326C6">
        <w:tab/>
      </w:r>
      <w:r w:rsidRPr="00F326C6">
        <w:tab/>
      </w:r>
      <w:r w:rsidRPr="00F326C6">
        <w:tab/>
      </w:r>
      <m:oMath>
        <m:r>
          <w:rPr>
            <w:rFonts w:ascii="Cambria Math" w:hAnsi="Cambria Math"/>
          </w:rPr>
          <m:t>ϕ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∂S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  <m:r>
          <w:rPr>
            <w:rFonts w:ascii="Cambria Math" w:hAnsi="Cambria Math"/>
            <w:lang w:val="es-ES"/>
          </w:rPr>
          <m:t>=</m:t>
        </m:r>
        <m:r>
          <m:rPr>
            <m:sty m:val="p"/>
          </m:rPr>
          <w:rPr>
            <w:rFonts w:ascii="Cambria Math" w:hAnsi="Cambria Math"/>
            <w:lang w:val="es-ES"/>
          </w:rPr>
          <m:t>∇ </m:t>
        </m:r>
        <m:r>
          <w:rPr>
            <w:rFonts w:ascii="Cambria Math" w:hAnsi="Cambria Math"/>
            <w:lang w:val="es-ES"/>
          </w:rPr>
          <m:t>∙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  <w:lang w:val="es-ES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val="es-ES"/>
              </w:rPr>
              <m:t>∇</m:t>
            </m:r>
            <m:r>
              <w:rPr>
                <w:rFonts w:ascii="Cambria Math" w:hAnsi="Cambria Math"/>
              </w:rPr>
              <m:t>S</m:t>
            </m:r>
            <m:r>
              <w:rPr>
                <w:rFonts w:ascii="Cambria Math" w:hAnsi="Cambria Math"/>
                <w:lang w:val="es-ES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s</m:t>
                </m:r>
              </m:sub>
            </m:sSub>
            <m:r>
              <w:rPr>
                <w:rFonts w:ascii="Cambria Math" w:hAnsi="Cambria Math"/>
              </w:rPr>
              <m:t>k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  <m:acc>
              <m:acc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k</m:t>
                </m:r>
              </m:e>
            </m:acc>
          </m:e>
        </m:d>
        <m:r>
          <w:rPr>
            <w:rFonts w:ascii="Cambria Math" w:hAnsi="Cambria Math"/>
            <w:lang w:val="es-ES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  <w:lang w:val="es-ES"/>
          </w:rPr>
          <m:t>(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es-ES"/>
          </w:rPr>
          <m:t>,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s-ES"/>
          </w:rPr>
          <m:t>)</m:t>
        </m:r>
      </m:oMath>
      <w:r w:rsidR="00A16846" w:rsidRPr="00F44F26">
        <w:rPr>
          <w:lang w:val="es-ES"/>
        </w:rPr>
        <w:t>,</w:t>
      </w:r>
      <w:r w:rsidR="00F44F26" w:rsidRPr="00F44F26">
        <w:rPr>
          <w:lang w:val="es-ES"/>
        </w:rPr>
        <w:t xml:space="preserve"> </w:t>
      </w:r>
      <w:r w:rsidR="00F44F26" w:rsidRPr="00F44F26">
        <w:rPr>
          <w:lang w:val="es-ES"/>
        </w:rPr>
        <w:tab/>
      </w:r>
      <w:r w:rsidR="00F44F26" w:rsidRPr="008A048F">
        <w:rPr>
          <w:lang w:val="es-ES"/>
        </w:rPr>
        <w:tab/>
        <w:t xml:space="preserve">           </w:t>
      </w:r>
      <w:proofErr w:type="spellStart"/>
      <w:r w:rsidR="00F44F26" w:rsidRPr="00F44F26">
        <w:rPr>
          <w:lang w:val="es-ES"/>
        </w:rPr>
        <w:t>Eqn</w:t>
      </w:r>
      <w:proofErr w:type="spellEnd"/>
      <w:r w:rsidR="00F44F26" w:rsidRPr="00F44F26">
        <w:rPr>
          <w:lang w:val="es-ES"/>
        </w:rPr>
        <w:t>. 1</w:t>
      </w:r>
    </w:p>
    <w:p w14:paraId="41DA00D9" w14:textId="15E0497E" w:rsidR="00EF7911" w:rsidRPr="00546EF8" w:rsidRDefault="003E2618" w:rsidP="00B92F5E">
      <w:pPr>
        <w:jc w:val="both"/>
        <w:rPr>
          <w:iCs/>
          <w:lang w:val="es-ES"/>
        </w:rPr>
      </w:pPr>
      <w:r w:rsidRPr="007C57C8">
        <w:rPr>
          <w:iCs/>
          <w:lang w:val="es-ES"/>
        </w:rPr>
        <w:tab/>
      </w:r>
      <w:r w:rsidRPr="007C57C8">
        <w:rPr>
          <w:iCs/>
          <w:lang w:val="es-ES"/>
        </w:rPr>
        <w:tab/>
      </w:r>
      <w:r w:rsidRPr="007C57C8">
        <w:rPr>
          <w:iCs/>
          <w:lang w:val="es-ES"/>
        </w:rPr>
        <w:tab/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</m:num>
          <m:den>
            <m:r>
              <w:rPr>
                <w:rFonts w:ascii="Cambria Math" w:hAnsi="Cambria Math"/>
              </w:rPr>
              <m:t>∂t</m:t>
            </m:r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b</m:t>
                </m:r>
                <m:r>
                  <w:rPr>
                    <w:rFonts w:ascii="Cambria Math" w:hAnsi="Cambria Math" w:hint="eastAsia"/>
                    <w:lang w:val="es-ES"/>
                  </w:rPr>
                  <m:t>+</m:t>
                </m:r>
                <m:r>
                  <w:rPr>
                    <w:rFonts w:ascii="Cambria Math" w:hAnsi="Cambria Math"/>
                  </w:rPr>
                  <m:t>ϕS</m:t>
                </m:r>
              </m:e>
            </m:d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 w:hint="eastAsia"/>
            <w:lang w:val="es-ES"/>
          </w:rPr>
          <m:t>+</m:t>
        </m:r>
        <m:r>
          <m:rPr>
            <m:sty m:val="p"/>
          </m:rPr>
          <w:rPr>
            <w:rFonts w:ascii="Cambria Math" w:hAnsi="Cambria Math"/>
            <w:lang w:val="es-ES"/>
          </w:rPr>
          <m:t>∇</m:t>
        </m:r>
        <m:r>
          <w:rPr>
            <w:rFonts w:ascii="Cambria Math" w:hAnsi="Cambria Math"/>
            <w:lang w:val="es-ES"/>
          </w:rPr>
          <m:t>∙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c</m:t>
            </m:r>
            <m:r>
              <m:rPr>
                <m:sty m:val="bi"/>
              </m:rP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 w:hint="eastAsia"/>
            <w:lang w:val="es-ES"/>
          </w:rPr>
          <m:t>=</m:t>
        </m:r>
        <m:r>
          <m:rPr>
            <m:sty m:val="p"/>
          </m:rPr>
          <w:rPr>
            <w:rFonts w:ascii="Cambria Math" w:hAnsi="Cambria Math"/>
            <w:lang w:val="es-ES"/>
          </w:rPr>
          <m:t>∇</m:t>
        </m:r>
        <m:r>
          <w:rPr>
            <w:rFonts w:ascii="Cambria Math" w:hAnsi="Cambria Math"/>
            <w:lang w:val="es-ES"/>
          </w:rPr>
          <m:t>∙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f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ϕ</m:t>
                </m:r>
              </m:e>
              <m:sup>
                <m:r>
                  <w:rPr>
                    <w:rFonts w:ascii="Cambria Math" w:hAnsi="Cambria Math"/>
                  </w:rPr>
                  <m:t>d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d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es-ES"/>
              </w:rPr>
              <m:t>∇</m:t>
            </m:r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  <w:lang w:val="es-ES"/>
          </w:rPr>
          <m:t>-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c</m:t>
            </m:r>
            <m:r>
              <w:rPr>
                <w:rFonts w:ascii="Cambria Math" w:hAnsi="Cambria Math" w:hint="eastAsia"/>
                <w:lang w:val="es-ES"/>
              </w:rPr>
              <m:t>,</m:t>
            </m:r>
            <m:r>
              <w:rPr>
                <w:rFonts w:ascii="Cambria Math" w:hAnsi="Cambria Math"/>
              </w:rPr>
              <m:t>S</m:t>
            </m:r>
            <m:r>
              <w:rPr>
                <w:rFonts w:ascii="Cambria Math" w:hAnsi="Cambria Math" w:hint="eastAsia"/>
                <w:lang w:val="es-ES"/>
              </w:rPr>
              <m:t>,</m:t>
            </m:r>
            <m:r>
              <w:rPr>
                <w:rFonts w:ascii="Cambria Math" w:hAnsi="Cambria Math"/>
              </w:rPr>
              <m:t>t</m:t>
            </m:r>
          </m:e>
        </m:d>
      </m:oMath>
      <w:r w:rsidR="00F26B7E" w:rsidRPr="00546EF8">
        <w:rPr>
          <w:iCs/>
          <w:lang w:val="es-ES"/>
        </w:rPr>
        <w:t>,</w:t>
      </w:r>
      <w:r w:rsidR="00F44F26" w:rsidRPr="008A048F">
        <w:rPr>
          <w:iCs/>
          <w:lang w:val="es-ES"/>
        </w:rPr>
        <w:t xml:space="preserve"> </w:t>
      </w:r>
      <w:r w:rsidR="00F44F26" w:rsidRPr="00546EF8">
        <w:rPr>
          <w:iCs/>
          <w:lang w:val="es-ES"/>
        </w:rPr>
        <w:tab/>
      </w:r>
      <w:r w:rsidR="00F44F26" w:rsidRPr="008A048F">
        <w:rPr>
          <w:iCs/>
          <w:lang w:val="es-ES"/>
        </w:rPr>
        <w:t xml:space="preserve">           </w:t>
      </w:r>
      <w:proofErr w:type="spellStart"/>
      <w:r w:rsidR="00F44F26" w:rsidRPr="008A048F">
        <w:rPr>
          <w:iCs/>
          <w:lang w:val="es-ES"/>
        </w:rPr>
        <w:t>Eqn</w:t>
      </w:r>
      <w:proofErr w:type="spellEnd"/>
      <w:r w:rsidR="00F44F26" w:rsidRPr="008A048F">
        <w:rPr>
          <w:iCs/>
          <w:lang w:val="es-ES"/>
        </w:rPr>
        <w:t>. 2</w:t>
      </w:r>
    </w:p>
    <w:p w14:paraId="635F6929" w14:textId="329834BA" w:rsidR="00EF7911" w:rsidRPr="00373E53" w:rsidRDefault="00F26B7E" w:rsidP="00B92F5E">
      <w:pPr>
        <w:jc w:val="both"/>
        <w:rPr>
          <w:b/>
        </w:rPr>
      </w:pPr>
      <w:proofErr w:type="gramStart"/>
      <w:r>
        <w:rPr>
          <w:iCs/>
        </w:rPr>
        <w:t>where</w:t>
      </w:r>
      <w:proofErr w:type="gramEnd"/>
      <w:r>
        <w:rPr>
          <w:iCs/>
        </w:rPr>
        <w:t xml:space="preserve"> t</w:t>
      </w:r>
      <w:r w:rsidR="00373E53">
        <w:rPr>
          <w:iCs/>
        </w:rPr>
        <w:t>he speed of</w:t>
      </w:r>
      <w:r w:rsidR="00EF7911">
        <w:rPr>
          <w:iCs/>
        </w:rPr>
        <w:t xml:space="preserve"> water movement</w:t>
      </w:r>
      <w:r w:rsidR="00373E53">
        <w:rPr>
          <w:iCs/>
        </w:rPr>
        <w:t xml:space="preserve"> in the soil,</w:t>
      </w:r>
      <w:r w:rsidR="00EF7911">
        <w:rPr>
          <w:iCs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u</m:t>
        </m:r>
      </m:oMath>
      <w:r w:rsidR="00373E53">
        <w:rPr>
          <w:iCs/>
        </w:rPr>
        <w:t>, is</w:t>
      </w:r>
      <w:r w:rsidR="00EF7911" w:rsidRPr="00387878">
        <w:rPr>
          <w:iCs/>
        </w:rPr>
        <w:t xml:space="preserve"> given by Darcy’s law</w:t>
      </w:r>
      <w:r w:rsidR="00EF7911">
        <w:rPr>
          <w:iCs/>
        </w:rPr>
        <w:t>,</w:t>
      </w:r>
    </w:p>
    <w:p w14:paraId="5E522C0D" w14:textId="587036A5" w:rsidR="00EF7911" w:rsidRPr="00387878" w:rsidRDefault="003E2618" w:rsidP="00B92F5E">
      <w:pPr>
        <w:jc w:val="both"/>
        <w:rPr>
          <w:b/>
          <w:bCs/>
          <w:iCs/>
          <w:vertAlign w:val="subscript"/>
        </w:rPr>
      </w:pPr>
      <w:r>
        <w:rPr>
          <w:b/>
          <w:vertAlign w:val="subscript"/>
        </w:rPr>
        <w:tab/>
      </w:r>
      <w:r>
        <w:rPr>
          <w:b/>
          <w:vertAlign w:val="subscript"/>
        </w:rPr>
        <w:tab/>
      </w:r>
      <w:r>
        <w:rPr>
          <w:b/>
          <w:vertAlign w:val="subscript"/>
        </w:rPr>
        <w:tab/>
      </w:r>
      <w:r>
        <w:rPr>
          <w:b/>
          <w:vertAlign w:val="subscript"/>
        </w:rPr>
        <w:tab/>
      </w:r>
      <m:oMath>
        <m:r>
          <m:rPr>
            <m:sty m:val="bi"/>
          </m:rPr>
          <w:rPr>
            <w:rFonts w:ascii="Cambria Math" w:hAnsi="Cambria Math"/>
            <w:vertAlign w:val="subscript"/>
          </w:rPr>
          <m:t>u</m:t>
        </m:r>
        <m:r>
          <w:rPr>
            <w:rFonts w:ascii="Cambria Math" w:hAnsi="Cambria Math"/>
            <w:vertAlign w:val="subscript"/>
          </w:rPr>
          <m:t>=-</m:t>
        </m:r>
        <m:sSub>
          <m:sSubPr>
            <m:ctrlPr>
              <w:rPr>
                <w:rFonts w:ascii="Cambria Math" w:hAnsi="Cambria Math"/>
                <w:i/>
                <w:iCs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D</m:t>
            </m:r>
          </m:e>
          <m:sub>
            <m:r>
              <w:rPr>
                <w:rFonts w:ascii="Cambria Math" w:hAnsi="Cambria Math"/>
                <w:vertAlign w:val="subscript"/>
              </w:rPr>
              <m:t>0</m:t>
            </m:r>
          </m:sub>
        </m:sSub>
        <m:r>
          <w:rPr>
            <w:rFonts w:ascii="Cambria Math" w:hAnsi="Cambria Math"/>
            <w:vertAlign w:val="subscript"/>
          </w:rPr>
          <m:t>D</m:t>
        </m:r>
        <m:d>
          <m:dPr>
            <m:ctrlPr>
              <w:rPr>
                <w:rFonts w:ascii="Cambria Math" w:hAnsi="Cambria Math"/>
                <w:i/>
                <w:iCs/>
                <w:vertAlign w:val="subscript"/>
              </w:rPr>
            </m:ctrlPr>
          </m:dPr>
          <m:e>
            <m:r>
              <w:rPr>
                <w:rFonts w:ascii="Cambria Math" w:hAnsi="Cambria Math"/>
                <w:vertAlign w:val="subscript"/>
              </w:rPr>
              <m:t>S</m:t>
            </m:r>
          </m:e>
        </m:d>
        <m:r>
          <m:rPr>
            <m:sty m:val="p"/>
          </m:rPr>
          <w:rPr>
            <w:rFonts w:ascii="Cambria Math" w:hAnsi="Cambria Math"/>
            <w:vertAlign w:val="subscript"/>
          </w:rPr>
          <m:t>∇</m:t>
        </m:r>
        <m:r>
          <w:rPr>
            <w:rFonts w:ascii="Cambria Math" w:hAnsi="Cambria Math"/>
            <w:vertAlign w:val="subscript"/>
          </w:rPr>
          <m:t>S+</m:t>
        </m:r>
        <m:sSub>
          <m:sSubPr>
            <m:ctrlPr>
              <w:rPr>
                <w:rFonts w:ascii="Cambria Math" w:hAnsi="Cambria Math"/>
                <w:i/>
                <w:iCs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K</m:t>
            </m:r>
          </m:e>
          <m:sub>
            <m:r>
              <w:rPr>
                <w:rFonts w:ascii="Cambria Math" w:hAnsi="Cambria Math"/>
                <w:vertAlign w:val="subscript"/>
              </w:rPr>
              <m:t>s</m:t>
            </m:r>
          </m:sub>
        </m:sSub>
        <m:r>
          <w:rPr>
            <w:rFonts w:ascii="Cambria Math" w:hAnsi="Cambria Math"/>
            <w:vertAlign w:val="subscript"/>
          </w:rPr>
          <m:t>k</m:t>
        </m:r>
        <m:d>
          <m:dPr>
            <m:ctrlPr>
              <w:rPr>
                <w:rFonts w:ascii="Cambria Math" w:hAnsi="Cambria Math"/>
                <w:i/>
                <w:iCs/>
                <w:vertAlign w:val="subscript"/>
              </w:rPr>
            </m:ctrlPr>
          </m:dPr>
          <m:e>
            <m:r>
              <w:rPr>
                <w:rFonts w:ascii="Cambria Math" w:hAnsi="Cambria Math"/>
                <w:vertAlign w:val="subscript"/>
              </w:rPr>
              <m:t>S</m:t>
            </m:r>
          </m:e>
        </m:d>
        <m:acc>
          <m:accPr>
            <m:ctrlPr>
              <w:rPr>
                <w:rFonts w:ascii="Cambria Math" w:hAnsi="Cambria Math"/>
                <w:b/>
                <w:bCs/>
                <w:i/>
                <w:iCs/>
                <w:vertAlign w:val="subscript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vertAlign w:val="subscript"/>
              </w:rPr>
              <m:t>k</m:t>
            </m:r>
          </m:e>
        </m:acc>
        <m:r>
          <m:rPr>
            <m:sty m:val="bi"/>
          </m:rPr>
          <w:rPr>
            <w:rFonts w:ascii="Cambria Math" w:hAnsi="Cambria Math"/>
            <w:vertAlign w:val="subscript"/>
          </w:rPr>
          <m:t>.</m:t>
        </m:r>
      </m:oMath>
      <w:r w:rsidR="00F44F26" w:rsidRPr="00F44F26">
        <w:rPr>
          <w:bCs/>
        </w:rPr>
        <w:t xml:space="preserve"> </w:t>
      </w:r>
      <w:r w:rsidR="00F44F26">
        <w:rPr>
          <w:bCs/>
        </w:rPr>
        <w:tab/>
      </w:r>
      <w:r w:rsidR="00F44F26">
        <w:rPr>
          <w:bCs/>
        </w:rPr>
        <w:tab/>
      </w:r>
      <w:r w:rsidR="00F44F26">
        <w:rPr>
          <w:bCs/>
        </w:rPr>
        <w:tab/>
      </w:r>
      <w:r w:rsidR="00F44F26">
        <w:rPr>
          <w:bCs/>
        </w:rPr>
        <w:tab/>
        <w:t xml:space="preserve">           </w:t>
      </w:r>
      <w:r w:rsidR="00F44F26" w:rsidRPr="003E2618">
        <w:rPr>
          <w:bCs/>
        </w:rPr>
        <w:t>Eqn. 3</w:t>
      </w:r>
    </w:p>
    <w:p w14:paraId="053EDB09" w14:textId="5B7395B8" w:rsidR="00C823DF" w:rsidRDefault="00FA05C4" w:rsidP="00B92F5E">
      <w:pPr>
        <w:jc w:val="both"/>
      </w:pPr>
      <w:r>
        <w:t>In above equations</w:t>
      </w:r>
      <w:r w:rsidR="006C5D29">
        <w:t xml:space="preserve"> </w:t>
      </w:r>
      <w:r w:rsidR="00E40DC0" w:rsidRPr="00E40DC0">
        <w:rPr>
          <w:i/>
        </w:rPr>
        <w:t>S</w:t>
      </w:r>
      <w:r>
        <w:t xml:space="preserve"> is</w:t>
      </w:r>
      <w:r w:rsidR="00E40DC0">
        <w:t xml:space="preserve"> the relative water saturation given by </w:t>
      </w:r>
      <m:oMath>
        <m:r>
          <w:rPr>
            <w:rFonts w:ascii="Cambria Math" w:hAnsi="Cambria Math"/>
          </w:rPr>
          <m:t>S=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/ϕ</m:t>
        </m:r>
      </m:oMath>
      <w:r w:rsidR="00E40DC0">
        <w:t>,</w:t>
      </w:r>
      <w:r w:rsidR="00EF79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is </w:t>
      </w:r>
      <w:r w:rsidR="00EF7911">
        <w:t>the volumetric water content</w:t>
      </w:r>
      <w:r w:rsidR="00373E53">
        <w:t>,</w:t>
      </w:r>
      <w:r w:rsidR="00EF7911">
        <w:t xml:space="preserve"> and </w:t>
      </w:r>
      <m:oMath>
        <m:r>
          <w:rPr>
            <w:rFonts w:ascii="Cambria Math" w:hAnsi="Cambria Math"/>
          </w:rPr>
          <m:t>ϕ</m:t>
        </m:r>
      </m:oMath>
      <w:r w:rsidR="006C5D29">
        <w:t xml:space="preserve"> </w:t>
      </w:r>
      <w:r>
        <w:t xml:space="preserve">is </w:t>
      </w:r>
      <w:r w:rsidR="00E40DC0">
        <w:t>the porosity of the soil.</w:t>
      </w:r>
      <w:r w:rsidR="00EF791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838F7">
        <w:t xml:space="preserve"> </w:t>
      </w:r>
      <w:r w:rsidR="009838F7" w:rsidRPr="00282863">
        <w:t>(</w:t>
      </w:r>
      <w:proofErr w:type="gramStart"/>
      <w:r w:rsidR="0021206F">
        <w:t>c</w:t>
      </w:r>
      <w:r w:rsidR="009838F7" w:rsidRPr="00282863">
        <w:t>m</w:t>
      </w:r>
      <w:r w:rsidR="009838F7" w:rsidRPr="00282863">
        <w:rPr>
          <w:vertAlign w:val="superscript"/>
        </w:rPr>
        <w:t>2</w:t>
      </w:r>
      <w:proofErr w:type="gramEnd"/>
      <w:r w:rsidR="009838F7">
        <w:rPr>
          <w:vertAlign w:val="superscript"/>
        </w:rPr>
        <w:t xml:space="preserve"> </w:t>
      </w:r>
      <w:r w:rsidR="0021206F">
        <w:t>day</w:t>
      </w:r>
      <w:r w:rsidR="009838F7" w:rsidRPr="00282863">
        <w:rPr>
          <w:vertAlign w:val="superscript"/>
        </w:rPr>
        <w:t>-1</w:t>
      </w:r>
      <w:r w:rsidR="009838F7" w:rsidRPr="00282863">
        <w:t xml:space="preserve">) </w:t>
      </w:r>
      <w:r w:rsidR="009838F7">
        <w:t xml:space="preserve">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</m:oMath>
      <w:r w:rsidR="009838F7">
        <w:t xml:space="preserve"> </w:t>
      </w:r>
      <w:r w:rsidR="009838F7" w:rsidRPr="00282863">
        <w:t>(</w:t>
      </w:r>
      <w:r w:rsidR="0021206F">
        <w:t>c</w:t>
      </w:r>
      <w:r w:rsidR="009838F7" w:rsidRPr="00282863">
        <w:t xml:space="preserve">m </w:t>
      </w:r>
      <w:r w:rsidR="0021206F">
        <w:t>day</w:t>
      </w:r>
      <w:r w:rsidR="009838F7" w:rsidRPr="00282863">
        <w:rPr>
          <w:vertAlign w:val="superscript"/>
        </w:rPr>
        <w:t>-1</w:t>
      </w:r>
      <w:r w:rsidR="009838F7" w:rsidRPr="00282863">
        <w:t>)</w:t>
      </w:r>
      <w:r w:rsidR="009838F7">
        <w:t xml:space="preserve"> </w:t>
      </w:r>
      <w:r w:rsidR="00EF7911">
        <w:t xml:space="preserve">are the parameters for water </w:t>
      </w:r>
      <w:r w:rsidR="009305F9">
        <w:t>‘</w:t>
      </w:r>
      <w:r w:rsidR="00EF7911">
        <w:t>diffusivity</w:t>
      </w:r>
      <w:r w:rsidR="009305F9">
        <w:t>’</w:t>
      </w:r>
      <w:r w:rsidR="00C823DF">
        <w:t xml:space="preserve"> and</w:t>
      </w:r>
      <w:r w:rsidR="009305F9">
        <w:t xml:space="preserve"> hydraulic</w:t>
      </w:r>
      <w:r w:rsidR="00C823DF">
        <w:t xml:space="preserve"> conductivity, respectively.</w:t>
      </w:r>
      <w:r w:rsidR="00EF7911">
        <w:t xml:space="preserve">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</m:oMath>
      <w:r w:rsidR="00EF7911">
        <w:t xml:space="preserve"> and </w:t>
      </w:r>
      <m:oMath>
        <m:r>
          <w:rPr>
            <w:rFonts w:ascii="Cambria Math" w:hAnsi="Cambria Math"/>
          </w:rPr>
          <m:t>k(S)</m:t>
        </m:r>
      </m:oMath>
      <w:r w:rsidR="00EF7911">
        <w:t xml:space="preserve"> characterize reduction in water </w:t>
      </w:r>
      <w:r w:rsidR="009305F9">
        <w:t>‘</w:t>
      </w:r>
      <w:r w:rsidR="00EF7911">
        <w:t>diffusivity</w:t>
      </w:r>
      <w:r w:rsidR="009305F9">
        <w:t>’</w:t>
      </w:r>
      <w:r w:rsidR="00EF7911">
        <w:t xml:space="preserve"> and </w:t>
      </w:r>
      <w:r w:rsidR="009305F9">
        <w:t xml:space="preserve">hydraulic </w:t>
      </w:r>
      <w:r w:rsidR="00EF7911">
        <w:t>conductivity in response to the relative water saturation decrease</w:t>
      </w:r>
      <w:r w:rsidR="00C91991">
        <w:t>,</w:t>
      </w:r>
      <w:r w:rsidR="00C823DF">
        <w:t xml:space="preserve"> where t</w:t>
      </w:r>
      <w:r w:rsidR="00EF7911">
        <w:t>he functional forms for partially saturated soil are</w:t>
      </w:r>
      <w:r w:rsidR="00C823DF">
        <w:t xml:space="preserve"> given by Van Genuchten (1980). </w:t>
      </w:r>
      <m:oMath>
        <m:acc>
          <m:accPr>
            <m:ctrlPr>
              <w:rPr>
                <w:rFonts w:ascii="Cambria Math" w:hAnsi="Cambria Math"/>
                <w:b/>
                <w:bCs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k</m:t>
            </m:r>
          </m:e>
        </m:acc>
      </m:oMath>
      <w:r w:rsidR="00EF7911">
        <w:rPr>
          <w:b/>
          <w:bCs/>
        </w:rPr>
        <w:t xml:space="preserve"> </w:t>
      </w:r>
      <w:proofErr w:type="gramStart"/>
      <w:r w:rsidR="00EF7911">
        <w:t>is</w:t>
      </w:r>
      <w:proofErr w:type="gramEnd"/>
      <w:r w:rsidR="00EF7911">
        <w:t xml:space="preserve"> the vector pointing vertically downwards from the soil surface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EF7911">
        <w:t xml:space="preserve"> is the water uptake by the plant root system per unit volume of soil as given by Roose and Fowler (2004</w:t>
      </w:r>
      <w:r w:rsidR="00050A49">
        <w:t>a</w:t>
      </w:r>
      <w:r w:rsidR="00EF7911">
        <w:t xml:space="preserve">). </w:t>
      </w:r>
    </w:p>
    <w:p w14:paraId="1170C69E" w14:textId="699EE100" w:rsidR="00EF7911" w:rsidRPr="005E1914" w:rsidRDefault="00EF7911" w:rsidP="00B92F5E">
      <w:pPr>
        <w:jc w:val="both"/>
      </w:pPr>
      <w:r>
        <w:t xml:space="preserve">For the </w:t>
      </w:r>
      <w:r w:rsidR="006434D0">
        <w:t>P</w:t>
      </w:r>
      <w:r w:rsidR="006E412F">
        <w:t xml:space="preserve"> mass</w:t>
      </w:r>
      <w:r>
        <w:t xml:space="preserve"> conservation </w:t>
      </w:r>
      <w:r w:rsidR="00B92F5E">
        <w:t>(</w:t>
      </w:r>
      <w:r w:rsidR="00907E9E">
        <w:t>Eqn</w:t>
      </w:r>
      <w:r w:rsidR="00B92F5E">
        <w:t>.</w:t>
      </w:r>
      <w:r w:rsidR="00907E9E">
        <w:t xml:space="preserve"> 2</w:t>
      </w:r>
      <w:r w:rsidR="00B92F5E">
        <w:t>)</w:t>
      </w:r>
      <w:r w:rsidR="00C823DF">
        <w:t>,</w:t>
      </w:r>
      <w:r w:rsidR="00B34B23">
        <w:t xml:space="preserve"> </w:t>
      </w:r>
      <w:r w:rsidR="00B34B23" w:rsidRPr="00B34B23">
        <w:rPr>
          <w:i/>
          <w:iCs/>
        </w:rPr>
        <w:t>c</w:t>
      </w:r>
      <w:r w:rsidR="00B34B23">
        <w:t xml:space="preserve"> is the P</w:t>
      </w:r>
      <w:r w:rsidR="00BA1F33">
        <w:t xml:space="preserve"> concentration in pore water,</w:t>
      </w:r>
      <w:r w:rsidR="00B34B23">
        <w:t xml:space="preserve"> </w:t>
      </w:r>
      <w:r w:rsidR="002A0564" w:rsidRPr="002A0564">
        <w:rPr>
          <w:i/>
          <w:iCs/>
        </w:rPr>
        <w:t>b</w:t>
      </w:r>
      <w:r w:rsidR="002A0564">
        <w:t xml:space="preserve"> is the </w:t>
      </w:r>
      <w:r w:rsidR="00762C72">
        <w:t xml:space="preserve">soil buffer power,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is the </w:t>
      </w:r>
      <w:r w:rsidR="005F1A5A">
        <w:t>P</w:t>
      </w:r>
      <w:r>
        <w:t xml:space="preserve"> diffusivity in free water</w:t>
      </w:r>
      <w:r w:rsidR="004E250A">
        <w:t xml:space="preserve"> and</w:t>
      </w:r>
      <w:r w:rsidR="00CA2E37">
        <w:t xml:space="preserve"> </w:t>
      </w:r>
      <m:oMath>
        <m:r>
          <w:rPr>
            <w:rFonts w:ascii="Cambria Math" w:hAnsi="Cambria Math"/>
          </w:rPr>
          <m:t>d</m:t>
        </m:r>
      </m:oMath>
      <w:r w:rsidR="00EA096F">
        <w:t xml:space="preserve"> is</w:t>
      </w:r>
      <w:r w:rsidR="00CA2E37">
        <w:t xml:space="preserve"> an impedance factor</w:t>
      </w:r>
      <w:r w:rsidR="00EA096F">
        <w:t xml:space="preserve"> given by the range </w:t>
      </w:r>
      <m:oMath>
        <m:r>
          <w:rPr>
            <w:rFonts w:ascii="Cambria Math" w:hAnsi="Cambria Math"/>
          </w:rPr>
          <m:t>1.5≤d≤3</m:t>
        </m:r>
      </m:oMath>
      <w:r w:rsidR="00EA096F">
        <w:t xml:space="preserve"> (Barber, 1984;</w:t>
      </w:r>
      <w:r>
        <w:t xml:space="preserve"> Nye and Tinker</w:t>
      </w:r>
      <w:r w:rsidR="00EA096F">
        <w:t>, 1977)</w:t>
      </w:r>
      <w:r w:rsidR="00C823DF">
        <w:t>.</w:t>
      </w:r>
      <w:r>
        <w:t xml:space="preserve"> </w:t>
      </w:r>
      <m:oMath>
        <m:r>
          <w:rPr>
            <w:rFonts w:ascii="Cambria Math" w:hAnsi="Cambria Math"/>
          </w:rPr>
          <m:t>F(c,S,t)</m:t>
        </m:r>
      </m:oMath>
      <w:r>
        <w:t xml:space="preserve"> </w:t>
      </w:r>
      <w:proofErr w:type="gramStart"/>
      <w:r>
        <w:t>describes</w:t>
      </w:r>
      <w:proofErr w:type="gramEnd"/>
      <w:r>
        <w:t xml:space="preserve"> the rate of </w:t>
      </w:r>
      <w:r w:rsidR="005F1A5A">
        <w:t>P</w:t>
      </w:r>
      <w:r>
        <w:t xml:space="preserve"> uptake by a surrounding root branching structure as in Roose </w:t>
      </w:r>
      <w:r w:rsidRPr="000D12C9">
        <w:rPr>
          <w:i/>
          <w:iCs/>
        </w:rPr>
        <w:t>et al</w:t>
      </w:r>
      <w:r w:rsidR="000D12C9" w:rsidRPr="000D12C9">
        <w:rPr>
          <w:i/>
          <w:iCs/>
        </w:rPr>
        <w:t>.</w:t>
      </w:r>
      <w:r>
        <w:t xml:space="preserve"> (2001). </w:t>
      </w:r>
      <w:r w:rsidR="00A16846">
        <w:t xml:space="preserve">Both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A16846">
        <w:t xml:space="preserve"> and </w:t>
      </w:r>
      <m:oMath>
        <m:r>
          <w:rPr>
            <w:rFonts w:ascii="Cambria Math" w:hAnsi="Cambria Math"/>
          </w:rPr>
          <m:t>F</m:t>
        </m:r>
      </m:oMath>
      <w:r w:rsidR="00A16846">
        <w:t xml:space="preserve"> are affected by the</w:t>
      </w:r>
      <w:r w:rsidR="00907E9E">
        <w:t xml:space="preserve"> spatially and tempora</w:t>
      </w:r>
      <w:r w:rsidR="00B92F5E">
        <w:t>l</w:t>
      </w:r>
      <w:r w:rsidR="00907E9E">
        <w:t>ly evolving</w:t>
      </w:r>
      <w:r w:rsidR="00A16846">
        <w:t xml:space="preserve"> root structure</w:t>
      </w:r>
      <w:r w:rsidR="00907E9E">
        <w:t>.</w:t>
      </w:r>
      <w:r w:rsidR="00A16846">
        <w:t xml:space="preserve"> </w:t>
      </w:r>
      <w:r w:rsidR="00907E9E">
        <w:t>W</w:t>
      </w:r>
      <w:r w:rsidR="00A16846">
        <w:t xml:space="preserve">ater is only taken up by the main order roots while P is taken up by all roots. </w:t>
      </w:r>
    </w:p>
    <w:p w14:paraId="2E805159" w14:textId="5A285B94" w:rsidR="00EF7911" w:rsidRDefault="00EF7911" w:rsidP="00B92F5E">
      <w:pPr>
        <w:jc w:val="both"/>
      </w:pPr>
      <w:r>
        <w:t>For the soil surface boundary condition</w:t>
      </w:r>
      <w:r w:rsidR="00C91991">
        <w:t>,</w:t>
      </w:r>
      <w:r w:rsidR="00CE768D">
        <w:t xml:space="preserve"> </w:t>
      </w:r>
      <w:r w:rsidR="00883D68">
        <w:t>Roose</w:t>
      </w:r>
      <w:r w:rsidR="00883D68" w:rsidRPr="000D12C9">
        <w:t xml:space="preserve"> </w:t>
      </w:r>
      <w:r w:rsidR="000D12C9" w:rsidRPr="000D12C9">
        <w:t>and Fowler</w:t>
      </w:r>
      <w:r w:rsidR="00883D68">
        <w:t xml:space="preserve"> (2004b) </w:t>
      </w:r>
      <w:r w:rsidR="00C91991">
        <w:t>apply a</w:t>
      </w:r>
      <w:r>
        <w:t xml:space="preserve"> flux of water at the soil surface</w:t>
      </w:r>
      <w:r w:rsidR="00CE768D">
        <w:t xml:space="preserve"> denoted by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dim</m:t>
            </m:r>
          </m:sub>
        </m:sSub>
      </m:oMath>
      <w:r>
        <w:t xml:space="preserve"> </w:t>
      </w:r>
      <m:oMath>
        <m:r>
          <w:rPr>
            <w:rFonts w:ascii="Cambria Math" w:hAnsi="Cambria Math"/>
          </w:rPr>
          <m:t xml:space="preserve">(cm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)</m:t>
        </m:r>
      </m:oMath>
      <w:r w:rsidR="003161F0">
        <w:t>, which</w:t>
      </w:r>
      <w:r>
        <w:t xml:space="preserve"> is the volume flux of water per unit</w:t>
      </w:r>
      <w:r w:rsidR="00893EBB">
        <w:t xml:space="preserve"> soil surface area </w:t>
      </w:r>
      <w:r w:rsidR="007F1FC9">
        <w:t>per</w:t>
      </w:r>
      <w:r w:rsidR="00893EBB">
        <w:t xml:space="preserve"> unit time;</w:t>
      </w:r>
      <w:r>
        <w:t xml:space="preserve">  </w:t>
      </w:r>
    </w:p>
    <w:p w14:paraId="0BBD94C8" w14:textId="63ED49E8" w:rsidR="00EF7911" w:rsidRPr="00387878" w:rsidRDefault="003E2618" w:rsidP="00B92F5E">
      <w:pPr>
        <w:jc w:val="both"/>
      </w:pP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∂S</m:t>
            </m:r>
          </m:num>
          <m:den>
            <m:r>
              <w:rPr>
                <w:rFonts w:ascii="Cambria Math" w:hAnsi="Cambria Math"/>
              </w:rPr>
              <m:t>∂z</m:t>
            </m:r>
          </m:den>
        </m:f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dim</m:t>
            </m:r>
          </m:sub>
        </m:sSub>
        <m:r>
          <w:rPr>
            <w:rFonts w:ascii="Cambria Math" w:hAnsi="Cambria Math"/>
          </w:rPr>
          <m:t xml:space="preserve">        at   z=0.</m:t>
        </m:r>
      </m:oMath>
      <w:r w:rsidR="00F44F26" w:rsidRPr="00F44F26">
        <w:t xml:space="preserve"> </w:t>
      </w:r>
      <w:r w:rsidR="00F44F26">
        <w:tab/>
      </w:r>
      <w:r w:rsidR="00F44F26">
        <w:tab/>
      </w:r>
      <w:r w:rsidR="00F44F26">
        <w:tab/>
        <w:t xml:space="preserve">           Eqn. 4</w:t>
      </w:r>
    </w:p>
    <w:p w14:paraId="03018125" w14:textId="22096E09" w:rsidR="00EF7911" w:rsidRDefault="00EF7911" w:rsidP="00B92F5E">
      <w:pPr>
        <w:jc w:val="both"/>
      </w:pPr>
      <w:r>
        <w:t>The soil surface boundary condition</w:t>
      </w:r>
      <w:r w:rsidR="00AB24AE">
        <w:t xml:space="preserve"> for P</w:t>
      </w:r>
      <w:r>
        <w:t xml:space="preserve">, </w:t>
      </w:r>
      <w:r w:rsidR="00AD22B4">
        <w:t>for</w:t>
      </w:r>
      <w:r>
        <w:t xml:space="preserve"> </w:t>
      </w:r>
      <w:r w:rsidR="00AB24AE">
        <w:t xml:space="preserve">a </w:t>
      </w:r>
      <w:r>
        <w:t xml:space="preserve">rate of fertilisation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dim</m:t>
            </m:r>
          </m:sub>
        </m:sSub>
      </m:oMath>
      <w:r>
        <w:t xml:space="preserve"> (</w:t>
      </w:r>
      <m:oMath>
        <m:r>
          <w:rPr>
            <w:rFonts w:ascii="Cambria Math" w:hAnsi="Cambria Math"/>
          </w:rPr>
          <m:t>μmol c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>)</w:t>
      </w:r>
      <w:r w:rsidR="00AB24AE">
        <w:t>,</w:t>
      </w:r>
      <w:r>
        <w:t xml:space="preserve"> is</w:t>
      </w:r>
      <w:r w:rsidR="00AB24AE">
        <w:t xml:space="preserve"> given by</w:t>
      </w:r>
      <w:r>
        <w:t xml:space="preserve"> </w:t>
      </w:r>
    </w:p>
    <w:p w14:paraId="6BC41CAA" w14:textId="21392DB0" w:rsidR="00EF7911" w:rsidRPr="00387878" w:rsidRDefault="003E2618" w:rsidP="00B92F5E">
      <w:pPr>
        <w:jc w:val="both"/>
      </w:pP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ϕ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∂c</m:t>
            </m:r>
          </m:num>
          <m:den>
            <m:r>
              <w:rPr>
                <w:rFonts w:ascii="Cambria Math" w:hAnsi="Cambria Math"/>
              </w:rPr>
              <m:t>∂z</m:t>
            </m:r>
          </m:den>
        </m:f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dim</m:t>
            </m:r>
          </m:sub>
        </m:sSub>
        <m:r>
          <w:rPr>
            <w:rFonts w:ascii="Cambria Math" w:hAnsi="Cambria Math"/>
          </w:rPr>
          <m:t>c=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 xml:space="preserve">dim </m:t>
            </m:r>
          </m:sub>
        </m:sSub>
        <m:r>
          <w:rPr>
            <w:rFonts w:ascii="Cambria Math" w:hAnsi="Cambria Math"/>
          </w:rPr>
          <m:t xml:space="preserve">      at   z=0.</m:t>
        </m:r>
      </m:oMath>
      <w:r w:rsidR="00F44F26" w:rsidRPr="00F44F26">
        <w:t xml:space="preserve"> </w:t>
      </w:r>
      <w:r w:rsidR="00F44F26">
        <w:tab/>
      </w:r>
      <w:r w:rsidR="00F44F26">
        <w:tab/>
      </w:r>
      <w:r w:rsidR="00F44F26">
        <w:tab/>
        <w:t xml:space="preserve">           Eqn. 5</w:t>
      </w:r>
    </w:p>
    <w:p w14:paraId="5D8C96C0" w14:textId="4C562338" w:rsidR="00EF7911" w:rsidRDefault="00EF7911" w:rsidP="00B92F5E">
      <w:pPr>
        <w:jc w:val="both"/>
      </w:pPr>
      <w:r>
        <w:t xml:space="preserve">The boundary condition at the ‘bottom’ of the soil is assumed to be a zero flux boundary condition at a given level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7F1FC9">
        <w:t xml:space="preserve">, </w:t>
      </w:r>
      <w:r>
        <w:t xml:space="preserve">for </w:t>
      </w:r>
      <w:r w:rsidR="00893EBB">
        <w:t xml:space="preserve">both </w:t>
      </w:r>
      <w:r>
        <w:t xml:space="preserve">water and </w:t>
      </w:r>
      <w:r w:rsidR="00185D0C">
        <w:t>P</w:t>
      </w:r>
      <w:r w:rsidR="007F1FC9">
        <w:t>, respectively,</w:t>
      </w:r>
    </w:p>
    <w:p w14:paraId="7580315E" w14:textId="299A7BB3" w:rsidR="00EF7911" w:rsidRPr="00F44F26" w:rsidRDefault="003E2618" w:rsidP="00B92F5E">
      <w:pPr>
        <w:jc w:val="both"/>
        <w:rPr>
          <w:lang w:val="es-ES"/>
        </w:rPr>
      </w:pPr>
      <w:r w:rsidRPr="00F326C6">
        <w:tab/>
      </w:r>
      <w:r w:rsidRPr="00F326C6">
        <w:tab/>
      </w:r>
      <w:r w:rsidRPr="00F326C6">
        <w:tab/>
      </w:r>
      <w:r w:rsidRPr="00F326C6">
        <w:tab/>
      </w:r>
      <m:oMath>
        <m:r>
          <w:rPr>
            <w:rFonts w:ascii="Cambria Math" w:hAnsi="Cambria Math"/>
            <w:lang w:val="es-ES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∂S</m:t>
            </m:r>
          </m:num>
          <m:den>
            <m:r>
              <w:rPr>
                <w:rFonts w:ascii="Cambria Math" w:hAnsi="Cambria Math"/>
              </w:rPr>
              <m:t>∂z</m:t>
            </m:r>
          </m:den>
        </m:f>
        <m:r>
          <w:rPr>
            <w:rFonts w:ascii="Cambria Math" w:hAnsi="Cambria Math"/>
            <w:lang w:val="es-ES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</m:t>
            </m:r>
          </m:sub>
        </m:sSub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  <w:lang w:val="es-ES"/>
          </w:rPr>
          <m:t xml:space="preserve">=0      </m:t>
        </m:r>
        <m:r>
          <w:rPr>
            <w:rFonts w:ascii="Cambria Math" w:hAnsi="Cambria Math"/>
          </w:rPr>
          <m:t>at</m:t>
        </m:r>
        <m:r>
          <w:rPr>
            <w:rFonts w:ascii="Cambria Math" w:hAnsi="Cambria Math"/>
            <w:lang w:val="es-ES"/>
          </w:rPr>
          <m:t xml:space="preserve">  </m:t>
        </m:r>
        <m:r>
          <w:rPr>
            <w:rFonts w:ascii="Cambria Math" w:hAnsi="Cambria Math"/>
          </w:rPr>
          <m:t>z</m:t>
        </m:r>
        <m:r>
          <w:rPr>
            <w:rFonts w:ascii="Cambria Math" w:hAnsi="Cambria Math"/>
            <w:lang w:val="es-E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  <w:lang w:val="es-ES"/>
          </w:rPr>
          <m:t>,</m:t>
        </m:r>
      </m:oMath>
      <w:r w:rsidR="00F44F26" w:rsidRPr="00F44F26">
        <w:rPr>
          <w:lang w:val="es-ES"/>
        </w:rPr>
        <w:t xml:space="preserve"> </w:t>
      </w:r>
      <w:r w:rsidR="00F44F26" w:rsidRPr="00F44F26">
        <w:rPr>
          <w:lang w:val="es-ES"/>
        </w:rPr>
        <w:tab/>
      </w:r>
      <w:r w:rsidR="00F44F26" w:rsidRPr="008A048F">
        <w:rPr>
          <w:lang w:val="es-ES"/>
        </w:rPr>
        <w:tab/>
        <w:t xml:space="preserve">           </w:t>
      </w:r>
      <w:proofErr w:type="spellStart"/>
      <w:r w:rsidR="00F44F26" w:rsidRPr="00F44F26">
        <w:rPr>
          <w:lang w:val="es-ES"/>
        </w:rPr>
        <w:t>Eqn</w:t>
      </w:r>
      <w:proofErr w:type="spellEnd"/>
      <w:r w:rsidR="00F44F26" w:rsidRPr="00F44F26">
        <w:rPr>
          <w:lang w:val="es-ES"/>
        </w:rPr>
        <w:t>. 6</w:t>
      </w:r>
    </w:p>
    <w:p w14:paraId="51F2D962" w14:textId="268855CD" w:rsidR="00EF7911" w:rsidRPr="00546EF8" w:rsidRDefault="003E2618" w:rsidP="00B92F5E">
      <w:pPr>
        <w:jc w:val="both"/>
        <w:rPr>
          <w:lang w:val="es-ES"/>
        </w:rPr>
      </w:pPr>
      <w:r w:rsidRPr="007C57C8">
        <w:rPr>
          <w:lang w:val="es-ES"/>
        </w:rPr>
        <w:lastRenderedPageBreak/>
        <w:tab/>
      </w:r>
      <w:r w:rsidRPr="007C57C8">
        <w:rPr>
          <w:lang w:val="es-ES"/>
        </w:rPr>
        <w:tab/>
      </w:r>
      <w:r w:rsidRPr="007C57C8">
        <w:rPr>
          <w:lang w:val="es-ES"/>
        </w:rPr>
        <w:tab/>
      </w:r>
      <w:r w:rsidRPr="007C57C8">
        <w:rPr>
          <w:lang w:val="es-ES"/>
        </w:rPr>
        <w:tab/>
      </w:r>
      <m:oMath>
        <m:r>
          <w:rPr>
            <w:rFonts w:ascii="Cambria Math" w:hAnsi="Cambria Math"/>
            <w:lang w:val="es-ES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ϕ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d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∂c</m:t>
            </m:r>
          </m:num>
          <m:den>
            <m:r>
              <w:rPr>
                <w:rFonts w:ascii="Cambria Math" w:hAnsi="Cambria Math"/>
              </w:rPr>
              <m:t>∂z</m:t>
            </m:r>
          </m:den>
        </m:f>
        <m:r>
          <w:rPr>
            <w:rFonts w:ascii="Cambria Math" w:hAnsi="Cambria Math" w:hint="eastAsia"/>
            <w:lang w:val="es-ES"/>
          </w:rPr>
          <m:t xml:space="preserve">=0      </m:t>
        </m:r>
        <m:r>
          <w:rPr>
            <w:rFonts w:ascii="Cambria Math" w:hAnsi="Cambria Math"/>
          </w:rPr>
          <m:t>at</m:t>
        </m:r>
        <m:r>
          <w:rPr>
            <w:rFonts w:ascii="Cambria Math" w:hAnsi="Cambria Math" w:hint="eastAsia"/>
            <w:lang w:val="es-ES"/>
          </w:rPr>
          <m:t xml:space="preserve"> </m:t>
        </m:r>
        <m:r>
          <w:rPr>
            <w:rFonts w:ascii="Cambria Math" w:hAnsi="Cambria Math"/>
          </w:rPr>
          <m:t>z</m:t>
        </m:r>
        <m:r>
          <w:rPr>
            <w:rFonts w:ascii="Cambria Math" w:hAnsi="Cambria Math" w:hint="eastAsia"/>
            <w:lang w:val="es-ES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 w:hint="eastAsia"/>
            <w:lang w:val="es-ES"/>
          </w:rPr>
          <m:t>.</m:t>
        </m:r>
      </m:oMath>
      <w:r w:rsidR="00F44F26" w:rsidRPr="008A048F">
        <w:rPr>
          <w:lang w:val="es-ES"/>
        </w:rPr>
        <w:t xml:space="preserve"> </w:t>
      </w:r>
      <w:r w:rsidR="00F44F26" w:rsidRPr="00546EF8">
        <w:rPr>
          <w:lang w:val="es-ES"/>
        </w:rPr>
        <w:tab/>
      </w:r>
      <w:r w:rsidR="00F44F26" w:rsidRPr="00546EF8">
        <w:rPr>
          <w:lang w:val="es-ES"/>
        </w:rPr>
        <w:tab/>
      </w:r>
      <w:r w:rsidR="00F44F26" w:rsidRPr="008A048F">
        <w:rPr>
          <w:lang w:val="es-ES"/>
        </w:rPr>
        <w:tab/>
      </w:r>
      <w:r w:rsidR="00F44F26" w:rsidRPr="008A048F">
        <w:rPr>
          <w:lang w:val="es-ES"/>
        </w:rPr>
        <w:tab/>
        <w:t xml:space="preserve">           </w:t>
      </w:r>
      <w:proofErr w:type="spellStart"/>
      <w:r w:rsidR="00F44F26" w:rsidRPr="008A048F">
        <w:rPr>
          <w:lang w:val="es-ES"/>
        </w:rPr>
        <w:t>Eqn</w:t>
      </w:r>
      <w:proofErr w:type="spellEnd"/>
      <w:r w:rsidR="00F44F26" w:rsidRPr="008A048F">
        <w:rPr>
          <w:lang w:val="es-ES"/>
        </w:rPr>
        <w:t>. 7</w:t>
      </w:r>
    </w:p>
    <w:p w14:paraId="6C8A76B7" w14:textId="0924DE3A" w:rsidR="00EF7911" w:rsidRDefault="00EF7911" w:rsidP="00B92F5E">
      <w:pPr>
        <w:jc w:val="both"/>
      </w:pPr>
      <w:r>
        <w:t>Solving for relative water saturation (</w:t>
      </w:r>
      <m:oMath>
        <m:r>
          <w:rPr>
            <w:rFonts w:ascii="Cambria Math" w:hAnsi="Cambria Math"/>
          </w:rPr>
          <m:t>S</m:t>
        </m:r>
      </m:oMath>
      <w:r>
        <w:t xml:space="preserve">) and </w:t>
      </w:r>
      <w:r w:rsidR="00185D0C">
        <w:t>P</w:t>
      </w:r>
      <w:r>
        <w:t xml:space="preserve"> concentration (</w:t>
      </w:r>
      <m:oMath>
        <m:r>
          <w:rPr>
            <w:rFonts w:ascii="Cambria Math" w:hAnsi="Cambria Math"/>
          </w:rPr>
          <m:t>c</m:t>
        </m:r>
      </m:oMath>
      <w:r>
        <w:t>)</w:t>
      </w:r>
      <w:r w:rsidR="00893EBB">
        <w:t xml:space="preserve"> </w:t>
      </w:r>
      <w:r w:rsidR="00A6275D">
        <w:t>produces</w:t>
      </w:r>
      <w:r>
        <w:t xml:space="preserve"> water and </w:t>
      </w:r>
      <w:r w:rsidR="00A30BCF">
        <w:t>P</w:t>
      </w:r>
      <w:r>
        <w:t xml:space="preserve"> profiles in depth </w:t>
      </w:r>
      <w:r w:rsidR="00A6275D">
        <w:t>and time</w:t>
      </w:r>
      <w:r>
        <w:t xml:space="preserve">. </w:t>
      </w:r>
    </w:p>
    <w:p w14:paraId="16F93CD3" w14:textId="5F89C58C" w:rsidR="004C4A7A" w:rsidRDefault="00257831" w:rsidP="00FF50F8">
      <w:pPr>
        <w:jc w:val="both"/>
      </w:pPr>
      <w:r>
        <w:t xml:space="preserve">The calculation of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>
        <w:t xml:space="preserve"> depend</w:t>
      </w:r>
      <w:r w:rsidR="00FF50F8">
        <w:t>s</w:t>
      </w:r>
      <w:r>
        <w:t xml:space="preserve"> on the plant root structure in the soil. </w:t>
      </w:r>
      <w:r w:rsidR="004C4A7A" w:rsidRPr="004C4A7A">
        <w:t xml:space="preserve">The root growth rate equation used in the Roose </w:t>
      </w:r>
      <w:r w:rsidR="004C4A7A" w:rsidRPr="0063368E">
        <w:rPr>
          <w:i/>
          <w:iCs/>
        </w:rPr>
        <w:t>et a</w:t>
      </w:r>
      <w:r w:rsidR="004C4A7A" w:rsidRPr="004C4A7A">
        <w:rPr>
          <w:i/>
          <w:iCs/>
        </w:rPr>
        <w:t>l.</w:t>
      </w:r>
      <w:r w:rsidR="004C4A7A" w:rsidRPr="004C4A7A">
        <w:t xml:space="preserve"> (2001) model </w:t>
      </w:r>
      <w:r w:rsidR="00816217">
        <w:t>assumes that</w:t>
      </w:r>
      <w:r w:rsidR="004C4A7A" w:rsidRPr="004C4A7A">
        <w:t xml:space="preserve"> the rate of growth </w:t>
      </w:r>
      <w:r w:rsidR="00185D0C">
        <w:t>slow</w:t>
      </w:r>
      <w:r>
        <w:t>s</w:t>
      </w:r>
      <w:r w:rsidR="00185D0C">
        <w:t xml:space="preserve"> down</w:t>
      </w:r>
      <w:r w:rsidR="004C4A7A" w:rsidRPr="004C4A7A">
        <w:t xml:space="preserve"> over time, </w:t>
      </w:r>
      <w:r w:rsidR="00185D0C">
        <w:t>i.e.</w:t>
      </w:r>
      <w:r w:rsidR="004C4A7A" w:rsidRPr="004C4A7A">
        <w:t>,</w:t>
      </w:r>
      <w:r w:rsidR="00185D0C">
        <w:t xml:space="preserve"> </w:t>
      </w:r>
      <w:r w:rsidR="00832181">
        <w:t xml:space="preserve">the rate of growth </w:t>
      </w:r>
      <w:r w:rsidR="00185D0C">
        <w:t>is given by,</w:t>
      </w:r>
    </w:p>
    <w:p w14:paraId="729F2552" w14:textId="57504FCB" w:rsidR="004C4A7A" w:rsidRPr="00352CB9" w:rsidRDefault="003E2618" w:rsidP="00B92F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∂t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den>
            </m:f>
          </m:e>
        </m:d>
      </m:oMath>
      <w:r w:rsidR="00376FEE">
        <w:t>,</w:t>
      </w:r>
      <w:r w:rsidR="00F44F26" w:rsidRPr="00F44F26">
        <w:t xml:space="preserve"> </w:t>
      </w:r>
      <w:r w:rsidR="00F44F26">
        <w:tab/>
      </w:r>
      <w:r w:rsidR="00F44F26">
        <w:tab/>
      </w:r>
      <w:r w:rsidR="00F44F26">
        <w:tab/>
      </w:r>
      <w:r w:rsidR="00F44F26">
        <w:tab/>
        <w:t xml:space="preserve">           Eqn. 8</w:t>
      </w:r>
    </w:p>
    <w:p w14:paraId="5E679D3E" w14:textId="05B537A7" w:rsidR="004C4A7A" w:rsidRDefault="004C4A7A" w:rsidP="00B92F5E">
      <w:pPr>
        <w:jc w:val="both"/>
      </w:pPr>
      <w:proofErr w:type="gramStart"/>
      <w:r>
        <w:t>where</w:t>
      </w:r>
      <w:proofErr w:type="gramEnd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the length of the order </w:t>
      </w:r>
      <m:oMath>
        <m:r>
          <w:rPr>
            <w:rFonts w:ascii="Cambria Math" w:hAnsi="Cambria Math"/>
          </w:rPr>
          <m:t>i</m:t>
        </m:r>
      </m:oMath>
      <w:r>
        <w:t xml:space="preserve"> root,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>is the initial rate of growth</w:t>
      </w:r>
      <w:r w:rsidR="000E0AE4">
        <w:t xml:space="preserve"> of the order </w:t>
      </w:r>
      <m:oMath>
        <m:r>
          <w:rPr>
            <w:rFonts w:ascii="Cambria Math" w:hAnsi="Cambria Math"/>
          </w:rPr>
          <m:t>i</m:t>
        </m:r>
      </m:oMath>
      <w:r w:rsidR="000E0AE4">
        <w:t xml:space="preserve"> root</w:t>
      </w:r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the maximum length of an order </w:t>
      </w:r>
      <m:oMath>
        <m:r>
          <w:rPr>
            <w:rFonts w:ascii="Cambria Math" w:hAnsi="Cambria Math"/>
          </w:rPr>
          <m:t>i</m:t>
        </m:r>
      </m:oMath>
      <w:r>
        <w:t xml:space="preserve"> root. </w:t>
      </w:r>
    </w:p>
    <w:p w14:paraId="00A96D75" w14:textId="257209DA" w:rsidR="00EF7911" w:rsidRDefault="00EF7911" w:rsidP="00B92F5E">
      <w:pPr>
        <w:jc w:val="both"/>
        <w:rPr>
          <w:b/>
          <w:bCs/>
          <w:i/>
          <w:iCs/>
        </w:rPr>
      </w:pPr>
      <w:r w:rsidRPr="006157DF">
        <w:rPr>
          <w:b/>
          <w:bCs/>
          <w:i/>
          <w:iCs/>
        </w:rPr>
        <w:t xml:space="preserve">Adaptations to </w:t>
      </w:r>
      <w:r w:rsidR="00AF40C4">
        <w:rPr>
          <w:b/>
          <w:bCs/>
          <w:i/>
          <w:iCs/>
        </w:rPr>
        <w:t xml:space="preserve">the </w:t>
      </w:r>
      <w:r w:rsidRPr="006157DF">
        <w:rPr>
          <w:b/>
          <w:bCs/>
          <w:i/>
          <w:iCs/>
        </w:rPr>
        <w:t xml:space="preserve">Roose and Fowler </w:t>
      </w:r>
      <w:r w:rsidR="00AF40C4">
        <w:rPr>
          <w:b/>
          <w:bCs/>
          <w:i/>
          <w:iCs/>
        </w:rPr>
        <w:t>Model</w:t>
      </w:r>
    </w:p>
    <w:p w14:paraId="7ED8C5D7" w14:textId="3F121309" w:rsidR="00EF7911" w:rsidRDefault="007D6FFA" w:rsidP="001E5044">
      <w:pPr>
        <w:jc w:val="both"/>
      </w:pPr>
      <w:r>
        <w:t>To include climate effects within the Roose and Fowler (2004b) model, we let the flux of water into the soil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dim</m:t>
            </m:r>
          </m:sub>
        </m:sSub>
      </m:oMath>
      <w:r>
        <w:t>) be dependent upon rainfall, wind speed, temperature and humidity.</w:t>
      </w:r>
      <w:r w:rsidR="00883D68">
        <w:t xml:space="preserve"> </w:t>
      </w:r>
      <w:r>
        <w:t>This</w:t>
      </w:r>
      <w:r w:rsidR="00EF7911">
        <w:t xml:space="preserve"> allow</w:t>
      </w:r>
      <w:r>
        <w:t>s for</w:t>
      </w:r>
      <w:r w:rsidR="00EF7911">
        <w:t xml:space="preserve"> a more accurate calculation of the plant transpiration rate and the </w:t>
      </w:r>
      <w:r w:rsidR="00A56429">
        <w:t>movement</w:t>
      </w:r>
      <w:r w:rsidR="00EF7911">
        <w:t xml:space="preserve"> of water in</w:t>
      </w:r>
      <w:r w:rsidR="00A56429">
        <w:t>side</w:t>
      </w:r>
      <w:r w:rsidR="00EF7911">
        <w:t xml:space="preserve"> the soil</w:t>
      </w:r>
      <w:r w:rsidR="00A56429">
        <w:t xml:space="preserve"> and within the plant.</w:t>
      </w:r>
      <w:r w:rsidR="00EF7911">
        <w:t xml:space="preserve"> </w:t>
      </w:r>
      <w:r w:rsidR="00315017">
        <w:t xml:space="preserve">These adaptations are made in Heppell </w:t>
      </w:r>
      <w:r w:rsidR="00315017" w:rsidRPr="001241F3">
        <w:rPr>
          <w:i/>
          <w:iCs/>
        </w:rPr>
        <w:t>et al.</w:t>
      </w:r>
      <w:r w:rsidR="00315017">
        <w:t xml:space="preserve"> (2014</w:t>
      </w:r>
      <w:r w:rsidR="00864060">
        <w:t>) and successfully capture</w:t>
      </w:r>
      <w:r w:rsidR="00315017">
        <w:t xml:space="preserve"> the movement of water within the soil profile</w:t>
      </w:r>
      <w:r w:rsidR="00B10CE9">
        <w:t xml:space="preserve"> and plant transpiration rate</w:t>
      </w:r>
      <w:r w:rsidR="00315017">
        <w:t xml:space="preserve">. </w:t>
      </w:r>
    </w:p>
    <w:p w14:paraId="5D2ACCFB" w14:textId="7EDB58B1" w:rsidR="00EF7911" w:rsidRPr="00F6368C" w:rsidRDefault="00EF7911" w:rsidP="00B92F5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F6368C">
        <w:rPr>
          <w:rFonts w:cs="Calibri"/>
        </w:rPr>
        <w:t>To model the water saturation</w:t>
      </w:r>
      <w:r w:rsidR="00221DA0">
        <w:rPr>
          <w:rFonts w:cs="Calibri"/>
        </w:rPr>
        <w:t xml:space="preserve"> levels</w:t>
      </w:r>
      <w:r w:rsidRPr="00F6368C">
        <w:rPr>
          <w:rFonts w:cs="Calibri"/>
        </w:rPr>
        <w:t xml:space="preserve"> </w:t>
      </w:r>
      <w:r w:rsidR="001B6F19">
        <w:rPr>
          <w:rFonts w:cs="Calibri"/>
        </w:rPr>
        <w:t>in</w:t>
      </w:r>
      <w:r w:rsidRPr="00F6368C">
        <w:rPr>
          <w:rFonts w:cs="Calibri"/>
        </w:rPr>
        <w:t xml:space="preserve"> the soil, the flux of water into the soil </w:t>
      </w:r>
      <w:r w:rsidR="00E26ED6" w:rsidRPr="00F6368C">
        <w:rPr>
          <w:rFonts w:cs="Calibri"/>
        </w:rPr>
        <w:t>(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W</m:t>
            </m:r>
          </m:e>
          <m:sub>
            <m:r>
              <w:rPr>
                <w:rFonts w:ascii="Cambria Math" w:hAnsi="Cambria Math" w:cs="Calibri"/>
              </w:rPr>
              <m:t>dim</m:t>
            </m:r>
          </m:sub>
        </m:sSub>
      </m:oMath>
      <w:r w:rsidR="00E26ED6" w:rsidRPr="00F6368C">
        <w:rPr>
          <w:rFonts w:cs="Calibri"/>
        </w:rPr>
        <w:t>)</w:t>
      </w:r>
      <w:r w:rsidR="00E26ED6">
        <w:rPr>
          <w:rFonts w:cs="Calibri"/>
        </w:rPr>
        <w:t xml:space="preserve"> </w:t>
      </w:r>
      <w:r w:rsidRPr="00F6368C">
        <w:rPr>
          <w:rFonts w:cs="Calibri"/>
        </w:rPr>
        <w:t>is estimated from a combinati</w:t>
      </w:r>
      <w:r w:rsidR="008B461D">
        <w:rPr>
          <w:rFonts w:cs="Calibri"/>
        </w:rPr>
        <w:t>on of</w:t>
      </w:r>
      <w:r w:rsidR="00376FEE">
        <w:rPr>
          <w:rFonts w:cs="Calibri"/>
        </w:rPr>
        <w:t xml:space="preserve"> environmental factors. These include</w:t>
      </w:r>
      <w:r w:rsidRPr="00F6368C">
        <w:rPr>
          <w:rFonts w:cs="Calibri"/>
        </w:rPr>
        <w:t xml:space="preserve"> rainfall (</w:t>
      </w:r>
      <m:oMath>
        <m:r>
          <w:rPr>
            <w:rFonts w:ascii="Cambria Math" w:hAnsi="Cambria Math" w:cs="Calibri"/>
          </w:rPr>
          <m:t>R</m:t>
        </m:r>
      </m:oMath>
      <w:r w:rsidRPr="00F6368C">
        <w:rPr>
          <w:rFonts w:cs="Calibri"/>
        </w:rPr>
        <w:t>), humidity (</w:t>
      </w:r>
      <m:oMath>
        <m:r>
          <w:rPr>
            <w:rFonts w:ascii="Cambria Math" w:hAnsi="Cambria Math" w:cs="Calibri"/>
          </w:rPr>
          <m:t>H</m:t>
        </m:r>
      </m:oMath>
      <w:r w:rsidRPr="00F6368C">
        <w:rPr>
          <w:rFonts w:cs="Calibri"/>
        </w:rPr>
        <w:t>), wind speed (</w:t>
      </w:r>
      <m:oMath>
        <m:r>
          <w:rPr>
            <w:rFonts w:ascii="Cambria Math" w:hAnsi="Cambria Math" w:cs="Calibri"/>
          </w:rPr>
          <m:t>WS</m:t>
        </m:r>
      </m:oMath>
      <w:r w:rsidRPr="00F6368C">
        <w:rPr>
          <w:rFonts w:cs="Calibri"/>
        </w:rPr>
        <w:t>), temperature (</w:t>
      </w:r>
      <m:oMath>
        <m:r>
          <w:rPr>
            <w:rFonts w:ascii="Cambria Math" w:hAnsi="Cambria Math" w:cs="Calibri"/>
          </w:rPr>
          <m:t>T</m:t>
        </m:r>
      </m:oMath>
      <w:r w:rsidRPr="00F6368C">
        <w:rPr>
          <w:rFonts w:cs="Calibri"/>
        </w:rPr>
        <w:t>) and a constant (</w:t>
      </w:r>
      <m:oMath>
        <m:r>
          <w:rPr>
            <w:rFonts w:ascii="Cambria Math" w:hAnsi="Cambria Math" w:cs="Calibri"/>
          </w:rPr>
          <m:t>E</m:t>
        </m:r>
      </m:oMath>
      <w:r>
        <w:rPr>
          <w:rFonts w:cs="Calibri"/>
        </w:rPr>
        <w:t xml:space="preserve">), using </w:t>
      </w:r>
      <w:r w:rsidR="00C1005A">
        <w:rPr>
          <w:rFonts w:cs="Calibri"/>
        </w:rPr>
        <w:t>a</w:t>
      </w:r>
      <w:r>
        <w:rPr>
          <w:rFonts w:cs="Calibri"/>
        </w:rPr>
        <w:t xml:space="preserve"> linear </w:t>
      </w:r>
      <w:r w:rsidRPr="00F6368C">
        <w:rPr>
          <w:rFonts w:cs="Calibri"/>
        </w:rPr>
        <w:t>expression,</w:t>
      </w:r>
    </w:p>
    <w:p w14:paraId="4E069293" w14:textId="77777777" w:rsidR="00EF7911" w:rsidRPr="000D7608" w:rsidRDefault="00EF7911" w:rsidP="00B92F5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FF0000"/>
        </w:rPr>
      </w:pPr>
    </w:p>
    <w:p w14:paraId="6D31DFA0" w14:textId="33711683" w:rsidR="00EF7911" w:rsidRPr="00282D40" w:rsidRDefault="003E2618" w:rsidP="000E0C1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282D40">
        <w:rPr>
          <w:rFonts w:cs="Calibri"/>
        </w:rPr>
        <w:tab/>
      </w:r>
      <w:r w:rsidRPr="00282D40">
        <w:rPr>
          <w:rFonts w:cs="Calibri"/>
        </w:rPr>
        <w:tab/>
      </w:r>
      <w:r w:rsidRPr="00282D40">
        <w:rPr>
          <w:rFonts w:cs="Calibri"/>
        </w:rPr>
        <w:tab/>
      </w:r>
      <w:r w:rsidRPr="00282D40">
        <w:rPr>
          <w:rFonts w:cs="Calibri"/>
        </w:rPr>
        <w:tab/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W</m:t>
            </m:r>
          </m:e>
          <m:sub>
            <m:r>
              <w:rPr>
                <w:rFonts w:ascii="Cambria Math" w:hAnsi="Cambria Math" w:cs="Calibri"/>
              </w:rPr>
              <m:t>dim</m:t>
            </m:r>
          </m:sub>
        </m:sSub>
        <m:r>
          <w:rPr>
            <w:rFonts w:ascii="Cambria Math" w:hAnsi="Cambria Math" w:cs="Calibri"/>
          </w:rPr>
          <m:t>=δR+αH+βT+γWS+E</m:t>
        </m:r>
      </m:oMath>
      <w:r w:rsidR="00EF7911" w:rsidRPr="00282D40">
        <w:rPr>
          <w:rFonts w:cs="Calibri"/>
        </w:rPr>
        <w:t xml:space="preserve"> ,</w:t>
      </w:r>
      <w:r w:rsidR="00F44F26">
        <w:rPr>
          <w:rFonts w:cs="Calibri"/>
        </w:rPr>
        <w:tab/>
      </w:r>
      <w:r w:rsidR="00F44F26">
        <w:rPr>
          <w:rFonts w:cs="Calibri"/>
        </w:rPr>
        <w:tab/>
      </w:r>
      <w:r w:rsidR="00F44F26">
        <w:rPr>
          <w:rFonts w:cs="Calibri"/>
        </w:rPr>
        <w:tab/>
        <w:t xml:space="preserve">          </w:t>
      </w:r>
      <w:r w:rsidR="00F44F26" w:rsidRPr="00F44F26">
        <w:rPr>
          <w:rFonts w:cs="Calibri"/>
        </w:rPr>
        <w:t xml:space="preserve"> </w:t>
      </w:r>
      <w:r w:rsidR="00F44F26" w:rsidRPr="00282D40">
        <w:rPr>
          <w:rFonts w:cs="Calibri"/>
        </w:rPr>
        <w:t>Eqn. 9</w:t>
      </w:r>
    </w:p>
    <w:p w14:paraId="611EB81B" w14:textId="77777777" w:rsidR="00315017" w:rsidRPr="00282D40" w:rsidRDefault="0031501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44D79441" w14:textId="14797C0E" w:rsidR="00EF7911" w:rsidRPr="00CE6A3E" w:rsidRDefault="00EF7911" w:rsidP="00011D7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gramStart"/>
      <w:r w:rsidRPr="00CE6A3E">
        <w:rPr>
          <w:rFonts w:cs="Calibri"/>
        </w:rPr>
        <w:t>where</w:t>
      </w:r>
      <w:proofErr w:type="gramEnd"/>
      <w:r w:rsidRPr="00CE6A3E">
        <w:rPr>
          <w:rFonts w:cs="Calibri"/>
        </w:rPr>
        <w:t xml:space="preserve"> the parameter</w:t>
      </w:r>
      <w:r w:rsidR="00671E8C">
        <w:rPr>
          <w:rFonts w:cs="Calibri"/>
        </w:rPr>
        <w:t>s</w:t>
      </w:r>
      <w:r w:rsidRPr="00CE6A3E">
        <w:rPr>
          <w:rFonts w:cs="Calibri"/>
        </w:rPr>
        <w:t xml:space="preserve"> </w:t>
      </w:r>
      <m:oMath>
        <m:r>
          <w:rPr>
            <w:rFonts w:ascii="Cambria Math" w:hAnsi="Cambria Math" w:cs="Calibri"/>
          </w:rPr>
          <m:t>δ, α, β, γ</m:t>
        </m:r>
      </m:oMath>
      <w:r w:rsidRPr="00CE6A3E">
        <w:rPr>
          <w:rFonts w:cs="Calibri"/>
        </w:rPr>
        <w:t xml:space="preserve"> and </w:t>
      </w:r>
      <m:oMath>
        <m:r>
          <w:rPr>
            <w:rFonts w:ascii="Cambria Math" w:hAnsi="Cambria Math" w:cs="Calibri"/>
          </w:rPr>
          <m:t>E</m:t>
        </m:r>
      </m:oMath>
      <w:r w:rsidRPr="00CE6A3E">
        <w:rPr>
          <w:rFonts w:cs="Calibri"/>
        </w:rPr>
        <w:t xml:space="preserve"> are determined from the optimal fit to </w:t>
      </w:r>
      <w:r>
        <w:rPr>
          <w:rFonts w:cs="Calibri"/>
        </w:rPr>
        <w:t>the</w:t>
      </w:r>
      <w:r w:rsidRPr="00CE6A3E">
        <w:rPr>
          <w:rFonts w:cs="Calibri"/>
        </w:rPr>
        <w:t xml:space="preserve"> soil</w:t>
      </w:r>
      <w:r w:rsidR="00E62281">
        <w:rPr>
          <w:rFonts w:cs="Calibri"/>
        </w:rPr>
        <w:t xml:space="preserve"> water</w:t>
      </w:r>
      <w:r w:rsidRPr="00CE6A3E">
        <w:rPr>
          <w:rFonts w:cs="Calibri"/>
        </w:rPr>
        <w:t xml:space="preserve"> saturation </w:t>
      </w:r>
      <w:r w:rsidR="00E62281">
        <w:rPr>
          <w:rFonts w:cs="Calibri"/>
        </w:rPr>
        <w:t>and climate data</w:t>
      </w:r>
      <w:r w:rsidR="008928A2">
        <w:rPr>
          <w:rFonts w:cs="Calibri"/>
        </w:rPr>
        <w:t xml:space="preserve"> (Heppell </w:t>
      </w:r>
      <w:r w:rsidR="008928A2" w:rsidRPr="0063368E">
        <w:rPr>
          <w:rFonts w:cs="Calibri"/>
          <w:i/>
          <w:iCs/>
        </w:rPr>
        <w:t>et al</w:t>
      </w:r>
      <w:r w:rsidR="008928A2" w:rsidRPr="00AA7DAD">
        <w:rPr>
          <w:rFonts w:cs="Calibri"/>
          <w:i/>
          <w:iCs/>
        </w:rPr>
        <w:t>.</w:t>
      </w:r>
      <w:r w:rsidR="008928A2">
        <w:rPr>
          <w:rFonts w:cs="Calibri"/>
        </w:rPr>
        <w:t>, 2014)</w:t>
      </w:r>
      <w:r w:rsidRPr="00CE6A3E">
        <w:rPr>
          <w:rFonts w:cs="Calibri"/>
        </w:rPr>
        <w:t xml:space="preserve">. </w:t>
      </w:r>
      <w:r w:rsidR="002B7C33">
        <w:rPr>
          <w:rFonts w:cs="Calibri"/>
        </w:rPr>
        <w:t>The flux of water</w:t>
      </w:r>
      <w:r>
        <w:rPr>
          <w:rFonts w:cs="Calibri"/>
        </w:rPr>
        <w:t xml:space="preserve"> </w:t>
      </w:r>
      <w:r w:rsidR="002B7C33">
        <w:rPr>
          <w:rFonts w:cs="Calibri"/>
        </w:rPr>
        <w:t>(</w:t>
      </w:r>
      <m:oMath>
        <m:sSub>
          <m:sSubPr>
            <m:ctrlPr>
              <w:rPr>
                <w:rFonts w:ascii="Cambria Math" w:hAnsi="Cambria Math" w:cs="Calibri"/>
                <w:i/>
              </w:rPr>
            </m:ctrlPr>
          </m:sSubPr>
          <m:e>
            <m:r>
              <w:rPr>
                <w:rFonts w:ascii="Cambria Math" w:hAnsi="Cambria Math" w:cs="Calibri"/>
              </w:rPr>
              <m:t>W</m:t>
            </m:r>
          </m:e>
          <m:sub>
            <m:r>
              <w:rPr>
                <w:rFonts w:ascii="Cambria Math" w:hAnsi="Cambria Math" w:cs="Calibri"/>
              </w:rPr>
              <m:t>dim</m:t>
            </m:r>
          </m:sub>
        </m:sSub>
      </m:oMath>
      <w:r w:rsidR="002B7C33">
        <w:rPr>
          <w:rFonts w:cs="Calibri"/>
        </w:rPr>
        <w:t>)</w:t>
      </w:r>
      <w:r w:rsidRPr="00CE6A3E">
        <w:rPr>
          <w:rFonts w:cs="Calibri"/>
        </w:rPr>
        <w:t xml:space="preserve"> can essentially be considered as</w:t>
      </w:r>
      <w:r w:rsidR="00DA1474">
        <w:rPr>
          <w:rFonts w:cs="Calibri"/>
        </w:rPr>
        <w:t xml:space="preserve"> a Taylor expanded version</w:t>
      </w:r>
      <w:r w:rsidRPr="00CE6A3E">
        <w:rPr>
          <w:rFonts w:cs="Calibri"/>
        </w:rPr>
        <w:t xml:space="preserve"> of an</w:t>
      </w:r>
      <w:r w:rsidR="00DA1474">
        <w:rPr>
          <w:rFonts w:cs="Calibri"/>
        </w:rPr>
        <w:t>y other non-linear</w:t>
      </w:r>
      <w:r w:rsidR="002D724D">
        <w:rPr>
          <w:rFonts w:cs="Calibri"/>
        </w:rPr>
        <w:t xml:space="preserve"> soil surface water permeation</w:t>
      </w:r>
      <w:r w:rsidR="00DA1474">
        <w:rPr>
          <w:rFonts w:cs="Calibri"/>
        </w:rPr>
        <w:t xml:space="preserve"> relationship</w:t>
      </w:r>
      <w:r w:rsidRPr="00CE6A3E">
        <w:rPr>
          <w:rFonts w:cs="Calibri"/>
        </w:rPr>
        <w:t>, f</w:t>
      </w:r>
      <w:r w:rsidR="00247360">
        <w:rPr>
          <w:rFonts w:cs="Calibri"/>
        </w:rPr>
        <w:t>or example the Penman-</w:t>
      </w:r>
      <w:proofErr w:type="spellStart"/>
      <w:r w:rsidR="00247360">
        <w:rPr>
          <w:rFonts w:cs="Calibri"/>
        </w:rPr>
        <w:t>Monteith</w:t>
      </w:r>
      <w:proofErr w:type="spellEnd"/>
      <w:r w:rsidR="00247360">
        <w:rPr>
          <w:rFonts w:cs="Calibri"/>
        </w:rPr>
        <w:t xml:space="preserve"> E</w:t>
      </w:r>
      <w:r w:rsidRPr="00CE6A3E">
        <w:rPr>
          <w:rFonts w:cs="Calibri"/>
        </w:rPr>
        <w:t>quation</w:t>
      </w:r>
      <w:r w:rsidR="00E26ED6">
        <w:rPr>
          <w:rFonts w:cs="Calibri"/>
        </w:rPr>
        <w:t xml:space="preserve"> (</w:t>
      </w:r>
      <w:proofErr w:type="spellStart"/>
      <w:r w:rsidR="00E26ED6" w:rsidRPr="00F80A7C">
        <w:rPr>
          <w:rFonts w:cs="Calibri"/>
        </w:rPr>
        <w:t>Beven</w:t>
      </w:r>
      <w:proofErr w:type="spellEnd"/>
      <w:r w:rsidR="00E26ED6" w:rsidRPr="00F80A7C">
        <w:rPr>
          <w:rFonts w:cs="Calibri"/>
        </w:rPr>
        <w:t>, 1979</w:t>
      </w:r>
      <w:r w:rsidR="00376FEE">
        <w:rPr>
          <w:rFonts w:cs="Calibri"/>
        </w:rPr>
        <w:t>)</w:t>
      </w:r>
      <w:r w:rsidR="00B12B8F">
        <w:rPr>
          <w:rFonts w:cs="Calibri"/>
        </w:rPr>
        <w:t>. Therefore,</w:t>
      </w:r>
      <w:r w:rsidR="007A25F7">
        <w:rPr>
          <w:rFonts w:cs="Calibri"/>
        </w:rPr>
        <w:t xml:space="preserve"> the formulation of Equation (9) allows for easy comparison with other models,</w:t>
      </w:r>
      <w:r w:rsidR="00AB614C">
        <w:rPr>
          <w:rFonts w:cs="Calibri"/>
        </w:rPr>
        <w:t xml:space="preserve"> such as </w:t>
      </w:r>
      <w:proofErr w:type="spellStart"/>
      <w:r w:rsidR="00AB614C">
        <w:rPr>
          <w:rFonts w:cs="Calibri"/>
        </w:rPr>
        <w:t>Cropwat</w:t>
      </w:r>
      <w:proofErr w:type="spellEnd"/>
      <w:r w:rsidR="00970A17">
        <w:rPr>
          <w:rFonts w:cs="Calibri"/>
        </w:rPr>
        <w:t xml:space="preserve"> (Clarke </w:t>
      </w:r>
      <w:r w:rsidR="00970A17" w:rsidRPr="00970A17">
        <w:rPr>
          <w:rFonts w:cs="Calibri"/>
          <w:i/>
          <w:iCs/>
        </w:rPr>
        <w:t>et al.,</w:t>
      </w:r>
      <w:r w:rsidR="00970A17">
        <w:rPr>
          <w:rFonts w:cs="Calibri"/>
        </w:rPr>
        <w:t xml:space="preserve"> 1998)</w:t>
      </w:r>
      <w:r w:rsidR="00AB614C">
        <w:rPr>
          <w:rFonts w:cs="Calibri"/>
        </w:rPr>
        <w:t>,</w:t>
      </w:r>
      <w:r w:rsidR="00970A17">
        <w:rPr>
          <w:rFonts w:cs="Calibri"/>
        </w:rPr>
        <w:t xml:space="preserve"> </w:t>
      </w:r>
      <w:r w:rsidR="007A25F7">
        <w:rPr>
          <w:rFonts w:cs="Calibri"/>
        </w:rPr>
        <w:t>should this be necessary.</w:t>
      </w:r>
      <w:r w:rsidRPr="00CE6A3E">
        <w:rPr>
          <w:rFonts w:cs="Calibri"/>
        </w:rPr>
        <w:t xml:space="preserve"> </w:t>
      </w:r>
    </w:p>
    <w:p w14:paraId="1D5F5204" w14:textId="77777777" w:rsidR="00EF7911" w:rsidRPr="000D7608" w:rsidRDefault="00EF7911" w:rsidP="00011D7F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6CDA131B" w14:textId="427ADFCB" w:rsidR="00EF7911" w:rsidRPr="00CE6A3E" w:rsidRDefault="00EF7911" w:rsidP="00011D7F">
      <w:pPr>
        <w:jc w:val="both"/>
      </w:pPr>
      <w:r w:rsidRPr="00CE6A3E">
        <w:t>The driving pressure</w:t>
      </w:r>
      <w:r w:rsidR="005D3301">
        <w:t>,</w:t>
      </w:r>
      <w:r w:rsidRPr="00CE6A3E">
        <w:t xml:space="preserve"> </w:t>
      </w:r>
      <m:oMath>
        <m:r>
          <w:rPr>
            <w:rFonts w:ascii="Cambria Math" w:hAnsi="Cambria Math"/>
          </w:rPr>
          <m:t>P</m:t>
        </m:r>
      </m:oMath>
      <w:r w:rsidR="005D3301">
        <w:t xml:space="preserve"> (Pa),</w:t>
      </w:r>
      <w:r w:rsidRPr="00CE6A3E">
        <w:t xml:space="preserve"> inside the root is d</w:t>
      </w:r>
      <w:r w:rsidR="00376FEE">
        <w:t>etermined</w:t>
      </w:r>
      <w:r w:rsidRPr="00CE6A3E">
        <w:t xml:space="preserve"> by the environmental conditions (humidity and temperature) causing the stomata in the leaves to open and close (</w:t>
      </w:r>
      <w:proofErr w:type="spellStart"/>
      <w:r w:rsidRPr="00CE6A3E">
        <w:t>Tuzet</w:t>
      </w:r>
      <w:proofErr w:type="spellEnd"/>
      <w:r w:rsidRPr="00CE6A3E">
        <w:t xml:space="preserve"> et al, 2003). When the air temperature is low and/or humidity is high</w:t>
      </w:r>
      <w:r w:rsidR="00376FEE">
        <w:t>,</w:t>
      </w:r>
      <w:r w:rsidRPr="00CE6A3E">
        <w:t xml:space="preserve"> the plant opens its stomata to speed up the loss of water</w:t>
      </w:r>
      <w:r w:rsidR="00885CBB">
        <w:t xml:space="preserve"> and cause cooling. T</w:t>
      </w:r>
      <w:r w:rsidRPr="00CE6A3E">
        <w:t xml:space="preserve">his leads to a decrease in the pressure of water inside the roots. </w:t>
      </w:r>
      <w:r w:rsidR="000947A3">
        <w:t>Thus</w:t>
      </w:r>
      <w:r w:rsidRPr="00CE6A3E">
        <w:t xml:space="preserve"> the water pressure within the plant roots </w:t>
      </w:r>
      <w:r w:rsidR="00AD4F74">
        <w:t>(</w:t>
      </w:r>
      <m:oMath>
        <m:r>
          <w:rPr>
            <w:rFonts w:ascii="Cambria Math" w:hAnsi="Cambria Math"/>
          </w:rPr>
          <m:t>P</m:t>
        </m:r>
      </m:oMath>
      <w:r w:rsidR="00AD4F74">
        <w:t>)</w:t>
      </w:r>
      <w:r w:rsidRPr="00CE6A3E">
        <w:t xml:space="preserve"> is given by, </w:t>
      </w:r>
    </w:p>
    <w:p w14:paraId="051BE0BB" w14:textId="6A8D9469" w:rsidR="00EF7911" w:rsidRPr="00B16F9E" w:rsidRDefault="003E2618" w:rsidP="00011D7F">
      <w:pPr>
        <w:jc w:val="both"/>
      </w:pP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P=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(p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)+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T+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H</m:t>
        </m:r>
      </m:oMath>
      <w:r w:rsidR="00EF7911" w:rsidRPr="00B16F9E">
        <w:t>,</w:t>
      </w:r>
      <w:r w:rsidR="00F44F26" w:rsidRPr="00F44F26">
        <w:t xml:space="preserve"> </w:t>
      </w:r>
      <w:r w:rsidR="00F44F26">
        <w:tab/>
      </w:r>
      <w:r w:rsidR="00F44F26">
        <w:tab/>
      </w:r>
      <w:r w:rsidR="00F44F26">
        <w:tab/>
      </w:r>
      <w:r w:rsidR="00F44F26">
        <w:tab/>
        <w:t xml:space="preserve">        Eqn. 10</w:t>
      </w:r>
    </w:p>
    <w:p w14:paraId="19892B65" w14:textId="5419256B" w:rsidR="00EF7911" w:rsidRDefault="00EF7911" w:rsidP="00011D7F">
      <w:pPr>
        <w:jc w:val="both"/>
      </w:pPr>
      <w:r w:rsidRPr="00B16F9E">
        <w:t xml:space="preserve">where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Pr="00B16F9E">
        <w:t xml:space="preserve"> </w:t>
      </w:r>
      <w:r w:rsidR="00376FEE">
        <w:t xml:space="preserve">(Pa) </w:t>
      </w:r>
      <w:r w:rsidRPr="00B16F9E">
        <w:t xml:space="preserve">is the baseline </w:t>
      </w:r>
      <w:r w:rsidR="00E21F18">
        <w:t>xylem</w:t>
      </w:r>
      <w:r w:rsidRPr="00B16F9E">
        <w:t xml:space="preserve"> pressure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(Pa/degC),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(Pa/% humidity)</m:t>
        </m:r>
      </m:oMath>
      <w:r w:rsidRPr="00B16F9E">
        <w:t xml:space="preserve"> and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(Pa)</m:t>
        </m:r>
      </m:oMath>
      <w:r w:rsidRPr="00B16F9E">
        <w:t xml:space="preserve"> are determined by seeking the optimal fit to soil saturation data and are used to help calculate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</m:oMath>
      <w:r w:rsidR="00265234">
        <w:t xml:space="preserve"> </w:t>
      </w:r>
      <w:r w:rsidR="00265234" w:rsidRPr="005C48C6">
        <w:t>(</w:t>
      </w:r>
      <w:r w:rsidR="00D950C0" w:rsidRPr="005C48C6">
        <w:t xml:space="preserve">Heppell </w:t>
      </w:r>
      <w:r w:rsidR="00D950C0" w:rsidRPr="0063368E">
        <w:rPr>
          <w:i/>
          <w:iCs/>
        </w:rPr>
        <w:t>et al.</w:t>
      </w:r>
      <w:r w:rsidR="00D950C0" w:rsidRPr="005C48C6">
        <w:t>, 2014</w:t>
      </w:r>
      <w:r w:rsidR="00265234" w:rsidRPr="005C48C6">
        <w:t>)</w:t>
      </w:r>
      <w:r w:rsidRPr="005C48C6">
        <w:t>.</w:t>
      </w:r>
      <w:r w:rsidR="00F0540A">
        <w:t xml:space="preserve">These parameters have been determined by Heppell </w:t>
      </w:r>
      <w:r w:rsidR="00F0540A" w:rsidRPr="00F0540A">
        <w:rPr>
          <w:i/>
          <w:iCs/>
        </w:rPr>
        <w:t>et al.</w:t>
      </w:r>
      <w:r w:rsidR="00F0540A">
        <w:t xml:space="preserve"> (2014) for a given</w:t>
      </w:r>
      <w:r w:rsidR="00C02B4D">
        <w:t xml:space="preserve"> geographical monitoring</w:t>
      </w:r>
      <w:r w:rsidR="00F20150">
        <w:t xml:space="preserve"> site</w:t>
      </w:r>
      <w:r w:rsidR="00F0540A">
        <w:t xml:space="preserve">. </w:t>
      </w:r>
    </w:p>
    <w:p w14:paraId="3E5283C7" w14:textId="4EF72687" w:rsidR="004C4A7A" w:rsidRDefault="00F0540A" w:rsidP="00011D7F">
      <w:pPr>
        <w:jc w:val="both"/>
      </w:pPr>
      <w:r>
        <w:lastRenderedPageBreak/>
        <w:t>A new feature</w:t>
      </w:r>
      <w:r w:rsidR="00793CCC">
        <w:t xml:space="preserve"> is added</w:t>
      </w:r>
      <w:r>
        <w:t xml:space="preserve"> to the model to</w:t>
      </w:r>
      <w:r w:rsidR="004C4A7A">
        <w:t xml:space="preserve"> match the root growth over the</w:t>
      </w:r>
      <w:r w:rsidR="00AE26DD">
        <w:t xml:space="preserve"> cropping</w:t>
      </w:r>
      <w:r w:rsidR="004C4A7A">
        <w:t xml:space="preserve"> season</w:t>
      </w:r>
      <w:r w:rsidR="00C1005A">
        <w:t xml:space="preserve"> (</w:t>
      </w:r>
      <w:r w:rsidR="004C4A7A">
        <w:t>where little growth is seen over the winter period</w:t>
      </w:r>
      <w:r w:rsidR="00C1005A">
        <w:t>) by making</w:t>
      </w:r>
      <w:r w:rsidR="004C4A7A">
        <w:t xml:space="preserve"> the rate of growth te</w:t>
      </w:r>
      <w:r w:rsidR="00C1005A">
        <w:t xml:space="preserve">mperature dependent. This </w:t>
      </w:r>
      <w:r w:rsidR="00AE26DD">
        <w:t>transform</w:t>
      </w:r>
      <w:r w:rsidR="00C1005A">
        <w:t>s</w:t>
      </w:r>
      <w:r w:rsidR="00AE26DD">
        <w:t xml:space="preserve"> </w:t>
      </w:r>
      <w:r>
        <w:t>E</w:t>
      </w:r>
      <w:r w:rsidR="00AE26DD">
        <w:t>quation (</w:t>
      </w:r>
      <w:r w:rsidR="003E2618">
        <w:t>8</w:t>
      </w:r>
      <w:r w:rsidR="00AE26DD">
        <w:t>) into,</w:t>
      </w:r>
    </w:p>
    <w:p w14:paraId="7E964B12" w14:textId="63BD4D90" w:rsidR="00AE26DD" w:rsidRDefault="003E2618" w:rsidP="00011D7F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∂t</m:t>
            </m:r>
          </m:den>
        </m:f>
        <m:r>
          <w:rPr>
            <w:rFonts w:ascii="Cambria Math" w:hAnsi="Cambria Math"/>
          </w:rPr>
          <m:t>=r(T(t))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den>
            </m:f>
          </m:e>
        </m:d>
      </m:oMath>
      <w:r>
        <w:t>,</w:t>
      </w:r>
      <w:r w:rsidR="00F44F26" w:rsidRPr="00F44F26">
        <w:t xml:space="preserve"> </w:t>
      </w:r>
      <w:r w:rsidR="00F44F26">
        <w:tab/>
      </w:r>
      <w:r w:rsidR="00F44F26">
        <w:tab/>
      </w:r>
      <w:r w:rsidR="00F44F26">
        <w:tab/>
        <w:t xml:space="preserve">        Eqn. 11</w:t>
      </w:r>
    </w:p>
    <w:p w14:paraId="7A83A4D2" w14:textId="724A2996" w:rsidR="005C48C6" w:rsidRDefault="00AE26DD" w:rsidP="00011D7F">
      <w:pPr>
        <w:jc w:val="both"/>
      </w:pPr>
      <w:proofErr w:type="gramStart"/>
      <w:r>
        <w:t>where</w:t>
      </w:r>
      <w:proofErr w:type="gramEnd"/>
      <w:r>
        <w:t xml:space="preserve"> </w:t>
      </w:r>
      <m:oMath>
        <m:r>
          <w:rPr>
            <w:rFonts w:ascii="Cambria Math" w:hAnsi="Cambria Math"/>
          </w:rPr>
          <m:t>r(T(t))</m:t>
        </m:r>
      </m:oMath>
      <w:r>
        <w:t xml:space="preserve"> is taken from experimental data on temperature dependant root growth rates</w:t>
      </w:r>
      <w:r w:rsidR="0033530D">
        <w:t xml:space="preserve">, </w:t>
      </w:r>
      <w:r>
        <w:t xml:space="preserve">Table </w:t>
      </w:r>
      <w:r w:rsidR="003532FF">
        <w:t>1</w:t>
      </w:r>
      <w:r w:rsidR="005C48C6">
        <w:t>.</w:t>
      </w:r>
      <w:r w:rsidR="0050377F">
        <w:t xml:space="preserve"> </w:t>
      </w:r>
    </w:p>
    <w:p w14:paraId="6A3AD7C2" w14:textId="6FCAF418" w:rsidR="00DB3DA9" w:rsidRDefault="00400808" w:rsidP="00011D7F">
      <w:pPr>
        <w:jc w:val="both"/>
      </w:pPr>
      <w:r>
        <w:t>In summary, the data needed for the</w:t>
      </w:r>
      <w:r w:rsidR="00F533B6">
        <w:t xml:space="preserve"> adapted</w:t>
      </w:r>
      <w:r>
        <w:t xml:space="preserve"> model to run includes: initial </w:t>
      </w:r>
      <w:r w:rsidR="00F0540A">
        <w:t xml:space="preserve">distributions of water and P concentrations in the </w:t>
      </w:r>
      <w:r>
        <w:t>soil</w:t>
      </w:r>
      <w:r w:rsidR="00F0540A">
        <w:t>,</w:t>
      </w:r>
      <w:r>
        <w:t xml:space="preserve"> climate data for rainfall, humidity, wind speed and temperature</w:t>
      </w:r>
      <w:r w:rsidR="004A262A">
        <w:t xml:space="preserve"> values</w:t>
      </w:r>
      <w:r>
        <w:t>, fertiliser application and amount, soil cultivation strategy</w:t>
      </w:r>
      <w:r w:rsidR="00F554BE">
        <w:t xml:space="preserve"> and</w:t>
      </w:r>
      <w:r>
        <w:t xml:space="preserve"> temperature dependant r</w:t>
      </w:r>
      <w:r w:rsidR="00F554BE">
        <w:t>oot growth rates</w:t>
      </w:r>
      <w:r>
        <w:t xml:space="preserve"> which are obtained from experimental data. </w:t>
      </w:r>
      <w:r w:rsidR="00762C74">
        <w:t>Henceforth</w:t>
      </w:r>
      <w:r w:rsidR="005210E5">
        <w:t>,</w:t>
      </w:r>
      <w:r w:rsidR="0023194E">
        <w:t xml:space="preserve"> when referring to the ‘model’ we </w:t>
      </w:r>
      <w:r w:rsidR="005210E5">
        <w:t>mean</w:t>
      </w:r>
      <w:r w:rsidR="0023194E">
        <w:t xml:space="preserve"> the adapted model</w:t>
      </w:r>
      <w:r w:rsidR="00D37EE7">
        <w:t xml:space="preserve"> extended from the one by</w:t>
      </w:r>
      <w:r w:rsidR="0023194E">
        <w:t xml:space="preserve"> Roose and Fowler (2004b)</w:t>
      </w:r>
      <w:r w:rsidR="00864B7A">
        <w:t>.</w:t>
      </w:r>
    </w:p>
    <w:p w14:paraId="77741BA0" w14:textId="77777777" w:rsidR="00DB3DA9" w:rsidRDefault="00DB3DA9" w:rsidP="00011D7F">
      <w:pPr>
        <w:jc w:val="both"/>
        <w:rPr>
          <w:b/>
          <w:bCs/>
        </w:rPr>
      </w:pPr>
      <w:r w:rsidRPr="007C2BD4">
        <w:rPr>
          <w:b/>
          <w:bCs/>
        </w:rPr>
        <w:t>Data collection</w:t>
      </w:r>
    </w:p>
    <w:p w14:paraId="2C73B8A2" w14:textId="77777777" w:rsidR="001D7F02" w:rsidRDefault="001D7F02" w:rsidP="00011D7F">
      <w:pPr>
        <w:jc w:val="both"/>
        <w:rPr>
          <w:b/>
          <w:bCs/>
        </w:rPr>
      </w:pPr>
      <w:r>
        <w:rPr>
          <w:b/>
          <w:bCs/>
        </w:rPr>
        <w:t xml:space="preserve">From the literature </w:t>
      </w:r>
    </w:p>
    <w:p w14:paraId="6E7EF58B" w14:textId="0B8AB05C" w:rsidR="001D7F02" w:rsidRPr="007C2BD4" w:rsidRDefault="001D7F02" w:rsidP="007359A5">
      <w:pPr>
        <w:jc w:val="both"/>
      </w:pPr>
      <w:r w:rsidRPr="008951EA">
        <w:t xml:space="preserve">To run the </w:t>
      </w:r>
      <w:r w:rsidR="002D2B31">
        <w:t xml:space="preserve">adapted </w:t>
      </w:r>
      <w:r w:rsidRPr="008951EA">
        <w:t xml:space="preserve">mathematical model a set of parameters were taken from </w:t>
      </w:r>
      <w:r>
        <w:t xml:space="preserve">Roose </w:t>
      </w:r>
      <w:r w:rsidR="009B6F48" w:rsidRPr="009B6F48">
        <w:t>and Fowler</w:t>
      </w:r>
      <w:r w:rsidR="002D2B31">
        <w:t xml:space="preserve"> (2004b)</w:t>
      </w:r>
      <w:r w:rsidR="000B5B10">
        <w:t>,</w:t>
      </w:r>
      <w:r>
        <w:t xml:space="preserve"> </w:t>
      </w:r>
      <w:r w:rsidRPr="00A303B0">
        <w:t xml:space="preserve">Heppell </w:t>
      </w:r>
      <w:r w:rsidRPr="0063368E">
        <w:rPr>
          <w:i/>
          <w:iCs/>
        </w:rPr>
        <w:t>et al</w:t>
      </w:r>
      <w:r w:rsidRPr="00A303B0">
        <w:rPr>
          <w:i/>
          <w:iCs/>
        </w:rPr>
        <w:t>.</w:t>
      </w:r>
      <w:r w:rsidRPr="00A303B0">
        <w:t xml:space="preserve"> </w:t>
      </w:r>
      <w:r w:rsidR="002D2B31">
        <w:t>(</w:t>
      </w:r>
      <w:r w:rsidRPr="00A303B0">
        <w:t>2014</w:t>
      </w:r>
      <w:r w:rsidR="002D53AB">
        <w:t xml:space="preserve"> and</w:t>
      </w:r>
      <w:r w:rsidR="00672387">
        <w:t xml:space="preserve"> </w:t>
      </w:r>
      <w:r w:rsidR="001E5044">
        <w:t>2015</w:t>
      </w:r>
      <w:r w:rsidR="002D2B31">
        <w:t>)</w:t>
      </w:r>
      <w:r w:rsidR="000B5B10">
        <w:t xml:space="preserve"> and</w:t>
      </w:r>
      <w:r>
        <w:t xml:space="preserve"> </w:t>
      </w:r>
      <w:r w:rsidR="000B5B10">
        <w:t xml:space="preserve">Sylvester-Bradley </w:t>
      </w:r>
      <w:r w:rsidR="000B5B10">
        <w:rPr>
          <w:i/>
          <w:iCs/>
        </w:rPr>
        <w:t>et al.</w:t>
      </w:r>
      <w:r w:rsidR="000B5B10">
        <w:t xml:space="preserve"> (1997), </w:t>
      </w:r>
      <w:r>
        <w:t>consisting of values for plant root dynamics and soil characteristics</w:t>
      </w:r>
      <w:r w:rsidR="00CC0733">
        <w:t>,</w:t>
      </w:r>
      <w:r>
        <w:t xml:space="preserve"> Table 2.</w:t>
      </w:r>
    </w:p>
    <w:p w14:paraId="2ED97AEA" w14:textId="77777777" w:rsidR="001D7F02" w:rsidRDefault="001D7F02" w:rsidP="00011D7F">
      <w:pPr>
        <w:jc w:val="both"/>
        <w:rPr>
          <w:b/>
        </w:rPr>
      </w:pPr>
      <w:r>
        <w:rPr>
          <w:b/>
        </w:rPr>
        <w:t>Pot trials</w:t>
      </w:r>
    </w:p>
    <w:p w14:paraId="0F4C2350" w14:textId="2AD65D9B" w:rsidR="006720E6" w:rsidRPr="00282D40" w:rsidRDefault="000E3723" w:rsidP="006D49C5">
      <w:pPr>
        <w:jc w:val="both"/>
      </w:pPr>
      <w:r w:rsidRPr="000E3723">
        <w:t>To assess temperature effects on</w:t>
      </w:r>
      <w:r>
        <w:t xml:space="preserve"> root growth rates in cereals</w:t>
      </w:r>
      <w:r w:rsidRPr="000E3723">
        <w:t xml:space="preserve"> </w:t>
      </w:r>
      <w:proofErr w:type="spellStart"/>
      <w:r w:rsidR="006720E6" w:rsidRPr="00282D40">
        <w:rPr>
          <w:i/>
          <w:iCs/>
        </w:rPr>
        <w:t>Triticum</w:t>
      </w:r>
      <w:proofErr w:type="spellEnd"/>
      <w:r w:rsidR="006720E6" w:rsidRPr="00282D40">
        <w:rPr>
          <w:i/>
          <w:iCs/>
        </w:rPr>
        <w:t xml:space="preserve"> </w:t>
      </w:r>
      <w:proofErr w:type="spellStart"/>
      <w:r w:rsidR="006720E6" w:rsidRPr="00282D40">
        <w:rPr>
          <w:i/>
          <w:iCs/>
        </w:rPr>
        <w:t>aestivum</w:t>
      </w:r>
      <w:proofErr w:type="spellEnd"/>
      <w:r w:rsidR="006720E6" w:rsidRPr="00282D40">
        <w:t xml:space="preserve"> seeds w</w:t>
      </w:r>
      <w:r w:rsidR="008F4769">
        <w:t>ere soaked overnight in aerated</w:t>
      </w:r>
      <w:r w:rsidR="006720E6" w:rsidRPr="00282D40">
        <w:t xml:space="preserve"> de-ionised water to induce germination. They were then placed on filter papers, moistened with deionised water, </w:t>
      </w:r>
      <w:r w:rsidR="0086095F">
        <w:t xml:space="preserve">put </w:t>
      </w:r>
      <w:r w:rsidR="006720E6" w:rsidRPr="00282D40">
        <w:t xml:space="preserve">in </w:t>
      </w:r>
      <w:proofErr w:type="spellStart"/>
      <w:r w:rsidR="006720E6" w:rsidRPr="00282D40">
        <w:t>parafilm</w:t>
      </w:r>
      <w:proofErr w:type="spellEnd"/>
      <w:r w:rsidR="006720E6" w:rsidRPr="00282D40">
        <w:t xml:space="preserve"> sealed </w:t>
      </w:r>
      <w:r w:rsidR="00335F9A">
        <w:t>P</w:t>
      </w:r>
      <w:r w:rsidR="006720E6" w:rsidRPr="00282D40">
        <w:t>etri dishes covered in aluminium foil and incubated at 20</w:t>
      </w:r>
      <w:r w:rsidR="006720E6" w:rsidRPr="00282D40">
        <w:rPr>
          <w:vertAlign w:val="superscript"/>
        </w:rPr>
        <w:t>o</w:t>
      </w:r>
      <w:r w:rsidR="006720E6" w:rsidRPr="00282D40">
        <w:t xml:space="preserve">C. After 48 hours the root lengths of each emerged seminal root were measured </w:t>
      </w:r>
      <w:r w:rsidR="00CE4920">
        <w:t>non-destructively using a ruler.</w:t>
      </w:r>
      <w:r w:rsidR="006720E6" w:rsidRPr="00282D40">
        <w:t xml:space="preserve"> </w:t>
      </w:r>
      <w:r w:rsidR="00CE4920">
        <w:t>T</w:t>
      </w:r>
      <w:r w:rsidR="006720E6" w:rsidRPr="00282D40">
        <w:t>he filter papers</w:t>
      </w:r>
      <w:r w:rsidR="00CE4920">
        <w:t xml:space="preserve"> were re-moistened</w:t>
      </w:r>
      <w:r w:rsidR="006720E6" w:rsidRPr="00282D40">
        <w:t xml:space="preserve"> and the </w:t>
      </w:r>
      <w:r w:rsidR="00335F9A">
        <w:t>P</w:t>
      </w:r>
      <w:r w:rsidR="006720E6" w:rsidRPr="00282D40">
        <w:t>etri dishes were</w:t>
      </w:r>
      <w:r w:rsidR="00CE4920">
        <w:t xml:space="preserve"> grouped into different controlled temperatures, heating at </w:t>
      </w:r>
      <w:r w:rsidR="006720E6" w:rsidRPr="00282D40">
        <w:t>5</w:t>
      </w:r>
      <w:r w:rsidR="006720E6">
        <w:t xml:space="preserve">, </w:t>
      </w:r>
      <w:r w:rsidR="006720E6" w:rsidRPr="00282D40">
        <w:t>10</w:t>
      </w:r>
      <w:r w:rsidR="006720E6">
        <w:t xml:space="preserve">, </w:t>
      </w:r>
      <w:r w:rsidR="006720E6" w:rsidRPr="00282D40">
        <w:t>20</w:t>
      </w:r>
      <w:r w:rsidR="006720E6">
        <w:t xml:space="preserve"> and </w:t>
      </w:r>
      <w:r w:rsidR="006720E6" w:rsidRPr="00282D40">
        <w:t>30</w:t>
      </w:r>
      <w:r w:rsidR="006720E6" w:rsidRPr="00282D40">
        <w:rPr>
          <w:vertAlign w:val="superscript"/>
        </w:rPr>
        <w:t>o</w:t>
      </w:r>
      <w:r w:rsidR="006720E6">
        <w:t>C</w:t>
      </w:r>
      <w:r w:rsidR="006720E6" w:rsidRPr="00282D40">
        <w:t xml:space="preserve">. After </w:t>
      </w:r>
      <w:r w:rsidR="008515AF">
        <w:t xml:space="preserve">another </w:t>
      </w:r>
      <w:r w:rsidR="006720E6" w:rsidRPr="00282D40">
        <w:t>24 hours the lengths of the seminal roots were measured</w:t>
      </w:r>
      <w:r w:rsidR="006D49C5">
        <w:t xml:space="preserve"> with WINRHIZO</w:t>
      </w:r>
      <w:r w:rsidR="006720E6" w:rsidRPr="00282D40">
        <w:t xml:space="preserve">, and the differences in root length for each root were recorded as the average root growth </w:t>
      </w:r>
      <w:r w:rsidR="0081537A">
        <w:t xml:space="preserve">rate </w:t>
      </w:r>
      <w:r w:rsidR="006720E6" w:rsidRPr="00282D40">
        <w:t>per day.</w:t>
      </w:r>
    </w:p>
    <w:p w14:paraId="684D3E0C" w14:textId="16551810" w:rsidR="001D7F02" w:rsidRDefault="003E4B04" w:rsidP="00496034">
      <w:pPr>
        <w:jc w:val="both"/>
      </w:pPr>
      <w:r>
        <w:t>P</w:t>
      </w:r>
      <w:r w:rsidR="006720E6">
        <w:t xml:space="preserve">lant root growth rates increased from </w:t>
      </w:r>
      <w:r w:rsidR="001D7F02">
        <w:t>5</w:t>
      </w:r>
      <w:r w:rsidR="004D3CEA">
        <w:rPr>
          <w:vertAlign w:val="superscript"/>
        </w:rPr>
        <w:t>o</w:t>
      </w:r>
      <w:r w:rsidR="001D7F02">
        <w:t xml:space="preserve">C </w:t>
      </w:r>
      <w:r w:rsidR="006720E6">
        <w:t>at which a zero growth rate was observed</w:t>
      </w:r>
      <w:r w:rsidR="00C9050A">
        <w:t>,</w:t>
      </w:r>
      <w:r w:rsidR="001D7F02">
        <w:t xml:space="preserve"> Table 1. </w:t>
      </w:r>
      <w:r w:rsidR="007025B9">
        <w:t>A</w:t>
      </w:r>
      <w:r w:rsidR="0097156C">
        <w:t xml:space="preserve"> </w:t>
      </w:r>
      <w:r w:rsidR="00496034">
        <w:t>straight line</w:t>
      </w:r>
      <w:r w:rsidR="001D7F02">
        <w:t xml:space="preserve"> was fit</w:t>
      </w:r>
      <w:r w:rsidR="000D1D4C">
        <w:t>ted</w:t>
      </w:r>
      <w:r w:rsidR="001D7F02">
        <w:t xml:space="preserve"> to the data s</w:t>
      </w:r>
      <w:r w:rsidR="00A32964">
        <w:t>uch</w:t>
      </w:r>
      <w:r w:rsidR="001D7F02">
        <w:t xml:space="preserve"> that the information could be translated into the mathematical model, for temperature </w:t>
      </w:r>
      <m:oMath>
        <m:r>
          <w:rPr>
            <w:rFonts w:ascii="Cambria Math" w:hAnsi="Cambria Math"/>
          </w:rPr>
          <m:t>T</m:t>
        </m:r>
      </m:oMath>
      <w:r w:rsidR="001D7F02">
        <w:t xml:space="preserve"> </w:t>
      </w:r>
      <w:r w:rsidR="00A32964">
        <w:t>we set the</w:t>
      </w:r>
      <w:r w:rsidR="001D7F02">
        <w:t xml:space="preserve"> growth rate</w:t>
      </w:r>
      <m:oMath>
        <m:r>
          <w:rPr>
            <w:rFonts w:ascii="Cambria Math" w:hAnsi="Cambria Math"/>
          </w:rPr>
          <m:t xml:space="preserve"> R</m:t>
        </m:r>
      </m:oMath>
      <w:r w:rsidR="00A32964">
        <w:t xml:space="preserve"> to be,</w:t>
      </w:r>
    </w:p>
    <w:p w14:paraId="76522E12" w14:textId="71EB88E1" w:rsidR="001D7F02" w:rsidRDefault="003E2618" w:rsidP="00011D7F">
      <w:pPr>
        <w:jc w:val="both"/>
      </w:pPr>
      <w:r>
        <w:tab/>
      </w:r>
      <w:r>
        <w:tab/>
      </w:r>
      <w:r w:rsidR="00A32964">
        <w:tab/>
      </w:r>
      <w:r>
        <w:tab/>
      </w:r>
      <m:oMath>
        <m:r>
          <w:rPr>
            <w:rFonts w:ascii="Cambria Math" w:hAnsi="Cambria Math"/>
          </w:rPr>
          <m:t>R=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for</m:t>
                  </m:r>
                </m:e>
                <m:e>
                  <m:r>
                    <w:rPr>
                      <w:rFonts w:ascii="Cambria Math" w:hAnsi="Cambria Math"/>
                    </w:rPr>
                    <m:t>T≤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0.053(T-5)</m:t>
                  </m:r>
                </m:e>
                <m:e>
                  <m:r>
                    <w:rPr>
                      <w:rFonts w:ascii="Cambria Math" w:hAnsi="Cambria Math"/>
                    </w:rPr>
                    <m:t>for</m:t>
                  </m:r>
                </m:e>
                <m:e>
                  <m:r>
                    <w:rPr>
                      <w:rFonts w:ascii="Cambria Math" w:hAnsi="Cambria Math"/>
                    </w:rPr>
                    <m:t>T&gt;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e>
              </m:mr>
            </m:m>
          </m:e>
        </m:d>
      </m:oMath>
      <w:r w:rsidR="001C386B">
        <w:t>.</w:t>
      </w:r>
      <w:r w:rsidR="00F44F26" w:rsidRPr="00F44F26">
        <w:t xml:space="preserve"> </w:t>
      </w:r>
      <w:r w:rsidR="00F44F26">
        <w:tab/>
      </w:r>
      <w:r w:rsidR="00F44F26">
        <w:tab/>
      </w:r>
      <w:r w:rsidR="00F44F26">
        <w:tab/>
        <w:t xml:space="preserve">        Eqn. 12</w:t>
      </w:r>
    </w:p>
    <w:p w14:paraId="04AC5013" w14:textId="57698505" w:rsidR="001262DB" w:rsidRDefault="001262DB" w:rsidP="009B197C">
      <w:pPr>
        <w:jc w:val="both"/>
      </w:pPr>
      <w:r>
        <w:t>Barley and wheat root structures are genetically different but phenotypically similar (</w:t>
      </w:r>
      <w:proofErr w:type="spellStart"/>
      <w:r w:rsidR="00987ACD">
        <w:t>Kutschera</w:t>
      </w:r>
      <w:proofErr w:type="spellEnd"/>
      <w:r w:rsidR="00987ACD">
        <w:t xml:space="preserve"> </w:t>
      </w:r>
      <w:r w:rsidR="00987ACD" w:rsidRPr="008A048F">
        <w:rPr>
          <w:i/>
          <w:iCs/>
        </w:rPr>
        <w:t>et al.</w:t>
      </w:r>
      <w:r w:rsidR="00987ACD">
        <w:t>, 2009</w:t>
      </w:r>
      <w:r>
        <w:t>). The mathematical model uses the root morphology</w:t>
      </w:r>
      <w:r w:rsidR="009B197C">
        <w:t xml:space="preserve"> not its genetics</w:t>
      </w:r>
      <w:r>
        <w:t xml:space="preserve"> and therefore</w:t>
      </w:r>
      <w:r w:rsidR="009B197C">
        <w:t xml:space="preserve"> we assume, consistent with </w:t>
      </w:r>
      <w:proofErr w:type="spellStart"/>
      <w:r w:rsidR="009B197C">
        <w:t>Kutschera</w:t>
      </w:r>
      <w:proofErr w:type="spellEnd"/>
      <w:r w:rsidR="009B197C">
        <w:t>, that</w:t>
      </w:r>
      <w:r>
        <w:t xml:space="preserve"> experimental data from wheat roots </w:t>
      </w:r>
      <w:r w:rsidR="009B197C">
        <w:t xml:space="preserve">is a good first approximation for </w:t>
      </w:r>
      <w:r>
        <w:t xml:space="preserve"> barley roots in this instance. </w:t>
      </w:r>
    </w:p>
    <w:p w14:paraId="009EAC70" w14:textId="13A7AB31" w:rsidR="006C0C03" w:rsidRPr="006C0C03" w:rsidRDefault="006C0C03" w:rsidP="00011D7F">
      <w:pPr>
        <w:jc w:val="both"/>
        <w:rPr>
          <w:b/>
        </w:rPr>
      </w:pPr>
      <w:r>
        <w:rPr>
          <w:b/>
        </w:rPr>
        <w:t>Field trials</w:t>
      </w:r>
    </w:p>
    <w:p w14:paraId="4B8E40B0" w14:textId="0F7DBF77" w:rsidR="007A1CCA" w:rsidRDefault="00DB3DA9" w:rsidP="00350580">
      <w:pPr>
        <w:jc w:val="both"/>
      </w:pPr>
      <w:r>
        <w:lastRenderedPageBreak/>
        <w:t xml:space="preserve">Two data sets </w:t>
      </w:r>
      <w:r w:rsidR="00A81322">
        <w:t>were</w:t>
      </w:r>
      <w:r>
        <w:t xml:space="preserve"> taken from field scale trials, which consist</w:t>
      </w:r>
      <w:r w:rsidR="00A81322">
        <w:t>ed</w:t>
      </w:r>
      <w:r>
        <w:t xml:space="preserve"> of a set of scenarios for different fertiliser</w:t>
      </w:r>
      <w:r w:rsidR="00471B7A">
        <w:t xml:space="preserve"> application</w:t>
      </w:r>
      <w:r>
        <w:t xml:space="preserve"> techniques </w:t>
      </w:r>
      <w:r w:rsidR="00471B7A">
        <w:t xml:space="preserve">and </w:t>
      </w:r>
      <w:r>
        <w:t>measur</w:t>
      </w:r>
      <w:r w:rsidR="00471B7A">
        <w:t>ement of</w:t>
      </w:r>
      <w:r>
        <w:t xml:space="preserve"> plant P </w:t>
      </w:r>
      <w:r w:rsidR="00DC1E1D">
        <w:t>uptake</w:t>
      </w:r>
      <w:r w:rsidR="00471B7A">
        <w:t xml:space="preserve"> values</w:t>
      </w:r>
      <w:r w:rsidR="00DC1E1D">
        <w:t xml:space="preserve"> (</w:t>
      </w:r>
      <w:r>
        <w:t>offtake</w:t>
      </w:r>
      <w:r w:rsidR="00DC1E1D">
        <w:t>)</w:t>
      </w:r>
      <w:proofErr w:type="gramStart"/>
      <w:r w:rsidR="00471B7A">
        <w:t>;</w:t>
      </w:r>
      <w:proofErr w:type="gramEnd"/>
      <w:r>
        <w:t xml:space="preserve"> one winter barley and one spring barley. </w:t>
      </w:r>
      <w:r w:rsidR="00DD1011">
        <w:t xml:space="preserve">A decimal code system is used to measure the growth stages of barley based on description stages (Broad, 1987). </w:t>
      </w:r>
      <w:r w:rsidRPr="00311A68">
        <w:t xml:space="preserve">The winter barley data </w:t>
      </w:r>
      <w:r w:rsidR="00471B7A">
        <w:t>includes</w:t>
      </w:r>
      <w:r w:rsidRPr="00311A68">
        <w:t xml:space="preserve"> values for P offtake at </w:t>
      </w:r>
      <w:r>
        <w:t>two</w:t>
      </w:r>
      <w:r w:rsidRPr="00311A68">
        <w:t xml:space="preserve"> different periods, growth stages 3</w:t>
      </w:r>
      <w:r>
        <w:t xml:space="preserve">9 and </w:t>
      </w:r>
      <w:r w:rsidRPr="00311A68">
        <w:t>9</w:t>
      </w:r>
      <w:r>
        <w:t xml:space="preserve">2; </w:t>
      </w:r>
      <w:r w:rsidR="007F481A">
        <w:t>2</w:t>
      </w:r>
      <w:r w:rsidR="009D5D5C">
        <w:t>32</w:t>
      </w:r>
      <w:r w:rsidRPr="00311A68">
        <w:t xml:space="preserve"> and 3</w:t>
      </w:r>
      <w:r w:rsidR="009D5D5C">
        <w:t>13</w:t>
      </w:r>
      <w:r w:rsidRPr="00311A68">
        <w:t xml:space="preserve"> days respectively. </w:t>
      </w:r>
      <w:r w:rsidR="006E083A">
        <w:t>The winter barley variety was Winsome winter malting barley. Differing amounts of triple superphosphate (TSP) were incorporated (0, 15, 30, 60, 90 and 120 kg P ha</w:t>
      </w:r>
      <w:r w:rsidR="006E083A" w:rsidRPr="00F326C6">
        <w:rPr>
          <w:vertAlign w:val="superscript"/>
        </w:rPr>
        <w:t>-1</w:t>
      </w:r>
      <w:r w:rsidR="006E083A">
        <w:t>) or banded (15 and 30 kg P ha</w:t>
      </w:r>
      <w:r w:rsidR="006E083A" w:rsidRPr="00F326C6">
        <w:rPr>
          <w:vertAlign w:val="superscript"/>
        </w:rPr>
        <w:t>-1</w:t>
      </w:r>
      <w:r w:rsidR="006E083A">
        <w:t xml:space="preserve">) in the soil. The trial was on a clay soil with a low P index, based in Stetchworth, UK. </w:t>
      </w:r>
      <w:r w:rsidRPr="00311A68">
        <w:t xml:space="preserve">The spring barley data </w:t>
      </w:r>
      <w:r w:rsidR="00471B7A">
        <w:t>includes</w:t>
      </w:r>
      <w:r w:rsidRPr="00311A68">
        <w:t xml:space="preserve"> values for P offtake at three different periods, growth stages 31, 45 and 91; 61, 77 and 151 days respectively. </w:t>
      </w:r>
      <w:r w:rsidR="0082005C">
        <w:t>The spring barley variety used was Shuffle, being grown fr</w:t>
      </w:r>
      <w:r w:rsidR="00EF795A">
        <w:t>om</w:t>
      </w:r>
      <w:r w:rsidR="0082005C">
        <w:t xml:space="preserve"> seed, with typical farm inputs used (e.g. fertiliser, herbicide, fungicide, </w:t>
      </w:r>
      <w:r w:rsidR="001B0A55">
        <w:t>etc.</w:t>
      </w:r>
      <w:r w:rsidR="0082005C">
        <w:t>) except P which was imposed based on experimental requirements.</w:t>
      </w:r>
      <w:r w:rsidR="00AC2D63">
        <w:t xml:space="preserve"> Differing amounts of TSP were incorporated (0, 5, 10, 20, 30, 60 and 90 kg P ha</w:t>
      </w:r>
      <w:r w:rsidR="00AC2D63" w:rsidRPr="008A048F">
        <w:rPr>
          <w:vertAlign w:val="superscript"/>
        </w:rPr>
        <w:t>-1</w:t>
      </w:r>
      <w:r w:rsidR="00AC2D63">
        <w:t>) or banded (10, 20 and 30 kg P ha</w:t>
      </w:r>
      <w:r w:rsidR="00AC2D63" w:rsidRPr="008A048F">
        <w:rPr>
          <w:vertAlign w:val="superscript"/>
        </w:rPr>
        <w:t>-1</w:t>
      </w:r>
      <w:r w:rsidR="00AC2D63">
        <w:t>) in the soil.</w:t>
      </w:r>
      <w:r w:rsidR="0082005C">
        <w:t xml:space="preserve"> The trial was</w:t>
      </w:r>
      <w:r w:rsidR="0054215C">
        <w:t xml:space="preserve"> on a sandy clay loam soil with a low P index,</w:t>
      </w:r>
      <w:r w:rsidR="0082005C">
        <w:t xml:space="preserve"> based near Aberdeen in Scotland, approximately 57</w:t>
      </w:r>
      <w:r w:rsidR="0082005C" w:rsidRPr="002D5C9E">
        <w:rPr>
          <w:vertAlign w:val="superscript"/>
        </w:rPr>
        <w:t>o</w:t>
      </w:r>
      <w:r w:rsidR="00F90F6F">
        <w:t>N</w:t>
      </w:r>
      <w:r w:rsidR="0082005C">
        <w:t>. The trial was ploughed in January and ground power harrowed on the day of sowing (23-March-2011). The crop was rolled after sowing to consolidate the seedbed</w:t>
      </w:r>
      <w:r w:rsidR="00C71539">
        <w:t xml:space="preserve"> and reduce the risk of stone damage to harvesting equipment.</w:t>
      </w:r>
    </w:p>
    <w:p w14:paraId="74CC44D1" w14:textId="1A9B76AB" w:rsidR="000545D6" w:rsidRDefault="0026559A" w:rsidP="00C1650B">
      <w:pPr>
        <w:jc w:val="both"/>
      </w:pPr>
      <w:r>
        <w:t>The</w:t>
      </w:r>
      <w:r w:rsidR="0001155F">
        <w:t xml:space="preserve"> field scale data only uses one Olsen P value f</w:t>
      </w:r>
      <w:r w:rsidR="00310EAC">
        <w:t>or a given plot and there is no</w:t>
      </w:r>
      <w:r w:rsidR="0001155F">
        <w:t xml:space="preserve"> distinction </w:t>
      </w:r>
      <w:r>
        <w:t>concerning</w:t>
      </w:r>
      <w:r w:rsidR="0001155F">
        <w:t xml:space="preserve"> how P is distributed with depth. </w:t>
      </w:r>
      <w:r w:rsidR="000545D6" w:rsidRPr="000545D6">
        <w:t xml:space="preserve">To provide a description of how plant-available P varies with soil depth, soil was collected from different depths within </w:t>
      </w:r>
      <w:r w:rsidR="009D42D0">
        <w:t>a</w:t>
      </w:r>
      <w:r w:rsidR="000545D6" w:rsidRPr="000545D6">
        <w:t xml:space="preserve"> spring wheat field trial located at </w:t>
      </w:r>
      <w:proofErr w:type="spellStart"/>
      <w:r w:rsidR="000545D6" w:rsidRPr="000545D6">
        <w:t>Abergwyngregyn</w:t>
      </w:r>
      <w:proofErr w:type="spellEnd"/>
      <w:r w:rsidR="000545D6" w:rsidRPr="000545D6">
        <w:t xml:space="preserve">, North Wales. The soil </w:t>
      </w:r>
      <w:r w:rsidR="00A72382">
        <w:t>there was</w:t>
      </w:r>
      <w:r w:rsidR="000545D6" w:rsidRPr="000545D6">
        <w:t xml:space="preserve"> classified as a fre</w:t>
      </w:r>
      <w:r w:rsidR="00A72382">
        <w:t>e draining</w:t>
      </w:r>
      <w:r w:rsidR="000545D6" w:rsidRPr="000545D6">
        <w:t xml:space="preserve"> sand textured </w:t>
      </w:r>
      <w:proofErr w:type="spellStart"/>
      <w:r w:rsidR="000545D6" w:rsidRPr="000545D6">
        <w:t>Eutric</w:t>
      </w:r>
      <w:proofErr w:type="spellEnd"/>
      <w:r w:rsidR="000545D6" w:rsidRPr="000545D6">
        <w:t xml:space="preserve"> </w:t>
      </w:r>
      <w:proofErr w:type="spellStart"/>
      <w:r w:rsidR="000545D6" w:rsidRPr="000545D6">
        <w:t>Cambisol</w:t>
      </w:r>
      <w:proofErr w:type="spellEnd"/>
      <w:r w:rsidR="000545D6" w:rsidRPr="000545D6">
        <w:t xml:space="preserve">. Samples were taken from four replicate plots (3 m </w:t>
      </w:r>
      <w:r w:rsidR="000545D6">
        <w:t>x</w:t>
      </w:r>
      <w:r w:rsidR="000545D6" w:rsidRPr="000545D6">
        <w:t xml:space="preserve"> 12 m in size) at </w:t>
      </w:r>
      <w:r w:rsidR="00FF627A">
        <w:t>growth stage</w:t>
      </w:r>
      <w:r w:rsidR="000545D6" w:rsidRPr="000545D6">
        <w:t xml:space="preserve"> 39 at 10 cm intervals down the soil profile</w:t>
      </w:r>
      <w:r w:rsidR="003062C6">
        <w:t xml:space="preserve"> to a depth of 1 m</w:t>
      </w:r>
      <w:r w:rsidR="000545D6" w:rsidRPr="000545D6">
        <w:t>.</w:t>
      </w:r>
      <w:r w:rsidR="003062C6">
        <w:t xml:space="preserve"> Three sets of soils were tested, Olsen P index 5, 3 and 2 (Fig. 1</w:t>
      </w:r>
      <w:r w:rsidR="000E3CEA">
        <w:t>a</w:t>
      </w:r>
      <w:r w:rsidR="003062C6">
        <w:t>).</w:t>
      </w:r>
      <w:r w:rsidR="000545D6" w:rsidRPr="000545D6">
        <w:t xml:space="preserve"> Plant-available P was determined by extracting the soil with 0.5 M acetic acid (1:5 w/v) for 30 min, centrifuging the extracts (4000 g, 15 min) and colorimetric determination of P according to Murphy and Riley (1962).</w:t>
      </w:r>
      <w:r w:rsidR="003062C6">
        <w:t xml:space="preserve"> </w:t>
      </w:r>
    </w:p>
    <w:p w14:paraId="290865F1" w14:textId="03E0EF1E" w:rsidR="00C1650B" w:rsidRPr="000545D6" w:rsidRDefault="00C1650B" w:rsidP="002F19C5">
      <w:pPr>
        <w:jc w:val="both"/>
      </w:pPr>
      <w:r>
        <w:t>In addition to the soil sites in North Wales, six sites within the UK with a sandy clay loam were sampled</w:t>
      </w:r>
      <w:r w:rsidR="00FA7EF4">
        <w:t xml:space="preserve"> for Olsen P</w:t>
      </w:r>
      <w:r>
        <w:t xml:space="preserve"> (Fig. 1b).</w:t>
      </w:r>
      <w:r w:rsidR="00613FF6">
        <w:t xml:space="preserve"> </w:t>
      </w:r>
      <w:r w:rsidR="00783F12">
        <w:t>Soil s</w:t>
      </w:r>
      <w:r w:rsidR="00613FF6">
        <w:t>amples were taken at 0-30 cm, 30-60 cm and 60-90 cm.</w:t>
      </w:r>
      <w:r>
        <w:t xml:space="preserve"> The sites varied from a high Olsen P index of 6 to a low index of 2. A similar P distribution was seen at 4 sites (Olsen P index 5 and 3) where P concentration decays exponentially with depth as in the free draining sand in Wales, whereas the other two sites (Olsen P index 6 and 2) had a constant P profile. To </w:t>
      </w:r>
      <w:r w:rsidR="002F19C5">
        <w:t>represent the P profile data</w:t>
      </w:r>
      <w:r>
        <w:t xml:space="preserve"> a constant P profile with depth and an exponentially decaying P profile with depth will be compared </w:t>
      </w:r>
      <w:r w:rsidR="002F19C5">
        <w:t>in the</w:t>
      </w:r>
      <w:r>
        <w:t xml:space="preserve"> model simulations.</w:t>
      </w:r>
    </w:p>
    <w:p w14:paraId="2C568AFE" w14:textId="77777777" w:rsidR="00DB3DA9" w:rsidRPr="007F16DF" w:rsidRDefault="00DB3DA9" w:rsidP="00DB3DA9">
      <w:pPr>
        <w:rPr>
          <w:b/>
          <w:bCs/>
        </w:rPr>
      </w:pPr>
      <w:r w:rsidRPr="007F16DF">
        <w:rPr>
          <w:b/>
          <w:bCs/>
        </w:rPr>
        <w:t>Fertiliser strategies</w:t>
      </w:r>
    </w:p>
    <w:p w14:paraId="2BE0F879" w14:textId="5924386A" w:rsidR="007C2BD4" w:rsidRDefault="00BD71E3" w:rsidP="00FD6254">
      <w:pPr>
        <w:jc w:val="both"/>
      </w:pPr>
      <w:r>
        <w:t xml:space="preserve">The model adapted in this paper is used to mimic field trials and </w:t>
      </w:r>
      <w:r w:rsidR="009A423C">
        <w:t xml:space="preserve">to </w:t>
      </w:r>
      <w:r>
        <w:t>predict plant P uptake (kg P</w:t>
      </w:r>
      <w:r w:rsidR="00FD6254">
        <w:t xml:space="preserve"> </w:t>
      </w:r>
      <w:r>
        <w:t>ha</w:t>
      </w:r>
      <w:r w:rsidR="00FD6254" w:rsidRPr="008A048F">
        <w:rPr>
          <w:vertAlign w:val="superscript"/>
        </w:rPr>
        <w:t>-1</w:t>
      </w:r>
      <w:r>
        <w:t xml:space="preserve">). In addition to the </w:t>
      </w:r>
      <w:r w:rsidR="009F5CF7">
        <w:t xml:space="preserve">scenarios used in the field trial experimental data, </w:t>
      </w:r>
      <w:r>
        <w:t>we</w:t>
      </w:r>
      <w:r w:rsidR="00464336">
        <w:t xml:space="preserve"> analyse the effect</w:t>
      </w:r>
      <w:r w:rsidR="003B5A40">
        <w:t>s</w:t>
      </w:r>
      <w:r w:rsidR="00464336">
        <w:t xml:space="preserve"> of differ</w:t>
      </w:r>
      <w:r w:rsidR="003B5A40">
        <w:t>ent</w:t>
      </w:r>
      <w:r w:rsidR="00464336">
        <w:t xml:space="preserve"> environmental conditions</w:t>
      </w:r>
      <w:r>
        <w:t xml:space="preserve"> for a range of fertiliser and soil cultivation strategies.</w:t>
      </w:r>
    </w:p>
    <w:p w14:paraId="4A4EF382" w14:textId="5D95207C" w:rsidR="00F3229F" w:rsidRPr="00A57086" w:rsidRDefault="00F3229F" w:rsidP="00011D7F">
      <w:pPr>
        <w:jc w:val="both"/>
      </w:pPr>
      <w:r w:rsidRPr="00A57086">
        <w:t>We estimate that on average the ploughing depth is 25 cm</w:t>
      </w:r>
      <w:r w:rsidR="009F6368" w:rsidRPr="00A57086">
        <w:t xml:space="preserve">. </w:t>
      </w:r>
      <w:r w:rsidR="00815FDD">
        <w:t xml:space="preserve">In Heppell </w:t>
      </w:r>
      <w:r w:rsidR="00806637">
        <w:rPr>
          <w:i/>
          <w:iCs/>
        </w:rPr>
        <w:t>et al.</w:t>
      </w:r>
      <w:r w:rsidR="00815FDD">
        <w:t xml:space="preserve"> (2014) w</w:t>
      </w:r>
      <w:r w:rsidR="00B7374E" w:rsidRPr="00A57086">
        <w:t xml:space="preserve">e used </w:t>
      </w:r>
      <w:r w:rsidR="003F6C03" w:rsidRPr="00A57086">
        <w:t>climate data</w:t>
      </w:r>
      <w:r w:rsidR="00815FDD">
        <w:t xml:space="preserve"> (</w:t>
      </w:r>
      <w:r w:rsidR="00815FDD" w:rsidRPr="00A57086">
        <w:t>hourly values for temperature, humidity, wind speed and rainfall</w:t>
      </w:r>
      <w:r w:rsidR="00815FDD">
        <w:t>)</w:t>
      </w:r>
      <w:r w:rsidR="00B7374E" w:rsidRPr="00A57086">
        <w:t xml:space="preserve"> to calibrate </w:t>
      </w:r>
      <w:r w:rsidR="009F6368" w:rsidRPr="00A57086">
        <w:t>a</w:t>
      </w:r>
      <w:r w:rsidR="00B7374E" w:rsidRPr="00A57086">
        <w:t xml:space="preserve"> plant water uptake model</w:t>
      </w:r>
      <w:r w:rsidR="00815FDD">
        <w:t>;</w:t>
      </w:r>
      <w:r w:rsidR="00400872" w:rsidRPr="00A57086">
        <w:t xml:space="preserve"> the </w:t>
      </w:r>
      <w:r w:rsidR="00815FDD">
        <w:t>same</w:t>
      </w:r>
      <w:r w:rsidR="00400872" w:rsidRPr="00A57086">
        <w:t xml:space="preserve"> parameters and data are used within the </w:t>
      </w:r>
      <w:r w:rsidR="00815FDD">
        <w:t xml:space="preserve">current </w:t>
      </w:r>
      <w:r w:rsidR="009A423C">
        <w:t>extended</w:t>
      </w:r>
      <w:r w:rsidR="009A423C" w:rsidRPr="00A57086">
        <w:t xml:space="preserve"> </w:t>
      </w:r>
      <w:r w:rsidR="00B7374E" w:rsidRPr="00A57086">
        <w:t>model</w:t>
      </w:r>
      <w:r w:rsidR="00A57086">
        <w:t>.</w:t>
      </w:r>
    </w:p>
    <w:p w14:paraId="01388E44" w14:textId="29A1EA30" w:rsidR="00420A8E" w:rsidRDefault="00420A8E" w:rsidP="00C53D9C">
      <w:pPr>
        <w:jc w:val="both"/>
      </w:pPr>
      <w:r>
        <w:lastRenderedPageBreak/>
        <w:t>The amount of fertiliser applied in an average cro</w:t>
      </w:r>
      <w:r w:rsidR="00526635">
        <w:t>pping season ranges from 0 to 12</w:t>
      </w:r>
      <w:r>
        <w:t>0 kg</w:t>
      </w:r>
      <w:r w:rsidR="008F1118">
        <w:t xml:space="preserve"> P</w:t>
      </w:r>
      <w:r w:rsidR="00FD6254">
        <w:t xml:space="preserve"> </w:t>
      </w:r>
      <w:r w:rsidR="008F1118">
        <w:t>ha</w:t>
      </w:r>
      <w:r w:rsidR="00FD6254" w:rsidRPr="008A048F">
        <w:rPr>
          <w:vertAlign w:val="superscript"/>
        </w:rPr>
        <w:t>-1</w:t>
      </w:r>
      <w:r>
        <w:t xml:space="preserve">. </w:t>
      </w:r>
      <w:r w:rsidR="00990374">
        <w:t>F</w:t>
      </w:r>
      <w:r w:rsidR="00DB3DA9">
        <w:t>ertiliser</w:t>
      </w:r>
      <w:r w:rsidR="00C05F83">
        <w:t>, for example TSP,</w:t>
      </w:r>
      <w:r w:rsidR="00DB3DA9">
        <w:t xml:space="preserve"> can be applied in two different ways, banded and broadcast</w:t>
      </w:r>
      <w:r w:rsidR="00DE4B55">
        <w:t>ed</w:t>
      </w:r>
      <w:r w:rsidR="00DB3DA9">
        <w:t>. The banded application involves injecting fertiliser pellets 5</w:t>
      </w:r>
      <w:r w:rsidR="00A127C0">
        <w:t>-10</w:t>
      </w:r>
      <w:r w:rsidR="00DB3DA9">
        <w:t xml:space="preserve"> cm below the soil and 5</w:t>
      </w:r>
      <w:r w:rsidR="00A127C0">
        <w:t xml:space="preserve">-10 </w:t>
      </w:r>
      <w:r w:rsidR="00DB3DA9">
        <w:t xml:space="preserve">cm </w:t>
      </w:r>
      <w:r w:rsidR="003B5A40">
        <w:t>away from</w:t>
      </w:r>
      <w:r w:rsidR="00DB3DA9">
        <w:t xml:space="preserve"> the seed.</w:t>
      </w:r>
      <w:r w:rsidR="003B5A40">
        <w:t xml:space="preserve"> This is represented in the model as fertiliser placed </w:t>
      </w:r>
      <w:r w:rsidR="00A127C0">
        <w:t>9</w:t>
      </w:r>
      <w:r w:rsidR="003B5A40">
        <w:t xml:space="preserve"> cm belo</w:t>
      </w:r>
      <w:r>
        <w:t>w</w:t>
      </w:r>
      <w:r w:rsidR="003B5A40">
        <w:t xml:space="preserve"> the seed.</w:t>
      </w:r>
      <w:r w:rsidR="00DB3DA9">
        <w:t xml:space="preserve"> The </w:t>
      </w:r>
      <w:r w:rsidR="00EF1F3D">
        <w:t>aim</w:t>
      </w:r>
      <w:r w:rsidR="00A72382">
        <w:t xml:space="preserve"> of this strategy</w:t>
      </w:r>
      <w:r w:rsidR="00DB3DA9">
        <w:t xml:space="preserve"> is to put fertiliser next to where</w:t>
      </w:r>
      <w:r w:rsidR="00DF6044">
        <w:t xml:space="preserve"> most of</w:t>
      </w:r>
      <w:r w:rsidR="00DB3DA9">
        <w:t xml:space="preserve"> the roots </w:t>
      </w:r>
      <w:r w:rsidR="00DF6044">
        <w:t xml:space="preserve">are likely to grow to </w:t>
      </w:r>
      <w:r w:rsidR="00DB3DA9">
        <w:t xml:space="preserve">try </w:t>
      </w:r>
      <w:r w:rsidR="00DF6044">
        <w:t>to</w:t>
      </w:r>
      <w:r w:rsidR="00DB3DA9">
        <w:t xml:space="preserve"> maximise root P uptake. The </w:t>
      </w:r>
      <w:r w:rsidR="00DF6044">
        <w:t>b</w:t>
      </w:r>
      <w:r w:rsidR="00DB3DA9">
        <w:t>roadcast</w:t>
      </w:r>
      <w:r w:rsidR="00D5165D">
        <w:t>ed</w:t>
      </w:r>
      <w:r w:rsidR="00DB3DA9">
        <w:t xml:space="preserve"> approach spreads fertiliser</w:t>
      </w:r>
      <w:r w:rsidR="00A72382">
        <w:t xml:space="preserve"> only</w:t>
      </w:r>
      <w:r w:rsidR="00DB3DA9">
        <w:t xml:space="preserve"> on top of the soil. </w:t>
      </w:r>
    </w:p>
    <w:p w14:paraId="21F29774" w14:textId="6BE7DAD1" w:rsidR="00B15F26" w:rsidRDefault="00B15F26" w:rsidP="00011D7F">
      <w:pPr>
        <w:jc w:val="both"/>
      </w:pPr>
      <w:r>
        <w:t xml:space="preserve">The </w:t>
      </w:r>
      <w:r w:rsidR="009A423C">
        <w:t xml:space="preserve">extended </w:t>
      </w:r>
      <w:r>
        <w:t xml:space="preserve">model </w:t>
      </w:r>
      <w:r w:rsidR="00283579">
        <w:t>predicts</w:t>
      </w:r>
      <w:r w:rsidR="004F6E2D">
        <w:t xml:space="preserve"> how</w:t>
      </w:r>
      <w:r>
        <w:t xml:space="preserve"> different fertiliser strategies </w:t>
      </w:r>
      <w:r w:rsidR="004F6E2D">
        <w:t>influence plant P uptake</w:t>
      </w:r>
      <w:r>
        <w:t>. The</w:t>
      </w:r>
      <w:r w:rsidR="00F11D6B">
        <w:t xml:space="preserve"> set of </w:t>
      </w:r>
      <w:r w:rsidR="00266156">
        <w:t>fertiliser strategies</w:t>
      </w:r>
      <w:r w:rsidR="00F11D6B">
        <w:t xml:space="preserve"> </w:t>
      </w:r>
      <w:r w:rsidR="00513DAE">
        <w:t>compared</w:t>
      </w:r>
      <w:r w:rsidR="00F11D6B">
        <w:t xml:space="preserve"> </w:t>
      </w:r>
      <w:r w:rsidR="00995AF5">
        <w:t>in</w:t>
      </w:r>
      <w:r w:rsidR="00F11D6B">
        <w:t xml:space="preserve"> the</w:t>
      </w:r>
      <w:r>
        <w:t xml:space="preserve"> model </w:t>
      </w:r>
      <w:r w:rsidR="00F11D6B">
        <w:t>are</w:t>
      </w:r>
      <w:r>
        <w:t xml:space="preserve"> shown in Fig. 2. The soil is first cultivated and then fertiliser is applied. During the cultivation phase, different methods are </w:t>
      </w:r>
      <w:r w:rsidR="004F6E2D">
        <w:t>used</w:t>
      </w:r>
      <w:r>
        <w:t xml:space="preserve"> to mix </w:t>
      </w:r>
      <w:r w:rsidR="003D7C58">
        <w:t>P</w:t>
      </w:r>
      <w:r>
        <w:t xml:space="preserve"> in the soil. Ploughing evenly mixes P t</w:t>
      </w:r>
      <w:r w:rsidR="0053481E">
        <w:t>o a specific depth between 10-</w:t>
      </w:r>
      <w:r>
        <w:t>25</w:t>
      </w:r>
      <w:r w:rsidR="0053481E">
        <w:t xml:space="preserve"> </w:t>
      </w:r>
      <w:r>
        <w:t>cm, whereas a reduced till gradient distributes P into bands; 0-5cm, 5-10cm and 10-15cm with a P concentration ratio of 1.5:1:0.5 respectively</w:t>
      </w:r>
      <w:r w:rsidR="00283579">
        <w:t>;</w:t>
      </w:r>
      <w:r>
        <w:t xml:space="preserve"> inverted plough inverts the P concentration between 0-15 cm</w:t>
      </w:r>
      <w:r w:rsidR="00283579">
        <w:t>;</w:t>
      </w:r>
      <w:r>
        <w:t xml:space="preserve"> and lastly there is an option of no cultivation.</w:t>
      </w:r>
      <w:r w:rsidR="002173E5">
        <w:t xml:space="preserve"> We </w:t>
      </w:r>
      <w:r w:rsidR="00ED4406">
        <w:t>model</w:t>
      </w:r>
      <w:r w:rsidR="002173E5">
        <w:t xml:space="preserve"> top soil fertilisation</w:t>
      </w:r>
      <w:r w:rsidR="00ED4406">
        <w:t>,</w:t>
      </w:r>
      <w:r w:rsidR="002173E5">
        <w:t xml:space="preserve"> fertilis</w:t>
      </w:r>
      <w:r w:rsidR="00ED4406">
        <w:t>ation</w:t>
      </w:r>
      <w:r w:rsidR="002173E5">
        <w:t xml:space="preserve"> applied at </w:t>
      </w:r>
      <w:r w:rsidR="00523208">
        <w:t>9</w:t>
      </w:r>
      <w:r w:rsidR="002173E5">
        <w:t xml:space="preserve"> cm below the seed</w:t>
      </w:r>
      <w:r w:rsidR="00ED4406">
        <w:t xml:space="preserve"> or no fertilisation, and use</w:t>
      </w:r>
      <w:r w:rsidR="002173E5">
        <w:t xml:space="preserve"> climate data with or without an increased amount of rainfall. For each strategy the model </w:t>
      </w:r>
      <w:r w:rsidR="00283579">
        <w:t xml:space="preserve">predicts </w:t>
      </w:r>
      <w:r w:rsidR="002B0C07">
        <w:t>plant</w:t>
      </w:r>
      <w:r w:rsidR="002173E5">
        <w:t xml:space="preserve"> P uptake which is </w:t>
      </w:r>
      <w:r w:rsidR="005D5D12">
        <w:t xml:space="preserve">then </w:t>
      </w:r>
      <w:r w:rsidR="002173E5">
        <w:t>compared to a control with no fertilisation or cultivation for a given soil type and climate data.</w:t>
      </w:r>
    </w:p>
    <w:p w14:paraId="12E534FC" w14:textId="77777777" w:rsidR="007554EC" w:rsidRPr="007F16DF" w:rsidRDefault="007554EC" w:rsidP="007554EC">
      <w:pPr>
        <w:rPr>
          <w:b/>
          <w:bCs/>
        </w:rPr>
      </w:pPr>
      <w:r w:rsidRPr="007F16DF">
        <w:rPr>
          <w:b/>
          <w:bCs/>
        </w:rPr>
        <w:t>Results</w:t>
      </w:r>
    </w:p>
    <w:p w14:paraId="7E2E50C1" w14:textId="74206061" w:rsidR="00883D68" w:rsidRDefault="00D65222" w:rsidP="00011D7F">
      <w:pPr>
        <w:jc w:val="both"/>
      </w:pPr>
      <w:r>
        <w:t>Our</w:t>
      </w:r>
      <w:r w:rsidR="00E67BB8">
        <w:t xml:space="preserve"> adapted model</w:t>
      </w:r>
      <w:r w:rsidR="00D54D23">
        <w:t xml:space="preserve"> in this paper</w:t>
      </w:r>
      <w:r w:rsidR="00E67BB8">
        <w:t xml:space="preserve"> is fit</w:t>
      </w:r>
      <w:r w:rsidR="000A1306">
        <w:t>ted</w:t>
      </w:r>
      <w:r w:rsidR="00E67BB8">
        <w:t xml:space="preserve"> against experimental field trial data to produce a site specific model. A selection of fertiliser strategies are then simulated</w:t>
      </w:r>
      <w:r w:rsidR="00883D68">
        <w:t xml:space="preserve"> </w:t>
      </w:r>
      <w:r w:rsidR="00234C49">
        <w:t>using</w:t>
      </w:r>
      <w:r w:rsidR="00E67BB8">
        <w:t xml:space="preserve"> the model (Fig. 2), and values for plant P uptake are compared t</w:t>
      </w:r>
      <w:r w:rsidR="00883D68">
        <w:t>o predict which strategy might</w:t>
      </w:r>
      <w:r w:rsidR="00E67BB8">
        <w:t>,</w:t>
      </w:r>
      <w:r w:rsidR="00883D68">
        <w:t xml:space="preserve"> under certain </w:t>
      </w:r>
      <w:r w:rsidR="00EA3870">
        <w:t xml:space="preserve">climate </w:t>
      </w:r>
      <w:r w:rsidR="00883D68">
        <w:t>conditions</w:t>
      </w:r>
      <w:r w:rsidR="00E67BB8">
        <w:t>,</w:t>
      </w:r>
      <w:r w:rsidR="00883D68">
        <w:t xml:space="preserve"> </w:t>
      </w:r>
      <w:r w:rsidR="005C3641">
        <w:t>estimate</w:t>
      </w:r>
      <w:r w:rsidR="00883D68">
        <w:t xml:space="preserve"> the </w:t>
      </w:r>
      <w:r w:rsidR="00BD71E3">
        <w:t>highest</w:t>
      </w:r>
      <w:r w:rsidR="00883D68">
        <w:t xml:space="preserve"> </w:t>
      </w:r>
      <w:r w:rsidR="00E67BB8">
        <w:t xml:space="preserve">plant </w:t>
      </w:r>
      <w:r w:rsidR="004D3CEA">
        <w:t>P uptake.</w:t>
      </w:r>
      <w:r w:rsidR="00883D68">
        <w:t xml:space="preserve"> </w:t>
      </w:r>
    </w:p>
    <w:p w14:paraId="2BAA506A" w14:textId="37092ADE" w:rsidR="00794809" w:rsidRPr="00D5627A" w:rsidRDefault="00BF0379" w:rsidP="00011D7F">
      <w:pPr>
        <w:jc w:val="both"/>
      </w:pPr>
      <w:r>
        <w:t>By looking at the</w:t>
      </w:r>
      <w:r w:rsidR="00D5627A" w:rsidRPr="00D5627A">
        <w:t xml:space="preserve"> experimental data </w:t>
      </w:r>
      <w:r>
        <w:t>we find</w:t>
      </w:r>
      <w:r w:rsidR="00D5627A" w:rsidRPr="00D5627A">
        <w:t xml:space="preserve"> that the</w:t>
      </w:r>
      <w:r w:rsidR="00901FA8">
        <w:t xml:space="preserve"> initial</w:t>
      </w:r>
      <w:r w:rsidR="00D5627A" w:rsidRPr="00D5627A">
        <w:t xml:space="preserve"> P</w:t>
      </w:r>
      <w:r w:rsidR="00901FA8">
        <w:t xml:space="preserve"> distribution in the soil ha</w:t>
      </w:r>
      <w:r w:rsidR="00E54753">
        <w:t>s</w:t>
      </w:r>
      <w:r w:rsidR="00901FA8">
        <w:t xml:space="preserve"> a high c</w:t>
      </w:r>
      <w:r w:rsidR="00D5627A" w:rsidRPr="00D5627A">
        <w:t xml:space="preserve">oncentration at the top of the soil </w:t>
      </w:r>
      <w:r w:rsidR="00B1430F">
        <w:t>and then the concentration</w:t>
      </w:r>
      <w:r w:rsidR="00E54753">
        <w:t xml:space="preserve"> decays</w:t>
      </w:r>
      <w:r w:rsidR="00B1430F">
        <w:t xml:space="preserve"> with depth;</w:t>
      </w:r>
      <w:r w:rsidR="00D5627A" w:rsidRPr="00D5627A">
        <w:t xml:space="preserve"> at 1 m </w:t>
      </w:r>
      <w:r w:rsidR="00901FA8">
        <w:t>there is very</w:t>
      </w:r>
      <w:r w:rsidR="00D5627A" w:rsidRPr="00D5627A">
        <w:t xml:space="preserve"> little P</w:t>
      </w:r>
      <w:r w:rsidR="00B1430F">
        <w:t xml:space="preserve"> left</w:t>
      </w:r>
      <w:r w:rsidR="00040C2A">
        <w:t xml:space="preserve"> (Fig. 1)</w:t>
      </w:r>
      <w:r w:rsidR="00D5627A" w:rsidRPr="00D5627A">
        <w:t xml:space="preserve">. </w:t>
      </w:r>
      <w:r w:rsidR="000C7B38">
        <w:t>This de</w:t>
      </w:r>
      <w:r w:rsidR="00FC3BD3">
        <w:t xml:space="preserve">cay is much stronger for higher </w:t>
      </w:r>
      <w:r w:rsidR="000C7B38">
        <w:t>initial P concentrations, where</w:t>
      </w:r>
      <w:r w:rsidR="00213CD5">
        <w:t>as</w:t>
      </w:r>
      <w:r w:rsidR="000C7B38">
        <w:t xml:space="preserve"> at P index 1 there </w:t>
      </w:r>
      <w:r w:rsidR="0068780D">
        <w:t>are almost indistinguishable changes in the P distribution</w:t>
      </w:r>
      <w:r w:rsidR="000C7B38">
        <w:t xml:space="preserve"> (no decay). </w:t>
      </w:r>
      <w:r w:rsidR="00D5627A" w:rsidRPr="00D5627A">
        <w:t>To assess the difference</w:t>
      </w:r>
      <w:r w:rsidR="00F60ADC">
        <w:t xml:space="preserve"> at P index 1 between a constant and an exponentially decaying P profile</w:t>
      </w:r>
      <w:r w:rsidR="00794809" w:rsidRPr="00D5627A">
        <w:t>,</w:t>
      </w:r>
      <w:r w:rsidR="00D5627A" w:rsidRPr="00D5627A">
        <w:t xml:space="preserve"> we </w:t>
      </w:r>
      <w:r w:rsidR="00F60ADC">
        <w:t>will model both profiles. In each case (constant and exponentially decaying</w:t>
      </w:r>
      <w:r w:rsidR="004051D5">
        <w:t xml:space="preserve"> P profile</w:t>
      </w:r>
      <w:r w:rsidR="00901420">
        <w:t>s</w:t>
      </w:r>
      <w:r w:rsidR="00F60ADC">
        <w:t>) t</w:t>
      </w:r>
      <w:r w:rsidR="00040C2A">
        <w:t>he total P</w:t>
      </w:r>
      <w:r w:rsidR="00C4258F">
        <w:t xml:space="preserve"> </w:t>
      </w:r>
      <w:r w:rsidR="00901FA8">
        <w:t>down</w:t>
      </w:r>
      <w:r w:rsidR="00C4258F">
        <w:t xml:space="preserve"> to 0.55</w:t>
      </w:r>
      <w:r w:rsidR="00F60ADC">
        <w:t xml:space="preserve"> m</w:t>
      </w:r>
      <w:r w:rsidR="00C4258F">
        <w:t xml:space="preserve"> </w:t>
      </w:r>
      <w:r w:rsidR="00247E14">
        <w:t>is ke</w:t>
      </w:r>
      <w:r w:rsidR="00040C2A">
        <w:t>p</w:t>
      </w:r>
      <w:r w:rsidR="00247E14">
        <w:t>t</w:t>
      </w:r>
      <w:r w:rsidR="00040C2A">
        <w:t xml:space="preserve"> </w:t>
      </w:r>
      <w:r w:rsidR="003D3A59">
        <w:t>identical</w:t>
      </w:r>
      <w:r w:rsidR="00901FA8">
        <w:t xml:space="preserve"> to represent similar amounts of </w:t>
      </w:r>
      <w:r w:rsidR="00F60ADC">
        <w:t xml:space="preserve">P being </w:t>
      </w:r>
      <w:r w:rsidR="00901FA8">
        <w:t>available</w:t>
      </w:r>
      <w:r w:rsidR="00F60ADC">
        <w:t xml:space="preserve"> </w:t>
      </w:r>
      <w:r w:rsidR="00901FA8">
        <w:t>to the root system</w:t>
      </w:r>
      <w:r w:rsidR="00F60ADC">
        <w:t xml:space="preserve">. </w:t>
      </w:r>
      <w:r w:rsidR="00127295">
        <w:t xml:space="preserve"> </w:t>
      </w:r>
      <w:r w:rsidR="00F60ADC">
        <w:t>The P profile</w:t>
      </w:r>
      <w:r w:rsidR="00901420">
        <w:t>s</w:t>
      </w:r>
      <w:r w:rsidR="00F60ADC">
        <w:t xml:space="preserve"> for a constant and exponentially decaying distribution </w:t>
      </w:r>
      <w:r w:rsidR="00901420">
        <w:t>are</w:t>
      </w:r>
      <w:r w:rsidR="00F60ADC">
        <w:t xml:space="preserve"> </w:t>
      </w:r>
      <w:r w:rsidR="00127295">
        <w:t>represented in Fig. 5</w:t>
      </w:r>
      <w:r w:rsidR="00F60ADC">
        <w:t xml:space="preserve">a and 5c, respectively, </w:t>
      </w:r>
      <w:r w:rsidR="00A65792">
        <w:t>for</w:t>
      </w:r>
      <w:r w:rsidR="00F60ADC">
        <w:t xml:space="preserve"> time = 0 days. </w:t>
      </w:r>
    </w:p>
    <w:p w14:paraId="51DCF892" w14:textId="56B213A5" w:rsidR="001416D1" w:rsidRPr="004D431D" w:rsidRDefault="00CD0FDE" w:rsidP="00472110">
      <w:pPr>
        <w:jc w:val="both"/>
      </w:pPr>
      <w:r>
        <w:t>The model fits t</w:t>
      </w:r>
      <w:r w:rsidR="001416D1">
        <w:t>he winter barley data be</w:t>
      </w:r>
      <w:r w:rsidR="005A1AE9">
        <w:t>tter</w:t>
      </w:r>
      <w:r w:rsidR="001416D1">
        <w:t xml:space="preserve"> at </w:t>
      </w:r>
      <w:r w:rsidR="00901FA8">
        <w:t xml:space="preserve">growth stage </w:t>
      </w:r>
      <w:r w:rsidR="001416D1">
        <w:t>39</w:t>
      </w:r>
      <w:r w:rsidR="007A30AB">
        <w:t xml:space="preserve"> (GS 39)</w:t>
      </w:r>
      <w:r w:rsidR="001416D1">
        <w:t xml:space="preserve"> </w:t>
      </w:r>
      <w:r w:rsidR="007C56A9">
        <w:t>compared with growth stage 92 (GS 92). At GS 39 the</w:t>
      </w:r>
      <w:r w:rsidR="001416D1">
        <w:t xml:space="preserve"> model predictions are within the error bars</w:t>
      </w:r>
      <w:r w:rsidR="003C3111">
        <w:t xml:space="preserve"> </w:t>
      </w:r>
      <w:r w:rsidR="00D54D23">
        <w:t xml:space="preserve">with the </w:t>
      </w:r>
      <w:r w:rsidR="003C3111">
        <w:t>ex</w:t>
      </w:r>
      <w:r w:rsidR="007C56A9">
        <w:t>c</w:t>
      </w:r>
      <w:r w:rsidR="003C3111">
        <w:t>e</w:t>
      </w:r>
      <w:r w:rsidR="007C56A9">
        <w:t>p</w:t>
      </w:r>
      <w:r w:rsidR="003C3111">
        <w:t>t</w:t>
      </w:r>
      <w:r w:rsidR="00D54D23">
        <w:t>ion of</w:t>
      </w:r>
      <w:r w:rsidR="003C3111">
        <w:t xml:space="preserve"> </w:t>
      </w:r>
      <w:r w:rsidR="00B724B5">
        <w:t>the 30 kg</w:t>
      </w:r>
      <w:r w:rsidR="00BC372A">
        <w:t xml:space="preserve"> P</w:t>
      </w:r>
      <w:r w:rsidR="00FD6254">
        <w:t xml:space="preserve"> </w:t>
      </w:r>
      <w:r w:rsidR="00B724B5">
        <w:t>ha</w:t>
      </w:r>
      <w:r w:rsidR="00FD6254" w:rsidRPr="008A048F">
        <w:rPr>
          <w:vertAlign w:val="superscript"/>
        </w:rPr>
        <w:t>-1</w:t>
      </w:r>
      <w:r w:rsidR="00B724B5">
        <w:t xml:space="preserve"> placed</w:t>
      </w:r>
      <w:r w:rsidR="001416D1">
        <w:t xml:space="preserve"> </w:t>
      </w:r>
      <w:r w:rsidR="00D54D23">
        <w:t xml:space="preserve">scenario </w:t>
      </w:r>
      <w:r w:rsidR="001416D1">
        <w:t xml:space="preserve">(Fig. </w:t>
      </w:r>
      <w:r w:rsidR="007E37B2">
        <w:t>3</w:t>
      </w:r>
      <w:r w:rsidR="008E27CC">
        <w:t>a</w:t>
      </w:r>
      <w:r w:rsidR="001416D1">
        <w:t xml:space="preserve">). </w:t>
      </w:r>
      <w:r w:rsidR="007C56A9">
        <w:t>A</w:t>
      </w:r>
      <w:r w:rsidR="001416D1">
        <w:t>t GS 9</w:t>
      </w:r>
      <w:r w:rsidR="00B724B5">
        <w:t>2</w:t>
      </w:r>
      <w:r w:rsidR="001416D1">
        <w:t xml:space="preserve"> the model under predicts </w:t>
      </w:r>
      <w:r w:rsidR="00B724B5">
        <w:t xml:space="preserve">on all scenarios, but </w:t>
      </w:r>
      <w:r w:rsidR="00101789">
        <w:t>follows</w:t>
      </w:r>
      <w:r w:rsidR="005A1AE9">
        <w:t xml:space="preserve"> the</w:t>
      </w:r>
      <w:r w:rsidR="00B724B5">
        <w:t xml:space="preserve"> </w:t>
      </w:r>
      <w:r w:rsidR="005A1AE9">
        <w:t>trend of</w:t>
      </w:r>
      <w:r w:rsidR="00B724B5">
        <w:t xml:space="preserve"> increas</w:t>
      </w:r>
      <w:r w:rsidR="00101789">
        <w:t>ing</w:t>
      </w:r>
      <w:r w:rsidR="00B724B5">
        <w:t xml:space="preserve"> </w:t>
      </w:r>
      <w:r w:rsidR="005A1AE9">
        <w:t xml:space="preserve">plant P </w:t>
      </w:r>
      <w:r w:rsidR="00B724B5">
        <w:t>uptake</w:t>
      </w:r>
      <w:r w:rsidR="00101789">
        <w:t xml:space="preserve"> values</w:t>
      </w:r>
      <w:r w:rsidR="00B724B5">
        <w:t xml:space="preserve"> for </w:t>
      </w:r>
      <w:r w:rsidR="005A1AE9">
        <w:t>increasing</w:t>
      </w:r>
      <w:r w:rsidR="00B724B5">
        <w:t xml:space="preserve"> amounts of TSP applied</w:t>
      </w:r>
      <w:r w:rsidR="008E27CC">
        <w:t xml:space="preserve"> (Fig. 3b)</w:t>
      </w:r>
      <w:r w:rsidR="00B724B5">
        <w:t xml:space="preserve">. </w:t>
      </w:r>
      <w:r w:rsidR="006C4801">
        <w:t xml:space="preserve">The main reason for the under prediction stems from the unknown parameters, which include soil buffer power and the initial </w:t>
      </w:r>
      <w:r w:rsidR="00BD02D3">
        <w:t xml:space="preserve">P </w:t>
      </w:r>
      <w:r w:rsidR="006C4801">
        <w:t>profile in the soil.</w:t>
      </w:r>
      <w:r w:rsidR="0000651E">
        <w:t xml:space="preserve"> Other plant factors, such as root exudates or mycorrhizae, could also have increased P availability and hence plant P uptake but are not taken into account within the model</w:t>
      </w:r>
      <w:r w:rsidR="00472110">
        <w:t xml:space="preserve"> since they were not monitored and quantified in the experiments</w:t>
      </w:r>
      <w:r w:rsidR="0000651E">
        <w:t>.</w:t>
      </w:r>
      <w:r w:rsidR="00472110">
        <w:t xml:space="preserve"> Wheat is not thought to be strongly </w:t>
      </w:r>
      <w:proofErr w:type="spellStart"/>
      <w:r w:rsidR="00472110">
        <w:t>mycorrhizal</w:t>
      </w:r>
      <w:proofErr w:type="spellEnd"/>
      <w:r w:rsidR="00472110">
        <w:t xml:space="preserve"> </w:t>
      </w:r>
      <w:r w:rsidR="002A5469">
        <w:t xml:space="preserve">(Li </w:t>
      </w:r>
      <w:r w:rsidR="002A5469" w:rsidRPr="008A048F">
        <w:rPr>
          <w:i/>
          <w:iCs/>
        </w:rPr>
        <w:t>et al.</w:t>
      </w:r>
      <w:r w:rsidR="002A5469">
        <w:t xml:space="preserve">, 2005) </w:t>
      </w:r>
      <w:r w:rsidR="00472110">
        <w:t xml:space="preserve">and </w:t>
      </w:r>
      <w:r w:rsidR="002A5469">
        <w:t xml:space="preserve">conceivably </w:t>
      </w:r>
      <w:r w:rsidR="00472110">
        <w:t>neither is barley.</w:t>
      </w:r>
      <w:r w:rsidR="0000651E">
        <w:t xml:space="preserve"> </w:t>
      </w:r>
      <w:r w:rsidR="002D7E13">
        <w:t xml:space="preserve">The </w:t>
      </w:r>
      <w:r w:rsidR="00BD02D3">
        <w:t>initial</w:t>
      </w:r>
      <w:r w:rsidR="002D7E13">
        <w:t xml:space="preserve"> P</w:t>
      </w:r>
      <w:r w:rsidR="00BD02D3">
        <w:t xml:space="preserve"> profile</w:t>
      </w:r>
      <w:r w:rsidR="002D7E13">
        <w:t xml:space="preserve">, </w:t>
      </w:r>
      <w:r w:rsidR="00BD02D3">
        <w:t>at</w:t>
      </w:r>
      <w:r w:rsidR="002D7E13">
        <w:t xml:space="preserve"> index 1, is depleted before the end of harvest and </w:t>
      </w:r>
      <w:r w:rsidR="00B42941">
        <w:t>the final</w:t>
      </w:r>
      <w:r w:rsidR="002D7E13">
        <w:t xml:space="preserve"> total </w:t>
      </w:r>
      <w:r w:rsidR="00BD02D3">
        <w:t xml:space="preserve">plant </w:t>
      </w:r>
      <w:r w:rsidR="002D7E13">
        <w:t>P uptake is</w:t>
      </w:r>
      <w:r w:rsidR="007E37B2">
        <w:t xml:space="preserve"> therefore</w:t>
      </w:r>
      <w:r w:rsidR="00BD02D3">
        <w:t xml:space="preserve"> capped. This depletion effect is also</w:t>
      </w:r>
      <w:r w:rsidR="002D7E13">
        <w:t xml:space="preserve"> s</w:t>
      </w:r>
      <w:r w:rsidR="00A509FF">
        <w:t xml:space="preserve">een when </w:t>
      </w:r>
      <w:r w:rsidR="00BD02D3">
        <w:t xml:space="preserve">modelling the </w:t>
      </w:r>
      <w:r w:rsidR="002D7E13">
        <w:t>spring barley</w:t>
      </w:r>
      <w:r w:rsidR="00BD02D3">
        <w:t xml:space="preserve"> data</w:t>
      </w:r>
      <w:r w:rsidR="00EA020B">
        <w:t xml:space="preserve"> (Fig. 4b, 4c)</w:t>
      </w:r>
      <w:r w:rsidR="00BD02D3">
        <w:t xml:space="preserve">, and </w:t>
      </w:r>
      <w:r w:rsidR="002D7E13">
        <w:t xml:space="preserve">in addition at GS 31 the model fails to capture the effects </w:t>
      </w:r>
      <w:r w:rsidR="00B42941">
        <w:t>between</w:t>
      </w:r>
      <w:r w:rsidR="002D7E13">
        <w:t xml:space="preserve"> </w:t>
      </w:r>
      <w:r w:rsidR="00B42941">
        <w:t>small and large</w:t>
      </w:r>
      <w:r w:rsidR="002D7E13">
        <w:t xml:space="preserve"> amounts </w:t>
      </w:r>
      <w:r w:rsidR="002D7E13">
        <w:lastRenderedPageBreak/>
        <w:t xml:space="preserve">of TSP applied, fitting </w:t>
      </w:r>
      <w:r w:rsidR="00BD02D3">
        <w:t xml:space="preserve">well </w:t>
      </w:r>
      <w:r w:rsidR="002D7E13">
        <w:t>at 0-20 kg</w:t>
      </w:r>
      <w:r w:rsidR="00FD6254">
        <w:t xml:space="preserve"> </w:t>
      </w:r>
      <w:r w:rsidR="002D7E13">
        <w:t>ha</w:t>
      </w:r>
      <w:r w:rsidR="00FD6254" w:rsidRPr="008A048F">
        <w:rPr>
          <w:vertAlign w:val="superscript"/>
        </w:rPr>
        <w:t>-1</w:t>
      </w:r>
      <w:r w:rsidR="006F0E48">
        <w:t>,</w:t>
      </w:r>
      <w:r w:rsidR="002D7E13">
        <w:t xml:space="preserve"> but not at 30-90 kg</w:t>
      </w:r>
      <w:r w:rsidR="00FD6254">
        <w:t xml:space="preserve"> </w:t>
      </w:r>
      <w:r w:rsidR="002D7E13">
        <w:t>ha</w:t>
      </w:r>
      <w:r w:rsidR="00FD6254" w:rsidRPr="008A048F">
        <w:rPr>
          <w:vertAlign w:val="superscript"/>
        </w:rPr>
        <w:t>-1</w:t>
      </w:r>
      <w:r w:rsidR="00AE4BBF">
        <w:t xml:space="preserve"> (Fig. 4</w:t>
      </w:r>
      <w:r w:rsidR="00EA020B">
        <w:t>a</w:t>
      </w:r>
      <w:r w:rsidR="00AE4BBF">
        <w:t>)</w:t>
      </w:r>
      <w:r w:rsidR="002D7E13">
        <w:t>.</w:t>
      </w:r>
      <w:r w:rsidR="00612762">
        <w:t xml:space="preserve"> In regards to the spring barley crop, GS 31 is only a short time of 61 days and this is perhaps why little effects are seen between modelling different amounts of applied TSP. The amount of available P is unaffected by an additional supply as there is only a small root system generated by GS 31.</w:t>
      </w:r>
      <w:r w:rsidR="002D7E13">
        <w:t xml:space="preserve"> </w:t>
      </w:r>
      <w:r w:rsidR="00BD02D3">
        <w:t xml:space="preserve">The </w:t>
      </w:r>
      <w:r w:rsidR="00093173">
        <w:t xml:space="preserve">plant P uptake estimate </w:t>
      </w:r>
      <w:r w:rsidR="00316273">
        <w:t>from the model</w:t>
      </w:r>
      <w:r w:rsidR="009203A7">
        <w:t>,</w:t>
      </w:r>
      <w:r w:rsidR="00316273">
        <w:t xml:space="preserve"> </w:t>
      </w:r>
      <w:r w:rsidR="00827816">
        <w:t xml:space="preserve">on </w:t>
      </w:r>
      <w:r w:rsidR="00612762">
        <w:t xml:space="preserve">average </w:t>
      </w:r>
      <w:r w:rsidR="00BD687A">
        <w:t>de</w:t>
      </w:r>
      <w:r w:rsidR="00612762">
        <w:t>creas</w:t>
      </w:r>
      <w:r w:rsidR="00827816">
        <w:t>es</w:t>
      </w:r>
      <w:r w:rsidR="00612762">
        <w:t xml:space="preserve"> from </w:t>
      </w:r>
      <w:r w:rsidR="00AA519C">
        <w:t>a constant</w:t>
      </w:r>
      <w:r w:rsidR="00612762">
        <w:t xml:space="preserve"> P</w:t>
      </w:r>
      <w:r w:rsidR="00AA519C">
        <w:t xml:space="preserve"> </w:t>
      </w:r>
      <w:r w:rsidR="000E4641">
        <w:t>distribution</w:t>
      </w:r>
      <w:r w:rsidR="00B42941">
        <w:t xml:space="preserve"> </w:t>
      </w:r>
      <w:r w:rsidR="00612762">
        <w:t>to a</w:t>
      </w:r>
      <w:r w:rsidR="00B42941">
        <w:t>n exponentially</w:t>
      </w:r>
      <w:r w:rsidR="00AA519C">
        <w:t xml:space="preserve"> decaying </w:t>
      </w:r>
      <w:r w:rsidR="00612762">
        <w:t xml:space="preserve">P </w:t>
      </w:r>
      <w:r w:rsidR="000E4641">
        <w:t>distribution</w:t>
      </w:r>
      <w:r w:rsidR="00AA519C">
        <w:t xml:space="preserve">. </w:t>
      </w:r>
      <w:r w:rsidR="00827816">
        <w:t>There is</w:t>
      </w:r>
      <w:r w:rsidR="00824765">
        <w:t xml:space="preserve"> a </w:t>
      </w:r>
      <w:r w:rsidR="00BD687A">
        <w:t>de</w:t>
      </w:r>
      <w:r w:rsidR="00824765">
        <w:t xml:space="preserve">crease of 4.7% (GS 39) and 18.3% (GS 92) for winter barley, and </w:t>
      </w:r>
      <w:r w:rsidR="00BD687A">
        <w:t>-</w:t>
      </w:r>
      <w:r w:rsidR="00824765">
        <w:t xml:space="preserve">10.5% (GS 31), </w:t>
      </w:r>
      <w:r w:rsidR="00BD687A">
        <w:t>-</w:t>
      </w:r>
      <w:r w:rsidR="00824765">
        <w:t>12.3% (GS 45) and 5% (GS 91)</w:t>
      </w:r>
      <w:r w:rsidR="00BD687A">
        <w:t xml:space="preserve"> for spring barley. The </w:t>
      </w:r>
      <w:r w:rsidR="00712C4D">
        <w:t>reason for a negative value (</w:t>
      </w:r>
      <w:r w:rsidR="006F0E48">
        <w:t xml:space="preserve">i.e. decrease as opposed to </w:t>
      </w:r>
      <w:r w:rsidR="00712C4D">
        <w:t xml:space="preserve">increase in plant P uptake) for spring barley at GS 31 and 45 is </w:t>
      </w:r>
      <w:r w:rsidR="007D74C6">
        <w:t>because the</w:t>
      </w:r>
      <w:r w:rsidR="00712C4D">
        <w:t xml:space="preserve"> root system</w:t>
      </w:r>
      <w:r w:rsidR="007D74C6">
        <w:t xml:space="preserve"> is small</w:t>
      </w:r>
      <w:r w:rsidR="00712C4D">
        <w:t xml:space="preserve">, and as a consequence the P deeper in the soil profile has </w:t>
      </w:r>
      <w:r w:rsidR="007D74C6">
        <w:t>not been</w:t>
      </w:r>
      <w:r w:rsidR="00712C4D">
        <w:t xml:space="preserve"> utilised. </w:t>
      </w:r>
    </w:p>
    <w:p w14:paraId="084D5F55" w14:textId="44CEC66D" w:rsidR="00015585" w:rsidRDefault="00015585" w:rsidP="00011D7F">
      <w:pPr>
        <w:jc w:val="both"/>
      </w:pPr>
      <w:r>
        <w:t>The depletion of P for different initial P profiles can be se</w:t>
      </w:r>
      <w:r w:rsidR="004051C0">
        <w:t>en in Fig.</w:t>
      </w:r>
      <w:r>
        <w:t xml:space="preserve"> 5. In a low </w:t>
      </w:r>
      <w:r w:rsidR="00290132">
        <w:t xml:space="preserve">P content </w:t>
      </w:r>
      <w:r>
        <w:t xml:space="preserve">soil (P1) with </w:t>
      </w:r>
      <w:r w:rsidR="00AD1291">
        <w:t>an exponentially decaying</w:t>
      </w:r>
      <w:r>
        <w:t xml:space="preserve"> initial</w:t>
      </w:r>
      <w:r w:rsidR="00AA22DA">
        <w:t xml:space="preserve"> P distribution</w:t>
      </w:r>
      <w:r>
        <w:t xml:space="preserve"> there is a reduction in </w:t>
      </w:r>
      <w:r w:rsidR="00DF7B5D">
        <w:t xml:space="preserve">the </w:t>
      </w:r>
      <w:r w:rsidR="00613B17">
        <w:t xml:space="preserve">plant </w:t>
      </w:r>
      <w:r>
        <w:t xml:space="preserve">P uptake </w:t>
      </w:r>
      <w:r w:rsidR="00EA42CA">
        <w:t xml:space="preserve">rate </w:t>
      </w:r>
      <w:r>
        <w:t xml:space="preserve">after </w:t>
      </w:r>
      <w:r w:rsidR="00EA42CA">
        <w:t xml:space="preserve">147 days. This is </w:t>
      </w:r>
      <w:r w:rsidR="00B42941">
        <w:t xml:space="preserve">because the majority of </w:t>
      </w:r>
      <w:r w:rsidR="00EA42CA">
        <w:t xml:space="preserve">the available P </w:t>
      </w:r>
      <w:r w:rsidR="00B42941">
        <w:t>is</w:t>
      </w:r>
      <w:r w:rsidR="00EA42CA">
        <w:t xml:space="preserve"> taken up at an early growth stage. This effect is not</w:t>
      </w:r>
      <w:r w:rsidR="00AD1291">
        <w:t xml:space="preserve"> seen </w:t>
      </w:r>
      <w:r w:rsidR="00613B17">
        <w:t>with a</w:t>
      </w:r>
      <w:r w:rsidR="00AD1291">
        <w:t xml:space="preserve"> </w:t>
      </w:r>
      <w:r>
        <w:t>constant initial</w:t>
      </w:r>
      <w:r w:rsidR="00613B17">
        <w:t xml:space="preserve"> P distribution</w:t>
      </w:r>
      <w:r>
        <w:t xml:space="preserve"> </w:t>
      </w:r>
      <w:r w:rsidR="00EA42CA">
        <w:t xml:space="preserve">as P is spread out more evenly with </w:t>
      </w:r>
      <w:r w:rsidR="00FA4F10">
        <w:t>depth;</w:t>
      </w:r>
      <w:r w:rsidR="00EA42CA">
        <w:t xml:space="preserve"> however the available P is still all taken up</w:t>
      </w:r>
      <w:r w:rsidR="00B42941">
        <w:t xml:space="preserve"> by the end of the simulation (GS 92, 3</w:t>
      </w:r>
      <w:r w:rsidR="009D5D5C">
        <w:t>13</w:t>
      </w:r>
      <w:r w:rsidR="00B42941">
        <w:t xml:space="preserve"> days)</w:t>
      </w:r>
      <w:r>
        <w:t>.</w:t>
      </w:r>
      <w:r w:rsidR="00EA42CA">
        <w:t xml:space="preserve"> For a high </w:t>
      </w:r>
      <w:r>
        <w:t xml:space="preserve">P </w:t>
      </w:r>
      <w:r w:rsidR="001F59C4">
        <w:t>content soil</w:t>
      </w:r>
      <w:r>
        <w:t xml:space="preserve"> (P3) </w:t>
      </w:r>
      <w:r w:rsidR="00EA42CA">
        <w:t xml:space="preserve">there is no </w:t>
      </w:r>
      <w:r w:rsidR="00DF7B5D">
        <w:t>decrease</w:t>
      </w:r>
      <w:r w:rsidR="00EA42CA">
        <w:t xml:space="preserve"> in </w:t>
      </w:r>
      <w:r w:rsidR="00DF7B5D">
        <w:t xml:space="preserve">the plant </w:t>
      </w:r>
      <w:r w:rsidR="00EA42CA">
        <w:t xml:space="preserve">P uptake rate and most of the available P is taken up by the root system. </w:t>
      </w:r>
    </w:p>
    <w:p w14:paraId="2538C7A4" w14:textId="08A8813A" w:rsidR="00720992" w:rsidRDefault="00794809" w:rsidP="00FD6254">
      <w:pPr>
        <w:jc w:val="both"/>
      </w:pPr>
      <w:r w:rsidRPr="007D0D30">
        <w:t>We test</w:t>
      </w:r>
      <w:r w:rsidR="007D0D30" w:rsidRPr="007D0D30">
        <w:t>ed</w:t>
      </w:r>
      <w:r w:rsidRPr="007D0D30">
        <w:t xml:space="preserve"> the sensitivity of th</w:t>
      </w:r>
      <w:r w:rsidR="007D0D30" w:rsidRPr="007D0D30">
        <w:t>e model</w:t>
      </w:r>
      <w:r w:rsidR="00C65D17">
        <w:t xml:space="preserve"> output, plant P uptake,</w:t>
      </w:r>
      <w:r w:rsidR="007D0D30" w:rsidRPr="007D0D30">
        <w:t xml:space="preserve"> </w:t>
      </w:r>
      <w:r w:rsidR="007D0D30">
        <w:t xml:space="preserve">for two </w:t>
      </w:r>
      <w:r w:rsidR="007D0D30" w:rsidRPr="007D0D30">
        <w:t>different parameters</w:t>
      </w:r>
      <w:r w:rsidR="007D0D30">
        <w:t xml:space="preserve"> (</w:t>
      </w:r>
      <w:r w:rsidR="005C3ADC">
        <w:t xml:space="preserve">soil </w:t>
      </w:r>
      <w:r w:rsidR="007D0D30">
        <w:t xml:space="preserve">buffer power and initial </w:t>
      </w:r>
      <w:r w:rsidR="000D558C">
        <w:t>volumetric soil water content</w:t>
      </w:r>
      <w:r w:rsidR="007D0D30">
        <w:t>)</w:t>
      </w:r>
      <w:r w:rsidR="007D0D30" w:rsidRPr="007D0D30">
        <w:t xml:space="preserve"> to see if unknown or badly measured parameters would </w:t>
      </w:r>
      <w:r w:rsidR="00C65D17">
        <w:t>have an effect</w:t>
      </w:r>
      <w:r w:rsidR="007D0D30" w:rsidRPr="007D0D30">
        <w:t xml:space="preserve">. </w:t>
      </w:r>
      <w:r w:rsidR="00987F7B">
        <w:t xml:space="preserve">We </w:t>
      </w:r>
      <w:r w:rsidR="0058201F">
        <w:t>compared</w:t>
      </w:r>
      <w:r w:rsidR="00987F7B">
        <w:t xml:space="preserve"> four different </w:t>
      </w:r>
      <w:r w:rsidR="005C3ADC">
        <w:t xml:space="preserve">soil </w:t>
      </w:r>
      <w:r w:rsidR="00987F7B">
        <w:t xml:space="preserve">buffer power values 20, 23.28, 30 and 40 and </w:t>
      </w:r>
      <w:r w:rsidR="007D0D30" w:rsidRPr="007D0D30">
        <w:t xml:space="preserve">found that </w:t>
      </w:r>
      <w:r w:rsidR="00C65D17">
        <w:t>plant P uptake</w:t>
      </w:r>
      <w:r w:rsidR="00720992">
        <w:t xml:space="preserve"> </w:t>
      </w:r>
      <w:r w:rsidR="00987F7B">
        <w:t>is</w:t>
      </w:r>
      <w:r w:rsidR="00720992">
        <w:t xml:space="preserve"> </w:t>
      </w:r>
      <w:r w:rsidR="00461E1F">
        <w:t xml:space="preserve">very </w:t>
      </w:r>
      <w:r w:rsidR="00720992">
        <w:t>sensitive to the</w:t>
      </w:r>
      <w:r w:rsidR="005C3ADC">
        <w:t xml:space="preserve"> soil</w:t>
      </w:r>
      <w:r w:rsidR="00720992">
        <w:t xml:space="preserve"> buffer power value</w:t>
      </w:r>
      <w:r w:rsidR="00752840">
        <w:t xml:space="preserve"> (Fig. </w:t>
      </w:r>
      <w:r w:rsidR="00205D42">
        <w:t>6</w:t>
      </w:r>
      <w:r w:rsidR="00040C2A">
        <w:t>a</w:t>
      </w:r>
      <w:r w:rsidR="00987F7B">
        <w:t xml:space="preserve">). </w:t>
      </w:r>
      <w:r w:rsidR="00B42941">
        <w:t>Plant</w:t>
      </w:r>
      <w:r w:rsidR="00720992">
        <w:t xml:space="preserve"> P uptake</w:t>
      </w:r>
      <w:r w:rsidR="00987F7B">
        <w:t xml:space="preserve"> values</w:t>
      </w:r>
      <w:r w:rsidR="00720992">
        <w:t xml:space="preserve"> at GS39 ra</w:t>
      </w:r>
      <w:r w:rsidR="006C0673">
        <w:t>nge</w:t>
      </w:r>
      <w:r w:rsidR="00987F7B">
        <w:t>d</w:t>
      </w:r>
      <w:r w:rsidR="006C0673">
        <w:t xml:space="preserve"> between </w:t>
      </w:r>
      <w:r w:rsidR="00B42941">
        <w:t>8-12 kg</w:t>
      </w:r>
      <w:r w:rsidR="00EB1D75">
        <w:t xml:space="preserve"> P</w:t>
      </w:r>
      <w:r w:rsidR="00FD6254">
        <w:t xml:space="preserve"> </w:t>
      </w:r>
      <w:r w:rsidR="00B42941">
        <w:t>ha</w:t>
      </w:r>
      <w:r w:rsidR="00FD6254" w:rsidRPr="008A048F">
        <w:rPr>
          <w:vertAlign w:val="superscript"/>
        </w:rPr>
        <w:t>-1</w:t>
      </w:r>
      <w:r w:rsidR="00B42941">
        <w:t xml:space="preserve">, a large difference for only a small change </w:t>
      </w:r>
      <w:r w:rsidR="00987F7B">
        <w:t xml:space="preserve">in </w:t>
      </w:r>
      <w:r w:rsidR="00213CD5">
        <w:t>realistically</w:t>
      </w:r>
      <w:r w:rsidR="00B42941">
        <w:t xml:space="preserve"> measured </w:t>
      </w:r>
      <w:r w:rsidR="005C3ADC">
        <w:t xml:space="preserve">soil </w:t>
      </w:r>
      <w:r w:rsidR="00B42941">
        <w:t>buffer power</w:t>
      </w:r>
      <w:r w:rsidR="00F4559B">
        <w:t xml:space="preserve"> values</w:t>
      </w:r>
      <w:r w:rsidR="00B42941">
        <w:t xml:space="preserve">. </w:t>
      </w:r>
    </w:p>
    <w:p w14:paraId="0E4FA6D0" w14:textId="3D768289" w:rsidR="00CF4DC2" w:rsidRDefault="00461E1F" w:rsidP="00011D7F">
      <w:pPr>
        <w:jc w:val="both"/>
      </w:pPr>
      <w:r>
        <w:t>We also changed t</w:t>
      </w:r>
      <w:r w:rsidR="00CF4DC2">
        <w:t>he initial volumetric soil water content , however little differences of 1% are seen between starting values of 0.1 to 0.5</w:t>
      </w:r>
      <w:r w:rsidR="00897869">
        <w:t xml:space="preserve"> (Fig.</w:t>
      </w:r>
      <w:r w:rsidR="00205D42">
        <w:t>6b</w:t>
      </w:r>
      <w:r w:rsidR="00897869">
        <w:t>)</w:t>
      </w:r>
      <w:r w:rsidR="00CF4DC2">
        <w:t>. Th</w:t>
      </w:r>
      <w:r w:rsidR="00FE5D25">
        <w:t>us, the initial volumetric soil water content</w:t>
      </w:r>
      <w:r w:rsidR="00C00A5A">
        <w:t xml:space="preserve"> </w:t>
      </w:r>
      <w:r w:rsidR="00D01C08">
        <w:t>has</w:t>
      </w:r>
      <w:r w:rsidR="00C00A5A">
        <w:t xml:space="preserve"> little effect on plant P uptake</w:t>
      </w:r>
      <w:r w:rsidR="00FE5D25">
        <w:t>.</w:t>
      </w:r>
      <w:r w:rsidR="00CF4DC2">
        <w:t xml:space="preserve"> </w:t>
      </w:r>
      <w:r w:rsidR="00FE5D25">
        <w:t>Instead</w:t>
      </w:r>
      <w:r w:rsidR="008F12BD">
        <w:t>,</w:t>
      </w:r>
      <w:r w:rsidR="00FE5D25">
        <w:t xml:space="preserve"> the climate </w:t>
      </w:r>
      <w:r w:rsidR="008F12BD">
        <w:t xml:space="preserve">conditions </w:t>
      </w:r>
      <w:r w:rsidR="00CF4DC2">
        <w:t>th</w:t>
      </w:r>
      <w:r w:rsidR="004B34E8">
        <w:t>r</w:t>
      </w:r>
      <w:r w:rsidR="00CF4DC2">
        <w:t>ough</w:t>
      </w:r>
      <w:r w:rsidR="004B34E8">
        <w:t>ou</w:t>
      </w:r>
      <w:r w:rsidR="008F12BD">
        <w:t>t the cropping season</w:t>
      </w:r>
      <w:r w:rsidR="00D01C08">
        <w:t xml:space="preserve"> </w:t>
      </w:r>
      <w:r w:rsidR="00FB1A47">
        <w:t>affect</w:t>
      </w:r>
      <w:r w:rsidR="004B34E8">
        <w:t xml:space="preserve"> </w:t>
      </w:r>
      <w:r w:rsidR="007A30AB">
        <w:t>plant</w:t>
      </w:r>
      <w:r w:rsidR="004B34E8">
        <w:t xml:space="preserve"> P uptake</w:t>
      </w:r>
      <w:r w:rsidR="008F12BD">
        <w:t xml:space="preserve"> </w:t>
      </w:r>
      <w:r w:rsidR="00FB1A47">
        <w:t>as discussed below</w:t>
      </w:r>
      <w:r w:rsidR="004B34E8">
        <w:t>.</w:t>
      </w:r>
    </w:p>
    <w:p w14:paraId="20BF30F0" w14:textId="6AEA130F" w:rsidR="00CF4DC2" w:rsidRPr="00720992" w:rsidRDefault="00461E1F" w:rsidP="00FD6254">
      <w:pPr>
        <w:jc w:val="both"/>
      </w:pPr>
      <w:r>
        <w:t>We run the model</w:t>
      </w:r>
      <w:r w:rsidR="00161360">
        <w:t xml:space="preserve"> </w:t>
      </w:r>
      <w:r w:rsidR="00CF4DC2">
        <w:t>for a range of fertiliser and</w:t>
      </w:r>
      <w:r w:rsidR="0008724C">
        <w:t xml:space="preserve"> soil</w:t>
      </w:r>
      <w:r w:rsidR="00CF4DC2">
        <w:t xml:space="preserve"> cultivation strategies under wet and </w:t>
      </w:r>
      <w:r w:rsidR="007A30AB">
        <w:t>normal</w:t>
      </w:r>
      <w:r w:rsidR="00CF4DC2">
        <w:t xml:space="preserve"> climate </w:t>
      </w:r>
      <w:r w:rsidR="0008724C">
        <w:t>conditions</w:t>
      </w:r>
      <w:r w:rsidR="007C34FE">
        <w:t xml:space="preserve"> </w:t>
      </w:r>
      <w:r w:rsidR="00887452">
        <w:t>at</w:t>
      </w:r>
      <w:r w:rsidR="002F6B6A">
        <w:t xml:space="preserve"> GS</w:t>
      </w:r>
      <w:r w:rsidR="007A30AB">
        <w:t xml:space="preserve"> </w:t>
      </w:r>
      <w:r w:rsidR="000D6465">
        <w:t>92</w:t>
      </w:r>
      <w:r w:rsidR="00603174">
        <w:t xml:space="preserve">, </w:t>
      </w:r>
      <w:r w:rsidR="00887452">
        <w:t>for</w:t>
      </w:r>
      <w:r w:rsidR="00603174">
        <w:t xml:space="preserve"> an initial low P</w:t>
      </w:r>
      <w:r w:rsidR="00D454E1">
        <w:t xml:space="preserve"> Olsen</w:t>
      </w:r>
      <w:r w:rsidR="00603174">
        <w:t xml:space="preserve"> </w:t>
      </w:r>
      <w:r w:rsidR="007A30AB">
        <w:t xml:space="preserve">index </w:t>
      </w:r>
      <w:r w:rsidR="00603174">
        <w:t>soil (P1 – 20 mg</w:t>
      </w:r>
      <w:r w:rsidR="00FD6254">
        <w:t xml:space="preserve"> </w:t>
      </w:r>
      <w:r w:rsidR="00603174">
        <w:t>l</w:t>
      </w:r>
      <w:r w:rsidR="00FD6254" w:rsidRPr="008A048F">
        <w:rPr>
          <w:vertAlign w:val="superscript"/>
        </w:rPr>
        <w:t>-1</w:t>
      </w:r>
      <w:r w:rsidR="00603174">
        <w:t xml:space="preserve"> P ‘decay’; Fig</w:t>
      </w:r>
      <w:r w:rsidR="0084338A">
        <w:t>.</w:t>
      </w:r>
      <w:r w:rsidR="00603174">
        <w:t xml:space="preserve"> 7a</w:t>
      </w:r>
      <w:r w:rsidR="009D5D5C">
        <w:t>-normal, Fig</w:t>
      </w:r>
      <w:r w:rsidR="0084338A">
        <w:t>.</w:t>
      </w:r>
      <w:r w:rsidR="009D5D5C">
        <w:t xml:space="preserve"> 7b-wet</w:t>
      </w:r>
      <w:r w:rsidR="00603174">
        <w:t xml:space="preserve">) and a high P </w:t>
      </w:r>
      <w:r w:rsidR="00D454E1">
        <w:t xml:space="preserve">Olsen </w:t>
      </w:r>
      <w:r w:rsidR="007A30AB">
        <w:t xml:space="preserve">index </w:t>
      </w:r>
      <w:r w:rsidR="00603174">
        <w:t>soil (P3 – 60 mg</w:t>
      </w:r>
      <w:r w:rsidR="00FD6254">
        <w:t xml:space="preserve"> </w:t>
      </w:r>
      <w:r w:rsidR="00603174">
        <w:t>l</w:t>
      </w:r>
      <w:r w:rsidR="00FD6254" w:rsidRPr="008A048F">
        <w:rPr>
          <w:vertAlign w:val="superscript"/>
        </w:rPr>
        <w:t>-1</w:t>
      </w:r>
      <w:r w:rsidR="00603174">
        <w:t xml:space="preserve"> P ‘decay’; </w:t>
      </w:r>
      <w:r w:rsidR="007C34FE">
        <w:t xml:space="preserve">Fig. </w:t>
      </w:r>
      <w:r w:rsidR="00205D42">
        <w:t>7</w:t>
      </w:r>
      <w:r w:rsidR="009D5D5C">
        <w:t>c-normal, Fig. 7d-wet</w:t>
      </w:r>
      <w:r w:rsidR="007C34FE">
        <w:t>)</w:t>
      </w:r>
      <w:r w:rsidR="00CF4DC2">
        <w:t>.</w:t>
      </w:r>
      <w:r w:rsidR="002D4D50">
        <w:t xml:space="preserve"> </w:t>
      </w:r>
      <w:r w:rsidR="00991339">
        <w:t xml:space="preserve">Instead of considering different amounts of applied fertiliser, </w:t>
      </w:r>
      <w:r w:rsidR="00897869">
        <w:t>six</w:t>
      </w:r>
      <w:r w:rsidR="00991339">
        <w:t xml:space="preserve"> cultivation techniques are simulated (mix 25, 20 and 10</w:t>
      </w:r>
      <w:r w:rsidR="00081F7C">
        <w:t xml:space="preserve"> </w:t>
      </w:r>
      <w:r w:rsidR="00991339">
        <w:t>cm, inverted plough, min</w:t>
      </w:r>
      <w:r w:rsidR="0043262B">
        <w:t>imum</w:t>
      </w:r>
      <w:r w:rsidR="00991339">
        <w:t xml:space="preserve"> till</w:t>
      </w:r>
      <w:r w:rsidR="0043262B">
        <w:t>age</w:t>
      </w:r>
      <w:r w:rsidR="00991339">
        <w:t xml:space="preserve"> and no cultivation) alongside 3 fertiliser treatments (placed 90 k</w:t>
      </w:r>
      <w:r w:rsidR="00A03517">
        <w:t>g</w:t>
      </w:r>
      <w:r w:rsidR="00E22416">
        <w:t xml:space="preserve"> P</w:t>
      </w:r>
      <w:r w:rsidR="00FD6254">
        <w:t xml:space="preserve"> </w:t>
      </w:r>
      <w:r w:rsidR="00991339">
        <w:t>ha</w:t>
      </w:r>
      <w:r w:rsidR="00FD6254" w:rsidRPr="008A048F">
        <w:rPr>
          <w:vertAlign w:val="superscript"/>
        </w:rPr>
        <w:t>-1</w:t>
      </w:r>
      <w:r w:rsidR="00991339">
        <w:t>, incorporated 90 kg</w:t>
      </w:r>
      <w:r w:rsidR="00E22416">
        <w:t xml:space="preserve"> P</w:t>
      </w:r>
      <w:r w:rsidR="00FD6254">
        <w:t xml:space="preserve"> </w:t>
      </w:r>
      <w:r w:rsidR="00991339">
        <w:t>ha</w:t>
      </w:r>
      <w:r w:rsidR="00FD6254" w:rsidRPr="008A048F">
        <w:rPr>
          <w:vertAlign w:val="superscript"/>
        </w:rPr>
        <w:t>-1</w:t>
      </w:r>
      <w:r w:rsidR="00991339">
        <w:t xml:space="preserve"> and no fertiliser). </w:t>
      </w:r>
      <w:r w:rsidR="00081F7C">
        <w:t xml:space="preserve">At GS </w:t>
      </w:r>
      <w:r w:rsidR="00A03517">
        <w:t>92</w:t>
      </w:r>
      <w:r w:rsidR="00081F7C">
        <w:t xml:space="preserve"> the highest </w:t>
      </w:r>
      <w:r w:rsidR="008605F1">
        <w:t xml:space="preserve">plant </w:t>
      </w:r>
      <w:r w:rsidR="00081F7C">
        <w:t xml:space="preserve">P uptake is achieved from </w:t>
      </w:r>
      <w:r w:rsidR="009D5D5C">
        <w:t>an inverted plough</w:t>
      </w:r>
      <w:r w:rsidR="00081F7C">
        <w:t xml:space="preserve"> </w:t>
      </w:r>
      <w:r w:rsidR="009D5D5C">
        <w:t>down to</w:t>
      </w:r>
      <w:r w:rsidR="00081F7C">
        <w:t xml:space="preserve"> </w:t>
      </w:r>
      <w:r w:rsidR="00843BE7">
        <w:t>15</w:t>
      </w:r>
      <w:r w:rsidR="00081F7C">
        <w:t xml:space="preserve"> cm and placing 90 kg</w:t>
      </w:r>
      <w:r w:rsidR="00E22416">
        <w:t xml:space="preserve"> P</w:t>
      </w:r>
      <w:r w:rsidR="00FD6254">
        <w:t xml:space="preserve"> </w:t>
      </w:r>
      <w:r w:rsidR="00081F7C">
        <w:t>ha</w:t>
      </w:r>
      <w:r w:rsidR="00FD6254" w:rsidRPr="008A048F">
        <w:rPr>
          <w:vertAlign w:val="superscript"/>
        </w:rPr>
        <w:t>-1</w:t>
      </w:r>
      <w:r w:rsidR="009D5D5C">
        <w:t>, followed by mixing the soil to 25cm and placing 90 kg</w:t>
      </w:r>
      <w:r w:rsidR="00E22416">
        <w:t xml:space="preserve"> P</w:t>
      </w:r>
      <w:r w:rsidR="00FD6254">
        <w:t xml:space="preserve"> </w:t>
      </w:r>
      <w:r w:rsidR="009D5D5C">
        <w:t>ha</w:t>
      </w:r>
      <w:r w:rsidR="00FD6254" w:rsidRPr="008A048F">
        <w:rPr>
          <w:vertAlign w:val="superscript"/>
        </w:rPr>
        <w:t>-1</w:t>
      </w:r>
      <w:r w:rsidR="009D5D5C">
        <w:t>.</w:t>
      </w:r>
      <w:r w:rsidR="002F6B6A">
        <w:t xml:space="preserve"> </w:t>
      </w:r>
      <w:r w:rsidR="00081F7C">
        <w:t xml:space="preserve">Under a wet climate, </w:t>
      </w:r>
      <w:r w:rsidR="007A30AB">
        <w:t>plant</w:t>
      </w:r>
      <w:r w:rsidR="008762E3">
        <w:t xml:space="preserve"> P uptake value</w:t>
      </w:r>
      <w:r w:rsidR="007A30AB">
        <w:t xml:space="preserve">s </w:t>
      </w:r>
      <w:r w:rsidR="00955EBB">
        <w:t>are</w:t>
      </w:r>
      <w:r w:rsidR="007A30AB">
        <w:t xml:space="preserve"> increased on average by</w:t>
      </w:r>
      <w:r w:rsidR="008762E3">
        <w:t xml:space="preserve"> </w:t>
      </w:r>
      <w:r w:rsidR="00370BD7">
        <w:t>2</w:t>
      </w:r>
      <w:r w:rsidR="008762E3">
        <w:t>%</w:t>
      </w:r>
      <w:r w:rsidR="00DD7BFF">
        <w:t xml:space="preserve"> </w:t>
      </w:r>
      <w:r w:rsidR="008762E3">
        <w:t xml:space="preserve">across </w:t>
      </w:r>
      <w:r w:rsidR="007A30AB">
        <w:t xml:space="preserve">all </w:t>
      </w:r>
      <w:r w:rsidR="00955EBB">
        <w:t xml:space="preserve">fertiliser and </w:t>
      </w:r>
      <w:r w:rsidR="008762E3">
        <w:t>soil cultivation strategies</w:t>
      </w:r>
      <w:r w:rsidR="00955EBB">
        <w:t>;</w:t>
      </w:r>
      <w:r w:rsidR="00370BD7">
        <w:t xml:space="preserve"> the highest increase of 5% was seen when </w:t>
      </w:r>
      <w:r w:rsidR="00843BE7">
        <w:t>broadcasting fertiliser</w:t>
      </w:r>
      <w:r w:rsidR="00370BD7">
        <w:t>.</w:t>
      </w:r>
      <w:r w:rsidR="00843BE7">
        <w:t xml:space="preserve"> </w:t>
      </w:r>
      <w:r w:rsidR="00861EC8">
        <w:t>When broadcasting fertiliser the</w:t>
      </w:r>
      <w:r w:rsidR="00843BE7">
        <w:t xml:space="preserve"> increased water helped diffuse the top soil P and al</w:t>
      </w:r>
      <w:r w:rsidR="00861EC8">
        <w:t>lowed more to be taken up by the plant</w:t>
      </w:r>
      <w:r w:rsidR="00843BE7">
        <w:t>.</w:t>
      </w:r>
      <w:r w:rsidR="004E2C44">
        <w:t xml:space="preserve"> </w:t>
      </w:r>
      <w:r w:rsidR="00DD654F">
        <w:t>It should be noted that u</w:t>
      </w:r>
      <w:r w:rsidR="004E2C44">
        <w:t>nder field conditions, an increase in soil water content can lead to greater root growth</w:t>
      </w:r>
      <w:r w:rsidR="00DD654F">
        <w:t xml:space="preserve"> which would increase plant P uptake more so than just via P diffusion. However, for this study the modelled root system is only temperature dependent, future studies may include additional root growth effects.</w:t>
      </w:r>
      <w:r w:rsidR="00843BE7">
        <w:t xml:space="preserve"> </w:t>
      </w:r>
      <w:r w:rsidR="00AC14EE">
        <w:t xml:space="preserve">In a high P </w:t>
      </w:r>
      <w:r w:rsidR="007A30AB">
        <w:t xml:space="preserve">index </w:t>
      </w:r>
      <w:r w:rsidR="00AC14EE">
        <w:t xml:space="preserve">soil (P3) there is </w:t>
      </w:r>
      <w:r w:rsidR="00B74BBE">
        <w:t>almost no response to plant P uptake values when adding P fertiliser, which is</w:t>
      </w:r>
      <w:r w:rsidR="00843BE7">
        <w:t xml:space="preserve"> to be expected.</w:t>
      </w:r>
      <w:r w:rsidR="00AC14EE">
        <w:t xml:space="preserve"> For </w:t>
      </w:r>
      <w:r w:rsidR="007A30AB">
        <w:t>a</w:t>
      </w:r>
      <w:r w:rsidR="00AC14EE">
        <w:t xml:space="preserve"> low P</w:t>
      </w:r>
      <w:r w:rsidR="007A30AB">
        <w:t xml:space="preserve"> index</w:t>
      </w:r>
      <w:r w:rsidR="00AC14EE">
        <w:t xml:space="preserve"> soil</w:t>
      </w:r>
      <w:r w:rsidR="00887452">
        <w:t>,</w:t>
      </w:r>
      <w:r w:rsidR="007A30AB">
        <w:t xml:space="preserve"> plant</w:t>
      </w:r>
      <w:r w:rsidR="00887452">
        <w:t xml:space="preserve"> P</w:t>
      </w:r>
      <w:r w:rsidR="00AC14EE">
        <w:t xml:space="preserve"> uptake is limited due to a </w:t>
      </w:r>
      <w:r w:rsidR="00AC14EE">
        <w:lastRenderedPageBreak/>
        <w:t xml:space="preserve">lack of available P (depletion </w:t>
      </w:r>
      <w:r w:rsidR="00B74BBE">
        <w:t>of</w:t>
      </w:r>
      <w:r w:rsidR="00AC14EE">
        <w:t xml:space="preserve"> P as</w:t>
      </w:r>
      <w:r w:rsidR="007A30AB">
        <w:t xml:space="preserve"> seen</w:t>
      </w:r>
      <w:r w:rsidR="00AC14EE">
        <w:t xml:space="preserve"> in Fig. </w:t>
      </w:r>
      <w:r w:rsidR="007A30AB">
        <w:t>5</w:t>
      </w:r>
      <w:r w:rsidR="00AC14EE">
        <w:t xml:space="preserve">) and </w:t>
      </w:r>
      <w:proofErr w:type="gramStart"/>
      <w:r w:rsidR="00887452">
        <w:t xml:space="preserve">this </w:t>
      </w:r>
      <w:r w:rsidR="00AC14EE">
        <w:t>results</w:t>
      </w:r>
      <w:proofErr w:type="gramEnd"/>
      <w:r w:rsidR="00AC14EE">
        <w:t xml:space="preserve"> in little distinction between ploughing </w:t>
      </w:r>
      <w:r w:rsidR="00213CD5">
        <w:t>techniques</w:t>
      </w:r>
      <w:r w:rsidR="00B74BBE">
        <w:t>.</w:t>
      </w:r>
      <w:r w:rsidR="00887452">
        <w:t xml:space="preserve"> </w:t>
      </w:r>
      <w:r w:rsidR="006E6071">
        <w:t>Root chemotropism (stimulation of root growth by the added P) was not considered within this model</w:t>
      </w:r>
      <w:r w:rsidR="00472110">
        <w:t xml:space="preserve"> since it was not possible to quantify this in the experiments</w:t>
      </w:r>
      <w:r w:rsidR="006E6071">
        <w:t>.</w:t>
      </w:r>
    </w:p>
    <w:p w14:paraId="4C9B2FBA" w14:textId="7AC3BB8A" w:rsidR="00DB2D99" w:rsidRPr="00962CCF" w:rsidRDefault="002F6B6A" w:rsidP="0014253C">
      <w:pPr>
        <w:jc w:val="both"/>
      </w:pPr>
      <w:r>
        <w:t xml:space="preserve">In summary, </w:t>
      </w:r>
      <w:r w:rsidR="00843BE7">
        <w:t xml:space="preserve">applying P near the rooting zone (inverted plough and mixing at 25 cm while placing fertiliser) </w:t>
      </w:r>
      <w:r w:rsidR="00B758D9">
        <w:t>provides</w:t>
      </w:r>
      <w:r w:rsidR="00843BE7">
        <w:t xml:space="preserve"> the best chance for maximising plant P uptake</w:t>
      </w:r>
      <w:r w:rsidR="0014253C">
        <w:t>;</w:t>
      </w:r>
      <w:r w:rsidR="00D63646">
        <w:t xml:space="preserve"> </w:t>
      </w:r>
      <w:r w:rsidR="0014253C">
        <w:t>under certain conditions placing fertiliser (banding) rather than broadcasting can</w:t>
      </w:r>
      <w:r w:rsidR="00D63646">
        <w:t xml:space="preserve"> result in a</w:t>
      </w:r>
      <w:r w:rsidR="0014253C">
        <w:t>n</w:t>
      </w:r>
      <w:r w:rsidR="00D63646">
        <w:t xml:space="preserve"> </w:t>
      </w:r>
      <w:r w:rsidR="0014253C">
        <w:t>11</w:t>
      </w:r>
      <w:r w:rsidR="00D63646" w:rsidRPr="00D63646">
        <w:t>% increase to plant P uptake</w:t>
      </w:r>
      <w:r w:rsidR="0014253C">
        <w:t>.</w:t>
      </w:r>
    </w:p>
    <w:p w14:paraId="62F2CE0A" w14:textId="77777777" w:rsidR="004608F6" w:rsidRDefault="004608F6" w:rsidP="004608F6">
      <w:pPr>
        <w:rPr>
          <w:b/>
          <w:bCs/>
        </w:rPr>
      </w:pPr>
      <w:r>
        <w:rPr>
          <w:b/>
          <w:bCs/>
        </w:rPr>
        <w:t>Discussion</w:t>
      </w:r>
    </w:p>
    <w:p w14:paraId="17D73758" w14:textId="1862ABB2" w:rsidR="004608F6" w:rsidRDefault="001A5EE2" w:rsidP="00BC6182">
      <w:pPr>
        <w:jc w:val="both"/>
      </w:pPr>
      <w:r>
        <w:t>T</w:t>
      </w:r>
      <w:r w:rsidR="004608F6">
        <w:t xml:space="preserve">o </w:t>
      </w:r>
      <w:r w:rsidR="00B55970">
        <w:t>determine the optimal strategy for</w:t>
      </w:r>
      <w:r w:rsidR="00FF39AA">
        <w:t xml:space="preserve"> maximising</w:t>
      </w:r>
      <w:r w:rsidR="00B55970">
        <w:t xml:space="preserve"> </w:t>
      </w:r>
      <w:r w:rsidR="007A6293">
        <w:t xml:space="preserve">plant </w:t>
      </w:r>
      <w:r w:rsidR="00B55970">
        <w:t>P uptake</w:t>
      </w:r>
      <w:r>
        <w:t>, a set of fertiliser</w:t>
      </w:r>
      <w:r w:rsidR="007A6293">
        <w:t xml:space="preserve"> and soil cultivation strategies are </w:t>
      </w:r>
      <w:r w:rsidR="00243FA3">
        <w:t>simulated</w:t>
      </w:r>
      <w:r w:rsidR="00577AA8">
        <w:t xml:space="preserve"> in the model</w:t>
      </w:r>
      <w:r w:rsidR="007A6293">
        <w:t>. T</w:t>
      </w:r>
      <w:r w:rsidR="0095544E">
        <w:t xml:space="preserve">he difference </w:t>
      </w:r>
      <w:r w:rsidR="00461E1F">
        <w:t xml:space="preserve">if </w:t>
      </w:r>
      <w:r w:rsidR="0095544E">
        <w:t>broadcasting and banding fertiliser</w:t>
      </w:r>
      <w:r w:rsidR="00461E1F">
        <w:t xml:space="preserve"> is chosen</w:t>
      </w:r>
      <w:r w:rsidR="0095544E">
        <w:t xml:space="preserve"> depends </w:t>
      </w:r>
      <w:r w:rsidR="007A6293">
        <w:t>up</w:t>
      </w:r>
      <w:r w:rsidR="0095544E">
        <w:t xml:space="preserve">on </w:t>
      </w:r>
      <w:r w:rsidR="00A24EF5">
        <w:t>price,</w:t>
      </w:r>
      <w:r w:rsidR="0095544E">
        <w:t xml:space="preserve"> accessibility</w:t>
      </w:r>
      <w:r w:rsidR="00461E1F">
        <w:t xml:space="preserve">, </w:t>
      </w:r>
      <w:r w:rsidR="0095544E">
        <w:t xml:space="preserve">soil cultivation </w:t>
      </w:r>
      <w:r w:rsidR="00394E91">
        <w:t>etc.</w:t>
      </w:r>
      <w:r w:rsidR="00461E1F">
        <w:t xml:space="preserve"> </w:t>
      </w:r>
      <w:r w:rsidR="0095544E">
        <w:t>(Mahler, 2001).</w:t>
      </w:r>
      <w:r w:rsidR="00A24EF5">
        <w:t xml:space="preserve"> </w:t>
      </w:r>
      <w:r w:rsidR="00C44994">
        <w:t>For example, a</w:t>
      </w:r>
      <w:r w:rsidR="00A24EF5">
        <w:t>pplying fertiliser 20 cm away from the plant and at a depth of 10 cm in the soil gave optimal conditions for a certain M</w:t>
      </w:r>
      <w:r w:rsidR="007A6293">
        <w:t>a</w:t>
      </w:r>
      <w:r w:rsidR="00A24EF5">
        <w:t>ize plant study (</w:t>
      </w:r>
      <w:proofErr w:type="spellStart"/>
      <w:r w:rsidR="00A24EF5">
        <w:t>Owusu-Gyimah</w:t>
      </w:r>
      <w:proofErr w:type="spellEnd"/>
      <w:r w:rsidR="00A24EF5">
        <w:t xml:space="preserve"> </w:t>
      </w:r>
      <w:r w:rsidR="00A24EF5" w:rsidRPr="0063368E">
        <w:rPr>
          <w:i/>
          <w:iCs/>
        </w:rPr>
        <w:t>et a</w:t>
      </w:r>
      <w:r w:rsidR="00A24EF5" w:rsidRPr="00A24EF5">
        <w:rPr>
          <w:i/>
          <w:iCs/>
        </w:rPr>
        <w:t>l.</w:t>
      </w:r>
      <w:r w:rsidR="00A24EF5">
        <w:t>, 2013)</w:t>
      </w:r>
      <w:r w:rsidR="00063B4C">
        <w:t xml:space="preserve">, and Randall and </w:t>
      </w:r>
      <w:proofErr w:type="spellStart"/>
      <w:r w:rsidR="00063B4C">
        <w:t>Hoeft</w:t>
      </w:r>
      <w:proofErr w:type="spellEnd"/>
      <w:r w:rsidR="00063B4C">
        <w:t xml:space="preserve"> (1988) found placing</w:t>
      </w:r>
      <w:r w:rsidR="002D4554">
        <w:t xml:space="preserve"> (banding)</w:t>
      </w:r>
      <w:r w:rsidR="00063B4C">
        <w:t xml:space="preserve"> P better than broadcasting because of the enhanced P concentration within the rooting zone</w:t>
      </w:r>
      <w:r w:rsidR="00A24EF5">
        <w:t>.</w:t>
      </w:r>
      <w:r w:rsidR="00063B4C">
        <w:t xml:space="preserve"> </w:t>
      </w:r>
      <w:r w:rsidR="00E849D2">
        <w:t>However</w:t>
      </w:r>
      <w:r w:rsidR="00D2443E">
        <w:t>, similar yields were seen between</w:t>
      </w:r>
      <w:r w:rsidR="00E849D2">
        <w:t xml:space="preserve"> applying large amounts of P fertiliser</w:t>
      </w:r>
      <w:r w:rsidR="007A6293">
        <w:t xml:space="preserve"> via</w:t>
      </w:r>
      <w:r w:rsidR="00E849D2">
        <w:t xml:space="preserve"> broadcasting</w:t>
      </w:r>
      <w:r w:rsidR="00D2443E">
        <w:t xml:space="preserve"> or banding</w:t>
      </w:r>
      <w:r w:rsidR="00E849D2">
        <w:t>,</w:t>
      </w:r>
      <w:r w:rsidR="00D2443E">
        <w:t xml:space="preserve"> </w:t>
      </w:r>
      <w:r w:rsidR="00A17C10">
        <w:t xml:space="preserve">and </w:t>
      </w:r>
      <w:r w:rsidR="00D2443E">
        <w:t>it was</w:t>
      </w:r>
      <w:r w:rsidR="00E849D2">
        <w:t xml:space="preserve"> effects from starter P with rates as low as </w:t>
      </w:r>
      <w:r w:rsidR="00BC6182">
        <w:t>10 kg P ha</w:t>
      </w:r>
      <w:r w:rsidR="00BC6182" w:rsidRPr="008A048F">
        <w:rPr>
          <w:vertAlign w:val="superscript"/>
        </w:rPr>
        <w:t>-1</w:t>
      </w:r>
      <w:r w:rsidR="00E849D2">
        <w:t xml:space="preserve"> </w:t>
      </w:r>
      <w:r w:rsidR="00D2443E">
        <w:t xml:space="preserve">that </w:t>
      </w:r>
      <w:r w:rsidR="00E849D2">
        <w:t>dramatically increase</w:t>
      </w:r>
      <w:r w:rsidR="00D2443E">
        <w:t>d</w:t>
      </w:r>
      <w:r w:rsidR="00E849D2">
        <w:t xml:space="preserve"> corn yields (</w:t>
      </w:r>
      <w:proofErr w:type="spellStart"/>
      <w:r w:rsidR="00E849D2">
        <w:t>Sultenfuss</w:t>
      </w:r>
      <w:proofErr w:type="spellEnd"/>
      <w:r w:rsidR="00E849D2">
        <w:t xml:space="preserve"> and Doyle, 1999). </w:t>
      </w:r>
      <w:r w:rsidR="00B64B27">
        <w:t>The</w:t>
      </w:r>
      <w:r w:rsidR="0022164B">
        <w:t xml:space="preserve"> model</w:t>
      </w:r>
      <w:r w:rsidR="007A6293">
        <w:t xml:space="preserve"> predicted that in a single harvest the ability to mix P</w:t>
      </w:r>
      <w:r w:rsidR="00C61B55">
        <w:t xml:space="preserve"> in the rooting zone</w:t>
      </w:r>
      <w:r w:rsidR="007A6293">
        <w:t xml:space="preserve"> (</w:t>
      </w:r>
      <w:r w:rsidR="00C61B55">
        <w:t xml:space="preserve">inverted </w:t>
      </w:r>
      <w:r w:rsidR="007A6293">
        <w:t>plough</w:t>
      </w:r>
      <w:r w:rsidR="00C61B55">
        <w:t xml:space="preserve"> and mix at 25 cm</w:t>
      </w:r>
      <w:r w:rsidR="007A6293">
        <w:t xml:space="preserve">) is highly desired over a </w:t>
      </w:r>
      <w:r w:rsidR="00C61B55">
        <w:t>min</w:t>
      </w:r>
      <w:r w:rsidR="0043262B">
        <w:t>imum</w:t>
      </w:r>
      <w:r w:rsidR="007A6293">
        <w:t xml:space="preserve"> till</w:t>
      </w:r>
      <w:r w:rsidR="0043262B">
        <w:t>age</w:t>
      </w:r>
      <w:r w:rsidR="007A6293">
        <w:t xml:space="preserve"> gradient</w:t>
      </w:r>
      <w:r w:rsidR="00C61B55">
        <w:t>. I</w:t>
      </w:r>
      <w:r w:rsidR="007A6293">
        <w:t xml:space="preserve">n addition, </w:t>
      </w:r>
      <w:r w:rsidR="00C61B55">
        <w:t>placing</w:t>
      </w:r>
      <w:r w:rsidR="007A6293">
        <w:t xml:space="preserve"> fertiliser</w:t>
      </w:r>
      <w:r w:rsidR="00C61B55">
        <w:t xml:space="preserve"> (banding)</w:t>
      </w:r>
      <w:r w:rsidR="007A6293">
        <w:t xml:space="preserve"> below the seed, rather than broadcasting, gave a </w:t>
      </w:r>
      <w:r w:rsidR="00C9118D" w:rsidRPr="00C9118D">
        <w:t>sizeable</w:t>
      </w:r>
      <w:r w:rsidR="007A6293" w:rsidRPr="00C9118D">
        <w:t xml:space="preserve"> </w:t>
      </w:r>
      <w:r w:rsidR="007A6293">
        <w:t>increase</w:t>
      </w:r>
      <w:r w:rsidR="00C9118D">
        <w:t xml:space="preserve"> of </w:t>
      </w:r>
      <w:r w:rsidR="00C9118D" w:rsidRPr="00C61B55">
        <w:t>11%</w:t>
      </w:r>
      <w:r w:rsidR="007A6293">
        <w:t xml:space="preserve"> to</w:t>
      </w:r>
      <w:r w:rsidR="00C9118D">
        <w:t xml:space="preserve"> plant</w:t>
      </w:r>
      <w:r w:rsidR="007A6293">
        <w:t xml:space="preserve"> P uptake</w:t>
      </w:r>
      <w:r w:rsidR="00C61B55">
        <w:t xml:space="preserve"> (6% for a wet climate)</w:t>
      </w:r>
      <w:r w:rsidR="007A6293">
        <w:t>.</w:t>
      </w:r>
      <w:r w:rsidR="00E14872">
        <w:t xml:space="preserve"> The effect of a heavy rainfall throughout the cropping season slightly increased </w:t>
      </w:r>
      <w:r w:rsidR="00E70830">
        <w:t xml:space="preserve">average </w:t>
      </w:r>
      <w:r w:rsidR="00E14872">
        <w:t xml:space="preserve">plant P uptake by </w:t>
      </w:r>
      <w:r w:rsidR="00E70830">
        <w:t>2</w:t>
      </w:r>
      <w:r w:rsidR="00FB55EA">
        <w:t xml:space="preserve">% across all scenarios. The </w:t>
      </w:r>
      <w:r w:rsidR="00983E59">
        <w:t>additional</w:t>
      </w:r>
      <w:r w:rsidR="00E14872">
        <w:t xml:space="preserve"> water</w:t>
      </w:r>
      <w:r w:rsidR="00FB55EA">
        <w:t xml:space="preserve"> could help</w:t>
      </w:r>
      <w:r w:rsidR="00983E59">
        <w:t xml:space="preserve"> i</w:t>
      </w:r>
      <w:r w:rsidR="00421D16">
        <w:t>ncrease</w:t>
      </w:r>
      <w:r w:rsidR="00E14872">
        <w:t xml:space="preserve"> the availability of P </w:t>
      </w:r>
      <w:r w:rsidR="00FB55EA">
        <w:t>in the soil, and hence enhance plant P uptake</w:t>
      </w:r>
      <w:r w:rsidR="00E14872">
        <w:t xml:space="preserve">. </w:t>
      </w:r>
    </w:p>
    <w:p w14:paraId="3672D90D" w14:textId="65AA5EFA" w:rsidR="007F5C14" w:rsidRDefault="005060B3" w:rsidP="00FD6254">
      <w:pPr>
        <w:jc w:val="both"/>
      </w:pPr>
      <w:r>
        <w:t>The field trial data only had one Olsen P index to characterise the amount of available P in the soil. To represent this in the model, we let the P concentration in the soil have either an exponentially decaying or constant distribution with depth.</w:t>
      </w:r>
      <w:r w:rsidR="00184866">
        <w:t xml:space="preserve"> </w:t>
      </w:r>
      <w:r w:rsidR="00CB751F">
        <w:t xml:space="preserve">By </w:t>
      </w:r>
      <w:r w:rsidR="00170563">
        <w:t>only</w:t>
      </w:r>
      <w:r w:rsidR="00F32EFF">
        <w:t xml:space="preserve"> knowing </w:t>
      </w:r>
      <w:r w:rsidR="00170563">
        <w:t>sparse information about the</w:t>
      </w:r>
      <w:r w:rsidR="00F32EFF">
        <w:t xml:space="preserve"> initial P concentration</w:t>
      </w:r>
      <w:r w:rsidR="00170563">
        <w:t xml:space="preserve"> in the soil,</w:t>
      </w:r>
      <w:r w:rsidR="00F32EFF">
        <w:t xml:space="preserve"> </w:t>
      </w:r>
      <w:r w:rsidR="00CB751F">
        <w:t xml:space="preserve">a </w:t>
      </w:r>
      <w:r w:rsidR="00F32EFF">
        <w:t>number of problems</w:t>
      </w:r>
      <w:r w:rsidR="00CB751F">
        <w:t xml:space="preserve"> can arise</w:t>
      </w:r>
      <w:r w:rsidR="00F32EFF">
        <w:t xml:space="preserve">. </w:t>
      </w:r>
      <w:r w:rsidR="00FF39AA">
        <w:t>Firstly, if the concentration of P found in the soil is near a boundary</w:t>
      </w:r>
      <w:r w:rsidR="00184866">
        <w:t xml:space="preserve"> (between Olsen P index 2 and 3, for example)</w:t>
      </w:r>
      <w:r w:rsidR="00FF39AA">
        <w:t xml:space="preserve"> then it is treated as an average in that category. Set amounts of fertiliser are </w:t>
      </w:r>
      <w:r w:rsidR="00F32EFF">
        <w:t>prescribed</w:t>
      </w:r>
      <w:r w:rsidR="00FF39AA">
        <w:t xml:space="preserve"> to such soils and in certain cases </w:t>
      </w:r>
      <w:r w:rsidR="00F32EFF">
        <w:t>this can cause</w:t>
      </w:r>
      <w:r w:rsidR="00FF39AA">
        <w:t xml:space="preserve"> a waste of resources (</w:t>
      </w:r>
      <w:proofErr w:type="spellStart"/>
      <w:r w:rsidR="001A2471" w:rsidRPr="001A2471">
        <w:t>Hooda</w:t>
      </w:r>
      <w:proofErr w:type="spellEnd"/>
      <w:r w:rsidR="001A2471" w:rsidRPr="001A2471">
        <w:t xml:space="preserve"> </w:t>
      </w:r>
      <w:r w:rsidR="001A2471" w:rsidRPr="0063368E">
        <w:rPr>
          <w:i/>
          <w:iCs/>
        </w:rPr>
        <w:t>et al.</w:t>
      </w:r>
      <w:r w:rsidR="001A2471" w:rsidRPr="001A2471">
        <w:t>, 2001</w:t>
      </w:r>
      <w:r w:rsidR="00FF39AA">
        <w:t>).</w:t>
      </w:r>
      <w:r w:rsidR="00F32EFF">
        <w:t xml:space="preserve"> </w:t>
      </w:r>
      <w:r w:rsidR="005A1976">
        <w:t>In countries</w:t>
      </w:r>
      <w:r w:rsidR="002D1100">
        <w:t xml:space="preserve"> such as Ireland</w:t>
      </w:r>
      <w:r w:rsidR="005A1976">
        <w:t xml:space="preserve">, there are stricter rules to the amount of applied P added to soils. Obtaining only one soil test for a </w:t>
      </w:r>
      <w:r w:rsidR="00EA031F">
        <w:t>field site</w:t>
      </w:r>
      <w:r w:rsidR="005A1976">
        <w:t xml:space="preserve"> can</w:t>
      </w:r>
      <w:r w:rsidR="00EA031F">
        <w:t xml:space="preserve"> be misrepresentative</w:t>
      </w:r>
      <w:r w:rsidR="005A1976">
        <w:t xml:space="preserve"> and allow for more fertiliser to be added where perhaps it is not necessary. </w:t>
      </w:r>
      <w:r w:rsidR="00F32EFF">
        <w:t xml:space="preserve">Secondly, there is a range between each </w:t>
      </w:r>
      <w:r w:rsidR="00E44601">
        <w:t>Olsen P index</w:t>
      </w:r>
      <w:r w:rsidR="00F32EFF">
        <w:t xml:space="preserve"> and modelling a </w:t>
      </w:r>
      <w:r w:rsidR="00E44601">
        <w:t>particular</w:t>
      </w:r>
      <w:r w:rsidR="00F32EFF">
        <w:t xml:space="preserve"> index</w:t>
      </w:r>
      <w:r w:rsidR="00E44601">
        <w:t>ed</w:t>
      </w:r>
      <w:r w:rsidR="00F32EFF">
        <w:t xml:space="preserve"> soil can be ambiguous. For example,</w:t>
      </w:r>
      <w:r w:rsidR="00213CD5">
        <w:t xml:space="preserve"> </w:t>
      </w:r>
      <w:r w:rsidR="00795874">
        <w:t>the</w:t>
      </w:r>
      <w:r w:rsidR="00213CD5">
        <w:t xml:space="preserve"> model </w:t>
      </w:r>
      <w:r w:rsidR="00050B48">
        <w:t>estimates that</w:t>
      </w:r>
      <w:r w:rsidR="00F32EFF">
        <w:t xml:space="preserve"> </w:t>
      </w:r>
      <w:r w:rsidR="005A1976">
        <w:t>i</w:t>
      </w:r>
      <w:r w:rsidR="00352ED2">
        <w:t>n a P index 1 soil,</w:t>
      </w:r>
      <w:r w:rsidR="00050B48">
        <w:t xml:space="preserve"> using an initial constant P distribution of</w:t>
      </w:r>
      <w:r w:rsidR="00352ED2">
        <w:t xml:space="preserve"> 10mg P</w:t>
      </w:r>
      <w:r w:rsidR="00FD6254">
        <w:t xml:space="preserve"> </w:t>
      </w:r>
      <w:r w:rsidR="00352ED2">
        <w:t>l</w:t>
      </w:r>
      <w:r w:rsidR="00FD6254" w:rsidRPr="008A048F">
        <w:rPr>
          <w:vertAlign w:val="superscript"/>
        </w:rPr>
        <w:t>-1</w:t>
      </w:r>
      <w:r w:rsidR="00352ED2">
        <w:t xml:space="preserve"> will give a lower</w:t>
      </w:r>
      <w:r w:rsidR="005A1976">
        <w:t xml:space="preserve"> plant P</w:t>
      </w:r>
      <w:r w:rsidR="00352ED2">
        <w:t xml:space="preserve"> uptake than 15mg P</w:t>
      </w:r>
      <w:r w:rsidR="00FD6254">
        <w:t xml:space="preserve"> </w:t>
      </w:r>
      <w:r w:rsidR="00352ED2">
        <w:t>l</w:t>
      </w:r>
      <w:r w:rsidR="00FD6254" w:rsidRPr="008A048F">
        <w:rPr>
          <w:vertAlign w:val="superscript"/>
        </w:rPr>
        <w:t>-1</w:t>
      </w:r>
      <w:r w:rsidR="005A1976">
        <w:t xml:space="preserve"> </w:t>
      </w:r>
      <w:r w:rsidR="007E08CD" w:rsidRPr="007E08CD">
        <w:t>by 33%</w:t>
      </w:r>
      <w:r w:rsidR="00352ED2">
        <w:t xml:space="preserve">. Perhaps further classification is needed when characterising soils, to more accurately prescribe </w:t>
      </w:r>
      <w:r w:rsidR="00061332">
        <w:t>an optimal</w:t>
      </w:r>
      <w:r w:rsidR="00352ED2">
        <w:t xml:space="preserve"> amount of fertiliser to add. This is the case in Scotland, where soil</w:t>
      </w:r>
      <w:r w:rsidR="008A2D64">
        <w:t>s</w:t>
      </w:r>
      <w:r w:rsidR="005A1976">
        <w:t xml:space="preserve"> are given</w:t>
      </w:r>
      <w:r w:rsidR="00352ED2">
        <w:t xml:space="preserve"> extra classification</w:t>
      </w:r>
      <w:r w:rsidR="0074444A">
        <w:t xml:space="preserve"> (namely descriptive features including, colour, texture, structure, consistence, organic matter, roots, stones, moisture, mottles and thickness of the horizon)</w:t>
      </w:r>
      <w:r w:rsidR="00352ED2">
        <w:t xml:space="preserve"> </w:t>
      </w:r>
      <w:r w:rsidR="008A2D64">
        <w:t xml:space="preserve">to help use fertiliser more efficiently </w:t>
      </w:r>
      <w:r w:rsidR="007F5C14">
        <w:t>(S</w:t>
      </w:r>
      <w:r w:rsidR="007F5C14" w:rsidRPr="00A4279B">
        <w:t>oil Survey of Scotland Staff, 1981</w:t>
      </w:r>
      <w:r w:rsidR="007F5C14">
        <w:t>).</w:t>
      </w:r>
    </w:p>
    <w:p w14:paraId="6EFD9665" w14:textId="54D4B205" w:rsidR="00FF39AA" w:rsidRDefault="005A1976" w:rsidP="00011D7F">
      <w:pPr>
        <w:jc w:val="both"/>
      </w:pPr>
      <w:r>
        <w:t>Current</w:t>
      </w:r>
      <w:r w:rsidR="002A22AA">
        <w:t xml:space="preserve"> methods for calculating available P in soil are not consistent across Europe, with a</w:t>
      </w:r>
      <w:r>
        <w:t xml:space="preserve"> wide</w:t>
      </w:r>
      <w:r w:rsidR="002A22AA">
        <w:t xml:space="preserve"> range of techniques, each with their own methods,</w:t>
      </w:r>
      <w:r>
        <w:t xml:space="preserve"> causing</w:t>
      </w:r>
      <w:r w:rsidR="002A22AA">
        <w:t xml:space="preserve"> similar soils </w:t>
      </w:r>
      <w:r>
        <w:t>to have</w:t>
      </w:r>
      <w:r w:rsidR="002A22AA">
        <w:t xml:space="preserve"> uncorrelated results (</w:t>
      </w:r>
      <w:proofErr w:type="spellStart"/>
      <w:r w:rsidR="002A22AA">
        <w:t>Neyroud</w:t>
      </w:r>
      <w:proofErr w:type="spellEnd"/>
      <w:r w:rsidR="002A22AA">
        <w:t xml:space="preserve"> and </w:t>
      </w:r>
      <w:proofErr w:type="spellStart"/>
      <w:r w:rsidR="002A22AA">
        <w:t>Lischer</w:t>
      </w:r>
      <w:proofErr w:type="spellEnd"/>
      <w:r w:rsidR="002A22AA">
        <w:t>, 2002; Jordan-</w:t>
      </w:r>
      <w:proofErr w:type="spellStart"/>
      <w:r w:rsidR="002A22AA">
        <w:t>Meille</w:t>
      </w:r>
      <w:proofErr w:type="spellEnd"/>
      <w:r w:rsidR="002A22AA">
        <w:t xml:space="preserve"> </w:t>
      </w:r>
      <w:r w:rsidR="002A22AA" w:rsidRPr="0063368E">
        <w:rPr>
          <w:i/>
          <w:iCs/>
        </w:rPr>
        <w:t>et al.</w:t>
      </w:r>
      <w:r w:rsidR="002A22AA">
        <w:t xml:space="preserve">, 2012). This </w:t>
      </w:r>
      <w:r>
        <w:t>provides</w:t>
      </w:r>
      <w:r w:rsidR="002A22AA">
        <w:t xml:space="preserve"> confirmation that </w:t>
      </w:r>
      <w:r w:rsidR="00213CD5">
        <w:t xml:space="preserve">due to these </w:t>
      </w:r>
      <w:r w:rsidR="00213CD5">
        <w:lastRenderedPageBreak/>
        <w:t xml:space="preserve">current methods, </w:t>
      </w:r>
      <w:r w:rsidR="002A22AA">
        <w:t>site specific treatment</w:t>
      </w:r>
      <w:r>
        <w:t>s are</w:t>
      </w:r>
      <w:r w:rsidR="002A22AA">
        <w:t xml:space="preserve"> need</w:t>
      </w:r>
      <w:r>
        <w:t>ed</w:t>
      </w:r>
      <w:r w:rsidR="002A22AA">
        <w:t xml:space="preserve"> and one method cannot be used on all soils</w:t>
      </w:r>
      <w:r>
        <w:t>.</w:t>
      </w:r>
      <w:r w:rsidR="00213CD5">
        <w:t xml:space="preserve"> However, n</w:t>
      </w:r>
      <w:r w:rsidR="008A50E2">
        <w:t xml:space="preserve">ew methods </w:t>
      </w:r>
      <w:r>
        <w:t>are being developed that</w:t>
      </w:r>
      <w:r w:rsidR="008A50E2">
        <w:t xml:space="preserve"> calculat</w:t>
      </w:r>
      <w:r>
        <w:t>e</w:t>
      </w:r>
      <w:r w:rsidR="008A50E2">
        <w:t xml:space="preserve"> the amount of available P within the soil, that use more advance</w:t>
      </w:r>
      <w:r w:rsidR="0009288C">
        <w:t>d</w:t>
      </w:r>
      <w:r w:rsidR="008A50E2">
        <w:t xml:space="preserve"> method</w:t>
      </w:r>
      <w:r>
        <w:t xml:space="preserve">s compared to the </w:t>
      </w:r>
      <w:r w:rsidR="008A50E2">
        <w:t xml:space="preserve">very sensitive approach </w:t>
      </w:r>
      <w:r>
        <w:t xml:space="preserve">of Olsen P for example </w:t>
      </w:r>
      <w:r w:rsidR="002B391B">
        <w:t>(</w:t>
      </w:r>
      <w:r w:rsidR="00FC3FEF">
        <w:t xml:space="preserve">Van </w:t>
      </w:r>
      <w:r w:rsidR="002B391B">
        <w:t xml:space="preserve">Rotterdam </w:t>
      </w:r>
      <w:r w:rsidR="002B391B" w:rsidRPr="0063368E">
        <w:rPr>
          <w:i/>
          <w:iCs/>
        </w:rPr>
        <w:t>et al.</w:t>
      </w:r>
      <w:r w:rsidR="002B391B">
        <w:t>, 2009)</w:t>
      </w:r>
      <w:r w:rsidR="008A50E2">
        <w:t xml:space="preserve">. </w:t>
      </w:r>
      <w:r>
        <w:t>O</w:t>
      </w:r>
      <w:r w:rsidR="00E80DA3">
        <w:t>ne m</w:t>
      </w:r>
      <w:r w:rsidR="008A50E2">
        <w:t>ethod</w:t>
      </w:r>
      <w:r w:rsidR="00E80DA3">
        <w:t>,</w:t>
      </w:r>
      <w:r w:rsidR="008A50E2" w:rsidRPr="00E80DA3">
        <w:t xml:space="preserve"> </w:t>
      </w:r>
      <w:r w:rsidR="00E80DA3">
        <w:t xml:space="preserve">Diffusive Gradients in Thin films </w:t>
      </w:r>
      <w:r w:rsidR="00E80DA3" w:rsidRPr="00E80DA3">
        <w:t>(DGT</w:t>
      </w:r>
      <w:r w:rsidR="00E80DA3">
        <w:t xml:space="preserve">) measures the diffusion of P taken from a soil sample to calculate the available P (Tandy </w:t>
      </w:r>
      <w:r w:rsidR="00E80DA3" w:rsidRPr="0063368E">
        <w:rPr>
          <w:i/>
          <w:iCs/>
        </w:rPr>
        <w:t>et al.</w:t>
      </w:r>
      <w:r w:rsidR="00E80DA3">
        <w:t>, 201</w:t>
      </w:r>
      <w:r w:rsidR="002D12F7">
        <w:t>1</w:t>
      </w:r>
      <w:r w:rsidR="00E80DA3">
        <w:t>).</w:t>
      </w:r>
      <w:r w:rsidR="007F5C14">
        <w:t xml:space="preserve"> </w:t>
      </w:r>
      <w:r>
        <w:t xml:space="preserve">These new </w:t>
      </w:r>
      <w:r w:rsidR="009755FC">
        <w:t xml:space="preserve">approaches </w:t>
      </w:r>
      <w:r>
        <w:t xml:space="preserve">are </w:t>
      </w:r>
      <w:r w:rsidR="0009288C">
        <w:t>attempting</w:t>
      </w:r>
      <w:r>
        <w:t xml:space="preserve"> to </w:t>
      </w:r>
      <w:r w:rsidR="00D6502F">
        <w:t xml:space="preserve">develop a robust method for </w:t>
      </w:r>
      <w:r>
        <w:t>all soils and if suc</w:t>
      </w:r>
      <w:r w:rsidR="00D6502F">
        <w:t>cessful could result in a break</w:t>
      </w:r>
      <w:r>
        <w:t>through and a better understanding of P</w:t>
      </w:r>
      <w:r w:rsidR="009755FC">
        <w:t xml:space="preserve"> dynamics</w:t>
      </w:r>
      <w:r>
        <w:t xml:space="preserve"> within the soil. </w:t>
      </w:r>
    </w:p>
    <w:p w14:paraId="117F9642" w14:textId="540A9381" w:rsidR="00231443" w:rsidRDefault="00327343" w:rsidP="00DD1011">
      <w:pPr>
        <w:jc w:val="both"/>
      </w:pPr>
      <w:r>
        <w:t>Within some field sites</w:t>
      </w:r>
      <w:r w:rsidR="00231443">
        <w:t xml:space="preserve"> there is little notion of </w:t>
      </w:r>
      <w:r w:rsidR="0077690D">
        <w:t xml:space="preserve">how </w:t>
      </w:r>
      <w:r w:rsidR="00231443">
        <w:t xml:space="preserve">available </w:t>
      </w:r>
      <w:r w:rsidR="00CE56D3">
        <w:t>P</w:t>
      </w:r>
      <w:r w:rsidR="00231443">
        <w:t xml:space="preserve"> is</w:t>
      </w:r>
      <w:r w:rsidR="0077690D">
        <w:t xml:space="preserve"> distributed</w:t>
      </w:r>
      <w:r w:rsidR="00231443">
        <w:t xml:space="preserve"> within the soil profile,</w:t>
      </w:r>
      <w:r w:rsidR="0077690D">
        <w:t xml:space="preserve"> with respect to </w:t>
      </w:r>
      <w:r w:rsidR="00231443">
        <w:t xml:space="preserve">depth. The idea that </w:t>
      </w:r>
      <w:r w:rsidR="0077690D">
        <w:t>the majority</w:t>
      </w:r>
      <w:r w:rsidR="00231443">
        <w:t xml:space="preserve"> of P added through fertilisers is given to the crop is partly true, as a </w:t>
      </w:r>
      <w:r w:rsidR="00F05146">
        <w:t>s</w:t>
      </w:r>
      <w:r w:rsidR="007E1137">
        <w:t>et</w:t>
      </w:r>
      <w:r w:rsidR="00231443">
        <w:t xml:space="preserve"> amount</w:t>
      </w:r>
      <w:r w:rsidR="0077690D">
        <w:t xml:space="preserve"> is</w:t>
      </w:r>
      <w:r w:rsidR="00231443">
        <w:t xml:space="preserve"> </w:t>
      </w:r>
      <w:r w:rsidR="00DD1011">
        <w:t xml:space="preserve">sorbed to the </w:t>
      </w:r>
      <w:r w:rsidR="00231443">
        <w:t>soil</w:t>
      </w:r>
      <w:r w:rsidR="00DD1011">
        <w:t xml:space="preserve"> particles</w:t>
      </w:r>
      <w:r w:rsidR="00231443">
        <w:t xml:space="preserve">. However, </w:t>
      </w:r>
      <w:r w:rsidR="004E059B">
        <w:t xml:space="preserve">from </w:t>
      </w:r>
      <w:r w:rsidR="00231443">
        <w:t>the modelling work</w:t>
      </w:r>
      <w:r w:rsidR="004E059B">
        <w:t xml:space="preserve"> presented</w:t>
      </w:r>
      <w:r w:rsidR="00C319B9">
        <w:t xml:space="preserve"> </w:t>
      </w:r>
      <w:r w:rsidR="0077690D">
        <w:t xml:space="preserve">in this paper </w:t>
      </w:r>
      <w:r w:rsidR="004E059B">
        <w:t xml:space="preserve">we can </w:t>
      </w:r>
      <w:r w:rsidR="0077690D">
        <w:t xml:space="preserve">conclude </w:t>
      </w:r>
      <w:r w:rsidR="00C319B9">
        <w:t>that</w:t>
      </w:r>
      <w:r w:rsidR="00231443">
        <w:t xml:space="preserve"> the distributio</w:t>
      </w:r>
      <w:r w:rsidR="00C319B9">
        <w:t>n of</w:t>
      </w:r>
      <w:r w:rsidR="0077690D">
        <w:t xml:space="preserve"> initial</w:t>
      </w:r>
      <w:r w:rsidR="00C319B9">
        <w:t xml:space="preserve"> P within the soil profile </w:t>
      </w:r>
      <w:r w:rsidR="009755FC">
        <w:t xml:space="preserve">significantly </w:t>
      </w:r>
      <w:r w:rsidR="00C319B9">
        <w:t>a</w:t>
      </w:r>
      <w:r w:rsidR="0077690D">
        <w:t>ffects t</w:t>
      </w:r>
      <w:r w:rsidR="00231443">
        <w:t>otal</w:t>
      </w:r>
      <w:r w:rsidR="0077690D">
        <w:t xml:space="preserve"> plant</w:t>
      </w:r>
      <w:r w:rsidR="00231443">
        <w:t xml:space="preserve"> P uptake</w:t>
      </w:r>
      <w:r w:rsidR="002E2406">
        <w:t>.</w:t>
      </w:r>
      <w:r w:rsidR="007F6DA9">
        <w:t xml:space="preserve"> </w:t>
      </w:r>
      <w:r w:rsidR="002E2406">
        <w:t>T</w:t>
      </w:r>
      <w:r w:rsidR="007F6DA9">
        <w:t>here was a</w:t>
      </w:r>
      <w:r w:rsidR="007C57C8">
        <w:t>n</w:t>
      </w:r>
      <w:r w:rsidR="007F6DA9">
        <w:t xml:space="preserve"> </w:t>
      </w:r>
      <w:r w:rsidR="00203E36">
        <w:t>increase</w:t>
      </w:r>
      <w:r w:rsidR="007F6DA9">
        <w:t xml:space="preserve"> </w:t>
      </w:r>
      <w:r w:rsidR="002E2406">
        <w:t xml:space="preserve">in plant P uptake, </w:t>
      </w:r>
      <w:r w:rsidR="007F6DA9">
        <w:t>from a constant P distribution to an exponentially decaying P distribution, of 18.3% (GS 92) for winter barley, and 5</w:t>
      </w:r>
      <w:r w:rsidR="00B01E19">
        <w:t>.0</w:t>
      </w:r>
      <w:r w:rsidR="007F6DA9">
        <w:t>% (GS 91) for spring barley.</w:t>
      </w:r>
      <w:r w:rsidR="00231443">
        <w:t xml:space="preserve"> </w:t>
      </w:r>
      <w:r w:rsidR="00C319B9">
        <w:t>The</w:t>
      </w:r>
      <w:r w:rsidR="00FC3FEF">
        <w:t xml:space="preserve"> </w:t>
      </w:r>
      <w:r w:rsidR="0034141E">
        <w:t>field data for the distribution of P with depth</w:t>
      </w:r>
      <w:r w:rsidR="004477A6">
        <w:t>,</w:t>
      </w:r>
      <w:r w:rsidR="0034141E">
        <w:t xml:space="preserve"> showed</w:t>
      </w:r>
      <w:r w:rsidR="00C319B9">
        <w:t xml:space="preserve"> an exponential decay of available P, with the majority</w:t>
      </w:r>
      <w:r w:rsidR="00B4148F">
        <w:t xml:space="preserve"> of P</w:t>
      </w:r>
      <w:r w:rsidR="00C319B9">
        <w:t xml:space="preserve"> </w:t>
      </w:r>
      <w:r w:rsidR="00B4148F">
        <w:t>situated</w:t>
      </w:r>
      <w:r w:rsidR="00BC136B">
        <w:t xml:space="preserve"> within the top 30 cm. The steepness of the decay</w:t>
      </w:r>
      <w:r w:rsidR="00FB218A">
        <w:t xml:space="preserve"> differs from P index to P index, decreasing with lower P content. In addition, it has been shown that the steepness of decay for similar P content soils also differs from site to site</w:t>
      </w:r>
      <w:r w:rsidR="000B476A">
        <w:t xml:space="preserve"> </w:t>
      </w:r>
      <w:r w:rsidR="000B476A" w:rsidRPr="00FC3FEF">
        <w:t>(</w:t>
      </w:r>
      <w:proofErr w:type="spellStart"/>
      <w:r w:rsidR="000B476A">
        <w:t>Jobbágy</w:t>
      </w:r>
      <w:proofErr w:type="spellEnd"/>
      <w:r w:rsidR="000B476A">
        <w:t xml:space="preserve"> and Jackson, 2001)</w:t>
      </w:r>
      <w:r w:rsidR="00BC136B">
        <w:t xml:space="preserve"> and </w:t>
      </w:r>
      <w:r w:rsidR="000B476A">
        <w:t xml:space="preserve">this </w:t>
      </w:r>
      <w:r w:rsidR="00394E91">
        <w:t>c</w:t>
      </w:r>
      <w:r w:rsidR="000B476A">
        <w:t>ould</w:t>
      </w:r>
      <w:r w:rsidR="00394E91">
        <w:t xml:space="preserve"> alter the optimal fertiliser strategy.</w:t>
      </w:r>
      <w:r w:rsidR="00BC136B">
        <w:t xml:space="preserve"> </w:t>
      </w:r>
      <w:r w:rsidR="00394E91">
        <w:t xml:space="preserve">Data concerning </w:t>
      </w:r>
      <w:r w:rsidR="00CA216F">
        <w:t>the state and distribution of P</w:t>
      </w:r>
      <w:r w:rsidR="00394E91">
        <w:t xml:space="preserve"> within the soil </w:t>
      </w:r>
      <w:r w:rsidR="00801144">
        <w:t>is now becoming more available</w:t>
      </w:r>
      <w:r w:rsidR="00D561E3">
        <w:t>, as it can be used to save on</w:t>
      </w:r>
      <w:r w:rsidR="00801144">
        <w:t xml:space="preserve"> fertiliser costs </w:t>
      </w:r>
      <w:r w:rsidR="00213CD5">
        <w:t>(</w:t>
      </w:r>
      <w:r w:rsidR="00CA216F">
        <w:t>Yang et al., 2013</w:t>
      </w:r>
      <w:r w:rsidR="00213CD5">
        <w:t>)</w:t>
      </w:r>
      <w:r w:rsidR="00801144">
        <w:t xml:space="preserve">. </w:t>
      </w:r>
    </w:p>
    <w:p w14:paraId="66B4154D" w14:textId="59C127BA" w:rsidR="00C319B9" w:rsidRDefault="00B82B65" w:rsidP="003B3EF7">
      <w:pPr>
        <w:jc w:val="both"/>
      </w:pPr>
      <w:r>
        <w:t>T</w:t>
      </w:r>
      <w:r w:rsidR="00C319B9">
        <w:t>he</w:t>
      </w:r>
      <w:r w:rsidR="007E5A7C">
        <w:t xml:space="preserve"> soil</w:t>
      </w:r>
      <w:r w:rsidR="00C319B9">
        <w:t xml:space="preserve"> buffer p</w:t>
      </w:r>
      <w:r w:rsidR="00BC136B">
        <w:t xml:space="preserve">ower </w:t>
      </w:r>
      <w:r w:rsidR="007E5A7C">
        <w:t>value</w:t>
      </w:r>
      <w:r w:rsidR="00BC136B">
        <w:t>, a term used to describe the relationship between available and non-available P</w:t>
      </w:r>
      <w:r w:rsidR="00DD4891">
        <w:t xml:space="preserve"> (in equilibrium)</w:t>
      </w:r>
      <w:r w:rsidR="00BC136B">
        <w:t>, is very sensitive within the model.</w:t>
      </w:r>
      <w:r w:rsidR="00BA2C4C">
        <w:t xml:space="preserve"> The higher the</w:t>
      </w:r>
      <w:r w:rsidR="007E5A7C">
        <w:t xml:space="preserve"> soil</w:t>
      </w:r>
      <w:r w:rsidR="00BA2C4C">
        <w:t xml:space="preserve"> buffer power </w:t>
      </w:r>
      <w:r w:rsidR="003166E2">
        <w:t xml:space="preserve">value </w:t>
      </w:r>
      <w:r w:rsidR="00BA2C4C">
        <w:t xml:space="preserve">the greater amount of P is </w:t>
      </w:r>
      <w:r w:rsidR="003B3EF7">
        <w:t xml:space="preserve">sorbed </w:t>
      </w:r>
      <w:r w:rsidR="00BA2C4C">
        <w:t xml:space="preserve">to the soil </w:t>
      </w:r>
      <w:r w:rsidR="00013514">
        <w:t>(</w:t>
      </w:r>
      <w:r w:rsidR="003B3EF7">
        <w:t xml:space="preserve">sorbed P is </w:t>
      </w:r>
      <w:r w:rsidR="00013514">
        <w:t>a combination of adsorbed and penetrated P)</w:t>
      </w:r>
      <w:r w:rsidR="00BA2C4C">
        <w:t xml:space="preserve">. </w:t>
      </w:r>
      <w:r w:rsidR="00BC136B">
        <w:t>Small changes to the</w:t>
      </w:r>
      <w:r w:rsidR="007E5A7C">
        <w:t xml:space="preserve"> soil</w:t>
      </w:r>
      <w:r w:rsidR="00BC136B">
        <w:t xml:space="preserve"> buffer power</w:t>
      </w:r>
      <w:r w:rsidR="003166E2">
        <w:t xml:space="preserve"> value</w:t>
      </w:r>
      <w:r w:rsidR="00BC136B">
        <w:t xml:space="preserve"> </w:t>
      </w:r>
      <w:r w:rsidR="00EB2AFC">
        <w:t>cause</w:t>
      </w:r>
      <w:r w:rsidR="00BC136B">
        <w:t xml:space="preserve"> </w:t>
      </w:r>
      <w:r>
        <w:t xml:space="preserve">plant </w:t>
      </w:r>
      <w:r w:rsidR="00BC136B">
        <w:t>P uptake values</w:t>
      </w:r>
      <w:r w:rsidR="00EB2AFC">
        <w:t xml:space="preserve"> to</w:t>
      </w:r>
      <w:r w:rsidR="00BC136B">
        <w:t xml:space="preserve"> vary by </w:t>
      </w:r>
      <w:r w:rsidR="00344841" w:rsidRPr="00344841">
        <w:t xml:space="preserve">50% </w:t>
      </w:r>
      <w:r w:rsidR="00344841">
        <w:t>(</w:t>
      </w:r>
      <w:r w:rsidR="00EB2AFC">
        <w:t xml:space="preserve">for </w:t>
      </w:r>
      <w:r w:rsidR="007E5A7C">
        <w:t xml:space="preserve">soil </w:t>
      </w:r>
      <w:r w:rsidR="00344841" w:rsidRPr="00344841">
        <w:t xml:space="preserve">buffer power values of 40 </w:t>
      </w:r>
      <w:r w:rsidR="00EB2AFC">
        <w:t>and</w:t>
      </w:r>
      <w:r w:rsidR="00344841" w:rsidRPr="00344841">
        <w:t xml:space="preserve"> 23.28</w:t>
      </w:r>
      <w:r w:rsidR="00A71CF6">
        <w:t xml:space="preserve">, Fig. </w:t>
      </w:r>
      <w:r w:rsidR="00EA020B">
        <w:t>5</w:t>
      </w:r>
      <w:r w:rsidR="00344841">
        <w:t>)</w:t>
      </w:r>
      <w:r w:rsidR="00BC136B">
        <w:t xml:space="preserve">. </w:t>
      </w:r>
      <w:r w:rsidR="00B85693">
        <w:t>F</w:t>
      </w:r>
      <w:r w:rsidR="00801144">
        <w:t>ield trial data</w:t>
      </w:r>
      <w:r w:rsidR="00B85693">
        <w:t xml:space="preserve"> generally </w:t>
      </w:r>
      <w:r w:rsidR="00EB2AFC">
        <w:t>has</w:t>
      </w:r>
      <w:r w:rsidR="00801144">
        <w:t xml:space="preserve"> at best one value for the</w:t>
      </w:r>
      <w:r w:rsidR="007E5A7C">
        <w:t xml:space="preserve"> soil</w:t>
      </w:r>
      <w:r w:rsidR="00801144">
        <w:t xml:space="preserve"> </w:t>
      </w:r>
      <w:r w:rsidR="00685150">
        <w:t>buffer power for a plot of land,</w:t>
      </w:r>
      <w:r w:rsidR="00801144">
        <w:t xml:space="preserve"> </w:t>
      </w:r>
      <w:r w:rsidR="00B85693">
        <w:t xml:space="preserve">despite the fact that </w:t>
      </w:r>
      <w:r w:rsidR="00801144">
        <w:t>there is evidence to show that this values changes within plots, and even with depth (</w:t>
      </w:r>
      <w:proofErr w:type="spellStart"/>
      <w:r w:rsidR="00E53E91" w:rsidRPr="00E53E91">
        <w:t>Bhadoria</w:t>
      </w:r>
      <w:proofErr w:type="spellEnd"/>
      <w:r w:rsidR="00E53E91" w:rsidRPr="00E53E91">
        <w:t xml:space="preserve"> </w:t>
      </w:r>
      <w:r w:rsidR="00E53E91" w:rsidRPr="0063368E">
        <w:rPr>
          <w:i/>
          <w:iCs/>
        </w:rPr>
        <w:t>et al.</w:t>
      </w:r>
      <w:r w:rsidR="00E53E91" w:rsidRPr="00E53E91">
        <w:t>, 1991</w:t>
      </w:r>
      <w:r w:rsidR="00801144">
        <w:t>).</w:t>
      </w:r>
      <w:r w:rsidR="00A169CA">
        <w:t xml:space="preserve"> The soil buffer power is not a single soil property but a combination of soil properties and P fertiliser history.</w:t>
      </w:r>
      <w:r w:rsidR="00801144">
        <w:t xml:space="preserve"> Therefore</w:t>
      </w:r>
      <w:r w:rsidR="00E72326">
        <w:t>,</w:t>
      </w:r>
      <w:r w:rsidR="00801144">
        <w:t xml:space="preserve"> to accurately model the available P within the soil</w:t>
      </w:r>
      <w:r w:rsidR="00E72326">
        <w:t>,</w:t>
      </w:r>
      <w:r w:rsidR="00801144">
        <w:t xml:space="preserve"> </w:t>
      </w:r>
      <w:r>
        <w:t>the</w:t>
      </w:r>
      <w:r w:rsidR="007E5A7C">
        <w:t xml:space="preserve"> soil</w:t>
      </w:r>
      <w:r>
        <w:t xml:space="preserve"> buffer power</w:t>
      </w:r>
      <w:r w:rsidR="00801144">
        <w:t xml:space="preserve"> </w:t>
      </w:r>
      <w:r w:rsidR="00E72326">
        <w:t xml:space="preserve">value </w:t>
      </w:r>
      <w:r w:rsidR="00801144">
        <w:t xml:space="preserve">should be validated for site specific data and </w:t>
      </w:r>
      <w:r>
        <w:t xml:space="preserve">this </w:t>
      </w:r>
      <w:r w:rsidR="00E72326">
        <w:t>could</w:t>
      </w:r>
      <w:r w:rsidR="00801144">
        <w:t xml:space="preserve"> affect the</w:t>
      </w:r>
      <w:r w:rsidR="00E72326">
        <w:t xml:space="preserve"> optimal</w:t>
      </w:r>
      <w:r w:rsidR="00213CD5">
        <w:t xml:space="preserve"> </w:t>
      </w:r>
      <w:r w:rsidR="00801144">
        <w:t xml:space="preserve">fertiliser </w:t>
      </w:r>
      <w:r>
        <w:t xml:space="preserve">and soil cultivation </w:t>
      </w:r>
      <w:r w:rsidR="00801144">
        <w:t>strategy.</w:t>
      </w:r>
      <w:r w:rsidR="008B3DBD">
        <w:t xml:space="preserve"> Deriving relationships between soil P values and buffer power can help estimate fertiliser requirements to maximise crop yield and/or increase fertiliser efficiency (Moody, 2007).</w:t>
      </w:r>
      <w:r w:rsidR="00BD209F">
        <w:t xml:space="preserve"> Improving P fertiliser recommendations follows from a better prediction of P availability in the soil</w:t>
      </w:r>
      <w:r w:rsidR="00094744">
        <w:t xml:space="preserve">. </w:t>
      </w:r>
      <w:r w:rsidR="002E632D">
        <w:t>This can be achieved</w:t>
      </w:r>
      <w:r w:rsidR="002831E2">
        <w:t xml:space="preserve"> from just two soils tests (P-AL and P-CaCl</w:t>
      </w:r>
      <w:r w:rsidR="002831E2" w:rsidRPr="008A048F">
        <w:rPr>
          <w:vertAlign w:val="subscript"/>
        </w:rPr>
        <w:t>2</w:t>
      </w:r>
      <w:r w:rsidR="002831E2">
        <w:t>)</w:t>
      </w:r>
      <w:r w:rsidR="002E632D">
        <w:t xml:space="preserve"> </w:t>
      </w:r>
      <w:r w:rsidR="002831E2">
        <w:t>which approximate P intensity, P quantity and buffering capacity. The combination of these three values yields higher quality</w:t>
      </w:r>
      <w:r w:rsidR="002E632D">
        <w:t xml:space="preserve"> e</w:t>
      </w:r>
      <w:r w:rsidR="00094744">
        <w:t>stimat</w:t>
      </w:r>
      <w:r w:rsidR="002831E2">
        <w:t>ions of</w:t>
      </w:r>
      <w:r w:rsidR="00094744">
        <w:t xml:space="preserve"> the soil P supply potential to </w:t>
      </w:r>
      <w:r w:rsidR="00F6681B">
        <w:t>an</w:t>
      </w:r>
      <w:r w:rsidR="00094744">
        <w:t xml:space="preserve"> artificial P sink (Van Rotterdam </w:t>
      </w:r>
      <w:r w:rsidR="00094744" w:rsidRPr="008A048F">
        <w:rPr>
          <w:i/>
          <w:iCs/>
        </w:rPr>
        <w:t>et al.</w:t>
      </w:r>
      <w:r w:rsidR="00094744">
        <w:t>, 2014).</w:t>
      </w:r>
      <w:r w:rsidR="00A24AA1">
        <w:t>.</w:t>
      </w:r>
      <w:r w:rsidR="00546EF8">
        <w:t xml:space="preserve"> Plant access to sorbed P depends on both the soil and the plant, where the strength of the soil P sorption site can greatly affect the amount of P released to the available P pool during a growing season. A plant root structure with significant numbers of root hairs can deplete solution P to low levels at the root surface, which can result in a greater P diffusion in response to the steeper concentration gradient.</w:t>
      </w:r>
      <w:r w:rsidR="00A24AA1">
        <w:t xml:space="preserve"> </w:t>
      </w:r>
      <w:r w:rsidR="007E5A7C">
        <w:t>For</w:t>
      </w:r>
      <w:r w:rsidR="00A24AA1">
        <w:t xml:space="preserve"> a high </w:t>
      </w:r>
      <w:r w:rsidR="007E5A7C">
        <w:t xml:space="preserve">soil </w:t>
      </w:r>
      <w:r w:rsidR="00A24AA1">
        <w:t xml:space="preserve">buffer power value there is a </w:t>
      </w:r>
      <w:r w:rsidR="00D84DE4">
        <w:t>lower chance of</w:t>
      </w:r>
      <w:r w:rsidR="00801144">
        <w:t xml:space="preserve"> adding P and getting a response in </w:t>
      </w:r>
      <w:r w:rsidR="00A24AA1">
        <w:t xml:space="preserve">plant </w:t>
      </w:r>
      <w:r w:rsidR="00801144">
        <w:t>P uptake</w:t>
      </w:r>
      <w:r w:rsidR="00D84DE4">
        <w:t xml:space="preserve">. In addition, when P </w:t>
      </w:r>
      <w:r w:rsidR="00E82E8C">
        <w:t>levels in soil are high</w:t>
      </w:r>
      <w:r w:rsidR="00D84DE4">
        <w:t>, possibly due to over-fertilisation (</w:t>
      </w:r>
      <w:proofErr w:type="spellStart"/>
      <w:r w:rsidR="00D84DE4">
        <w:t>Borda</w:t>
      </w:r>
      <w:proofErr w:type="spellEnd"/>
      <w:r w:rsidR="00D84DE4">
        <w:t xml:space="preserve"> </w:t>
      </w:r>
      <w:r w:rsidR="00D84DE4" w:rsidRPr="0063368E">
        <w:rPr>
          <w:i/>
          <w:iCs/>
        </w:rPr>
        <w:t>et al.</w:t>
      </w:r>
      <w:r w:rsidR="00D84DE4">
        <w:t xml:space="preserve">, 2011), there is an increased loss of P </w:t>
      </w:r>
      <w:r w:rsidR="001C3743">
        <w:t xml:space="preserve">to surface water resulting in </w:t>
      </w:r>
      <w:r w:rsidR="00820082">
        <w:t>eutrophication</w:t>
      </w:r>
      <w:r w:rsidR="00D84DE4">
        <w:t xml:space="preserve"> (</w:t>
      </w:r>
      <w:proofErr w:type="spellStart"/>
      <w:r w:rsidR="00D84DE4">
        <w:t>Hartikainen</w:t>
      </w:r>
      <w:proofErr w:type="spellEnd"/>
      <w:r w:rsidR="00D84DE4">
        <w:t>, Rasa &amp; Withers, 2010)</w:t>
      </w:r>
      <w:r w:rsidR="00801144">
        <w:t>.</w:t>
      </w:r>
    </w:p>
    <w:p w14:paraId="2E73EFFC" w14:textId="3DE016D1" w:rsidR="003D16C9" w:rsidRDefault="003D16C9" w:rsidP="00011D7F">
      <w:pPr>
        <w:jc w:val="both"/>
      </w:pPr>
      <w:r w:rsidRPr="003D16C9">
        <w:lastRenderedPageBreak/>
        <w:t>The idea to run down sites from a high P index 3, to 1 and 2 is achievable, but happening at a much slower rate due to over fertili</w:t>
      </w:r>
      <w:r w:rsidR="00E84505">
        <w:t>sation where it is not necessarily</w:t>
      </w:r>
      <w:r w:rsidRPr="003D16C9">
        <w:t xml:space="preserve"> needed (</w:t>
      </w:r>
      <w:proofErr w:type="spellStart"/>
      <w:r w:rsidRPr="003D16C9">
        <w:t>Lalor</w:t>
      </w:r>
      <w:proofErr w:type="spellEnd"/>
      <w:r w:rsidRPr="003D16C9">
        <w:t xml:space="preserve"> </w:t>
      </w:r>
      <w:r w:rsidRPr="003D16C9">
        <w:rPr>
          <w:i/>
          <w:iCs/>
        </w:rPr>
        <w:t>et al.</w:t>
      </w:r>
      <w:r w:rsidRPr="003D16C9">
        <w:t xml:space="preserve">, 2012). It is therefore important to study which processes can help improve crop yields in low P </w:t>
      </w:r>
      <w:r w:rsidR="00B7374E">
        <w:t>content soils</w:t>
      </w:r>
      <w:r w:rsidRPr="003D16C9">
        <w:t xml:space="preserve"> and perhaps more information is needed in this area. For example, field tests and the collection of more data </w:t>
      </w:r>
      <w:r w:rsidR="005A3A0C">
        <w:t>in conjunction</w:t>
      </w:r>
      <w:r w:rsidRPr="003D16C9">
        <w:t xml:space="preserve"> with models are necessary for the future.</w:t>
      </w:r>
    </w:p>
    <w:p w14:paraId="7F136315" w14:textId="621DFEA2" w:rsidR="005C515F" w:rsidRPr="003D16C9" w:rsidRDefault="005C515F" w:rsidP="005C515F">
      <w:pPr>
        <w:jc w:val="both"/>
      </w:pPr>
      <w:r w:rsidRPr="00925069">
        <w:t xml:space="preserve">When a low-P soil is first fertilised, appreciable amounts of sorbed </w:t>
      </w:r>
      <w:r>
        <w:t>P</w:t>
      </w:r>
      <w:r w:rsidRPr="00925069">
        <w:t xml:space="preserve"> penetrate the particle. That fertiliser therefore becomes less effective, and there is </w:t>
      </w:r>
      <w:r w:rsidR="00C0535E">
        <w:t>a</w:t>
      </w:r>
      <w:r w:rsidRPr="00925069">
        <w:t xml:space="preserve"> sorption/desorption hysteresis</w:t>
      </w:r>
      <w:r>
        <w:t xml:space="preserve"> (</w:t>
      </w:r>
      <w:proofErr w:type="spellStart"/>
      <w:r>
        <w:t>Okajima</w:t>
      </w:r>
      <w:proofErr w:type="spellEnd"/>
      <w:r>
        <w:t xml:space="preserve"> </w:t>
      </w:r>
      <w:r w:rsidRPr="008A048F">
        <w:rPr>
          <w:i/>
          <w:iCs/>
        </w:rPr>
        <w:t>et al.</w:t>
      </w:r>
      <w:r>
        <w:t>, 1983)</w:t>
      </w:r>
      <w:r w:rsidRPr="00925069">
        <w:t>. However as a consequence of the penetration, the negative charge on the reacting particles increases and the buffering capacity therefore decreases. Consequently the effectiveness of further applications increases</w:t>
      </w:r>
      <w:r w:rsidR="00877368">
        <w:t xml:space="preserve"> until the pathways become saturated</w:t>
      </w:r>
      <w:r w:rsidRPr="00925069">
        <w:t>.</w:t>
      </w:r>
      <w:r w:rsidRPr="005C515F">
        <w:t xml:space="preserve"> When this happens</w:t>
      </w:r>
      <w:r>
        <w:t>,</w:t>
      </w:r>
      <w:r w:rsidRPr="005C515F">
        <w:t xml:space="preserve"> </w:t>
      </w:r>
      <w:r>
        <w:t xml:space="preserve">the </w:t>
      </w:r>
      <w:r w:rsidRPr="005C515F">
        <w:t xml:space="preserve">adsorption/desorption hysteresis disappears and </w:t>
      </w:r>
      <w:r>
        <w:t>P</w:t>
      </w:r>
      <w:r w:rsidRPr="005C515F">
        <w:t xml:space="preserve"> bec</w:t>
      </w:r>
      <w:r>
        <w:t>omes more effective</w:t>
      </w:r>
      <w:r w:rsidR="00BA1002">
        <w:t xml:space="preserve"> </w:t>
      </w:r>
      <w:r w:rsidR="00BA1002" w:rsidRPr="005C515F">
        <w:t>(</w:t>
      </w:r>
      <w:proofErr w:type="spellStart"/>
      <w:r w:rsidR="00BA1002">
        <w:t>Bolland</w:t>
      </w:r>
      <w:proofErr w:type="spellEnd"/>
      <w:r w:rsidR="00BA1002">
        <w:t xml:space="preserve"> and Baker, 1998</w:t>
      </w:r>
      <w:r w:rsidR="00BA1002" w:rsidRPr="005C515F">
        <w:t>)</w:t>
      </w:r>
      <w:r>
        <w:t xml:space="preserve">. </w:t>
      </w:r>
      <w:r w:rsidR="00BA1002">
        <w:t xml:space="preserve">This hysteresis effect is of importance for models which simulate long term fertiliser strategies. However, for short term models </w:t>
      </w:r>
      <w:r w:rsidR="00C0535E">
        <w:t xml:space="preserve">(up to one crop season) </w:t>
      </w:r>
      <w:r w:rsidR="00597900">
        <w:t>it is adequate to use the buffer power to approximate</w:t>
      </w:r>
      <w:r w:rsidR="00BA1002">
        <w:t xml:space="preserve"> </w:t>
      </w:r>
      <w:r w:rsidR="00597900">
        <w:t>the</w:t>
      </w:r>
      <w:r w:rsidR="00BA1002">
        <w:t xml:space="preserve"> amount of added P </w:t>
      </w:r>
      <w:r w:rsidR="00597900">
        <w:t>that becomes sorbed to the soil.</w:t>
      </w:r>
    </w:p>
    <w:p w14:paraId="25A21513" w14:textId="03A39468" w:rsidR="004608F6" w:rsidRDefault="00802FFA" w:rsidP="00011D7F">
      <w:pPr>
        <w:jc w:val="both"/>
      </w:pPr>
      <w:r>
        <w:t>Within this paper we have</w:t>
      </w:r>
      <w:r w:rsidR="003F4187">
        <w:t xml:space="preserve"> </w:t>
      </w:r>
      <w:r w:rsidR="00AE0B08">
        <w:t>studied</w:t>
      </w:r>
      <w:r w:rsidR="003F4187">
        <w:t xml:space="preserve"> the effect of </w:t>
      </w:r>
      <w:r>
        <w:t>plant P uptake in</w:t>
      </w:r>
      <w:r w:rsidR="00B82B65">
        <w:t xml:space="preserve"> barley </w:t>
      </w:r>
      <w:r>
        <w:t>for different</w:t>
      </w:r>
      <w:r w:rsidR="003F4187">
        <w:t xml:space="preserve"> </w:t>
      </w:r>
      <w:r w:rsidR="004E2EB1">
        <w:t xml:space="preserve">fertiliser and </w:t>
      </w:r>
      <w:r>
        <w:t>soil cultivation strategies</w:t>
      </w:r>
      <w:r w:rsidR="003F4187">
        <w:t xml:space="preserve"> given certain initial conditions. However in reality, these initial conditions change from year to year and </w:t>
      </w:r>
      <w:r>
        <w:t>the best strategy</w:t>
      </w:r>
      <w:r w:rsidR="003F4187">
        <w:t xml:space="preserve"> in one </w:t>
      </w:r>
      <w:r w:rsidR="00AE0B08">
        <w:t xml:space="preserve">year is not necessarily best in the </w:t>
      </w:r>
      <w:r w:rsidR="003F4187">
        <w:t>following year. A sustainable strategy is needed</w:t>
      </w:r>
      <w:r w:rsidR="00265E5C">
        <w:t xml:space="preserve"> as well as a way of estimating</w:t>
      </w:r>
      <w:r w:rsidR="003F4187">
        <w:t xml:space="preserve"> </w:t>
      </w:r>
      <w:r w:rsidR="00265E5C">
        <w:t>how this</w:t>
      </w:r>
      <w:r w:rsidR="003F4187">
        <w:t xml:space="preserve"> will a</w:t>
      </w:r>
      <w:r w:rsidR="00D208B2">
        <w:t xml:space="preserve">ffect the soil 5 or </w:t>
      </w:r>
      <w:r w:rsidR="003F4187">
        <w:t xml:space="preserve">10 years from now. As </w:t>
      </w:r>
      <w:r w:rsidR="009A00B6">
        <w:t>long term field trials are</w:t>
      </w:r>
      <w:r w:rsidR="003F4187">
        <w:t xml:space="preserve"> expensive</w:t>
      </w:r>
      <w:r w:rsidR="00AE0B08">
        <w:t>,</w:t>
      </w:r>
      <w:r w:rsidR="003F4187">
        <w:t xml:space="preserve"> model</w:t>
      </w:r>
      <w:r w:rsidR="00AE0B08">
        <w:t xml:space="preserve">s provide the ability </w:t>
      </w:r>
      <w:r w:rsidR="003F4187">
        <w:t xml:space="preserve">to simulate the effects of different </w:t>
      </w:r>
      <w:r w:rsidR="00EA675E">
        <w:t>strategies</w:t>
      </w:r>
      <w:r w:rsidR="009755FC">
        <w:t xml:space="preserve"> </w:t>
      </w:r>
      <w:r w:rsidR="009755FC" w:rsidRPr="00D07FE1">
        <w:rPr>
          <w:i/>
        </w:rPr>
        <w:t>in silico</w:t>
      </w:r>
      <w:r w:rsidR="003F4187">
        <w:t xml:space="preserve">. </w:t>
      </w:r>
      <w:r w:rsidR="00B1337B">
        <w:t xml:space="preserve">This work has given us a better understanding of the </w:t>
      </w:r>
      <w:r w:rsidR="004608F6" w:rsidRPr="00F961A7">
        <w:t>important factor</w:t>
      </w:r>
      <w:r w:rsidR="004608F6">
        <w:t>s</w:t>
      </w:r>
      <w:r w:rsidR="004608F6" w:rsidRPr="00F961A7">
        <w:t xml:space="preserve"> concerning cultivation methods and fertiliser treatments, with the aim to guide </w:t>
      </w:r>
      <w:r w:rsidR="00E90944">
        <w:t xml:space="preserve">future </w:t>
      </w:r>
      <w:r w:rsidR="004608F6" w:rsidRPr="00F961A7">
        <w:t xml:space="preserve">field studies on potential optimal strategies which can improve P efficiency in crops. </w:t>
      </w:r>
    </w:p>
    <w:p w14:paraId="7172EDA4" w14:textId="0FE462C3" w:rsidR="000449F8" w:rsidRDefault="000449F8" w:rsidP="00B82B65">
      <w:pPr>
        <w:rPr>
          <w:b/>
          <w:bCs/>
        </w:rPr>
      </w:pPr>
      <w:r>
        <w:rPr>
          <w:b/>
          <w:bCs/>
        </w:rPr>
        <w:t>Acknowledgements</w:t>
      </w:r>
    </w:p>
    <w:p w14:paraId="6113A596" w14:textId="287DCF75" w:rsidR="000449F8" w:rsidRPr="000449F8" w:rsidRDefault="00EB1DDB" w:rsidP="00011D7F">
      <w:pPr>
        <w:jc w:val="both"/>
      </w:pPr>
      <w:r>
        <w:t>We would like to thank the BBSRC and DEFRA (BB/I024283/1) for funding S.P. and The Royal Society University Research Fellowship for funding T.R. K.C.Z. was partially funded by Award No. KUK-C1-013-04 of the King Abdullah University of Science and Technology (KAUST); J.F. by EPSRC and CORMSIS; J.H. by EPSRC Complexity DTC; and S.P., P.T., D.L., R.S-B., R.W., D.L.J. and T.R. by DEFRA, BBSRC, Scottish Government, AHDB, and other industry partners through Sustainable Arable LINK Project LK09136.</w:t>
      </w:r>
    </w:p>
    <w:p w14:paraId="480056C8" w14:textId="77777777" w:rsidR="004608F6" w:rsidRDefault="004608F6" w:rsidP="004608F6">
      <w:pPr>
        <w:rPr>
          <w:b/>
          <w:bCs/>
        </w:rPr>
      </w:pPr>
      <w:r w:rsidRPr="00FA3537">
        <w:rPr>
          <w:b/>
          <w:bCs/>
        </w:rPr>
        <w:t>References</w:t>
      </w:r>
    </w:p>
    <w:p w14:paraId="500E155D" w14:textId="43EE63C7" w:rsidR="004608F6" w:rsidRDefault="00DB6CA2" w:rsidP="00DB6CA2">
      <w:r>
        <w:rPr>
          <w:b/>
          <w:bCs/>
        </w:rPr>
        <w:t>Barber</w:t>
      </w:r>
      <w:r w:rsidR="004608F6">
        <w:rPr>
          <w:b/>
          <w:bCs/>
        </w:rPr>
        <w:t xml:space="preserve"> S </w:t>
      </w:r>
      <w:r>
        <w:rPr>
          <w:b/>
          <w:bCs/>
        </w:rPr>
        <w:t>(</w:t>
      </w:r>
      <w:r w:rsidR="004608F6">
        <w:rPr>
          <w:b/>
          <w:bCs/>
        </w:rPr>
        <w:t>1984</w:t>
      </w:r>
      <w:r>
        <w:rPr>
          <w:b/>
          <w:bCs/>
        </w:rPr>
        <w:t>)</w:t>
      </w:r>
      <w:r w:rsidR="004608F6">
        <w:t xml:space="preserve"> Soil nutrient bioavailability: a mechanistic approach. Wiley-</w:t>
      </w:r>
      <w:proofErr w:type="spellStart"/>
      <w:r w:rsidR="004608F6">
        <w:t>Interscience</w:t>
      </w:r>
      <w:proofErr w:type="spellEnd"/>
      <w:r w:rsidR="004608F6">
        <w:t>.</w:t>
      </w:r>
    </w:p>
    <w:p w14:paraId="7F76997C" w14:textId="39CA7177" w:rsidR="001B5A86" w:rsidRPr="001B5A86" w:rsidRDefault="001B5A86" w:rsidP="004608F6">
      <w:proofErr w:type="spellStart"/>
      <w:r>
        <w:rPr>
          <w:b/>
          <w:bCs/>
        </w:rPr>
        <w:t>Beven</w:t>
      </w:r>
      <w:proofErr w:type="spellEnd"/>
      <w:r>
        <w:rPr>
          <w:b/>
          <w:bCs/>
        </w:rPr>
        <w:t xml:space="preserve">, K. 1979. </w:t>
      </w:r>
      <w:r>
        <w:t>A sensitivity analysis of the Penman-</w:t>
      </w:r>
      <w:proofErr w:type="spellStart"/>
      <w:r>
        <w:t>Monteith</w:t>
      </w:r>
      <w:proofErr w:type="spellEnd"/>
      <w:r>
        <w:t xml:space="preserve"> actual evapotranspiration estimates. </w:t>
      </w:r>
      <w:r>
        <w:rPr>
          <w:i/>
          <w:iCs/>
        </w:rPr>
        <w:t>Journal of Hydrology</w:t>
      </w:r>
      <w:r>
        <w:t xml:space="preserve"> </w:t>
      </w:r>
      <w:r>
        <w:rPr>
          <w:b/>
          <w:bCs/>
        </w:rPr>
        <w:t>44</w:t>
      </w:r>
      <w:r w:rsidR="002C10A8">
        <w:t>(3-4)</w:t>
      </w:r>
      <w:r>
        <w:t xml:space="preserve">: 169-190. </w:t>
      </w:r>
    </w:p>
    <w:p w14:paraId="47568167" w14:textId="1E4D5576" w:rsidR="00E53E91" w:rsidRDefault="00F8799C" w:rsidP="00F8799C">
      <w:proofErr w:type="spellStart"/>
      <w:r>
        <w:rPr>
          <w:b/>
          <w:bCs/>
        </w:rPr>
        <w:t>Bhadoria</w:t>
      </w:r>
      <w:proofErr w:type="spellEnd"/>
      <w:r>
        <w:rPr>
          <w:b/>
          <w:bCs/>
        </w:rPr>
        <w:t xml:space="preserve"> P</w:t>
      </w:r>
      <w:r w:rsidR="00E53E91">
        <w:rPr>
          <w:b/>
          <w:bCs/>
        </w:rPr>
        <w:t xml:space="preserve">, </w:t>
      </w:r>
      <w:proofErr w:type="spellStart"/>
      <w:r w:rsidR="00E53E91">
        <w:rPr>
          <w:b/>
          <w:bCs/>
        </w:rPr>
        <w:t>Kaselowsky</w:t>
      </w:r>
      <w:proofErr w:type="spellEnd"/>
      <w:r w:rsidR="00E53E91">
        <w:rPr>
          <w:b/>
          <w:bCs/>
        </w:rPr>
        <w:t xml:space="preserve"> J, </w:t>
      </w:r>
      <w:proofErr w:type="spellStart"/>
      <w:r w:rsidR="00E53E91">
        <w:rPr>
          <w:b/>
          <w:bCs/>
        </w:rPr>
        <w:t>Claassen</w:t>
      </w:r>
      <w:proofErr w:type="spellEnd"/>
      <w:r w:rsidR="00E53E91">
        <w:rPr>
          <w:b/>
          <w:bCs/>
        </w:rPr>
        <w:t xml:space="preserve"> N, </w:t>
      </w:r>
      <w:proofErr w:type="spellStart"/>
      <w:r w:rsidR="00E53E91">
        <w:rPr>
          <w:b/>
          <w:bCs/>
        </w:rPr>
        <w:t>Jungk</w:t>
      </w:r>
      <w:proofErr w:type="spellEnd"/>
      <w:r w:rsidR="00E53E91">
        <w:rPr>
          <w:b/>
          <w:bCs/>
        </w:rPr>
        <w:t xml:space="preserve"> A </w:t>
      </w:r>
      <w:r>
        <w:rPr>
          <w:b/>
          <w:bCs/>
        </w:rPr>
        <w:t>(</w:t>
      </w:r>
      <w:r w:rsidR="00E53E91">
        <w:rPr>
          <w:b/>
          <w:bCs/>
        </w:rPr>
        <w:t>1991</w:t>
      </w:r>
      <w:r>
        <w:rPr>
          <w:b/>
          <w:bCs/>
        </w:rPr>
        <w:t>)</w:t>
      </w:r>
      <w:r w:rsidR="00E53E91">
        <w:rPr>
          <w:b/>
          <w:bCs/>
        </w:rPr>
        <w:t xml:space="preserve"> </w:t>
      </w:r>
      <w:r w:rsidR="00E53E91">
        <w:t xml:space="preserve">Soil Phosphate Diffusion Coefficients: Their Dependence on Phosphorus Concentration and Buffer Power. </w:t>
      </w:r>
      <w:r w:rsidR="00E53E91">
        <w:rPr>
          <w:i/>
          <w:iCs/>
        </w:rPr>
        <w:t>Soil Science of America Journal</w:t>
      </w:r>
      <w:r w:rsidR="00E53E91">
        <w:t xml:space="preserve"> </w:t>
      </w:r>
      <w:r w:rsidR="00E53E91">
        <w:rPr>
          <w:b/>
          <w:bCs/>
        </w:rPr>
        <w:t>55</w:t>
      </w:r>
      <w:r w:rsidR="008F38D3">
        <w:t>(1)</w:t>
      </w:r>
      <w:r w:rsidR="00E53E91">
        <w:t>: 56-60.</w:t>
      </w:r>
    </w:p>
    <w:p w14:paraId="7CCC5A14" w14:textId="79BC7CD7" w:rsidR="00B64467" w:rsidRDefault="00B64467" w:rsidP="00F8799C">
      <w:proofErr w:type="spellStart"/>
      <w:r w:rsidRPr="008A048F">
        <w:rPr>
          <w:b/>
          <w:bCs/>
        </w:rPr>
        <w:t>Bolland</w:t>
      </w:r>
      <w:proofErr w:type="spellEnd"/>
      <w:r w:rsidRPr="008A048F">
        <w:rPr>
          <w:b/>
          <w:bCs/>
        </w:rPr>
        <w:t xml:space="preserve"> M, Baker M (1998)</w:t>
      </w:r>
      <w:r>
        <w:t xml:space="preserve"> Phosphate applied to soil increases the effectiveness of subsequent applications of phosphate for growing wheat shoots. Australian Journal of Experimental Agriculture </w:t>
      </w:r>
      <w:r w:rsidRPr="008A048F">
        <w:rPr>
          <w:b/>
          <w:bCs/>
        </w:rPr>
        <w:t>38</w:t>
      </w:r>
      <w:r>
        <w:t>(8)</w:t>
      </w:r>
      <w:r w:rsidR="00101FA3">
        <w:t>:</w:t>
      </w:r>
      <w:r>
        <w:t xml:space="preserve"> 865-869.</w:t>
      </w:r>
    </w:p>
    <w:p w14:paraId="5CAF267B" w14:textId="47DA852D" w:rsidR="00D84DE4" w:rsidRDefault="00F8799C" w:rsidP="00F8799C">
      <w:proofErr w:type="spellStart"/>
      <w:r>
        <w:rPr>
          <w:b/>
          <w:bCs/>
        </w:rPr>
        <w:lastRenderedPageBreak/>
        <w:t>Borda</w:t>
      </w:r>
      <w:proofErr w:type="spellEnd"/>
      <w:r>
        <w:rPr>
          <w:b/>
          <w:bCs/>
        </w:rPr>
        <w:t xml:space="preserve"> T, </w:t>
      </w:r>
      <w:proofErr w:type="spellStart"/>
      <w:r>
        <w:rPr>
          <w:b/>
          <w:bCs/>
        </w:rPr>
        <w:t>Celi</w:t>
      </w:r>
      <w:proofErr w:type="spellEnd"/>
      <w:r>
        <w:rPr>
          <w:b/>
          <w:bCs/>
        </w:rPr>
        <w:t xml:space="preserve"> L, </w:t>
      </w:r>
      <w:proofErr w:type="spellStart"/>
      <w:r>
        <w:rPr>
          <w:b/>
          <w:bCs/>
        </w:rPr>
        <w:t>Zavattaro</w:t>
      </w:r>
      <w:proofErr w:type="spellEnd"/>
      <w:r>
        <w:rPr>
          <w:b/>
          <w:bCs/>
        </w:rPr>
        <w:t xml:space="preserve"> L</w:t>
      </w:r>
      <w:r w:rsidR="00D84DE4" w:rsidRPr="00F8799C">
        <w:rPr>
          <w:b/>
          <w:bCs/>
        </w:rPr>
        <w:t>,</w:t>
      </w:r>
      <w:r w:rsidRPr="00F8799C">
        <w:rPr>
          <w:b/>
          <w:bCs/>
        </w:rPr>
        <w:t xml:space="preserve"> Sacco D, </w:t>
      </w:r>
      <w:proofErr w:type="spellStart"/>
      <w:r w:rsidRPr="00F8799C">
        <w:rPr>
          <w:b/>
          <w:bCs/>
        </w:rPr>
        <w:t>Barberis</w:t>
      </w:r>
      <w:proofErr w:type="spellEnd"/>
      <w:r w:rsidRPr="00F8799C">
        <w:rPr>
          <w:b/>
          <w:bCs/>
        </w:rPr>
        <w:t xml:space="preserve"> E</w:t>
      </w:r>
      <w:r w:rsidR="00D84DE4" w:rsidRPr="00F8799C">
        <w:rPr>
          <w:b/>
          <w:bCs/>
        </w:rPr>
        <w:t xml:space="preserve"> </w:t>
      </w:r>
      <w:r w:rsidRPr="00F8799C">
        <w:rPr>
          <w:b/>
          <w:bCs/>
        </w:rPr>
        <w:t>(</w:t>
      </w:r>
      <w:r w:rsidR="00D84DE4" w:rsidRPr="00F8799C">
        <w:rPr>
          <w:b/>
          <w:bCs/>
        </w:rPr>
        <w:t>2011</w:t>
      </w:r>
      <w:r w:rsidRPr="00F8799C">
        <w:rPr>
          <w:b/>
          <w:bCs/>
        </w:rPr>
        <w:t>)</w:t>
      </w:r>
      <w:r w:rsidR="00D84DE4" w:rsidRPr="00F8799C">
        <w:rPr>
          <w:b/>
          <w:bCs/>
        </w:rPr>
        <w:t xml:space="preserve"> </w:t>
      </w:r>
      <w:r w:rsidR="00D84DE4" w:rsidRPr="00D84DE4">
        <w:t>Effect of agronomic management on risk of suspended solids and phos</w:t>
      </w:r>
      <w:r w:rsidR="00D84DE4">
        <w:t xml:space="preserve">phorus losses from soil waters. </w:t>
      </w:r>
      <w:r w:rsidR="00D84DE4">
        <w:rPr>
          <w:i/>
          <w:iCs/>
        </w:rPr>
        <w:t xml:space="preserve">Journal of Soils and Sediments </w:t>
      </w:r>
      <w:r w:rsidR="00D84DE4">
        <w:rPr>
          <w:b/>
          <w:bCs/>
        </w:rPr>
        <w:t>11</w:t>
      </w:r>
      <w:r w:rsidR="001458E3">
        <w:t>(3)</w:t>
      </w:r>
      <w:r w:rsidR="00D84DE4">
        <w:t>: 440-451.</w:t>
      </w:r>
    </w:p>
    <w:p w14:paraId="10506F8A" w14:textId="54C53551" w:rsidR="00897CFC" w:rsidRPr="00897CFC" w:rsidRDefault="00897CFC" w:rsidP="00F8799C">
      <w:r>
        <w:rPr>
          <w:b/>
          <w:bCs/>
        </w:rPr>
        <w:t xml:space="preserve">Broad H </w:t>
      </w:r>
      <w:r w:rsidR="00F8799C">
        <w:rPr>
          <w:b/>
          <w:bCs/>
        </w:rPr>
        <w:t>(</w:t>
      </w:r>
      <w:r>
        <w:rPr>
          <w:b/>
          <w:bCs/>
        </w:rPr>
        <w:t>1987</w:t>
      </w:r>
      <w:r w:rsidR="00F8799C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The decimal code for the growth stages of cereals, with illustrations. </w:t>
      </w:r>
      <w:proofErr w:type="gramStart"/>
      <w:r>
        <w:rPr>
          <w:i/>
          <w:iCs/>
        </w:rPr>
        <w:t>Annals of Applied Biology.</w:t>
      </w:r>
      <w:proofErr w:type="gramEnd"/>
      <w:r>
        <w:t xml:space="preserve"> </w:t>
      </w:r>
      <w:r>
        <w:rPr>
          <w:b/>
          <w:bCs/>
        </w:rPr>
        <w:t>110</w:t>
      </w:r>
      <w:r>
        <w:t xml:space="preserve">: 441-454. </w:t>
      </w:r>
    </w:p>
    <w:p w14:paraId="19251FAF" w14:textId="0BD7E5EB" w:rsidR="00DD4613" w:rsidRDefault="00F8799C" w:rsidP="00F8799C">
      <w:pPr>
        <w:rPr>
          <w:bCs/>
        </w:rPr>
      </w:pPr>
      <w:r>
        <w:rPr>
          <w:b/>
          <w:bCs/>
        </w:rPr>
        <w:t>Bucher M</w:t>
      </w:r>
      <w:r w:rsidR="00DD4613">
        <w:rPr>
          <w:b/>
          <w:bCs/>
        </w:rPr>
        <w:t xml:space="preserve"> </w:t>
      </w:r>
      <w:r>
        <w:rPr>
          <w:b/>
          <w:bCs/>
        </w:rPr>
        <w:t>(</w:t>
      </w:r>
      <w:r w:rsidR="00DD4613">
        <w:rPr>
          <w:b/>
          <w:bCs/>
        </w:rPr>
        <w:t>2007</w:t>
      </w:r>
      <w:r>
        <w:rPr>
          <w:b/>
          <w:bCs/>
        </w:rPr>
        <w:t>)</w:t>
      </w:r>
      <w:r w:rsidR="00DD4613">
        <w:rPr>
          <w:bCs/>
        </w:rPr>
        <w:t xml:space="preserve"> Functional biology of plant phosphate uptake at root and mycorrhiza interfaces. </w:t>
      </w:r>
      <w:r w:rsidR="00DD4613" w:rsidRPr="00DD4613">
        <w:rPr>
          <w:bCs/>
          <w:i/>
        </w:rPr>
        <w:t xml:space="preserve">New </w:t>
      </w:r>
      <w:proofErr w:type="spellStart"/>
      <w:r w:rsidR="00DD4613" w:rsidRPr="00DD4613">
        <w:rPr>
          <w:bCs/>
          <w:i/>
        </w:rPr>
        <w:t>Phytologist</w:t>
      </w:r>
      <w:proofErr w:type="spellEnd"/>
      <w:r w:rsidR="00DD4613">
        <w:rPr>
          <w:bCs/>
        </w:rPr>
        <w:t xml:space="preserve">. </w:t>
      </w:r>
      <w:r w:rsidR="00DD4613" w:rsidRPr="00DD4613">
        <w:rPr>
          <w:b/>
          <w:bCs/>
        </w:rPr>
        <w:t xml:space="preserve">173 </w:t>
      </w:r>
      <w:r w:rsidR="00DD4613" w:rsidRPr="00B37233">
        <w:t>(1)</w:t>
      </w:r>
      <w:r w:rsidR="00DD4613">
        <w:rPr>
          <w:bCs/>
        </w:rPr>
        <w:t>: 11-26</w:t>
      </w:r>
    </w:p>
    <w:p w14:paraId="682B990D" w14:textId="306D54D9" w:rsidR="00EE6F7D" w:rsidRDefault="00F8799C" w:rsidP="00F8799C">
      <w:pPr>
        <w:rPr>
          <w:bCs/>
        </w:rPr>
      </w:pPr>
      <w:r w:rsidRPr="00F8799C">
        <w:rPr>
          <w:b/>
        </w:rPr>
        <w:t>Chen Y</w:t>
      </w:r>
      <w:r w:rsidR="00EE6F7D" w:rsidRPr="00F8799C">
        <w:rPr>
          <w:b/>
        </w:rPr>
        <w:t xml:space="preserve">, </w:t>
      </w:r>
      <w:proofErr w:type="spellStart"/>
      <w:r w:rsidR="00EE6F7D" w:rsidRPr="00F8799C">
        <w:rPr>
          <w:b/>
        </w:rPr>
        <w:t>Dunbabin</w:t>
      </w:r>
      <w:proofErr w:type="spellEnd"/>
      <w:r w:rsidR="00EE6F7D" w:rsidRPr="00F8799C">
        <w:rPr>
          <w:b/>
        </w:rPr>
        <w:t xml:space="preserve"> V, </w:t>
      </w:r>
      <w:proofErr w:type="spellStart"/>
      <w:r w:rsidR="00EE6F7D" w:rsidRPr="00F8799C">
        <w:rPr>
          <w:b/>
        </w:rPr>
        <w:t>Postma</w:t>
      </w:r>
      <w:proofErr w:type="spellEnd"/>
      <w:r w:rsidR="00EE6F7D" w:rsidRPr="00F8799C">
        <w:rPr>
          <w:b/>
        </w:rPr>
        <w:t xml:space="preserve"> J, Diggle A, Siddique K, </w:t>
      </w:r>
      <w:proofErr w:type="spellStart"/>
      <w:r w:rsidR="00EE6F7D" w:rsidRPr="00F8799C">
        <w:rPr>
          <w:b/>
        </w:rPr>
        <w:t>Rengel</w:t>
      </w:r>
      <w:proofErr w:type="spellEnd"/>
      <w:r w:rsidR="00EE6F7D" w:rsidRPr="00F8799C">
        <w:rPr>
          <w:b/>
        </w:rPr>
        <w:t xml:space="preserve"> Z </w:t>
      </w:r>
      <w:r w:rsidRPr="00F8799C">
        <w:rPr>
          <w:b/>
        </w:rPr>
        <w:t>(</w:t>
      </w:r>
      <w:r w:rsidR="00EE6F7D" w:rsidRPr="00F8799C">
        <w:rPr>
          <w:b/>
        </w:rPr>
        <w:t>2013</w:t>
      </w:r>
      <w:r w:rsidRPr="00F8799C">
        <w:rPr>
          <w:b/>
        </w:rPr>
        <w:t>)</w:t>
      </w:r>
      <w:r w:rsidR="00EE6F7D" w:rsidRPr="00F8799C">
        <w:rPr>
          <w:b/>
        </w:rPr>
        <w:t xml:space="preserve"> </w:t>
      </w:r>
      <w:r w:rsidR="00EE6F7D" w:rsidRPr="00EE6F7D">
        <w:rPr>
          <w:bCs/>
        </w:rPr>
        <w:t xml:space="preserve">Modelling root plasticity and </w:t>
      </w:r>
      <w:proofErr w:type="spellStart"/>
      <w:r w:rsidR="00EE6F7D" w:rsidRPr="00EE6F7D">
        <w:rPr>
          <w:bCs/>
        </w:rPr>
        <w:t>responce</w:t>
      </w:r>
      <w:proofErr w:type="spellEnd"/>
      <w:r w:rsidR="00EE6F7D" w:rsidRPr="00EE6F7D">
        <w:rPr>
          <w:bCs/>
        </w:rPr>
        <w:t xml:space="preserve"> of narrow-leafed </w:t>
      </w:r>
      <w:proofErr w:type="spellStart"/>
      <w:r w:rsidR="00EE6F7D" w:rsidRPr="00EE6F7D">
        <w:rPr>
          <w:bCs/>
        </w:rPr>
        <w:t>lupin</w:t>
      </w:r>
      <w:proofErr w:type="spellEnd"/>
      <w:r w:rsidR="00EE6F7D" w:rsidRPr="00EE6F7D">
        <w:rPr>
          <w:bCs/>
        </w:rPr>
        <w:t xml:space="preserve"> to heterogeneous phosphorus supply. </w:t>
      </w:r>
      <w:proofErr w:type="gramStart"/>
      <w:r w:rsidR="00EE6F7D">
        <w:rPr>
          <w:bCs/>
          <w:i/>
          <w:iCs/>
        </w:rPr>
        <w:t>Plant and soil.</w:t>
      </w:r>
      <w:proofErr w:type="gramEnd"/>
      <w:r w:rsidR="00EE6F7D">
        <w:rPr>
          <w:bCs/>
        </w:rPr>
        <w:t xml:space="preserve"> </w:t>
      </w:r>
      <w:r w:rsidR="00EE6F7D">
        <w:rPr>
          <w:b/>
        </w:rPr>
        <w:t>372</w:t>
      </w:r>
      <w:r w:rsidR="00EE6F7D">
        <w:rPr>
          <w:bCs/>
        </w:rPr>
        <w:t>(1-2): 319-337.</w:t>
      </w:r>
    </w:p>
    <w:p w14:paraId="4E304F02" w14:textId="696E48C0" w:rsidR="00AB614C" w:rsidRPr="00AB614C" w:rsidRDefault="00F8799C" w:rsidP="00F8799C">
      <w:pPr>
        <w:rPr>
          <w:bCs/>
        </w:rPr>
      </w:pPr>
      <w:r>
        <w:rPr>
          <w:b/>
        </w:rPr>
        <w:t>Clarke D</w:t>
      </w:r>
      <w:r w:rsidR="00AB614C">
        <w:rPr>
          <w:b/>
        </w:rPr>
        <w:t>, Smith M, El-</w:t>
      </w:r>
      <w:proofErr w:type="spellStart"/>
      <w:r w:rsidR="00AB614C">
        <w:rPr>
          <w:b/>
        </w:rPr>
        <w:t>askari</w:t>
      </w:r>
      <w:proofErr w:type="spellEnd"/>
      <w:r w:rsidR="00AB614C">
        <w:rPr>
          <w:b/>
        </w:rPr>
        <w:t xml:space="preserve"> K </w:t>
      </w:r>
      <w:r>
        <w:rPr>
          <w:b/>
        </w:rPr>
        <w:t>(</w:t>
      </w:r>
      <w:r w:rsidR="00AB614C">
        <w:rPr>
          <w:b/>
        </w:rPr>
        <w:t>1998</w:t>
      </w:r>
      <w:r>
        <w:rPr>
          <w:b/>
        </w:rPr>
        <w:t>)</w:t>
      </w:r>
      <w:r w:rsidR="00AB614C">
        <w:rPr>
          <w:b/>
        </w:rPr>
        <w:t xml:space="preserve"> </w:t>
      </w:r>
      <w:r w:rsidR="00AB614C">
        <w:rPr>
          <w:bCs/>
        </w:rPr>
        <w:t xml:space="preserve">New software for crop water requirements and irrigation scheduling. </w:t>
      </w:r>
      <w:r w:rsidR="00AB614C" w:rsidRPr="00AB614C">
        <w:rPr>
          <w:bCs/>
          <w:i/>
          <w:iCs/>
        </w:rPr>
        <w:t>ICID Bulletin of the International Commission on Irrigation and Drainage</w:t>
      </w:r>
      <w:r w:rsidR="00AB614C">
        <w:rPr>
          <w:bCs/>
        </w:rPr>
        <w:t xml:space="preserve">. </w:t>
      </w:r>
      <w:r w:rsidR="00AB614C">
        <w:rPr>
          <w:b/>
        </w:rPr>
        <w:t>47</w:t>
      </w:r>
      <w:r w:rsidR="00AB614C">
        <w:rPr>
          <w:bCs/>
        </w:rPr>
        <w:t>(2):45-48.</w:t>
      </w:r>
    </w:p>
    <w:p w14:paraId="46642343" w14:textId="2F88DE42" w:rsidR="00B8771C" w:rsidRDefault="00B8771C" w:rsidP="00F8799C">
      <w:r>
        <w:rPr>
          <w:b/>
          <w:bCs/>
        </w:rPr>
        <w:t xml:space="preserve">Cordell D, </w:t>
      </w:r>
      <w:proofErr w:type="spellStart"/>
      <w:r>
        <w:rPr>
          <w:b/>
          <w:bCs/>
        </w:rPr>
        <w:t>Drangert</w:t>
      </w:r>
      <w:proofErr w:type="spellEnd"/>
      <w:r>
        <w:rPr>
          <w:b/>
          <w:bCs/>
        </w:rPr>
        <w:t xml:space="preserve"> J</w:t>
      </w:r>
      <w:r w:rsidR="00F8799C">
        <w:rPr>
          <w:b/>
          <w:bCs/>
        </w:rPr>
        <w:t>,</w:t>
      </w:r>
      <w:r>
        <w:rPr>
          <w:b/>
          <w:bCs/>
        </w:rPr>
        <w:t xml:space="preserve"> White S </w:t>
      </w:r>
      <w:r w:rsidR="00F8799C">
        <w:rPr>
          <w:b/>
          <w:bCs/>
        </w:rPr>
        <w:t>(2009)</w:t>
      </w:r>
      <w:r>
        <w:rPr>
          <w:b/>
          <w:bCs/>
        </w:rPr>
        <w:t xml:space="preserve"> </w:t>
      </w:r>
      <w:r>
        <w:t xml:space="preserve">The story of phosphorus: Global food security and food for thought. </w:t>
      </w:r>
      <w:proofErr w:type="gramStart"/>
      <w:r>
        <w:rPr>
          <w:i/>
          <w:iCs/>
        </w:rPr>
        <w:t>Global Environmental Change</w:t>
      </w:r>
      <w:r>
        <w:t>.</w:t>
      </w:r>
      <w:proofErr w:type="gramEnd"/>
      <w:r>
        <w:t xml:space="preserve"> </w:t>
      </w:r>
      <w:r>
        <w:rPr>
          <w:b/>
          <w:bCs/>
        </w:rPr>
        <w:t>19</w:t>
      </w:r>
      <w:r w:rsidR="00B37233">
        <w:t>(2)</w:t>
      </w:r>
      <w:r>
        <w:rPr>
          <w:b/>
          <w:bCs/>
        </w:rPr>
        <w:t xml:space="preserve">: </w:t>
      </w:r>
      <w:r>
        <w:t xml:space="preserve">292-305. </w:t>
      </w:r>
    </w:p>
    <w:p w14:paraId="4F184722" w14:textId="3E23E1D9" w:rsidR="00A35F2F" w:rsidRPr="005840FE" w:rsidRDefault="00A35F2F" w:rsidP="00F8799C">
      <w:pPr>
        <w:rPr>
          <w:i/>
          <w:iCs/>
        </w:rPr>
      </w:pPr>
      <w:proofErr w:type="gramStart"/>
      <w:r>
        <w:rPr>
          <w:b/>
          <w:bCs/>
        </w:rPr>
        <w:t>Department for Environment, Food and Rural Affairs</w:t>
      </w:r>
      <w:r w:rsidR="00F8799C">
        <w:rPr>
          <w:b/>
          <w:bCs/>
        </w:rPr>
        <w:t xml:space="preserve"> (DEFRA)</w:t>
      </w:r>
      <w:r w:rsidR="005840FE">
        <w:rPr>
          <w:b/>
          <w:bCs/>
        </w:rPr>
        <w:t xml:space="preserve"> </w:t>
      </w:r>
      <w:r w:rsidR="00F8799C">
        <w:rPr>
          <w:b/>
          <w:bCs/>
        </w:rPr>
        <w:t>(</w:t>
      </w:r>
      <w:r w:rsidR="005840FE">
        <w:rPr>
          <w:b/>
          <w:bCs/>
        </w:rPr>
        <w:t>2010</w:t>
      </w:r>
      <w:r w:rsidR="00F8799C">
        <w:rPr>
          <w:b/>
          <w:bCs/>
        </w:rPr>
        <w:t>)</w:t>
      </w:r>
      <w:r w:rsidR="005840FE">
        <w:rPr>
          <w:b/>
          <w:bCs/>
        </w:rPr>
        <w:t xml:space="preserve"> </w:t>
      </w:r>
      <w:r w:rsidR="005840FE">
        <w:t>Fertiliser Manual (RB209).</w:t>
      </w:r>
      <w:proofErr w:type="gramEnd"/>
      <w:r w:rsidR="005840FE">
        <w:t xml:space="preserve"> </w:t>
      </w:r>
      <w:proofErr w:type="gramStart"/>
      <w:r w:rsidR="005840FE">
        <w:t>The Stationery Office.</w:t>
      </w:r>
      <w:proofErr w:type="gramEnd"/>
      <w:r w:rsidR="005840FE">
        <w:t xml:space="preserve"> </w:t>
      </w:r>
      <w:proofErr w:type="gramStart"/>
      <w:r w:rsidR="005840FE">
        <w:t>ISBN 978 0 11 243286 9.</w:t>
      </w:r>
      <w:proofErr w:type="gramEnd"/>
    </w:p>
    <w:p w14:paraId="0AA98E5F" w14:textId="33BE748E" w:rsidR="00B8771C" w:rsidRDefault="00F8799C" w:rsidP="00C71E3A">
      <w:proofErr w:type="spellStart"/>
      <w:r>
        <w:rPr>
          <w:b/>
          <w:bCs/>
        </w:rPr>
        <w:t>D</w:t>
      </w:r>
      <w:r w:rsidR="00C71E3A">
        <w:rPr>
          <w:b/>
          <w:bCs/>
        </w:rPr>
        <w:t>é</w:t>
      </w:r>
      <w:r>
        <w:rPr>
          <w:b/>
          <w:bCs/>
        </w:rPr>
        <w:t>ry</w:t>
      </w:r>
      <w:proofErr w:type="spellEnd"/>
      <w:r w:rsidR="00B8771C">
        <w:rPr>
          <w:b/>
          <w:bCs/>
        </w:rPr>
        <w:t xml:space="preserve"> P</w:t>
      </w:r>
      <w:r>
        <w:rPr>
          <w:b/>
          <w:bCs/>
        </w:rPr>
        <w:t>, Anderson B</w:t>
      </w:r>
      <w:r w:rsidR="00B8771C">
        <w:rPr>
          <w:b/>
          <w:bCs/>
        </w:rPr>
        <w:t xml:space="preserve"> </w:t>
      </w:r>
      <w:r>
        <w:rPr>
          <w:b/>
          <w:bCs/>
        </w:rPr>
        <w:t>(</w:t>
      </w:r>
      <w:r w:rsidR="00B8771C">
        <w:rPr>
          <w:b/>
          <w:bCs/>
        </w:rPr>
        <w:t>2007</w:t>
      </w:r>
      <w:r>
        <w:rPr>
          <w:b/>
          <w:bCs/>
        </w:rPr>
        <w:t>)</w:t>
      </w:r>
      <w:r w:rsidR="00B8771C">
        <w:rPr>
          <w:b/>
          <w:bCs/>
        </w:rPr>
        <w:t xml:space="preserve"> </w:t>
      </w:r>
      <w:r w:rsidR="00B8771C">
        <w:t>Peak phosphorus. In: Energy Bulletin, 08/13/2007. Post Carbon Institute. Available: energubulletin.net/node/33164.</w:t>
      </w:r>
    </w:p>
    <w:p w14:paraId="25C77B80" w14:textId="24058A9A" w:rsidR="009C1F40" w:rsidRDefault="00F8799C" w:rsidP="00F8799C">
      <w:proofErr w:type="spellStart"/>
      <w:r w:rsidRPr="00F8799C">
        <w:rPr>
          <w:b/>
          <w:bCs/>
        </w:rPr>
        <w:t>Dunbabin</w:t>
      </w:r>
      <w:proofErr w:type="spellEnd"/>
      <w:r w:rsidRPr="00F8799C">
        <w:rPr>
          <w:b/>
          <w:bCs/>
        </w:rPr>
        <w:t xml:space="preserve"> V</w:t>
      </w:r>
      <w:r w:rsidR="009C1F40" w:rsidRPr="00F8799C">
        <w:rPr>
          <w:b/>
          <w:bCs/>
        </w:rPr>
        <w:t xml:space="preserve">, </w:t>
      </w:r>
      <w:proofErr w:type="spellStart"/>
      <w:r w:rsidR="009C1F40" w:rsidRPr="00F8799C">
        <w:rPr>
          <w:b/>
          <w:bCs/>
        </w:rPr>
        <w:t>Postma</w:t>
      </w:r>
      <w:proofErr w:type="spellEnd"/>
      <w:r w:rsidR="009C1F40" w:rsidRPr="00F8799C">
        <w:rPr>
          <w:b/>
          <w:bCs/>
        </w:rPr>
        <w:t xml:space="preserve"> J, </w:t>
      </w:r>
      <w:proofErr w:type="spellStart"/>
      <w:r w:rsidR="009C1F40" w:rsidRPr="00F8799C">
        <w:rPr>
          <w:b/>
          <w:bCs/>
        </w:rPr>
        <w:t>Schnepf</w:t>
      </w:r>
      <w:proofErr w:type="spellEnd"/>
      <w:r w:rsidR="009C1F40" w:rsidRPr="00F8799C">
        <w:rPr>
          <w:b/>
          <w:bCs/>
        </w:rPr>
        <w:t xml:space="preserve"> A, Pages L, </w:t>
      </w:r>
      <w:proofErr w:type="spellStart"/>
      <w:r w:rsidR="009C1F40" w:rsidRPr="00F8799C">
        <w:rPr>
          <w:b/>
          <w:bCs/>
        </w:rPr>
        <w:t>Javaux</w:t>
      </w:r>
      <w:proofErr w:type="spellEnd"/>
      <w:r w:rsidR="009C1F40" w:rsidRPr="00F8799C">
        <w:rPr>
          <w:b/>
          <w:bCs/>
        </w:rPr>
        <w:t xml:space="preserve"> M, Wu L, </w:t>
      </w:r>
      <w:proofErr w:type="spellStart"/>
      <w:r w:rsidR="009C1F40" w:rsidRPr="00F8799C">
        <w:rPr>
          <w:b/>
          <w:bCs/>
        </w:rPr>
        <w:t>Leitner</w:t>
      </w:r>
      <w:proofErr w:type="spellEnd"/>
      <w:r w:rsidR="009C1F40" w:rsidRPr="00F8799C">
        <w:rPr>
          <w:b/>
          <w:bCs/>
        </w:rPr>
        <w:t xml:space="preserve"> D, Chen Y, </w:t>
      </w:r>
      <w:proofErr w:type="spellStart"/>
      <w:r w:rsidR="009C1F40" w:rsidRPr="00F8799C">
        <w:rPr>
          <w:b/>
          <w:bCs/>
        </w:rPr>
        <w:t>Rengel</w:t>
      </w:r>
      <w:proofErr w:type="spellEnd"/>
      <w:r w:rsidR="009C1F40" w:rsidRPr="00F8799C">
        <w:rPr>
          <w:b/>
          <w:bCs/>
        </w:rPr>
        <w:t xml:space="preserve"> Z, Diggle A </w:t>
      </w:r>
      <w:r>
        <w:rPr>
          <w:b/>
          <w:bCs/>
        </w:rPr>
        <w:t>(</w:t>
      </w:r>
      <w:r w:rsidR="009C1F40" w:rsidRPr="00F8799C">
        <w:rPr>
          <w:b/>
          <w:bCs/>
        </w:rPr>
        <w:t>2013</w:t>
      </w:r>
      <w:r w:rsidRPr="00F8799C">
        <w:rPr>
          <w:b/>
          <w:bCs/>
        </w:rPr>
        <w:t>)</w:t>
      </w:r>
      <w:r w:rsidR="009C1F40" w:rsidRPr="00F8799C">
        <w:rPr>
          <w:b/>
          <w:bCs/>
        </w:rPr>
        <w:t xml:space="preserve"> </w:t>
      </w:r>
      <w:r w:rsidR="009C1F40" w:rsidRPr="009C1F40">
        <w:t xml:space="preserve">Modelling root-soil interactions using three-dimensional models of root growth, architecture and function. </w:t>
      </w:r>
      <w:proofErr w:type="gramStart"/>
      <w:r w:rsidR="009C1F40">
        <w:rPr>
          <w:i/>
          <w:iCs/>
        </w:rPr>
        <w:t>Plant</w:t>
      </w:r>
      <w:r w:rsidR="001E577D">
        <w:rPr>
          <w:i/>
          <w:iCs/>
        </w:rPr>
        <w:t xml:space="preserve"> and</w:t>
      </w:r>
      <w:r w:rsidR="009C1F40">
        <w:rPr>
          <w:i/>
          <w:iCs/>
        </w:rPr>
        <w:t xml:space="preserve"> soil</w:t>
      </w:r>
      <w:r w:rsidR="009C1F40">
        <w:t>.</w:t>
      </w:r>
      <w:proofErr w:type="gramEnd"/>
      <w:r w:rsidR="000C658C">
        <w:t xml:space="preserve"> </w:t>
      </w:r>
      <w:r w:rsidR="000C658C">
        <w:rPr>
          <w:b/>
          <w:bCs/>
        </w:rPr>
        <w:t>372</w:t>
      </w:r>
      <w:r w:rsidR="000C658C">
        <w:t>(1-2): 93-124.</w:t>
      </w:r>
      <w:r w:rsidR="009C1F40">
        <w:t xml:space="preserve"> DOI 10.1007/s11104-013-1769-y.</w:t>
      </w:r>
    </w:p>
    <w:p w14:paraId="01D0C5E6" w14:textId="325577C7" w:rsidR="00645C98" w:rsidRPr="00645C98" w:rsidRDefault="00645C98" w:rsidP="00F8799C">
      <w:proofErr w:type="spellStart"/>
      <w:r>
        <w:rPr>
          <w:b/>
          <w:bCs/>
        </w:rPr>
        <w:t>Dungait</w:t>
      </w:r>
      <w:proofErr w:type="spellEnd"/>
      <w:r>
        <w:rPr>
          <w:b/>
          <w:bCs/>
        </w:rPr>
        <w:t xml:space="preserve"> J, Cardenas L, Blackwell M, Wu L, Wither P, Whitmore A, Murray P, Chadwick D, </w:t>
      </w:r>
      <w:proofErr w:type="spellStart"/>
      <w:r>
        <w:rPr>
          <w:b/>
          <w:bCs/>
        </w:rPr>
        <w:t>Bol</w:t>
      </w:r>
      <w:proofErr w:type="spellEnd"/>
      <w:r>
        <w:rPr>
          <w:b/>
          <w:bCs/>
        </w:rPr>
        <w:t xml:space="preserve"> R, Macdonald A, Goulding K </w:t>
      </w:r>
      <w:r w:rsidR="00F8799C">
        <w:rPr>
          <w:b/>
          <w:bCs/>
        </w:rPr>
        <w:t>(</w:t>
      </w:r>
      <w:r>
        <w:rPr>
          <w:b/>
          <w:bCs/>
        </w:rPr>
        <w:t>2012</w:t>
      </w:r>
      <w:r w:rsidR="00F8799C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Advances in the understanding of nutrient dynamics and management in UK agriculture. </w:t>
      </w:r>
      <w:proofErr w:type="gramStart"/>
      <w:r>
        <w:rPr>
          <w:i/>
          <w:iCs/>
        </w:rPr>
        <w:t>Science of the Total Environment.</w:t>
      </w:r>
      <w:proofErr w:type="gramEnd"/>
      <w:r>
        <w:rPr>
          <w:i/>
          <w:iCs/>
        </w:rPr>
        <w:t xml:space="preserve"> </w:t>
      </w:r>
      <w:r>
        <w:rPr>
          <w:b/>
          <w:bCs/>
        </w:rPr>
        <w:t>434</w:t>
      </w:r>
      <w:r>
        <w:t xml:space="preserve">: 39-50. </w:t>
      </w:r>
    </w:p>
    <w:p w14:paraId="70D99EAF" w14:textId="49846707" w:rsidR="00D270A0" w:rsidRDefault="00F8799C" w:rsidP="00F8799C">
      <w:proofErr w:type="spellStart"/>
      <w:r>
        <w:rPr>
          <w:b/>
          <w:bCs/>
        </w:rPr>
        <w:t>Dupuy</w:t>
      </w:r>
      <w:proofErr w:type="spellEnd"/>
      <w:r w:rsidR="00D270A0">
        <w:rPr>
          <w:b/>
          <w:bCs/>
        </w:rPr>
        <w:t xml:space="preserve"> L, Gregory P, </w:t>
      </w:r>
      <w:proofErr w:type="spellStart"/>
      <w:r w:rsidR="00D270A0">
        <w:rPr>
          <w:b/>
          <w:bCs/>
        </w:rPr>
        <w:t>Bengough</w:t>
      </w:r>
      <w:proofErr w:type="spellEnd"/>
      <w:r w:rsidR="00D270A0">
        <w:rPr>
          <w:b/>
          <w:bCs/>
        </w:rPr>
        <w:t xml:space="preserve"> A </w:t>
      </w:r>
      <w:r>
        <w:rPr>
          <w:b/>
          <w:bCs/>
        </w:rPr>
        <w:t>(</w:t>
      </w:r>
      <w:r w:rsidR="00D270A0">
        <w:rPr>
          <w:b/>
          <w:bCs/>
        </w:rPr>
        <w:t>2010</w:t>
      </w:r>
      <w:r>
        <w:rPr>
          <w:b/>
          <w:bCs/>
        </w:rPr>
        <w:t>)</w:t>
      </w:r>
      <w:r w:rsidR="00D270A0">
        <w:rPr>
          <w:b/>
          <w:bCs/>
        </w:rPr>
        <w:t xml:space="preserve"> </w:t>
      </w:r>
      <w:r w:rsidR="00D270A0">
        <w:t xml:space="preserve">Root growth models: towards a new generation of continuous approaches. </w:t>
      </w:r>
      <w:proofErr w:type="gramStart"/>
      <w:r w:rsidR="00D270A0">
        <w:rPr>
          <w:i/>
          <w:iCs/>
        </w:rPr>
        <w:t>Journal of Experimental Botany.</w:t>
      </w:r>
      <w:proofErr w:type="gramEnd"/>
      <w:r w:rsidR="00D270A0">
        <w:rPr>
          <w:i/>
          <w:iCs/>
        </w:rPr>
        <w:t xml:space="preserve"> </w:t>
      </w:r>
      <w:r w:rsidR="00D270A0">
        <w:rPr>
          <w:b/>
          <w:bCs/>
        </w:rPr>
        <w:t>61</w:t>
      </w:r>
      <w:r w:rsidR="00BE569C">
        <w:t>(8)</w:t>
      </w:r>
      <w:r w:rsidR="00D270A0">
        <w:t xml:space="preserve">: 2132-2143. </w:t>
      </w:r>
    </w:p>
    <w:p w14:paraId="67A9A0D3" w14:textId="4D320A4B" w:rsidR="00B15DBC" w:rsidRDefault="00F8799C" w:rsidP="00F8799C">
      <w:pPr>
        <w:rPr>
          <w:b/>
          <w:bCs/>
        </w:rPr>
      </w:pPr>
      <w:r>
        <w:rPr>
          <w:b/>
          <w:bCs/>
        </w:rPr>
        <w:t>Ge Z</w:t>
      </w:r>
      <w:r w:rsidR="00B15DBC">
        <w:rPr>
          <w:b/>
          <w:bCs/>
        </w:rPr>
        <w:t xml:space="preserve">, Rubio G, Lynch J </w:t>
      </w:r>
      <w:r>
        <w:rPr>
          <w:b/>
          <w:bCs/>
        </w:rPr>
        <w:t>(</w:t>
      </w:r>
      <w:r w:rsidR="00B15DBC">
        <w:rPr>
          <w:b/>
          <w:bCs/>
        </w:rPr>
        <w:t>2000</w:t>
      </w:r>
      <w:r>
        <w:rPr>
          <w:b/>
          <w:bCs/>
        </w:rPr>
        <w:t>)</w:t>
      </w:r>
      <w:r w:rsidR="00B15DBC">
        <w:rPr>
          <w:b/>
          <w:bCs/>
        </w:rPr>
        <w:t xml:space="preserve"> </w:t>
      </w:r>
      <w:r w:rsidR="00B15DBC">
        <w:t xml:space="preserve">The importance of root </w:t>
      </w:r>
      <w:proofErr w:type="spellStart"/>
      <w:r w:rsidR="00B15DBC">
        <w:t>gravitropism</w:t>
      </w:r>
      <w:proofErr w:type="spellEnd"/>
      <w:r w:rsidR="00B15DBC">
        <w:t xml:space="preserve"> for inter-root competition and phosphorus acquisition efficiency: results from a geometric simulation model. </w:t>
      </w:r>
      <w:r w:rsidR="00B15DBC">
        <w:rPr>
          <w:i/>
          <w:iCs/>
        </w:rPr>
        <w:t xml:space="preserve">Plant and Soil </w:t>
      </w:r>
      <w:r w:rsidR="00B15DBC">
        <w:rPr>
          <w:b/>
          <w:bCs/>
        </w:rPr>
        <w:t>218</w:t>
      </w:r>
      <w:r w:rsidR="00D42962">
        <w:t>(1-2)</w:t>
      </w:r>
      <w:r w:rsidR="00B15DBC">
        <w:t>: 159-171.</w:t>
      </w:r>
      <w:r w:rsidR="00B15DBC">
        <w:rPr>
          <w:b/>
          <w:bCs/>
        </w:rPr>
        <w:t xml:space="preserve"> </w:t>
      </w:r>
    </w:p>
    <w:p w14:paraId="718BA53A" w14:textId="409C1685" w:rsidR="004E66DB" w:rsidRDefault="00F8799C" w:rsidP="00F8799C">
      <w:r>
        <w:rPr>
          <w:b/>
          <w:bCs/>
        </w:rPr>
        <w:t>Grant R</w:t>
      </w:r>
      <w:r w:rsidR="004E66DB">
        <w:rPr>
          <w:b/>
          <w:bCs/>
        </w:rPr>
        <w:t xml:space="preserve">, Robertson J </w:t>
      </w:r>
      <w:r>
        <w:rPr>
          <w:b/>
          <w:bCs/>
        </w:rPr>
        <w:t>(</w:t>
      </w:r>
      <w:r w:rsidR="004E66DB">
        <w:rPr>
          <w:b/>
          <w:bCs/>
        </w:rPr>
        <w:t>1997</w:t>
      </w:r>
      <w:r>
        <w:rPr>
          <w:b/>
          <w:bCs/>
        </w:rPr>
        <w:t>)</w:t>
      </w:r>
      <w:r w:rsidR="004E66DB">
        <w:rPr>
          <w:b/>
          <w:bCs/>
        </w:rPr>
        <w:t xml:space="preserve"> </w:t>
      </w:r>
      <w:r w:rsidR="004E66DB">
        <w:t xml:space="preserve">Phosphorus uptake by root systems: mathematical modelling in </w:t>
      </w:r>
      <w:proofErr w:type="spellStart"/>
      <w:r w:rsidR="004E66DB">
        <w:t>ecosys</w:t>
      </w:r>
      <w:proofErr w:type="spellEnd"/>
      <w:r w:rsidR="004E66DB">
        <w:t xml:space="preserve">. </w:t>
      </w:r>
      <w:r w:rsidR="004E66DB">
        <w:rPr>
          <w:i/>
          <w:iCs/>
        </w:rPr>
        <w:t xml:space="preserve">Plant and Soil </w:t>
      </w:r>
      <w:r w:rsidR="004E66DB">
        <w:rPr>
          <w:b/>
          <w:bCs/>
        </w:rPr>
        <w:t>118</w:t>
      </w:r>
      <w:r w:rsidR="00057E9D">
        <w:t>(2)</w:t>
      </w:r>
      <w:r w:rsidR="004E66DB">
        <w:t xml:space="preserve">: 279-297. </w:t>
      </w:r>
    </w:p>
    <w:p w14:paraId="154E9576" w14:textId="3931FA75" w:rsidR="00D84DE4" w:rsidRDefault="00F8799C" w:rsidP="00F8799C">
      <w:proofErr w:type="spellStart"/>
      <w:r>
        <w:rPr>
          <w:b/>
          <w:bCs/>
        </w:rPr>
        <w:t>Hartikainen</w:t>
      </w:r>
      <w:proofErr w:type="spellEnd"/>
      <w:r>
        <w:rPr>
          <w:b/>
          <w:bCs/>
        </w:rPr>
        <w:t xml:space="preserve"> H</w:t>
      </w:r>
      <w:r w:rsidR="00D84DE4">
        <w:rPr>
          <w:b/>
          <w:bCs/>
        </w:rPr>
        <w:t xml:space="preserve">, Rasa K, Withers P </w:t>
      </w:r>
      <w:r>
        <w:rPr>
          <w:b/>
          <w:bCs/>
        </w:rPr>
        <w:t>(</w:t>
      </w:r>
      <w:r w:rsidR="00D84DE4">
        <w:rPr>
          <w:b/>
          <w:bCs/>
        </w:rPr>
        <w:t>2010</w:t>
      </w:r>
      <w:r>
        <w:rPr>
          <w:b/>
          <w:bCs/>
        </w:rPr>
        <w:t>)</w:t>
      </w:r>
      <w:r w:rsidR="00D84DE4">
        <w:rPr>
          <w:b/>
          <w:bCs/>
        </w:rPr>
        <w:t xml:space="preserve"> </w:t>
      </w:r>
      <w:r w:rsidR="00D84DE4">
        <w:t xml:space="preserve">Phosphorus exchange properties of European soils and sediments derived from them. </w:t>
      </w:r>
      <w:r w:rsidR="00D84DE4">
        <w:rPr>
          <w:i/>
          <w:iCs/>
        </w:rPr>
        <w:t xml:space="preserve">European Journal of Soil Science </w:t>
      </w:r>
      <w:r w:rsidR="00D84DE4">
        <w:rPr>
          <w:b/>
          <w:bCs/>
        </w:rPr>
        <w:t>61</w:t>
      </w:r>
      <w:r w:rsidR="006B5C97">
        <w:t>(6)</w:t>
      </w:r>
      <w:r w:rsidR="00D84DE4">
        <w:rPr>
          <w:b/>
          <w:bCs/>
        </w:rPr>
        <w:t xml:space="preserve">: </w:t>
      </w:r>
      <w:r w:rsidR="00D84DE4">
        <w:t xml:space="preserve">1033-1042. </w:t>
      </w:r>
    </w:p>
    <w:p w14:paraId="082E7DF0" w14:textId="2C8A2E0D" w:rsidR="00B82B65" w:rsidRPr="007B072D" w:rsidRDefault="00F8799C" w:rsidP="001E5044">
      <w:r>
        <w:rPr>
          <w:b/>
          <w:bCs/>
        </w:rPr>
        <w:t>Heppell J</w:t>
      </w:r>
      <w:r w:rsidR="00B82B65" w:rsidRPr="007B072D">
        <w:rPr>
          <w:b/>
          <w:bCs/>
        </w:rPr>
        <w:t>,</w:t>
      </w:r>
      <w:r w:rsidR="007B072D" w:rsidRPr="007B072D">
        <w:rPr>
          <w:b/>
          <w:bCs/>
        </w:rPr>
        <w:t xml:space="preserve"> </w:t>
      </w:r>
      <w:proofErr w:type="spellStart"/>
      <w:r w:rsidR="007B072D" w:rsidRPr="007B072D">
        <w:rPr>
          <w:b/>
          <w:bCs/>
        </w:rPr>
        <w:t>Payvandi</w:t>
      </w:r>
      <w:proofErr w:type="spellEnd"/>
      <w:r w:rsidR="007B072D" w:rsidRPr="007B072D">
        <w:rPr>
          <w:b/>
          <w:bCs/>
        </w:rPr>
        <w:t xml:space="preserve"> S, </w:t>
      </w:r>
      <w:proofErr w:type="spellStart"/>
      <w:r w:rsidR="007B072D" w:rsidRPr="007B072D">
        <w:rPr>
          <w:b/>
          <w:bCs/>
        </w:rPr>
        <w:t>Zygalakis</w:t>
      </w:r>
      <w:proofErr w:type="spellEnd"/>
      <w:r w:rsidR="007B072D" w:rsidRPr="007B072D">
        <w:rPr>
          <w:b/>
          <w:bCs/>
        </w:rPr>
        <w:t xml:space="preserve"> K</w:t>
      </w:r>
      <w:r w:rsidR="007B072D">
        <w:rPr>
          <w:b/>
          <w:bCs/>
        </w:rPr>
        <w:t xml:space="preserve">, </w:t>
      </w:r>
      <w:proofErr w:type="spellStart"/>
      <w:r w:rsidR="007B072D">
        <w:rPr>
          <w:b/>
          <w:bCs/>
        </w:rPr>
        <w:t>Smethurst</w:t>
      </w:r>
      <w:proofErr w:type="spellEnd"/>
      <w:r w:rsidR="007B072D">
        <w:rPr>
          <w:b/>
          <w:bCs/>
        </w:rPr>
        <w:t xml:space="preserve"> J, </w:t>
      </w:r>
      <w:proofErr w:type="spellStart"/>
      <w:r w:rsidR="007B072D">
        <w:rPr>
          <w:b/>
          <w:bCs/>
        </w:rPr>
        <w:t>Fliege</w:t>
      </w:r>
      <w:proofErr w:type="spellEnd"/>
      <w:r w:rsidR="007B072D">
        <w:rPr>
          <w:b/>
          <w:bCs/>
        </w:rPr>
        <w:t xml:space="preserve"> J, Roose T</w:t>
      </w:r>
      <w:r w:rsidR="00B82B65" w:rsidRPr="007B072D">
        <w:rPr>
          <w:b/>
          <w:bCs/>
        </w:rPr>
        <w:t xml:space="preserve"> </w:t>
      </w:r>
      <w:r>
        <w:rPr>
          <w:b/>
          <w:bCs/>
        </w:rPr>
        <w:t>(</w:t>
      </w:r>
      <w:r w:rsidR="00B82B65" w:rsidRPr="007B072D">
        <w:rPr>
          <w:b/>
          <w:bCs/>
        </w:rPr>
        <w:t>2014</w:t>
      </w:r>
      <w:r>
        <w:rPr>
          <w:b/>
          <w:bCs/>
        </w:rPr>
        <w:t>)</w:t>
      </w:r>
      <w:r w:rsidR="007B072D" w:rsidRPr="007B072D">
        <w:rPr>
          <w:b/>
          <w:bCs/>
        </w:rPr>
        <w:t xml:space="preserve"> </w:t>
      </w:r>
      <w:r w:rsidR="007B072D" w:rsidRPr="007B072D">
        <w:t xml:space="preserve">Validation of a spatial-temporal soil water movement and plant water uptake model. </w:t>
      </w:r>
      <w:proofErr w:type="gramStart"/>
      <w:r w:rsidR="007B072D">
        <w:rPr>
          <w:i/>
          <w:iCs/>
        </w:rPr>
        <w:t>Geotechnique.</w:t>
      </w:r>
      <w:r w:rsidR="00275D55">
        <w:rPr>
          <w:b/>
          <w:bCs/>
        </w:rPr>
        <w:t>64</w:t>
      </w:r>
      <w:r w:rsidR="00275D55">
        <w:t>(</w:t>
      </w:r>
      <w:proofErr w:type="gramEnd"/>
      <w:r w:rsidR="00275D55">
        <w:t>7): 526-539.</w:t>
      </w:r>
      <w:r w:rsidR="007B072D">
        <w:rPr>
          <w:i/>
          <w:iCs/>
        </w:rPr>
        <w:t xml:space="preserve"> </w:t>
      </w:r>
    </w:p>
    <w:p w14:paraId="3826A36E" w14:textId="6B287A91" w:rsidR="00B82B65" w:rsidRPr="00DD4383" w:rsidRDefault="00F8799C" w:rsidP="001E5044">
      <w:pPr>
        <w:rPr>
          <w:i/>
          <w:iCs/>
        </w:rPr>
      </w:pPr>
      <w:r>
        <w:rPr>
          <w:b/>
          <w:bCs/>
        </w:rPr>
        <w:lastRenderedPageBreak/>
        <w:t>Heppell J</w:t>
      </w:r>
      <w:r w:rsidR="00B82B65" w:rsidRPr="00480ECE">
        <w:rPr>
          <w:b/>
          <w:bCs/>
        </w:rPr>
        <w:t>,</w:t>
      </w:r>
      <w:r w:rsidR="00480ECE" w:rsidRPr="00480ECE">
        <w:rPr>
          <w:b/>
          <w:bCs/>
        </w:rPr>
        <w:t xml:space="preserve"> </w:t>
      </w:r>
      <w:proofErr w:type="spellStart"/>
      <w:r w:rsidR="00480ECE" w:rsidRPr="00480ECE">
        <w:rPr>
          <w:b/>
          <w:bCs/>
        </w:rPr>
        <w:t>Talboys</w:t>
      </w:r>
      <w:proofErr w:type="spellEnd"/>
      <w:r w:rsidR="00480ECE" w:rsidRPr="00480ECE">
        <w:rPr>
          <w:b/>
          <w:bCs/>
        </w:rPr>
        <w:t xml:space="preserve"> P, </w:t>
      </w:r>
      <w:proofErr w:type="spellStart"/>
      <w:r w:rsidR="00480ECE" w:rsidRPr="00480ECE">
        <w:rPr>
          <w:b/>
          <w:bCs/>
        </w:rPr>
        <w:t>Payvandi</w:t>
      </w:r>
      <w:proofErr w:type="spellEnd"/>
      <w:r w:rsidR="00480ECE" w:rsidRPr="00480ECE">
        <w:rPr>
          <w:b/>
          <w:bCs/>
        </w:rPr>
        <w:t xml:space="preserve"> S, </w:t>
      </w:r>
      <w:proofErr w:type="spellStart"/>
      <w:r w:rsidR="00480ECE" w:rsidRPr="00480ECE">
        <w:rPr>
          <w:b/>
          <w:bCs/>
        </w:rPr>
        <w:t>Zygalakis</w:t>
      </w:r>
      <w:proofErr w:type="spellEnd"/>
      <w:r w:rsidR="00480ECE" w:rsidRPr="00480ECE">
        <w:rPr>
          <w:b/>
          <w:bCs/>
        </w:rPr>
        <w:t xml:space="preserve"> K, </w:t>
      </w:r>
      <w:proofErr w:type="spellStart"/>
      <w:r w:rsidR="00480ECE" w:rsidRPr="00480ECE">
        <w:rPr>
          <w:b/>
          <w:bCs/>
        </w:rPr>
        <w:t>Fliege</w:t>
      </w:r>
      <w:proofErr w:type="spellEnd"/>
      <w:r w:rsidR="00480ECE" w:rsidRPr="00480ECE">
        <w:rPr>
          <w:b/>
          <w:bCs/>
        </w:rPr>
        <w:t xml:space="preserve"> J, Withers P</w:t>
      </w:r>
      <w:r w:rsidR="00480ECE">
        <w:rPr>
          <w:b/>
          <w:bCs/>
        </w:rPr>
        <w:t>, Jones D, Roose T</w:t>
      </w:r>
      <w:r w:rsidR="00B82B65" w:rsidRPr="00480ECE">
        <w:rPr>
          <w:b/>
          <w:bCs/>
        </w:rPr>
        <w:t xml:space="preserve"> </w:t>
      </w:r>
      <w:r>
        <w:rPr>
          <w:b/>
          <w:bCs/>
        </w:rPr>
        <w:t>(</w:t>
      </w:r>
      <w:r w:rsidR="001E5044" w:rsidRPr="00480ECE">
        <w:rPr>
          <w:b/>
          <w:bCs/>
        </w:rPr>
        <w:t>201</w:t>
      </w:r>
      <w:r w:rsidR="001E5044">
        <w:rPr>
          <w:b/>
          <w:bCs/>
        </w:rPr>
        <w:t>5</w:t>
      </w:r>
      <w:r>
        <w:rPr>
          <w:b/>
          <w:bCs/>
        </w:rPr>
        <w:t>)</w:t>
      </w:r>
      <w:r w:rsidR="00480ECE" w:rsidRPr="00480ECE">
        <w:rPr>
          <w:b/>
          <w:bCs/>
        </w:rPr>
        <w:t xml:space="preserve"> </w:t>
      </w:r>
      <w:r w:rsidR="00480ECE">
        <w:t xml:space="preserve">How changing root system architecture can help tackle a reduction in soil phosphate (P) levels for better plant P acquisition. </w:t>
      </w:r>
      <w:proofErr w:type="gramStart"/>
      <w:r w:rsidR="00480ECE">
        <w:rPr>
          <w:i/>
          <w:iCs/>
        </w:rPr>
        <w:t>Plant, Cell &amp; Environment.</w:t>
      </w:r>
      <w:proofErr w:type="gramEnd"/>
      <w:r w:rsidR="00480ECE">
        <w:t xml:space="preserve"> </w:t>
      </w:r>
      <w:r w:rsidR="001E5044" w:rsidRPr="008A048F">
        <w:rPr>
          <w:b/>
          <w:bCs/>
          <w:i/>
          <w:iCs/>
        </w:rPr>
        <w:t>38</w:t>
      </w:r>
      <w:r w:rsidR="001E5044">
        <w:rPr>
          <w:i/>
          <w:iCs/>
        </w:rPr>
        <w:t>:118-128</w:t>
      </w:r>
    </w:p>
    <w:p w14:paraId="02C89F38" w14:textId="25053BC8" w:rsidR="001A2471" w:rsidRPr="001A2471" w:rsidRDefault="00F8799C" w:rsidP="00F8799C">
      <w:pPr>
        <w:rPr>
          <w:b/>
          <w:bCs/>
        </w:rPr>
      </w:pPr>
      <w:proofErr w:type="spellStart"/>
      <w:r>
        <w:rPr>
          <w:b/>
          <w:bCs/>
        </w:rPr>
        <w:t>Hooda</w:t>
      </w:r>
      <w:proofErr w:type="spellEnd"/>
      <w:r>
        <w:rPr>
          <w:b/>
          <w:bCs/>
        </w:rPr>
        <w:t xml:space="preserve"> P</w:t>
      </w:r>
      <w:r w:rsidR="001A2471">
        <w:rPr>
          <w:b/>
          <w:bCs/>
        </w:rPr>
        <w:t xml:space="preserve">, </w:t>
      </w:r>
      <w:proofErr w:type="spellStart"/>
      <w:r w:rsidR="001A2471">
        <w:rPr>
          <w:b/>
          <w:bCs/>
        </w:rPr>
        <w:t>Truesdale</w:t>
      </w:r>
      <w:proofErr w:type="spellEnd"/>
      <w:r w:rsidR="001A2471">
        <w:rPr>
          <w:b/>
          <w:bCs/>
        </w:rPr>
        <w:t xml:space="preserve"> V, Edwards A, Withers P, Aitken M, Miller A, Rendell A </w:t>
      </w:r>
      <w:r>
        <w:rPr>
          <w:b/>
          <w:bCs/>
        </w:rPr>
        <w:t>(</w:t>
      </w:r>
      <w:r w:rsidR="001A2471">
        <w:rPr>
          <w:b/>
          <w:bCs/>
        </w:rPr>
        <w:t>2001</w:t>
      </w:r>
      <w:r>
        <w:rPr>
          <w:b/>
          <w:bCs/>
        </w:rPr>
        <w:t>)</w:t>
      </w:r>
      <w:r w:rsidR="001A2471">
        <w:rPr>
          <w:b/>
          <w:bCs/>
        </w:rPr>
        <w:t xml:space="preserve"> </w:t>
      </w:r>
      <w:proofErr w:type="spellStart"/>
      <w:r w:rsidR="001A2471">
        <w:t>Manuring</w:t>
      </w:r>
      <w:proofErr w:type="spellEnd"/>
      <w:r w:rsidR="001A2471">
        <w:t xml:space="preserve"> and fertilization effects on phosphorus accumulation in soils and potential environmental implications. </w:t>
      </w:r>
      <w:r w:rsidR="001A2471">
        <w:rPr>
          <w:i/>
          <w:iCs/>
        </w:rPr>
        <w:t>Advances in Environmental Research</w:t>
      </w:r>
      <w:r w:rsidR="001A2471">
        <w:t xml:space="preserve"> </w:t>
      </w:r>
      <w:r w:rsidR="001A2471" w:rsidRPr="001A2471">
        <w:rPr>
          <w:b/>
          <w:bCs/>
        </w:rPr>
        <w:t>5</w:t>
      </w:r>
      <w:r w:rsidR="007D0E39">
        <w:t>(1)</w:t>
      </w:r>
      <w:r w:rsidR="001A2471">
        <w:rPr>
          <w:b/>
          <w:bCs/>
        </w:rPr>
        <w:t xml:space="preserve">: </w:t>
      </w:r>
      <w:r w:rsidR="001A2471" w:rsidRPr="001A2471">
        <w:t>13-21.</w:t>
      </w:r>
    </w:p>
    <w:p w14:paraId="6590E888" w14:textId="04135A63" w:rsidR="001D1DE1" w:rsidRDefault="00F8799C" w:rsidP="00F8799C">
      <w:proofErr w:type="spellStart"/>
      <w:r w:rsidRPr="00F8799C">
        <w:rPr>
          <w:b/>
          <w:bCs/>
        </w:rPr>
        <w:t>Jeuffroy</w:t>
      </w:r>
      <w:proofErr w:type="spellEnd"/>
      <w:r w:rsidRPr="00F8799C">
        <w:rPr>
          <w:b/>
          <w:bCs/>
        </w:rPr>
        <w:t xml:space="preserve"> M, </w:t>
      </w:r>
      <w:proofErr w:type="spellStart"/>
      <w:r w:rsidRPr="00F8799C">
        <w:rPr>
          <w:b/>
          <w:bCs/>
        </w:rPr>
        <w:t>Vocanson</w:t>
      </w:r>
      <w:proofErr w:type="spellEnd"/>
      <w:r w:rsidR="001D1DE1" w:rsidRPr="00F8799C">
        <w:rPr>
          <w:b/>
          <w:bCs/>
        </w:rPr>
        <w:t xml:space="preserve"> A, Roger-</w:t>
      </w:r>
      <w:proofErr w:type="spellStart"/>
      <w:r w:rsidR="001D1DE1" w:rsidRPr="00F8799C">
        <w:rPr>
          <w:b/>
          <w:bCs/>
        </w:rPr>
        <w:t>Estrade</w:t>
      </w:r>
      <w:proofErr w:type="spellEnd"/>
      <w:r w:rsidR="001D1DE1" w:rsidRPr="00F8799C">
        <w:rPr>
          <w:b/>
          <w:bCs/>
        </w:rPr>
        <w:t xml:space="preserve"> J</w:t>
      </w:r>
      <w:r w:rsidRPr="00F8799C">
        <w:rPr>
          <w:b/>
          <w:bCs/>
        </w:rPr>
        <w:t>,</w:t>
      </w:r>
      <w:r w:rsidR="001D1DE1" w:rsidRPr="00F8799C">
        <w:rPr>
          <w:b/>
          <w:bCs/>
        </w:rPr>
        <w:t xml:space="preserve"> </w:t>
      </w:r>
      <w:proofErr w:type="spellStart"/>
      <w:r w:rsidR="001D1DE1" w:rsidRPr="00F8799C">
        <w:rPr>
          <w:b/>
          <w:bCs/>
        </w:rPr>
        <w:t>Meynard</w:t>
      </w:r>
      <w:proofErr w:type="spellEnd"/>
      <w:r w:rsidR="001D1DE1" w:rsidRPr="00F8799C">
        <w:rPr>
          <w:b/>
          <w:bCs/>
        </w:rPr>
        <w:t xml:space="preserve"> J </w:t>
      </w:r>
      <w:r w:rsidRPr="00F8799C">
        <w:rPr>
          <w:b/>
          <w:bCs/>
        </w:rPr>
        <w:t>(</w:t>
      </w:r>
      <w:r w:rsidR="001D1DE1" w:rsidRPr="00F8799C">
        <w:rPr>
          <w:b/>
          <w:bCs/>
        </w:rPr>
        <w:t>2012</w:t>
      </w:r>
      <w:r w:rsidRPr="00F8799C">
        <w:rPr>
          <w:b/>
          <w:bCs/>
        </w:rPr>
        <w:t>)</w:t>
      </w:r>
      <w:r w:rsidR="001D1DE1" w:rsidRPr="00F8799C">
        <w:rPr>
          <w:b/>
          <w:bCs/>
        </w:rPr>
        <w:t xml:space="preserve"> </w:t>
      </w:r>
      <w:r w:rsidR="001D1DE1" w:rsidRPr="001D1DE1">
        <w:t xml:space="preserve">The use of models at field and farm levels for the ex ante assessment of new pea genotypes. </w:t>
      </w:r>
      <w:r w:rsidR="001E577D">
        <w:rPr>
          <w:i/>
          <w:iCs/>
        </w:rPr>
        <w:t xml:space="preserve">European Journal of </w:t>
      </w:r>
      <w:r w:rsidR="001D1DE1">
        <w:rPr>
          <w:i/>
          <w:iCs/>
        </w:rPr>
        <w:t>Agronomy</w:t>
      </w:r>
      <w:r w:rsidR="001D1DE1">
        <w:t xml:space="preserve"> </w:t>
      </w:r>
      <w:r w:rsidR="001D1DE1">
        <w:rPr>
          <w:b/>
          <w:bCs/>
        </w:rPr>
        <w:t>42</w:t>
      </w:r>
      <w:r w:rsidR="00502417">
        <w:t>(October)</w:t>
      </w:r>
      <w:r w:rsidR="001D1DE1">
        <w:rPr>
          <w:b/>
          <w:bCs/>
        </w:rPr>
        <w:t xml:space="preserve">, </w:t>
      </w:r>
      <w:r w:rsidR="001D1DE1">
        <w:t>68-78.</w:t>
      </w:r>
    </w:p>
    <w:p w14:paraId="0335844D" w14:textId="3D07A6DA" w:rsidR="00FC3FEF" w:rsidRDefault="00F8799C" w:rsidP="00F8799C">
      <w:proofErr w:type="spellStart"/>
      <w:r>
        <w:rPr>
          <w:b/>
          <w:bCs/>
        </w:rPr>
        <w:t>Jobbágy</w:t>
      </w:r>
      <w:proofErr w:type="spellEnd"/>
      <w:r>
        <w:rPr>
          <w:b/>
          <w:bCs/>
        </w:rPr>
        <w:t xml:space="preserve"> E,</w:t>
      </w:r>
      <w:r w:rsidR="00FC3FEF">
        <w:rPr>
          <w:b/>
          <w:bCs/>
        </w:rPr>
        <w:t xml:space="preserve"> Jackson R </w:t>
      </w:r>
      <w:r>
        <w:rPr>
          <w:b/>
          <w:bCs/>
        </w:rPr>
        <w:t>(</w:t>
      </w:r>
      <w:r w:rsidR="00FC3FEF">
        <w:rPr>
          <w:b/>
          <w:bCs/>
        </w:rPr>
        <w:t>2001</w:t>
      </w:r>
      <w:r>
        <w:rPr>
          <w:b/>
          <w:bCs/>
        </w:rPr>
        <w:t>)</w:t>
      </w:r>
      <w:r w:rsidR="00FC3FEF">
        <w:rPr>
          <w:b/>
          <w:bCs/>
        </w:rPr>
        <w:t xml:space="preserve"> </w:t>
      </w:r>
      <w:r w:rsidR="00FC3FEF">
        <w:t xml:space="preserve">The distribution of soil nutrients with depth: Global patterns and the imprints of plants. </w:t>
      </w:r>
      <w:r w:rsidR="00FC3FEF">
        <w:rPr>
          <w:i/>
          <w:iCs/>
        </w:rPr>
        <w:t xml:space="preserve">Biogeochemistry </w:t>
      </w:r>
      <w:r w:rsidR="00FC3FEF">
        <w:rPr>
          <w:b/>
          <w:bCs/>
        </w:rPr>
        <w:t>53</w:t>
      </w:r>
      <w:r w:rsidR="00F75C64">
        <w:t>(1)</w:t>
      </w:r>
      <w:r w:rsidR="00FC3FEF">
        <w:t>: 51-77.</w:t>
      </w:r>
    </w:p>
    <w:p w14:paraId="654EF43E" w14:textId="2BC14247" w:rsidR="000504BC" w:rsidRPr="00FC3FEF" w:rsidRDefault="000504BC" w:rsidP="00F8799C">
      <w:r w:rsidRPr="008A048F">
        <w:rPr>
          <w:b/>
          <w:bCs/>
        </w:rPr>
        <w:t xml:space="preserve">Johnson J, </w:t>
      </w:r>
      <w:proofErr w:type="spellStart"/>
      <w:r w:rsidRPr="008A048F">
        <w:rPr>
          <w:b/>
          <w:bCs/>
        </w:rPr>
        <w:t>Fixen</w:t>
      </w:r>
      <w:proofErr w:type="spellEnd"/>
      <w:r w:rsidRPr="008A048F">
        <w:rPr>
          <w:b/>
          <w:bCs/>
        </w:rPr>
        <w:t xml:space="preserve"> P, </w:t>
      </w:r>
      <w:proofErr w:type="spellStart"/>
      <w:r w:rsidRPr="008A048F">
        <w:rPr>
          <w:b/>
          <w:bCs/>
        </w:rPr>
        <w:t>Poulton</w:t>
      </w:r>
      <w:proofErr w:type="spellEnd"/>
      <w:r w:rsidRPr="008A048F">
        <w:rPr>
          <w:b/>
          <w:bCs/>
        </w:rPr>
        <w:t xml:space="preserve"> P (2014)</w:t>
      </w:r>
      <w:r>
        <w:t xml:space="preserve"> The efficient Use of Phosphorus in Agriculture. </w:t>
      </w:r>
      <w:r w:rsidRPr="008A048F">
        <w:rPr>
          <w:i/>
          <w:iCs/>
        </w:rPr>
        <w:t>Better Crops</w:t>
      </w:r>
      <w:r>
        <w:t xml:space="preserve"> </w:t>
      </w:r>
      <w:r w:rsidRPr="008A048F">
        <w:rPr>
          <w:b/>
          <w:bCs/>
        </w:rPr>
        <w:t>98</w:t>
      </w:r>
      <w:r>
        <w:t>(4): 22-24.</w:t>
      </w:r>
    </w:p>
    <w:p w14:paraId="37212EC0" w14:textId="328D0A48" w:rsidR="007F5C14" w:rsidRPr="00D90B8F" w:rsidRDefault="00F8799C" w:rsidP="00F8799C">
      <w:r>
        <w:rPr>
          <w:b/>
          <w:bCs/>
        </w:rPr>
        <w:t>Jordan-</w:t>
      </w:r>
      <w:proofErr w:type="spellStart"/>
      <w:r>
        <w:rPr>
          <w:b/>
          <w:bCs/>
        </w:rPr>
        <w:t>Meille</w:t>
      </w:r>
      <w:proofErr w:type="spellEnd"/>
      <w:r>
        <w:rPr>
          <w:b/>
          <w:bCs/>
        </w:rPr>
        <w:t xml:space="preserve"> L</w:t>
      </w:r>
      <w:r w:rsidR="007F5C14" w:rsidRPr="007F5C14">
        <w:rPr>
          <w:b/>
          <w:bCs/>
        </w:rPr>
        <w:t>, Rub</w:t>
      </w:r>
      <w:r w:rsidR="007F5C14">
        <w:rPr>
          <w:b/>
          <w:bCs/>
          <w:lang w:val="fr-FR"/>
        </w:rPr>
        <w:t>Ӕ</w:t>
      </w:r>
      <w:r w:rsidR="007F5C14" w:rsidRPr="007F5C14">
        <w:rPr>
          <w:b/>
          <w:bCs/>
        </w:rPr>
        <w:t xml:space="preserve">k G, </w:t>
      </w:r>
      <w:proofErr w:type="spellStart"/>
      <w:r w:rsidR="007F5C14" w:rsidRPr="007F5C14">
        <w:rPr>
          <w:b/>
          <w:bCs/>
        </w:rPr>
        <w:t>Ehlert</w:t>
      </w:r>
      <w:proofErr w:type="spellEnd"/>
      <w:r w:rsidR="007F5C14" w:rsidRPr="007F5C14">
        <w:rPr>
          <w:b/>
          <w:bCs/>
        </w:rPr>
        <w:t xml:space="preserve"> P, </w:t>
      </w:r>
      <w:proofErr w:type="spellStart"/>
      <w:r w:rsidR="007F5C14" w:rsidRPr="007F5C14">
        <w:rPr>
          <w:b/>
          <w:bCs/>
        </w:rPr>
        <w:t>Genot</w:t>
      </w:r>
      <w:proofErr w:type="spellEnd"/>
      <w:r w:rsidR="007F5C14" w:rsidRPr="007F5C14">
        <w:rPr>
          <w:b/>
          <w:bCs/>
        </w:rPr>
        <w:t xml:space="preserve"> V, </w:t>
      </w:r>
      <w:proofErr w:type="spellStart"/>
      <w:r w:rsidR="007F5C14" w:rsidRPr="007F5C14">
        <w:rPr>
          <w:b/>
          <w:bCs/>
        </w:rPr>
        <w:t>Hofman</w:t>
      </w:r>
      <w:proofErr w:type="spellEnd"/>
      <w:r w:rsidR="007F5C14" w:rsidRPr="007F5C14">
        <w:rPr>
          <w:b/>
          <w:bCs/>
        </w:rPr>
        <w:t xml:space="preserve"> G, Goulding K, </w:t>
      </w:r>
      <w:proofErr w:type="spellStart"/>
      <w:r w:rsidR="007F5C14" w:rsidRPr="007F5C14">
        <w:rPr>
          <w:b/>
          <w:bCs/>
        </w:rPr>
        <w:t>Recknagel</w:t>
      </w:r>
      <w:proofErr w:type="spellEnd"/>
      <w:r w:rsidR="007F5C14" w:rsidRPr="007F5C14">
        <w:rPr>
          <w:b/>
          <w:bCs/>
        </w:rPr>
        <w:t xml:space="preserve"> J, </w:t>
      </w:r>
      <w:proofErr w:type="spellStart"/>
      <w:r w:rsidR="007F5C14" w:rsidRPr="007F5C14">
        <w:rPr>
          <w:b/>
          <w:bCs/>
        </w:rPr>
        <w:t>Provolo</w:t>
      </w:r>
      <w:proofErr w:type="spellEnd"/>
      <w:r w:rsidR="007F5C14" w:rsidRPr="007F5C14">
        <w:rPr>
          <w:b/>
          <w:bCs/>
        </w:rPr>
        <w:t xml:space="preserve"> G,</w:t>
      </w:r>
      <w:r w:rsidR="007F5C14">
        <w:rPr>
          <w:b/>
          <w:bCs/>
        </w:rPr>
        <w:t xml:space="preserve"> Barraclough P </w:t>
      </w:r>
      <w:r>
        <w:rPr>
          <w:b/>
          <w:bCs/>
        </w:rPr>
        <w:t>(</w:t>
      </w:r>
      <w:r w:rsidR="007F5C14">
        <w:rPr>
          <w:b/>
          <w:bCs/>
        </w:rPr>
        <w:t>2012</w:t>
      </w:r>
      <w:r>
        <w:rPr>
          <w:b/>
          <w:bCs/>
        </w:rPr>
        <w:t>)</w:t>
      </w:r>
      <w:r w:rsidR="007F5C14">
        <w:rPr>
          <w:b/>
          <w:bCs/>
        </w:rPr>
        <w:t xml:space="preserve"> </w:t>
      </w:r>
      <w:r w:rsidR="00D90B8F">
        <w:t xml:space="preserve">An overview of fertilizer – P recommendations in Europe: soil testing, calibration and fertilizer recommendations. </w:t>
      </w:r>
      <w:r w:rsidR="00D90B8F">
        <w:rPr>
          <w:i/>
          <w:iCs/>
        </w:rPr>
        <w:t>Soil Use and Management</w:t>
      </w:r>
      <w:r w:rsidR="00D90B8F">
        <w:t xml:space="preserve"> </w:t>
      </w:r>
      <w:r w:rsidR="00D90B8F">
        <w:rPr>
          <w:b/>
          <w:bCs/>
        </w:rPr>
        <w:t>28</w:t>
      </w:r>
      <w:r w:rsidR="00103D49">
        <w:t>(4)</w:t>
      </w:r>
      <w:r w:rsidR="00D90B8F">
        <w:t>: 419-435.</w:t>
      </w:r>
    </w:p>
    <w:p w14:paraId="0F0B5F1C" w14:textId="69E525A5" w:rsidR="003B63CC" w:rsidRDefault="00F8799C" w:rsidP="00F8799C">
      <w:proofErr w:type="spellStart"/>
      <w:r>
        <w:rPr>
          <w:b/>
          <w:bCs/>
        </w:rPr>
        <w:t>Kamprath</w:t>
      </w:r>
      <w:proofErr w:type="spellEnd"/>
      <w:r w:rsidR="003B63CC" w:rsidRPr="003B63CC">
        <w:rPr>
          <w:b/>
          <w:bCs/>
        </w:rPr>
        <w:t xml:space="preserve"> E, </w:t>
      </w:r>
      <w:proofErr w:type="spellStart"/>
      <w:r w:rsidR="003B63CC">
        <w:rPr>
          <w:b/>
          <w:bCs/>
        </w:rPr>
        <w:t>Beegle</w:t>
      </w:r>
      <w:proofErr w:type="spellEnd"/>
      <w:r w:rsidR="003B63CC">
        <w:rPr>
          <w:b/>
          <w:bCs/>
        </w:rPr>
        <w:t xml:space="preserve"> D, </w:t>
      </w:r>
      <w:proofErr w:type="spellStart"/>
      <w:r w:rsidR="003B63CC">
        <w:rPr>
          <w:b/>
          <w:bCs/>
        </w:rPr>
        <w:t>Fixen</w:t>
      </w:r>
      <w:proofErr w:type="spellEnd"/>
      <w:r w:rsidR="003B63CC">
        <w:rPr>
          <w:b/>
          <w:bCs/>
        </w:rPr>
        <w:t xml:space="preserve"> P, Hodges S, </w:t>
      </w:r>
      <w:proofErr w:type="spellStart"/>
      <w:r w:rsidR="003B63CC">
        <w:rPr>
          <w:b/>
          <w:bCs/>
        </w:rPr>
        <w:t>Joern</w:t>
      </w:r>
      <w:proofErr w:type="spellEnd"/>
      <w:r w:rsidR="003B63CC">
        <w:rPr>
          <w:b/>
          <w:bCs/>
        </w:rPr>
        <w:t xml:space="preserve"> B, </w:t>
      </w:r>
      <w:proofErr w:type="spellStart"/>
      <w:r w:rsidR="003B63CC">
        <w:rPr>
          <w:b/>
          <w:bCs/>
        </w:rPr>
        <w:t>Mallarino</w:t>
      </w:r>
      <w:proofErr w:type="spellEnd"/>
      <w:r w:rsidR="003B63CC">
        <w:rPr>
          <w:b/>
          <w:bCs/>
        </w:rPr>
        <w:t xml:space="preserve"> A, Miller R, Sims J, Ward R</w:t>
      </w:r>
      <w:r>
        <w:rPr>
          <w:b/>
          <w:bCs/>
        </w:rPr>
        <w:t>,</w:t>
      </w:r>
      <w:r w:rsidR="003B63CC">
        <w:rPr>
          <w:b/>
          <w:bCs/>
        </w:rPr>
        <w:t xml:space="preserve"> Wolf A </w:t>
      </w:r>
      <w:r>
        <w:rPr>
          <w:b/>
          <w:bCs/>
        </w:rPr>
        <w:t>(</w:t>
      </w:r>
      <w:r w:rsidR="003B63CC">
        <w:rPr>
          <w:b/>
          <w:bCs/>
        </w:rPr>
        <w:t>2000</w:t>
      </w:r>
      <w:r>
        <w:rPr>
          <w:b/>
          <w:bCs/>
        </w:rPr>
        <w:t>)</w:t>
      </w:r>
      <w:r w:rsidR="003B63CC">
        <w:rPr>
          <w:b/>
          <w:bCs/>
        </w:rPr>
        <w:t xml:space="preserve"> </w:t>
      </w:r>
      <w:r w:rsidR="003B63CC">
        <w:t xml:space="preserve">Relevance of </w:t>
      </w:r>
      <w:r w:rsidR="00D64225">
        <w:t>S</w:t>
      </w:r>
      <w:r w:rsidR="003B63CC">
        <w:t xml:space="preserve">oil Testing to Agriculture and the Environment. </w:t>
      </w:r>
      <w:proofErr w:type="gramStart"/>
      <w:r w:rsidR="003B63CC">
        <w:rPr>
          <w:i/>
          <w:iCs/>
        </w:rPr>
        <w:t>Council for Agricultural Science and Technology</w:t>
      </w:r>
      <w:r w:rsidR="003B63CC">
        <w:t>.</w:t>
      </w:r>
      <w:proofErr w:type="gramEnd"/>
      <w:r w:rsidR="003B63CC">
        <w:t xml:space="preserve"> Issue paper, No. 15.</w:t>
      </w:r>
    </w:p>
    <w:p w14:paraId="0F8ED143" w14:textId="6401B668" w:rsidR="00987ACD" w:rsidRPr="008A048F" w:rsidRDefault="00987ACD" w:rsidP="00F8799C">
      <w:pPr>
        <w:rPr>
          <w:lang w:val="de-DE"/>
        </w:rPr>
      </w:pPr>
      <w:proofErr w:type="spellStart"/>
      <w:r w:rsidRPr="008A048F">
        <w:rPr>
          <w:b/>
          <w:bCs/>
        </w:rPr>
        <w:t>Kutschera</w:t>
      </w:r>
      <w:proofErr w:type="spellEnd"/>
      <w:r w:rsidRPr="008A048F">
        <w:rPr>
          <w:b/>
          <w:bCs/>
        </w:rPr>
        <w:t xml:space="preserve"> L, </w:t>
      </w:r>
      <w:proofErr w:type="spellStart"/>
      <w:r w:rsidRPr="008A048F">
        <w:rPr>
          <w:b/>
          <w:bCs/>
        </w:rPr>
        <w:t>Lichtenegger</w:t>
      </w:r>
      <w:proofErr w:type="spellEnd"/>
      <w:r w:rsidRPr="008A048F">
        <w:rPr>
          <w:b/>
          <w:bCs/>
        </w:rPr>
        <w:t xml:space="preserve"> E, </w:t>
      </w:r>
      <w:proofErr w:type="spellStart"/>
      <w:r w:rsidRPr="008A048F">
        <w:rPr>
          <w:b/>
          <w:bCs/>
        </w:rPr>
        <w:t>Sobotik</w:t>
      </w:r>
      <w:proofErr w:type="spellEnd"/>
      <w:r w:rsidRPr="008A048F">
        <w:rPr>
          <w:b/>
          <w:bCs/>
        </w:rPr>
        <w:t xml:space="preserve"> M (2009)</w:t>
      </w:r>
      <w:r w:rsidRPr="00E74CF1">
        <w:t xml:space="preserve"> </w:t>
      </w:r>
      <w:proofErr w:type="spellStart"/>
      <w:r w:rsidRPr="00E74CF1">
        <w:t>Wurzelatlas</w:t>
      </w:r>
      <w:proofErr w:type="spellEnd"/>
      <w:r w:rsidRPr="00E74CF1">
        <w:t xml:space="preserve"> der</w:t>
      </w:r>
      <w:r w:rsidRPr="008A048F">
        <w:t xml:space="preserve"> </w:t>
      </w:r>
      <w:proofErr w:type="spellStart"/>
      <w:r w:rsidRPr="008A048F">
        <w:t>kulturpflanzen</w:t>
      </w:r>
      <w:proofErr w:type="spellEnd"/>
      <w:r w:rsidRPr="008A048F">
        <w:t xml:space="preserve"> </w:t>
      </w:r>
      <w:proofErr w:type="spellStart"/>
      <w:r w:rsidRPr="008A048F">
        <w:t>gemabigter</w:t>
      </w:r>
      <w:proofErr w:type="spellEnd"/>
      <w:r w:rsidRPr="008A048F">
        <w:t xml:space="preserve"> </w:t>
      </w:r>
      <w:proofErr w:type="spellStart"/>
      <w:r w:rsidRPr="008A048F">
        <w:t>Gebiete</w:t>
      </w:r>
      <w:proofErr w:type="spellEnd"/>
      <w:r w:rsidRPr="008A048F">
        <w:t xml:space="preserve"> </w:t>
      </w:r>
      <w:proofErr w:type="spellStart"/>
      <w:r w:rsidRPr="008A048F">
        <w:t>mit</w:t>
      </w:r>
      <w:proofErr w:type="spellEnd"/>
      <w:r w:rsidRPr="008A048F">
        <w:t xml:space="preserve"> </w:t>
      </w:r>
      <w:proofErr w:type="spellStart"/>
      <w:r w:rsidRPr="008A048F">
        <w:t>Arten</w:t>
      </w:r>
      <w:proofErr w:type="spellEnd"/>
      <w:r w:rsidRPr="008A048F">
        <w:t xml:space="preserve"> des </w:t>
      </w:r>
      <w:proofErr w:type="spellStart"/>
      <w:r w:rsidRPr="008A048F">
        <w:t>Feldemusebaues</w:t>
      </w:r>
      <w:proofErr w:type="spellEnd"/>
      <w:r w:rsidRPr="008A048F">
        <w:t xml:space="preserve">. </w:t>
      </w:r>
      <w:r w:rsidRPr="008A048F">
        <w:rPr>
          <w:i/>
          <w:iCs/>
          <w:lang w:val="de-DE"/>
        </w:rPr>
        <w:t>DLG-Verlag</w:t>
      </w:r>
      <w:r>
        <w:rPr>
          <w:lang w:val="de-DE"/>
        </w:rPr>
        <w:t xml:space="preserve"> 201-229. ISBN: 978-3-7690-0708-4.</w:t>
      </w:r>
    </w:p>
    <w:p w14:paraId="424C7A1B" w14:textId="36CA5A3B" w:rsidR="00027954" w:rsidRDefault="00F8799C" w:rsidP="00F8799C">
      <w:proofErr w:type="spellStart"/>
      <w:r>
        <w:rPr>
          <w:b/>
          <w:bCs/>
        </w:rPr>
        <w:t>Lalor</w:t>
      </w:r>
      <w:proofErr w:type="spellEnd"/>
      <w:r w:rsidR="00027954">
        <w:rPr>
          <w:b/>
          <w:bCs/>
        </w:rPr>
        <w:t xml:space="preserve"> S, Wal</w:t>
      </w:r>
      <w:r>
        <w:rPr>
          <w:b/>
          <w:bCs/>
        </w:rPr>
        <w:t>l</w:t>
      </w:r>
      <w:r w:rsidR="00027954">
        <w:rPr>
          <w:b/>
          <w:bCs/>
        </w:rPr>
        <w:t xml:space="preserve"> D</w:t>
      </w:r>
      <w:r>
        <w:rPr>
          <w:b/>
          <w:bCs/>
        </w:rPr>
        <w:t>,</w:t>
      </w:r>
      <w:r w:rsidR="00027954">
        <w:rPr>
          <w:b/>
          <w:bCs/>
        </w:rPr>
        <w:t xml:space="preserve"> Plunkett M </w:t>
      </w:r>
      <w:r>
        <w:rPr>
          <w:b/>
          <w:bCs/>
        </w:rPr>
        <w:t>(</w:t>
      </w:r>
      <w:r w:rsidR="00027954">
        <w:rPr>
          <w:b/>
          <w:bCs/>
        </w:rPr>
        <w:t>2013</w:t>
      </w:r>
      <w:r>
        <w:rPr>
          <w:b/>
          <w:bCs/>
        </w:rPr>
        <w:t>)</w:t>
      </w:r>
      <w:r w:rsidR="00027954">
        <w:rPr>
          <w:b/>
          <w:bCs/>
        </w:rPr>
        <w:t xml:space="preserve"> </w:t>
      </w:r>
      <w:r w:rsidR="00027954">
        <w:t xml:space="preserve">Maintaining optimum soil fertility – focus on offtake. Proceedings of Spring Scientific Meeting 2013, </w:t>
      </w:r>
      <w:proofErr w:type="gramStart"/>
      <w:r w:rsidR="00027954">
        <w:rPr>
          <w:i/>
          <w:iCs/>
        </w:rPr>
        <w:t>The</w:t>
      </w:r>
      <w:proofErr w:type="gramEnd"/>
      <w:r w:rsidR="00027954">
        <w:rPr>
          <w:i/>
          <w:iCs/>
        </w:rPr>
        <w:t xml:space="preserve"> fertilizer association of Ireland</w:t>
      </w:r>
      <w:r w:rsidR="00027954">
        <w:t>. No. 48.</w:t>
      </w:r>
    </w:p>
    <w:p w14:paraId="0AF53BD9" w14:textId="4C4D9235" w:rsidR="00645C17" w:rsidRDefault="00F8799C" w:rsidP="00F8799C">
      <w:proofErr w:type="spellStart"/>
      <w:r w:rsidRPr="00F8799C">
        <w:rPr>
          <w:b/>
          <w:bCs/>
        </w:rPr>
        <w:t>Leitner</w:t>
      </w:r>
      <w:proofErr w:type="spellEnd"/>
      <w:r w:rsidR="00645C17" w:rsidRPr="00F8799C">
        <w:rPr>
          <w:b/>
          <w:bCs/>
        </w:rPr>
        <w:t xml:space="preserve"> D, </w:t>
      </w:r>
      <w:proofErr w:type="spellStart"/>
      <w:r w:rsidR="00645C17" w:rsidRPr="00F8799C">
        <w:rPr>
          <w:b/>
          <w:bCs/>
        </w:rPr>
        <w:t>Klepsch</w:t>
      </w:r>
      <w:proofErr w:type="spellEnd"/>
      <w:r w:rsidR="00645C17" w:rsidRPr="00F8799C">
        <w:rPr>
          <w:b/>
          <w:bCs/>
        </w:rPr>
        <w:t xml:space="preserve"> S, </w:t>
      </w:r>
      <w:proofErr w:type="spellStart"/>
      <w:r w:rsidR="00645C17" w:rsidRPr="00F8799C">
        <w:rPr>
          <w:b/>
          <w:bCs/>
        </w:rPr>
        <w:t>Bodner</w:t>
      </w:r>
      <w:proofErr w:type="spellEnd"/>
      <w:r w:rsidR="00645C17" w:rsidRPr="00F8799C">
        <w:rPr>
          <w:b/>
          <w:bCs/>
        </w:rPr>
        <w:t xml:space="preserve"> G, </w:t>
      </w:r>
      <w:proofErr w:type="spellStart"/>
      <w:r w:rsidR="00645C17" w:rsidRPr="00F8799C">
        <w:rPr>
          <w:b/>
          <w:bCs/>
        </w:rPr>
        <w:t>Schnepf</w:t>
      </w:r>
      <w:proofErr w:type="spellEnd"/>
      <w:r w:rsidR="00645C17" w:rsidRPr="00F8799C">
        <w:rPr>
          <w:b/>
          <w:bCs/>
        </w:rPr>
        <w:t xml:space="preserve"> A </w:t>
      </w:r>
      <w:r w:rsidRPr="00F8799C">
        <w:rPr>
          <w:b/>
          <w:bCs/>
        </w:rPr>
        <w:t>(</w:t>
      </w:r>
      <w:r w:rsidR="00645C17" w:rsidRPr="00F8799C">
        <w:rPr>
          <w:b/>
          <w:bCs/>
        </w:rPr>
        <w:t>2010</w:t>
      </w:r>
      <w:r w:rsidRPr="00F8799C">
        <w:rPr>
          <w:b/>
          <w:bCs/>
        </w:rPr>
        <w:t>)</w:t>
      </w:r>
      <w:r w:rsidR="00645C17" w:rsidRPr="00F8799C">
        <w:rPr>
          <w:b/>
          <w:bCs/>
        </w:rPr>
        <w:t xml:space="preserve"> </w:t>
      </w:r>
      <w:r w:rsidR="00645C17" w:rsidRPr="00645C17">
        <w:t>A dynamic root system growth model bas</w:t>
      </w:r>
      <w:r w:rsidR="00C7020E">
        <w:t xml:space="preserve">ed </w:t>
      </w:r>
      <w:r w:rsidR="00645C17" w:rsidRPr="00645C17">
        <w:t xml:space="preserve">on L-systems. </w:t>
      </w:r>
      <w:r w:rsidR="00645C17">
        <w:t xml:space="preserve">Tropisms and coupling to nutrient uptake from soil. </w:t>
      </w:r>
      <w:r w:rsidR="00645C17">
        <w:rPr>
          <w:i/>
          <w:iCs/>
        </w:rPr>
        <w:t>Plant and Soil</w:t>
      </w:r>
      <w:r w:rsidR="00645C17">
        <w:t xml:space="preserve"> </w:t>
      </w:r>
      <w:r w:rsidR="00645C17">
        <w:rPr>
          <w:b/>
          <w:bCs/>
        </w:rPr>
        <w:t>332</w:t>
      </w:r>
      <w:r w:rsidR="00EF26E9">
        <w:t>(1-2)</w:t>
      </w:r>
      <w:r w:rsidR="00645C17">
        <w:t>: 117-192.</w:t>
      </w:r>
    </w:p>
    <w:p w14:paraId="78AAE051" w14:textId="002E20B8" w:rsidR="000576EB" w:rsidRPr="00645C17" w:rsidRDefault="000576EB" w:rsidP="008A048F">
      <w:pPr>
        <w:jc w:val="both"/>
      </w:pPr>
      <w:r w:rsidRPr="008A048F">
        <w:rPr>
          <w:b/>
          <w:bCs/>
        </w:rPr>
        <w:t xml:space="preserve">Li H, Zhu Y, </w:t>
      </w:r>
      <w:proofErr w:type="spellStart"/>
      <w:r w:rsidRPr="008A048F">
        <w:rPr>
          <w:b/>
          <w:bCs/>
        </w:rPr>
        <w:t>Marschner</w:t>
      </w:r>
      <w:proofErr w:type="spellEnd"/>
      <w:r w:rsidRPr="008A048F">
        <w:rPr>
          <w:b/>
          <w:bCs/>
        </w:rPr>
        <w:t xml:space="preserve"> P, Smith F, Smith S (2005)</w:t>
      </w:r>
      <w:r>
        <w:t xml:space="preserve"> Wheat responses to </w:t>
      </w:r>
      <w:proofErr w:type="spellStart"/>
      <w:r>
        <w:t>arbuscular</w:t>
      </w:r>
      <w:proofErr w:type="spellEnd"/>
      <w:r>
        <w:t xml:space="preserve"> </w:t>
      </w:r>
      <w:proofErr w:type="spellStart"/>
      <w:r>
        <w:t>mycorrhizal</w:t>
      </w:r>
      <w:proofErr w:type="spellEnd"/>
      <w:r>
        <w:t xml:space="preserve"> fungi in a highly calcareous soil differ from those of clover, and change with plant development and P supply. </w:t>
      </w:r>
      <w:r w:rsidRPr="008A048F">
        <w:rPr>
          <w:i/>
          <w:iCs/>
        </w:rPr>
        <w:t>Plant and Soil</w:t>
      </w:r>
      <w:r>
        <w:t xml:space="preserve"> </w:t>
      </w:r>
      <w:r w:rsidRPr="008A048F">
        <w:rPr>
          <w:b/>
          <w:bCs/>
        </w:rPr>
        <w:t>277</w:t>
      </w:r>
      <w:r>
        <w:t>: 221-232.</w:t>
      </w:r>
    </w:p>
    <w:p w14:paraId="7D05A5BB" w14:textId="556B3AF6" w:rsidR="007F5C14" w:rsidRDefault="00F8799C" w:rsidP="00F8799C">
      <w:r w:rsidRPr="00F8799C">
        <w:rPr>
          <w:b/>
          <w:bCs/>
        </w:rPr>
        <w:t>Lynch</w:t>
      </w:r>
      <w:r w:rsidR="00645C17" w:rsidRPr="00F8799C">
        <w:rPr>
          <w:b/>
          <w:bCs/>
        </w:rPr>
        <w:t xml:space="preserve"> J, Nielsen K, Davis R, </w:t>
      </w:r>
      <w:proofErr w:type="spellStart"/>
      <w:r w:rsidR="00645C17" w:rsidRPr="00F8799C">
        <w:rPr>
          <w:b/>
          <w:bCs/>
        </w:rPr>
        <w:t>Jablokow</w:t>
      </w:r>
      <w:proofErr w:type="spellEnd"/>
      <w:r w:rsidR="00645C17" w:rsidRPr="00F8799C">
        <w:rPr>
          <w:b/>
          <w:bCs/>
        </w:rPr>
        <w:t xml:space="preserve"> A </w:t>
      </w:r>
      <w:r w:rsidRPr="00F8799C">
        <w:rPr>
          <w:b/>
          <w:bCs/>
        </w:rPr>
        <w:t>(</w:t>
      </w:r>
      <w:r w:rsidR="00645C17" w:rsidRPr="00F8799C">
        <w:rPr>
          <w:b/>
          <w:bCs/>
        </w:rPr>
        <w:t>1997</w:t>
      </w:r>
      <w:r w:rsidRPr="00F8799C">
        <w:rPr>
          <w:b/>
          <w:bCs/>
        </w:rPr>
        <w:t>)</w:t>
      </w:r>
      <w:r w:rsidR="00645C17" w:rsidRPr="00F8799C">
        <w:rPr>
          <w:b/>
          <w:bCs/>
        </w:rPr>
        <w:t xml:space="preserve"> </w:t>
      </w:r>
      <w:proofErr w:type="spellStart"/>
      <w:r w:rsidR="00645C17" w:rsidRPr="00645C17">
        <w:t>SimRoot</w:t>
      </w:r>
      <w:proofErr w:type="spellEnd"/>
      <w:r w:rsidR="00645C17" w:rsidRPr="00645C17">
        <w:t xml:space="preserve">: Modelling and visualization of root systems. </w:t>
      </w:r>
      <w:r w:rsidR="00645C17">
        <w:rPr>
          <w:i/>
          <w:iCs/>
        </w:rPr>
        <w:t>Plant and Soil</w:t>
      </w:r>
      <w:r w:rsidR="00645C17">
        <w:t xml:space="preserve"> </w:t>
      </w:r>
      <w:r w:rsidR="00645C17">
        <w:rPr>
          <w:b/>
          <w:bCs/>
        </w:rPr>
        <w:t>188</w:t>
      </w:r>
      <w:r w:rsidR="00624A0C">
        <w:t>(1)</w:t>
      </w:r>
      <w:r w:rsidR="00645C17">
        <w:t>: 139-151.</w:t>
      </w:r>
    </w:p>
    <w:p w14:paraId="5CB3F616" w14:textId="17CF90B8" w:rsidR="00B15DBC" w:rsidRDefault="00B15DBC" w:rsidP="00F8799C">
      <w:r>
        <w:rPr>
          <w:b/>
          <w:bCs/>
        </w:rPr>
        <w:t xml:space="preserve">Lynch J, Brown K </w:t>
      </w:r>
      <w:r w:rsidR="00F8799C">
        <w:rPr>
          <w:b/>
          <w:bCs/>
        </w:rPr>
        <w:t>(</w:t>
      </w:r>
      <w:r>
        <w:rPr>
          <w:b/>
          <w:bCs/>
        </w:rPr>
        <w:t>2001</w:t>
      </w:r>
      <w:r w:rsidR="00F8799C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Topsoil foraging – an architectural adaptation of plants to low phosphorus availability. </w:t>
      </w:r>
      <w:r>
        <w:rPr>
          <w:i/>
          <w:iCs/>
        </w:rPr>
        <w:t xml:space="preserve">Plant and Soil </w:t>
      </w:r>
      <w:r>
        <w:rPr>
          <w:b/>
          <w:bCs/>
        </w:rPr>
        <w:t>237</w:t>
      </w:r>
      <w:r w:rsidR="0096660F">
        <w:t>(2)</w:t>
      </w:r>
      <w:r>
        <w:rPr>
          <w:b/>
          <w:bCs/>
        </w:rPr>
        <w:t>:</w:t>
      </w:r>
      <w:r>
        <w:t xml:space="preserve"> 225-237.</w:t>
      </w:r>
    </w:p>
    <w:p w14:paraId="7EF48D45" w14:textId="4043D18A" w:rsidR="0095544E" w:rsidRDefault="00F8799C" w:rsidP="00F8799C">
      <w:proofErr w:type="gramStart"/>
      <w:r w:rsidRPr="00DE244F">
        <w:rPr>
          <w:b/>
          <w:bCs/>
        </w:rPr>
        <w:t>Mahler R</w:t>
      </w:r>
      <w:r w:rsidR="0095544E" w:rsidRPr="00DE244F">
        <w:rPr>
          <w:b/>
          <w:bCs/>
        </w:rPr>
        <w:t xml:space="preserve"> </w:t>
      </w:r>
      <w:r w:rsidRPr="00DE244F">
        <w:rPr>
          <w:b/>
          <w:bCs/>
        </w:rPr>
        <w:t>(</w:t>
      </w:r>
      <w:r w:rsidR="0095544E" w:rsidRPr="00DE244F">
        <w:rPr>
          <w:b/>
          <w:bCs/>
        </w:rPr>
        <w:t>2001</w:t>
      </w:r>
      <w:r w:rsidRPr="00DE244F">
        <w:rPr>
          <w:b/>
          <w:bCs/>
        </w:rPr>
        <w:t>)</w:t>
      </w:r>
      <w:r w:rsidR="0095544E" w:rsidRPr="00DE244F">
        <w:rPr>
          <w:b/>
          <w:bCs/>
        </w:rPr>
        <w:t xml:space="preserve"> </w:t>
      </w:r>
      <w:r w:rsidR="00FC718A" w:rsidRPr="00DE244F">
        <w:t>Fertilizer Placement.</w:t>
      </w:r>
      <w:proofErr w:type="gramEnd"/>
      <w:r w:rsidR="00FC718A" w:rsidRPr="00DE244F">
        <w:t xml:space="preserve"> CIS 757. </w:t>
      </w:r>
      <w:r w:rsidR="00FC718A">
        <w:t xml:space="preserve">Soil Scientist, Department of plant, Soil, and Entomological Sciences, University of </w:t>
      </w:r>
      <w:proofErr w:type="spellStart"/>
      <w:r w:rsidR="00FC718A">
        <w:t>Idoha</w:t>
      </w:r>
      <w:proofErr w:type="spellEnd"/>
      <w:r w:rsidR="00FC718A">
        <w:t xml:space="preserve">. </w:t>
      </w:r>
      <w:r w:rsidR="0095544E">
        <w:t xml:space="preserve"> </w:t>
      </w:r>
    </w:p>
    <w:p w14:paraId="6BC600F8" w14:textId="5A895C10" w:rsidR="00CE0977" w:rsidRDefault="00CE0977" w:rsidP="00F8799C">
      <w:r w:rsidRPr="008A048F">
        <w:rPr>
          <w:b/>
          <w:bCs/>
        </w:rPr>
        <w:t>Moody P (2007)</w:t>
      </w:r>
      <w:r>
        <w:t xml:space="preserve"> Interpretation of a single-point P buffering index for adjusting critical levels of the Colwell soil P test. </w:t>
      </w:r>
      <w:r w:rsidRPr="008A048F">
        <w:rPr>
          <w:i/>
          <w:iCs/>
        </w:rPr>
        <w:t>Soil Research</w:t>
      </w:r>
      <w:r>
        <w:t xml:space="preserve"> </w:t>
      </w:r>
      <w:r w:rsidRPr="008A048F">
        <w:rPr>
          <w:b/>
          <w:bCs/>
        </w:rPr>
        <w:t>45</w:t>
      </w:r>
      <w:r>
        <w:t>(1): 55-62.</w:t>
      </w:r>
    </w:p>
    <w:p w14:paraId="43B6440C" w14:textId="645DFA86" w:rsidR="00A003F0" w:rsidRPr="00A003F0" w:rsidRDefault="00A003F0" w:rsidP="00847220">
      <w:r>
        <w:rPr>
          <w:b/>
          <w:bCs/>
        </w:rPr>
        <w:lastRenderedPageBreak/>
        <w:t xml:space="preserve">Murphy T, Riley J </w:t>
      </w:r>
      <w:r w:rsidR="00847220">
        <w:rPr>
          <w:b/>
          <w:bCs/>
        </w:rPr>
        <w:t>(</w:t>
      </w:r>
      <w:r>
        <w:rPr>
          <w:b/>
          <w:bCs/>
        </w:rPr>
        <w:t>1962</w:t>
      </w:r>
      <w:r w:rsidR="00847220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A modified single solution method for the determination of phosphate in natural waters. </w:t>
      </w:r>
      <w:proofErr w:type="spellStart"/>
      <w:r w:rsidR="001E577D">
        <w:rPr>
          <w:i/>
          <w:iCs/>
        </w:rPr>
        <w:t>Analytica</w:t>
      </w:r>
      <w:proofErr w:type="spellEnd"/>
      <w:r w:rsidR="001E577D">
        <w:rPr>
          <w:i/>
          <w:iCs/>
        </w:rPr>
        <w:t xml:space="preserve"> </w:t>
      </w:r>
      <w:proofErr w:type="spellStart"/>
      <w:r w:rsidR="001E577D">
        <w:rPr>
          <w:i/>
          <w:iCs/>
        </w:rPr>
        <w:t>Chimica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Acta</w:t>
      </w:r>
      <w:proofErr w:type="spellEnd"/>
      <w:r>
        <w:rPr>
          <w:i/>
          <w:iCs/>
        </w:rPr>
        <w:t xml:space="preserve"> </w:t>
      </w:r>
      <w:r>
        <w:rPr>
          <w:b/>
          <w:bCs/>
        </w:rPr>
        <w:t>27</w:t>
      </w:r>
      <w:r>
        <w:t>:31-36.</w:t>
      </w:r>
    </w:p>
    <w:p w14:paraId="06DC83C2" w14:textId="04590C2B" w:rsidR="007F5C14" w:rsidRPr="007F5C14" w:rsidRDefault="00847220" w:rsidP="00847220">
      <w:proofErr w:type="spellStart"/>
      <w:r>
        <w:rPr>
          <w:b/>
          <w:bCs/>
        </w:rPr>
        <w:t>Neyroud</w:t>
      </w:r>
      <w:proofErr w:type="spellEnd"/>
      <w:r>
        <w:rPr>
          <w:b/>
          <w:bCs/>
        </w:rPr>
        <w:t xml:space="preserve"> J,</w:t>
      </w:r>
      <w:r w:rsidR="007F5C14">
        <w:rPr>
          <w:b/>
          <w:bCs/>
        </w:rPr>
        <w:t xml:space="preserve"> </w:t>
      </w:r>
      <w:proofErr w:type="spellStart"/>
      <w:r w:rsidR="007F5C14">
        <w:rPr>
          <w:b/>
          <w:bCs/>
        </w:rPr>
        <w:t>Lischer</w:t>
      </w:r>
      <w:proofErr w:type="spellEnd"/>
      <w:r w:rsidR="007F5C14">
        <w:rPr>
          <w:b/>
          <w:bCs/>
        </w:rPr>
        <w:t xml:space="preserve"> P </w:t>
      </w:r>
      <w:r>
        <w:rPr>
          <w:b/>
          <w:bCs/>
        </w:rPr>
        <w:t>(</w:t>
      </w:r>
      <w:r w:rsidR="007F5C14">
        <w:rPr>
          <w:b/>
          <w:bCs/>
        </w:rPr>
        <w:t>2002</w:t>
      </w:r>
      <w:r>
        <w:rPr>
          <w:b/>
          <w:bCs/>
        </w:rPr>
        <w:t>)</w:t>
      </w:r>
      <w:r w:rsidR="007F5C14">
        <w:rPr>
          <w:b/>
          <w:bCs/>
        </w:rPr>
        <w:t xml:space="preserve"> </w:t>
      </w:r>
      <w:r w:rsidR="007F5C14">
        <w:t xml:space="preserve">Do different methods used to estimate soil phosphorus availability across Europe give comparable results? </w:t>
      </w:r>
      <w:r w:rsidR="001E577D">
        <w:rPr>
          <w:i/>
          <w:iCs/>
        </w:rPr>
        <w:t>Journal of Plant Nutrition Soil Science</w:t>
      </w:r>
      <w:r w:rsidR="007F5C14">
        <w:rPr>
          <w:i/>
          <w:iCs/>
        </w:rPr>
        <w:t xml:space="preserve"> </w:t>
      </w:r>
      <w:r w:rsidR="007F5C14">
        <w:rPr>
          <w:b/>
          <w:bCs/>
        </w:rPr>
        <w:t>166</w:t>
      </w:r>
      <w:r w:rsidR="003468AE">
        <w:t>(4)</w:t>
      </w:r>
      <w:r w:rsidR="007F5C14">
        <w:t>: 422-431.</w:t>
      </w:r>
    </w:p>
    <w:p w14:paraId="54B76E56" w14:textId="6CA7E1AC" w:rsidR="004608F6" w:rsidRDefault="00847220" w:rsidP="00847220">
      <w:r>
        <w:rPr>
          <w:b/>
          <w:bCs/>
        </w:rPr>
        <w:t>Nye P,</w:t>
      </w:r>
      <w:r w:rsidR="004608F6" w:rsidRPr="00CC1B87">
        <w:rPr>
          <w:b/>
          <w:bCs/>
        </w:rPr>
        <w:t xml:space="preserve"> Tinker P</w:t>
      </w:r>
      <w:r w:rsidR="004608F6">
        <w:rPr>
          <w:b/>
          <w:bCs/>
        </w:rPr>
        <w:t xml:space="preserve"> </w:t>
      </w:r>
      <w:r>
        <w:rPr>
          <w:b/>
          <w:bCs/>
        </w:rPr>
        <w:t>(</w:t>
      </w:r>
      <w:r w:rsidR="004608F6">
        <w:rPr>
          <w:b/>
          <w:bCs/>
        </w:rPr>
        <w:t>1977</w:t>
      </w:r>
      <w:r>
        <w:rPr>
          <w:b/>
          <w:bCs/>
        </w:rPr>
        <w:t>)</w:t>
      </w:r>
      <w:r w:rsidR="004608F6" w:rsidRPr="00203C35">
        <w:t xml:space="preserve"> </w:t>
      </w:r>
      <w:r w:rsidR="004608F6">
        <w:t xml:space="preserve">Solute movement in the soil-root system. </w:t>
      </w:r>
      <w:proofErr w:type="gramStart"/>
      <w:r w:rsidR="004608F6">
        <w:t>Blackwell science publishers.</w:t>
      </w:r>
      <w:proofErr w:type="gramEnd"/>
    </w:p>
    <w:p w14:paraId="0BEA6493" w14:textId="6212015D" w:rsidR="00101FA3" w:rsidRDefault="00101FA3" w:rsidP="00847220">
      <w:proofErr w:type="spellStart"/>
      <w:r w:rsidRPr="008A048F">
        <w:rPr>
          <w:b/>
          <w:bCs/>
        </w:rPr>
        <w:t>Okajima</w:t>
      </w:r>
      <w:proofErr w:type="spellEnd"/>
      <w:r w:rsidRPr="008A048F">
        <w:rPr>
          <w:b/>
          <w:bCs/>
        </w:rPr>
        <w:t xml:space="preserve"> H, Kubota H, Sakuma T (1983)</w:t>
      </w:r>
      <w:r>
        <w:t xml:space="preserve"> Hysteresis in the phosphorus sorption and desorption processes of soils. Soil Science and Plant Nutrition </w:t>
      </w:r>
      <w:r w:rsidRPr="008A048F">
        <w:rPr>
          <w:b/>
          <w:bCs/>
        </w:rPr>
        <w:t>29</w:t>
      </w:r>
      <w:r>
        <w:t>(3): 271-283</w:t>
      </w:r>
    </w:p>
    <w:p w14:paraId="1C10B050" w14:textId="2C2E53C5" w:rsidR="00520B3E" w:rsidRDefault="00520B3E" w:rsidP="00847220">
      <w:proofErr w:type="spellStart"/>
      <w:r>
        <w:rPr>
          <w:b/>
          <w:bCs/>
        </w:rPr>
        <w:t>Owusu-Gyimah</w:t>
      </w:r>
      <w:proofErr w:type="spellEnd"/>
      <w:r>
        <w:rPr>
          <w:b/>
          <w:bCs/>
        </w:rPr>
        <w:t xml:space="preserve"> V, </w:t>
      </w:r>
      <w:proofErr w:type="spellStart"/>
      <w:r>
        <w:rPr>
          <w:b/>
          <w:bCs/>
        </w:rPr>
        <w:t>Nyatuame</w:t>
      </w:r>
      <w:proofErr w:type="spellEnd"/>
      <w:r>
        <w:rPr>
          <w:b/>
          <w:bCs/>
        </w:rPr>
        <w:t xml:space="preserve"> M, </w:t>
      </w:r>
      <w:proofErr w:type="spellStart"/>
      <w:r>
        <w:rPr>
          <w:b/>
          <w:bCs/>
        </w:rPr>
        <w:t>Ampiaw</w:t>
      </w:r>
      <w:proofErr w:type="spellEnd"/>
      <w:r>
        <w:rPr>
          <w:b/>
          <w:bCs/>
        </w:rPr>
        <w:t xml:space="preserve"> F, </w:t>
      </w:r>
      <w:proofErr w:type="spellStart"/>
      <w:r>
        <w:rPr>
          <w:b/>
          <w:bCs/>
        </w:rPr>
        <w:t>Ampadu</w:t>
      </w:r>
      <w:proofErr w:type="spellEnd"/>
      <w:r>
        <w:rPr>
          <w:b/>
          <w:bCs/>
        </w:rPr>
        <w:t xml:space="preserve"> P </w:t>
      </w:r>
      <w:r w:rsidR="00847220">
        <w:rPr>
          <w:b/>
          <w:bCs/>
        </w:rPr>
        <w:t>(</w:t>
      </w:r>
      <w:r>
        <w:rPr>
          <w:b/>
          <w:bCs/>
        </w:rPr>
        <w:t>2013</w:t>
      </w:r>
      <w:r w:rsidR="00847220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Effect of depth and Placement Distance of Fertilizer NPK 15-15-15 on the Performance and Yield of Maize Plant. </w:t>
      </w:r>
      <w:proofErr w:type="gramStart"/>
      <w:r>
        <w:rPr>
          <w:i/>
          <w:iCs/>
        </w:rPr>
        <w:t>International Journal of Agronomy and Plant Production.</w:t>
      </w:r>
      <w:proofErr w:type="gramEnd"/>
      <w:r>
        <w:t xml:space="preserve"> </w:t>
      </w:r>
      <w:r>
        <w:rPr>
          <w:b/>
          <w:bCs/>
        </w:rPr>
        <w:t>4</w:t>
      </w:r>
      <w:r w:rsidR="009105F9">
        <w:t>(12)</w:t>
      </w:r>
      <w:r>
        <w:t>: 3197-3204.</w:t>
      </w:r>
    </w:p>
    <w:p w14:paraId="38162E43" w14:textId="7ECD94DC" w:rsidR="00CC18BE" w:rsidRPr="00CC18BE" w:rsidRDefault="00CC18BE" w:rsidP="00C05EFF">
      <w:r>
        <w:rPr>
          <w:b/>
          <w:bCs/>
        </w:rPr>
        <w:t xml:space="preserve">Randall G, </w:t>
      </w:r>
      <w:proofErr w:type="spellStart"/>
      <w:r>
        <w:rPr>
          <w:b/>
          <w:bCs/>
        </w:rPr>
        <w:t>Hoeft</w:t>
      </w:r>
      <w:proofErr w:type="spellEnd"/>
      <w:r>
        <w:rPr>
          <w:b/>
          <w:bCs/>
        </w:rPr>
        <w:t xml:space="preserve"> R </w:t>
      </w:r>
      <w:r w:rsidR="00C05EFF">
        <w:rPr>
          <w:b/>
          <w:bCs/>
        </w:rPr>
        <w:t>(</w:t>
      </w:r>
      <w:r>
        <w:rPr>
          <w:b/>
          <w:bCs/>
        </w:rPr>
        <w:t>1988</w:t>
      </w:r>
      <w:r w:rsidR="00C05EFF">
        <w:rPr>
          <w:b/>
          <w:bCs/>
        </w:rPr>
        <w:t>)</w:t>
      </w:r>
      <w:r>
        <w:rPr>
          <w:b/>
          <w:bCs/>
        </w:rPr>
        <w:t xml:space="preserve"> </w:t>
      </w:r>
      <w:r>
        <w:t xml:space="preserve">Placement Methods for Improved Efficiency of P and K Fertilizers: A Review. </w:t>
      </w:r>
      <w:proofErr w:type="gramStart"/>
      <w:r>
        <w:rPr>
          <w:i/>
          <w:iCs/>
        </w:rPr>
        <w:t>Journal of Production Agriculture.</w:t>
      </w:r>
      <w:proofErr w:type="gramEnd"/>
      <w:r>
        <w:t xml:space="preserve"> </w:t>
      </w:r>
      <w:r>
        <w:rPr>
          <w:b/>
          <w:bCs/>
        </w:rPr>
        <w:t>1</w:t>
      </w:r>
      <w:r>
        <w:t>(1)</w:t>
      </w:r>
      <w:r w:rsidR="00307DEC">
        <w:t>:</w:t>
      </w:r>
      <w:r>
        <w:t xml:space="preserve"> 70-79. </w:t>
      </w:r>
    </w:p>
    <w:p w14:paraId="4748A316" w14:textId="37A9BFD8" w:rsidR="00623825" w:rsidRPr="00623825" w:rsidRDefault="00C05EFF" w:rsidP="00C05EFF">
      <w:proofErr w:type="spellStart"/>
      <w:r w:rsidRPr="00C05EFF">
        <w:rPr>
          <w:b/>
          <w:bCs/>
        </w:rPr>
        <w:t>Reijneveld</w:t>
      </w:r>
      <w:proofErr w:type="spellEnd"/>
      <w:r w:rsidR="00623825" w:rsidRPr="00C05EFF">
        <w:rPr>
          <w:b/>
          <w:bCs/>
        </w:rPr>
        <w:t xml:space="preserve"> J, </w:t>
      </w:r>
      <w:proofErr w:type="spellStart"/>
      <w:r w:rsidR="00623825" w:rsidRPr="00C05EFF">
        <w:rPr>
          <w:b/>
          <w:bCs/>
        </w:rPr>
        <w:t>Ehlert</w:t>
      </w:r>
      <w:proofErr w:type="spellEnd"/>
      <w:r w:rsidR="00623825" w:rsidRPr="00C05EFF">
        <w:rPr>
          <w:b/>
          <w:bCs/>
        </w:rPr>
        <w:t xml:space="preserve"> P, </w:t>
      </w:r>
      <w:proofErr w:type="spellStart"/>
      <w:r w:rsidR="00623825" w:rsidRPr="00C05EFF">
        <w:rPr>
          <w:b/>
          <w:bCs/>
        </w:rPr>
        <w:t>Termorshuizen</w:t>
      </w:r>
      <w:proofErr w:type="spellEnd"/>
      <w:r w:rsidR="00623825" w:rsidRPr="00C05EFF">
        <w:rPr>
          <w:b/>
          <w:bCs/>
        </w:rPr>
        <w:t xml:space="preserve"> A</w:t>
      </w:r>
      <w:r>
        <w:rPr>
          <w:b/>
          <w:bCs/>
        </w:rPr>
        <w:t xml:space="preserve">, </w:t>
      </w:r>
      <w:proofErr w:type="spellStart"/>
      <w:r w:rsidR="00623825" w:rsidRPr="00C05EFF">
        <w:rPr>
          <w:b/>
          <w:bCs/>
        </w:rPr>
        <w:t>Oenema</w:t>
      </w:r>
      <w:proofErr w:type="spellEnd"/>
      <w:r w:rsidR="00623825" w:rsidRPr="00C05EFF">
        <w:rPr>
          <w:b/>
          <w:bCs/>
        </w:rPr>
        <w:t xml:space="preserve"> O </w:t>
      </w:r>
      <w:r>
        <w:rPr>
          <w:b/>
          <w:bCs/>
        </w:rPr>
        <w:t>(</w:t>
      </w:r>
      <w:r w:rsidR="00623825" w:rsidRPr="00C05EFF">
        <w:rPr>
          <w:b/>
          <w:bCs/>
        </w:rPr>
        <w:t>2010</w:t>
      </w:r>
      <w:r>
        <w:rPr>
          <w:b/>
          <w:bCs/>
        </w:rPr>
        <w:t>)</w:t>
      </w:r>
      <w:r w:rsidR="00623825" w:rsidRPr="00C05EFF">
        <w:rPr>
          <w:b/>
          <w:bCs/>
        </w:rPr>
        <w:t xml:space="preserve"> </w:t>
      </w:r>
      <w:r w:rsidR="00623825">
        <w:t>Changes in the soil phospho</w:t>
      </w:r>
      <w:r w:rsidR="00623825" w:rsidRPr="00623825">
        <w:t>rus status of agricultural land in the Ne</w:t>
      </w:r>
      <w:r w:rsidR="00623825">
        <w:t xml:space="preserve">therlands during the 20th century. </w:t>
      </w:r>
      <w:r w:rsidR="00623825">
        <w:rPr>
          <w:i/>
          <w:iCs/>
        </w:rPr>
        <w:t>Soil Use and Management</w:t>
      </w:r>
      <w:r w:rsidR="00623825">
        <w:t xml:space="preserve"> </w:t>
      </w:r>
      <w:r w:rsidR="00623825">
        <w:rPr>
          <w:b/>
          <w:bCs/>
        </w:rPr>
        <w:t>26</w:t>
      </w:r>
      <w:r w:rsidR="00A00EB5">
        <w:t>(4):</w:t>
      </w:r>
      <w:r w:rsidR="00623825">
        <w:rPr>
          <w:b/>
          <w:bCs/>
        </w:rPr>
        <w:t xml:space="preserve"> </w:t>
      </w:r>
      <w:r w:rsidR="00623825">
        <w:t>399-411.</w:t>
      </w:r>
    </w:p>
    <w:p w14:paraId="48A55B68" w14:textId="0238B3FF" w:rsidR="004608F6" w:rsidRPr="00A55628" w:rsidRDefault="00C05EFF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Roose</w:t>
      </w:r>
      <w:r w:rsidR="004608F6" w:rsidRPr="00CC1B87">
        <w:rPr>
          <w:rFonts w:cs="Calibri"/>
          <w:b/>
          <w:bCs/>
        </w:rPr>
        <w:t xml:space="preserve"> T, Fowler A</w:t>
      </w:r>
      <w:r>
        <w:rPr>
          <w:rFonts w:cs="Calibri"/>
          <w:b/>
          <w:bCs/>
        </w:rPr>
        <w:t>,</w:t>
      </w:r>
      <w:r w:rsidR="004608F6" w:rsidRPr="00CC1B87">
        <w:rPr>
          <w:rFonts w:cs="Calibri"/>
          <w:b/>
          <w:bCs/>
        </w:rPr>
        <w:t xml:space="preserve"> </w:t>
      </w:r>
      <w:proofErr w:type="spellStart"/>
      <w:r w:rsidR="004608F6" w:rsidRPr="00CC1B87">
        <w:rPr>
          <w:rFonts w:cs="Calibri"/>
          <w:b/>
          <w:bCs/>
        </w:rPr>
        <w:t>Darrah</w:t>
      </w:r>
      <w:proofErr w:type="spellEnd"/>
      <w:r w:rsidR="004608F6" w:rsidRPr="00CC1B87">
        <w:rPr>
          <w:rFonts w:cs="Calibri"/>
          <w:b/>
          <w:bCs/>
        </w:rPr>
        <w:t xml:space="preserve"> P</w:t>
      </w:r>
      <w:r w:rsidR="004608F6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(</w:t>
      </w:r>
      <w:r w:rsidR="004608F6">
        <w:rPr>
          <w:rFonts w:cs="Calibri"/>
          <w:b/>
          <w:bCs/>
        </w:rPr>
        <w:t>2001</w:t>
      </w:r>
      <w:r>
        <w:rPr>
          <w:rFonts w:cs="Calibri"/>
          <w:b/>
          <w:bCs/>
        </w:rPr>
        <w:t>)</w:t>
      </w:r>
      <w:r w:rsidR="004608F6" w:rsidRPr="00A55628">
        <w:rPr>
          <w:rFonts w:cs="Calibri"/>
        </w:rPr>
        <w:t xml:space="preserve"> A mathematical model </w:t>
      </w:r>
      <w:r w:rsidR="004608F6">
        <w:rPr>
          <w:rFonts w:cs="Calibri"/>
        </w:rPr>
        <w:t xml:space="preserve">of plant nutrient uptake. </w:t>
      </w:r>
      <w:r w:rsidR="004608F6" w:rsidRPr="001E577D">
        <w:rPr>
          <w:rFonts w:cs="Calibri"/>
          <w:i/>
          <w:iCs/>
        </w:rPr>
        <w:t>Mathematical biology</w:t>
      </w:r>
      <w:r w:rsidR="004608F6">
        <w:rPr>
          <w:rFonts w:cs="Calibri"/>
        </w:rPr>
        <w:t xml:space="preserve">, </w:t>
      </w:r>
      <w:r w:rsidR="004608F6" w:rsidRPr="00010034">
        <w:rPr>
          <w:rFonts w:cs="Calibri"/>
          <w:b/>
          <w:bCs/>
        </w:rPr>
        <w:t>42</w:t>
      </w:r>
      <w:r w:rsidR="00010034">
        <w:rPr>
          <w:rFonts w:cs="Calibri"/>
        </w:rPr>
        <w:t>(4):</w:t>
      </w:r>
      <w:r w:rsidR="004608F6">
        <w:rPr>
          <w:rFonts w:cs="Calibri"/>
        </w:rPr>
        <w:t xml:space="preserve"> 347-360.</w:t>
      </w:r>
    </w:p>
    <w:p w14:paraId="0AB08B83" w14:textId="77777777" w:rsidR="004608F6" w:rsidRDefault="004608F6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1E4D531" w14:textId="2BAD77A4" w:rsidR="004608F6" w:rsidRPr="001E577D" w:rsidRDefault="00C05EFF" w:rsidP="00C05EFF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</w:rPr>
      </w:pPr>
      <w:r>
        <w:rPr>
          <w:rFonts w:cs="Calibri"/>
          <w:b/>
          <w:bCs/>
        </w:rPr>
        <w:t>Roose</w:t>
      </w:r>
      <w:r w:rsidR="004608F6" w:rsidRPr="00CC1B87">
        <w:rPr>
          <w:rFonts w:cs="Calibri"/>
          <w:b/>
          <w:bCs/>
        </w:rPr>
        <w:t xml:space="preserve"> T</w:t>
      </w:r>
      <w:r>
        <w:rPr>
          <w:rFonts w:cs="Calibri"/>
          <w:b/>
          <w:bCs/>
        </w:rPr>
        <w:t>,</w:t>
      </w:r>
      <w:r w:rsidR="004608F6" w:rsidRPr="00CC1B87">
        <w:rPr>
          <w:rFonts w:cs="Calibri"/>
          <w:b/>
          <w:bCs/>
        </w:rPr>
        <w:t xml:space="preserve"> Fowler A</w:t>
      </w:r>
      <w:r w:rsidR="004608F6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(</w:t>
      </w:r>
      <w:r w:rsidR="004608F6">
        <w:rPr>
          <w:rFonts w:cs="Calibri"/>
          <w:b/>
          <w:bCs/>
        </w:rPr>
        <w:t>2004a</w:t>
      </w:r>
      <w:r>
        <w:rPr>
          <w:rFonts w:cs="Calibri"/>
          <w:b/>
          <w:bCs/>
        </w:rPr>
        <w:t>)</w:t>
      </w:r>
      <w:r w:rsidR="004608F6" w:rsidRPr="00A55628">
        <w:rPr>
          <w:rFonts w:cs="Calibri"/>
        </w:rPr>
        <w:t xml:space="preserve"> A model for water uptake by plant roots. </w:t>
      </w:r>
      <w:r w:rsidR="004608F6" w:rsidRPr="001E577D">
        <w:rPr>
          <w:rFonts w:cs="Calibri"/>
          <w:i/>
          <w:iCs/>
        </w:rPr>
        <w:t>Journal of theoretical</w:t>
      </w:r>
    </w:p>
    <w:p w14:paraId="32D37FE9" w14:textId="1563823F" w:rsidR="004608F6" w:rsidRPr="00A55628" w:rsidRDefault="004608F6" w:rsidP="00736040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 w:rsidRPr="001E577D">
        <w:rPr>
          <w:rFonts w:cs="Calibri"/>
          <w:i/>
          <w:iCs/>
        </w:rPr>
        <w:t>biology</w:t>
      </w:r>
      <w:proofErr w:type="gramEnd"/>
      <w:r>
        <w:rPr>
          <w:rFonts w:cs="Calibri"/>
        </w:rPr>
        <w:t xml:space="preserve">, </w:t>
      </w:r>
      <w:r w:rsidRPr="00736040">
        <w:rPr>
          <w:rFonts w:cs="Calibri"/>
          <w:b/>
          <w:bCs/>
        </w:rPr>
        <w:t>288</w:t>
      </w:r>
      <w:r w:rsidR="00736040">
        <w:rPr>
          <w:rFonts w:cs="Calibri"/>
        </w:rPr>
        <w:t>(2):</w:t>
      </w:r>
      <w:r>
        <w:rPr>
          <w:rFonts w:cs="Calibri"/>
        </w:rPr>
        <w:t xml:space="preserve"> 155-171.</w:t>
      </w:r>
    </w:p>
    <w:p w14:paraId="76DECF94" w14:textId="77777777" w:rsidR="004608F6" w:rsidRPr="00A55628" w:rsidRDefault="004608F6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CCE5AF9" w14:textId="49E32397" w:rsidR="004608F6" w:rsidRDefault="004608F6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Roose</w:t>
      </w:r>
      <w:r w:rsidR="007E0FC1">
        <w:rPr>
          <w:rFonts w:cs="Calibri"/>
          <w:b/>
          <w:bCs/>
        </w:rPr>
        <w:t xml:space="preserve"> T</w:t>
      </w:r>
      <w:r w:rsidR="00C05EFF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Fowler A </w:t>
      </w:r>
      <w:r w:rsidR="00C05EFF">
        <w:rPr>
          <w:rFonts w:cs="Calibri"/>
          <w:b/>
          <w:bCs/>
        </w:rPr>
        <w:t>(</w:t>
      </w:r>
      <w:r>
        <w:rPr>
          <w:rFonts w:cs="Calibri"/>
          <w:b/>
          <w:bCs/>
        </w:rPr>
        <w:t>2004b</w:t>
      </w:r>
      <w:r w:rsidR="00C05EFF">
        <w:rPr>
          <w:rFonts w:cs="Calibri"/>
          <w:b/>
          <w:bCs/>
        </w:rPr>
        <w:t>)</w:t>
      </w:r>
      <w:r>
        <w:rPr>
          <w:rFonts w:cs="Calibri"/>
        </w:rPr>
        <w:t xml:space="preserve"> A mathematical model for water and nutrient uptake by plant root systems. </w:t>
      </w:r>
      <w:r w:rsidRPr="001E577D">
        <w:rPr>
          <w:rFonts w:cs="Calibri"/>
          <w:i/>
          <w:iCs/>
        </w:rPr>
        <w:t>Journal of theoretical Biology</w:t>
      </w:r>
      <w:r>
        <w:rPr>
          <w:rFonts w:cs="Calibri"/>
        </w:rPr>
        <w:t xml:space="preserve">, </w:t>
      </w:r>
      <w:r w:rsidRPr="00010034">
        <w:rPr>
          <w:rFonts w:cs="Calibri"/>
          <w:b/>
          <w:bCs/>
        </w:rPr>
        <w:t>288</w:t>
      </w:r>
      <w:r w:rsidR="00010034" w:rsidRPr="00010034">
        <w:rPr>
          <w:rFonts w:cs="Calibri"/>
        </w:rPr>
        <w:t>(2):</w:t>
      </w:r>
      <w:r>
        <w:rPr>
          <w:rFonts w:cs="Calibri"/>
        </w:rPr>
        <w:t xml:space="preserve"> 173-184.</w:t>
      </w:r>
    </w:p>
    <w:p w14:paraId="7384E62F" w14:textId="77777777" w:rsidR="00DF785C" w:rsidRDefault="00DF785C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7F9036" w14:textId="608B55EB" w:rsidR="00DF785C" w:rsidRDefault="00DF785C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Roose T</w:t>
      </w:r>
      <w:proofErr w:type="gramStart"/>
      <w:r w:rsidR="00C05EFF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 </w:t>
      </w:r>
      <w:proofErr w:type="spellStart"/>
      <w:r>
        <w:rPr>
          <w:rFonts w:cs="Calibri"/>
          <w:b/>
          <w:bCs/>
        </w:rPr>
        <w:t>Schnepf</w:t>
      </w:r>
      <w:proofErr w:type="spellEnd"/>
      <w:proofErr w:type="gramEnd"/>
      <w:r>
        <w:rPr>
          <w:rFonts w:cs="Calibri"/>
          <w:b/>
          <w:bCs/>
        </w:rPr>
        <w:t xml:space="preserve"> A </w:t>
      </w:r>
      <w:r w:rsidR="00C05EFF">
        <w:rPr>
          <w:rFonts w:cs="Calibri"/>
          <w:b/>
          <w:bCs/>
        </w:rPr>
        <w:t>(</w:t>
      </w:r>
      <w:r>
        <w:rPr>
          <w:rFonts w:cs="Calibri"/>
          <w:b/>
          <w:bCs/>
        </w:rPr>
        <w:t>2008</w:t>
      </w:r>
      <w:r w:rsidR="00C05EFF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Mathematical models of plant-soil interaction. </w:t>
      </w:r>
      <w:r>
        <w:rPr>
          <w:rFonts w:cs="Calibri"/>
          <w:i/>
          <w:iCs/>
        </w:rPr>
        <w:t xml:space="preserve">Philosophical transactions. Series A, Mathematical, physical, and engineering sciences </w:t>
      </w:r>
      <w:r>
        <w:rPr>
          <w:rFonts w:cs="Calibri"/>
          <w:b/>
          <w:bCs/>
        </w:rPr>
        <w:t>366</w:t>
      </w:r>
      <w:r w:rsidR="001B17E3">
        <w:rPr>
          <w:rFonts w:cs="Calibri"/>
        </w:rPr>
        <w:t>(1885)</w:t>
      </w:r>
      <w:r>
        <w:rPr>
          <w:rFonts w:cs="Calibri"/>
        </w:rPr>
        <w:t>: 4597-611.</w:t>
      </w:r>
    </w:p>
    <w:p w14:paraId="54CC3A43" w14:textId="77777777" w:rsidR="002B391B" w:rsidRDefault="002B391B" w:rsidP="00DF785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9E40397" w14:textId="18446BC9" w:rsidR="00C36E2F" w:rsidRPr="00C36E2F" w:rsidRDefault="00C05EFF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>
        <w:rPr>
          <w:rFonts w:cs="Calibri"/>
          <w:b/>
          <w:bCs/>
        </w:rPr>
        <w:t>Selmants</w:t>
      </w:r>
      <w:proofErr w:type="spellEnd"/>
      <w:r w:rsidR="00C36E2F">
        <w:rPr>
          <w:rFonts w:cs="Calibri"/>
          <w:b/>
          <w:bCs/>
        </w:rPr>
        <w:t xml:space="preserve"> P</w:t>
      </w:r>
      <w:r>
        <w:rPr>
          <w:rFonts w:cs="Calibri"/>
          <w:b/>
          <w:bCs/>
        </w:rPr>
        <w:t>,</w:t>
      </w:r>
      <w:r w:rsidR="00C36E2F">
        <w:rPr>
          <w:rFonts w:cs="Calibri"/>
          <w:b/>
          <w:bCs/>
        </w:rPr>
        <w:t xml:space="preserve"> Hart S </w:t>
      </w:r>
      <w:r>
        <w:rPr>
          <w:rFonts w:cs="Calibri"/>
          <w:b/>
          <w:bCs/>
        </w:rPr>
        <w:t>(</w:t>
      </w:r>
      <w:r w:rsidR="00C36E2F">
        <w:rPr>
          <w:rFonts w:cs="Calibri"/>
          <w:b/>
          <w:bCs/>
        </w:rPr>
        <w:t>2010</w:t>
      </w:r>
      <w:r>
        <w:rPr>
          <w:rFonts w:cs="Calibri"/>
          <w:b/>
          <w:bCs/>
        </w:rPr>
        <w:t>)</w:t>
      </w:r>
      <w:r w:rsidR="00C36E2F">
        <w:rPr>
          <w:rFonts w:cs="Calibri"/>
          <w:b/>
          <w:bCs/>
        </w:rPr>
        <w:t xml:space="preserve"> </w:t>
      </w:r>
      <w:r w:rsidR="00C36E2F">
        <w:rPr>
          <w:rFonts w:cs="Calibri"/>
        </w:rPr>
        <w:t xml:space="preserve">Phosphorus and soil development: Does the Walker and </w:t>
      </w:r>
      <w:proofErr w:type="spellStart"/>
      <w:r w:rsidR="00C36E2F">
        <w:rPr>
          <w:rFonts w:cs="Calibri"/>
        </w:rPr>
        <w:t>Syers</w:t>
      </w:r>
      <w:proofErr w:type="spellEnd"/>
      <w:r w:rsidR="00C36E2F">
        <w:rPr>
          <w:rFonts w:cs="Calibri"/>
        </w:rPr>
        <w:t xml:space="preserve"> model apply to semiarid ecosystems? </w:t>
      </w:r>
      <w:r w:rsidR="00C36E2F">
        <w:rPr>
          <w:rFonts w:cs="Calibri"/>
          <w:i/>
          <w:iCs/>
        </w:rPr>
        <w:t>Ecology</w:t>
      </w:r>
      <w:r w:rsidR="00C36E2F">
        <w:rPr>
          <w:rFonts w:cs="Calibri"/>
        </w:rPr>
        <w:t xml:space="preserve">, </w:t>
      </w:r>
      <w:r w:rsidR="00C36E2F">
        <w:rPr>
          <w:rFonts w:cs="Calibri"/>
          <w:b/>
          <w:bCs/>
        </w:rPr>
        <w:t>91</w:t>
      </w:r>
      <w:r w:rsidR="00693A1A">
        <w:rPr>
          <w:rFonts w:cs="Calibri"/>
        </w:rPr>
        <w:t>(2)</w:t>
      </w:r>
      <w:r w:rsidR="00C36E2F" w:rsidRPr="00C36E2F">
        <w:rPr>
          <w:rFonts w:cs="Calibri"/>
        </w:rPr>
        <w:t>:</w:t>
      </w:r>
      <w:r w:rsidR="00C36E2F">
        <w:rPr>
          <w:rFonts w:cs="Calibri"/>
        </w:rPr>
        <w:t xml:space="preserve"> 474-484.</w:t>
      </w:r>
    </w:p>
    <w:p w14:paraId="7B6A9D3B" w14:textId="77777777" w:rsidR="00542E7D" w:rsidRDefault="00542E7D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41ED76B" w14:textId="3C9686A8" w:rsidR="00542E7D" w:rsidRDefault="00542E7D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542E7D">
        <w:rPr>
          <w:rFonts w:cs="Calibri"/>
          <w:b/>
          <w:bCs/>
        </w:rPr>
        <w:t>Soil survey of Scotland Staff</w:t>
      </w:r>
      <w:r>
        <w:rPr>
          <w:rFonts w:cs="Calibri"/>
          <w:b/>
          <w:bCs/>
        </w:rPr>
        <w:t xml:space="preserve"> </w:t>
      </w:r>
      <w:r w:rsidR="00C05EFF">
        <w:rPr>
          <w:rFonts w:cs="Calibri"/>
          <w:b/>
          <w:bCs/>
        </w:rPr>
        <w:t>(</w:t>
      </w:r>
      <w:r>
        <w:rPr>
          <w:rFonts w:cs="Calibri"/>
          <w:b/>
          <w:bCs/>
        </w:rPr>
        <w:t>1981</w:t>
      </w:r>
      <w:r w:rsidR="00C05EFF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Soil maps of Scotland at a scale of 1:250 000. Macaulay Institute for Soil Research, Aberdeen.</w:t>
      </w:r>
    </w:p>
    <w:p w14:paraId="4D583ACD" w14:textId="77777777" w:rsidR="00FF1439" w:rsidRDefault="00FF1439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CD4A2BD" w14:textId="319662DF" w:rsidR="00FF1439" w:rsidRPr="00FF1439" w:rsidRDefault="00C05EFF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Stutter M</w:t>
      </w:r>
      <w:r w:rsidR="00FF1439">
        <w:rPr>
          <w:rFonts w:cs="Calibri"/>
          <w:b/>
          <w:bCs/>
        </w:rPr>
        <w:t xml:space="preserve">, </w:t>
      </w:r>
      <w:proofErr w:type="spellStart"/>
      <w:r w:rsidR="00FF1439">
        <w:rPr>
          <w:rFonts w:cs="Calibri"/>
          <w:b/>
          <w:bCs/>
        </w:rPr>
        <w:t>Shand</w:t>
      </w:r>
      <w:proofErr w:type="spellEnd"/>
      <w:r w:rsidR="00FF1439">
        <w:rPr>
          <w:rFonts w:cs="Calibri"/>
          <w:b/>
          <w:bCs/>
        </w:rPr>
        <w:t xml:space="preserve"> C, George T, Blackwell M, </w:t>
      </w:r>
      <w:proofErr w:type="spellStart"/>
      <w:r w:rsidR="00FF1439">
        <w:rPr>
          <w:rFonts w:cs="Calibri"/>
          <w:b/>
          <w:bCs/>
        </w:rPr>
        <w:t>Bol</w:t>
      </w:r>
      <w:proofErr w:type="spellEnd"/>
      <w:r w:rsidR="00FF1439">
        <w:rPr>
          <w:rFonts w:cs="Calibri"/>
          <w:b/>
          <w:bCs/>
        </w:rPr>
        <w:t xml:space="preserve"> R, Mackay R, Richardson A, </w:t>
      </w:r>
      <w:proofErr w:type="spellStart"/>
      <w:r w:rsidR="00FF1439">
        <w:rPr>
          <w:rFonts w:cs="Calibri"/>
          <w:b/>
          <w:bCs/>
        </w:rPr>
        <w:t>Condron</w:t>
      </w:r>
      <w:proofErr w:type="spellEnd"/>
      <w:r w:rsidR="00FF1439">
        <w:rPr>
          <w:rFonts w:cs="Calibri"/>
          <w:b/>
          <w:bCs/>
        </w:rPr>
        <w:t xml:space="preserve"> L, Turner B, </w:t>
      </w:r>
      <w:proofErr w:type="spellStart"/>
      <w:r w:rsidR="00FF1439">
        <w:rPr>
          <w:rFonts w:cs="Calibri"/>
          <w:b/>
          <w:bCs/>
        </w:rPr>
        <w:t>Haygrath</w:t>
      </w:r>
      <w:proofErr w:type="spellEnd"/>
      <w:r w:rsidR="00FF1439">
        <w:rPr>
          <w:rFonts w:cs="Calibri"/>
          <w:b/>
          <w:bCs/>
        </w:rPr>
        <w:t xml:space="preserve"> P </w:t>
      </w:r>
      <w:r>
        <w:rPr>
          <w:rFonts w:cs="Calibri"/>
          <w:b/>
          <w:bCs/>
        </w:rPr>
        <w:t>(</w:t>
      </w:r>
      <w:r w:rsidR="00FF1439">
        <w:rPr>
          <w:rFonts w:cs="Calibri"/>
          <w:b/>
          <w:bCs/>
        </w:rPr>
        <w:t>2012</w:t>
      </w:r>
      <w:r>
        <w:rPr>
          <w:rFonts w:cs="Calibri"/>
          <w:b/>
          <w:bCs/>
        </w:rPr>
        <w:t>)</w:t>
      </w:r>
      <w:r w:rsidR="00FF1439">
        <w:rPr>
          <w:rFonts w:cs="Calibri"/>
          <w:b/>
          <w:bCs/>
        </w:rPr>
        <w:t xml:space="preserve"> </w:t>
      </w:r>
      <w:r w:rsidR="00FF1439">
        <w:rPr>
          <w:rFonts w:cs="Calibri"/>
        </w:rPr>
        <w:t xml:space="preserve">Recovering phosphorus from soil – A root solution? </w:t>
      </w:r>
      <w:r w:rsidR="00FF1439">
        <w:rPr>
          <w:rFonts w:cs="Calibri"/>
          <w:i/>
          <w:iCs/>
        </w:rPr>
        <w:t xml:space="preserve">Environmental Science and Technology. </w:t>
      </w:r>
      <w:r w:rsidR="00FF1439">
        <w:rPr>
          <w:rFonts w:cs="Calibri"/>
          <w:b/>
          <w:bCs/>
        </w:rPr>
        <w:t>46</w:t>
      </w:r>
      <w:r w:rsidR="00243E41" w:rsidRPr="00243E41">
        <w:rPr>
          <w:rFonts w:cs="Calibri"/>
        </w:rPr>
        <w:t>(4)</w:t>
      </w:r>
      <w:r w:rsidR="00FF1439">
        <w:rPr>
          <w:rFonts w:cs="Calibri"/>
        </w:rPr>
        <w:t xml:space="preserve">: 1997-1978. </w:t>
      </w:r>
    </w:p>
    <w:p w14:paraId="6E3B0ECB" w14:textId="77777777" w:rsidR="00E849D2" w:rsidRDefault="00E849D2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AB3634D" w14:textId="204B6AE0" w:rsidR="00E849D2" w:rsidRDefault="00C05EFF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>
        <w:rPr>
          <w:rFonts w:cs="Calibri"/>
          <w:b/>
          <w:bCs/>
        </w:rPr>
        <w:t>Sultenfuss</w:t>
      </w:r>
      <w:proofErr w:type="spellEnd"/>
      <w:r>
        <w:rPr>
          <w:rFonts w:cs="Calibri"/>
          <w:b/>
          <w:bCs/>
        </w:rPr>
        <w:t xml:space="preserve"> J,</w:t>
      </w:r>
      <w:r w:rsidR="00E849D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Doyle W</w:t>
      </w:r>
      <w:r w:rsidR="00E849D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(</w:t>
      </w:r>
      <w:r w:rsidR="00E849D2">
        <w:rPr>
          <w:rFonts w:cs="Calibri"/>
          <w:b/>
          <w:bCs/>
        </w:rPr>
        <w:t>1999</w:t>
      </w:r>
      <w:r>
        <w:rPr>
          <w:rFonts w:cs="Calibri"/>
          <w:b/>
          <w:bCs/>
        </w:rPr>
        <w:t>)</w:t>
      </w:r>
      <w:r w:rsidR="00E849D2">
        <w:rPr>
          <w:rFonts w:cs="Calibri"/>
          <w:b/>
          <w:bCs/>
        </w:rPr>
        <w:t xml:space="preserve"> </w:t>
      </w:r>
      <w:r w:rsidR="00E849D2">
        <w:rPr>
          <w:rFonts w:cs="Calibri"/>
        </w:rPr>
        <w:t xml:space="preserve">Better Crops with Plant Food. </w:t>
      </w:r>
      <w:proofErr w:type="gramStart"/>
      <w:r w:rsidR="00E849D2">
        <w:rPr>
          <w:rFonts w:cs="Calibri"/>
        </w:rPr>
        <w:t>Phosphorus Fertiliser Placement.</w:t>
      </w:r>
      <w:proofErr w:type="gramEnd"/>
      <w:r w:rsidR="00E849D2">
        <w:rPr>
          <w:rFonts w:cs="Calibri"/>
        </w:rPr>
        <w:t xml:space="preserve"> </w:t>
      </w:r>
      <w:proofErr w:type="gramStart"/>
      <w:r w:rsidR="00E849D2">
        <w:rPr>
          <w:rFonts w:cs="Calibri"/>
          <w:i/>
          <w:iCs/>
        </w:rPr>
        <w:t>A Publication of the International Plant Nutrition Institute (IPNI).</w:t>
      </w:r>
      <w:proofErr w:type="gramEnd"/>
      <w:r w:rsidR="00E849D2">
        <w:rPr>
          <w:rFonts w:cs="Calibri"/>
        </w:rPr>
        <w:t xml:space="preserve"> </w:t>
      </w:r>
      <w:r w:rsidR="00924015">
        <w:rPr>
          <w:rFonts w:cs="Calibri"/>
          <w:b/>
          <w:bCs/>
        </w:rPr>
        <w:t>83</w:t>
      </w:r>
      <w:r w:rsidR="00924015" w:rsidRPr="003E2CB8">
        <w:rPr>
          <w:rFonts w:cs="Calibri"/>
        </w:rPr>
        <w:t>(1):</w:t>
      </w:r>
      <w:r w:rsidR="00924015">
        <w:rPr>
          <w:rFonts w:cs="Calibri"/>
        </w:rPr>
        <w:t xml:space="preserve"> 34-39. </w:t>
      </w:r>
    </w:p>
    <w:p w14:paraId="0B78C297" w14:textId="77777777" w:rsidR="00543067" w:rsidRDefault="00543067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4369722" w14:textId="55599904" w:rsidR="00543067" w:rsidRPr="00924015" w:rsidRDefault="00543067" w:rsidP="0054306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A048F">
        <w:rPr>
          <w:rFonts w:cs="Calibri"/>
          <w:b/>
          <w:bCs/>
        </w:rPr>
        <w:t>Sylvester-Bradley R, Scott R, Clare R (1997)</w:t>
      </w:r>
      <w:r>
        <w:rPr>
          <w:rFonts w:cs="Calibri"/>
        </w:rPr>
        <w:t xml:space="preserve"> The wheat growth guide. London: Home Grown Cereals Authority, </w:t>
      </w:r>
      <w:r w:rsidRPr="00543067">
        <w:rPr>
          <w:rFonts w:cs="Calibri"/>
        </w:rPr>
        <w:t>http://www.hgca.com/media/185687/g39-the-wheat-growth-guide.pdf, last</w:t>
      </w:r>
      <w:r>
        <w:rPr>
          <w:rFonts w:cs="Calibri"/>
        </w:rPr>
        <w:t xml:space="preserve"> </w:t>
      </w:r>
      <w:r w:rsidRPr="00543067">
        <w:rPr>
          <w:rFonts w:cs="Calibri"/>
        </w:rPr>
        <w:t>accessed 12/09/2014.</w:t>
      </w:r>
      <w:r>
        <w:rPr>
          <w:rFonts w:cs="Calibri"/>
        </w:rPr>
        <w:t xml:space="preserve"> </w:t>
      </w:r>
    </w:p>
    <w:p w14:paraId="7EF56DFD" w14:textId="77777777" w:rsidR="004608F6" w:rsidRDefault="004608F6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898E21" w14:textId="5D85B694" w:rsidR="002D12F7" w:rsidRDefault="002D12F7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D12F7">
        <w:rPr>
          <w:rFonts w:cs="Calibri"/>
          <w:b/>
          <w:bCs/>
        </w:rPr>
        <w:lastRenderedPageBreak/>
        <w:t xml:space="preserve">Tandy S, Mundus S, </w:t>
      </w:r>
      <w:proofErr w:type="spellStart"/>
      <w:r w:rsidRPr="002D12F7">
        <w:rPr>
          <w:rFonts w:cs="Calibri"/>
          <w:b/>
          <w:bCs/>
        </w:rPr>
        <w:t>Yngvesson</w:t>
      </w:r>
      <w:proofErr w:type="spellEnd"/>
      <w:r w:rsidRPr="002D12F7">
        <w:rPr>
          <w:rFonts w:cs="Calibri"/>
          <w:b/>
          <w:bCs/>
        </w:rPr>
        <w:t xml:space="preserve"> J, de Bang T, </w:t>
      </w:r>
      <w:proofErr w:type="spellStart"/>
      <w:r w:rsidRPr="002D12F7">
        <w:rPr>
          <w:rFonts w:cs="Calibri"/>
          <w:b/>
          <w:bCs/>
        </w:rPr>
        <w:t>Lombi</w:t>
      </w:r>
      <w:proofErr w:type="spellEnd"/>
      <w:r w:rsidRPr="002D12F7">
        <w:rPr>
          <w:rFonts w:cs="Calibri"/>
          <w:b/>
          <w:bCs/>
        </w:rPr>
        <w:t xml:space="preserve"> E, </w:t>
      </w:r>
      <w:proofErr w:type="spellStart"/>
      <w:r w:rsidRPr="002D12F7">
        <w:rPr>
          <w:rFonts w:cs="Calibri"/>
          <w:b/>
          <w:bCs/>
        </w:rPr>
        <w:t>Schjoerring</w:t>
      </w:r>
      <w:proofErr w:type="spellEnd"/>
      <w:r w:rsidRPr="002D12F7">
        <w:rPr>
          <w:rFonts w:cs="Calibri"/>
          <w:b/>
          <w:bCs/>
        </w:rPr>
        <w:t xml:space="preserve"> J,</w:t>
      </w:r>
      <w:r>
        <w:rPr>
          <w:rFonts w:cs="Calibri"/>
          <w:b/>
          <w:bCs/>
        </w:rPr>
        <w:t xml:space="preserve"> Husted S </w:t>
      </w:r>
      <w:r w:rsidR="00C05EFF">
        <w:rPr>
          <w:rFonts w:cs="Calibri"/>
          <w:b/>
          <w:bCs/>
        </w:rPr>
        <w:t>(</w:t>
      </w:r>
      <w:r>
        <w:rPr>
          <w:rFonts w:cs="Calibri"/>
          <w:b/>
          <w:bCs/>
        </w:rPr>
        <w:t>2011</w:t>
      </w:r>
      <w:r w:rsidR="00C05EFF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The use of DGT for prediction of plant available copper, zinc and phosphorus in agricultural soils. </w:t>
      </w:r>
      <w:r>
        <w:rPr>
          <w:rFonts w:cs="Calibri"/>
          <w:i/>
          <w:iCs/>
        </w:rPr>
        <w:t xml:space="preserve">Plant </w:t>
      </w:r>
      <w:r w:rsidR="001E577D">
        <w:rPr>
          <w:rFonts w:cs="Calibri"/>
          <w:i/>
          <w:iCs/>
        </w:rPr>
        <w:t xml:space="preserve">and </w:t>
      </w:r>
      <w:r>
        <w:rPr>
          <w:rFonts w:cs="Calibri"/>
          <w:i/>
          <w:iCs/>
        </w:rPr>
        <w:t>Soil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346</w:t>
      </w:r>
      <w:r w:rsidR="0025259D">
        <w:rPr>
          <w:rFonts w:cs="Calibri"/>
        </w:rPr>
        <w:t>(1-2)</w:t>
      </w:r>
      <w:r>
        <w:rPr>
          <w:rFonts w:cs="Calibri"/>
        </w:rPr>
        <w:t>: 167-180.</w:t>
      </w:r>
    </w:p>
    <w:p w14:paraId="33184BFD" w14:textId="77777777" w:rsidR="00E54665" w:rsidRDefault="00E54665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166C43C" w14:textId="1AE5420A" w:rsidR="00E54665" w:rsidRDefault="00E54665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 w:rsidRPr="008A048F">
        <w:rPr>
          <w:rFonts w:cs="Calibri"/>
          <w:b/>
          <w:bCs/>
        </w:rPr>
        <w:t>Tuzet</w:t>
      </w:r>
      <w:proofErr w:type="spellEnd"/>
      <w:r w:rsidRPr="008A048F">
        <w:rPr>
          <w:rFonts w:cs="Calibri"/>
          <w:b/>
          <w:bCs/>
        </w:rPr>
        <w:t xml:space="preserve"> A, Perrier A, </w:t>
      </w:r>
      <w:proofErr w:type="spellStart"/>
      <w:r w:rsidRPr="008A048F">
        <w:rPr>
          <w:rFonts w:cs="Calibri"/>
          <w:b/>
          <w:bCs/>
        </w:rPr>
        <w:t>Leuning</w:t>
      </w:r>
      <w:proofErr w:type="spellEnd"/>
      <w:r w:rsidRPr="008A048F">
        <w:rPr>
          <w:rFonts w:cs="Calibri"/>
          <w:b/>
          <w:bCs/>
        </w:rPr>
        <w:t xml:space="preserve"> R (2003)</w:t>
      </w:r>
      <w:r>
        <w:rPr>
          <w:rFonts w:cs="Calibri"/>
        </w:rPr>
        <w:t xml:space="preserve"> A coupled model of stomatal conductance, photosynthesis and transpiration. Plant, Cell &amp; Environment </w:t>
      </w:r>
      <w:r w:rsidRPr="008A048F">
        <w:rPr>
          <w:rFonts w:cs="Calibri"/>
          <w:b/>
          <w:bCs/>
        </w:rPr>
        <w:t>26</w:t>
      </w:r>
      <w:r>
        <w:rPr>
          <w:rFonts w:cs="Calibri"/>
        </w:rPr>
        <w:t xml:space="preserve">(7): 1097-1116. </w:t>
      </w:r>
    </w:p>
    <w:p w14:paraId="401E4E59" w14:textId="77777777" w:rsidR="00161851" w:rsidRDefault="00161851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5B0754F" w14:textId="012A1405" w:rsidR="00161851" w:rsidRPr="006970DF" w:rsidRDefault="00161851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spellStart"/>
      <w:r>
        <w:rPr>
          <w:rFonts w:cs="Calibri"/>
          <w:b/>
          <w:bCs/>
        </w:rPr>
        <w:t>Vaccari</w:t>
      </w:r>
      <w:proofErr w:type="spellEnd"/>
      <w:r>
        <w:rPr>
          <w:rFonts w:cs="Calibri"/>
          <w:b/>
          <w:bCs/>
        </w:rPr>
        <w:t xml:space="preserve"> D </w:t>
      </w:r>
      <w:r w:rsidR="00C05EFF">
        <w:rPr>
          <w:rFonts w:cs="Calibri"/>
          <w:b/>
          <w:bCs/>
        </w:rPr>
        <w:t>(</w:t>
      </w:r>
      <w:r>
        <w:rPr>
          <w:rFonts w:cs="Calibri"/>
          <w:b/>
          <w:bCs/>
        </w:rPr>
        <w:t>2009</w:t>
      </w:r>
      <w:r w:rsidR="00C05EFF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Phosphorus: a looming crisis. </w:t>
      </w:r>
      <w:r>
        <w:rPr>
          <w:rFonts w:cs="Calibri"/>
          <w:i/>
          <w:iCs/>
        </w:rPr>
        <w:t xml:space="preserve">Scientific American </w:t>
      </w:r>
      <w:r>
        <w:rPr>
          <w:rFonts w:cs="Calibri"/>
          <w:b/>
          <w:bCs/>
        </w:rPr>
        <w:t>300</w:t>
      </w:r>
      <w:r w:rsidR="00BB7F05">
        <w:rPr>
          <w:rFonts w:cs="Calibri"/>
        </w:rPr>
        <w:t>(6)</w:t>
      </w:r>
      <w:r>
        <w:rPr>
          <w:rFonts w:cs="Calibri"/>
          <w:b/>
          <w:bCs/>
        </w:rPr>
        <w:t xml:space="preserve">: </w:t>
      </w:r>
      <w:r>
        <w:rPr>
          <w:rFonts w:cs="Calibri"/>
        </w:rPr>
        <w:t xml:space="preserve">54-49. </w:t>
      </w:r>
    </w:p>
    <w:p w14:paraId="3D9154C1" w14:textId="77777777" w:rsidR="002D12F7" w:rsidRPr="002D12F7" w:rsidRDefault="002D12F7" w:rsidP="004608F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B6D5006" w14:textId="60E0B9F7" w:rsidR="006970DF" w:rsidRDefault="004608F6" w:rsidP="00C05EFF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CC1B87">
        <w:rPr>
          <w:rFonts w:cs="Calibri"/>
          <w:b/>
          <w:bCs/>
        </w:rPr>
        <w:t xml:space="preserve">Van Genuchten </w:t>
      </w:r>
      <w:r>
        <w:rPr>
          <w:rFonts w:cs="Calibri"/>
          <w:b/>
          <w:bCs/>
        </w:rPr>
        <w:t xml:space="preserve">M </w:t>
      </w:r>
      <w:r w:rsidR="00C05EFF">
        <w:rPr>
          <w:rFonts w:cs="Calibri"/>
          <w:b/>
          <w:bCs/>
        </w:rPr>
        <w:t>(</w:t>
      </w:r>
      <w:r>
        <w:rPr>
          <w:rFonts w:cs="Calibri"/>
          <w:b/>
          <w:bCs/>
        </w:rPr>
        <w:t>1980</w:t>
      </w:r>
      <w:r w:rsidR="00C05EFF">
        <w:rPr>
          <w:rFonts w:cs="Calibri"/>
          <w:b/>
          <w:bCs/>
        </w:rPr>
        <w:t>)</w:t>
      </w:r>
      <w:r w:rsidRPr="00A55628">
        <w:rPr>
          <w:rFonts w:cs="Calibri"/>
        </w:rPr>
        <w:t xml:space="preserve"> A closed-form equation for predicting the hydraulic conductivity of unsaturated soil. </w:t>
      </w:r>
      <w:r w:rsidRPr="001E577D">
        <w:rPr>
          <w:rFonts w:cs="Calibri"/>
          <w:i/>
          <w:iCs/>
        </w:rPr>
        <w:t>Soil Sc</w:t>
      </w:r>
      <w:r w:rsidR="001E577D" w:rsidRPr="001E577D">
        <w:rPr>
          <w:rFonts w:cs="Calibri"/>
          <w:i/>
          <w:iCs/>
        </w:rPr>
        <w:t>ience</w:t>
      </w:r>
      <w:r w:rsidRPr="001E577D">
        <w:rPr>
          <w:rFonts w:cs="Calibri"/>
          <w:i/>
          <w:iCs/>
        </w:rPr>
        <w:t xml:space="preserve"> Soc</w:t>
      </w:r>
      <w:r w:rsidR="001E577D" w:rsidRPr="001E577D">
        <w:rPr>
          <w:rFonts w:cs="Calibri"/>
          <w:i/>
          <w:iCs/>
        </w:rPr>
        <w:t>iety of America Journal</w:t>
      </w:r>
      <w:r>
        <w:rPr>
          <w:rFonts w:cs="Calibri"/>
        </w:rPr>
        <w:t xml:space="preserve">, </w:t>
      </w:r>
      <w:r w:rsidRPr="00AE55BE">
        <w:rPr>
          <w:rFonts w:cs="Calibri"/>
          <w:b/>
          <w:bCs/>
        </w:rPr>
        <w:t>44</w:t>
      </w:r>
      <w:r w:rsidR="00AE55BE">
        <w:rPr>
          <w:rFonts w:cs="Calibri"/>
        </w:rPr>
        <w:t>(5):</w:t>
      </w:r>
      <w:r>
        <w:rPr>
          <w:rFonts w:cs="Calibri"/>
        </w:rPr>
        <w:t xml:space="preserve"> 892-898.</w:t>
      </w:r>
    </w:p>
    <w:p w14:paraId="7BA3BCD5" w14:textId="77777777" w:rsidR="002B391B" w:rsidRDefault="002B391B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3904298" w14:textId="4261376C" w:rsidR="002B391B" w:rsidRDefault="002B391B" w:rsidP="004868B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B391B">
        <w:rPr>
          <w:rFonts w:cs="Calibri"/>
          <w:b/>
          <w:bCs/>
        </w:rPr>
        <w:t xml:space="preserve">Van Rotterdam A, </w:t>
      </w:r>
      <w:proofErr w:type="spellStart"/>
      <w:r w:rsidRPr="002B391B">
        <w:rPr>
          <w:rFonts w:cs="Calibri"/>
          <w:b/>
          <w:bCs/>
        </w:rPr>
        <w:t>Temminghoff</w:t>
      </w:r>
      <w:proofErr w:type="spellEnd"/>
      <w:r w:rsidRPr="002B391B">
        <w:rPr>
          <w:rFonts w:cs="Calibri"/>
          <w:b/>
          <w:bCs/>
        </w:rPr>
        <w:t xml:space="preserve"> E, </w:t>
      </w:r>
      <w:proofErr w:type="spellStart"/>
      <w:r w:rsidRPr="002B391B">
        <w:rPr>
          <w:rFonts w:cs="Calibri"/>
          <w:b/>
          <w:bCs/>
        </w:rPr>
        <w:t>Schenkeveld</w:t>
      </w:r>
      <w:proofErr w:type="spellEnd"/>
      <w:r w:rsidRPr="002B391B">
        <w:rPr>
          <w:rFonts w:cs="Calibri"/>
          <w:b/>
          <w:bCs/>
        </w:rPr>
        <w:t xml:space="preserve"> W, </w:t>
      </w:r>
      <w:proofErr w:type="spellStart"/>
      <w:r w:rsidRPr="002B391B">
        <w:rPr>
          <w:rFonts w:cs="Calibri"/>
          <w:b/>
          <w:bCs/>
        </w:rPr>
        <w:t>Hiemstra</w:t>
      </w:r>
      <w:proofErr w:type="spellEnd"/>
      <w:r w:rsidRPr="002B391B">
        <w:rPr>
          <w:rFonts w:cs="Calibri"/>
          <w:b/>
          <w:bCs/>
        </w:rPr>
        <w:t xml:space="preserve"> T, </w:t>
      </w:r>
      <w:proofErr w:type="spellStart"/>
      <w:r w:rsidRPr="002B391B">
        <w:rPr>
          <w:rFonts w:cs="Calibri"/>
          <w:b/>
          <w:bCs/>
        </w:rPr>
        <w:t>Riemsdijk</w:t>
      </w:r>
      <w:proofErr w:type="spellEnd"/>
      <w:r w:rsidR="004868BA">
        <w:rPr>
          <w:rFonts w:cs="Calibri"/>
          <w:b/>
          <w:bCs/>
        </w:rPr>
        <w:t xml:space="preserve"> W</w:t>
      </w:r>
      <w:r w:rsidRPr="002B391B">
        <w:rPr>
          <w:rFonts w:cs="Calibri"/>
          <w:b/>
          <w:bCs/>
        </w:rPr>
        <w:t xml:space="preserve"> </w:t>
      </w:r>
      <w:r w:rsidR="004868BA">
        <w:rPr>
          <w:rFonts w:cs="Calibri"/>
          <w:b/>
          <w:bCs/>
        </w:rPr>
        <w:t>(</w:t>
      </w:r>
      <w:r>
        <w:rPr>
          <w:rFonts w:cs="Calibri"/>
          <w:b/>
          <w:bCs/>
        </w:rPr>
        <w:t>2009</w:t>
      </w:r>
      <w:r w:rsidR="004868BA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Phosphorus removal from soil using Fe oxide-impregnated paper: Processes and applications. </w:t>
      </w:r>
      <w:proofErr w:type="spellStart"/>
      <w:r>
        <w:rPr>
          <w:rFonts w:cs="Calibri"/>
          <w:i/>
          <w:iCs/>
        </w:rPr>
        <w:t>Geoderma</w:t>
      </w:r>
      <w:proofErr w:type="spellEnd"/>
      <w:r>
        <w:rPr>
          <w:rFonts w:cs="Calibri"/>
        </w:rPr>
        <w:t xml:space="preserve"> </w:t>
      </w:r>
      <w:r>
        <w:rPr>
          <w:rFonts w:cs="Calibri"/>
          <w:b/>
          <w:bCs/>
        </w:rPr>
        <w:t>151</w:t>
      </w:r>
      <w:r w:rsidR="007E1E16">
        <w:rPr>
          <w:rFonts w:cs="Calibri"/>
        </w:rPr>
        <w:t>(3-4)</w:t>
      </w:r>
      <w:r>
        <w:rPr>
          <w:rFonts w:cs="Calibri"/>
        </w:rPr>
        <w:t xml:space="preserve">: 282-289. </w:t>
      </w:r>
    </w:p>
    <w:p w14:paraId="2E6F6A25" w14:textId="77777777" w:rsidR="00E74CF1" w:rsidRDefault="00E74CF1" w:rsidP="004868B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2C7765A" w14:textId="42A02198" w:rsidR="00E74CF1" w:rsidRDefault="00E74CF1" w:rsidP="004868B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8A048F">
        <w:rPr>
          <w:rFonts w:cs="Calibri"/>
          <w:b/>
          <w:bCs/>
        </w:rPr>
        <w:t xml:space="preserve">Van Rotterdam A, </w:t>
      </w:r>
      <w:proofErr w:type="spellStart"/>
      <w:r w:rsidRPr="008A048F">
        <w:rPr>
          <w:rFonts w:cs="Calibri"/>
          <w:b/>
          <w:bCs/>
        </w:rPr>
        <w:t>Bussink</w:t>
      </w:r>
      <w:proofErr w:type="spellEnd"/>
      <w:r w:rsidRPr="008A048F">
        <w:rPr>
          <w:rFonts w:cs="Calibri"/>
          <w:b/>
          <w:bCs/>
        </w:rPr>
        <w:t xml:space="preserve"> D, </w:t>
      </w:r>
      <w:proofErr w:type="spellStart"/>
      <w:r w:rsidRPr="008A048F">
        <w:rPr>
          <w:rFonts w:cs="Calibri"/>
          <w:b/>
          <w:bCs/>
        </w:rPr>
        <w:t>Reijneveld</w:t>
      </w:r>
      <w:proofErr w:type="spellEnd"/>
      <w:r w:rsidRPr="008A048F">
        <w:rPr>
          <w:rFonts w:cs="Calibri"/>
          <w:b/>
          <w:bCs/>
        </w:rPr>
        <w:t xml:space="preserve"> J (2014)</w:t>
      </w:r>
      <w:r>
        <w:rPr>
          <w:rFonts w:cs="Calibri"/>
        </w:rPr>
        <w:t xml:space="preserve"> Improved Phosphorus Fertilisation Based on Better Prediction of Availability in Soil. International Fertiliser </w:t>
      </w:r>
      <w:proofErr w:type="spellStart"/>
      <w:r>
        <w:rPr>
          <w:rFonts w:cs="Calibri"/>
        </w:rPr>
        <w:t>Soceity</w:t>
      </w:r>
      <w:proofErr w:type="spellEnd"/>
      <w:r>
        <w:rPr>
          <w:rFonts w:cs="Calibri"/>
        </w:rPr>
        <w:t>, Proceeding 755, ISBN 978-0-85310-392-9.</w:t>
      </w:r>
    </w:p>
    <w:p w14:paraId="30E0DEBA" w14:textId="77777777" w:rsidR="00C035E1" w:rsidRDefault="00C035E1" w:rsidP="002B391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DCD59A4" w14:textId="688CCC36" w:rsidR="00C035E1" w:rsidRPr="00C035E1" w:rsidRDefault="00C035E1" w:rsidP="004868B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Vu D, Tang C</w:t>
      </w:r>
      <w:r w:rsidR="004868BA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Armstrong R </w:t>
      </w:r>
      <w:r w:rsidR="004868BA">
        <w:rPr>
          <w:rFonts w:cs="Calibri"/>
          <w:b/>
          <w:bCs/>
        </w:rPr>
        <w:t>(</w:t>
      </w:r>
      <w:r>
        <w:rPr>
          <w:rFonts w:cs="Calibri"/>
          <w:b/>
          <w:bCs/>
        </w:rPr>
        <w:t>2009</w:t>
      </w:r>
      <w:r w:rsidR="004868BA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Tillage system affects phosphorus form and depth distribution in three contrasting Victorian soils. </w:t>
      </w:r>
      <w:proofErr w:type="gramStart"/>
      <w:r>
        <w:rPr>
          <w:rFonts w:cs="Calibri"/>
          <w:i/>
          <w:iCs/>
        </w:rPr>
        <w:t>Australian Journal of Soil Research.</w:t>
      </w:r>
      <w:proofErr w:type="gramEnd"/>
      <w:r>
        <w:rPr>
          <w:rFonts w:cs="Calibri"/>
        </w:rPr>
        <w:t xml:space="preserve"> </w:t>
      </w:r>
      <w:r>
        <w:rPr>
          <w:rFonts w:cs="Calibri"/>
          <w:b/>
          <w:bCs/>
        </w:rPr>
        <w:t>47</w:t>
      </w:r>
      <w:r w:rsidR="00444BEE">
        <w:rPr>
          <w:rFonts w:cs="Calibri"/>
        </w:rPr>
        <w:t>(1)</w:t>
      </w:r>
      <w:r>
        <w:rPr>
          <w:rFonts w:cs="Calibri"/>
        </w:rPr>
        <w:t xml:space="preserve">: 33-45. </w:t>
      </w:r>
    </w:p>
    <w:p w14:paraId="7CD1194D" w14:textId="77777777" w:rsidR="00BE5E65" w:rsidRDefault="00BE5E65" w:rsidP="002B391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CC49FB2" w14:textId="61D913E0" w:rsidR="00BE5E65" w:rsidRDefault="00BE5E65" w:rsidP="004868B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 xml:space="preserve">Withers P, Sylvester-Bradley R, Jones D, Healey J, </w:t>
      </w:r>
      <w:proofErr w:type="spellStart"/>
      <w:r>
        <w:rPr>
          <w:rFonts w:cs="Calibri"/>
          <w:b/>
          <w:bCs/>
        </w:rPr>
        <w:t>Talboys</w:t>
      </w:r>
      <w:proofErr w:type="spellEnd"/>
      <w:r>
        <w:rPr>
          <w:rFonts w:cs="Calibri"/>
          <w:b/>
          <w:bCs/>
        </w:rPr>
        <w:t xml:space="preserve"> P </w:t>
      </w:r>
      <w:r w:rsidR="004868BA">
        <w:rPr>
          <w:rFonts w:cs="Calibri"/>
          <w:b/>
          <w:bCs/>
        </w:rPr>
        <w:t>(</w:t>
      </w:r>
      <w:r>
        <w:rPr>
          <w:rFonts w:cs="Calibri"/>
          <w:b/>
          <w:bCs/>
        </w:rPr>
        <w:t>2014</w:t>
      </w:r>
      <w:r w:rsidR="004868BA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Feed the crop not the soil: rethinking phosphorus management in the food chain. </w:t>
      </w:r>
      <w:r w:rsidR="001E577D">
        <w:rPr>
          <w:rFonts w:cs="Calibri"/>
          <w:i/>
          <w:iCs/>
        </w:rPr>
        <w:t>Environmental Science &amp; Technology</w:t>
      </w:r>
      <w:r>
        <w:rPr>
          <w:rFonts w:cs="Calibri"/>
          <w:i/>
          <w:iCs/>
        </w:rPr>
        <w:t xml:space="preserve"> </w:t>
      </w:r>
      <w:r w:rsidR="00AD23E3">
        <w:rPr>
          <w:rFonts w:cs="Calibri"/>
          <w:b/>
          <w:bCs/>
        </w:rPr>
        <w:t>48</w:t>
      </w:r>
      <w:r w:rsidR="00AD23E3">
        <w:rPr>
          <w:rFonts w:cs="Calibri"/>
        </w:rPr>
        <w:t>(12): 6523-6530.</w:t>
      </w:r>
      <w:r>
        <w:rPr>
          <w:rFonts w:cs="Calibri"/>
        </w:rPr>
        <w:t xml:space="preserve"> </w:t>
      </w:r>
    </w:p>
    <w:p w14:paraId="19559516" w14:textId="77777777" w:rsidR="00C446CB" w:rsidRDefault="00C446CB" w:rsidP="002B391B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3451FA6" w14:textId="50A6BA4E" w:rsidR="00C446CB" w:rsidRPr="00C446CB" w:rsidRDefault="00C446CB" w:rsidP="004868BA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proofErr w:type="gramStart"/>
      <w:r>
        <w:rPr>
          <w:rFonts w:cs="Calibri"/>
          <w:b/>
          <w:bCs/>
        </w:rPr>
        <w:t>Yang X</w:t>
      </w:r>
      <w:r w:rsidR="004868BA">
        <w:rPr>
          <w:rFonts w:cs="Calibri"/>
          <w:b/>
          <w:bCs/>
        </w:rPr>
        <w:t>, Post W</w:t>
      </w:r>
      <w:r>
        <w:rPr>
          <w:rFonts w:cs="Calibri"/>
          <w:b/>
          <w:bCs/>
        </w:rPr>
        <w:t>, Thornton P</w:t>
      </w:r>
      <w:r w:rsidR="004868BA">
        <w:rPr>
          <w:rFonts w:cs="Calibri"/>
          <w:b/>
          <w:bCs/>
        </w:rPr>
        <w:t>, Jain A</w:t>
      </w:r>
      <w:r>
        <w:rPr>
          <w:rFonts w:cs="Calibri"/>
          <w:b/>
          <w:bCs/>
        </w:rPr>
        <w:t xml:space="preserve"> </w:t>
      </w:r>
      <w:r w:rsidR="004868BA">
        <w:rPr>
          <w:rFonts w:cs="Calibri"/>
          <w:b/>
          <w:bCs/>
        </w:rPr>
        <w:t>(</w:t>
      </w:r>
      <w:r>
        <w:rPr>
          <w:rFonts w:cs="Calibri"/>
          <w:b/>
          <w:bCs/>
        </w:rPr>
        <w:t>2013</w:t>
      </w:r>
      <w:r w:rsidR="004868BA">
        <w:rPr>
          <w:rFonts w:cs="Calibri"/>
          <w:b/>
          <w:bCs/>
        </w:rPr>
        <w:t>)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The distribution of soil phosphorus for global biogeochemical </w:t>
      </w:r>
      <w:proofErr w:type="spellStart"/>
      <w:r>
        <w:rPr>
          <w:rFonts w:cs="Calibri"/>
        </w:rPr>
        <w:t>modeling</w:t>
      </w:r>
      <w:proofErr w:type="spellEnd"/>
      <w:r>
        <w:rPr>
          <w:rFonts w:cs="Calibri"/>
        </w:rPr>
        <w:t>.</w:t>
      </w:r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  <w:i/>
          <w:iCs/>
        </w:rPr>
        <w:t>Biogeosciences</w:t>
      </w:r>
      <w:proofErr w:type="spellEnd"/>
      <w:r w:rsidR="00D14108">
        <w:rPr>
          <w:rFonts w:cs="Calibri"/>
          <w:i/>
          <w:iCs/>
        </w:rPr>
        <w:t xml:space="preserve"> Discussions</w:t>
      </w:r>
      <w:r>
        <w:rPr>
          <w:rFonts w:cs="Calibri"/>
          <w:i/>
          <w:iCs/>
        </w:rPr>
        <w:t>.</w:t>
      </w:r>
      <w:r w:rsidR="00D14108">
        <w:rPr>
          <w:rFonts w:cs="Calibri"/>
          <w:i/>
          <w:iCs/>
        </w:rPr>
        <w:t xml:space="preserve"> </w:t>
      </w:r>
      <w:r w:rsidR="00D14108">
        <w:rPr>
          <w:rFonts w:cs="Calibri"/>
          <w:b/>
          <w:bCs/>
        </w:rPr>
        <w:t>9</w:t>
      </w:r>
      <w:r w:rsidR="00D14108">
        <w:rPr>
          <w:rFonts w:cs="Calibri"/>
        </w:rPr>
        <w:t>(11)</w:t>
      </w:r>
      <w:r>
        <w:rPr>
          <w:rFonts w:cs="Calibri"/>
          <w:b/>
          <w:bCs/>
        </w:rPr>
        <w:t>:</w:t>
      </w:r>
      <w:r>
        <w:rPr>
          <w:rFonts w:cs="Calibri"/>
        </w:rPr>
        <w:t xml:space="preserve"> </w:t>
      </w:r>
      <w:r w:rsidR="00D14108">
        <w:rPr>
          <w:rFonts w:cs="Calibri"/>
        </w:rPr>
        <w:t>16347-16380</w:t>
      </w:r>
      <w:r>
        <w:rPr>
          <w:rFonts w:cs="Calibri"/>
        </w:rPr>
        <w:t xml:space="preserve">. </w:t>
      </w:r>
    </w:p>
    <w:p w14:paraId="6057ADF0" w14:textId="77777777" w:rsidR="006970DF" w:rsidRDefault="006970DF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336C473" w14:textId="77777777" w:rsidR="00AD5803" w:rsidRDefault="00AD5803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C854AEA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AD7A05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F619658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8E394BF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9B92E73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562E968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F67B72D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CF9A718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41966B0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2D22312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7AEB70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6343DC0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1542DE8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84C568E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B6E2C68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799E7C59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10AC1F0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7851C54" w14:textId="77777777" w:rsidR="003E7EE9" w:rsidRDefault="003E7EE9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71B2E91" w14:textId="77777777" w:rsidR="00AD5803" w:rsidRDefault="00AD5803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8D652C2" w14:textId="77777777" w:rsidR="00AD5803" w:rsidRDefault="00AD5803" w:rsidP="006970D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D9C6520" w14:textId="77777777" w:rsidR="00824B07" w:rsidRDefault="00FF34F6">
      <w:pPr>
        <w:rPr>
          <w:b/>
          <w:bCs/>
        </w:rPr>
      </w:pPr>
      <w:r w:rsidRPr="00FF34F6">
        <w:rPr>
          <w:b/>
          <w:bCs/>
        </w:rPr>
        <w:lastRenderedPageBreak/>
        <w:t>List of Figures</w:t>
      </w:r>
    </w:p>
    <w:p w14:paraId="53E0527E" w14:textId="4A132FB3" w:rsidR="00FF34F6" w:rsidRDefault="00FF34F6" w:rsidP="00227BD8">
      <w:r>
        <w:rPr>
          <w:b/>
          <w:bCs/>
        </w:rPr>
        <w:t xml:space="preserve">Figure 1: </w:t>
      </w:r>
      <w:r>
        <w:t xml:space="preserve">The concentration of P </w:t>
      </w:r>
      <w:r w:rsidR="001C3743">
        <w:t xml:space="preserve">with depth in </w:t>
      </w:r>
      <w:r>
        <w:t xml:space="preserve">the soil profile, </w:t>
      </w:r>
      <w:r w:rsidR="00227BD8">
        <w:t xml:space="preserve">a) </w:t>
      </w:r>
      <w:r>
        <w:t xml:space="preserve">taken at intervals of 10 cm down to 1 </w:t>
      </w:r>
      <w:r w:rsidR="0095056A">
        <w:t>m, for three different sites</w:t>
      </w:r>
      <w:r w:rsidR="00227BD8">
        <w:t xml:space="preserve"> (</w:t>
      </w:r>
      <w:r w:rsidR="0095056A">
        <w:t>Olsen P index 2, 3 and 5</w:t>
      </w:r>
      <w:r w:rsidR="00227BD8">
        <w:t>), b) taken at intervals 0-30 cm, 30-60 cm and 60-90 cm for six different sites (Olsen P index 2, 3, 5 and 6).</w:t>
      </w:r>
      <w:r w:rsidR="0095056A">
        <w:t xml:space="preserve"> </w:t>
      </w:r>
    </w:p>
    <w:p w14:paraId="5FC98BC1" w14:textId="3BAFA7A2" w:rsidR="00FF34F6" w:rsidRDefault="00FF34F6" w:rsidP="00C27C54">
      <w:r>
        <w:rPr>
          <w:b/>
          <w:bCs/>
        </w:rPr>
        <w:t xml:space="preserve">Figure 2: </w:t>
      </w:r>
      <w:r w:rsidR="00C27C54">
        <w:t>A</w:t>
      </w:r>
      <w:r w:rsidR="008244E0">
        <w:t xml:space="preserve"> set of scenarios to test the </w:t>
      </w:r>
      <w:r w:rsidR="00C27C54">
        <w:t>mathematical</w:t>
      </w:r>
      <w:r w:rsidR="008244E0">
        <w:t xml:space="preserve"> model; ploughing at 25, 20 or 10 cm, an inverted plough or using the reduced till gradient, top soil fertilisation, no fertilisation or fertiliser applied at 5cm below</w:t>
      </w:r>
      <w:r w:rsidR="00C27C54">
        <w:t xml:space="preserve"> and to the side of the</w:t>
      </w:r>
      <w:r w:rsidR="008244E0">
        <w:t xml:space="preserve"> seed, and finally using climate data with or without </w:t>
      </w:r>
      <w:r w:rsidR="0069578A">
        <w:t xml:space="preserve">an additional </w:t>
      </w:r>
      <w:r w:rsidR="00C27C54">
        <w:t xml:space="preserve">constant </w:t>
      </w:r>
      <w:r w:rsidR="0069578A">
        <w:t>heavy rainfall.</w:t>
      </w:r>
    </w:p>
    <w:p w14:paraId="52035F1A" w14:textId="4041550E" w:rsidR="00FF34F6" w:rsidRPr="0095056A" w:rsidRDefault="00FF34F6" w:rsidP="00FD6254">
      <w:r>
        <w:rPr>
          <w:b/>
          <w:bCs/>
        </w:rPr>
        <w:t xml:space="preserve">Figure 3: </w:t>
      </w:r>
      <w:r w:rsidR="0060351A">
        <w:t>Experimental data and</w:t>
      </w:r>
      <w:r w:rsidR="0095056A">
        <w:t xml:space="preserve"> model </w:t>
      </w:r>
      <w:r w:rsidR="0069578A">
        <w:t>predictions</w:t>
      </w:r>
      <w:r w:rsidR="0095056A">
        <w:t xml:space="preserve"> for winter barley at growth stages 39 (a) and 92 (b), for two </w:t>
      </w:r>
      <w:r w:rsidR="0060351A">
        <w:t xml:space="preserve">modelled </w:t>
      </w:r>
      <w:r w:rsidR="00F80857">
        <w:t>distributions for the initial</w:t>
      </w:r>
      <w:r w:rsidR="0095056A">
        <w:t xml:space="preserve"> P </w:t>
      </w:r>
      <w:r w:rsidR="0069578A">
        <w:t>concentration</w:t>
      </w:r>
      <w:r w:rsidR="0095056A">
        <w:t>, 10 mg</w:t>
      </w:r>
      <w:r w:rsidR="005F14B2">
        <w:t xml:space="preserve"> P</w:t>
      </w:r>
      <w:r w:rsidR="00FD6254">
        <w:t xml:space="preserve"> </w:t>
      </w:r>
      <w:r w:rsidR="0095056A">
        <w:t>l</w:t>
      </w:r>
      <w:r w:rsidR="00FD6254" w:rsidRPr="008A048F">
        <w:rPr>
          <w:vertAlign w:val="superscript"/>
        </w:rPr>
        <w:t>-1</w:t>
      </w:r>
      <w:r w:rsidR="0095056A">
        <w:t xml:space="preserve"> </w:t>
      </w:r>
      <w:r w:rsidR="00F80857">
        <w:t>‘flat’</w:t>
      </w:r>
      <w:r w:rsidR="0095056A">
        <w:t xml:space="preserve"> and 20 mg</w:t>
      </w:r>
      <w:r w:rsidR="005F14B2">
        <w:t xml:space="preserve"> P</w:t>
      </w:r>
      <w:r w:rsidR="00FD6254">
        <w:t xml:space="preserve"> </w:t>
      </w:r>
      <w:r w:rsidR="0095056A">
        <w:t>l</w:t>
      </w:r>
      <w:r w:rsidR="00FD6254" w:rsidRPr="008A048F">
        <w:rPr>
          <w:vertAlign w:val="superscript"/>
        </w:rPr>
        <w:t>-1</w:t>
      </w:r>
      <w:r w:rsidR="0095056A">
        <w:t xml:space="preserve"> </w:t>
      </w:r>
      <w:r w:rsidR="00F80857">
        <w:t>‘</w:t>
      </w:r>
      <w:r w:rsidR="0095056A">
        <w:t>decay</w:t>
      </w:r>
      <w:r w:rsidR="00F80857">
        <w:t>’</w:t>
      </w:r>
      <w:r w:rsidR="0095056A">
        <w:t xml:space="preserve">. </w:t>
      </w:r>
    </w:p>
    <w:p w14:paraId="6664492D" w14:textId="1408081F" w:rsidR="0095056A" w:rsidRDefault="00FF34F6" w:rsidP="00A11D07">
      <w:r>
        <w:rPr>
          <w:b/>
          <w:bCs/>
        </w:rPr>
        <w:t xml:space="preserve">Figure 4: </w:t>
      </w:r>
      <w:r w:rsidR="0060351A">
        <w:t>Experimental data and</w:t>
      </w:r>
      <w:r w:rsidR="0095056A">
        <w:t xml:space="preserve"> model </w:t>
      </w:r>
      <w:r w:rsidR="0069578A">
        <w:t>predictions</w:t>
      </w:r>
      <w:r w:rsidR="0095056A">
        <w:t xml:space="preserve"> for spring barley at growth stages 31 (a), 45 (b) and 91 (c), for two </w:t>
      </w:r>
      <w:r w:rsidR="0060351A">
        <w:t>modelled</w:t>
      </w:r>
      <w:r w:rsidR="0095056A">
        <w:t xml:space="preserve"> distributions</w:t>
      </w:r>
      <w:r w:rsidR="00F80857">
        <w:t xml:space="preserve"> for the initial </w:t>
      </w:r>
      <w:r w:rsidR="0095056A">
        <w:t xml:space="preserve">P </w:t>
      </w:r>
      <w:r w:rsidR="0069578A">
        <w:t>concentration</w:t>
      </w:r>
      <w:r w:rsidR="0095056A">
        <w:t>, 16mg</w:t>
      </w:r>
      <w:r w:rsidR="005F14B2">
        <w:t xml:space="preserve"> P</w:t>
      </w:r>
      <w:r w:rsidR="00FD6254">
        <w:t xml:space="preserve"> </w:t>
      </w:r>
      <w:r w:rsidR="0095056A">
        <w:t>l</w:t>
      </w:r>
      <w:r w:rsidR="00FD6254" w:rsidRPr="008A048F">
        <w:rPr>
          <w:vertAlign w:val="superscript"/>
        </w:rPr>
        <w:t>-1</w:t>
      </w:r>
      <w:r w:rsidR="0095056A">
        <w:t xml:space="preserve"> </w:t>
      </w:r>
      <w:r w:rsidR="00866BFE">
        <w:t>‘</w:t>
      </w:r>
      <w:r w:rsidR="0095056A">
        <w:t>constant</w:t>
      </w:r>
      <w:r w:rsidR="00866BFE">
        <w:t>’</w:t>
      </w:r>
      <w:r w:rsidR="0095056A">
        <w:t xml:space="preserve"> and 30 mg</w:t>
      </w:r>
      <w:r w:rsidR="005F14B2">
        <w:t xml:space="preserve"> P</w:t>
      </w:r>
      <w:r w:rsidR="00FD6254">
        <w:t xml:space="preserve"> </w:t>
      </w:r>
      <w:r w:rsidR="0095056A">
        <w:t>l</w:t>
      </w:r>
      <w:r w:rsidR="00FD6254" w:rsidRPr="008A048F">
        <w:rPr>
          <w:vertAlign w:val="superscript"/>
        </w:rPr>
        <w:t>-1</w:t>
      </w:r>
      <w:r w:rsidR="0095056A">
        <w:t xml:space="preserve"> </w:t>
      </w:r>
      <w:r w:rsidR="00866BFE">
        <w:t>‘</w:t>
      </w:r>
      <w:r w:rsidR="0095056A">
        <w:t>decay</w:t>
      </w:r>
      <w:r w:rsidR="00866BFE">
        <w:t>’</w:t>
      </w:r>
      <w:r w:rsidR="0095056A">
        <w:t xml:space="preserve">. </w:t>
      </w:r>
    </w:p>
    <w:p w14:paraId="3058304B" w14:textId="1FFC2FC4" w:rsidR="00FF34F6" w:rsidRPr="00DC1090" w:rsidRDefault="00FF34F6" w:rsidP="00FD6254">
      <w:r>
        <w:rPr>
          <w:b/>
          <w:bCs/>
        </w:rPr>
        <w:t xml:space="preserve">Figure 5: </w:t>
      </w:r>
      <w:r w:rsidR="00DC1090">
        <w:t xml:space="preserve">Model predictions for </w:t>
      </w:r>
      <w:r w:rsidR="00D37F77">
        <w:t xml:space="preserve">winter barley </w:t>
      </w:r>
      <w:r w:rsidR="00DC1090">
        <w:t>P uptake and P concentration against depth at five different times, 0, 72, 146, 225 and 313 (GS92) days, for a) an initial P concentration of 10 mg</w:t>
      </w:r>
      <w:r w:rsidR="005F14B2">
        <w:t xml:space="preserve"> P</w:t>
      </w:r>
      <w:r w:rsidR="00FD6254">
        <w:t xml:space="preserve"> </w:t>
      </w:r>
      <w:r w:rsidR="00DC1090">
        <w:t>l</w:t>
      </w:r>
      <w:r w:rsidR="00FD6254" w:rsidRPr="008A048F">
        <w:rPr>
          <w:vertAlign w:val="superscript"/>
        </w:rPr>
        <w:t>-1</w:t>
      </w:r>
      <w:r w:rsidR="00DC1090">
        <w:t xml:space="preserve"> ‘flat’ (P1-low), b) an initial P concentration of 30 mg</w:t>
      </w:r>
      <w:r w:rsidR="005F14B2">
        <w:t xml:space="preserve"> P</w:t>
      </w:r>
      <w:r w:rsidR="00FD6254">
        <w:t xml:space="preserve"> </w:t>
      </w:r>
      <w:r w:rsidR="00DC1090">
        <w:t>l</w:t>
      </w:r>
      <w:r w:rsidR="00FD6254" w:rsidRPr="008A048F">
        <w:rPr>
          <w:vertAlign w:val="superscript"/>
        </w:rPr>
        <w:t>-1</w:t>
      </w:r>
      <w:r w:rsidR="00DC1090">
        <w:t xml:space="preserve"> ‘flat’ (P1-</w:t>
      </w:r>
      <w:r w:rsidR="00C405EF">
        <w:t>high</w:t>
      </w:r>
      <w:r w:rsidR="00DC1090">
        <w:t>), c) an initial P concentration of 20 mg</w:t>
      </w:r>
      <w:r w:rsidR="005F14B2">
        <w:t xml:space="preserve"> P</w:t>
      </w:r>
      <w:r w:rsidR="00FD6254">
        <w:t xml:space="preserve"> </w:t>
      </w:r>
      <w:r w:rsidR="00DC1090">
        <w:t>l</w:t>
      </w:r>
      <w:r w:rsidR="00FD6254" w:rsidRPr="008A048F">
        <w:rPr>
          <w:vertAlign w:val="superscript"/>
        </w:rPr>
        <w:t>-1</w:t>
      </w:r>
      <w:r w:rsidR="00DC1090">
        <w:t xml:space="preserve"> ‘decay’ (P3-</w:t>
      </w:r>
      <w:r w:rsidR="00C405EF">
        <w:t>low</w:t>
      </w:r>
      <w:r w:rsidR="00DC1090">
        <w:t>) and d) an initial P concentration of 60 mg</w:t>
      </w:r>
      <w:r w:rsidR="005F14B2">
        <w:t xml:space="preserve"> P</w:t>
      </w:r>
      <w:r w:rsidR="00FD6254">
        <w:t xml:space="preserve"> </w:t>
      </w:r>
      <w:r w:rsidR="00DC1090">
        <w:t>l</w:t>
      </w:r>
      <w:r w:rsidR="00FD6254" w:rsidRPr="008A048F">
        <w:rPr>
          <w:vertAlign w:val="superscript"/>
        </w:rPr>
        <w:t>-1</w:t>
      </w:r>
      <w:r w:rsidR="00DC1090">
        <w:t xml:space="preserve"> ‘decay’ (P3-high).</w:t>
      </w:r>
    </w:p>
    <w:p w14:paraId="42418B22" w14:textId="1661C3C8" w:rsidR="0095056A" w:rsidRDefault="00FF34F6" w:rsidP="00D37F77">
      <w:r>
        <w:rPr>
          <w:b/>
          <w:bCs/>
        </w:rPr>
        <w:t xml:space="preserve">Figure 6: </w:t>
      </w:r>
      <w:r w:rsidR="0095056A">
        <w:t>Model estimates for</w:t>
      </w:r>
      <w:r w:rsidR="00F80857">
        <w:t xml:space="preserve"> </w:t>
      </w:r>
      <w:r w:rsidR="00D37F77">
        <w:t xml:space="preserve">winter barley </w:t>
      </w:r>
      <w:r w:rsidR="0095056A">
        <w:t xml:space="preserve">P uptake by the root system at growth stage 39 </w:t>
      </w:r>
      <w:r w:rsidR="00DC1090">
        <w:t xml:space="preserve">for a) four different </w:t>
      </w:r>
      <w:r w:rsidR="003109C4">
        <w:t xml:space="preserve">soil </w:t>
      </w:r>
      <w:r w:rsidR="00DC1090">
        <w:t xml:space="preserve">buffer power values, 20, 23.28, 30 and 40; b) </w:t>
      </w:r>
      <w:r w:rsidR="0095056A">
        <w:t xml:space="preserve">four different initial volumetric soil water content values, 0.1, 0.25, 0.45 and 0.55. </w:t>
      </w:r>
    </w:p>
    <w:p w14:paraId="3647313E" w14:textId="18E2DB6A" w:rsidR="0079565B" w:rsidRDefault="00FF34F6" w:rsidP="00FD6254">
      <w:r>
        <w:rPr>
          <w:b/>
          <w:bCs/>
        </w:rPr>
        <w:t xml:space="preserve">Figure 7: </w:t>
      </w:r>
      <w:r w:rsidR="00FC0601">
        <w:t>Model predictions for the set of scenarios described in Fig</w:t>
      </w:r>
      <w:r w:rsidR="00C9050A">
        <w:t>.</w:t>
      </w:r>
      <w:r w:rsidR="00FC0601">
        <w:t xml:space="preserve"> 2, for 6 cultivation strategies</w:t>
      </w:r>
      <w:r w:rsidR="008C0E95">
        <w:t xml:space="preserve"> (mix at 25, 20 and 10 cm, no cultivation, inverted plough and min</w:t>
      </w:r>
      <w:r w:rsidR="0043262B">
        <w:t>imum</w:t>
      </w:r>
      <w:r w:rsidR="008C0E95">
        <w:t xml:space="preserve"> till</w:t>
      </w:r>
      <w:r w:rsidR="0043262B">
        <w:t>age</w:t>
      </w:r>
      <w:r w:rsidR="008C0E95">
        <w:t>)</w:t>
      </w:r>
      <w:r w:rsidR="00FC0601">
        <w:t xml:space="preserve"> and 3 fertiliser placement options</w:t>
      </w:r>
      <w:r w:rsidR="008C0E95">
        <w:t xml:space="preserve"> (90 kg</w:t>
      </w:r>
      <w:r w:rsidR="00EC6174">
        <w:t xml:space="preserve"> P</w:t>
      </w:r>
      <w:r w:rsidR="00FD6254">
        <w:t xml:space="preserve"> </w:t>
      </w:r>
      <w:r w:rsidR="008C0E95">
        <w:t>ha</w:t>
      </w:r>
      <w:r w:rsidR="00FD6254" w:rsidRPr="008A048F">
        <w:rPr>
          <w:vertAlign w:val="superscript"/>
        </w:rPr>
        <w:t>-1</w:t>
      </w:r>
      <w:r w:rsidR="008C0E95">
        <w:t xml:space="preserve"> incorporated</w:t>
      </w:r>
      <w:r w:rsidR="00F80857">
        <w:t xml:space="preserve"> (broadcast)</w:t>
      </w:r>
      <w:r w:rsidR="008C0E95">
        <w:t xml:space="preserve"> or placed </w:t>
      </w:r>
      <w:r w:rsidR="00F80857">
        <w:t xml:space="preserve">(banded) </w:t>
      </w:r>
      <w:r w:rsidR="008C0E95">
        <w:t>and no fertiliser)</w:t>
      </w:r>
      <w:r w:rsidR="00FC0601">
        <w:t xml:space="preserve">, </w:t>
      </w:r>
      <w:r w:rsidR="00C405EF">
        <w:t>for a</w:t>
      </w:r>
      <w:r w:rsidR="0093645C">
        <w:t>) and b</w:t>
      </w:r>
      <w:r w:rsidR="00C405EF">
        <w:t>) an initial P concentration of 20 mg</w:t>
      </w:r>
      <w:r w:rsidR="005F14B2">
        <w:t xml:space="preserve"> P</w:t>
      </w:r>
      <w:r w:rsidR="00FD6254">
        <w:t xml:space="preserve"> </w:t>
      </w:r>
      <w:r w:rsidR="00C405EF">
        <w:t>l</w:t>
      </w:r>
      <w:r w:rsidR="00FD6254" w:rsidRPr="008A048F">
        <w:rPr>
          <w:vertAlign w:val="superscript"/>
        </w:rPr>
        <w:t>-1</w:t>
      </w:r>
      <w:r w:rsidR="00C405EF">
        <w:t xml:space="preserve"> ‘decay’ (P1-low)</w:t>
      </w:r>
      <w:r w:rsidR="00185AB8">
        <w:t xml:space="preserve"> </w:t>
      </w:r>
      <w:r w:rsidR="0093645C">
        <w:t xml:space="preserve">for a normal and wet climate respectively, </w:t>
      </w:r>
      <w:r w:rsidR="00FC0601">
        <w:t xml:space="preserve">and </w:t>
      </w:r>
      <w:r w:rsidR="0093645C">
        <w:t>c) and d</w:t>
      </w:r>
      <w:r w:rsidR="00C405EF">
        <w:t>) an initial P concentration of 60 mg</w:t>
      </w:r>
      <w:r w:rsidR="005F14B2">
        <w:t xml:space="preserve"> P</w:t>
      </w:r>
      <w:r w:rsidR="00FD6254">
        <w:t xml:space="preserve"> </w:t>
      </w:r>
      <w:r w:rsidR="00C405EF">
        <w:t>l</w:t>
      </w:r>
      <w:r w:rsidR="00FD6254" w:rsidRPr="008A048F">
        <w:rPr>
          <w:vertAlign w:val="superscript"/>
        </w:rPr>
        <w:t>-1</w:t>
      </w:r>
      <w:r w:rsidR="00C405EF">
        <w:t xml:space="preserve"> ‘decay’ (P3-high)</w:t>
      </w:r>
      <w:r w:rsidR="0093645C">
        <w:t xml:space="preserve"> for a normal and wet climate respectively</w:t>
      </w:r>
      <w:r w:rsidR="00C405EF">
        <w:t>.</w:t>
      </w:r>
      <w:r w:rsidR="00FC0601">
        <w:t xml:space="preserve"> </w:t>
      </w:r>
    </w:p>
    <w:p w14:paraId="5DF9929A" w14:textId="77777777" w:rsidR="00B9119B" w:rsidRDefault="00B9119B" w:rsidP="00185AB8"/>
    <w:p w14:paraId="4A7A1502" w14:textId="77777777" w:rsidR="00B9119B" w:rsidRDefault="00B9119B" w:rsidP="00185AB8"/>
    <w:p w14:paraId="4884B941" w14:textId="77777777" w:rsidR="00B9119B" w:rsidRDefault="00B9119B" w:rsidP="00185AB8"/>
    <w:p w14:paraId="26C3D00D" w14:textId="77777777" w:rsidR="00B9119B" w:rsidRDefault="00B9119B" w:rsidP="00185AB8"/>
    <w:p w14:paraId="4111499B" w14:textId="77777777" w:rsidR="00B9119B" w:rsidRDefault="00B9119B" w:rsidP="00185AB8"/>
    <w:p w14:paraId="4F4192B4" w14:textId="77777777" w:rsidR="00B9119B" w:rsidRDefault="00B9119B" w:rsidP="00185AB8"/>
    <w:p w14:paraId="21A5E39A" w14:textId="77777777" w:rsidR="00B9119B" w:rsidRDefault="00B9119B" w:rsidP="00185AB8"/>
    <w:p w14:paraId="7419471C" w14:textId="77777777" w:rsidR="00B9119B" w:rsidRDefault="00B9119B" w:rsidP="00185AB8"/>
    <w:p w14:paraId="6438F9FA" w14:textId="77777777" w:rsidR="0079565B" w:rsidRDefault="0079565B" w:rsidP="00185AB8">
      <w:pPr>
        <w:rPr>
          <w:b/>
          <w:bCs/>
        </w:rPr>
      </w:pPr>
      <w:r>
        <w:rPr>
          <w:b/>
          <w:bCs/>
        </w:rPr>
        <w:lastRenderedPageBreak/>
        <w:t>List of Tables</w:t>
      </w:r>
    </w:p>
    <w:p w14:paraId="6C9D8FE2" w14:textId="77777777" w:rsidR="0081035B" w:rsidRDefault="0081035B" w:rsidP="0081035B">
      <w:r>
        <w:rPr>
          <w:b/>
          <w:bCs/>
        </w:rPr>
        <w:t xml:space="preserve">Table 1: </w:t>
      </w:r>
      <w:r>
        <w:t>Wheat root growth rates at four different temperatures, 5, 10, 20 and 30</w:t>
      </w:r>
      <w:r w:rsidRPr="000D7B99">
        <w:rPr>
          <w:vertAlign w:val="superscript"/>
        </w:rPr>
        <w:t>o</w:t>
      </w:r>
      <w:r>
        <w:t xml:space="preserve">C measured by WINRHIZO after 24 hours. </w:t>
      </w:r>
    </w:p>
    <w:p w14:paraId="5783AA3E" w14:textId="77777777" w:rsidR="0081035B" w:rsidRDefault="0081035B" w:rsidP="00185AB8">
      <w:pPr>
        <w:rPr>
          <w:b/>
          <w:bCs/>
        </w:rPr>
      </w:pPr>
    </w:p>
    <w:tbl>
      <w:tblPr>
        <w:tblStyle w:val="TableGrid"/>
        <w:tblW w:w="7180" w:type="dxa"/>
        <w:jc w:val="center"/>
        <w:tblLook w:val="04A0" w:firstRow="1" w:lastRow="0" w:firstColumn="1" w:lastColumn="0" w:noHBand="0" w:noVBand="1"/>
      </w:tblPr>
      <w:tblGrid>
        <w:gridCol w:w="3925"/>
        <w:gridCol w:w="438"/>
        <w:gridCol w:w="939"/>
        <w:gridCol w:w="939"/>
        <w:gridCol w:w="939"/>
      </w:tblGrid>
      <w:tr w:rsidR="0079565B" w14:paraId="73EEAB64" w14:textId="77777777" w:rsidTr="00D14B16">
        <w:trPr>
          <w:jc w:val="center"/>
        </w:trPr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04951" w14:textId="77777777" w:rsidR="0079565B" w:rsidRDefault="0079565B" w:rsidP="00185AB8">
            <w:r>
              <w:t>Temperature (</w:t>
            </w:r>
            <w:proofErr w:type="spellStart"/>
            <w:r w:rsidRPr="0079565B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9A1BD" w14:textId="77777777" w:rsidR="0079565B" w:rsidRDefault="0079565B" w:rsidP="00185AB8">
            <w: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E8622" w14:textId="77777777" w:rsidR="0079565B" w:rsidRDefault="0079565B" w:rsidP="00185AB8">
            <w: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CA237" w14:textId="77777777" w:rsidR="0079565B" w:rsidRDefault="0079565B" w:rsidP="00185AB8">
            <w:r>
              <w:t>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7E5FA" w14:textId="77777777" w:rsidR="0079565B" w:rsidRDefault="0079565B" w:rsidP="00185AB8">
            <w:r>
              <w:t>30</w:t>
            </w:r>
          </w:p>
        </w:tc>
      </w:tr>
      <w:tr w:rsidR="0079565B" w14:paraId="7F97C314" w14:textId="77777777" w:rsidTr="00D14B16">
        <w:trPr>
          <w:jc w:val="center"/>
        </w:trPr>
        <w:tc>
          <w:tcPr>
            <w:tcW w:w="39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21A09" w14:textId="77777777" w:rsidR="0079565B" w:rsidRDefault="0079565B" w:rsidP="00185AB8">
            <w:r>
              <w:t>Average root growth rate (cm day</w:t>
            </w:r>
            <w:r w:rsidRPr="0079565B"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D84BD" w14:textId="77777777" w:rsidR="0079565B" w:rsidRDefault="0079565B" w:rsidP="00185AB8">
            <w: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A2CB6" w14:textId="77777777" w:rsidR="0079565B" w:rsidRDefault="0079565B" w:rsidP="00185AB8">
            <w:r>
              <w:t>0.2340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22B3D" w14:textId="57939FA1" w:rsidR="0079565B" w:rsidRDefault="0079565B" w:rsidP="009D6C03">
            <w:r>
              <w:t>0.</w:t>
            </w:r>
            <w:r w:rsidR="009D6C03">
              <w:t>8234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1BD4A" w14:textId="6CBE8BA2" w:rsidR="0079565B" w:rsidRDefault="009D6C03" w:rsidP="00185AB8">
            <w:r>
              <w:t>1.299</w:t>
            </w:r>
          </w:p>
        </w:tc>
      </w:tr>
      <w:tr w:rsidR="0079565B" w14:paraId="4EB61B20" w14:textId="77777777" w:rsidTr="00D14B16">
        <w:trPr>
          <w:jc w:val="center"/>
        </w:trPr>
        <w:tc>
          <w:tcPr>
            <w:tcW w:w="3925" w:type="dxa"/>
            <w:tcBorders>
              <w:top w:val="nil"/>
              <w:left w:val="nil"/>
              <w:right w:val="nil"/>
            </w:tcBorders>
          </w:tcPr>
          <w:p w14:paraId="7C23D890" w14:textId="77777777" w:rsidR="0079565B" w:rsidRDefault="0079565B" w:rsidP="0079565B">
            <w:r>
              <w:t>Standard deviation / number of samples</w:t>
            </w: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</w:tcPr>
          <w:p w14:paraId="063807B9" w14:textId="77777777" w:rsidR="0079565B" w:rsidRDefault="0079565B" w:rsidP="00185AB8"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</w:tcPr>
          <w:p w14:paraId="2E8CFDFA" w14:textId="77777777" w:rsidR="0079565B" w:rsidRDefault="0079565B" w:rsidP="00185AB8">
            <w:r>
              <w:t>0.0175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</w:tcPr>
          <w:p w14:paraId="71F83B61" w14:textId="2BE3B4C5" w:rsidR="0079565B" w:rsidRDefault="0079565B" w:rsidP="009D6C03">
            <w:r>
              <w:t>0.0</w:t>
            </w:r>
            <w:r w:rsidR="009D6C03">
              <w:t>150</w:t>
            </w: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</w:tcPr>
          <w:p w14:paraId="5B0AF717" w14:textId="6B296358" w:rsidR="0079565B" w:rsidRDefault="0079565B" w:rsidP="009D6C03">
            <w:r>
              <w:t>0.</w:t>
            </w:r>
            <w:r w:rsidR="009D6C03">
              <w:t>0129</w:t>
            </w:r>
          </w:p>
        </w:tc>
      </w:tr>
    </w:tbl>
    <w:p w14:paraId="3B3B7870" w14:textId="77777777" w:rsidR="0079565B" w:rsidRDefault="0079565B" w:rsidP="00185AB8">
      <w:pPr>
        <w:rPr>
          <w:b/>
          <w:bCs/>
        </w:rPr>
      </w:pPr>
    </w:p>
    <w:p w14:paraId="7388240C" w14:textId="76FDC7FD" w:rsidR="0079565B" w:rsidRDefault="0079565B" w:rsidP="00C27C54"/>
    <w:p w14:paraId="57022256" w14:textId="77777777" w:rsidR="0081035B" w:rsidRDefault="0081035B" w:rsidP="00C27C54"/>
    <w:p w14:paraId="599895B5" w14:textId="77777777" w:rsidR="0081035B" w:rsidRPr="000D7B99" w:rsidRDefault="0081035B" w:rsidP="0081035B">
      <w:r w:rsidRPr="006F4369">
        <w:rPr>
          <w:b/>
          <w:bCs/>
        </w:rPr>
        <w:t>Table 2:</w:t>
      </w:r>
      <w:r>
        <w:rPr>
          <w:b/>
          <w:bCs/>
        </w:rPr>
        <w:t xml:space="preserve"> </w:t>
      </w:r>
      <w:r>
        <w:t>Types of d</w:t>
      </w:r>
      <w:r w:rsidRPr="006F4369">
        <w:t>ata</w:t>
      </w:r>
      <w:r>
        <w:t xml:space="preserve"> used in the modelling and where it is sourced.* General strategies used on fields across the UK were provided by </w:t>
      </w:r>
      <w:proofErr w:type="spellStart"/>
      <w:r>
        <w:t>Argii</w:t>
      </w:r>
      <w:proofErr w:type="spellEnd"/>
      <w:r>
        <w:t xml:space="preserve">. </w:t>
      </w:r>
    </w:p>
    <w:tbl>
      <w:tblPr>
        <w:tblStyle w:val="TableGrid"/>
        <w:tblW w:w="9472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84"/>
        <w:gridCol w:w="2552"/>
        <w:gridCol w:w="2551"/>
      </w:tblGrid>
      <w:tr w:rsidR="00131DB0" w14:paraId="7AE67845" w14:textId="77777777" w:rsidTr="00892D08">
        <w:trPr>
          <w:trHeight w:val="205"/>
        </w:trPr>
        <w:tc>
          <w:tcPr>
            <w:tcW w:w="1809" w:type="dxa"/>
            <w:tcBorders>
              <w:left w:val="nil"/>
            </w:tcBorders>
          </w:tcPr>
          <w:p w14:paraId="3B3ACFF3" w14:textId="77777777" w:rsidR="00131DB0" w:rsidRDefault="00131DB0" w:rsidP="00754849">
            <w:pPr>
              <w:jc w:val="center"/>
            </w:pPr>
            <w:r>
              <w:t>Type of data</w:t>
            </w:r>
          </w:p>
        </w:tc>
        <w:tc>
          <w:tcPr>
            <w:tcW w:w="1276" w:type="dxa"/>
          </w:tcPr>
          <w:p w14:paraId="186BF71D" w14:textId="77777777" w:rsidR="00131DB0" w:rsidRDefault="00131DB0" w:rsidP="00754849">
            <w:pPr>
              <w:jc w:val="center"/>
            </w:pPr>
            <w:r>
              <w:t>Parameter</w:t>
            </w:r>
          </w:p>
        </w:tc>
        <w:tc>
          <w:tcPr>
            <w:tcW w:w="1284" w:type="dxa"/>
          </w:tcPr>
          <w:p w14:paraId="3542E378" w14:textId="621D484F" w:rsidR="00131DB0" w:rsidRDefault="00131DB0" w:rsidP="00754849">
            <w:pPr>
              <w:jc w:val="center"/>
            </w:pPr>
            <w:r>
              <w:t>Value</w:t>
            </w:r>
          </w:p>
        </w:tc>
        <w:tc>
          <w:tcPr>
            <w:tcW w:w="2552" w:type="dxa"/>
          </w:tcPr>
          <w:p w14:paraId="5A48752B" w14:textId="5061067E" w:rsidR="00131DB0" w:rsidRDefault="00131DB0" w:rsidP="00754849">
            <w:pPr>
              <w:jc w:val="center"/>
            </w:pPr>
            <w:r>
              <w:t>Units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</w:tcPr>
          <w:p w14:paraId="28C3CEEF" w14:textId="77777777" w:rsidR="00131DB0" w:rsidRDefault="00131DB0" w:rsidP="00754849">
            <w:pPr>
              <w:jc w:val="center"/>
            </w:pPr>
            <w:r>
              <w:t>Source</w:t>
            </w:r>
          </w:p>
        </w:tc>
      </w:tr>
      <w:tr w:rsidR="00892D08" w14:paraId="74B1C080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2AC88DE6" w14:textId="77777777" w:rsidR="00892D08" w:rsidRDefault="00892D08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AF8738A" w14:textId="77777777" w:rsidR="00892D08" w:rsidRDefault="00343665" w:rsidP="0075484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8755DCE" w14:textId="77777777" w:rsidR="00892D08" w:rsidRDefault="00892D08" w:rsidP="00754849">
            <w:pPr>
              <w:jc w:val="center"/>
            </w:pPr>
            <w:r>
              <w:t>10</w:t>
            </w:r>
            <w:r w:rsidRPr="002A0933">
              <w:rPr>
                <w:vertAlign w:val="superscript"/>
              </w:rPr>
              <w:t>-5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9C9E99" w14:textId="77777777" w:rsidR="00892D08" w:rsidRDefault="00892D08" w:rsidP="00754849">
            <w:pPr>
              <w:jc w:val="center"/>
            </w:pPr>
            <w:r>
              <w:t>cm</w:t>
            </w:r>
            <w:r w:rsidRPr="002A0933">
              <w:rPr>
                <w:vertAlign w:val="superscript"/>
              </w:rPr>
              <w:t>2</w:t>
            </w:r>
            <w:r>
              <w:t xml:space="preserve"> day</w:t>
            </w:r>
            <w:r w:rsidRPr="002A0933">
              <w:rPr>
                <w:vertAlign w:val="superscript"/>
              </w:rPr>
              <w:t>-1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787D2999" w14:textId="2D3E4DE6" w:rsidR="00892D08" w:rsidRDefault="00892D08" w:rsidP="00754849">
            <w:pPr>
              <w:jc w:val="center"/>
            </w:pPr>
            <w:r>
              <w:t xml:space="preserve">Roose </w:t>
            </w:r>
            <w:r w:rsidRPr="00DB1C12">
              <w:t>and Fowler</w:t>
            </w:r>
            <w:r>
              <w:t xml:space="preserve"> 2004b</w:t>
            </w:r>
          </w:p>
        </w:tc>
      </w:tr>
      <w:tr w:rsidR="00892D08" w14:paraId="3A23C255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6232DA52" w14:textId="77777777" w:rsidR="00892D08" w:rsidRDefault="00892D08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3EE6450" w14:textId="77777777" w:rsidR="00892D08" w:rsidRDefault="00892D08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d</m:t>
                </m:r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B8B39CF" w14:textId="0ADBEF81" w:rsidR="00892D08" w:rsidRDefault="008F506F" w:rsidP="00754849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735B7DB" w14:textId="77777777" w:rsidR="00892D08" w:rsidRDefault="00892D08" w:rsidP="00754849">
            <w:pPr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2DB1790" w14:textId="74D46760" w:rsidR="00892D08" w:rsidRDefault="00892D08" w:rsidP="00754849">
            <w:pPr>
              <w:jc w:val="center"/>
            </w:pPr>
            <w:r>
              <w:t xml:space="preserve">Roose </w:t>
            </w:r>
            <w:r w:rsidRPr="00DB1C12">
              <w:t>and Fowler</w:t>
            </w:r>
            <w:r>
              <w:t xml:space="preserve"> 2004b</w:t>
            </w:r>
          </w:p>
        </w:tc>
      </w:tr>
      <w:tr w:rsidR="00892D08" w14:paraId="41A40F00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08E31A9D" w14:textId="77777777" w:rsidR="00892D08" w:rsidRDefault="00892D08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B80A373" w14:textId="77777777" w:rsidR="00892D08" w:rsidRDefault="00343665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</w:rPr>
                      <m:t>l</m:t>
                    </m:r>
                  </m:e>
                  <m:sub>
                    <m:r>
                      <w:rPr>
                        <w:rFonts w:ascii="Cambria Math" w:eastAsia="SimSun" w:hAnsi="Cambria Math" w:cs="Arial"/>
                      </w:rPr>
                      <m:t>w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10B1EE9" w14:textId="77777777" w:rsidR="00892D08" w:rsidRDefault="00892D08" w:rsidP="00754849">
            <w:pPr>
              <w:jc w:val="center"/>
            </w:pPr>
            <w:r>
              <w:t>200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2ADA9F7" w14:textId="77777777" w:rsidR="00892D08" w:rsidRDefault="00892D08" w:rsidP="00754849">
            <w:pPr>
              <w:jc w:val="center"/>
            </w:pPr>
            <w:r>
              <w:t>cm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B5E099F" w14:textId="66CCDAB9" w:rsidR="00892D08" w:rsidRDefault="00892D08" w:rsidP="00754849">
            <w:pPr>
              <w:jc w:val="center"/>
            </w:pPr>
            <w:r>
              <w:t xml:space="preserve">Roose </w:t>
            </w:r>
            <w:r w:rsidRPr="00DB1C12">
              <w:t>and Fowler</w:t>
            </w:r>
            <w:r>
              <w:t xml:space="preserve"> 2004b</w:t>
            </w:r>
          </w:p>
        </w:tc>
      </w:tr>
      <w:tr w:rsidR="00892D08" w14:paraId="1C000DED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07113076" w14:textId="77777777" w:rsidR="00892D08" w:rsidRDefault="00892D08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97CE1F7" w14:textId="77777777" w:rsidR="00892D08" w:rsidRDefault="00343665" w:rsidP="00754849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6F5A0AE" w14:textId="409B7AC2" w:rsidR="00892D08" w:rsidRDefault="00892D08" w:rsidP="005717E2">
            <w:pPr>
              <w:jc w:val="center"/>
            </w:pPr>
            <w:r>
              <w:t>150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21EA36" w14:textId="77777777" w:rsidR="00892D08" w:rsidRDefault="00892D08" w:rsidP="00754849">
            <w:pPr>
              <w:jc w:val="center"/>
            </w:pPr>
            <w:r>
              <w:t>cm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6822D987" w14:textId="3650B0B5" w:rsidR="00892D08" w:rsidRDefault="00892D08" w:rsidP="00892D08">
            <w:pPr>
              <w:jc w:val="center"/>
            </w:pPr>
            <w:r>
              <w:t xml:space="preserve">Sylvester-Bradley </w:t>
            </w:r>
            <w:r w:rsidRPr="005717E2">
              <w:rPr>
                <w:i/>
                <w:iCs/>
              </w:rPr>
              <w:t>et al.</w:t>
            </w:r>
            <w:r>
              <w:t>, 1997</w:t>
            </w:r>
          </w:p>
        </w:tc>
      </w:tr>
      <w:tr w:rsidR="007B45BB" w14:paraId="75D1160F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4E3E5821" w14:textId="59223CC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8C7D489" w14:textId="11827E21" w:rsidR="007B45BB" w:rsidRDefault="00343665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353170D9" w14:textId="562D77AD" w:rsidR="007B45BB" w:rsidRDefault="007B45BB" w:rsidP="005717E2">
            <w:pPr>
              <w:jc w:val="center"/>
            </w:pPr>
            <w:r>
              <w:t>7.9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C30FF2" w14:textId="295510D3" w:rsidR="007B45BB" w:rsidRDefault="007B45BB" w:rsidP="00754849">
            <w:pPr>
              <w:jc w:val="center"/>
            </w:pPr>
            <w:r>
              <w:t>cm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0A478BF6" w14:textId="00EE2F7F" w:rsidR="007B45BB" w:rsidRDefault="007B45BB" w:rsidP="001E5044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 xml:space="preserve">, </w:t>
            </w:r>
            <w:r w:rsidR="001E5044">
              <w:t>2015</w:t>
            </w:r>
          </w:p>
        </w:tc>
      </w:tr>
      <w:tr w:rsidR="007B45BB" w14:paraId="37D0F978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4542F29F" w14:textId="56027A1D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629D4C" w14:textId="38139529" w:rsidR="007B45BB" w:rsidRDefault="007B45BB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63936CA" w14:textId="624E0B93" w:rsidR="007B45BB" w:rsidRDefault="007B45BB" w:rsidP="005717E2">
            <w:pPr>
              <w:jc w:val="center"/>
            </w:pPr>
            <w:r>
              <w:t>23.28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F7B67B" w14:textId="671F03C1" w:rsidR="007B45BB" w:rsidRDefault="007B45BB" w:rsidP="00754849">
            <w:pPr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09205106" w14:textId="4CA0D4E8" w:rsidR="007B45BB" w:rsidRDefault="007B45BB" w:rsidP="001E5044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 xml:space="preserve">, </w:t>
            </w:r>
            <w:r w:rsidR="001E5044">
              <w:t xml:space="preserve">2015 </w:t>
            </w:r>
          </w:p>
        </w:tc>
      </w:tr>
      <w:tr w:rsidR="007B45BB" w14:paraId="29F5070D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79400821" w14:textId="08FB1938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84D76C" w14:textId="24032F38" w:rsidR="007B45BB" w:rsidRDefault="00343665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bSupPr>
                  <m:e>
                    <m:r>
                      <w:rPr>
                        <w:rFonts w:ascii="Cambria Math" w:eastAsia="SimSun" w:hAnsi="Cambria Math" w:cs="Arial"/>
                      </w:rPr>
                      <m:t>p</m:t>
                    </m:r>
                  </m:e>
                  <m:sub>
                    <m:r>
                      <w:rPr>
                        <w:rFonts w:ascii="Cambria Math" w:eastAsia="SimSun" w:hAnsi="Cambria Math" w:cs="Arial"/>
                      </w:rPr>
                      <m:t>r</m:t>
                    </m:r>
                  </m:sub>
                  <m:sup>
                    <m:r>
                      <w:rPr>
                        <w:rFonts w:ascii="Cambria Math" w:eastAsia="SimSun" w:hAnsi="Cambria Math" w:cs="Arial"/>
                      </w:rPr>
                      <m:t>0</m:t>
                    </m:r>
                  </m:sup>
                </m:sSubSup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B490043" w14:textId="293741D3" w:rsidR="007B45BB" w:rsidRDefault="007B45BB" w:rsidP="005717E2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9BBC65" w14:textId="47E50442" w:rsidR="007B45BB" w:rsidRDefault="007B45BB" w:rsidP="00754849">
            <w:pPr>
              <w:jc w:val="center"/>
            </w:pPr>
            <w:r>
              <w:t>Pa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3972F0F" w14:textId="5114A3D8" w:rsidR="007B45BB" w:rsidRDefault="007B45BB" w:rsidP="00892D08">
            <w:pPr>
              <w:jc w:val="center"/>
            </w:pPr>
            <w:r>
              <w:t xml:space="preserve">Heppell </w:t>
            </w:r>
            <w:r w:rsidRPr="00892D08">
              <w:rPr>
                <w:i/>
                <w:iCs/>
              </w:rPr>
              <w:t>et al.,</w:t>
            </w:r>
            <w:r>
              <w:t xml:space="preserve"> 2014</w:t>
            </w:r>
          </w:p>
        </w:tc>
      </w:tr>
      <w:tr w:rsidR="007B45BB" w14:paraId="72BD71C2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57B184AE" w14:textId="2F957015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3BDAD5" w14:textId="12F992A0" w:rsidR="007B45BB" w:rsidRDefault="00343665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346EC21" w14:textId="0B7AB20F" w:rsidR="007B45BB" w:rsidRDefault="007B45BB" w:rsidP="005717E2">
            <w:pPr>
              <w:jc w:val="center"/>
            </w:pPr>
            <w:r>
              <w:t>10 to 900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2DD8427" w14:textId="7D0DAA2F" w:rsidR="007B45BB" w:rsidRDefault="007B45BB" w:rsidP="00754849">
            <w:pPr>
              <w:jc w:val="center"/>
            </w:pPr>
            <w:r>
              <w:t>cm</w:t>
            </w:r>
            <w:r w:rsidRPr="002A0933">
              <w:rPr>
                <w:vertAlign w:val="superscript"/>
              </w:rPr>
              <w:t>2</w:t>
            </w:r>
            <w:r>
              <w:t xml:space="preserve"> day</w:t>
            </w:r>
            <w:r w:rsidRPr="002A0933">
              <w:rPr>
                <w:vertAlign w:val="superscript"/>
              </w:rPr>
              <w:t>-1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3723C806" w14:textId="1FDE796D" w:rsidR="007B45BB" w:rsidRDefault="007B45BB" w:rsidP="00892D08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4CB77CFC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69381922" w14:textId="52A8D5CF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8292C35" w14:textId="321F5219" w:rsidR="007B45BB" w:rsidRDefault="00343665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E91B496" w14:textId="769D5222" w:rsidR="007B45BB" w:rsidRDefault="007B45BB" w:rsidP="005717E2">
            <w:pPr>
              <w:jc w:val="center"/>
            </w:pPr>
            <w:r>
              <w:t>0.05 to 0.5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6C9B556" w14:textId="0C64E661" w:rsidR="007B45BB" w:rsidRDefault="007B45BB" w:rsidP="00754849">
            <w:pPr>
              <w:jc w:val="center"/>
            </w:pPr>
            <w:r>
              <w:t>cm day</w:t>
            </w:r>
            <w:r w:rsidRPr="002A0933">
              <w:rPr>
                <w:vertAlign w:val="superscript"/>
              </w:rPr>
              <w:t>-1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433E6BB9" w14:textId="34E509EA" w:rsidR="007B45BB" w:rsidRDefault="007B45BB" w:rsidP="00892D08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47B9847E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2C09B0CF" w14:textId="331CB65B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AD0CEF8" w14:textId="5BD1D052" w:rsidR="007B45BB" w:rsidRDefault="007B45BB" w:rsidP="00754849">
            <w:pPr>
              <w:jc w:val="center"/>
              <w:rPr>
                <w:rFonts w:ascii="Calibri" w:eastAsia="SimSun" w:hAnsi="Calibri" w:cs="Arial"/>
              </w:rPr>
            </w:pPr>
            <w:r>
              <w:rPr>
                <w:rFonts w:ascii="Calibri" w:eastAsia="SimSun" w:hAnsi="Calibri" w:cs="Arial"/>
              </w:rPr>
              <w:t>m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7A0A470" w14:textId="598350AA" w:rsidR="007B45BB" w:rsidRDefault="007B45BB" w:rsidP="005717E2">
            <w:pPr>
              <w:jc w:val="center"/>
            </w:pPr>
            <w:r>
              <w:t>0.1 to 0.5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8D113D6" w14:textId="1DBA6F83" w:rsidR="007B45BB" w:rsidRDefault="007B45BB" w:rsidP="00754849">
            <w:pPr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47F2C698" w14:textId="51BA1C24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6176F9AC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55C0AD3C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BC2CA2F" w14:textId="77777777" w:rsidR="007B45BB" w:rsidRDefault="007B45BB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δ</m:t>
                </m:r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AD362C9" w14:textId="77777777" w:rsidR="007B45BB" w:rsidRDefault="007B45BB" w:rsidP="00754849">
            <w:pPr>
              <w:jc w:val="center"/>
            </w:pPr>
            <w:r>
              <w:t>2.69*10</w:t>
            </w:r>
            <w:r w:rsidRPr="0010428B">
              <w:rPr>
                <w:vertAlign w:val="superscript"/>
              </w:rPr>
              <w:t>-2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81A091" w14:textId="77777777" w:rsidR="007B45BB" w:rsidRDefault="007B45BB" w:rsidP="00754849">
            <w:pPr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9F9DBED" w14:textId="6BD66B84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656AC5F0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2C552EE0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AF416B9" w14:textId="77777777" w:rsidR="007B45BB" w:rsidRDefault="007B45BB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α</m:t>
                </m:r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1189EC2" w14:textId="77777777" w:rsidR="007B45BB" w:rsidRDefault="007B45BB" w:rsidP="00754849">
            <w:pPr>
              <w:jc w:val="center"/>
            </w:pPr>
            <w:r>
              <w:t>1.2*10</w:t>
            </w:r>
            <w:r w:rsidRPr="0010428B">
              <w:rPr>
                <w:vertAlign w:val="superscript"/>
              </w:rPr>
              <w:t>-6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88F535E" w14:textId="77777777" w:rsidR="007B45BB" w:rsidRDefault="007B45BB" w:rsidP="00754849">
            <w:pPr>
              <w:jc w:val="center"/>
            </w:pPr>
            <w:r>
              <w:t>m s</w:t>
            </w:r>
            <w:r w:rsidRPr="0010428B">
              <w:rPr>
                <w:vertAlign w:val="superscript"/>
              </w:rPr>
              <w:t>-1</w:t>
            </w:r>
            <w:r>
              <w:t xml:space="preserve"> of water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7D7DFD49" w14:textId="1BE78A03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4845B572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4C388218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E3C0DD" w14:textId="77777777" w:rsidR="007B45BB" w:rsidRDefault="007B45BB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β</m:t>
                </m:r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26AB892" w14:textId="77777777" w:rsidR="007B45BB" w:rsidRDefault="007B45BB" w:rsidP="00754849">
            <w:pPr>
              <w:jc w:val="center"/>
            </w:pPr>
            <w:r>
              <w:t>2.22*10</w:t>
            </w:r>
            <w:r w:rsidRPr="0010428B">
              <w:rPr>
                <w:vertAlign w:val="superscript"/>
              </w:rPr>
              <w:t>-6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37B486" w14:textId="77777777" w:rsidR="007B45BB" w:rsidRDefault="007B45BB" w:rsidP="00754849">
            <w:pPr>
              <w:jc w:val="center"/>
            </w:pPr>
            <w:r>
              <w:t>m s</w:t>
            </w:r>
            <w:r w:rsidRPr="0010428B">
              <w:rPr>
                <w:vertAlign w:val="superscript"/>
              </w:rPr>
              <w:t>-1</w:t>
            </w:r>
            <w:r>
              <w:t xml:space="preserve"> of water/</w:t>
            </w:r>
            <w:proofErr w:type="spellStart"/>
            <w:r>
              <w:t>degC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0B153959" w14:textId="1CA64D83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692D2A4D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354EA408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F7985B" w14:textId="77777777" w:rsidR="007B45BB" w:rsidRDefault="007B45BB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γ</m:t>
                </m:r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99C9F8B" w14:textId="77777777" w:rsidR="007B45BB" w:rsidRDefault="007B45BB" w:rsidP="00754849">
            <w:pPr>
              <w:jc w:val="center"/>
            </w:pPr>
            <w:r>
              <w:t>5.35*10</w:t>
            </w:r>
            <w:r w:rsidRPr="0010428B">
              <w:rPr>
                <w:vertAlign w:val="superscript"/>
              </w:rPr>
              <w:t>-4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8A17216" w14:textId="77777777" w:rsidR="007B45BB" w:rsidRDefault="007B45BB" w:rsidP="00754849">
            <w:pPr>
              <w:jc w:val="center"/>
            </w:pPr>
            <w:r>
              <w:t>m s</w:t>
            </w:r>
            <w:r w:rsidRPr="0010428B">
              <w:rPr>
                <w:vertAlign w:val="superscript"/>
              </w:rPr>
              <w:t>-1</w:t>
            </w:r>
            <w:r>
              <w:t xml:space="preserve"> of water/ m s</w:t>
            </w:r>
            <w:r w:rsidRPr="0010428B">
              <w:rPr>
                <w:vertAlign w:val="superscript"/>
              </w:rPr>
              <w:t>-1</w:t>
            </w:r>
            <w:r>
              <w:t xml:space="preserve"> of air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04A280A0" w14:textId="32F86BD0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67BD756F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04BCC450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8C3D999" w14:textId="77777777" w:rsidR="007B45BB" w:rsidRDefault="007B45BB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r>
                  <w:rPr>
                    <w:rFonts w:ascii="Cambria Math" w:eastAsia="SimSun" w:hAnsi="Cambria Math" w:cs="Arial"/>
                  </w:rPr>
                  <m:t>E</m:t>
                </m:r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C7FA6AF" w14:textId="77777777" w:rsidR="007B45BB" w:rsidRDefault="007B45BB" w:rsidP="00754849">
            <w:pPr>
              <w:jc w:val="center"/>
            </w:pPr>
            <w:r>
              <w:t>5*10</w:t>
            </w:r>
            <w:r w:rsidRPr="0010428B">
              <w:rPr>
                <w:vertAlign w:val="superscript"/>
              </w:rPr>
              <w:t>-4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2A7B2F" w14:textId="77777777" w:rsidR="007B45BB" w:rsidRDefault="007B45BB" w:rsidP="00754849">
            <w:pPr>
              <w:jc w:val="center"/>
            </w:pPr>
            <w:r>
              <w:t>m s</w:t>
            </w:r>
            <w:r w:rsidRPr="0010428B">
              <w:rPr>
                <w:vertAlign w:val="superscript"/>
              </w:rPr>
              <w:t>-1</w:t>
            </w:r>
            <w:r>
              <w:t xml:space="preserve"> of water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0C4C4C5" w14:textId="7F4CE080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79B6AF9E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6A4F022E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139D43" w14:textId="77777777" w:rsidR="007B45BB" w:rsidRDefault="00343665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</w:rPr>
                      <m:t>λ</m:t>
                    </m:r>
                  </m:e>
                  <m:sub>
                    <m:r>
                      <w:rPr>
                        <w:rFonts w:ascii="Cambria Math" w:eastAsia="SimSun" w:hAnsi="Cambria Math" w:cs="Arial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F850B87" w14:textId="77777777" w:rsidR="007B45BB" w:rsidRDefault="007B45BB" w:rsidP="00754849">
            <w:pPr>
              <w:jc w:val="center"/>
            </w:pPr>
            <w:r>
              <w:t>2.7*10</w:t>
            </w:r>
            <w:r w:rsidRPr="0010428B">
              <w:rPr>
                <w:vertAlign w:val="superscript"/>
              </w:rPr>
              <w:t>-3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E17FB02" w14:textId="77777777" w:rsidR="007B45BB" w:rsidRDefault="007B45BB" w:rsidP="00754849">
            <w:pPr>
              <w:jc w:val="center"/>
            </w:pPr>
            <w:r>
              <w:t xml:space="preserve">Pa/ </w:t>
            </w:r>
            <w:proofErr w:type="spellStart"/>
            <w:r>
              <w:t>degC</w:t>
            </w:r>
            <w:proofErr w:type="spellEnd"/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90541B6" w14:textId="434D9BD1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5E5A40F4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707C2BB1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A529B2" w14:textId="77777777" w:rsidR="007B45BB" w:rsidRDefault="00343665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</w:rPr>
                      <m:t>λ</m:t>
                    </m:r>
                  </m:e>
                  <m:sub>
                    <m:r>
                      <w:rPr>
                        <w:rFonts w:ascii="Cambria Math" w:eastAsia="SimSun" w:hAnsi="Cambria Math" w:cs="Arial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93D905E" w14:textId="77777777" w:rsidR="007B45BB" w:rsidRDefault="007B45BB" w:rsidP="00754849">
            <w:pPr>
              <w:jc w:val="center"/>
            </w:pPr>
            <w:r>
              <w:t>8.46*10</w:t>
            </w:r>
            <w:r w:rsidRPr="0010428B">
              <w:rPr>
                <w:vertAlign w:val="superscript"/>
              </w:rPr>
              <w:t>-4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9D845E7" w14:textId="77777777" w:rsidR="007B45BB" w:rsidRDefault="007B45BB" w:rsidP="00754849">
            <w:pPr>
              <w:jc w:val="center"/>
            </w:pPr>
            <w:r>
              <w:t>Pa/% humidity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78FEB45D" w14:textId="135F6A6F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2F29275F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477AC381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BAB1729" w14:textId="77777777" w:rsidR="007B45BB" w:rsidRDefault="00343665" w:rsidP="00754849">
            <w:pPr>
              <w:jc w:val="center"/>
              <w:rPr>
                <w:rFonts w:ascii="Calibri" w:eastAsia="SimSun" w:hAnsi="Calibri" w:cs="Arial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SimSun" w:hAnsi="Cambria Math" w:cs="Arial"/>
                        <w:i/>
                      </w:rPr>
                    </m:ctrlPr>
                  </m:sSubPr>
                  <m:e>
                    <m:r>
                      <w:rPr>
                        <w:rFonts w:ascii="Cambria Math" w:eastAsia="SimSun" w:hAnsi="Cambria Math" w:cs="Arial"/>
                      </w:rPr>
                      <m:t>λ</m:t>
                    </m:r>
                  </m:e>
                  <m:sub>
                    <m:r>
                      <w:rPr>
                        <w:rFonts w:ascii="Cambria Math" w:eastAsia="SimSun" w:hAnsi="Cambria Math" w:cs="Arial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DA45DED" w14:textId="77777777" w:rsidR="007B45BB" w:rsidRDefault="007B45BB" w:rsidP="00754849">
            <w:pPr>
              <w:jc w:val="center"/>
            </w:pPr>
            <w:r>
              <w:t>7.9*10</w:t>
            </w:r>
            <w:r w:rsidRPr="0010428B">
              <w:rPr>
                <w:vertAlign w:val="superscript"/>
              </w:rPr>
              <w:t>-2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5B44BBA" w14:textId="77777777" w:rsidR="007B45BB" w:rsidRDefault="007B45BB" w:rsidP="00754849">
            <w:pPr>
              <w:jc w:val="center"/>
            </w:pPr>
            <w:r>
              <w:t>Pa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0C9F783" w14:textId="4E82DF11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0809DDD8" w14:textId="77777777" w:rsidTr="00892D08">
        <w:tc>
          <w:tcPr>
            <w:tcW w:w="1809" w:type="dxa"/>
            <w:tcBorders>
              <w:top w:val="nil"/>
              <w:left w:val="nil"/>
            </w:tcBorders>
          </w:tcPr>
          <w:p w14:paraId="7199B2C5" w14:textId="248502F2" w:rsidR="007B45BB" w:rsidRDefault="007B45BB" w:rsidP="00754849">
            <w:pPr>
              <w:jc w:val="center"/>
            </w:pPr>
            <w:r>
              <w:t>Model input</w:t>
            </w:r>
          </w:p>
        </w:tc>
        <w:tc>
          <w:tcPr>
            <w:tcW w:w="1276" w:type="dxa"/>
            <w:tcBorders>
              <w:top w:val="nil"/>
            </w:tcBorders>
          </w:tcPr>
          <w:p w14:paraId="18D3F35D" w14:textId="1DCECCD1" w:rsidR="007B45BB" w:rsidRDefault="007B45BB" w:rsidP="0075484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ϕ</m:t>
                </m:r>
              </m:oMath>
            </m:oMathPara>
          </w:p>
        </w:tc>
        <w:tc>
          <w:tcPr>
            <w:tcW w:w="1284" w:type="dxa"/>
            <w:tcBorders>
              <w:top w:val="nil"/>
            </w:tcBorders>
          </w:tcPr>
          <w:p w14:paraId="162BF401" w14:textId="21942BAB" w:rsidR="007B45BB" w:rsidRDefault="007B45BB" w:rsidP="00754849">
            <w:pPr>
              <w:jc w:val="center"/>
            </w:pPr>
            <w:r>
              <w:t>0.3</w:t>
            </w:r>
          </w:p>
        </w:tc>
        <w:tc>
          <w:tcPr>
            <w:tcW w:w="2552" w:type="dxa"/>
            <w:tcBorders>
              <w:top w:val="nil"/>
            </w:tcBorders>
          </w:tcPr>
          <w:p w14:paraId="306C249B" w14:textId="4C5C0C5F" w:rsidR="007B45BB" w:rsidRDefault="007B45BB" w:rsidP="00754849">
            <w:pPr>
              <w:jc w:val="center"/>
            </w:pPr>
            <w:r>
              <w:t>-</w:t>
            </w:r>
          </w:p>
        </w:tc>
        <w:tc>
          <w:tcPr>
            <w:tcW w:w="2551" w:type="dxa"/>
            <w:tcBorders>
              <w:top w:val="nil"/>
              <w:right w:val="nil"/>
            </w:tcBorders>
          </w:tcPr>
          <w:p w14:paraId="3FC51D82" w14:textId="02537CC5" w:rsidR="007B45BB" w:rsidRDefault="007B45BB" w:rsidP="00754849">
            <w:pPr>
              <w:jc w:val="center"/>
            </w:pPr>
            <w:r>
              <w:t xml:space="preserve">Roose </w:t>
            </w:r>
            <w:r w:rsidRPr="00DB1C12">
              <w:t>and Fowler</w:t>
            </w:r>
            <w:r>
              <w:t xml:space="preserve"> 2004b</w:t>
            </w:r>
          </w:p>
        </w:tc>
      </w:tr>
      <w:tr w:rsidR="007B45BB" w14:paraId="58CBC643" w14:textId="77777777" w:rsidTr="00892D08">
        <w:tc>
          <w:tcPr>
            <w:tcW w:w="1809" w:type="dxa"/>
            <w:tcBorders>
              <w:left w:val="nil"/>
            </w:tcBorders>
          </w:tcPr>
          <w:p w14:paraId="1C6CD6C2" w14:textId="7874273D" w:rsidR="007B45BB" w:rsidRDefault="007B45BB" w:rsidP="00754849">
            <w:pPr>
              <w:jc w:val="center"/>
            </w:pPr>
            <w:r>
              <w:t>Type of data</w:t>
            </w:r>
          </w:p>
        </w:tc>
        <w:tc>
          <w:tcPr>
            <w:tcW w:w="5112" w:type="dxa"/>
            <w:gridSpan w:val="3"/>
          </w:tcPr>
          <w:p w14:paraId="14A17A04" w14:textId="4A3BF007" w:rsidR="007B45BB" w:rsidRDefault="007B45BB" w:rsidP="00754849">
            <w:pPr>
              <w:jc w:val="center"/>
            </w:pPr>
            <w:r>
              <w:t>Description</w:t>
            </w:r>
          </w:p>
        </w:tc>
        <w:tc>
          <w:tcPr>
            <w:tcW w:w="2551" w:type="dxa"/>
            <w:tcBorders>
              <w:right w:val="nil"/>
            </w:tcBorders>
          </w:tcPr>
          <w:p w14:paraId="11D2A334" w14:textId="1B12422D" w:rsidR="007B45BB" w:rsidRDefault="007B45BB" w:rsidP="00754849">
            <w:pPr>
              <w:jc w:val="center"/>
            </w:pPr>
            <w:r>
              <w:t>Source</w:t>
            </w:r>
          </w:p>
        </w:tc>
      </w:tr>
      <w:tr w:rsidR="007B45BB" w14:paraId="5656E769" w14:textId="77777777" w:rsidTr="00892D08">
        <w:tc>
          <w:tcPr>
            <w:tcW w:w="1809" w:type="dxa"/>
            <w:tcBorders>
              <w:left w:val="nil"/>
              <w:bottom w:val="nil"/>
            </w:tcBorders>
          </w:tcPr>
          <w:p w14:paraId="58D825A0" w14:textId="77777777" w:rsidR="007B45BB" w:rsidRDefault="007B45BB" w:rsidP="00754849">
            <w:pPr>
              <w:jc w:val="center"/>
            </w:pPr>
            <w:r>
              <w:t>Model parameter</w:t>
            </w:r>
          </w:p>
        </w:tc>
        <w:tc>
          <w:tcPr>
            <w:tcW w:w="5112" w:type="dxa"/>
            <w:gridSpan w:val="3"/>
            <w:tcBorders>
              <w:bottom w:val="nil"/>
            </w:tcBorders>
          </w:tcPr>
          <w:p w14:paraId="77285B37" w14:textId="77777777" w:rsidR="007B45BB" w:rsidRDefault="007B45BB" w:rsidP="00754849">
            <w:pPr>
              <w:jc w:val="center"/>
            </w:pPr>
            <w:r>
              <w:t>Temperature dependant root growth as in Table 1</w:t>
            </w:r>
          </w:p>
        </w:tc>
        <w:tc>
          <w:tcPr>
            <w:tcW w:w="2551" w:type="dxa"/>
            <w:tcBorders>
              <w:bottom w:val="nil"/>
              <w:right w:val="nil"/>
            </w:tcBorders>
          </w:tcPr>
          <w:p w14:paraId="624042FE" w14:textId="77777777" w:rsidR="007B45BB" w:rsidRDefault="007B45BB" w:rsidP="00754849">
            <w:pPr>
              <w:jc w:val="center"/>
            </w:pPr>
            <w:r>
              <w:t>Bangor pot experiment</w:t>
            </w:r>
          </w:p>
        </w:tc>
      </w:tr>
      <w:tr w:rsidR="007B45BB" w14:paraId="00D1399D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5EF87884" w14:textId="77777777" w:rsidR="007B45BB" w:rsidRDefault="007B45BB" w:rsidP="00754849">
            <w:pPr>
              <w:jc w:val="center"/>
            </w:pPr>
            <w:r>
              <w:t>Model input</w:t>
            </w:r>
          </w:p>
        </w:tc>
        <w:tc>
          <w:tcPr>
            <w:tcW w:w="5112" w:type="dxa"/>
            <w:gridSpan w:val="3"/>
            <w:tcBorders>
              <w:top w:val="nil"/>
              <w:bottom w:val="nil"/>
            </w:tcBorders>
          </w:tcPr>
          <w:p w14:paraId="7D3443D4" w14:textId="77777777" w:rsidR="007B45BB" w:rsidRDefault="007B45BB" w:rsidP="00754849">
            <w:pPr>
              <w:jc w:val="center"/>
            </w:pPr>
            <w:r>
              <w:t>Fertiliser strategies, Fig.2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91B2116" w14:textId="47175DB9" w:rsidR="007B45BB" w:rsidRPr="002E7319" w:rsidRDefault="007B45BB" w:rsidP="00754849">
            <w:pPr>
              <w:jc w:val="center"/>
            </w:pPr>
            <w:proofErr w:type="spellStart"/>
            <w:r w:rsidRPr="002E7319">
              <w:t>Agri</w:t>
            </w:r>
            <w:r>
              <w:t>i</w:t>
            </w:r>
            <w:proofErr w:type="spellEnd"/>
            <w:r>
              <w:t>*</w:t>
            </w:r>
          </w:p>
        </w:tc>
      </w:tr>
      <w:tr w:rsidR="007B45BB" w14:paraId="0DF2BDCD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759BEFBC" w14:textId="77777777" w:rsidR="007B45BB" w:rsidRDefault="007B45BB" w:rsidP="00754849">
            <w:pPr>
              <w:jc w:val="center"/>
            </w:pPr>
            <w:r>
              <w:t>Model input</w:t>
            </w:r>
          </w:p>
        </w:tc>
        <w:tc>
          <w:tcPr>
            <w:tcW w:w="5112" w:type="dxa"/>
            <w:gridSpan w:val="3"/>
            <w:tcBorders>
              <w:top w:val="nil"/>
              <w:bottom w:val="nil"/>
            </w:tcBorders>
          </w:tcPr>
          <w:p w14:paraId="7A48E5DF" w14:textId="77777777" w:rsidR="007B45BB" w:rsidRDefault="007B45BB" w:rsidP="00754849">
            <w:pPr>
              <w:jc w:val="center"/>
            </w:pPr>
            <w:r>
              <w:t>Cultivation methods, Fig. 2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59A79B04" w14:textId="6673693B" w:rsidR="007B45BB" w:rsidRPr="002E7319" w:rsidRDefault="007B45BB" w:rsidP="00754849">
            <w:pPr>
              <w:jc w:val="center"/>
            </w:pPr>
            <w:proofErr w:type="spellStart"/>
            <w:r w:rsidRPr="002E7319">
              <w:t>Agri</w:t>
            </w:r>
            <w:r>
              <w:t>i</w:t>
            </w:r>
            <w:proofErr w:type="spellEnd"/>
            <w:r>
              <w:t>*</w:t>
            </w:r>
          </w:p>
        </w:tc>
      </w:tr>
      <w:tr w:rsidR="007B45BB" w14:paraId="18DEA0CB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346810AE" w14:textId="77777777" w:rsidR="007B45BB" w:rsidRDefault="007B45BB" w:rsidP="00754849">
            <w:pPr>
              <w:jc w:val="center"/>
            </w:pPr>
            <w:r>
              <w:t>Model input</w:t>
            </w:r>
          </w:p>
        </w:tc>
        <w:tc>
          <w:tcPr>
            <w:tcW w:w="5112" w:type="dxa"/>
            <w:gridSpan w:val="3"/>
            <w:tcBorders>
              <w:top w:val="nil"/>
              <w:bottom w:val="nil"/>
            </w:tcBorders>
          </w:tcPr>
          <w:p w14:paraId="1754A753" w14:textId="77777777" w:rsidR="007B45BB" w:rsidRDefault="007B45BB" w:rsidP="00754849">
            <w:pPr>
              <w:jc w:val="center"/>
            </w:pPr>
            <w:r>
              <w:t>Climate values for rainfall, wind speed, temperature and humidity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25A3D2E7" w14:textId="0DB4789A" w:rsidR="007B45BB" w:rsidRDefault="007B45BB" w:rsidP="00754849">
            <w:pPr>
              <w:jc w:val="center"/>
            </w:pPr>
            <w:r>
              <w:t xml:space="preserve">Heppell </w:t>
            </w:r>
            <w:r w:rsidRPr="005717E2">
              <w:rPr>
                <w:i/>
                <w:iCs/>
              </w:rPr>
              <w:t>et al.</w:t>
            </w:r>
            <w:r>
              <w:t>, 2014</w:t>
            </w:r>
          </w:p>
        </w:tc>
      </w:tr>
      <w:tr w:rsidR="007B45BB" w14:paraId="72F361B8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2FCB3A0E" w14:textId="77777777" w:rsidR="007B45BB" w:rsidRDefault="007B45BB" w:rsidP="00754849">
            <w:pPr>
              <w:jc w:val="center"/>
            </w:pPr>
            <w:r>
              <w:t>Model input</w:t>
            </w:r>
          </w:p>
        </w:tc>
        <w:tc>
          <w:tcPr>
            <w:tcW w:w="5112" w:type="dxa"/>
            <w:gridSpan w:val="3"/>
            <w:tcBorders>
              <w:top w:val="nil"/>
              <w:bottom w:val="nil"/>
            </w:tcBorders>
          </w:tcPr>
          <w:p w14:paraId="227EE84E" w14:textId="77777777" w:rsidR="007B45BB" w:rsidRDefault="007B45BB" w:rsidP="00754849">
            <w:pPr>
              <w:jc w:val="center"/>
            </w:pPr>
            <w:r>
              <w:t>P concentrations at different depths, Fig. 1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79A2BB2B" w14:textId="77777777" w:rsidR="007B45BB" w:rsidRDefault="007B45BB" w:rsidP="00754849">
            <w:pPr>
              <w:jc w:val="center"/>
            </w:pPr>
            <w:r>
              <w:t>Bangor field experiment</w:t>
            </w:r>
          </w:p>
        </w:tc>
      </w:tr>
      <w:tr w:rsidR="007B45BB" w14:paraId="369933DE" w14:textId="77777777" w:rsidTr="00892D08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14:paraId="684AF842" w14:textId="77777777" w:rsidR="007B45BB" w:rsidRDefault="007B45BB" w:rsidP="00754849">
            <w:pPr>
              <w:jc w:val="center"/>
            </w:pPr>
            <w:r>
              <w:t>Model output comparison</w:t>
            </w:r>
          </w:p>
        </w:tc>
        <w:tc>
          <w:tcPr>
            <w:tcW w:w="5112" w:type="dxa"/>
            <w:gridSpan w:val="3"/>
            <w:tcBorders>
              <w:top w:val="nil"/>
              <w:bottom w:val="nil"/>
            </w:tcBorders>
          </w:tcPr>
          <w:p w14:paraId="1F22FB95" w14:textId="5F837539" w:rsidR="007B45BB" w:rsidRDefault="007B45BB" w:rsidP="00FD6254">
            <w:pPr>
              <w:jc w:val="center"/>
            </w:pPr>
            <w:r>
              <w:t>P uptake(kg P</w:t>
            </w:r>
            <w:r w:rsidR="00FD6254">
              <w:t xml:space="preserve"> </w:t>
            </w:r>
            <w:r>
              <w:t>ha</w:t>
            </w:r>
            <w:r w:rsidR="00FD6254" w:rsidRPr="008A048F">
              <w:rPr>
                <w:vertAlign w:val="superscript"/>
              </w:rPr>
              <w:t>-1</w:t>
            </w:r>
            <w:r>
              <w:t>) at GS39 and GS92 for Barley, Fig. 3</w:t>
            </w: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14:paraId="1C1A436B" w14:textId="77777777" w:rsidR="007B45BB" w:rsidRDefault="007B45BB" w:rsidP="00754849">
            <w:pPr>
              <w:jc w:val="center"/>
            </w:pPr>
            <w:r>
              <w:t>ADAS field experiment</w:t>
            </w:r>
          </w:p>
        </w:tc>
      </w:tr>
      <w:tr w:rsidR="007B45BB" w14:paraId="76630780" w14:textId="77777777" w:rsidTr="00892D08">
        <w:tc>
          <w:tcPr>
            <w:tcW w:w="1809" w:type="dxa"/>
            <w:tcBorders>
              <w:top w:val="nil"/>
              <w:left w:val="nil"/>
            </w:tcBorders>
          </w:tcPr>
          <w:p w14:paraId="2E6796E1" w14:textId="77777777" w:rsidR="007B45BB" w:rsidRDefault="007B45BB" w:rsidP="00754849">
            <w:pPr>
              <w:jc w:val="center"/>
            </w:pPr>
            <w:r>
              <w:t>Model output comparison</w:t>
            </w:r>
          </w:p>
        </w:tc>
        <w:tc>
          <w:tcPr>
            <w:tcW w:w="5112" w:type="dxa"/>
            <w:gridSpan w:val="3"/>
            <w:tcBorders>
              <w:top w:val="nil"/>
            </w:tcBorders>
          </w:tcPr>
          <w:p w14:paraId="5713F74D" w14:textId="5134FE46" w:rsidR="007B45BB" w:rsidRDefault="007B45BB" w:rsidP="00FD6254">
            <w:pPr>
              <w:jc w:val="center"/>
            </w:pPr>
            <w:r>
              <w:t>P uptake(kg P</w:t>
            </w:r>
            <w:r w:rsidR="00FD6254">
              <w:t xml:space="preserve"> </w:t>
            </w:r>
            <w:r>
              <w:t>ha</w:t>
            </w:r>
            <w:r w:rsidR="00FD6254" w:rsidRPr="008A048F">
              <w:rPr>
                <w:vertAlign w:val="superscript"/>
              </w:rPr>
              <w:t>-1</w:t>
            </w:r>
            <w:r>
              <w:t>) at GS31, GS45 and GS91 for Barley, Fig. 4</w:t>
            </w:r>
          </w:p>
        </w:tc>
        <w:tc>
          <w:tcPr>
            <w:tcW w:w="2551" w:type="dxa"/>
            <w:tcBorders>
              <w:top w:val="nil"/>
              <w:right w:val="nil"/>
            </w:tcBorders>
          </w:tcPr>
          <w:p w14:paraId="34031C57" w14:textId="77777777" w:rsidR="007B45BB" w:rsidRDefault="007B45BB" w:rsidP="00754849">
            <w:pPr>
              <w:jc w:val="center"/>
            </w:pPr>
            <w:r>
              <w:t>SRUC field experiment</w:t>
            </w:r>
          </w:p>
        </w:tc>
      </w:tr>
    </w:tbl>
    <w:p w14:paraId="45BE22FC" w14:textId="77777777" w:rsidR="00843E6E" w:rsidRDefault="00843E6E" w:rsidP="002E7319">
      <w:pPr>
        <w:rPr>
          <w:b/>
          <w:bCs/>
        </w:rPr>
      </w:pPr>
    </w:p>
    <w:p w14:paraId="3C32F660" w14:textId="77777777" w:rsidR="00AF1C33" w:rsidRDefault="00DE244F" w:rsidP="00DE244F">
      <w:pPr>
        <w:rPr>
          <w:b/>
          <w:bCs/>
        </w:rPr>
      </w:pPr>
      <w:r w:rsidRPr="00DE244F">
        <w:rPr>
          <w:b/>
          <w:bCs/>
          <w:noProof/>
          <w:lang w:val="en-US" w:eastAsia="en-US"/>
        </w:rPr>
        <w:lastRenderedPageBreak/>
        <w:drawing>
          <wp:inline distT="0" distB="0" distL="0" distR="0" wp14:anchorId="6932938F" wp14:editId="760FC029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01437" w14:textId="77777777" w:rsidR="00AF1C33" w:rsidRDefault="00AF1C33" w:rsidP="00AF1C33">
      <w:pPr>
        <w:rPr>
          <w:b/>
          <w:bCs/>
        </w:rPr>
      </w:pPr>
      <w:r>
        <w:rPr>
          <w:b/>
          <w:bCs/>
        </w:rPr>
        <w:t>Figure 2:</w:t>
      </w:r>
      <w:r w:rsidR="00DE244F" w:rsidRPr="00DE244F">
        <w:rPr>
          <w:b/>
          <w:bCs/>
          <w:noProof/>
          <w:lang w:val="en-US" w:eastAsia="en-US"/>
        </w:rPr>
        <mc:AlternateContent>
          <mc:Choice Requires="wpg">
            <w:drawing>
              <wp:inline distT="0" distB="0" distL="0" distR="0" wp14:anchorId="44BC25D2" wp14:editId="5CC82173">
                <wp:extent cx="6118426" cy="2703326"/>
                <wp:effectExtent l="0" t="0" r="0" b="0"/>
                <wp:docPr id="9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426" cy="2703326"/>
                          <a:chOff x="-1" y="0"/>
                          <a:chExt cx="7049585" cy="2368936"/>
                        </a:xfrm>
                      </wpg:grpSpPr>
                      <wps:wsp>
                        <wps:cNvPr id="10" name="Rounded Rectangle 10"/>
                        <wps:cNvSpPr/>
                        <wps:spPr>
                          <a:xfrm>
                            <a:off x="451278" y="814471"/>
                            <a:ext cx="1368152" cy="79208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B181E4" w14:textId="77777777" w:rsidR="00DE244F" w:rsidRP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DE244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Cultivation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3022126" y="809527"/>
                            <a:ext cx="1368152" cy="79208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AB9123" w14:textId="77777777" w:rsidR="00DE244F" w:rsidRP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DE244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Fertiliser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Rounded Rectangle 12"/>
                        <wps:cNvSpPr/>
                        <wps:spPr>
                          <a:xfrm>
                            <a:off x="5559614" y="809527"/>
                            <a:ext cx="1368152" cy="79208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9383EC" w14:textId="77777777" w:rsidR="00DE244F" w:rsidRP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DE244F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Climate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TextBox 2"/>
                        <wps:cNvSpPr txBox="1"/>
                        <wps:spPr>
                          <a:xfrm>
                            <a:off x="5496558" y="2078099"/>
                            <a:ext cx="1553026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46150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A very wet climate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7"/>
                        <wps:cNvSpPr txBox="1"/>
                        <wps:spPr>
                          <a:xfrm>
                            <a:off x="5378017" y="92327"/>
                            <a:ext cx="1671567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CCFE45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Site specific climate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Box 8"/>
                        <wps:cNvSpPr txBox="1"/>
                        <wps:spPr>
                          <a:xfrm>
                            <a:off x="3850218" y="95443"/>
                            <a:ext cx="108012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0DB84B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Banded 5cm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" name="TextBox 9"/>
                        <wps:cNvSpPr txBox="1"/>
                        <wps:spPr>
                          <a:xfrm>
                            <a:off x="2541203" y="95443"/>
                            <a:ext cx="961846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D7C527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Broadcasted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" name="TextBox 10"/>
                        <wps:cNvSpPr txBox="1"/>
                        <wps:spPr>
                          <a:xfrm>
                            <a:off x="215" y="0"/>
                            <a:ext cx="1220529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96D8F3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Plough at 25, 20 or 10 cm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TextBox 11"/>
                        <wps:cNvSpPr txBox="1"/>
                        <wps:spPr>
                          <a:xfrm>
                            <a:off x="1150730" y="92319"/>
                            <a:ext cx="1390353" cy="2769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20740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Inverted plough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9" name="TextBox 12"/>
                        <wps:cNvSpPr txBox="1"/>
                        <wps:spPr>
                          <a:xfrm>
                            <a:off x="-1" y="2083968"/>
                            <a:ext cx="1437673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3F547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Min till gradient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" name="TextBox 13"/>
                        <wps:cNvSpPr txBox="1"/>
                        <wps:spPr>
                          <a:xfrm>
                            <a:off x="1276121" y="2083967"/>
                            <a:ext cx="1264877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AE5A7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No cultivation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TextBox 14"/>
                        <wps:cNvSpPr txBox="1"/>
                        <wps:spPr>
                          <a:xfrm>
                            <a:off x="2956278" y="2091937"/>
                            <a:ext cx="1521360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A3A166" w14:textId="77777777" w:rsidR="00DE244F" w:rsidRDefault="00DE244F" w:rsidP="00DE244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No fertiliser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Connector 22"/>
                        <wps:cNvCnPr>
                          <a:stCxn id="12" idx="2"/>
                          <a:endCxn id="13" idx="0"/>
                        </wps:cNvCnPr>
                        <wps:spPr>
                          <a:xfrm>
                            <a:off x="6243691" y="1601615"/>
                            <a:ext cx="29381" cy="4764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>
                          <a:stCxn id="12" idx="0"/>
                          <a:endCxn id="14" idx="2"/>
                        </wps:cNvCnPr>
                        <wps:spPr>
                          <a:xfrm flipH="1" flipV="1">
                            <a:off x="6213801" y="369326"/>
                            <a:ext cx="29890" cy="4402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>
                          <a:stCxn id="11" idx="0"/>
                          <a:endCxn id="15" idx="2"/>
                        </wps:cNvCnPr>
                        <wps:spPr>
                          <a:xfrm flipV="1">
                            <a:off x="3706202" y="372442"/>
                            <a:ext cx="684076" cy="4370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>
                          <a:stCxn id="11" idx="0"/>
                          <a:endCxn id="16" idx="2"/>
                        </wps:cNvCnPr>
                        <wps:spPr>
                          <a:xfrm flipH="1" flipV="1">
                            <a:off x="3022126" y="372442"/>
                            <a:ext cx="684076" cy="4370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>
                          <a:stCxn id="11" idx="2"/>
                          <a:endCxn id="21" idx="0"/>
                        </wps:cNvCnPr>
                        <wps:spPr>
                          <a:xfrm>
                            <a:off x="3706202" y="1601615"/>
                            <a:ext cx="10756" cy="49032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>
                          <a:stCxn id="10" idx="0"/>
                          <a:endCxn id="18" idx="2"/>
                        </wps:cNvCnPr>
                        <wps:spPr>
                          <a:xfrm flipV="1">
                            <a:off x="1135355" y="369309"/>
                            <a:ext cx="710529" cy="4451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>
                          <a:stCxn id="10" idx="0"/>
                          <a:endCxn id="17" idx="2"/>
                        </wps:cNvCnPr>
                        <wps:spPr>
                          <a:xfrm flipH="1" flipV="1">
                            <a:off x="610481" y="461642"/>
                            <a:ext cx="524874" cy="35282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>
                          <a:stCxn id="10" idx="2"/>
                          <a:endCxn id="19" idx="0"/>
                        </wps:cNvCnPr>
                        <wps:spPr>
                          <a:xfrm flipH="1">
                            <a:off x="718836" y="1606559"/>
                            <a:ext cx="416519" cy="477409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>
                          <a:stCxn id="10" idx="2"/>
                          <a:endCxn id="20" idx="0"/>
                        </wps:cNvCnPr>
                        <wps:spPr>
                          <a:xfrm>
                            <a:off x="1135355" y="1606559"/>
                            <a:ext cx="773205" cy="47740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ight Arrow 31"/>
                        <wps:cNvSpPr/>
                        <wps:spPr>
                          <a:xfrm>
                            <a:off x="1819430" y="1007549"/>
                            <a:ext cx="1202696" cy="396044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2AF36E" w14:textId="77777777" w:rsidR="00DE244F" w:rsidRDefault="00DE244F" w:rsidP="00DE244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" name="Right Arrow 32"/>
                        <wps:cNvSpPr/>
                        <wps:spPr>
                          <a:xfrm>
                            <a:off x="4390278" y="1007549"/>
                            <a:ext cx="1169336" cy="396044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5B7226" w14:textId="77777777" w:rsidR="00DE244F" w:rsidRDefault="00DE244F" w:rsidP="00DE244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s1026" style="width:481.75pt;height:212.85pt;mso-position-horizontal-relative:char;mso-position-vertical-relative:line" coordorigin="" coordsize="70495,2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">
                <v:roundrect id="Rounded Rectangle 10" o:spid="_x0000_s1027" style="position:absolute;left:4512;top:8144;width:13682;height:79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O1cMA&#10;AADbAAAADwAAAGRycy9kb3ducmV2LnhtbESPQWsCQQyF74X+hyGF3uqshYpsHUWEQqVCcdtDj2En&#10;7qzuZJadVLf/vjkI3hLey3tfFqsxduZMQ24TO5hOCjDEdfItNw6+v96e5mCyIHvsEpODP8qwWt7f&#10;LbD06cJ7OlfSGA3hXKKDINKX1uY6UMQ8ST2xaoc0RBRdh8b6AS8aHjv7XBQzG7FlbQjY0yZQfap+&#10;owN/xN1H9fK5322L7YZtkFP9I849PozrVzBCo9zM1+t3r/hKr7/oAHb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pO1cMAAADbAAAADwAAAAAAAAAAAAAAAACYAgAAZHJzL2Rv&#10;d25yZXYueG1sUEsFBgAAAAAEAAQA9QAAAIgDAAAAAA==&#10;" filled="f" strokecolor="black [3213]" strokeweight="2pt">
                  <v:textbox>
                    <w:txbxContent>
                      <w:p w14:paraId="1CB181E4" w14:textId="77777777" w:rsidR="00DE244F" w:rsidRP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E244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Cultivation</w:t>
                        </w:r>
                      </w:p>
                    </w:txbxContent>
                  </v:textbox>
                </v:roundrect>
                <v:roundrect id="Rounded Rectangle 11" o:spid="_x0000_s1028" style="position:absolute;left:30221;top:8095;width:13681;height:79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TsAA&#10;AADbAAAADwAAAGRycy9kb3ducmV2LnhtbERPTWvCQBC9F/wPyxR6qxsLFUldpQhCpYIYPfQ4ZMds&#10;NDsbslON/94VBG/zeJ8znfe+UWfqYh3YwGiYgSIug625MrDfLd8noKIgW2wCk4ErRZjPBi9TzG24&#10;8JbOhVQqhXDM0YATaXOtY+nIYxyGljhxh9B5lAS7StsOLyncN/ojy8baY82pwWFLC0flqfj3BuwR&#10;17/F52a7XmWrBWsnp/JPjHl77b+/QAn18hQ/3D82zR/B/Zd0gJ7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TsAAAADbAAAADwAAAAAAAAAAAAAAAACYAgAAZHJzL2Rvd25y&#10;ZXYueG1sUEsFBgAAAAAEAAQA9QAAAIUDAAAAAA==&#10;" filled="f" strokecolor="black [3213]" strokeweight="2pt">
                  <v:textbox>
                    <w:txbxContent>
                      <w:p w14:paraId="42AB9123" w14:textId="77777777" w:rsidR="00DE244F" w:rsidRP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E244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Fertiliser</w:t>
                        </w:r>
                      </w:p>
                    </w:txbxContent>
                  </v:textbox>
                </v:roundrect>
                <v:roundrect id="Rounded Rectangle 12" o:spid="_x0000_s1029" style="position:absolute;left:55596;top:8095;width:13681;height:792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1OcAA&#10;AADbAAAADwAAAGRycy9kb3ducmV2LnhtbERPTWvCQBC9C/6HZYTedFOhIqmrFEFQKojRQ49DdsxG&#10;s7MhO9X033cLBW/zeJ+zWPW+UXfqYh3YwOskA0VcBltzZeB82oznoKIgW2wCk4EfirBaDgcLzG14&#10;8JHuhVQqhXDM0YATaXOtY+nIY5yEljhxl9B5lAS7StsOHyncN3qaZTPtsebU4LCltaPyVnx7A/aK&#10;+8/i7XDc77LdmrWTW/klxryM+o93UEK9PMX/7q1N86fw90s6QC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R1OcAAAADbAAAADwAAAAAAAAAAAAAAAACYAgAAZHJzL2Rvd25y&#10;ZXYueG1sUEsFBgAAAAAEAAQA9QAAAIUDAAAAAA==&#10;" filled="f" strokecolor="black [3213]" strokeweight="2pt">
                  <v:textbox>
                    <w:txbxContent>
                      <w:p w14:paraId="529383EC" w14:textId="77777777" w:rsidR="00DE244F" w:rsidRP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E244F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Climate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30" type="#_x0000_t202" style="position:absolute;left:54965;top:20780;width:15530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14:paraId="1CC46150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A very wet climate</w:t>
                        </w:r>
                      </w:p>
                    </w:txbxContent>
                  </v:textbox>
                </v:shape>
                <v:shape id="TextBox 7" o:spid="_x0000_s1031" type="#_x0000_t202" style="position:absolute;left:53780;top:923;width:16715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<v:textbox>
                    <w:txbxContent>
                      <w:p w14:paraId="0ECCFE45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Site specific climate</w:t>
                        </w:r>
                      </w:p>
                    </w:txbxContent>
                  </v:textbox>
                </v:shape>
                <v:shape id="TextBox 8" o:spid="_x0000_s1032" type="#_x0000_t202" style="position:absolute;left:38502;top:954;width:10801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14:paraId="590DB84B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Banded 5cm</w:t>
                        </w:r>
                      </w:p>
                    </w:txbxContent>
                  </v:textbox>
                </v:shape>
                <v:shape id="TextBox 9" o:spid="_x0000_s1033" type="#_x0000_t202" style="position:absolute;left:25412;top:954;width:9618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14:paraId="5BD7C527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Broadcasted</w:t>
                        </w:r>
                      </w:p>
                    </w:txbxContent>
                  </v:textbox>
                </v:shape>
                <v:shape id="TextBox 10" o:spid="_x0000_s1034" type="#_x0000_t202" style="position:absolute;left:2;width:12205;height:4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14:paraId="1D96D8F3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Plough at 25, 20 or 10 cm</w:t>
                        </w:r>
                      </w:p>
                    </w:txbxContent>
                  </v:textbox>
                </v:shape>
                <v:shape id="TextBox 11" o:spid="_x0000_s1035" type="#_x0000_t202" style="position:absolute;left:11507;top:923;width:13903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14:paraId="09420740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Inverted plough</w:t>
                        </w:r>
                      </w:p>
                    </w:txbxContent>
                  </v:textbox>
                </v:shape>
                <v:shape id="TextBox 12" o:spid="_x0000_s1036" type="#_x0000_t202" style="position:absolute;top:20839;width:14376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14:paraId="00C3F547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Min till gradient</w:t>
                        </w:r>
                      </w:p>
                    </w:txbxContent>
                  </v:textbox>
                </v:shape>
                <v:shape id="TextBox 13" o:spid="_x0000_s1037" type="#_x0000_t202" style="position:absolute;left:12761;top:20839;width:12648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14:paraId="79CAE5A7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No cultivation</w:t>
                        </w:r>
                      </w:p>
                    </w:txbxContent>
                  </v:textbox>
                </v:shape>
                <v:shape id="TextBox 14" o:spid="_x0000_s1038" type="#_x0000_t202" style="position:absolute;left:29562;top:20919;width:15214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14:paraId="5FA3A166" w14:textId="77777777" w:rsidR="00DE244F" w:rsidRDefault="00DE244F" w:rsidP="00DE244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No fertiliser</w:t>
                        </w:r>
                      </w:p>
                    </w:txbxContent>
                  </v:textbox>
                </v:shape>
                <v:line id="Straight Connector 22" o:spid="_x0000_s1039" style="position:absolute;visibility:visible;mso-wrap-style:square" from="62436,16016" to="62730,207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  <v:line id="Straight Connector 23" o:spid="_x0000_s1040" style="position:absolute;flip:x y;visibility:visible;mso-wrap-style:square" from="62138,3693" to="62436,8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Hm38MAAADbAAAADwAAAGRycy9kb3ducmV2LnhtbESPQWvCQBSE7wX/w/IEb3WjUtE0G7FC&#10;RbAI1fb+yL4m0ezbkF3N9t+7BaHHYWa+YbJVMI24Uedqywom4wQEcWF1zaWCr9P78wKE88gaG8uk&#10;4JccrPLBU4aptj1/0u3oSxEh7FJUUHnfplK6oiKDbmxb4uj92M6gj7Irpe6wj3DTyGmSzKXBmuNC&#10;hS1tKioux6tRsNuH5YI3h/MHfve2Oby8JXoblBoNw/oVhKfg/8OP9k4rmM7g70v8ATK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B5t/DAAAA2wAAAA8AAAAAAAAAAAAA&#10;AAAAoQIAAGRycy9kb3ducmV2LnhtbFBLBQYAAAAABAAEAPkAAACRAwAAAAA=&#10;" strokecolor="black [3213]"/>
                <v:line id="Straight Connector 24" o:spid="_x0000_s1041" style="position:absolute;flip:y;visibility:visible;mso-wrap-style:square" from="37062,3724" to="43902,8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trd8MAAADbAAAADwAAAGRycy9kb3ducmV2LnhtbESP0WoCMRRE3wv+Q7hC32pWUWlXo1ih&#10;UHwRVz/gsrluFjc3a5Lqul/fFAo+DjNzhlmuO9uIG/lQO1YwHmUgiEuna64UnI5fb+8gQkTW2Dgm&#10;BQ8KsF4NXpaYa3fnA92KWIkE4ZCjAhNjm0sZSkMWw8i1xMk7O28xJukrqT3eE9w2cpJlc2mx5rRg&#10;sKWtofJS/FgFTR9P/cfn1vTZdfrQ+/3c+dlOqddht1mAiNTFZ/i//a0VTKbw9yX9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ra3fDAAAA2wAAAA8AAAAAAAAAAAAA&#10;AAAAoQIAAGRycy9kb3ducmV2LnhtbFBLBQYAAAAABAAEAPkAAACRAwAAAAA=&#10;" strokecolor="black [3213]"/>
                <v:line id="Straight Connector 25" o:spid="_x0000_s1042" style="position:absolute;flip:x y;visibility:visible;mso-wrap-style:square" from="30221,3724" to="37062,8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TbMMMAAADbAAAADwAAAGRycy9kb3ducmV2LnhtbESPQWvCQBSE74L/YXmF3uqmQsSmrqIB&#10;S6Ai1Lb3R/Y1Sc2+Ddk12f57Vyh4HGbmG2a1CaYVA/WusazgeZaAIC6tbrhS8PW5f1qCcB5ZY2uZ&#10;FPyRg816Ollhpu3IHzScfCUihF2GCmrvu0xKV9Zk0M1sRxy9H9sb9FH2ldQ9jhFuWjlPkoU02HBc&#10;qLGjvKbyfLoYBcV7eFlyfvw94Pdo22O6S/RbUOrxIWxfQXgK/h7+bxdawTyF25f4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k2zDDAAAA2wAAAA8AAAAAAAAAAAAA&#10;AAAAoQIAAGRycy9kb3ducmV2LnhtbFBLBQYAAAAABAAEAPkAAACRAwAAAAA=&#10;" strokecolor="black [3213]"/>
                <v:line id="Straight Connector 26" o:spid="_x0000_s1043" style="position:absolute;visibility:visible;mso-wrap-style:square" from="37062,16016" to="37169,20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yasUAAADbAAAADwAAAGRycy9kb3ducmV2LnhtbESPQWvCQBSE74X+h+UVvNWNARNJXSUU&#10;hKqnakuvj+wzic2+DbvbGP31bqHQ4zAz3zDL9Wg6MZDzrWUFs2kCgriyuuVawcdx87wA4QOyxs4y&#10;KbiSh/Xq8WGJhbYXfqfhEGoRIewLVNCE0BdS+qohg35qe+LonawzGKJ0tdQOLxFuOpkmSSYNthwX&#10;GuzptaHq+/BjFCyq3dmVebmdzT/7/Dak+2zzlSs1eRrLFxCBxvAf/mu/aQVpBr9f4g+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IJyasUAAADbAAAADwAAAAAAAAAA&#10;AAAAAAChAgAAZHJzL2Rvd25yZXYueG1sUEsFBgAAAAAEAAQA+QAAAJMDAAAAAA==&#10;" strokecolor="black [3213]"/>
                <v:line id="Straight Connector 27" o:spid="_x0000_s1044" style="position:absolute;flip:y;visibility:visible;mso-wrap-style:square" from="11353,3693" to="18458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n1AMQAAADbAAAADwAAAGRycy9kb3ducmV2LnhtbESP3WoCMRSE7wt9h3AK3mm2YrVdjaKC&#10;IL0Rfx7gsDlulm5O1iTquk/fFIReDjPzDTNbtLYWN/KhcqzgfZCBIC6crrhUcDpu+p8gQkTWWDsm&#10;BQ8KsJi/vsww1+7Oe7odYikShEOOCkyMTS5lKAxZDAPXECfv7LzFmKQvpfZ4T3Bby2GWjaXFitOC&#10;wYbWhoqfw9UqqLt46r5Wa9Nll9FD73Zj5z++leq9tcspiEht/A8/21utYDiBvy/pB8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fUAxAAAANsAAAAPAAAAAAAAAAAA&#10;AAAAAKECAABkcnMvZG93bnJldi54bWxQSwUGAAAAAAQABAD5AAAAkgMAAAAA&#10;" strokecolor="black [3213]"/>
                <v:line id="Straight Connector 28" o:spid="_x0000_s1045" style="position:absolute;flip:x y;visibility:visible;mso-wrap-style:square" from="6104,4616" to="11353,8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V0rsEAAADbAAAADwAAAGRycy9kb3ducmV2LnhtbERPXWvCMBR9F/YfwhX2ZlOFDVcbZRMc&#10;hYmwbr5fmru2W3NTmthm/948CD4ezne+C6YTIw2utaxgmaQgiCurW64VfH8dFmsQziNr7CyTgn9y&#10;sNs+zHLMtJ34k8bS1yKGsMtQQeN9n0npqoYMusT2xJH7sYNBH+FQSz3gFMNNJ1dp+iwNthwbGuxp&#10;31D1V16MguIjvKx5f/o94nmy3enpLdXvQanHeXjdgPAU/F18cxdawSqOjV/iD5DbK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5XSuwQAAANsAAAAPAAAAAAAAAAAAAAAA&#10;AKECAABkcnMvZG93bnJldi54bWxQSwUGAAAAAAQABAD5AAAAjwMAAAAA&#10;" strokecolor="black [3213]"/>
                <v:line id="Straight Connector 29" o:spid="_x0000_s1046" style="position:absolute;flip:x;visibility:visible;mso-wrap-style:square" from="7188,16065" to="11353,20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rE6cMAAADbAAAADwAAAGRycy9kb3ducmV2LnhtbESP3WoCMRSE7wXfIZxC7zRbqaJbo7RC&#10;QbwRfx7gsDlulm5O1iTVdZ/eCIKXw8x8w8yXra3FhXyoHCv4GGYgiAunKy4VHA+/gymIEJE11o5J&#10;wY0CLBf93hxz7a68o8s+liJBOOSowMTY5FKGwpDFMHQNcfJOzluMSfpSao/XBLe1HGXZRFqsOC0Y&#10;bGhlqPjb/1sFdReP3exnZbrs/HnT2+3E+fFGqfe39vsLRKQ2vsLP9lorGM3g8SX9ALm4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qxOnDAAAA2wAAAA8AAAAAAAAAAAAA&#10;AAAAoQIAAGRycy9kb3ducmV2LnhtbFBLBQYAAAAABAAEAPkAAACRAwAAAAA=&#10;" strokecolor="black [3213]"/>
                <v:line id="Straight Connector 30" o:spid="_x0000_s1047" style="position:absolute;visibility:visible;mso-wrap-style:square" from="11353,16065" to="19085,20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7ZWM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7ZWMIAAADbAAAADwAAAAAAAAAAAAAA&#10;AAChAgAAZHJzL2Rvd25yZXYueG1sUEsFBgAAAAAEAAQA+QAAAJADAAAAAA==&#10;" strokecolor="black [3213]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1" o:spid="_x0000_s1048" type="#_x0000_t13" style="position:absolute;left:18194;top:10075;width:12027;height:3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0T7cQA&#10;AADbAAAADwAAAGRycy9kb3ducmV2LnhtbESPUWvCMBSF3wX/Q7jCXsZM62BIZywiyAYbE3Ugvl2a&#10;u6bY3JQmmu7fLwPBx8M55zucRTnYVlyp941jBfk0A0FcOd1wreD7sHmag/ABWWPrmBT8kodyOR4t&#10;sNAu8o6u+1CLBGFfoAITQldI6StDFv3UdcTJ+3G9xZBkX0vdY0xw28pZlr1Iiw2nBYMdrQ1V5/3F&#10;Ktga+3mSl5ZnDR7jx+NXHd+yqNTDZFi9ggg0hHv41n7XCp5z+P+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dE+3EAAAA2wAAAA8AAAAAAAAAAAAAAAAAmAIAAGRycy9k&#10;b3ducmV2LnhtbFBLBQYAAAAABAAEAPUAAACJAwAAAAA=&#10;" adj="18044" fillcolor="white [3201]" strokecolor="black [3213]" strokeweight="2pt">
                  <v:textbox>
                    <w:txbxContent>
                      <w:p w14:paraId="2A2AF36E" w14:textId="77777777" w:rsidR="00DE244F" w:rsidRDefault="00DE244F" w:rsidP="00DE244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Right Arrow 32" o:spid="_x0000_s1049" type="#_x0000_t13" style="position:absolute;left:43902;top:10075;width:11694;height:39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0+MUA&#10;AADbAAAADwAAAGRycy9kb3ducmV2LnhtbESPQWvCQBSE70L/w/IKvZlNLVSJ2QQpCJa2B62C3h7Z&#10;ZxKSfRuy2yT++25B6HGYmW+YNJ9MKwbqXW1ZwXMUgyAurK65VHD83s5XIJxH1thaJgU3cpBnD7MU&#10;E21H3tNw8KUIEHYJKqi87xIpXVGRQRfZjjh4V9sb9EH2pdQ9jgFuWrmI41dpsOawUGFHbxUVzeHH&#10;KHCn8+qjbG5N87mML8ex+HrfD16pp8dpswbhafL/4Xt7pxW8LODvS/g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qbT4xQAAANsAAAAPAAAAAAAAAAAAAAAAAJgCAABkcnMv&#10;ZG93bnJldi54bWxQSwUGAAAAAAQABAD1AAAAigMAAAAA&#10;" adj="17942" fillcolor="white [3201]" strokecolor="black [3213]" strokeweight="2pt">
                  <v:textbox>
                    <w:txbxContent>
                      <w:p w14:paraId="685B7226" w14:textId="77777777" w:rsidR="00DE244F" w:rsidRDefault="00DE244F" w:rsidP="00DE244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E244F" w:rsidRPr="00DE244F">
        <w:rPr>
          <w:b/>
          <w:bCs/>
          <w:noProof/>
          <w:lang w:val="en-US" w:eastAsia="en-US"/>
        </w:rPr>
        <w:lastRenderedPageBreak/>
        <w:drawing>
          <wp:inline distT="0" distB="0" distL="0" distR="0" wp14:anchorId="3020BFA4" wp14:editId="587C9043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44F" w:rsidRPr="00DE244F">
        <w:rPr>
          <w:b/>
          <w:bCs/>
          <w:noProof/>
          <w:lang w:val="en-US" w:eastAsia="en-US"/>
        </w:rPr>
        <w:drawing>
          <wp:inline distT="0" distB="0" distL="0" distR="0" wp14:anchorId="4BE315AF" wp14:editId="61C3C904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6B99" w14:textId="77777777" w:rsidR="00AF1C33" w:rsidRDefault="00AF1C33" w:rsidP="00AF1C33">
      <w:pPr>
        <w:rPr>
          <w:b/>
          <w:bCs/>
        </w:rPr>
      </w:pPr>
    </w:p>
    <w:p w14:paraId="1AF4AAC5" w14:textId="77777777" w:rsidR="00AF1C33" w:rsidRDefault="00AF1C33" w:rsidP="00AF1C33">
      <w:pPr>
        <w:rPr>
          <w:b/>
          <w:bCs/>
        </w:rPr>
      </w:pPr>
    </w:p>
    <w:p w14:paraId="199F44A5" w14:textId="77777777" w:rsidR="00AF1C33" w:rsidRDefault="00AF1C33" w:rsidP="00AF1C33">
      <w:pPr>
        <w:rPr>
          <w:b/>
          <w:bCs/>
        </w:rPr>
      </w:pPr>
    </w:p>
    <w:p w14:paraId="37FFE1F9" w14:textId="77777777" w:rsidR="00AF1C33" w:rsidRDefault="00AF1C33" w:rsidP="00AF1C33">
      <w:pPr>
        <w:rPr>
          <w:b/>
          <w:bCs/>
        </w:rPr>
      </w:pPr>
    </w:p>
    <w:p w14:paraId="0993F0C2" w14:textId="77777777" w:rsidR="00AF1C33" w:rsidRDefault="00AF1C33" w:rsidP="00AF1C33">
      <w:pPr>
        <w:rPr>
          <w:b/>
          <w:bCs/>
        </w:rPr>
      </w:pPr>
    </w:p>
    <w:p w14:paraId="7044F816" w14:textId="77777777" w:rsidR="00AF1C33" w:rsidRDefault="00AF1C33" w:rsidP="00AF1C33">
      <w:pPr>
        <w:rPr>
          <w:b/>
          <w:bCs/>
        </w:rPr>
      </w:pPr>
    </w:p>
    <w:p w14:paraId="0C39D708" w14:textId="77777777" w:rsidR="00AF1C33" w:rsidRDefault="00AF1C33" w:rsidP="00AF1C33">
      <w:pPr>
        <w:rPr>
          <w:b/>
          <w:bCs/>
        </w:rPr>
      </w:pPr>
      <w:r>
        <w:rPr>
          <w:b/>
          <w:bCs/>
        </w:rPr>
        <w:lastRenderedPageBreak/>
        <w:t>Figure 5: in order a, b, c and d.</w:t>
      </w:r>
      <w:r w:rsidRPr="00AF1C33">
        <w:rPr>
          <w:b/>
          <w:bCs/>
          <w:noProof/>
          <w:lang w:val="en-US" w:eastAsia="en-US"/>
        </w:rPr>
        <w:drawing>
          <wp:inline distT="0" distB="0" distL="0" distR="0" wp14:anchorId="1B3AC867" wp14:editId="7F8216AA">
            <wp:extent cx="4572000" cy="1882589"/>
            <wp:effectExtent l="0" t="0" r="0" b="3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514" cy="188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C33">
        <w:rPr>
          <w:b/>
          <w:bCs/>
          <w:noProof/>
          <w:lang w:val="en-US" w:eastAsia="en-US"/>
        </w:rPr>
        <w:drawing>
          <wp:inline distT="0" distB="0" distL="0" distR="0" wp14:anchorId="554A825F" wp14:editId="00641AC6">
            <wp:extent cx="4572000" cy="1886287"/>
            <wp:effectExtent l="0" t="0" r="0" b="0"/>
            <wp:docPr id="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514" cy="188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C33">
        <w:rPr>
          <w:b/>
          <w:bCs/>
        </w:rPr>
        <w:t xml:space="preserve"> </w:t>
      </w:r>
      <w:r w:rsidRPr="00AF1C33">
        <w:rPr>
          <w:b/>
          <w:bCs/>
          <w:noProof/>
          <w:lang w:val="en-US" w:eastAsia="en-US"/>
        </w:rPr>
        <w:drawing>
          <wp:inline distT="0" distB="0" distL="0" distR="0" wp14:anchorId="74FE5C4B" wp14:editId="5D27A5F6">
            <wp:extent cx="4572000" cy="1882589"/>
            <wp:effectExtent l="0" t="0" r="0" b="381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514" cy="188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C33">
        <w:rPr>
          <w:b/>
          <w:bCs/>
          <w:noProof/>
          <w:lang w:val="en-US" w:eastAsia="en-US"/>
        </w:rPr>
        <w:drawing>
          <wp:inline distT="0" distB="0" distL="0" distR="0" wp14:anchorId="096B2BD0" wp14:editId="6F7C8EE5">
            <wp:extent cx="4572000" cy="1884435"/>
            <wp:effectExtent l="0" t="0" r="0" b="1905"/>
            <wp:docPr id="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001" cy="18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244F">
        <w:rPr>
          <w:b/>
          <w:bCs/>
        </w:rPr>
        <w:t xml:space="preserve"> </w:t>
      </w:r>
    </w:p>
    <w:p w14:paraId="6273CEAB" w14:textId="77777777" w:rsidR="00AF1C33" w:rsidRDefault="00DE244F" w:rsidP="00AF1C33">
      <w:pPr>
        <w:rPr>
          <w:b/>
          <w:bCs/>
        </w:rPr>
      </w:pPr>
      <w:r w:rsidRPr="00DE244F">
        <w:rPr>
          <w:b/>
          <w:bCs/>
          <w:noProof/>
          <w:lang w:val="en-US" w:eastAsia="en-US"/>
        </w:rPr>
        <w:lastRenderedPageBreak/>
        <w:drawing>
          <wp:inline distT="0" distB="0" distL="0" distR="0" wp14:anchorId="2896ED59" wp14:editId="54671043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A2CB" w14:textId="77777777" w:rsidR="00AF1C33" w:rsidRDefault="00AF1C33" w:rsidP="00AF1C33">
      <w:pPr>
        <w:rPr>
          <w:b/>
          <w:bCs/>
        </w:rPr>
      </w:pPr>
      <w:r>
        <w:rPr>
          <w:b/>
          <w:bCs/>
        </w:rPr>
        <w:t>Figure 7: In order a, b, c and d.</w:t>
      </w:r>
    </w:p>
    <w:p w14:paraId="4B9E7F8E" w14:textId="77777777" w:rsidR="00AF1C33" w:rsidRDefault="00AF1C33" w:rsidP="00AF1C33">
      <w:pPr>
        <w:rPr>
          <w:b/>
          <w:bCs/>
        </w:rPr>
      </w:pPr>
      <w:r w:rsidRPr="00AF1C33">
        <w:rPr>
          <w:b/>
          <w:bCs/>
          <w:noProof/>
          <w:lang w:val="en-US" w:eastAsia="en-US"/>
        </w:rPr>
        <w:drawing>
          <wp:inline distT="0" distB="0" distL="0" distR="0" wp14:anchorId="366D44D6" wp14:editId="18F69146">
            <wp:extent cx="4572000" cy="2743200"/>
            <wp:effectExtent l="0" t="0" r="19050" b="19050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216EFA2" w14:textId="339994D2" w:rsidR="00AF1C33" w:rsidRDefault="00AF1C33" w:rsidP="00AF1C33">
      <w:pPr>
        <w:rPr>
          <w:b/>
          <w:bCs/>
        </w:rPr>
      </w:pPr>
      <w:r w:rsidRPr="00AF1C33">
        <w:rPr>
          <w:b/>
          <w:bCs/>
          <w:noProof/>
          <w:lang w:val="en-US" w:eastAsia="en-US"/>
        </w:rPr>
        <w:lastRenderedPageBreak/>
        <w:drawing>
          <wp:inline distT="0" distB="0" distL="0" distR="0" wp14:anchorId="7994DEAE" wp14:editId="5F2FA69B">
            <wp:extent cx="4572000" cy="2743200"/>
            <wp:effectExtent l="0" t="0" r="19050" b="19050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AF1C33">
        <w:rPr>
          <w:b/>
          <w:bCs/>
          <w:noProof/>
          <w:lang w:val="en-US" w:eastAsia="en-US"/>
        </w:rPr>
        <w:drawing>
          <wp:inline distT="0" distB="0" distL="0" distR="0" wp14:anchorId="62A4CA99" wp14:editId="66FD3269">
            <wp:extent cx="4572000" cy="2743200"/>
            <wp:effectExtent l="0" t="0" r="19050" b="19050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AF1C33">
        <w:rPr>
          <w:b/>
          <w:bCs/>
          <w:noProof/>
          <w:lang w:val="en-US" w:eastAsia="en-US"/>
        </w:rPr>
        <w:drawing>
          <wp:inline distT="0" distB="0" distL="0" distR="0" wp14:anchorId="25EF15D5" wp14:editId="6025422D">
            <wp:extent cx="4572000" cy="2743200"/>
            <wp:effectExtent l="0" t="0" r="19050" b="1905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32EACED" w14:textId="31122718" w:rsidR="00DE244F" w:rsidRDefault="00DE244F" w:rsidP="00AF1C33">
      <w:pPr>
        <w:rPr>
          <w:b/>
          <w:bCs/>
        </w:rPr>
      </w:pPr>
    </w:p>
    <w:sectPr w:rsidR="00DE244F" w:rsidSect="00B371E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12BD6" w14:textId="77777777" w:rsidR="00DE244F" w:rsidRDefault="00DE244F" w:rsidP="000B6A41">
      <w:pPr>
        <w:spacing w:after="0" w:line="240" w:lineRule="auto"/>
      </w:pPr>
      <w:r>
        <w:separator/>
      </w:r>
    </w:p>
  </w:endnote>
  <w:endnote w:type="continuationSeparator" w:id="0">
    <w:p w14:paraId="2779ECB2" w14:textId="77777777" w:rsidR="00DE244F" w:rsidRDefault="00DE244F" w:rsidP="000B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AB70E" w14:textId="77777777" w:rsidR="00DE244F" w:rsidRDefault="00DE244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9757E" w14:textId="77777777" w:rsidR="00DE244F" w:rsidRDefault="00DE244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52E48" w14:textId="77777777" w:rsidR="00DE244F" w:rsidRDefault="00DE24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4FB43" w14:textId="77777777" w:rsidR="00DE244F" w:rsidRDefault="00DE244F" w:rsidP="000B6A41">
      <w:pPr>
        <w:spacing w:after="0" w:line="240" w:lineRule="auto"/>
      </w:pPr>
      <w:r>
        <w:separator/>
      </w:r>
    </w:p>
  </w:footnote>
  <w:footnote w:type="continuationSeparator" w:id="0">
    <w:p w14:paraId="527FB041" w14:textId="77777777" w:rsidR="00DE244F" w:rsidRDefault="00DE244F" w:rsidP="000B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F938B" w14:textId="77777777" w:rsidR="00DE244F" w:rsidRDefault="00DE244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064251" w14:textId="77777777" w:rsidR="00DE244F" w:rsidRDefault="00DE244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83EB0" w14:textId="77777777" w:rsidR="00DE244F" w:rsidRDefault="00DE2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3D"/>
    <w:rsid w:val="00002DAF"/>
    <w:rsid w:val="00003190"/>
    <w:rsid w:val="00003A9D"/>
    <w:rsid w:val="0000651E"/>
    <w:rsid w:val="00007D98"/>
    <w:rsid w:val="00010034"/>
    <w:rsid w:val="0001155F"/>
    <w:rsid w:val="00011D7F"/>
    <w:rsid w:val="00013514"/>
    <w:rsid w:val="00015585"/>
    <w:rsid w:val="00017307"/>
    <w:rsid w:val="00021EFF"/>
    <w:rsid w:val="00022EB7"/>
    <w:rsid w:val="00023C39"/>
    <w:rsid w:val="00027954"/>
    <w:rsid w:val="0003013C"/>
    <w:rsid w:val="00033112"/>
    <w:rsid w:val="00040C2A"/>
    <w:rsid w:val="0004181F"/>
    <w:rsid w:val="000449F8"/>
    <w:rsid w:val="000504BC"/>
    <w:rsid w:val="00050A49"/>
    <w:rsid w:val="00050B48"/>
    <w:rsid w:val="00051766"/>
    <w:rsid w:val="00053913"/>
    <w:rsid w:val="000545D6"/>
    <w:rsid w:val="000576EB"/>
    <w:rsid w:val="00057E9D"/>
    <w:rsid w:val="00060F2F"/>
    <w:rsid w:val="00061332"/>
    <w:rsid w:val="00061510"/>
    <w:rsid w:val="00063397"/>
    <w:rsid w:val="00063B4C"/>
    <w:rsid w:val="00065158"/>
    <w:rsid w:val="000669D9"/>
    <w:rsid w:val="00067D91"/>
    <w:rsid w:val="00072EF7"/>
    <w:rsid w:val="00073174"/>
    <w:rsid w:val="00081F7C"/>
    <w:rsid w:val="00083CEA"/>
    <w:rsid w:val="00083F51"/>
    <w:rsid w:val="0008724C"/>
    <w:rsid w:val="0009288C"/>
    <w:rsid w:val="00093173"/>
    <w:rsid w:val="00094744"/>
    <w:rsid w:val="000947A3"/>
    <w:rsid w:val="000957AC"/>
    <w:rsid w:val="00095D1D"/>
    <w:rsid w:val="0009727F"/>
    <w:rsid w:val="000A1306"/>
    <w:rsid w:val="000A2A44"/>
    <w:rsid w:val="000B476A"/>
    <w:rsid w:val="000B5B10"/>
    <w:rsid w:val="000B6A41"/>
    <w:rsid w:val="000B6F65"/>
    <w:rsid w:val="000C24E5"/>
    <w:rsid w:val="000C658C"/>
    <w:rsid w:val="000C66CD"/>
    <w:rsid w:val="000C7B38"/>
    <w:rsid w:val="000D12C9"/>
    <w:rsid w:val="000D1D4C"/>
    <w:rsid w:val="000D52D6"/>
    <w:rsid w:val="000D558C"/>
    <w:rsid w:val="000D6465"/>
    <w:rsid w:val="000D7B99"/>
    <w:rsid w:val="000E0AE4"/>
    <w:rsid w:val="000E0C17"/>
    <w:rsid w:val="000E3723"/>
    <w:rsid w:val="000E3CEA"/>
    <w:rsid w:val="000E4641"/>
    <w:rsid w:val="000E78BD"/>
    <w:rsid w:val="000E7D3E"/>
    <w:rsid w:val="000F0A58"/>
    <w:rsid w:val="000F1581"/>
    <w:rsid w:val="000F4267"/>
    <w:rsid w:val="00101789"/>
    <w:rsid w:val="00101FA3"/>
    <w:rsid w:val="00103D49"/>
    <w:rsid w:val="00104074"/>
    <w:rsid w:val="001112E4"/>
    <w:rsid w:val="00113254"/>
    <w:rsid w:val="00116A96"/>
    <w:rsid w:val="00116DF0"/>
    <w:rsid w:val="00121FD6"/>
    <w:rsid w:val="001241F3"/>
    <w:rsid w:val="00124E0D"/>
    <w:rsid w:val="001262DB"/>
    <w:rsid w:val="00126F96"/>
    <w:rsid w:val="00127295"/>
    <w:rsid w:val="00130794"/>
    <w:rsid w:val="001319DA"/>
    <w:rsid w:val="00131DB0"/>
    <w:rsid w:val="0013288A"/>
    <w:rsid w:val="00137FA9"/>
    <w:rsid w:val="001416D1"/>
    <w:rsid w:val="0014253C"/>
    <w:rsid w:val="001458E3"/>
    <w:rsid w:val="00146A7F"/>
    <w:rsid w:val="00155AEF"/>
    <w:rsid w:val="00157135"/>
    <w:rsid w:val="00160250"/>
    <w:rsid w:val="00161360"/>
    <w:rsid w:val="00161851"/>
    <w:rsid w:val="0016313E"/>
    <w:rsid w:val="0016501B"/>
    <w:rsid w:val="00165053"/>
    <w:rsid w:val="0016608D"/>
    <w:rsid w:val="001671E6"/>
    <w:rsid w:val="00170563"/>
    <w:rsid w:val="001744FB"/>
    <w:rsid w:val="001775D3"/>
    <w:rsid w:val="00184866"/>
    <w:rsid w:val="00185AB8"/>
    <w:rsid w:val="00185D0C"/>
    <w:rsid w:val="001918A3"/>
    <w:rsid w:val="00192C38"/>
    <w:rsid w:val="00195324"/>
    <w:rsid w:val="001A1377"/>
    <w:rsid w:val="001A2471"/>
    <w:rsid w:val="001A4A10"/>
    <w:rsid w:val="001A4F15"/>
    <w:rsid w:val="001A597A"/>
    <w:rsid w:val="001A5EE2"/>
    <w:rsid w:val="001B0A55"/>
    <w:rsid w:val="001B17E3"/>
    <w:rsid w:val="001B36D4"/>
    <w:rsid w:val="001B5A86"/>
    <w:rsid w:val="001B6F19"/>
    <w:rsid w:val="001C3743"/>
    <w:rsid w:val="001C386B"/>
    <w:rsid w:val="001D1DE1"/>
    <w:rsid w:val="001D4D67"/>
    <w:rsid w:val="001D7CFB"/>
    <w:rsid w:val="001D7F02"/>
    <w:rsid w:val="001E5044"/>
    <w:rsid w:val="001E577D"/>
    <w:rsid w:val="001E6CCA"/>
    <w:rsid w:val="001E7F3F"/>
    <w:rsid w:val="001F59C4"/>
    <w:rsid w:val="00203E36"/>
    <w:rsid w:val="00205D42"/>
    <w:rsid w:val="0021206F"/>
    <w:rsid w:val="00212449"/>
    <w:rsid w:val="00213CD5"/>
    <w:rsid w:val="002146BF"/>
    <w:rsid w:val="002173E5"/>
    <w:rsid w:val="0022164B"/>
    <w:rsid w:val="00221DA0"/>
    <w:rsid w:val="002258B6"/>
    <w:rsid w:val="00226016"/>
    <w:rsid w:val="00226371"/>
    <w:rsid w:val="00227BD8"/>
    <w:rsid w:val="00231443"/>
    <w:rsid w:val="0023194E"/>
    <w:rsid w:val="00234C49"/>
    <w:rsid w:val="00237FD0"/>
    <w:rsid w:val="00242543"/>
    <w:rsid w:val="00242E61"/>
    <w:rsid w:val="00243E41"/>
    <w:rsid w:val="00243FA3"/>
    <w:rsid w:val="002446A2"/>
    <w:rsid w:val="00247360"/>
    <w:rsid w:val="00247E14"/>
    <w:rsid w:val="0025259D"/>
    <w:rsid w:val="00252BDB"/>
    <w:rsid w:val="00253498"/>
    <w:rsid w:val="00253B95"/>
    <w:rsid w:val="0025492B"/>
    <w:rsid w:val="00256F3B"/>
    <w:rsid w:val="00257831"/>
    <w:rsid w:val="002608BC"/>
    <w:rsid w:val="00265234"/>
    <w:rsid w:val="0026559A"/>
    <w:rsid w:val="00265E5C"/>
    <w:rsid w:val="00266156"/>
    <w:rsid w:val="002667E5"/>
    <w:rsid w:val="00271CEF"/>
    <w:rsid w:val="00272518"/>
    <w:rsid w:val="00273F81"/>
    <w:rsid w:val="00275D55"/>
    <w:rsid w:val="00282D40"/>
    <w:rsid w:val="002831E2"/>
    <w:rsid w:val="00283579"/>
    <w:rsid w:val="002858E3"/>
    <w:rsid w:val="00290132"/>
    <w:rsid w:val="00293CD2"/>
    <w:rsid w:val="00297AA7"/>
    <w:rsid w:val="002A0564"/>
    <w:rsid w:val="002A22AA"/>
    <w:rsid w:val="002A5469"/>
    <w:rsid w:val="002A5C12"/>
    <w:rsid w:val="002B0C07"/>
    <w:rsid w:val="002B391B"/>
    <w:rsid w:val="002B75CA"/>
    <w:rsid w:val="002B7C33"/>
    <w:rsid w:val="002C10A8"/>
    <w:rsid w:val="002C1F9A"/>
    <w:rsid w:val="002C55DC"/>
    <w:rsid w:val="002D0EC0"/>
    <w:rsid w:val="002D1100"/>
    <w:rsid w:val="002D12F7"/>
    <w:rsid w:val="002D2B31"/>
    <w:rsid w:val="002D35DD"/>
    <w:rsid w:val="002D4554"/>
    <w:rsid w:val="002D4D50"/>
    <w:rsid w:val="002D53AB"/>
    <w:rsid w:val="002D5C9E"/>
    <w:rsid w:val="002D724D"/>
    <w:rsid w:val="002D7E13"/>
    <w:rsid w:val="002E1312"/>
    <w:rsid w:val="002E2406"/>
    <w:rsid w:val="002E632D"/>
    <w:rsid w:val="002E7319"/>
    <w:rsid w:val="002E74D8"/>
    <w:rsid w:val="002F19C5"/>
    <w:rsid w:val="002F6B6A"/>
    <w:rsid w:val="002F7204"/>
    <w:rsid w:val="003062C6"/>
    <w:rsid w:val="00307DEC"/>
    <w:rsid w:val="003109C4"/>
    <w:rsid w:val="00310EAC"/>
    <w:rsid w:val="003112C7"/>
    <w:rsid w:val="00311A68"/>
    <w:rsid w:val="0031210B"/>
    <w:rsid w:val="00312234"/>
    <w:rsid w:val="00314D07"/>
    <w:rsid w:val="00315017"/>
    <w:rsid w:val="003161F0"/>
    <w:rsid w:val="00316273"/>
    <w:rsid w:val="003166E2"/>
    <w:rsid w:val="00317A67"/>
    <w:rsid w:val="00325877"/>
    <w:rsid w:val="00327343"/>
    <w:rsid w:val="0033069B"/>
    <w:rsid w:val="0033530D"/>
    <w:rsid w:val="00335F9A"/>
    <w:rsid w:val="0033707F"/>
    <w:rsid w:val="0034141E"/>
    <w:rsid w:val="00342D66"/>
    <w:rsid w:val="00343665"/>
    <w:rsid w:val="00344841"/>
    <w:rsid w:val="003468AE"/>
    <w:rsid w:val="00347E72"/>
    <w:rsid w:val="00350580"/>
    <w:rsid w:val="0035233A"/>
    <w:rsid w:val="003525D2"/>
    <w:rsid w:val="00352CB9"/>
    <w:rsid w:val="00352ED2"/>
    <w:rsid w:val="003532FF"/>
    <w:rsid w:val="003578B7"/>
    <w:rsid w:val="00370837"/>
    <w:rsid w:val="00370BD7"/>
    <w:rsid w:val="00371B57"/>
    <w:rsid w:val="003735CF"/>
    <w:rsid w:val="00373E53"/>
    <w:rsid w:val="00376FEE"/>
    <w:rsid w:val="0038328A"/>
    <w:rsid w:val="00385554"/>
    <w:rsid w:val="00386B86"/>
    <w:rsid w:val="00387A91"/>
    <w:rsid w:val="00394BC8"/>
    <w:rsid w:val="00394E72"/>
    <w:rsid w:val="00394E91"/>
    <w:rsid w:val="003A0DF8"/>
    <w:rsid w:val="003A0F70"/>
    <w:rsid w:val="003A29F8"/>
    <w:rsid w:val="003A4764"/>
    <w:rsid w:val="003A5A57"/>
    <w:rsid w:val="003A755C"/>
    <w:rsid w:val="003B3412"/>
    <w:rsid w:val="003B3EF7"/>
    <w:rsid w:val="003B5422"/>
    <w:rsid w:val="003B5A40"/>
    <w:rsid w:val="003B63CC"/>
    <w:rsid w:val="003C3111"/>
    <w:rsid w:val="003C3673"/>
    <w:rsid w:val="003C73FC"/>
    <w:rsid w:val="003D16C9"/>
    <w:rsid w:val="003D3A59"/>
    <w:rsid w:val="003D7C58"/>
    <w:rsid w:val="003E13BD"/>
    <w:rsid w:val="003E2618"/>
    <w:rsid w:val="003E2CB8"/>
    <w:rsid w:val="003E4B04"/>
    <w:rsid w:val="003E7999"/>
    <w:rsid w:val="003E7EE9"/>
    <w:rsid w:val="003F063F"/>
    <w:rsid w:val="003F0F08"/>
    <w:rsid w:val="003F4187"/>
    <w:rsid w:val="003F5A50"/>
    <w:rsid w:val="003F6C03"/>
    <w:rsid w:val="00400808"/>
    <w:rsid w:val="00400872"/>
    <w:rsid w:val="00402301"/>
    <w:rsid w:val="00402548"/>
    <w:rsid w:val="004051C0"/>
    <w:rsid w:val="004051D5"/>
    <w:rsid w:val="0041061F"/>
    <w:rsid w:val="00413765"/>
    <w:rsid w:val="004144E9"/>
    <w:rsid w:val="00417763"/>
    <w:rsid w:val="00420A8E"/>
    <w:rsid w:val="00421D16"/>
    <w:rsid w:val="00427740"/>
    <w:rsid w:val="00431ED7"/>
    <w:rsid w:val="0043262B"/>
    <w:rsid w:val="004435AE"/>
    <w:rsid w:val="00444BEE"/>
    <w:rsid w:val="004467EB"/>
    <w:rsid w:val="004477A6"/>
    <w:rsid w:val="00447DF3"/>
    <w:rsid w:val="004608F6"/>
    <w:rsid w:val="00461E1F"/>
    <w:rsid w:val="0046216D"/>
    <w:rsid w:val="0046310E"/>
    <w:rsid w:val="00464336"/>
    <w:rsid w:val="0046789C"/>
    <w:rsid w:val="00471B7A"/>
    <w:rsid w:val="00472110"/>
    <w:rsid w:val="00476E0B"/>
    <w:rsid w:val="004803D6"/>
    <w:rsid w:val="00480B19"/>
    <w:rsid w:val="00480ECE"/>
    <w:rsid w:val="004868BA"/>
    <w:rsid w:val="00490674"/>
    <w:rsid w:val="00496034"/>
    <w:rsid w:val="004A25AC"/>
    <w:rsid w:val="004A262A"/>
    <w:rsid w:val="004A6ABD"/>
    <w:rsid w:val="004B18FD"/>
    <w:rsid w:val="004B1EC5"/>
    <w:rsid w:val="004B25CF"/>
    <w:rsid w:val="004B34E8"/>
    <w:rsid w:val="004B4136"/>
    <w:rsid w:val="004B637F"/>
    <w:rsid w:val="004B7B4C"/>
    <w:rsid w:val="004C4A7A"/>
    <w:rsid w:val="004D062F"/>
    <w:rsid w:val="004D2C58"/>
    <w:rsid w:val="004D3CEA"/>
    <w:rsid w:val="004D431D"/>
    <w:rsid w:val="004D440C"/>
    <w:rsid w:val="004D631A"/>
    <w:rsid w:val="004D77B5"/>
    <w:rsid w:val="004E059B"/>
    <w:rsid w:val="004E0637"/>
    <w:rsid w:val="004E250A"/>
    <w:rsid w:val="004E2C44"/>
    <w:rsid w:val="004E2EB1"/>
    <w:rsid w:val="004E3455"/>
    <w:rsid w:val="004E66DB"/>
    <w:rsid w:val="004F4B53"/>
    <w:rsid w:val="004F4CA5"/>
    <w:rsid w:val="004F6E2D"/>
    <w:rsid w:val="00502417"/>
    <w:rsid w:val="00502D74"/>
    <w:rsid w:val="0050377F"/>
    <w:rsid w:val="005060B3"/>
    <w:rsid w:val="0051299C"/>
    <w:rsid w:val="00513DAE"/>
    <w:rsid w:val="005144F9"/>
    <w:rsid w:val="00517FE7"/>
    <w:rsid w:val="005205BC"/>
    <w:rsid w:val="00520B3E"/>
    <w:rsid w:val="005210E5"/>
    <w:rsid w:val="0052316A"/>
    <w:rsid w:val="00523208"/>
    <w:rsid w:val="00526635"/>
    <w:rsid w:val="0053481E"/>
    <w:rsid w:val="0053495D"/>
    <w:rsid w:val="005372D0"/>
    <w:rsid w:val="00537F10"/>
    <w:rsid w:val="0054215C"/>
    <w:rsid w:val="00542E7D"/>
    <w:rsid w:val="00543067"/>
    <w:rsid w:val="00546EF8"/>
    <w:rsid w:val="00547A37"/>
    <w:rsid w:val="005717E2"/>
    <w:rsid w:val="00577AA8"/>
    <w:rsid w:val="0058177F"/>
    <w:rsid w:val="0058201F"/>
    <w:rsid w:val="005840FE"/>
    <w:rsid w:val="005846A2"/>
    <w:rsid w:val="0059568B"/>
    <w:rsid w:val="005963FC"/>
    <w:rsid w:val="00597900"/>
    <w:rsid w:val="005A1976"/>
    <w:rsid w:val="005A1AE9"/>
    <w:rsid w:val="005A3A0C"/>
    <w:rsid w:val="005A6018"/>
    <w:rsid w:val="005B04F9"/>
    <w:rsid w:val="005B0C91"/>
    <w:rsid w:val="005B0DAD"/>
    <w:rsid w:val="005B2E4A"/>
    <w:rsid w:val="005C1D16"/>
    <w:rsid w:val="005C3641"/>
    <w:rsid w:val="005C3ADC"/>
    <w:rsid w:val="005C3DAC"/>
    <w:rsid w:val="005C48C6"/>
    <w:rsid w:val="005C515F"/>
    <w:rsid w:val="005C5B6A"/>
    <w:rsid w:val="005D3301"/>
    <w:rsid w:val="005D5D12"/>
    <w:rsid w:val="005D6665"/>
    <w:rsid w:val="005E015B"/>
    <w:rsid w:val="005E31F4"/>
    <w:rsid w:val="005E3E07"/>
    <w:rsid w:val="005E4E59"/>
    <w:rsid w:val="005F14B2"/>
    <w:rsid w:val="005F1A5A"/>
    <w:rsid w:val="005F42CC"/>
    <w:rsid w:val="005F53AC"/>
    <w:rsid w:val="005F5687"/>
    <w:rsid w:val="0060261C"/>
    <w:rsid w:val="00603174"/>
    <w:rsid w:val="0060351A"/>
    <w:rsid w:val="00612762"/>
    <w:rsid w:val="00613B17"/>
    <w:rsid w:val="00613FF6"/>
    <w:rsid w:val="00614EB9"/>
    <w:rsid w:val="006154D9"/>
    <w:rsid w:val="006205A6"/>
    <w:rsid w:val="006226E5"/>
    <w:rsid w:val="00623387"/>
    <w:rsid w:val="00623825"/>
    <w:rsid w:val="00624A0C"/>
    <w:rsid w:val="00627275"/>
    <w:rsid w:val="00627595"/>
    <w:rsid w:val="006328CB"/>
    <w:rsid w:val="0063368E"/>
    <w:rsid w:val="00642F66"/>
    <w:rsid w:val="006434D0"/>
    <w:rsid w:val="00643F3E"/>
    <w:rsid w:val="00645C17"/>
    <w:rsid w:val="00645C98"/>
    <w:rsid w:val="0065336F"/>
    <w:rsid w:val="00655238"/>
    <w:rsid w:val="00662088"/>
    <w:rsid w:val="006641FD"/>
    <w:rsid w:val="00671E8C"/>
    <w:rsid w:val="006720E6"/>
    <w:rsid w:val="00672387"/>
    <w:rsid w:val="006731F9"/>
    <w:rsid w:val="00673975"/>
    <w:rsid w:val="00675485"/>
    <w:rsid w:val="00685150"/>
    <w:rsid w:val="0068780D"/>
    <w:rsid w:val="006913AB"/>
    <w:rsid w:val="00693A1A"/>
    <w:rsid w:val="0069578A"/>
    <w:rsid w:val="006970DF"/>
    <w:rsid w:val="006A4BD0"/>
    <w:rsid w:val="006A76BB"/>
    <w:rsid w:val="006B191C"/>
    <w:rsid w:val="006B3659"/>
    <w:rsid w:val="006B5C97"/>
    <w:rsid w:val="006B6FF8"/>
    <w:rsid w:val="006C0673"/>
    <w:rsid w:val="006C0705"/>
    <w:rsid w:val="006C0C03"/>
    <w:rsid w:val="006C4114"/>
    <w:rsid w:val="006C4801"/>
    <w:rsid w:val="006C48C9"/>
    <w:rsid w:val="006C5D29"/>
    <w:rsid w:val="006D2340"/>
    <w:rsid w:val="006D49C5"/>
    <w:rsid w:val="006D4AB5"/>
    <w:rsid w:val="006D636B"/>
    <w:rsid w:val="006E083A"/>
    <w:rsid w:val="006E412F"/>
    <w:rsid w:val="006E5CEB"/>
    <w:rsid w:val="006E6071"/>
    <w:rsid w:val="006E7DCD"/>
    <w:rsid w:val="006F0E48"/>
    <w:rsid w:val="006F48DC"/>
    <w:rsid w:val="006F6EAB"/>
    <w:rsid w:val="007025B9"/>
    <w:rsid w:val="007116AE"/>
    <w:rsid w:val="00712C4D"/>
    <w:rsid w:val="0071688D"/>
    <w:rsid w:val="007170D1"/>
    <w:rsid w:val="00720992"/>
    <w:rsid w:val="007316D3"/>
    <w:rsid w:val="00733DDF"/>
    <w:rsid w:val="007359A5"/>
    <w:rsid w:val="00736040"/>
    <w:rsid w:val="0074444A"/>
    <w:rsid w:val="00744565"/>
    <w:rsid w:val="00747287"/>
    <w:rsid w:val="00752840"/>
    <w:rsid w:val="00754428"/>
    <w:rsid w:val="00754849"/>
    <w:rsid w:val="007554EC"/>
    <w:rsid w:val="00762C72"/>
    <w:rsid w:val="00762C74"/>
    <w:rsid w:val="00764F09"/>
    <w:rsid w:val="007652CF"/>
    <w:rsid w:val="007736BF"/>
    <w:rsid w:val="007759C0"/>
    <w:rsid w:val="0077690D"/>
    <w:rsid w:val="00783F12"/>
    <w:rsid w:val="00793CCC"/>
    <w:rsid w:val="00794809"/>
    <w:rsid w:val="00795095"/>
    <w:rsid w:val="0079556B"/>
    <w:rsid w:val="0079565B"/>
    <w:rsid w:val="00795874"/>
    <w:rsid w:val="0079669A"/>
    <w:rsid w:val="007A0C77"/>
    <w:rsid w:val="007A1CCA"/>
    <w:rsid w:val="007A25F7"/>
    <w:rsid w:val="007A30AB"/>
    <w:rsid w:val="007A5D3E"/>
    <w:rsid w:val="007A6293"/>
    <w:rsid w:val="007A7617"/>
    <w:rsid w:val="007A7867"/>
    <w:rsid w:val="007B072D"/>
    <w:rsid w:val="007B45BB"/>
    <w:rsid w:val="007B7A1D"/>
    <w:rsid w:val="007B7EA3"/>
    <w:rsid w:val="007C2BD4"/>
    <w:rsid w:val="007C34FE"/>
    <w:rsid w:val="007C47DC"/>
    <w:rsid w:val="007C56A9"/>
    <w:rsid w:val="007C57C8"/>
    <w:rsid w:val="007C5C73"/>
    <w:rsid w:val="007C6EDD"/>
    <w:rsid w:val="007C7E2C"/>
    <w:rsid w:val="007D0013"/>
    <w:rsid w:val="007D0D30"/>
    <w:rsid w:val="007D0E39"/>
    <w:rsid w:val="007D1091"/>
    <w:rsid w:val="007D6FFA"/>
    <w:rsid w:val="007D74C6"/>
    <w:rsid w:val="007E08CD"/>
    <w:rsid w:val="007E0E97"/>
    <w:rsid w:val="007E0FC1"/>
    <w:rsid w:val="007E1137"/>
    <w:rsid w:val="007E1E16"/>
    <w:rsid w:val="007E213D"/>
    <w:rsid w:val="007E37B2"/>
    <w:rsid w:val="007E5A7C"/>
    <w:rsid w:val="007F16DF"/>
    <w:rsid w:val="007F1FC9"/>
    <w:rsid w:val="007F38E2"/>
    <w:rsid w:val="007F481A"/>
    <w:rsid w:val="007F57A6"/>
    <w:rsid w:val="007F5C14"/>
    <w:rsid w:val="007F6DA9"/>
    <w:rsid w:val="007F77BA"/>
    <w:rsid w:val="00801144"/>
    <w:rsid w:val="00801199"/>
    <w:rsid w:val="00802FFA"/>
    <w:rsid w:val="00806637"/>
    <w:rsid w:val="0081035B"/>
    <w:rsid w:val="00810CAB"/>
    <w:rsid w:val="008118B4"/>
    <w:rsid w:val="00811918"/>
    <w:rsid w:val="00814F7F"/>
    <w:rsid w:val="00815332"/>
    <w:rsid w:val="0081537A"/>
    <w:rsid w:val="00815FDD"/>
    <w:rsid w:val="00816217"/>
    <w:rsid w:val="00816233"/>
    <w:rsid w:val="00816831"/>
    <w:rsid w:val="0082005C"/>
    <w:rsid w:val="00820082"/>
    <w:rsid w:val="00822161"/>
    <w:rsid w:val="008244E0"/>
    <w:rsid w:val="00824765"/>
    <w:rsid w:val="00824B07"/>
    <w:rsid w:val="00827816"/>
    <w:rsid w:val="00827925"/>
    <w:rsid w:val="00832181"/>
    <w:rsid w:val="00835B30"/>
    <w:rsid w:val="008371B0"/>
    <w:rsid w:val="0084187C"/>
    <w:rsid w:val="0084338A"/>
    <w:rsid w:val="00843BE7"/>
    <w:rsid w:val="00843E6E"/>
    <w:rsid w:val="00847220"/>
    <w:rsid w:val="008515AF"/>
    <w:rsid w:val="00852290"/>
    <w:rsid w:val="008605F1"/>
    <w:rsid w:val="0086095F"/>
    <w:rsid w:val="00861EC8"/>
    <w:rsid w:val="00862FE3"/>
    <w:rsid w:val="00864060"/>
    <w:rsid w:val="0086428D"/>
    <w:rsid w:val="00864B7A"/>
    <w:rsid w:val="00866BFE"/>
    <w:rsid w:val="00866CF5"/>
    <w:rsid w:val="00872096"/>
    <w:rsid w:val="0087356F"/>
    <w:rsid w:val="008762E3"/>
    <w:rsid w:val="00877368"/>
    <w:rsid w:val="00877D70"/>
    <w:rsid w:val="00883D68"/>
    <w:rsid w:val="00883E9C"/>
    <w:rsid w:val="00885CBB"/>
    <w:rsid w:val="0088735E"/>
    <w:rsid w:val="00887452"/>
    <w:rsid w:val="00890E13"/>
    <w:rsid w:val="00891055"/>
    <w:rsid w:val="008928A2"/>
    <w:rsid w:val="00892D08"/>
    <w:rsid w:val="00893EBB"/>
    <w:rsid w:val="0089403E"/>
    <w:rsid w:val="00897869"/>
    <w:rsid w:val="00897CFC"/>
    <w:rsid w:val="008A048F"/>
    <w:rsid w:val="008A2D64"/>
    <w:rsid w:val="008A50E2"/>
    <w:rsid w:val="008B1278"/>
    <w:rsid w:val="008B3DBD"/>
    <w:rsid w:val="008B3FA7"/>
    <w:rsid w:val="008B461D"/>
    <w:rsid w:val="008C0E95"/>
    <w:rsid w:val="008C762A"/>
    <w:rsid w:val="008D57C4"/>
    <w:rsid w:val="008E27CC"/>
    <w:rsid w:val="008E3829"/>
    <w:rsid w:val="008E3E9C"/>
    <w:rsid w:val="008E4B7D"/>
    <w:rsid w:val="008F0E68"/>
    <w:rsid w:val="008F1118"/>
    <w:rsid w:val="008F12BD"/>
    <w:rsid w:val="008F16D6"/>
    <w:rsid w:val="008F38D3"/>
    <w:rsid w:val="008F4769"/>
    <w:rsid w:val="008F506F"/>
    <w:rsid w:val="009005D3"/>
    <w:rsid w:val="00901420"/>
    <w:rsid w:val="00901FA8"/>
    <w:rsid w:val="009033DB"/>
    <w:rsid w:val="00907E9E"/>
    <w:rsid w:val="009105F9"/>
    <w:rsid w:val="0091192D"/>
    <w:rsid w:val="009202BB"/>
    <w:rsid w:val="009203A7"/>
    <w:rsid w:val="00922A0E"/>
    <w:rsid w:val="00924015"/>
    <w:rsid w:val="00925C51"/>
    <w:rsid w:val="009267C9"/>
    <w:rsid w:val="009305F9"/>
    <w:rsid w:val="00932708"/>
    <w:rsid w:val="0093497D"/>
    <w:rsid w:val="0093645C"/>
    <w:rsid w:val="0095056A"/>
    <w:rsid w:val="00950C74"/>
    <w:rsid w:val="0095544E"/>
    <w:rsid w:val="00955742"/>
    <w:rsid w:val="00955EBB"/>
    <w:rsid w:val="00962CCF"/>
    <w:rsid w:val="00965661"/>
    <w:rsid w:val="00965D07"/>
    <w:rsid w:val="0096660F"/>
    <w:rsid w:val="00970A17"/>
    <w:rsid w:val="0097156C"/>
    <w:rsid w:val="009755FC"/>
    <w:rsid w:val="00980E41"/>
    <w:rsid w:val="009838F7"/>
    <w:rsid w:val="00983E59"/>
    <w:rsid w:val="00987715"/>
    <w:rsid w:val="00987ACD"/>
    <w:rsid w:val="00987F7B"/>
    <w:rsid w:val="00990374"/>
    <w:rsid w:val="00990C25"/>
    <w:rsid w:val="00990C80"/>
    <w:rsid w:val="00991339"/>
    <w:rsid w:val="00991497"/>
    <w:rsid w:val="00995394"/>
    <w:rsid w:val="00995AF5"/>
    <w:rsid w:val="00997DB1"/>
    <w:rsid w:val="009A00B6"/>
    <w:rsid w:val="009A423C"/>
    <w:rsid w:val="009A5715"/>
    <w:rsid w:val="009A725F"/>
    <w:rsid w:val="009B197C"/>
    <w:rsid w:val="009B2C28"/>
    <w:rsid w:val="009B6F48"/>
    <w:rsid w:val="009B788C"/>
    <w:rsid w:val="009C01D8"/>
    <w:rsid w:val="009C1838"/>
    <w:rsid w:val="009C1F40"/>
    <w:rsid w:val="009C33E1"/>
    <w:rsid w:val="009C686F"/>
    <w:rsid w:val="009C6C30"/>
    <w:rsid w:val="009C6F4A"/>
    <w:rsid w:val="009D22A0"/>
    <w:rsid w:val="009D42D0"/>
    <w:rsid w:val="009D4B43"/>
    <w:rsid w:val="009D5CBD"/>
    <w:rsid w:val="009D5D5C"/>
    <w:rsid w:val="009D6C03"/>
    <w:rsid w:val="009E09AE"/>
    <w:rsid w:val="009E3C5F"/>
    <w:rsid w:val="009E46E6"/>
    <w:rsid w:val="009E4E09"/>
    <w:rsid w:val="009E7AEE"/>
    <w:rsid w:val="009E7FB5"/>
    <w:rsid w:val="009F2856"/>
    <w:rsid w:val="009F5CF7"/>
    <w:rsid w:val="009F6368"/>
    <w:rsid w:val="00A003F0"/>
    <w:rsid w:val="00A00EB5"/>
    <w:rsid w:val="00A015C2"/>
    <w:rsid w:val="00A03517"/>
    <w:rsid w:val="00A11D07"/>
    <w:rsid w:val="00A127C0"/>
    <w:rsid w:val="00A16846"/>
    <w:rsid w:val="00A169CA"/>
    <w:rsid w:val="00A17C10"/>
    <w:rsid w:val="00A20B30"/>
    <w:rsid w:val="00A20BF5"/>
    <w:rsid w:val="00A23F00"/>
    <w:rsid w:val="00A24AA1"/>
    <w:rsid w:val="00A24EF5"/>
    <w:rsid w:val="00A27D40"/>
    <w:rsid w:val="00A303B0"/>
    <w:rsid w:val="00A30BCF"/>
    <w:rsid w:val="00A32964"/>
    <w:rsid w:val="00A35F2F"/>
    <w:rsid w:val="00A4279B"/>
    <w:rsid w:val="00A43C79"/>
    <w:rsid w:val="00A45447"/>
    <w:rsid w:val="00A4575C"/>
    <w:rsid w:val="00A472AC"/>
    <w:rsid w:val="00A509FF"/>
    <w:rsid w:val="00A55665"/>
    <w:rsid w:val="00A5571B"/>
    <w:rsid w:val="00A56429"/>
    <w:rsid w:val="00A57086"/>
    <w:rsid w:val="00A6275D"/>
    <w:rsid w:val="00A65792"/>
    <w:rsid w:val="00A66038"/>
    <w:rsid w:val="00A71CF6"/>
    <w:rsid w:val="00A7219A"/>
    <w:rsid w:val="00A72382"/>
    <w:rsid w:val="00A74BD8"/>
    <w:rsid w:val="00A74CF8"/>
    <w:rsid w:val="00A75E05"/>
    <w:rsid w:val="00A803C5"/>
    <w:rsid w:val="00A81322"/>
    <w:rsid w:val="00A82599"/>
    <w:rsid w:val="00A94267"/>
    <w:rsid w:val="00A979BA"/>
    <w:rsid w:val="00AA22DA"/>
    <w:rsid w:val="00AA519C"/>
    <w:rsid w:val="00AA66FE"/>
    <w:rsid w:val="00AA7DAD"/>
    <w:rsid w:val="00AB24AE"/>
    <w:rsid w:val="00AB25A1"/>
    <w:rsid w:val="00AB614C"/>
    <w:rsid w:val="00AC14EE"/>
    <w:rsid w:val="00AC2D63"/>
    <w:rsid w:val="00AC4222"/>
    <w:rsid w:val="00AC5107"/>
    <w:rsid w:val="00AD1291"/>
    <w:rsid w:val="00AD22B4"/>
    <w:rsid w:val="00AD23E3"/>
    <w:rsid w:val="00AD3092"/>
    <w:rsid w:val="00AD34D6"/>
    <w:rsid w:val="00AD4F74"/>
    <w:rsid w:val="00AD5803"/>
    <w:rsid w:val="00AD5CAA"/>
    <w:rsid w:val="00AE0B08"/>
    <w:rsid w:val="00AE1F60"/>
    <w:rsid w:val="00AE26DD"/>
    <w:rsid w:val="00AE3062"/>
    <w:rsid w:val="00AE4BBF"/>
    <w:rsid w:val="00AE55BE"/>
    <w:rsid w:val="00AE5C22"/>
    <w:rsid w:val="00AF1A03"/>
    <w:rsid w:val="00AF1C33"/>
    <w:rsid w:val="00AF32B7"/>
    <w:rsid w:val="00AF40C4"/>
    <w:rsid w:val="00AF4878"/>
    <w:rsid w:val="00AF688D"/>
    <w:rsid w:val="00B01E19"/>
    <w:rsid w:val="00B10CE9"/>
    <w:rsid w:val="00B10DDC"/>
    <w:rsid w:val="00B12B8F"/>
    <w:rsid w:val="00B1337B"/>
    <w:rsid w:val="00B13EBB"/>
    <w:rsid w:val="00B1430F"/>
    <w:rsid w:val="00B15DBC"/>
    <w:rsid w:val="00B15F26"/>
    <w:rsid w:val="00B16020"/>
    <w:rsid w:val="00B20A2E"/>
    <w:rsid w:val="00B2179D"/>
    <w:rsid w:val="00B33B5E"/>
    <w:rsid w:val="00B34B23"/>
    <w:rsid w:val="00B36E8A"/>
    <w:rsid w:val="00B371EB"/>
    <w:rsid w:val="00B37233"/>
    <w:rsid w:val="00B4148F"/>
    <w:rsid w:val="00B42941"/>
    <w:rsid w:val="00B42D40"/>
    <w:rsid w:val="00B45D62"/>
    <w:rsid w:val="00B467FC"/>
    <w:rsid w:val="00B55970"/>
    <w:rsid w:val="00B56FC2"/>
    <w:rsid w:val="00B6334A"/>
    <w:rsid w:val="00B64467"/>
    <w:rsid w:val="00B64B27"/>
    <w:rsid w:val="00B66253"/>
    <w:rsid w:val="00B724B5"/>
    <w:rsid w:val="00B7374E"/>
    <w:rsid w:val="00B74BBE"/>
    <w:rsid w:val="00B758D9"/>
    <w:rsid w:val="00B77E22"/>
    <w:rsid w:val="00B82B65"/>
    <w:rsid w:val="00B83F53"/>
    <w:rsid w:val="00B84C30"/>
    <w:rsid w:val="00B85693"/>
    <w:rsid w:val="00B86E48"/>
    <w:rsid w:val="00B8748A"/>
    <w:rsid w:val="00B8771C"/>
    <w:rsid w:val="00B904EC"/>
    <w:rsid w:val="00B9119B"/>
    <w:rsid w:val="00B92F5E"/>
    <w:rsid w:val="00BA1002"/>
    <w:rsid w:val="00BA1F33"/>
    <w:rsid w:val="00BA2C4C"/>
    <w:rsid w:val="00BA3290"/>
    <w:rsid w:val="00BA7032"/>
    <w:rsid w:val="00BA77E5"/>
    <w:rsid w:val="00BB556B"/>
    <w:rsid w:val="00BB7EFE"/>
    <w:rsid w:val="00BB7F05"/>
    <w:rsid w:val="00BC136B"/>
    <w:rsid w:val="00BC372A"/>
    <w:rsid w:val="00BC3DAE"/>
    <w:rsid w:val="00BC6182"/>
    <w:rsid w:val="00BD02D3"/>
    <w:rsid w:val="00BD209F"/>
    <w:rsid w:val="00BD403A"/>
    <w:rsid w:val="00BD4690"/>
    <w:rsid w:val="00BD62A8"/>
    <w:rsid w:val="00BD687A"/>
    <w:rsid w:val="00BD71E3"/>
    <w:rsid w:val="00BD791A"/>
    <w:rsid w:val="00BE2D03"/>
    <w:rsid w:val="00BE5008"/>
    <w:rsid w:val="00BE569C"/>
    <w:rsid w:val="00BE5E65"/>
    <w:rsid w:val="00BE75C2"/>
    <w:rsid w:val="00BF0379"/>
    <w:rsid w:val="00BF08DA"/>
    <w:rsid w:val="00BF10B5"/>
    <w:rsid w:val="00BF350C"/>
    <w:rsid w:val="00BF4F3E"/>
    <w:rsid w:val="00C00A5A"/>
    <w:rsid w:val="00C02B4D"/>
    <w:rsid w:val="00C02B6D"/>
    <w:rsid w:val="00C035E1"/>
    <w:rsid w:val="00C0535E"/>
    <w:rsid w:val="00C05EFF"/>
    <w:rsid w:val="00C05F83"/>
    <w:rsid w:val="00C1005A"/>
    <w:rsid w:val="00C10859"/>
    <w:rsid w:val="00C11A3E"/>
    <w:rsid w:val="00C11D2E"/>
    <w:rsid w:val="00C132E0"/>
    <w:rsid w:val="00C14C26"/>
    <w:rsid w:val="00C1650B"/>
    <w:rsid w:val="00C21D65"/>
    <w:rsid w:val="00C222CC"/>
    <w:rsid w:val="00C27C54"/>
    <w:rsid w:val="00C319B9"/>
    <w:rsid w:val="00C33B06"/>
    <w:rsid w:val="00C356CA"/>
    <w:rsid w:val="00C36538"/>
    <w:rsid w:val="00C36E2F"/>
    <w:rsid w:val="00C405EF"/>
    <w:rsid w:val="00C4258F"/>
    <w:rsid w:val="00C446CB"/>
    <w:rsid w:val="00C44994"/>
    <w:rsid w:val="00C46726"/>
    <w:rsid w:val="00C46FD8"/>
    <w:rsid w:val="00C50632"/>
    <w:rsid w:val="00C53D9C"/>
    <w:rsid w:val="00C61B55"/>
    <w:rsid w:val="00C655DE"/>
    <w:rsid w:val="00C65D17"/>
    <w:rsid w:val="00C66A1C"/>
    <w:rsid w:val="00C7020E"/>
    <w:rsid w:val="00C71539"/>
    <w:rsid w:val="00C71E3A"/>
    <w:rsid w:val="00C7649B"/>
    <w:rsid w:val="00C81809"/>
    <w:rsid w:val="00C823DF"/>
    <w:rsid w:val="00C86616"/>
    <w:rsid w:val="00C9050A"/>
    <w:rsid w:val="00C9118D"/>
    <w:rsid w:val="00C91991"/>
    <w:rsid w:val="00C92999"/>
    <w:rsid w:val="00C9552F"/>
    <w:rsid w:val="00CA216F"/>
    <w:rsid w:val="00CA2E37"/>
    <w:rsid w:val="00CB072D"/>
    <w:rsid w:val="00CB2E4F"/>
    <w:rsid w:val="00CB3A3F"/>
    <w:rsid w:val="00CB751F"/>
    <w:rsid w:val="00CC042C"/>
    <w:rsid w:val="00CC0733"/>
    <w:rsid w:val="00CC18BE"/>
    <w:rsid w:val="00CC40C7"/>
    <w:rsid w:val="00CD0FDE"/>
    <w:rsid w:val="00CD7682"/>
    <w:rsid w:val="00CE0977"/>
    <w:rsid w:val="00CE26F7"/>
    <w:rsid w:val="00CE4920"/>
    <w:rsid w:val="00CE4952"/>
    <w:rsid w:val="00CE56D3"/>
    <w:rsid w:val="00CE6C1A"/>
    <w:rsid w:val="00CE768D"/>
    <w:rsid w:val="00CF0694"/>
    <w:rsid w:val="00CF3D63"/>
    <w:rsid w:val="00CF3FF0"/>
    <w:rsid w:val="00CF4DC2"/>
    <w:rsid w:val="00CF4DFD"/>
    <w:rsid w:val="00D01C08"/>
    <w:rsid w:val="00D068F8"/>
    <w:rsid w:val="00D07FE1"/>
    <w:rsid w:val="00D14108"/>
    <w:rsid w:val="00D14B16"/>
    <w:rsid w:val="00D1536F"/>
    <w:rsid w:val="00D16D71"/>
    <w:rsid w:val="00D208B2"/>
    <w:rsid w:val="00D2443E"/>
    <w:rsid w:val="00D270A0"/>
    <w:rsid w:val="00D27A41"/>
    <w:rsid w:val="00D30819"/>
    <w:rsid w:val="00D3692C"/>
    <w:rsid w:val="00D37EE7"/>
    <w:rsid w:val="00D37F77"/>
    <w:rsid w:val="00D42962"/>
    <w:rsid w:val="00D454E1"/>
    <w:rsid w:val="00D46CAF"/>
    <w:rsid w:val="00D5165D"/>
    <w:rsid w:val="00D54D23"/>
    <w:rsid w:val="00D55134"/>
    <w:rsid w:val="00D561E3"/>
    <w:rsid w:val="00D5627A"/>
    <w:rsid w:val="00D576CF"/>
    <w:rsid w:val="00D6336E"/>
    <w:rsid w:val="00D63646"/>
    <w:rsid w:val="00D64225"/>
    <w:rsid w:val="00D6502F"/>
    <w:rsid w:val="00D65222"/>
    <w:rsid w:val="00D65500"/>
    <w:rsid w:val="00D664F1"/>
    <w:rsid w:val="00D67C2D"/>
    <w:rsid w:val="00D7505D"/>
    <w:rsid w:val="00D7730A"/>
    <w:rsid w:val="00D832C1"/>
    <w:rsid w:val="00D84DE4"/>
    <w:rsid w:val="00D90B8F"/>
    <w:rsid w:val="00D950C0"/>
    <w:rsid w:val="00D96D92"/>
    <w:rsid w:val="00D9712B"/>
    <w:rsid w:val="00DA0EFB"/>
    <w:rsid w:val="00DA1474"/>
    <w:rsid w:val="00DA486A"/>
    <w:rsid w:val="00DB1C12"/>
    <w:rsid w:val="00DB2D99"/>
    <w:rsid w:val="00DB34D2"/>
    <w:rsid w:val="00DB3DA9"/>
    <w:rsid w:val="00DB6CA2"/>
    <w:rsid w:val="00DB7E9E"/>
    <w:rsid w:val="00DC1090"/>
    <w:rsid w:val="00DC13BE"/>
    <w:rsid w:val="00DC1E1D"/>
    <w:rsid w:val="00DC305F"/>
    <w:rsid w:val="00DC608D"/>
    <w:rsid w:val="00DC6287"/>
    <w:rsid w:val="00DD1011"/>
    <w:rsid w:val="00DD4383"/>
    <w:rsid w:val="00DD4613"/>
    <w:rsid w:val="00DD4891"/>
    <w:rsid w:val="00DD5587"/>
    <w:rsid w:val="00DD654F"/>
    <w:rsid w:val="00DD7BFF"/>
    <w:rsid w:val="00DE0F3D"/>
    <w:rsid w:val="00DE244F"/>
    <w:rsid w:val="00DE2C5D"/>
    <w:rsid w:val="00DE4B55"/>
    <w:rsid w:val="00DF22A9"/>
    <w:rsid w:val="00DF2BA5"/>
    <w:rsid w:val="00DF6044"/>
    <w:rsid w:val="00DF785C"/>
    <w:rsid w:val="00DF7B5D"/>
    <w:rsid w:val="00E02A8A"/>
    <w:rsid w:val="00E12179"/>
    <w:rsid w:val="00E14872"/>
    <w:rsid w:val="00E21F18"/>
    <w:rsid w:val="00E22416"/>
    <w:rsid w:val="00E26ED6"/>
    <w:rsid w:val="00E3027C"/>
    <w:rsid w:val="00E373D8"/>
    <w:rsid w:val="00E40DC0"/>
    <w:rsid w:val="00E44601"/>
    <w:rsid w:val="00E45148"/>
    <w:rsid w:val="00E50263"/>
    <w:rsid w:val="00E53E91"/>
    <w:rsid w:val="00E5400A"/>
    <w:rsid w:val="00E54665"/>
    <w:rsid w:val="00E54753"/>
    <w:rsid w:val="00E55D63"/>
    <w:rsid w:val="00E62281"/>
    <w:rsid w:val="00E63830"/>
    <w:rsid w:val="00E64AEA"/>
    <w:rsid w:val="00E67BB8"/>
    <w:rsid w:val="00E70830"/>
    <w:rsid w:val="00E72326"/>
    <w:rsid w:val="00E74CF1"/>
    <w:rsid w:val="00E80DA3"/>
    <w:rsid w:val="00E81E80"/>
    <w:rsid w:val="00E82E8C"/>
    <w:rsid w:val="00E831A9"/>
    <w:rsid w:val="00E840C8"/>
    <w:rsid w:val="00E84505"/>
    <w:rsid w:val="00E849D2"/>
    <w:rsid w:val="00E859A4"/>
    <w:rsid w:val="00E8672A"/>
    <w:rsid w:val="00E8796A"/>
    <w:rsid w:val="00E87DF9"/>
    <w:rsid w:val="00E90944"/>
    <w:rsid w:val="00E93BF6"/>
    <w:rsid w:val="00E95680"/>
    <w:rsid w:val="00EA020B"/>
    <w:rsid w:val="00EA031F"/>
    <w:rsid w:val="00EA096F"/>
    <w:rsid w:val="00EA3870"/>
    <w:rsid w:val="00EA42CA"/>
    <w:rsid w:val="00EA675E"/>
    <w:rsid w:val="00EB1D75"/>
    <w:rsid w:val="00EB1DDB"/>
    <w:rsid w:val="00EB2AFC"/>
    <w:rsid w:val="00EB3A05"/>
    <w:rsid w:val="00EC4EA3"/>
    <w:rsid w:val="00EC6174"/>
    <w:rsid w:val="00ED4406"/>
    <w:rsid w:val="00ED4E0C"/>
    <w:rsid w:val="00EE4896"/>
    <w:rsid w:val="00EE61CE"/>
    <w:rsid w:val="00EE6F7D"/>
    <w:rsid w:val="00EE74E0"/>
    <w:rsid w:val="00EF1F3D"/>
    <w:rsid w:val="00EF26E9"/>
    <w:rsid w:val="00EF7911"/>
    <w:rsid w:val="00EF795A"/>
    <w:rsid w:val="00F009EF"/>
    <w:rsid w:val="00F05146"/>
    <w:rsid w:val="00F0540A"/>
    <w:rsid w:val="00F06285"/>
    <w:rsid w:val="00F07CB9"/>
    <w:rsid w:val="00F118B3"/>
    <w:rsid w:val="00F11D6B"/>
    <w:rsid w:val="00F20150"/>
    <w:rsid w:val="00F26B7E"/>
    <w:rsid w:val="00F27871"/>
    <w:rsid w:val="00F30E24"/>
    <w:rsid w:val="00F31252"/>
    <w:rsid w:val="00F31D4E"/>
    <w:rsid w:val="00F3229F"/>
    <w:rsid w:val="00F326C6"/>
    <w:rsid w:val="00F32C3D"/>
    <w:rsid w:val="00F32EFF"/>
    <w:rsid w:val="00F351DE"/>
    <w:rsid w:val="00F37A17"/>
    <w:rsid w:val="00F417EC"/>
    <w:rsid w:val="00F44F26"/>
    <w:rsid w:val="00F4559B"/>
    <w:rsid w:val="00F533B6"/>
    <w:rsid w:val="00F54997"/>
    <w:rsid w:val="00F554BE"/>
    <w:rsid w:val="00F561D8"/>
    <w:rsid w:val="00F60ADC"/>
    <w:rsid w:val="00F615D1"/>
    <w:rsid w:val="00F645DC"/>
    <w:rsid w:val="00F65B1D"/>
    <w:rsid w:val="00F6681B"/>
    <w:rsid w:val="00F75C64"/>
    <w:rsid w:val="00F80857"/>
    <w:rsid w:val="00F8309E"/>
    <w:rsid w:val="00F852C2"/>
    <w:rsid w:val="00F8799C"/>
    <w:rsid w:val="00F90F6F"/>
    <w:rsid w:val="00F95A70"/>
    <w:rsid w:val="00F970C1"/>
    <w:rsid w:val="00FA05C4"/>
    <w:rsid w:val="00FA2277"/>
    <w:rsid w:val="00FA4F10"/>
    <w:rsid w:val="00FA7EF4"/>
    <w:rsid w:val="00FB16E3"/>
    <w:rsid w:val="00FB1A47"/>
    <w:rsid w:val="00FB218A"/>
    <w:rsid w:val="00FB55EA"/>
    <w:rsid w:val="00FB57D1"/>
    <w:rsid w:val="00FB5D5F"/>
    <w:rsid w:val="00FC0601"/>
    <w:rsid w:val="00FC1EE0"/>
    <w:rsid w:val="00FC3BD3"/>
    <w:rsid w:val="00FC3FEF"/>
    <w:rsid w:val="00FC6E73"/>
    <w:rsid w:val="00FC718A"/>
    <w:rsid w:val="00FD6254"/>
    <w:rsid w:val="00FE5D25"/>
    <w:rsid w:val="00FF1439"/>
    <w:rsid w:val="00FF34F6"/>
    <w:rsid w:val="00FF39AA"/>
    <w:rsid w:val="00FF3D1A"/>
    <w:rsid w:val="00FF40A9"/>
    <w:rsid w:val="00FF50F8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351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03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5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52CB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1244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5C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71EB"/>
  </w:style>
  <w:style w:type="paragraph" w:styleId="Header">
    <w:name w:val="header"/>
    <w:basedOn w:val="Normal"/>
    <w:link w:val="HeaderChar"/>
    <w:uiPriority w:val="99"/>
    <w:unhideWhenUsed/>
    <w:rsid w:val="000B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41"/>
  </w:style>
  <w:style w:type="paragraph" w:styleId="Footer">
    <w:name w:val="footer"/>
    <w:basedOn w:val="Normal"/>
    <w:link w:val="FooterChar"/>
    <w:uiPriority w:val="99"/>
    <w:unhideWhenUsed/>
    <w:rsid w:val="000B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41"/>
  </w:style>
  <w:style w:type="paragraph" w:styleId="NormalWeb">
    <w:name w:val="Normal (Web)"/>
    <w:basedOn w:val="Normal"/>
    <w:uiPriority w:val="99"/>
    <w:semiHidden/>
    <w:unhideWhenUsed/>
    <w:rsid w:val="00DE24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9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03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5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52CB9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1244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0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0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5C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B371EB"/>
  </w:style>
  <w:style w:type="paragraph" w:styleId="Header">
    <w:name w:val="header"/>
    <w:basedOn w:val="Normal"/>
    <w:link w:val="HeaderChar"/>
    <w:uiPriority w:val="99"/>
    <w:unhideWhenUsed/>
    <w:rsid w:val="000B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A41"/>
  </w:style>
  <w:style w:type="paragraph" w:styleId="Footer">
    <w:name w:val="footer"/>
    <w:basedOn w:val="Normal"/>
    <w:link w:val="FooterChar"/>
    <w:uiPriority w:val="99"/>
    <w:unhideWhenUsed/>
    <w:rsid w:val="000B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A41"/>
  </w:style>
  <w:style w:type="paragraph" w:styleId="NormalWeb">
    <w:name w:val="Normal (Web)"/>
    <w:basedOn w:val="Normal"/>
    <w:uiPriority w:val="99"/>
    <w:semiHidden/>
    <w:unhideWhenUsed/>
    <w:rsid w:val="00DE24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faostat.fao.org/" TargetMode="External"/><Relationship Id="rId20" Type="http://schemas.openxmlformats.org/officeDocument/2006/relationships/chart" Target="charts/chart3.xml"/><Relationship Id="rId21" Type="http://schemas.openxmlformats.org/officeDocument/2006/relationships/chart" Target="charts/chart4.xml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jpg"/><Relationship Id="rId14" Type="http://schemas.openxmlformats.org/officeDocument/2006/relationships/image" Target="media/image5.jpg"/><Relationship Id="rId15" Type="http://schemas.openxmlformats.org/officeDocument/2006/relationships/image" Target="media/image6.jpg"/><Relationship Id="rId16" Type="http://schemas.openxmlformats.org/officeDocument/2006/relationships/image" Target="media/image7.jpg"/><Relationship Id="rId17" Type="http://schemas.openxmlformats.org/officeDocument/2006/relationships/image" Target="media/image8.png"/><Relationship Id="rId18" Type="http://schemas.openxmlformats.org/officeDocument/2006/relationships/chart" Target="charts/chart1.xml"/><Relationship Id="rId19" Type="http://schemas.openxmlformats.org/officeDocument/2006/relationships/chart" Target="charts/chart2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ph106@soton.ac.uk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1.xml"/><Relationship Id="rId2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2.xml"/><Relationship Id="rId2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3.xml"/><Relationship Id="rId2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themeOverride" Target="../theme/themeOverride4.xml"/><Relationship Id="rId2" Type="http://schemas.openxmlformats.org/officeDocument/2006/relationships/oleObject" Target="../embeddings/oleObject4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Incorporated (90 kg P ha-1)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PowerPoint]ploughfert'!$M$6:$M$11</c:f>
              <c:numCache>
                <c:formatCode>General</c:formatCode>
                <c:ptCount val="6"/>
                <c:pt idx="0">
                  <c:v>7.9174</c:v>
                </c:pt>
                <c:pt idx="1">
                  <c:v>7.692399999999999</c:v>
                </c:pt>
                <c:pt idx="2">
                  <c:v>7.872</c:v>
                </c:pt>
                <c:pt idx="3">
                  <c:v>7.7811</c:v>
                </c:pt>
                <c:pt idx="4">
                  <c:v>8.092500000000002</c:v>
                </c:pt>
                <c:pt idx="5">
                  <c:v>7.5563</c:v>
                </c:pt>
              </c:numCache>
            </c:numRef>
          </c:val>
        </c:ser>
        <c:ser>
          <c:idx val="1"/>
          <c:order val="1"/>
          <c:tx>
            <c:v>No fertiliser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PowerPoint]ploughfert'!$M$12:$M$17</c:f>
              <c:numCache>
                <c:formatCode>General</c:formatCode>
                <c:ptCount val="6"/>
                <c:pt idx="0">
                  <c:v>7.890099999999999</c:v>
                </c:pt>
                <c:pt idx="1">
                  <c:v>7.665499999999999</c:v>
                </c:pt>
                <c:pt idx="2">
                  <c:v>7.844499999999999</c:v>
                </c:pt>
                <c:pt idx="3">
                  <c:v>7.7539</c:v>
                </c:pt>
                <c:pt idx="4">
                  <c:v>8.0648</c:v>
                </c:pt>
                <c:pt idx="5">
                  <c:v>7.528499999999999</c:v>
                </c:pt>
              </c:numCache>
            </c:numRef>
          </c:val>
        </c:ser>
        <c:ser>
          <c:idx val="2"/>
          <c:order val="2"/>
          <c:tx>
            <c:v>Placed (90 kg P ha-1)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PowerPoint]ploughfert'!$M$18:$M$23</c:f>
              <c:numCache>
                <c:formatCode>General</c:formatCode>
                <c:ptCount val="6"/>
                <c:pt idx="0">
                  <c:v>8.731000000000002</c:v>
                </c:pt>
                <c:pt idx="1">
                  <c:v>8.5244</c:v>
                </c:pt>
                <c:pt idx="2">
                  <c:v>8.657100000000001</c:v>
                </c:pt>
                <c:pt idx="3">
                  <c:v>8.604299999999998</c:v>
                </c:pt>
                <c:pt idx="4">
                  <c:v>8.9061</c:v>
                </c:pt>
                <c:pt idx="5">
                  <c:v>8.477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61589224"/>
        <c:axId val="-2104373256"/>
      </c:barChart>
      <c:catAx>
        <c:axId val="-206158922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 b="1"/>
                  <a:t>Plough technique</a:t>
                </a:r>
              </a:p>
            </c:rich>
          </c:tx>
          <c:overlay val="0"/>
        </c:title>
        <c:majorTickMark val="out"/>
        <c:minorTickMark val="none"/>
        <c:tickLblPos val="nextTo"/>
        <c:crossAx val="-2104373256"/>
        <c:crosses val="autoZero"/>
        <c:auto val="1"/>
        <c:lblAlgn val="ctr"/>
        <c:lblOffset val="100"/>
        <c:noMultiLvlLbl val="0"/>
      </c:catAx>
      <c:valAx>
        <c:axId val="-21043732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 b="1" dirty="0"/>
                  <a:t>P uptake at GS 92</a:t>
                </a:r>
                <a:r>
                  <a:rPr lang="en-GB" b="1" baseline="0" dirty="0"/>
                  <a:t> (kg </a:t>
                </a:r>
                <a:r>
                  <a:rPr lang="en-GB" b="1" baseline="0" dirty="0" smtClean="0"/>
                  <a:t>P ha</a:t>
                </a:r>
                <a:r>
                  <a:rPr lang="en-GB" b="1" baseline="30000" dirty="0" smtClean="0"/>
                  <a:t>-1</a:t>
                </a:r>
                <a:r>
                  <a:rPr lang="en-GB" b="1" baseline="0" dirty="0" smtClean="0"/>
                  <a:t>)</a:t>
                </a:r>
                <a:endParaRPr lang="en-GB" b="1" dirty="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6158922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Incorporated (90 kg P ha-1)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PowerPoint]ploughfert'!$M$24:$M$29</c:f>
              <c:numCache>
                <c:formatCode>General</c:formatCode>
                <c:ptCount val="6"/>
                <c:pt idx="0">
                  <c:v>8.3367</c:v>
                </c:pt>
                <c:pt idx="1">
                  <c:v>8.132700000000001</c:v>
                </c:pt>
                <c:pt idx="2">
                  <c:v>8.294899999999998</c:v>
                </c:pt>
                <c:pt idx="3">
                  <c:v>8.213099999999998</c:v>
                </c:pt>
                <c:pt idx="4">
                  <c:v>8.4938</c:v>
                </c:pt>
                <c:pt idx="5">
                  <c:v>8.008700000000001</c:v>
                </c:pt>
              </c:numCache>
            </c:numRef>
          </c:val>
        </c:ser>
        <c:ser>
          <c:idx val="1"/>
          <c:order val="1"/>
          <c:tx>
            <c:v>No fertiliser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PowerPoint]ploughfert'!$M$30:$M$35</c:f>
              <c:numCache>
                <c:formatCode>General</c:formatCode>
                <c:ptCount val="6"/>
                <c:pt idx="0">
                  <c:v>7.9548</c:v>
                </c:pt>
                <c:pt idx="1">
                  <c:v>7.7596</c:v>
                </c:pt>
                <c:pt idx="2">
                  <c:v>7.9153</c:v>
                </c:pt>
                <c:pt idx="3">
                  <c:v>7.8364</c:v>
                </c:pt>
                <c:pt idx="4">
                  <c:v>8.1058</c:v>
                </c:pt>
                <c:pt idx="5">
                  <c:v>7.6411</c:v>
                </c:pt>
              </c:numCache>
            </c:numRef>
          </c:val>
        </c:ser>
        <c:ser>
          <c:idx val="2"/>
          <c:order val="2"/>
          <c:tx>
            <c:v>Placed (90 kg P ha-1)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PowerPoint]ploughfert'!$M$36:$M$41</c:f>
              <c:numCache>
                <c:formatCode>General</c:formatCode>
                <c:ptCount val="6"/>
                <c:pt idx="0">
                  <c:v>8.790600000000001</c:v>
                </c:pt>
                <c:pt idx="1">
                  <c:v>8.613800000000001</c:v>
                </c:pt>
                <c:pt idx="2">
                  <c:v>8.722900000000001</c:v>
                </c:pt>
                <c:pt idx="3">
                  <c:v>8.6814</c:v>
                </c:pt>
                <c:pt idx="4">
                  <c:v>8.9426</c:v>
                </c:pt>
                <c:pt idx="5">
                  <c:v>8.584900000000001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00640136"/>
        <c:axId val="2128762312"/>
      </c:barChart>
      <c:catAx>
        <c:axId val="-2100640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Plough technique</a:t>
                </a:r>
              </a:p>
            </c:rich>
          </c:tx>
          <c:overlay val="0"/>
        </c:title>
        <c:majorTickMark val="out"/>
        <c:minorTickMark val="none"/>
        <c:tickLblPos val="nextTo"/>
        <c:crossAx val="2128762312"/>
        <c:crosses val="autoZero"/>
        <c:auto val="1"/>
        <c:lblAlgn val="ctr"/>
        <c:lblOffset val="100"/>
        <c:noMultiLvlLbl val="0"/>
      </c:catAx>
      <c:valAx>
        <c:axId val="21287623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 dirty="0"/>
                  <a:t>P uptake at GS92 (kg </a:t>
                </a:r>
                <a:r>
                  <a:rPr lang="en-GB" dirty="0" smtClean="0"/>
                  <a:t>P ha</a:t>
                </a:r>
                <a:r>
                  <a:rPr lang="en-GB" baseline="30000" dirty="0" smtClean="0"/>
                  <a:t>-1</a:t>
                </a:r>
                <a:r>
                  <a:rPr lang="en-GB" dirty="0" smtClean="0"/>
                  <a:t>)</a:t>
                </a:r>
                <a:endParaRPr lang="en-GB" dirty="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10064013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Incorporated (90 kg P ha-1)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PowerPoint]ploughfert'!$O$6:$O$11</c:f>
              <c:numCache>
                <c:formatCode>General</c:formatCode>
                <c:ptCount val="6"/>
                <c:pt idx="0">
                  <c:v>25.7199</c:v>
                </c:pt>
                <c:pt idx="1">
                  <c:v>25.0536</c:v>
                </c:pt>
                <c:pt idx="2">
                  <c:v>25.6082</c:v>
                </c:pt>
                <c:pt idx="3">
                  <c:v>25.34219999999999</c:v>
                </c:pt>
                <c:pt idx="4">
                  <c:v>26.0375</c:v>
                </c:pt>
                <c:pt idx="5">
                  <c:v>24.3186</c:v>
                </c:pt>
              </c:numCache>
            </c:numRef>
          </c:val>
        </c:ser>
        <c:ser>
          <c:idx val="1"/>
          <c:order val="1"/>
          <c:tx>
            <c:v>No fertiliser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PowerPoint]ploughfert'!$O$12:$O$17</c:f>
              <c:numCache>
                <c:formatCode>General</c:formatCode>
                <c:ptCount val="6"/>
                <c:pt idx="0">
                  <c:v>25.7031</c:v>
                </c:pt>
                <c:pt idx="1">
                  <c:v>25.0329</c:v>
                </c:pt>
                <c:pt idx="2">
                  <c:v>25.5926</c:v>
                </c:pt>
                <c:pt idx="3">
                  <c:v>25.3291</c:v>
                </c:pt>
                <c:pt idx="4">
                  <c:v>26.0085</c:v>
                </c:pt>
                <c:pt idx="5">
                  <c:v>24.3023</c:v>
                </c:pt>
              </c:numCache>
            </c:numRef>
          </c:val>
        </c:ser>
        <c:ser>
          <c:idx val="2"/>
          <c:order val="2"/>
          <c:tx>
            <c:v>Placed (90 kg P ha-1)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PowerPoint]ploughfert'!$O$18:$O$23</c:f>
              <c:numCache>
                <c:formatCode>General</c:formatCode>
                <c:ptCount val="6"/>
                <c:pt idx="0">
                  <c:v>25.7944</c:v>
                </c:pt>
                <c:pt idx="1">
                  <c:v>25.148</c:v>
                </c:pt>
                <c:pt idx="2">
                  <c:v>25.6725</c:v>
                </c:pt>
                <c:pt idx="3">
                  <c:v>25.4235</c:v>
                </c:pt>
                <c:pt idx="4">
                  <c:v>26.0293</c:v>
                </c:pt>
                <c:pt idx="5">
                  <c:v>24.4334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132322360"/>
        <c:axId val="2128622184"/>
      </c:barChart>
      <c:catAx>
        <c:axId val="-2132322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 b="1"/>
                  <a:t>Plough technique</a:t>
                </a:r>
              </a:p>
            </c:rich>
          </c:tx>
          <c:overlay val="0"/>
        </c:title>
        <c:majorTickMark val="out"/>
        <c:minorTickMark val="none"/>
        <c:tickLblPos val="nextTo"/>
        <c:crossAx val="2128622184"/>
        <c:crosses val="autoZero"/>
        <c:auto val="1"/>
        <c:lblAlgn val="ctr"/>
        <c:lblOffset val="100"/>
        <c:noMultiLvlLbl val="0"/>
      </c:catAx>
      <c:valAx>
        <c:axId val="2128622184"/>
        <c:scaling>
          <c:orientation val="minMax"/>
          <c:max val="27.0"/>
          <c:min val="2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 b="1" dirty="0"/>
                  <a:t>P uptake at GS 92</a:t>
                </a:r>
                <a:r>
                  <a:rPr lang="en-GB" b="1" baseline="0" dirty="0"/>
                  <a:t> (kg </a:t>
                </a:r>
                <a:r>
                  <a:rPr lang="en-GB" b="1" baseline="0" dirty="0" smtClean="0"/>
                  <a:t>P ha</a:t>
                </a:r>
                <a:r>
                  <a:rPr lang="en-GB" b="1" baseline="30000" dirty="0" smtClean="0"/>
                  <a:t>-1</a:t>
                </a:r>
                <a:r>
                  <a:rPr lang="en-GB" b="1" baseline="0" dirty="0" smtClean="0"/>
                  <a:t>)</a:t>
                </a:r>
                <a:endParaRPr lang="en-GB" b="1" dirty="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132322360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Incorporated (90 kg P ha-1)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PowerPoint]ploughfert'!$O$24:$O$29</c:f>
              <c:numCache>
                <c:formatCode>General</c:formatCode>
                <c:ptCount val="6"/>
                <c:pt idx="0">
                  <c:v>25.9339</c:v>
                </c:pt>
                <c:pt idx="1">
                  <c:v>25.1701</c:v>
                </c:pt>
                <c:pt idx="2">
                  <c:v>25.8429</c:v>
                </c:pt>
                <c:pt idx="3">
                  <c:v>25.48669999999999</c:v>
                </c:pt>
                <c:pt idx="4">
                  <c:v>26.1828</c:v>
                </c:pt>
                <c:pt idx="5">
                  <c:v>24.51</c:v>
                </c:pt>
              </c:numCache>
            </c:numRef>
          </c:val>
        </c:ser>
        <c:ser>
          <c:idx val="1"/>
          <c:order val="1"/>
          <c:tx>
            <c:v>No fertiliser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PowerPoint]ploughfert'!$O$30:$O$35</c:f>
              <c:numCache>
                <c:formatCode>General</c:formatCode>
                <c:ptCount val="6"/>
                <c:pt idx="0">
                  <c:v>25.8484</c:v>
                </c:pt>
                <c:pt idx="1">
                  <c:v>25.1313</c:v>
                </c:pt>
                <c:pt idx="2">
                  <c:v>25.7602</c:v>
                </c:pt>
                <c:pt idx="3">
                  <c:v>25.43990000000001</c:v>
                </c:pt>
                <c:pt idx="4">
                  <c:v>26.0782</c:v>
                </c:pt>
                <c:pt idx="5">
                  <c:v>24.4802</c:v>
                </c:pt>
              </c:numCache>
            </c:numRef>
          </c:val>
        </c:ser>
        <c:ser>
          <c:idx val="2"/>
          <c:order val="2"/>
          <c:tx>
            <c:v>Placed (90 kg P ha-1)</c:v>
          </c:tx>
          <c:invertIfNegative val="0"/>
          <c:cat>
            <c:strRef>
              <c:f>'[Chart in Microsoft PowerPoint]ploughfert'!$D$3:$D$8</c:f>
              <c:strCache>
                <c:ptCount val="6"/>
                <c:pt idx="0">
                  <c:v>mix 25 cm</c:v>
                </c:pt>
                <c:pt idx="1">
                  <c:v>No cultivation</c:v>
                </c:pt>
                <c:pt idx="2">
                  <c:v>mix 20 cm</c:v>
                </c:pt>
                <c:pt idx="3">
                  <c:v>mix 10 cm</c:v>
                </c:pt>
                <c:pt idx="4">
                  <c:v>Inverted plough</c:v>
                </c:pt>
                <c:pt idx="5">
                  <c:v>min till</c:v>
                </c:pt>
              </c:strCache>
            </c:strRef>
          </c:cat>
          <c:val>
            <c:numRef>
              <c:f>'[Chart in Microsoft PowerPoint]ploughfert'!$O$36:$O$41</c:f>
              <c:numCache>
                <c:formatCode>General</c:formatCode>
                <c:ptCount val="6"/>
                <c:pt idx="0">
                  <c:v>25.9419</c:v>
                </c:pt>
                <c:pt idx="1">
                  <c:v>25.2484</c:v>
                </c:pt>
                <c:pt idx="2">
                  <c:v>25.8414</c:v>
                </c:pt>
                <c:pt idx="3">
                  <c:v>25.53430000000001</c:v>
                </c:pt>
                <c:pt idx="4">
                  <c:v>26.0996</c:v>
                </c:pt>
                <c:pt idx="5">
                  <c:v>24.6128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8647832"/>
        <c:axId val="2128710296"/>
      </c:barChart>
      <c:catAx>
        <c:axId val="2128647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GB"/>
                  <a:t>Plough technique</a:t>
                </a:r>
              </a:p>
            </c:rich>
          </c:tx>
          <c:overlay val="0"/>
        </c:title>
        <c:majorTickMark val="out"/>
        <c:minorTickMark val="none"/>
        <c:tickLblPos val="nextTo"/>
        <c:crossAx val="2128710296"/>
        <c:crosses val="autoZero"/>
        <c:auto val="1"/>
        <c:lblAlgn val="ctr"/>
        <c:lblOffset val="100"/>
        <c:noMultiLvlLbl val="0"/>
      </c:catAx>
      <c:valAx>
        <c:axId val="2128710296"/>
        <c:scaling>
          <c:orientation val="minMax"/>
          <c:max val="27.0"/>
          <c:min val="20.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 dirty="0"/>
                  <a:t>P uptake at GS92 (kg </a:t>
                </a:r>
                <a:r>
                  <a:rPr lang="en-GB" dirty="0" smtClean="0"/>
                  <a:t>P</a:t>
                </a:r>
                <a:r>
                  <a:rPr lang="en-GB" baseline="0" dirty="0" smtClean="0"/>
                  <a:t> </a:t>
                </a:r>
                <a:r>
                  <a:rPr lang="en-GB" dirty="0" smtClean="0"/>
                  <a:t>ha</a:t>
                </a:r>
                <a:r>
                  <a:rPr lang="en-GB" baseline="30000" dirty="0" smtClean="0"/>
                  <a:t>-1</a:t>
                </a:r>
                <a:r>
                  <a:rPr lang="en-GB" dirty="0" smtClean="0"/>
                  <a:t>)</a:t>
                </a:r>
                <a:endParaRPr lang="en-GB" dirty="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128647832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33D8-648F-DF4D-BD59-78A3840A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8503</Words>
  <Characters>48470</Characters>
  <Application>Microsoft Macintosh Word</Application>
  <DocSecurity>4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2015-05-06T11:28:00Z</dcterms:created>
  <dcterms:modified xsi:type="dcterms:W3CDTF">2015-05-06T11:28:00Z</dcterms:modified>
</cp:coreProperties>
</file>