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DEB" w:rsidRPr="009832BC" w:rsidRDefault="00977DEB" w:rsidP="00FA5773">
      <w:pPr>
        <w:pStyle w:val="Title"/>
        <w:pBdr>
          <w:bottom w:val="single" w:sz="4" w:space="2" w:color="auto"/>
        </w:pBdr>
        <w:spacing w:line="480" w:lineRule="auto"/>
        <w:rPr>
          <w:b/>
          <w:bCs/>
          <w:sz w:val="28"/>
          <w:szCs w:val="28"/>
        </w:rPr>
      </w:pPr>
      <w:r w:rsidRPr="009832BC">
        <w:rPr>
          <w:b/>
          <w:bCs/>
          <w:sz w:val="24"/>
          <w:szCs w:val="24"/>
        </w:rPr>
        <w:t>Women’s economic activity trajectories over the life course: implications for the se</w:t>
      </w:r>
      <w:r>
        <w:rPr>
          <w:b/>
          <w:bCs/>
          <w:sz w:val="24"/>
          <w:szCs w:val="24"/>
        </w:rPr>
        <w:t>lf-rated health of women aged 64</w:t>
      </w:r>
      <w:r w:rsidRPr="009832BC">
        <w:rPr>
          <w:b/>
          <w:bCs/>
          <w:sz w:val="24"/>
          <w:szCs w:val="24"/>
        </w:rPr>
        <w:t>+ in England</w:t>
      </w:r>
    </w:p>
    <w:p w:rsidR="00977DEB" w:rsidRPr="00FE5C00" w:rsidRDefault="00977DEB" w:rsidP="00FA5773">
      <w:pPr>
        <w:spacing w:line="480" w:lineRule="auto"/>
        <w:rPr>
          <w:sz w:val="20"/>
          <w:szCs w:val="20"/>
        </w:rPr>
      </w:pPr>
    </w:p>
    <w:p w:rsidR="00977DEB" w:rsidRPr="00FE5C00" w:rsidRDefault="00977DEB" w:rsidP="001318D7">
      <w:pPr>
        <w:spacing w:line="480" w:lineRule="auto"/>
      </w:pPr>
      <w:r w:rsidRPr="00FE5C00">
        <w:t>Juliet Stone</w:t>
      </w:r>
      <w:r>
        <w:rPr>
          <w:vertAlign w:val="superscript"/>
        </w:rPr>
        <w:t>1a</w:t>
      </w:r>
      <w:r w:rsidRPr="00FE5C00">
        <w:t>, Maria Evandrou</w:t>
      </w:r>
      <w:r>
        <w:rPr>
          <w:vertAlign w:val="superscript"/>
        </w:rPr>
        <w:t>1,2</w:t>
      </w:r>
      <w:r w:rsidRPr="00FE5C00">
        <w:t>, Jane Falkingham</w:t>
      </w:r>
      <w:r>
        <w:rPr>
          <w:vertAlign w:val="superscript"/>
        </w:rPr>
        <w:t>1</w:t>
      </w:r>
      <w:r w:rsidRPr="00FE5C00">
        <w:t xml:space="preserve"> and </w:t>
      </w:r>
      <w:proofErr w:type="spellStart"/>
      <w:r w:rsidRPr="00FE5C00">
        <w:t>Athina</w:t>
      </w:r>
      <w:proofErr w:type="spellEnd"/>
      <w:r w:rsidRPr="00FE5C00">
        <w:t xml:space="preserve"> Vlachantoni</w:t>
      </w:r>
      <w:r>
        <w:rPr>
          <w:vertAlign w:val="superscript"/>
        </w:rPr>
        <w:t>1,2</w:t>
      </w:r>
      <w:r w:rsidRPr="00FE5C00">
        <w:t>.</w:t>
      </w:r>
    </w:p>
    <w:p w:rsidR="00977DEB" w:rsidRDefault="00977DEB" w:rsidP="00FA5773">
      <w:pPr>
        <w:spacing w:line="480" w:lineRule="auto"/>
        <w:rPr>
          <w:i/>
          <w:iCs/>
        </w:rPr>
      </w:pPr>
      <w:r>
        <w:rPr>
          <w:i/>
          <w:iCs/>
          <w:vertAlign w:val="superscript"/>
        </w:rPr>
        <w:t>1</w:t>
      </w:r>
      <w:r w:rsidRPr="00FE5C00">
        <w:rPr>
          <w:i/>
          <w:iCs/>
        </w:rPr>
        <w:t xml:space="preserve">ESRC Centre for Population Change, University of Southampton, UK. </w:t>
      </w:r>
    </w:p>
    <w:p w:rsidR="00977DEB" w:rsidRPr="00214B70" w:rsidRDefault="00977DEB" w:rsidP="00FA5773">
      <w:pPr>
        <w:spacing w:line="480" w:lineRule="auto"/>
        <w:rPr>
          <w:i/>
          <w:iCs/>
          <w:vertAlign w:val="superscript"/>
        </w:rPr>
      </w:pPr>
      <w:r>
        <w:rPr>
          <w:i/>
          <w:iCs/>
          <w:vertAlign w:val="superscript"/>
        </w:rPr>
        <w:t>2</w:t>
      </w:r>
      <w:r w:rsidRPr="00214B70">
        <w:t xml:space="preserve"> </w:t>
      </w:r>
      <w:r w:rsidRPr="00214B70">
        <w:rPr>
          <w:i/>
          <w:iCs/>
        </w:rPr>
        <w:t>Centre for Research on Ageing, University of Southampton, Southampton, UK</w:t>
      </w:r>
    </w:p>
    <w:p w:rsidR="00977DEB" w:rsidRDefault="00977DEB" w:rsidP="00FA5773">
      <w:pPr>
        <w:spacing w:line="480" w:lineRule="auto"/>
      </w:pPr>
      <w:r>
        <w:rPr>
          <w:vertAlign w:val="superscript"/>
        </w:rPr>
        <w:t>a</w:t>
      </w:r>
      <w:r>
        <w:t xml:space="preserve"> Corresponding author</w:t>
      </w:r>
      <w:r w:rsidRPr="00214B70">
        <w:t xml:space="preserve">: </w:t>
      </w:r>
    </w:p>
    <w:p w:rsidR="00977DEB" w:rsidRDefault="00977DEB" w:rsidP="00FA5773">
      <w:pPr>
        <w:spacing w:line="480" w:lineRule="auto"/>
      </w:pPr>
      <w:proofErr w:type="spellStart"/>
      <w:r>
        <w:t>Dr.</w:t>
      </w:r>
      <w:proofErr w:type="spellEnd"/>
      <w:r>
        <w:t xml:space="preserve"> Juliet Stone</w:t>
      </w:r>
    </w:p>
    <w:p w:rsidR="00977DEB" w:rsidRDefault="00977DEB" w:rsidP="00FA5773">
      <w:pPr>
        <w:spacing w:line="480" w:lineRule="auto"/>
      </w:pPr>
      <w:r>
        <w:t>Centre for Population Change</w:t>
      </w:r>
    </w:p>
    <w:p w:rsidR="00977DEB" w:rsidRDefault="00977DEB" w:rsidP="00FA5773">
      <w:pPr>
        <w:spacing w:line="480" w:lineRule="auto"/>
      </w:pPr>
      <w:r>
        <w:t>School of Social Sciences</w:t>
      </w:r>
    </w:p>
    <w:p w:rsidR="00977DEB" w:rsidRDefault="00977DEB" w:rsidP="00FA5773">
      <w:pPr>
        <w:spacing w:line="480" w:lineRule="auto"/>
      </w:pPr>
      <w:r>
        <w:t>Room 2043, Building 58</w:t>
      </w:r>
    </w:p>
    <w:p w:rsidR="00977DEB" w:rsidRDefault="00977DEB" w:rsidP="00FA5773">
      <w:pPr>
        <w:spacing w:line="480" w:lineRule="auto"/>
      </w:pPr>
      <w:r>
        <w:t>University of Southampton</w:t>
      </w:r>
    </w:p>
    <w:p w:rsidR="00977DEB" w:rsidRDefault="00977DEB" w:rsidP="00FA5773">
      <w:pPr>
        <w:spacing w:line="480" w:lineRule="auto"/>
      </w:pPr>
      <w:r>
        <w:t>Highfield,</w:t>
      </w:r>
    </w:p>
    <w:p w:rsidR="00977DEB" w:rsidRDefault="00977DEB" w:rsidP="00FA5773">
      <w:pPr>
        <w:spacing w:line="480" w:lineRule="auto"/>
      </w:pPr>
      <w:r>
        <w:t>Southampton S017 1BJ</w:t>
      </w:r>
    </w:p>
    <w:p w:rsidR="00977DEB" w:rsidRDefault="00977DEB" w:rsidP="00FA5773">
      <w:pPr>
        <w:spacing w:line="480" w:lineRule="auto"/>
      </w:pPr>
      <w:r w:rsidRPr="00214B70">
        <w:t xml:space="preserve">Tel: (+44) 23 80593071; </w:t>
      </w:r>
    </w:p>
    <w:p w:rsidR="00977DEB" w:rsidRDefault="00977DEB" w:rsidP="00FA5773">
      <w:pPr>
        <w:spacing w:line="480" w:lineRule="auto"/>
      </w:pPr>
      <w:r w:rsidRPr="00214B70">
        <w:t xml:space="preserve">Fax: (+44) 23 80593131. </w:t>
      </w:r>
    </w:p>
    <w:p w:rsidR="00977DEB" w:rsidRPr="00F40988" w:rsidRDefault="00977DEB" w:rsidP="00FA5773">
      <w:pPr>
        <w:spacing w:line="480" w:lineRule="auto"/>
        <w:rPr>
          <w:lang w:val="fr-FR"/>
        </w:rPr>
      </w:pPr>
      <w:r w:rsidRPr="00F40988">
        <w:rPr>
          <w:lang w:val="fr-FR"/>
        </w:rPr>
        <w:t xml:space="preserve">Email: </w:t>
      </w:r>
      <w:hyperlink r:id="rId8" w:history="1">
        <w:r w:rsidRPr="00F40988">
          <w:rPr>
            <w:rStyle w:val="Hyperlink"/>
            <w:lang w:val="fr-FR"/>
          </w:rPr>
          <w:t>j.stone@soton.ac.uk</w:t>
        </w:r>
      </w:hyperlink>
    </w:p>
    <w:p w:rsidR="00977DEB" w:rsidRPr="00F40988" w:rsidRDefault="00977DEB" w:rsidP="00FA5773">
      <w:pPr>
        <w:spacing w:line="480" w:lineRule="auto"/>
        <w:rPr>
          <w:lang w:val="fr-FR"/>
        </w:rPr>
      </w:pPr>
    </w:p>
    <w:p w:rsidR="00977DEB" w:rsidRDefault="00977DEB" w:rsidP="00FA5773">
      <w:pPr>
        <w:rPr>
          <w:b/>
          <w:bCs/>
          <w:sz w:val="24"/>
          <w:szCs w:val="24"/>
        </w:rPr>
      </w:pPr>
      <w:r>
        <w:rPr>
          <w:b/>
          <w:bCs/>
          <w:sz w:val="24"/>
          <w:szCs w:val="24"/>
        </w:rPr>
        <w:t xml:space="preserve">Keywords: </w:t>
      </w:r>
      <w:r w:rsidRPr="00707A13">
        <w:rPr>
          <w:sz w:val="24"/>
          <w:szCs w:val="24"/>
        </w:rPr>
        <w:t>Women; England;</w:t>
      </w:r>
      <w:r>
        <w:rPr>
          <w:b/>
          <w:bCs/>
          <w:sz w:val="24"/>
          <w:szCs w:val="24"/>
        </w:rPr>
        <w:t xml:space="preserve"> </w:t>
      </w:r>
      <w:r w:rsidRPr="008A262E">
        <w:rPr>
          <w:sz w:val="24"/>
          <w:szCs w:val="24"/>
        </w:rPr>
        <w:t>Life course;</w:t>
      </w:r>
      <w:r>
        <w:rPr>
          <w:b/>
          <w:bCs/>
          <w:sz w:val="24"/>
          <w:szCs w:val="24"/>
        </w:rPr>
        <w:t xml:space="preserve"> </w:t>
      </w:r>
      <w:r w:rsidRPr="008A262E">
        <w:rPr>
          <w:sz w:val="24"/>
          <w:szCs w:val="24"/>
        </w:rPr>
        <w:t>Work; Family</w:t>
      </w:r>
    </w:p>
    <w:p w:rsidR="00977DEB" w:rsidRDefault="00977DEB" w:rsidP="00FA5773">
      <w:pPr>
        <w:rPr>
          <w:b/>
          <w:bCs/>
          <w:sz w:val="24"/>
          <w:szCs w:val="24"/>
        </w:rPr>
      </w:pPr>
    </w:p>
    <w:p w:rsidR="00977DEB" w:rsidRDefault="00977DEB" w:rsidP="00FA5773">
      <w:pPr>
        <w:rPr>
          <w:b/>
          <w:bCs/>
          <w:sz w:val="24"/>
          <w:szCs w:val="24"/>
        </w:rPr>
      </w:pPr>
    </w:p>
    <w:p w:rsidR="00977DEB" w:rsidRDefault="00977DEB" w:rsidP="000127CF">
      <w:pPr>
        <w:rPr>
          <w:sz w:val="24"/>
          <w:szCs w:val="24"/>
        </w:rPr>
      </w:pPr>
      <w:r>
        <w:rPr>
          <w:b/>
          <w:bCs/>
          <w:sz w:val="24"/>
          <w:szCs w:val="24"/>
        </w:rPr>
        <w:t xml:space="preserve">Word count: </w:t>
      </w:r>
      <w:r w:rsidRPr="005C208A">
        <w:rPr>
          <w:sz w:val="24"/>
          <w:szCs w:val="24"/>
        </w:rPr>
        <w:t>3,830</w:t>
      </w:r>
    </w:p>
    <w:p w:rsidR="00977DEB" w:rsidRDefault="00977DEB" w:rsidP="00FA5773">
      <w:r>
        <w:br w:type="page"/>
      </w:r>
    </w:p>
    <w:p w:rsidR="00977DEB" w:rsidRPr="009832BC" w:rsidRDefault="00977DEB" w:rsidP="00B204A8">
      <w:pPr>
        <w:pStyle w:val="Title"/>
        <w:pBdr>
          <w:bottom w:val="single" w:sz="4" w:space="2" w:color="auto"/>
        </w:pBdr>
        <w:spacing w:line="480" w:lineRule="auto"/>
        <w:rPr>
          <w:b/>
          <w:bCs/>
          <w:sz w:val="28"/>
          <w:szCs w:val="28"/>
        </w:rPr>
      </w:pPr>
      <w:r w:rsidRPr="009832BC">
        <w:rPr>
          <w:b/>
          <w:bCs/>
          <w:sz w:val="24"/>
          <w:szCs w:val="24"/>
        </w:rPr>
        <w:lastRenderedPageBreak/>
        <w:t>Women’s economic activity trajectories over the life course: implications for self-rated health of women aged 6</w:t>
      </w:r>
      <w:r>
        <w:rPr>
          <w:b/>
          <w:bCs/>
          <w:sz w:val="24"/>
          <w:szCs w:val="24"/>
        </w:rPr>
        <w:t>4</w:t>
      </w:r>
      <w:r w:rsidRPr="009832BC">
        <w:rPr>
          <w:b/>
          <w:bCs/>
          <w:sz w:val="24"/>
          <w:szCs w:val="24"/>
        </w:rPr>
        <w:t>+ in England</w:t>
      </w:r>
    </w:p>
    <w:p w:rsidR="00977DEB" w:rsidRPr="00FE5C00" w:rsidRDefault="00977DEB" w:rsidP="00D95A22">
      <w:pPr>
        <w:spacing w:line="480" w:lineRule="auto"/>
        <w:rPr>
          <w:sz w:val="20"/>
          <w:szCs w:val="20"/>
        </w:rPr>
      </w:pPr>
    </w:p>
    <w:p w:rsidR="00977DEB" w:rsidRPr="006336B3" w:rsidRDefault="00977DEB" w:rsidP="00D95A22">
      <w:pPr>
        <w:pStyle w:val="Heading1"/>
        <w:spacing w:line="480" w:lineRule="auto"/>
        <w:rPr>
          <w:sz w:val="20"/>
          <w:szCs w:val="20"/>
        </w:rPr>
      </w:pPr>
      <w:r>
        <w:t>Abstract</w:t>
      </w:r>
    </w:p>
    <w:p w:rsidR="00977DEB" w:rsidRDefault="00977DEB" w:rsidP="00D95A22">
      <w:pPr>
        <w:pStyle w:val="Heading2"/>
        <w:spacing w:line="480" w:lineRule="auto"/>
      </w:pPr>
      <w:r>
        <w:t>Background</w:t>
      </w:r>
    </w:p>
    <w:p w:rsidR="00977DEB" w:rsidRDefault="00977DEB" w:rsidP="00FE287F">
      <w:pPr>
        <w:spacing w:line="480" w:lineRule="auto"/>
      </w:pPr>
      <w:r>
        <w:t>P</w:t>
      </w:r>
      <w:r w:rsidRPr="007B44F8">
        <w:t xml:space="preserve">revious research has highlighted the importance of accumulated life course labour market status </w:t>
      </w:r>
      <w:r>
        <w:t xml:space="preserve">and balancing multiple roles </w:t>
      </w:r>
      <w:r w:rsidRPr="007B44F8">
        <w:t xml:space="preserve">for understanding inequalities in health in later life. </w:t>
      </w:r>
      <w:r>
        <w:t xml:space="preserve">This may be particularly important for women, who are increasingly required to balance work and family life in liberal welfare contexts such as Britain. </w:t>
      </w:r>
    </w:p>
    <w:p w:rsidR="00977DEB" w:rsidRPr="007B44F8" w:rsidRDefault="00977DEB" w:rsidP="00D95A22">
      <w:pPr>
        <w:pStyle w:val="Heading2"/>
        <w:spacing w:line="480" w:lineRule="auto"/>
      </w:pPr>
      <w:r w:rsidRPr="007B44F8">
        <w:t>Methods</w:t>
      </w:r>
    </w:p>
    <w:p w:rsidR="00977DEB" w:rsidRDefault="00977DEB" w:rsidP="00B204A8">
      <w:pPr>
        <w:spacing w:line="480" w:lineRule="auto"/>
      </w:pPr>
      <w:r>
        <w:t>This study analyses retrospective life history data for 2,160 women aged 64+ (born 1909-1943) from the English Longitudinal Study of Ageing, collected in 2006-7 as part of an ongoing panel study. O</w:t>
      </w:r>
      <w:r w:rsidRPr="007B44F8">
        <w:t xml:space="preserve">ptimal matching and cluster analysis </w:t>
      </w:r>
      <w:r>
        <w:t>are used to</w:t>
      </w:r>
      <w:r w:rsidRPr="007B44F8">
        <w:t xml:space="preserve"> produce a taxonomy of women’s life-course economic activity trajectories based on their experiences between ages 16 and 6</w:t>
      </w:r>
      <w:r>
        <w:t>4</w:t>
      </w:r>
      <w:r w:rsidRPr="007B44F8">
        <w:t xml:space="preserve"> years. This classification is then used in logistic regression analysis to </w:t>
      </w:r>
      <w:r>
        <w:t>investigate associations</w:t>
      </w:r>
      <w:r w:rsidRPr="007B44F8">
        <w:t xml:space="preserve"> with self-rated health in later life. </w:t>
      </w:r>
    </w:p>
    <w:p w:rsidR="00977DEB" w:rsidRDefault="00977DEB" w:rsidP="00D95A22">
      <w:pPr>
        <w:pStyle w:val="Heading2"/>
        <w:spacing w:line="480" w:lineRule="auto"/>
      </w:pPr>
      <w:r>
        <w:t xml:space="preserve">Results </w:t>
      </w:r>
    </w:p>
    <w:p w:rsidR="00977DEB" w:rsidRDefault="00977DEB" w:rsidP="00480F0A">
      <w:pPr>
        <w:spacing w:line="480" w:lineRule="auto"/>
      </w:pPr>
      <w:r w:rsidRPr="007B44F8">
        <w:t>A set of five trajectories emerge as the dominant patterns of women’s economic activity over the life course</w:t>
      </w:r>
      <w:r>
        <w:t xml:space="preserve"> for those cohorts of  English women born prior to 1943: 1. Full-time workers; 2. Family carers; 3. Full-time returners; 4. Part-time returners; 5. Atypical/inactive. </w:t>
      </w:r>
      <w:r w:rsidRPr="007B44F8">
        <w:t xml:space="preserve">Regression analyses show that women who </w:t>
      </w:r>
      <w:r>
        <w:t xml:space="preserve">experience defined periods of </w:t>
      </w:r>
      <w:r w:rsidRPr="007B44F8">
        <w:t xml:space="preserve">full-time work </w:t>
      </w:r>
      <w:r>
        <w:t>both before and after focusing on</w:t>
      </w:r>
      <w:r w:rsidRPr="007B44F8">
        <w:t xml:space="preserve"> family life appear to have the most favoura</w:t>
      </w:r>
      <w:r>
        <w:t>b</w:t>
      </w:r>
      <w:r w:rsidRPr="007B44F8">
        <w:t xml:space="preserve">le </w:t>
      </w:r>
      <w:r>
        <w:t xml:space="preserve">later life health </w:t>
      </w:r>
      <w:r w:rsidRPr="007B44F8">
        <w:t xml:space="preserve">outcomes. </w:t>
      </w:r>
    </w:p>
    <w:p w:rsidR="00977DEB" w:rsidRDefault="00977DEB" w:rsidP="00D95A22">
      <w:pPr>
        <w:pStyle w:val="Heading2"/>
        <w:spacing w:line="480" w:lineRule="auto"/>
      </w:pPr>
      <w:r>
        <w:t>Conclusions</w:t>
      </w:r>
    </w:p>
    <w:p w:rsidR="00977DEB" w:rsidRDefault="00977DEB" w:rsidP="00D95A22">
      <w:pPr>
        <w:spacing w:line="480" w:lineRule="auto"/>
      </w:pPr>
      <w:r w:rsidRPr="007B44F8">
        <w:t xml:space="preserve">The findings are discussed with reference to the accumulation of social and economic resources over the life course and the balancing of multiple roles in work and family domains. In conclusion, </w:t>
      </w:r>
      <w:r>
        <w:t xml:space="preserve">the </w:t>
      </w:r>
      <w:r w:rsidRPr="007B44F8">
        <w:t>development of policies that facilitate women, if they wish, to successfully combine paid employment with family life</w:t>
      </w:r>
      <w:r>
        <w:t>,</w:t>
      </w:r>
      <w:r w:rsidRPr="007B44F8">
        <w:t xml:space="preserve"> could have a positive impact on their health in later life.</w:t>
      </w:r>
    </w:p>
    <w:p w:rsidR="00977DEB" w:rsidRDefault="00977DEB" w:rsidP="00D95A22">
      <w:pPr>
        <w:spacing w:line="480" w:lineRule="auto"/>
      </w:pPr>
      <w:r>
        <w:br w:type="page"/>
      </w:r>
    </w:p>
    <w:p w:rsidR="00977DEB" w:rsidRDefault="00977DEB" w:rsidP="00B204A8">
      <w:pPr>
        <w:spacing w:line="480" w:lineRule="auto"/>
      </w:pPr>
      <w:r w:rsidRPr="00621CE7">
        <w:rPr>
          <w:rStyle w:val="Heading1Char"/>
        </w:rPr>
        <w:lastRenderedPageBreak/>
        <w:t>What is already known on this subject?</w:t>
      </w:r>
      <w:r w:rsidRPr="00EF1CE1">
        <w:br/>
      </w:r>
      <w:r w:rsidRPr="00621CE7">
        <w:t>Previous research on women’s life-course economic activity status and later health has tended to focus on disti</w:t>
      </w:r>
      <w:r>
        <w:t>n</w:t>
      </w:r>
      <w:r w:rsidRPr="00621CE7">
        <w:t>ct periods of life</w:t>
      </w:r>
      <w:r>
        <w:t>,</w:t>
      </w:r>
      <w:r w:rsidRPr="00621CE7">
        <w:t xml:space="preserve"> </w:t>
      </w:r>
      <w:r>
        <w:t xml:space="preserve">such as the period around family formation, </w:t>
      </w:r>
      <w:r w:rsidRPr="00621CE7">
        <w:t xml:space="preserve">or has used summary measures of, for example, accumulated labour market experience. Evidence documenting </w:t>
      </w:r>
      <w:r>
        <w:t xml:space="preserve">entire </w:t>
      </w:r>
      <w:r w:rsidRPr="00621CE7">
        <w:t>trajectories of economic activity, incorporating the sequence and timing of multiple role experiences, and how this relates to women’s later health, is lacking for Britain.</w:t>
      </w:r>
    </w:p>
    <w:p w:rsidR="00977DEB" w:rsidRPr="00EF1CE1" w:rsidRDefault="00977DEB" w:rsidP="00D95A22">
      <w:pPr>
        <w:spacing w:line="480" w:lineRule="auto"/>
      </w:pPr>
    </w:p>
    <w:p w:rsidR="00977DEB" w:rsidRDefault="00977DEB" w:rsidP="00480F0A">
      <w:pPr>
        <w:spacing w:line="480" w:lineRule="auto"/>
      </w:pPr>
      <w:r>
        <w:rPr>
          <w:rStyle w:val="Heading1Char"/>
        </w:rPr>
        <w:t>What this study adds</w:t>
      </w:r>
      <w:r w:rsidRPr="00EF1CE1">
        <w:br/>
      </w:r>
      <w:r>
        <w:t>This study shows that the dominant types of economic activity trajectories experienced by older women have remained relatively limited despite rapid societal changes over the twentieth century. The findings suggest that sequential experiences of multiple roles in work and family domains of life are beneficial to later health and this is only partly explained by accumulated economic and social resources. P</w:t>
      </w:r>
      <w:r>
        <w:rPr>
          <w:rFonts w:eastAsia="PMingLiU"/>
          <w:lang w:eastAsia="zh-TW"/>
        </w:rPr>
        <w:t xml:space="preserve">olicies which support women in combining economic and social roles over the life course may therefore produce benefits in terms of later life health outcomes, as well as maximising women’s pension contributions over their life course. </w:t>
      </w:r>
    </w:p>
    <w:p w:rsidR="00977DEB" w:rsidRDefault="00977DEB" w:rsidP="00D95A22">
      <w:pPr>
        <w:spacing w:line="480" w:lineRule="auto"/>
      </w:pPr>
    </w:p>
    <w:p w:rsidR="00977DEB" w:rsidRDefault="00977DEB" w:rsidP="00D95A22">
      <w:pPr>
        <w:spacing w:line="480" w:lineRule="auto"/>
      </w:pPr>
      <w:r>
        <w:br w:type="page"/>
      </w:r>
    </w:p>
    <w:p w:rsidR="00977DEB" w:rsidRPr="007F5326" w:rsidRDefault="00977DEB" w:rsidP="00D95A22">
      <w:pPr>
        <w:pStyle w:val="Heading1"/>
        <w:spacing w:line="480" w:lineRule="auto"/>
      </w:pPr>
      <w:r w:rsidRPr="007F5326">
        <w:lastRenderedPageBreak/>
        <w:t xml:space="preserve">Introduction </w:t>
      </w:r>
    </w:p>
    <w:p w:rsidR="00977DEB" w:rsidRDefault="00977DEB" w:rsidP="00D95A22">
      <w:pPr>
        <w:pStyle w:val="Heading2"/>
        <w:spacing w:line="480" w:lineRule="auto"/>
      </w:pPr>
      <w:r>
        <w:t>Background</w:t>
      </w:r>
    </w:p>
    <w:p w:rsidR="00977DEB" w:rsidRDefault="00977DEB" w:rsidP="00911A05">
      <w:pPr>
        <w:autoSpaceDE w:val="0"/>
        <w:autoSpaceDN w:val="0"/>
        <w:adjustRightInd w:val="0"/>
        <w:spacing w:line="480" w:lineRule="auto"/>
      </w:pPr>
      <w:r>
        <w:t>In an ageing population, maximising healthy life expectancy is a key</w:t>
      </w:r>
      <w:r w:rsidRPr="00C0393A">
        <w:t xml:space="preserve"> </w:t>
      </w:r>
      <w:r>
        <w:t xml:space="preserve">objective both at an individual and population level. In Britain, evidence suggests that </w:t>
      </w:r>
      <w:r w:rsidRPr="00B83F67">
        <w:t xml:space="preserve">health inequalities persist across the life course and into older age </w:t>
      </w:r>
      <w:r>
        <w:rPr>
          <w:noProof/>
        </w:rPr>
        <w:t>[1, 2]</w:t>
      </w:r>
      <w:r>
        <w:t xml:space="preserve">. In order to </w:t>
      </w:r>
      <w:r w:rsidRPr="00B83F67">
        <w:t>understand the diversity of circumstances amon</w:t>
      </w:r>
      <w:r>
        <w:t>g people currently in older age, it is important to consider</w:t>
      </w:r>
      <w:r w:rsidRPr="00B83F67">
        <w:t xml:space="preserve"> their preceding life course</w:t>
      </w:r>
      <w:r>
        <w:t xml:space="preserve"> </w:t>
      </w:r>
      <w:r>
        <w:rPr>
          <w:noProof/>
        </w:rPr>
        <w:t>[3]</w:t>
      </w:r>
      <w:r w:rsidRPr="00B83F67">
        <w:t>; this may include inequalities in life chances that accumulate to produce inequalities in later life</w:t>
      </w:r>
      <w:r>
        <w:t xml:space="preserve"> </w:t>
      </w:r>
      <w:r>
        <w:rPr>
          <w:noProof/>
        </w:rPr>
        <w:t>[4]</w:t>
      </w:r>
      <w:r>
        <w:t>,</w:t>
      </w:r>
      <w:r w:rsidRPr="00B83F67">
        <w:t xml:space="preserve"> the effects of life-course labour market activity on current financial status</w:t>
      </w:r>
      <w:r>
        <w:t xml:space="preserve"> </w:t>
      </w:r>
      <w:r>
        <w:rPr>
          <w:noProof/>
        </w:rPr>
        <w:t>[5]</w:t>
      </w:r>
      <w:r>
        <w:t>,</w:t>
      </w:r>
      <w:r w:rsidRPr="00B83F67">
        <w:t xml:space="preserve"> and continuity of social activities and networks formed during earlier life</w:t>
      </w:r>
      <w:r>
        <w:t xml:space="preserve"> </w:t>
      </w:r>
      <w:r>
        <w:rPr>
          <w:noProof/>
        </w:rPr>
        <w:t>[3]</w:t>
      </w:r>
      <w:r w:rsidRPr="00B83F67">
        <w:t>.</w:t>
      </w:r>
      <w:r>
        <w:t xml:space="preserve"> Existing research shows that women’s work and family histories shape their economic resources in later life </w:t>
      </w:r>
      <w:r>
        <w:rPr>
          <w:noProof/>
        </w:rPr>
        <w:t>[5, 6]</w:t>
      </w:r>
      <w:r>
        <w:t xml:space="preserve">, although mediated in part by their welfare context </w:t>
      </w:r>
      <w:r>
        <w:rPr>
          <w:noProof/>
        </w:rPr>
        <w:t>[7]</w:t>
      </w:r>
      <w:r>
        <w:t xml:space="preserve">. This may, in turn, reinforce health inequalities among the older population. </w:t>
      </w:r>
    </w:p>
    <w:p w:rsidR="00977DEB" w:rsidRDefault="00977DEB" w:rsidP="00D95A22">
      <w:pPr>
        <w:spacing w:line="480" w:lineRule="auto"/>
      </w:pPr>
    </w:p>
    <w:p w:rsidR="00977DEB" w:rsidRDefault="00977DEB" w:rsidP="00911A05">
      <w:pPr>
        <w:spacing w:line="480" w:lineRule="auto"/>
      </w:pPr>
      <w:r>
        <w:t xml:space="preserve">Taken together, these factors highlight the importance of describing patterns of women’s life-course economic activity over the twentieth century and their potential influence on health in later life. To inform policies that address this issue, there is a need to increase understanding of </w:t>
      </w:r>
      <w:r w:rsidRPr="00B83F67">
        <w:t>the processes by which diseases and disorders develop throughout people’s lives</w:t>
      </w:r>
      <w:r>
        <w:t xml:space="preserve">; for example the extent to which health status presents an accumulated advantage or disadvantage across the life course </w:t>
      </w:r>
      <w:r>
        <w:rPr>
          <w:noProof/>
        </w:rPr>
        <w:t>[8]</w:t>
      </w:r>
      <w:r>
        <w:t xml:space="preserve"> or the </w:t>
      </w:r>
      <w:r w:rsidRPr="00B83F67">
        <w:t xml:space="preserve">impact </w:t>
      </w:r>
      <w:r>
        <w:t xml:space="preserve">of balancing work and family life </w:t>
      </w:r>
      <w:r w:rsidRPr="00B83F67">
        <w:t>upon later health outcomes</w:t>
      </w:r>
      <w:r>
        <w:t xml:space="preserve"> </w:t>
      </w:r>
      <w:r>
        <w:rPr>
          <w:noProof/>
        </w:rPr>
        <w:t>[9]</w:t>
      </w:r>
      <w:r w:rsidRPr="00B83F67">
        <w:t xml:space="preserve">. </w:t>
      </w:r>
    </w:p>
    <w:p w:rsidR="00977DEB" w:rsidRDefault="00977DEB" w:rsidP="00EB1EDD">
      <w:pPr>
        <w:spacing w:line="480" w:lineRule="auto"/>
      </w:pPr>
    </w:p>
    <w:p w:rsidR="00977DEB" w:rsidRDefault="00977DEB" w:rsidP="00D95A22">
      <w:pPr>
        <w:pStyle w:val="Heading2"/>
        <w:spacing w:line="480" w:lineRule="auto"/>
      </w:pPr>
      <w:r>
        <w:t>Theoretical framework</w:t>
      </w:r>
    </w:p>
    <w:p w:rsidR="00977DEB" w:rsidRDefault="00977DEB" w:rsidP="00911A05">
      <w:pPr>
        <w:spacing w:line="480" w:lineRule="auto"/>
        <w:rPr>
          <w:b/>
          <w:bCs/>
        </w:rPr>
      </w:pPr>
      <w:r>
        <w:t xml:space="preserve">This paper considers three inter-related theoretical standpoints to investigate women’s economic activity over the life course and its relationship with health in later life: 1) </w:t>
      </w:r>
      <w:r>
        <w:rPr>
          <w:i/>
          <w:iCs/>
        </w:rPr>
        <w:t>A</w:t>
      </w:r>
      <w:r w:rsidRPr="005A6E62">
        <w:rPr>
          <w:i/>
          <w:iCs/>
        </w:rPr>
        <w:t xml:space="preserve">ccumulated advantage/disadvantage </w:t>
      </w:r>
      <w:r>
        <w:t xml:space="preserve">over the life course; 2) </w:t>
      </w:r>
      <w:r w:rsidRPr="008E193B">
        <w:rPr>
          <w:i/>
          <w:iCs/>
        </w:rPr>
        <w:t>L</w:t>
      </w:r>
      <w:r w:rsidRPr="005A6E62">
        <w:rPr>
          <w:i/>
          <w:iCs/>
        </w:rPr>
        <w:t>ife course theory</w:t>
      </w:r>
      <w:r>
        <w:t xml:space="preserve"> and the idea that the </w:t>
      </w:r>
      <w:r w:rsidRPr="005A6E62">
        <w:rPr>
          <w:i/>
          <w:iCs/>
        </w:rPr>
        <w:t>timing, sequence and context</w:t>
      </w:r>
      <w:r>
        <w:t xml:space="preserve"> of key life course transitions and exposures can affect subsequent outcomes, such as health; and 3) The notion of </w:t>
      </w:r>
      <w:r w:rsidRPr="005A6E62">
        <w:rPr>
          <w:i/>
          <w:iCs/>
        </w:rPr>
        <w:t>multiple roles</w:t>
      </w:r>
      <w:r>
        <w:t xml:space="preserve"> when considering women’s economic activity trajectories and the roles they inhabit within work and family domains. </w:t>
      </w:r>
    </w:p>
    <w:p w:rsidR="00977DEB" w:rsidRDefault="00977DEB" w:rsidP="00D95A22">
      <w:pPr>
        <w:spacing w:line="480" w:lineRule="auto"/>
      </w:pPr>
    </w:p>
    <w:p w:rsidR="00977DEB" w:rsidRDefault="00977DEB" w:rsidP="00D95A22">
      <w:pPr>
        <w:spacing w:line="480" w:lineRule="auto"/>
      </w:pPr>
      <w:r>
        <w:t>1. Accumulation of advantage/disadvantage</w:t>
      </w:r>
    </w:p>
    <w:p w:rsidR="00977DEB" w:rsidRDefault="00977DEB" w:rsidP="00134572">
      <w:pPr>
        <w:spacing w:line="480" w:lineRule="auto"/>
      </w:pPr>
      <w:r>
        <w:t xml:space="preserve">The accumulation of advantage/disadvantage has been proposed as a key factor contributing to persistent (health) inequalities. The hypothesis states that social and material experiences over one’s life course, including </w:t>
      </w:r>
      <w:r>
        <w:lastRenderedPageBreak/>
        <w:t xml:space="preserve">life-time labour market experiences, may influence health both directly via the accumulation of financial and material resources and indirectly via the impact of, for example, unemployment on mental health </w:t>
      </w:r>
      <w:r>
        <w:rPr>
          <w:noProof/>
        </w:rPr>
        <w:t>[10]</w:t>
      </w:r>
      <w:r>
        <w:t xml:space="preserve">. In life-course epidemiology, an accumulation model often assumes a dose-response relationship between exposure to “risks” and development of disease </w:t>
      </w:r>
      <w:r>
        <w:rPr>
          <w:noProof/>
        </w:rPr>
        <w:t>[11, 12]</w:t>
      </w:r>
      <w:r>
        <w:t xml:space="preserve"> and the sequence of exposures is essentially immaterial </w:t>
      </w:r>
      <w:r>
        <w:rPr>
          <w:noProof/>
        </w:rPr>
        <w:t>[13]</w:t>
      </w:r>
      <w:r>
        <w:t xml:space="preserve">, although “chains” or clusters of disadvantage or advantage may occur </w:t>
      </w:r>
      <w:r>
        <w:rPr>
          <w:noProof/>
        </w:rPr>
        <w:t>[14]</w:t>
      </w:r>
      <w:r>
        <w:t xml:space="preserve">. Many studies of associations between life-course exposures and later health have been informed by an accumulation model </w:t>
      </w:r>
      <w:r>
        <w:rPr>
          <w:noProof/>
        </w:rPr>
        <w:t>[15-18]</w:t>
      </w:r>
      <w:r>
        <w:t xml:space="preserve"> but frequently use information from only two or three points in time, which limits the extent to which the life course can be studied as a dynamic process. In contrast, a more sociological conceptualisation of the life course explicitly emphasises the sequence and timing of exposures.</w:t>
      </w:r>
    </w:p>
    <w:p w:rsidR="00977DEB" w:rsidRDefault="00977DEB" w:rsidP="00DB19E4">
      <w:pPr>
        <w:spacing w:line="480" w:lineRule="auto"/>
      </w:pPr>
    </w:p>
    <w:p w:rsidR="00977DEB" w:rsidRDefault="00977DEB" w:rsidP="00827370">
      <w:pPr>
        <w:spacing w:line="480" w:lineRule="auto"/>
      </w:pPr>
      <w:r>
        <w:t xml:space="preserve">2. Life course transitions, trajectories and historical context </w:t>
      </w:r>
    </w:p>
    <w:p w:rsidR="00977DEB" w:rsidRDefault="00977DEB" w:rsidP="00EC141B">
      <w:pPr>
        <w:spacing w:line="480" w:lineRule="auto"/>
      </w:pPr>
      <w:r>
        <w:t xml:space="preserve">Central to the life course paradigm are the concepts of trajectory and transition. Transitions, embedded within trajectories, are particularly related to “the adaptive problems of entry and exit from a single role” (p.24) </w:t>
      </w:r>
      <w:r>
        <w:rPr>
          <w:noProof/>
        </w:rPr>
        <w:t>[19]</w:t>
      </w:r>
      <w:r>
        <w:t xml:space="preserve">, including changes in economic activity. A trajectory links states over time and takes into account the duration between changes in state </w:t>
      </w:r>
      <w:r>
        <w:rPr>
          <w:noProof/>
        </w:rPr>
        <w:t>[20]</w:t>
      </w:r>
      <w:r>
        <w:t xml:space="preserve">. The interdependence of different trajectories – such as work, family and health – within and across an individual life course is also emphasised. The present study focuses on trajectories of economic activity, which may be more complex for women than men due to the conflicting demands of work and family.  A life course approach also considers </w:t>
      </w:r>
      <w:r w:rsidRPr="009056F3">
        <w:rPr>
          <w:rFonts w:asciiTheme="majorHAnsi" w:hAnsiTheme="majorHAnsi"/>
        </w:rPr>
        <w:t xml:space="preserve">how historical </w:t>
      </w:r>
      <w:r>
        <w:rPr>
          <w:rFonts w:asciiTheme="majorHAnsi" w:hAnsiTheme="majorHAnsi"/>
        </w:rPr>
        <w:t>time</w:t>
      </w:r>
      <w:r w:rsidRPr="009056F3">
        <w:rPr>
          <w:rFonts w:asciiTheme="majorHAnsi" w:hAnsiTheme="majorHAnsi"/>
        </w:rPr>
        <w:t xml:space="preserve"> can interact</w:t>
      </w:r>
      <w:r>
        <w:rPr>
          <w:rFonts w:asciiTheme="majorHAnsi" w:hAnsiTheme="majorHAnsi"/>
        </w:rPr>
        <w:t>s</w:t>
      </w:r>
      <w:r w:rsidRPr="009056F3">
        <w:rPr>
          <w:rFonts w:asciiTheme="majorHAnsi" w:hAnsiTheme="majorHAnsi"/>
        </w:rPr>
        <w:t xml:space="preserve"> with these trajectories and transitions</w:t>
      </w:r>
      <w:r>
        <w:rPr>
          <w:rFonts w:asciiTheme="majorHAnsi" w:hAnsiTheme="majorHAnsi"/>
        </w:rPr>
        <w:t xml:space="preserve">, reflecting the intersection of personal biographies with social (normative) timelines and socio-historical context </w:t>
      </w:r>
      <w:r>
        <w:rPr>
          <w:noProof/>
        </w:rPr>
        <w:t>[21]</w:t>
      </w:r>
      <w:r>
        <w:t xml:space="preserve">. For women born in the first half of the twentieth century in Britain, their experiences of labour market participation and family life must be considered in the context of a period of </w:t>
      </w:r>
      <w:r w:rsidRPr="00B83F67">
        <w:t xml:space="preserve">rapid </w:t>
      </w:r>
      <w:r>
        <w:t xml:space="preserve">societal change </w:t>
      </w:r>
      <w:r>
        <w:rPr>
          <w:noProof/>
        </w:rPr>
        <w:t>[22]</w:t>
      </w:r>
      <w:r>
        <w:t xml:space="preserve">, including </w:t>
      </w:r>
      <w:r w:rsidRPr="00B83F67">
        <w:t xml:space="preserve">the growth of individualism; the de-standardising of normative </w:t>
      </w:r>
      <w:r>
        <w:t>pathways through the life course</w:t>
      </w:r>
      <w:r w:rsidRPr="00B83F67">
        <w:t>; cha</w:t>
      </w:r>
      <w:r>
        <w:t>nges in</w:t>
      </w:r>
      <w:r w:rsidRPr="00B83F67">
        <w:t xml:space="preserve"> p</w:t>
      </w:r>
      <w:r>
        <w:t>artnership and family formation</w:t>
      </w:r>
      <w:r w:rsidRPr="00B83F67">
        <w:t xml:space="preserve">; and increasing social and spatial inequalities </w:t>
      </w:r>
      <w:r>
        <w:rPr>
          <w:noProof/>
        </w:rPr>
        <w:t>[23]</w:t>
      </w:r>
      <w:r w:rsidRPr="00B83F67">
        <w:t>.</w:t>
      </w:r>
    </w:p>
    <w:p w:rsidR="00977DEB" w:rsidRDefault="00977DEB" w:rsidP="00D95A22">
      <w:pPr>
        <w:spacing w:line="480" w:lineRule="auto"/>
      </w:pPr>
    </w:p>
    <w:p w:rsidR="00977DEB" w:rsidRDefault="00977DEB" w:rsidP="00D95A22">
      <w:pPr>
        <w:spacing w:line="480" w:lineRule="auto"/>
      </w:pPr>
      <w:r>
        <w:t>3. Multiple role theory</w:t>
      </w:r>
    </w:p>
    <w:p w:rsidR="00977DEB" w:rsidRDefault="00977DEB" w:rsidP="00EC141B">
      <w:pPr>
        <w:spacing w:line="480" w:lineRule="auto"/>
      </w:pPr>
      <w:r>
        <w:t xml:space="preserve">The relationship between women’s economic activity and health is often discussed in terms of two competing theories relating to inhabiting different roles in different domains of life </w:t>
      </w:r>
      <w:r>
        <w:rPr>
          <w:noProof/>
        </w:rPr>
        <w:t>[24, 25]</w:t>
      </w:r>
      <w:r>
        <w:t xml:space="preserve">. The ‘role strain’ hypothesis suggests that the competing and accumulating demands associated with occupying multiple roles in working and family life can result in increased strain and stress levels, with a detrimental effect on women’s health </w:t>
      </w:r>
      <w:r>
        <w:rPr>
          <w:noProof/>
        </w:rPr>
        <w:t>[25-</w:t>
      </w:r>
      <w:r>
        <w:rPr>
          <w:noProof/>
        </w:rPr>
        <w:lastRenderedPageBreak/>
        <w:t>27]</w:t>
      </w:r>
      <w:r>
        <w:t xml:space="preserve">. The ‘role accumulation’ hypothesis suggests that multiple roles enhance women’s access to financial, social and emotional resources and hence have a positive impact on their health and wellbeing </w:t>
      </w:r>
      <w:r>
        <w:rPr>
          <w:noProof/>
        </w:rPr>
        <w:t>[27-29]</w:t>
      </w:r>
      <w:r>
        <w:t xml:space="preserve">.  These theoretical and empirical approaches generally take a cross-sectional approach to understanding multiple roles and health, however the longitudinal accumulation of multiple role experiences could also impact on later health outcomes. Accumulated life-course labour market status has been shown to have strong links to health for men </w:t>
      </w:r>
      <w:r>
        <w:rPr>
          <w:noProof/>
        </w:rPr>
        <w:t>[10]</w:t>
      </w:r>
      <w:r>
        <w:t xml:space="preserve">, while an individual’s reproductive history can also affect the later health of both men and women , with early entry into parenthood and high levels of parity associated with poor health </w:t>
      </w:r>
      <w:r>
        <w:rPr>
          <w:noProof/>
        </w:rPr>
        <w:t>[30, 31]</w:t>
      </w:r>
      <w:r>
        <w:t xml:space="preserve">. </w:t>
      </w:r>
    </w:p>
    <w:p w:rsidR="00977DEB" w:rsidRDefault="00977DEB" w:rsidP="00D95A22">
      <w:pPr>
        <w:spacing w:line="480" w:lineRule="auto"/>
      </w:pPr>
    </w:p>
    <w:p w:rsidR="00977DEB" w:rsidRDefault="00977DEB" w:rsidP="00134572">
      <w:pPr>
        <w:autoSpaceDE w:val="0"/>
        <w:autoSpaceDN w:val="0"/>
        <w:adjustRightInd w:val="0"/>
        <w:spacing w:line="480" w:lineRule="auto"/>
      </w:pPr>
      <w:r>
        <w:t xml:space="preserve">In the UK, recent work using the British Household Panel Survey </w:t>
      </w:r>
      <w:r>
        <w:rPr>
          <w:noProof/>
        </w:rPr>
        <w:t>[32]</w:t>
      </w:r>
      <w:r>
        <w:t xml:space="preserve"> has shown that work-family histories can affect the propensity to remain in work after pension age, and that </w:t>
      </w:r>
      <w:r w:rsidRPr="00B83F67">
        <w:t xml:space="preserve">labour market activity </w:t>
      </w:r>
      <w:r>
        <w:t>over the life course can influence</w:t>
      </w:r>
      <w:r w:rsidRPr="00B83F67">
        <w:t xml:space="preserve"> financial status</w:t>
      </w:r>
      <w:r>
        <w:t xml:space="preserve"> in later life </w:t>
      </w:r>
      <w:r>
        <w:rPr>
          <w:noProof/>
        </w:rPr>
        <w:t>[5]</w:t>
      </w:r>
      <w:r>
        <w:t xml:space="preserve">. Work from the USA also indicates that occupying multiple roles in earlier adult life shows a positive association with later health </w:t>
      </w:r>
      <w:r>
        <w:rPr>
          <w:noProof/>
        </w:rPr>
        <w:t>[33]</w:t>
      </w:r>
      <w:r>
        <w:t>. R</w:t>
      </w:r>
      <w:r w:rsidRPr="00B83F67">
        <w:t xml:space="preserve">ecently, </w:t>
      </w:r>
      <w:r>
        <w:t xml:space="preserve">European </w:t>
      </w:r>
      <w:r w:rsidRPr="00B83F67">
        <w:t>data have become available that allow researchers to examine women’s entire adult life course by utilising retrospe</w:t>
      </w:r>
      <w:r>
        <w:t xml:space="preserve">ctively reported life histories </w:t>
      </w:r>
      <w:r>
        <w:rPr>
          <w:noProof/>
        </w:rPr>
        <w:t>[34, 35]</w:t>
      </w:r>
      <w:r>
        <w:t xml:space="preserve">. However, </w:t>
      </w:r>
      <w:r w:rsidRPr="00B83F67">
        <w:t xml:space="preserve">much previous work on women’s </w:t>
      </w:r>
      <w:r>
        <w:t>economic activity</w:t>
      </w:r>
      <w:r w:rsidRPr="00B83F67">
        <w:t xml:space="preserve"> trajectories </w:t>
      </w:r>
      <w:r>
        <w:t xml:space="preserve">in relation to their later health has </w:t>
      </w:r>
      <w:r w:rsidRPr="00B83F67">
        <w:t xml:space="preserve">focussed on particular age groups or cohorts of women, </w:t>
      </w:r>
      <w:r>
        <w:t xml:space="preserve">and used </w:t>
      </w:r>
      <w:r w:rsidRPr="00B83F67">
        <w:t>relatively basic summary measures</w:t>
      </w:r>
      <w:r>
        <w:t>,</w:t>
      </w:r>
      <w:r w:rsidRPr="00B83F67">
        <w:t xml:space="preserve"> such as the number of years spent in paid employment.</w:t>
      </w:r>
    </w:p>
    <w:p w:rsidR="00977DEB" w:rsidRDefault="00977DEB" w:rsidP="00D95A22">
      <w:pPr>
        <w:spacing w:line="480" w:lineRule="auto"/>
      </w:pPr>
    </w:p>
    <w:p w:rsidR="00977DEB" w:rsidRPr="00444A0D" w:rsidRDefault="00977DEB" w:rsidP="00E042C4">
      <w:pPr>
        <w:pStyle w:val="Heading2"/>
        <w:spacing w:line="480" w:lineRule="auto"/>
      </w:pPr>
      <w:r>
        <w:t xml:space="preserve">Aims </w:t>
      </w:r>
    </w:p>
    <w:p w:rsidR="00977DEB" w:rsidRDefault="00977DEB" w:rsidP="00134572">
      <w:pPr>
        <w:spacing w:line="480" w:lineRule="auto"/>
      </w:pPr>
      <w:r>
        <w:t>Using data from the English Longitudinal Study of Ageing (ELSA) life histories, the present study builds on existing work to incorporate the sequence, timing and duration of economic activity experiences over the life course using optimal matching analysis. The aims of the paper are to 1) produce and describe a taxonomy of the trajectories of economic activity among women in England who are currently in later life and 2) investigate the association between these trajectories and health in later life. The outcome measure is</w:t>
      </w:r>
      <w:r w:rsidRPr="00B83F67">
        <w:t xml:space="preserve"> self-rated health </w:t>
      </w:r>
      <w:r>
        <w:t xml:space="preserve">(SRH), which represents </w:t>
      </w:r>
      <w:r w:rsidRPr="00B83F67">
        <w:t xml:space="preserve">a ‘global’ measure of health </w:t>
      </w:r>
      <w:r>
        <w:t xml:space="preserve">and has the advantage of identifying individual experiences of poor health regardless of precise clinical diagnoses. This is important in observational studies, as reported in the present paper, where the prevalence of specific health conditions may be relatively low. Nevertheless, SRH is consistently shown to predict mortality </w:t>
      </w:r>
      <w:r>
        <w:rPr>
          <w:noProof/>
        </w:rPr>
        <w:t>[36]</w:t>
      </w:r>
      <w:r>
        <w:t xml:space="preserve"> and to correlate with both physical and mental health </w:t>
      </w:r>
      <w:r>
        <w:rPr>
          <w:noProof/>
        </w:rPr>
        <w:t>[37]</w:t>
      </w:r>
      <w:r>
        <w:t xml:space="preserve"> and therefore represents a useful proxy for these more objective indicators of health status. </w:t>
      </w:r>
    </w:p>
    <w:p w:rsidR="00977DEB" w:rsidRPr="00B83F67" w:rsidRDefault="00977DEB" w:rsidP="00D95A22">
      <w:pPr>
        <w:spacing w:line="480" w:lineRule="auto"/>
      </w:pPr>
    </w:p>
    <w:p w:rsidR="00977DEB" w:rsidRDefault="00977DEB" w:rsidP="00836212">
      <w:pPr>
        <w:pStyle w:val="Heading1"/>
        <w:spacing w:line="480" w:lineRule="auto"/>
      </w:pPr>
      <w:r w:rsidRPr="00B83F67">
        <w:rPr>
          <w:lang w:eastAsia="zh-TW"/>
        </w:rPr>
        <w:lastRenderedPageBreak/>
        <w:t>Data and metho</w:t>
      </w:r>
      <w:r>
        <w:rPr>
          <w:lang w:eastAsia="zh-TW"/>
        </w:rPr>
        <w:t>d</w:t>
      </w:r>
      <w:r w:rsidRPr="00B83F67">
        <w:rPr>
          <w:lang w:eastAsia="zh-TW"/>
        </w:rPr>
        <w:t>s</w:t>
      </w:r>
    </w:p>
    <w:p w:rsidR="00977DEB" w:rsidRPr="007F5326" w:rsidRDefault="00977DEB" w:rsidP="00D95A22">
      <w:pPr>
        <w:pStyle w:val="Heading2"/>
        <w:spacing w:line="480" w:lineRule="auto"/>
      </w:pPr>
      <w:r w:rsidRPr="007F5326">
        <w:t>The English Longitudinal Study of Ageing</w:t>
      </w:r>
    </w:p>
    <w:p w:rsidR="00977DEB" w:rsidRDefault="00977DEB" w:rsidP="00111A95">
      <w:pPr>
        <w:spacing w:line="480" w:lineRule="auto"/>
        <w:rPr>
          <w:lang w:eastAsia="zh-TW"/>
        </w:rPr>
      </w:pPr>
      <w:r>
        <w:rPr>
          <w:lang w:eastAsia="zh-TW"/>
        </w:rPr>
        <w:t xml:space="preserve">ELSA </w:t>
      </w:r>
      <w:r w:rsidRPr="00B83F67">
        <w:rPr>
          <w:lang w:eastAsia="zh-TW"/>
        </w:rPr>
        <w:t>collects data from a representative sample of the English population aged 50 and over relating to their health and disability, economic circumstances, social participation, networks and well-being. The original sample of ~12,000 respondents was drawn from the Health Survey for England. In 2006-7 (ELSA Wave 3), respondents completed a life history interview that provides detailed information about their work, family and residential histories</w:t>
      </w:r>
      <w:r>
        <w:rPr>
          <w:lang w:eastAsia="zh-TW"/>
        </w:rPr>
        <w:t xml:space="preserve">. </w:t>
      </w:r>
      <w:r w:rsidRPr="00B83F67">
        <w:rPr>
          <w:lang w:eastAsia="zh-TW"/>
        </w:rPr>
        <w:t xml:space="preserve"> </w:t>
      </w:r>
      <w:r>
        <w:rPr>
          <w:lang w:eastAsia="zh-TW"/>
        </w:rPr>
        <w:t xml:space="preserve">A life-grid method was used to </w:t>
      </w:r>
      <w:r w:rsidRPr="00AF5BB4">
        <w:rPr>
          <w:rFonts w:asciiTheme="majorHAnsi" w:hAnsiTheme="majorHAnsi" w:cs="Times New Roman"/>
        </w:rPr>
        <w:t>collect data from different life-course domains simultaneously using a calendar, anchored by key external events in wider society</w:t>
      </w:r>
      <w:r>
        <w:rPr>
          <w:rFonts w:ascii="Times New Roman" w:hAnsi="Times New Roman" w:cs="Times New Roman"/>
        </w:rPr>
        <w:t xml:space="preserve"> </w:t>
      </w:r>
      <w:r>
        <w:rPr>
          <w:noProof/>
          <w:lang w:eastAsia="zh-TW"/>
        </w:rPr>
        <w:t>[38]</w:t>
      </w:r>
      <w:r>
        <w:rPr>
          <w:lang w:eastAsia="zh-TW"/>
        </w:rPr>
        <w:t xml:space="preserve">. By age 64 years, 95% of women were no longer in paid employment; thus by this age threshold it could be assumed that the life histories would capture the full working life of the majority of women. Among 5,476 female respondents at Wave 3, a total of 2,605 were aged 64 years or older at interview. Of these women, 2,186 (84%) completed the life history interview; and 2,162 provided complete information on their economic activity between ages 16 and 64. Two cases were excluded due to missing data on SRH or age at interview, providing a final sample of 2,160 women aged 64-98 years at interview (with life course information spanning the period 1925-2007). The analyses are weighted to account for differential nonresponse between the main Wave 3 interview and the Life History Interview and for overall nonresponse to the main interview </w:t>
      </w:r>
      <w:r>
        <w:rPr>
          <w:noProof/>
          <w:lang w:eastAsia="zh-TW"/>
        </w:rPr>
        <w:t>[39]</w:t>
      </w:r>
      <w:r>
        <w:rPr>
          <w:lang w:eastAsia="zh-TW"/>
        </w:rPr>
        <w:t xml:space="preserve">. </w:t>
      </w:r>
    </w:p>
    <w:p w:rsidR="00977DEB" w:rsidRDefault="00977DEB" w:rsidP="0029497F">
      <w:pPr>
        <w:spacing w:line="480" w:lineRule="auto"/>
        <w:rPr>
          <w:lang w:eastAsia="zh-TW"/>
        </w:rPr>
      </w:pPr>
    </w:p>
    <w:p w:rsidR="00977DEB" w:rsidRDefault="00977DEB" w:rsidP="003A4D2A">
      <w:pPr>
        <w:spacing w:line="480" w:lineRule="auto"/>
        <w:rPr>
          <w:lang w:eastAsia="zh-TW"/>
        </w:rPr>
      </w:pPr>
      <w:r>
        <w:rPr>
          <w:lang w:eastAsia="zh-TW"/>
        </w:rPr>
        <w:t>The life history</w:t>
      </w:r>
      <w:r w:rsidRPr="00B83F67">
        <w:rPr>
          <w:lang w:eastAsia="zh-TW"/>
        </w:rPr>
        <w:t xml:space="preserve"> data </w:t>
      </w:r>
      <w:r>
        <w:rPr>
          <w:lang w:eastAsia="zh-TW"/>
        </w:rPr>
        <w:t xml:space="preserve">are used </w:t>
      </w:r>
      <w:r w:rsidRPr="00B83F67">
        <w:rPr>
          <w:lang w:eastAsia="zh-TW"/>
        </w:rPr>
        <w:t xml:space="preserve">to reconstruct </w:t>
      </w:r>
      <w:r>
        <w:rPr>
          <w:lang w:eastAsia="zh-TW"/>
        </w:rPr>
        <w:t>the sample’s work histories from ages 16-64</w:t>
      </w:r>
      <w:r w:rsidRPr="00B83F67">
        <w:rPr>
          <w:lang w:eastAsia="zh-TW"/>
        </w:rPr>
        <w:t xml:space="preserve"> years, coding their economic </w:t>
      </w:r>
      <w:r>
        <w:rPr>
          <w:lang w:eastAsia="zh-TW"/>
        </w:rPr>
        <w:t xml:space="preserve">activity annually to produce a sequence of 49 time-points per individual. Economic activity is classified using a six-category variable: </w:t>
      </w:r>
    </w:p>
    <w:p w:rsidR="00977DEB" w:rsidRPr="0055596B" w:rsidRDefault="00977DEB" w:rsidP="00D95A22">
      <w:pPr>
        <w:pStyle w:val="ListParagraph"/>
        <w:numPr>
          <w:ilvl w:val="0"/>
          <w:numId w:val="6"/>
        </w:numPr>
        <w:spacing w:line="480" w:lineRule="auto"/>
        <w:rPr>
          <w:lang w:eastAsia="zh-TW"/>
        </w:rPr>
      </w:pPr>
      <w:r w:rsidRPr="0055596B">
        <w:rPr>
          <w:lang w:eastAsia="zh-TW"/>
        </w:rPr>
        <w:t>Employed full-time</w:t>
      </w:r>
    </w:p>
    <w:p w:rsidR="00977DEB" w:rsidRPr="0055596B" w:rsidRDefault="00977DEB" w:rsidP="00D95A22">
      <w:pPr>
        <w:pStyle w:val="ListParagraph"/>
        <w:numPr>
          <w:ilvl w:val="0"/>
          <w:numId w:val="6"/>
        </w:numPr>
        <w:spacing w:line="480" w:lineRule="auto"/>
        <w:rPr>
          <w:lang w:eastAsia="zh-TW"/>
        </w:rPr>
      </w:pPr>
      <w:r w:rsidRPr="0055596B">
        <w:rPr>
          <w:lang w:eastAsia="zh-TW"/>
        </w:rPr>
        <w:t>Employed part-time</w:t>
      </w:r>
    </w:p>
    <w:p w:rsidR="00977DEB" w:rsidRPr="0055596B" w:rsidRDefault="00977DEB" w:rsidP="00D95A22">
      <w:pPr>
        <w:pStyle w:val="ListParagraph"/>
        <w:numPr>
          <w:ilvl w:val="0"/>
          <w:numId w:val="6"/>
        </w:numPr>
        <w:spacing w:line="480" w:lineRule="auto"/>
        <w:rPr>
          <w:lang w:eastAsia="zh-TW"/>
        </w:rPr>
      </w:pPr>
      <w:r w:rsidRPr="0055596B">
        <w:rPr>
          <w:lang w:eastAsia="zh-TW"/>
        </w:rPr>
        <w:t>Looking after home/family</w:t>
      </w:r>
    </w:p>
    <w:p w:rsidR="00977DEB" w:rsidRPr="0055596B" w:rsidRDefault="00977DEB" w:rsidP="00D95A22">
      <w:pPr>
        <w:pStyle w:val="ListParagraph"/>
        <w:numPr>
          <w:ilvl w:val="0"/>
          <w:numId w:val="6"/>
        </w:numPr>
        <w:spacing w:line="480" w:lineRule="auto"/>
        <w:rPr>
          <w:lang w:eastAsia="zh-TW"/>
        </w:rPr>
      </w:pPr>
      <w:r w:rsidRPr="0055596B">
        <w:rPr>
          <w:lang w:eastAsia="zh-TW"/>
        </w:rPr>
        <w:t>Unemployed/other inactive</w:t>
      </w:r>
    </w:p>
    <w:p w:rsidR="00977DEB" w:rsidRPr="0055596B" w:rsidRDefault="00977DEB" w:rsidP="00D95A22">
      <w:pPr>
        <w:pStyle w:val="ListParagraph"/>
        <w:numPr>
          <w:ilvl w:val="0"/>
          <w:numId w:val="6"/>
        </w:numPr>
        <w:spacing w:line="480" w:lineRule="auto"/>
        <w:rPr>
          <w:lang w:eastAsia="zh-TW"/>
        </w:rPr>
      </w:pPr>
      <w:r w:rsidRPr="0055596B">
        <w:rPr>
          <w:lang w:eastAsia="zh-TW"/>
        </w:rPr>
        <w:t>In education/training</w:t>
      </w:r>
    </w:p>
    <w:p w:rsidR="00977DEB" w:rsidRDefault="00977DEB" w:rsidP="00D95A22">
      <w:pPr>
        <w:pStyle w:val="ListParagraph"/>
        <w:numPr>
          <w:ilvl w:val="0"/>
          <w:numId w:val="6"/>
        </w:numPr>
        <w:spacing w:line="480" w:lineRule="auto"/>
        <w:rPr>
          <w:lang w:eastAsia="zh-TW"/>
        </w:rPr>
      </w:pPr>
      <w:r w:rsidRPr="0055596B">
        <w:rPr>
          <w:lang w:eastAsia="zh-TW"/>
        </w:rPr>
        <w:t>Retired</w:t>
      </w:r>
    </w:p>
    <w:p w:rsidR="00977DEB" w:rsidRDefault="00977DEB" w:rsidP="00215648">
      <w:pPr>
        <w:pStyle w:val="ListParagraph"/>
        <w:spacing w:line="480" w:lineRule="auto"/>
        <w:rPr>
          <w:lang w:eastAsia="zh-TW"/>
        </w:rPr>
      </w:pPr>
    </w:p>
    <w:p w:rsidR="00977DEB" w:rsidRDefault="00977DEB" w:rsidP="00215648">
      <w:pPr>
        <w:pStyle w:val="ListParagraph"/>
        <w:spacing w:line="480" w:lineRule="auto"/>
        <w:rPr>
          <w:lang w:eastAsia="zh-TW"/>
        </w:rPr>
      </w:pPr>
    </w:p>
    <w:p w:rsidR="00977DEB" w:rsidRPr="0055596B" w:rsidRDefault="00977DEB" w:rsidP="00215648">
      <w:pPr>
        <w:pStyle w:val="ListParagraph"/>
        <w:spacing w:line="480" w:lineRule="auto"/>
        <w:rPr>
          <w:lang w:eastAsia="zh-TW"/>
        </w:rPr>
      </w:pPr>
    </w:p>
    <w:p w:rsidR="00977DEB" w:rsidRPr="00B83F67" w:rsidRDefault="00977DEB" w:rsidP="00D95A22">
      <w:pPr>
        <w:pStyle w:val="Heading2"/>
        <w:spacing w:line="480" w:lineRule="auto"/>
      </w:pPr>
      <w:r w:rsidRPr="00B83F67">
        <w:lastRenderedPageBreak/>
        <w:t xml:space="preserve">Optimal matching and cluster analysis </w:t>
      </w:r>
    </w:p>
    <w:p w:rsidR="00977DEB" w:rsidRDefault="00977DEB" w:rsidP="00134572">
      <w:pPr>
        <w:spacing w:line="480" w:lineRule="auto"/>
        <w:rPr>
          <w:rFonts w:asciiTheme="majorHAnsi" w:hAnsiTheme="majorHAnsi"/>
        </w:rPr>
      </w:pPr>
      <w:r>
        <w:rPr>
          <w:rFonts w:asciiTheme="majorHAnsi" w:hAnsiTheme="majorHAnsi"/>
        </w:rPr>
        <w:t>O</w:t>
      </w:r>
      <w:r w:rsidRPr="00B83F67">
        <w:rPr>
          <w:rFonts w:asciiTheme="majorHAnsi" w:hAnsiTheme="majorHAnsi"/>
        </w:rPr>
        <w:t>ptimal matching analysis</w:t>
      </w:r>
      <w:r>
        <w:rPr>
          <w:rFonts w:asciiTheme="majorHAnsi" w:hAnsiTheme="majorHAnsi"/>
        </w:rPr>
        <w:t xml:space="preserve"> (OMA) is applied to </w:t>
      </w:r>
      <w:r w:rsidRPr="00B83F67">
        <w:rPr>
          <w:rFonts w:asciiTheme="majorHAnsi" w:hAnsiTheme="majorHAnsi"/>
        </w:rPr>
        <w:t>classify the patterns of economic activity experienced by women over their lives</w:t>
      </w:r>
      <w:r>
        <w:rPr>
          <w:rFonts w:asciiTheme="majorHAnsi" w:hAnsiTheme="majorHAnsi"/>
        </w:rPr>
        <w:t>.</w:t>
      </w:r>
      <w:r w:rsidRPr="00B83F67">
        <w:rPr>
          <w:rFonts w:asciiTheme="majorHAnsi" w:hAnsiTheme="majorHAnsi"/>
        </w:rPr>
        <w:t xml:space="preserve"> </w:t>
      </w:r>
      <w:r>
        <w:rPr>
          <w:rFonts w:asciiTheme="majorHAnsi" w:hAnsiTheme="majorHAnsi"/>
        </w:rPr>
        <w:t>OMA, a type of sequence analysis, was introduced into s</w:t>
      </w:r>
      <w:r w:rsidRPr="003A4AC2">
        <w:rPr>
          <w:rFonts w:asciiTheme="majorHAnsi" w:hAnsiTheme="majorHAnsi"/>
        </w:rPr>
        <w:t>ociology towards the end of the twentieth century</w:t>
      </w:r>
      <w:r>
        <w:rPr>
          <w:rFonts w:asciiTheme="majorHAnsi" w:hAnsiTheme="majorHAnsi"/>
        </w:rPr>
        <w:t xml:space="preserve"> </w:t>
      </w:r>
      <w:r>
        <w:rPr>
          <w:rFonts w:asciiTheme="majorHAnsi" w:hAnsiTheme="majorHAnsi"/>
          <w:noProof/>
        </w:rPr>
        <w:t>[40]</w:t>
      </w:r>
      <w:r>
        <w:rPr>
          <w:rFonts w:asciiTheme="majorHAnsi" w:hAnsiTheme="majorHAnsi"/>
        </w:rPr>
        <w:t xml:space="preserve"> and </w:t>
      </w:r>
      <w:r w:rsidRPr="003A4AC2">
        <w:rPr>
          <w:rFonts w:asciiTheme="majorHAnsi" w:hAnsiTheme="majorHAnsi" w:hint="eastAsia"/>
        </w:rPr>
        <w:t xml:space="preserve">differs from more commonly used methods such as event history analysis </w:t>
      </w:r>
      <w:r>
        <w:rPr>
          <w:rFonts w:asciiTheme="majorHAnsi" w:hAnsiTheme="majorHAnsi"/>
        </w:rPr>
        <w:t xml:space="preserve">by providing </w:t>
      </w:r>
      <w:r w:rsidRPr="003A4AC2">
        <w:rPr>
          <w:rFonts w:asciiTheme="majorHAnsi" w:hAnsiTheme="majorHAnsi" w:hint="eastAsia"/>
        </w:rPr>
        <w:t xml:space="preserve">a means to examine </w:t>
      </w:r>
      <w:r>
        <w:rPr>
          <w:rFonts w:asciiTheme="majorHAnsi" w:hAnsiTheme="majorHAnsi"/>
        </w:rPr>
        <w:t>complete</w:t>
      </w:r>
      <w:r w:rsidRPr="003A4AC2">
        <w:rPr>
          <w:rFonts w:asciiTheme="majorHAnsi" w:hAnsiTheme="majorHAnsi"/>
        </w:rPr>
        <w:t xml:space="preserve"> sequences of data simultaneously</w:t>
      </w:r>
      <w:r>
        <w:rPr>
          <w:rFonts w:asciiTheme="majorHAnsi" w:hAnsiTheme="majorHAnsi"/>
        </w:rPr>
        <w:t xml:space="preserve">, with </w:t>
      </w:r>
      <w:r w:rsidRPr="003A4AC2">
        <w:rPr>
          <w:rFonts w:asciiTheme="majorHAnsi" w:hAnsiTheme="majorHAnsi"/>
        </w:rPr>
        <w:t xml:space="preserve"> entire trajectorie</w:t>
      </w:r>
      <w:r>
        <w:rPr>
          <w:rFonts w:asciiTheme="majorHAnsi" w:hAnsiTheme="majorHAnsi"/>
        </w:rPr>
        <w:t xml:space="preserve">s used as the basic unit of analysis. </w:t>
      </w:r>
      <w:r w:rsidRPr="00B83F67">
        <w:rPr>
          <w:rFonts w:asciiTheme="majorHAnsi" w:hAnsiTheme="majorHAnsi"/>
        </w:rPr>
        <w:t xml:space="preserve">In brief, OMA works by measuring the “distance” between pairs of sequences, the distance being based on the minimum number of operations </w:t>
      </w:r>
      <w:r>
        <w:rPr>
          <w:rFonts w:asciiTheme="majorHAnsi" w:hAnsiTheme="majorHAnsi"/>
        </w:rPr>
        <w:t>(</w:t>
      </w:r>
      <w:r w:rsidRPr="00B83F67">
        <w:rPr>
          <w:rFonts w:asciiTheme="majorHAnsi" w:hAnsiTheme="majorHAnsi"/>
        </w:rPr>
        <w:t>insertion, deletion and substitution</w:t>
      </w:r>
      <w:r>
        <w:rPr>
          <w:rFonts w:asciiTheme="majorHAnsi" w:hAnsiTheme="majorHAnsi"/>
        </w:rPr>
        <w:t xml:space="preserve"> of states) </w:t>
      </w:r>
      <w:r w:rsidRPr="00B83F67">
        <w:rPr>
          <w:rFonts w:asciiTheme="majorHAnsi" w:hAnsiTheme="majorHAnsi"/>
        </w:rPr>
        <w:t>needed to turn one sequence into the other</w:t>
      </w:r>
      <w:r>
        <w:rPr>
          <w:rFonts w:asciiTheme="majorHAnsi" w:hAnsiTheme="majorHAnsi"/>
        </w:rPr>
        <w:t xml:space="preserve"> </w:t>
      </w:r>
      <w:r>
        <w:rPr>
          <w:rFonts w:asciiTheme="majorHAnsi" w:hAnsiTheme="majorHAnsi"/>
          <w:noProof/>
        </w:rPr>
        <w:t>[41]</w:t>
      </w:r>
      <w:r w:rsidRPr="00B83F67">
        <w:rPr>
          <w:rFonts w:asciiTheme="majorHAnsi" w:hAnsiTheme="majorHAnsi"/>
        </w:rPr>
        <w:t>. The output of OMA is a matrix that specifies the ‘distance’ between each pair of sequences</w:t>
      </w:r>
      <w:r>
        <w:rPr>
          <w:rFonts w:asciiTheme="majorHAnsi" w:hAnsiTheme="majorHAnsi"/>
        </w:rPr>
        <w:t xml:space="preserve">, which </w:t>
      </w:r>
      <w:r w:rsidRPr="00B83F67">
        <w:rPr>
          <w:rFonts w:asciiTheme="majorHAnsi" w:hAnsiTheme="majorHAnsi"/>
        </w:rPr>
        <w:t xml:space="preserve">can then be used as the basis for additional analysis to identify distinct groups within the data. </w:t>
      </w:r>
      <w:r>
        <w:rPr>
          <w:rFonts w:asciiTheme="majorHAnsi" w:hAnsiTheme="majorHAnsi"/>
        </w:rPr>
        <w:t xml:space="preserve">Trajectories are matched both on the ordering of particular sub-sequences of events and transitions, and on their timing within the trajectories as a whole. OMA was carried out using the SQOM command in STATA version 12, </w:t>
      </w:r>
      <w:r w:rsidRPr="00B83F67">
        <w:rPr>
          <w:rFonts w:asciiTheme="majorHAnsi" w:hAnsiTheme="majorHAnsi"/>
        </w:rPr>
        <w:t>followed by cluster analysis using Ward’s linkage, which produces clusters based on a weighted average of distances between variables.</w:t>
      </w:r>
      <w:r>
        <w:rPr>
          <w:rFonts w:asciiTheme="majorHAnsi" w:hAnsiTheme="majorHAnsi"/>
        </w:rPr>
        <w:t xml:space="preserve"> </w:t>
      </w:r>
    </w:p>
    <w:p w:rsidR="00977DEB" w:rsidRDefault="00977DEB" w:rsidP="00015F21">
      <w:pPr>
        <w:spacing w:line="480" w:lineRule="auto"/>
        <w:rPr>
          <w:rFonts w:asciiTheme="majorHAnsi" w:hAnsiTheme="majorHAnsi"/>
        </w:rPr>
      </w:pPr>
    </w:p>
    <w:p w:rsidR="00977DEB" w:rsidRDefault="00977DEB" w:rsidP="00D95A22">
      <w:pPr>
        <w:pStyle w:val="Heading2"/>
        <w:spacing w:line="480" w:lineRule="auto"/>
      </w:pPr>
      <w:r w:rsidRPr="00B83F67">
        <w:t xml:space="preserve">Logistic regression analysis </w:t>
      </w:r>
      <w:r>
        <w:t>– self-rated health</w:t>
      </w:r>
    </w:p>
    <w:p w:rsidR="00977DEB" w:rsidRPr="008C0D8D" w:rsidRDefault="00977DEB" w:rsidP="00EC141B">
      <w:pPr>
        <w:spacing w:line="480" w:lineRule="auto"/>
        <w:rPr>
          <w:lang w:eastAsia="zh-TW"/>
        </w:rPr>
      </w:pPr>
      <w:r>
        <w:rPr>
          <w:lang w:eastAsia="zh-TW"/>
        </w:rPr>
        <w:t>Using the taxonomy</w:t>
      </w:r>
      <w:r w:rsidRPr="00B83F67">
        <w:rPr>
          <w:lang w:eastAsia="zh-TW"/>
        </w:rPr>
        <w:t xml:space="preserve"> of life-time economic activity status produced using the OMA and cluster analysis, the second stage of </w:t>
      </w:r>
      <w:r>
        <w:rPr>
          <w:lang w:eastAsia="zh-TW"/>
        </w:rPr>
        <w:t>the</w:t>
      </w:r>
      <w:r w:rsidRPr="00B83F67">
        <w:rPr>
          <w:lang w:eastAsia="zh-TW"/>
        </w:rPr>
        <w:t xml:space="preserve"> research involves</w:t>
      </w:r>
      <w:r>
        <w:rPr>
          <w:lang w:eastAsia="zh-TW"/>
        </w:rPr>
        <w:t xml:space="preserve"> binary</w:t>
      </w:r>
      <w:r w:rsidRPr="00B83F67">
        <w:rPr>
          <w:lang w:eastAsia="zh-TW"/>
        </w:rPr>
        <w:t xml:space="preserve"> logistic regression analysis to investigate the value </w:t>
      </w:r>
      <w:r>
        <w:rPr>
          <w:lang w:eastAsia="zh-TW"/>
        </w:rPr>
        <w:t>of the taxonomy</w:t>
      </w:r>
      <w:r w:rsidRPr="00B83F67">
        <w:rPr>
          <w:lang w:eastAsia="zh-TW"/>
        </w:rPr>
        <w:t xml:space="preserve"> in predicting </w:t>
      </w:r>
      <w:r>
        <w:rPr>
          <w:lang w:eastAsia="zh-TW"/>
        </w:rPr>
        <w:t xml:space="preserve">SRH in later life, measured using a five-category response. For subsequent analyses, SRH is dichotomised as ‘Good’ (very good/good) or ‘Poor’ (fair/bad/very bad). Overall, 785 women (38.2%) reported fair/poor SRH. The results from four nested regression models are presented. Model 1 examines the relationship between trajectories of economic activity and SRH, controlling for age at interview only. Model 2 investigates whether the trajectory classification provides additional explanatory value beyond reflecting the accumulation of economic and financial resources. Three measures of accumulated economic resources are considered: 1. Woman’s own occupational class at interview (using the three-category version of the National Statistics Socioeconomic Classification [NSSEC]), as a measure of labour market advantage/disadvantage. The NSSEC is the standard measure of occupational social class used in contemporary UK official statistics and surveys and is based on the </w:t>
      </w:r>
      <w:proofErr w:type="spellStart"/>
      <w:r>
        <w:rPr>
          <w:lang w:eastAsia="zh-TW"/>
        </w:rPr>
        <w:t>Goldthorpe</w:t>
      </w:r>
      <w:proofErr w:type="spellEnd"/>
      <w:r>
        <w:rPr>
          <w:lang w:eastAsia="zh-TW"/>
        </w:rPr>
        <w:t xml:space="preserve"> Schema </w:t>
      </w:r>
      <w:r>
        <w:rPr>
          <w:noProof/>
          <w:lang w:eastAsia="zh-TW"/>
        </w:rPr>
        <w:t>[42]</w:t>
      </w:r>
      <w:r>
        <w:rPr>
          <w:lang w:eastAsia="zh-TW"/>
        </w:rPr>
        <w:t xml:space="preserve">; 2. Housing wealth at interview as a measure of life-course accumulation of financial capital; and 3. Percentage of working life in part-time work. Part-time work is used as a proxy for individual labour market participation over the life course but also reflects accumulation of </w:t>
      </w:r>
      <w:r>
        <w:rPr>
          <w:lang w:eastAsia="zh-TW"/>
        </w:rPr>
        <w:lastRenderedPageBreak/>
        <w:t xml:space="preserve">earnings and pension entitlements in later life, including the ‘part-time penalty’ associated with motherhood that means pro rata earnings are lower for part-time than full-time work </w:t>
      </w:r>
      <w:r>
        <w:rPr>
          <w:noProof/>
          <w:lang w:eastAsia="zh-TW"/>
        </w:rPr>
        <w:t>[43]</w:t>
      </w:r>
      <w:r>
        <w:rPr>
          <w:lang w:eastAsia="zh-TW"/>
        </w:rPr>
        <w:t xml:space="preserve">. To evaluate the hypothesis that the accumulation of multiple roles over the life course may influence later health via the accumulation of both financial and social resources </w:t>
      </w:r>
      <w:r>
        <w:rPr>
          <w:noProof/>
          <w:lang w:eastAsia="zh-TW"/>
        </w:rPr>
        <w:t>[33]</w:t>
      </w:r>
      <w:r>
        <w:rPr>
          <w:lang w:eastAsia="zh-TW"/>
        </w:rPr>
        <w:t>, model 3 adds indicators of family resources  that may reflect experiences of social integration: current m</w:t>
      </w:r>
      <w:r w:rsidRPr="008C0D8D">
        <w:rPr>
          <w:lang w:eastAsia="zh-TW"/>
        </w:rPr>
        <w:t xml:space="preserve">arital status </w:t>
      </w:r>
      <w:r>
        <w:rPr>
          <w:lang w:eastAsia="zh-TW"/>
        </w:rPr>
        <w:t xml:space="preserve">and total number of children. Finally, to control for household circumstances, model 4 controls for partner’s current occupational class for a subgroup of 923 women who have a co-resident partner at the wave 3 interview. </w:t>
      </w:r>
    </w:p>
    <w:p w:rsidR="00977DEB" w:rsidRDefault="00977DEB" w:rsidP="00D95A22">
      <w:pPr>
        <w:spacing w:line="480" w:lineRule="auto"/>
        <w:rPr>
          <w:lang w:eastAsia="zh-TW"/>
        </w:rPr>
      </w:pPr>
    </w:p>
    <w:p w:rsidR="00977DEB" w:rsidRPr="00B83F67" w:rsidRDefault="00977DEB" w:rsidP="00D95A22">
      <w:pPr>
        <w:pStyle w:val="Heading1"/>
        <w:spacing w:line="480" w:lineRule="auto"/>
        <w:rPr>
          <w:lang w:eastAsia="zh-TW"/>
        </w:rPr>
      </w:pPr>
      <w:r w:rsidRPr="00B83F67">
        <w:rPr>
          <w:lang w:eastAsia="zh-TW"/>
        </w:rPr>
        <w:t>Results</w:t>
      </w:r>
    </w:p>
    <w:p w:rsidR="00977DEB" w:rsidRPr="00B83F67" w:rsidRDefault="00977DEB" w:rsidP="00D95A22">
      <w:pPr>
        <w:pStyle w:val="Heading2"/>
        <w:spacing w:line="480" w:lineRule="auto"/>
      </w:pPr>
      <w:r w:rsidRPr="00B83F67">
        <w:t xml:space="preserve">Optimal matching and cluster analysis </w:t>
      </w:r>
    </w:p>
    <w:p w:rsidR="00977DEB" w:rsidRDefault="00977DEB" w:rsidP="00855633">
      <w:pPr>
        <w:spacing w:line="480" w:lineRule="auto"/>
        <w:rPr>
          <w:rFonts w:asciiTheme="majorHAnsi" w:hAnsiTheme="majorHAnsi"/>
        </w:rPr>
      </w:pPr>
      <w:r w:rsidRPr="00B83F67">
        <w:rPr>
          <w:rFonts w:asciiTheme="majorHAnsi" w:hAnsiTheme="majorHAnsi"/>
        </w:rPr>
        <w:t xml:space="preserve">Based on </w:t>
      </w:r>
      <w:r>
        <w:rPr>
          <w:rFonts w:asciiTheme="majorHAnsi" w:hAnsiTheme="majorHAnsi"/>
        </w:rPr>
        <w:t>the</w:t>
      </w:r>
      <w:r w:rsidRPr="00B83F67">
        <w:rPr>
          <w:rFonts w:asciiTheme="majorHAnsi" w:hAnsiTheme="majorHAnsi"/>
        </w:rPr>
        <w:t xml:space="preserve"> exploratory analysis, a five-cluster solution </w:t>
      </w:r>
      <w:r>
        <w:rPr>
          <w:rFonts w:asciiTheme="majorHAnsi" w:hAnsiTheme="majorHAnsi"/>
        </w:rPr>
        <w:t>was judged</w:t>
      </w:r>
      <w:r w:rsidRPr="00B83F67">
        <w:rPr>
          <w:rFonts w:asciiTheme="majorHAnsi" w:hAnsiTheme="majorHAnsi"/>
        </w:rPr>
        <w:t xml:space="preserve"> to be the best in distinguishing different trajectories of economic activity in this sample. Figure 1 shows a summary of the life-course trajectories of economic activity experienced by women in each cluster. Table </w:t>
      </w:r>
      <w:r>
        <w:rPr>
          <w:rFonts w:asciiTheme="majorHAnsi" w:hAnsiTheme="majorHAnsi"/>
        </w:rPr>
        <w:t>1</w:t>
      </w:r>
      <w:r w:rsidRPr="00B83F67">
        <w:rPr>
          <w:rFonts w:asciiTheme="majorHAnsi" w:hAnsiTheme="majorHAnsi"/>
        </w:rPr>
        <w:t xml:space="preserve"> provides descriptive statistics regarding the current and life-course characteristics of the groups. </w:t>
      </w:r>
      <w:r>
        <w:rPr>
          <w:rFonts w:asciiTheme="majorHAnsi" w:hAnsiTheme="majorHAnsi"/>
        </w:rPr>
        <w:t>The clusters are named as follows:</w:t>
      </w:r>
    </w:p>
    <w:p w:rsidR="00977DEB" w:rsidRDefault="00977DEB" w:rsidP="00D95A22">
      <w:pPr>
        <w:spacing w:line="480" w:lineRule="auto"/>
        <w:ind w:left="720"/>
        <w:rPr>
          <w:rFonts w:asciiTheme="majorHAnsi" w:hAnsiTheme="majorHAnsi"/>
        </w:rPr>
      </w:pPr>
      <w:r w:rsidRPr="007C0B74">
        <w:rPr>
          <w:rFonts w:asciiTheme="majorHAnsi" w:hAnsiTheme="majorHAnsi"/>
        </w:rPr>
        <w:t>1</w:t>
      </w:r>
      <w:r>
        <w:rPr>
          <w:rFonts w:asciiTheme="majorHAnsi" w:hAnsiTheme="majorHAnsi"/>
        </w:rPr>
        <w:t xml:space="preserve">. </w:t>
      </w:r>
      <w:r w:rsidRPr="007C0B74">
        <w:rPr>
          <w:rFonts w:asciiTheme="majorHAnsi" w:hAnsiTheme="majorHAnsi"/>
        </w:rPr>
        <w:t>Full-time workers</w:t>
      </w:r>
      <w:r>
        <w:rPr>
          <w:rFonts w:asciiTheme="majorHAnsi" w:hAnsiTheme="majorHAnsi"/>
        </w:rPr>
        <w:t xml:space="preserve"> (23% of the sample);</w:t>
      </w:r>
    </w:p>
    <w:p w:rsidR="00977DEB" w:rsidRDefault="00977DEB" w:rsidP="00D95A22">
      <w:pPr>
        <w:spacing w:line="480" w:lineRule="auto"/>
        <w:ind w:left="720"/>
        <w:rPr>
          <w:rFonts w:asciiTheme="majorHAnsi" w:hAnsiTheme="majorHAnsi"/>
        </w:rPr>
      </w:pPr>
      <w:r>
        <w:rPr>
          <w:rFonts w:asciiTheme="majorHAnsi" w:hAnsiTheme="majorHAnsi"/>
        </w:rPr>
        <w:t>2. Family carers (20%);</w:t>
      </w:r>
    </w:p>
    <w:p w:rsidR="00977DEB" w:rsidRDefault="00977DEB" w:rsidP="00D95A22">
      <w:pPr>
        <w:spacing w:line="480" w:lineRule="auto"/>
        <w:ind w:left="720"/>
        <w:rPr>
          <w:rFonts w:asciiTheme="majorHAnsi" w:hAnsiTheme="majorHAnsi"/>
        </w:rPr>
      </w:pPr>
      <w:r w:rsidRPr="007C0B74">
        <w:rPr>
          <w:rFonts w:asciiTheme="majorHAnsi" w:hAnsiTheme="majorHAnsi"/>
        </w:rPr>
        <w:t>3</w:t>
      </w:r>
      <w:r>
        <w:rPr>
          <w:rFonts w:asciiTheme="majorHAnsi" w:hAnsiTheme="majorHAnsi"/>
        </w:rPr>
        <w:t xml:space="preserve">. </w:t>
      </w:r>
      <w:r w:rsidRPr="007C0B74">
        <w:rPr>
          <w:rFonts w:asciiTheme="majorHAnsi" w:hAnsiTheme="majorHAnsi"/>
        </w:rPr>
        <w:t>Full-time returners</w:t>
      </w:r>
      <w:r>
        <w:rPr>
          <w:rFonts w:asciiTheme="majorHAnsi" w:hAnsiTheme="majorHAnsi"/>
        </w:rPr>
        <w:t xml:space="preserve"> (23%);</w:t>
      </w:r>
      <w:r w:rsidRPr="007C0B74">
        <w:rPr>
          <w:rFonts w:asciiTheme="majorHAnsi" w:hAnsiTheme="majorHAnsi"/>
        </w:rPr>
        <w:tab/>
      </w:r>
    </w:p>
    <w:p w:rsidR="00977DEB" w:rsidRDefault="00977DEB" w:rsidP="00D95A22">
      <w:pPr>
        <w:spacing w:line="480" w:lineRule="auto"/>
        <w:ind w:left="720"/>
        <w:rPr>
          <w:rFonts w:asciiTheme="majorHAnsi" w:hAnsiTheme="majorHAnsi"/>
        </w:rPr>
      </w:pPr>
      <w:r w:rsidRPr="007C0B74">
        <w:rPr>
          <w:rFonts w:asciiTheme="majorHAnsi" w:hAnsiTheme="majorHAnsi"/>
        </w:rPr>
        <w:t>4</w:t>
      </w:r>
      <w:r>
        <w:rPr>
          <w:rFonts w:asciiTheme="majorHAnsi" w:hAnsiTheme="majorHAnsi"/>
        </w:rPr>
        <w:t>.</w:t>
      </w:r>
      <w:r w:rsidRPr="007C0B74">
        <w:rPr>
          <w:rFonts w:asciiTheme="majorHAnsi" w:hAnsiTheme="majorHAnsi"/>
        </w:rPr>
        <w:t xml:space="preserve"> </w:t>
      </w:r>
      <w:r>
        <w:rPr>
          <w:rFonts w:asciiTheme="majorHAnsi" w:hAnsiTheme="majorHAnsi"/>
        </w:rPr>
        <w:t>Part-time returners (25%); and</w:t>
      </w:r>
    </w:p>
    <w:p w:rsidR="00977DEB" w:rsidRDefault="00977DEB" w:rsidP="00D95A22">
      <w:pPr>
        <w:spacing w:line="480" w:lineRule="auto"/>
        <w:ind w:left="720"/>
        <w:rPr>
          <w:rFonts w:asciiTheme="majorHAnsi" w:hAnsiTheme="majorHAnsi"/>
        </w:rPr>
      </w:pPr>
      <w:r w:rsidRPr="007C0B74">
        <w:rPr>
          <w:rFonts w:asciiTheme="majorHAnsi" w:hAnsiTheme="majorHAnsi"/>
        </w:rPr>
        <w:t>5</w:t>
      </w:r>
      <w:r>
        <w:rPr>
          <w:rFonts w:asciiTheme="majorHAnsi" w:hAnsiTheme="majorHAnsi"/>
        </w:rPr>
        <w:t>. Atypical/inactive (8%).</w:t>
      </w:r>
    </w:p>
    <w:p w:rsidR="00977DEB" w:rsidRDefault="00977DEB" w:rsidP="00D95A22">
      <w:pPr>
        <w:spacing w:line="480" w:lineRule="auto"/>
        <w:ind w:left="720"/>
        <w:rPr>
          <w:rFonts w:asciiTheme="majorHAnsi" w:hAnsiTheme="majorHAnsi"/>
        </w:rPr>
      </w:pPr>
    </w:p>
    <w:p w:rsidR="00977DEB" w:rsidRPr="00324904" w:rsidRDefault="00977DEB" w:rsidP="00D95A22">
      <w:pPr>
        <w:pStyle w:val="Heading3"/>
        <w:spacing w:line="480" w:lineRule="auto"/>
        <w:rPr>
          <w:b/>
          <w:bCs/>
        </w:rPr>
      </w:pPr>
      <w:r w:rsidRPr="00324904">
        <w:rPr>
          <w:b/>
          <w:bCs/>
        </w:rPr>
        <w:t xml:space="preserve">Classification and characteristics of trajectories </w:t>
      </w:r>
    </w:p>
    <w:p w:rsidR="00977DEB" w:rsidRDefault="00977DEB" w:rsidP="00CC0495">
      <w:pPr>
        <w:spacing w:line="480" w:lineRule="auto"/>
        <w:rPr>
          <w:rFonts w:asciiTheme="majorHAnsi" w:hAnsiTheme="majorHAnsi"/>
        </w:rPr>
      </w:pPr>
      <w:r>
        <w:rPr>
          <w:rFonts w:asciiTheme="majorHAnsi" w:hAnsiTheme="majorHAnsi"/>
        </w:rPr>
        <w:t xml:space="preserve">Table 1 comprises a summary of the descriptive characteristics of the five clusters. </w:t>
      </w:r>
      <w:r w:rsidRPr="00B83F67">
        <w:rPr>
          <w:rFonts w:asciiTheme="majorHAnsi" w:hAnsiTheme="majorHAnsi"/>
        </w:rPr>
        <w:t xml:space="preserve">Cluster </w:t>
      </w:r>
      <w:r>
        <w:rPr>
          <w:rFonts w:asciiTheme="majorHAnsi" w:hAnsiTheme="majorHAnsi"/>
        </w:rPr>
        <w:t>1 (full-time workers) shows</w:t>
      </w:r>
      <w:r w:rsidRPr="00B83F67">
        <w:rPr>
          <w:rFonts w:asciiTheme="majorHAnsi" w:hAnsiTheme="majorHAnsi"/>
        </w:rPr>
        <w:t xml:space="preserve"> a group </w:t>
      </w:r>
      <w:r>
        <w:rPr>
          <w:rFonts w:asciiTheme="majorHAnsi" w:hAnsiTheme="majorHAnsi"/>
        </w:rPr>
        <w:t xml:space="preserve">of older women </w:t>
      </w:r>
      <w:r w:rsidRPr="00B83F67">
        <w:rPr>
          <w:rFonts w:asciiTheme="majorHAnsi" w:hAnsiTheme="majorHAnsi"/>
        </w:rPr>
        <w:t>who spen</w:t>
      </w:r>
      <w:r>
        <w:rPr>
          <w:rFonts w:asciiTheme="majorHAnsi" w:hAnsiTheme="majorHAnsi"/>
        </w:rPr>
        <w:t>t</w:t>
      </w:r>
      <w:r w:rsidRPr="00B83F67">
        <w:rPr>
          <w:rFonts w:asciiTheme="majorHAnsi" w:hAnsiTheme="majorHAnsi"/>
        </w:rPr>
        <w:t xml:space="preserve"> the majority of their working lives in full-time employment</w:t>
      </w:r>
      <w:r>
        <w:rPr>
          <w:rFonts w:asciiTheme="majorHAnsi" w:hAnsiTheme="majorHAnsi"/>
        </w:rPr>
        <w:t>. Compared with the other clusters, this group exhibits a significantly lower</w:t>
      </w:r>
      <w:r w:rsidRPr="00B83F67">
        <w:rPr>
          <w:rFonts w:asciiTheme="majorHAnsi" w:hAnsiTheme="majorHAnsi"/>
        </w:rPr>
        <w:t xml:space="preserve"> mean number of children </w:t>
      </w:r>
      <w:r>
        <w:rPr>
          <w:rFonts w:asciiTheme="majorHAnsi" w:hAnsiTheme="majorHAnsi"/>
        </w:rPr>
        <w:t xml:space="preserve">(p&lt;0.001) </w:t>
      </w:r>
      <w:r w:rsidRPr="00B83F67">
        <w:rPr>
          <w:rFonts w:asciiTheme="majorHAnsi" w:hAnsiTheme="majorHAnsi"/>
        </w:rPr>
        <w:t>and partners</w:t>
      </w:r>
      <w:r>
        <w:rPr>
          <w:rFonts w:asciiTheme="majorHAnsi" w:hAnsiTheme="majorHAnsi"/>
        </w:rPr>
        <w:t xml:space="preserve"> (p&lt;0.05)</w:t>
      </w:r>
      <w:r w:rsidRPr="00B83F67">
        <w:rPr>
          <w:rFonts w:asciiTheme="majorHAnsi" w:hAnsiTheme="majorHAnsi"/>
        </w:rPr>
        <w:t xml:space="preserve">, further suggesting relatively limited engagement with family life. In contrast, cluster </w:t>
      </w:r>
      <w:r>
        <w:rPr>
          <w:rFonts w:asciiTheme="majorHAnsi" w:hAnsiTheme="majorHAnsi"/>
        </w:rPr>
        <w:t>2</w:t>
      </w:r>
      <w:r w:rsidRPr="00B83F67">
        <w:rPr>
          <w:rFonts w:asciiTheme="majorHAnsi" w:hAnsiTheme="majorHAnsi"/>
        </w:rPr>
        <w:t xml:space="preserve"> </w:t>
      </w:r>
      <w:r>
        <w:rPr>
          <w:rFonts w:asciiTheme="majorHAnsi" w:hAnsiTheme="majorHAnsi"/>
        </w:rPr>
        <w:t xml:space="preserve">(family carers) </w:t>
      </w:r>
      <w:r w:rsidRPr="00B83F67">
        <w:rPr>
          <w:rFonts w:asciiTheme="majorHAnsi" w:hAnsiTheme="majorHAnsi"/>
        </w:rPr>
        <w:t>represents women who spent the majority of their lives looking after a home/family.</w:t>
      </w:r>
      <w:r>
        <w:rPr>
          <w:rFonts w:asciiTheme="majorHAnsi" w:hAnsiTheme="majorHAnsi"/>
        </w:rPr>
        <w:t xml:space="preserve"> Cluster</w:t>
      </w:r>
      <w:r w:rsidRPr="00B83F67">
        <w:rPr>
          <w:rFonts w:asciiTheme="majorHAnsi" w:hAnsiTheme="majorHAnsi"/>
        </w:rPr>
        <w:t xml:space="preserve">s </w:t>
      </w:r>
      <w:r>
        <w:rPr>
          <w:rFonts w:asciiTheme="majorHAnsi" w:hAnsiTheme="majorHAnsi"/>
        </w:rPr>
        <w:t>3</w:t>
      </w:r>
      <w:r w:rsidRPr="00B83F67">
        <w:rPr>
          <w:rFonts w:asciiTheme="majorHAnsi" w:hAnsiTheme="majorHAnsi"/>
        </w:rPr>
        <w:t xml:space="preserve"> </w:t>
      </w:r>
      <w:r>
        <w:rPr>
          <w:rFonts w:asciiTheme="majorHAnsi" w:hAnsiTheme="majorHAnsi"/>
        </w:rPr>
        <w:t xml:space="preserve">(full-time returners) </w:t>
      </w:r>
      <w:r w:rsidRPr="00B83F67">
        <w:rPr>
          <w:rFonts w:asciiTheme="majorHAnsi" w:hAnsiTheme="majorHAnsi"/>
        </w:rPr>
        <w:t xml:space="preserve">and </w:t>
      </w:r>
      <w:r>
        <w:rPr>
          <w:rFonts w:asciiTheme="majorHAnsi" w:hAnsiTheme="majorHAnsi"/>
        </w:rPr>
        <w:t>4</w:t>
      </w:r>
      <w:r w:rsidRPr="00B83F67">
        <w:rPr>
          <w:rFonts w:asciiTheme="majorHAnsi" w:hAnsiTheme="majorHAnsi"/>
        </w:rPr>
        <w:t xml:space="preserve"> </w:t>
      </w:r>
      <w:r>
        <w:rPr>
          <w:rFonts w:asciiTheme="majorHAnsi" w:hAnsiTheme="majorHAnsi"/>
        </w:rPr>
        <w:t xml:space="preserve">(part-time returners) </w:t>
      </w:r>
      <w:r w:rsidRPr="00B83F67">
        <w:rPr>
          <w:rFonts w:asciiTheme="majorHAnsi" w:hAnsiTheme="majorHAnsi"/>
        </w:rPr>
        <w:t xml:space="preserve">demonstrate two </w:t>
      </w:r>
      <w:r>
        <w:rPr>
          <w:rFonts w:asciiTheme="majorHAnsi" w:hAnsiTheme="majorHAnsi"/>
        </w:rPr>
        <w:t>groups</w:t>
      </w:r>
      <w:r w:rsidRPr="00B83F67">
        <w:rPr>
          <w:rFonts w:asciiTheme="majorHAnsi" w:hAnsiTheme="majorHAnsi"/>
        </w:rPr>
        <w:t xml:space="preserve"> of women who </w:t>
      </w:r>
      <w:r>
        <w:rPr>
          <w:rFonts w:asciiTheme="majorHAnsi" w:hAnsiTheme="majorHAnsi"/>
        </w:rPr>
        <w:t>experienced</w:t>
      </w:r>
      <w:r w:rsidRPr="00B83F67">
        <w:rPr>
          <w:rFonts w:asciiTheme="majorHAnsi" w:hAnsiTheme="majorHAnsi"/>
        </w:rPr>
        <w:t xml:space="preserve"> </w:t>
      </w:r>
      <w:r>
        <w:rPr>
          <w:rFonts w:asciiTheme="majorHAnsi" w:hAnsiTheme="majorHAnsi"/>
        </w:rPr>
        <w:t xml:space="preserve">a period looking after a home/family but then returned to </w:t>
      </w:r>
      <w:r w:rsidRPr="00B83F67">
        <w:rPr>
          <w:rFonts w:asciiTheme="majorHAnsi" w:hAnsiTheme="majorHAnsi"/>
        </w:rPr>
        <w:t xml:space="preserve">either full-time or part-time work. Cluster </w:t>
      </w:r>
      <w:r>
        <w:rPr>
          <w:rFonts w:asciiTheme="majorHAnsi" w:hAnsiTheme="majorHAnsi"/>
        </w:rPr>
        <w:t>5</w:t>
      </w:r>
      <w:r w:rsidRPr="00B83F67">
        <w:rPr>
          <w:rFonts w:asciiTheme="majorHAnsi" w:hAnsiTheme="majorHAnsi"/>
        </w:rPr>
        <w:t xml:space="preserve"> </w:t>
      </w:r>
      <w:r>
        <w:rPr>
          <w:rFonts w:asciiTheme="majorHAnsi" w:hAnsiTheme="majorHAnsi"/>
        </w:rPr>
        <w:t xml:space="preserve">(atypical/inactive) </w:t>
      </w:r>
      <w:r w:rsidRPr="00B83F67">
        <w:rPr>
          <w:rFonts w:asciiTheme="majorHAnsi" w:hAnsiTheme="majorHAnsi"/>
        </w:rPr>
        <w:lastRenderedPageBreak/>
        <w:t>show</w:t>
      </w:r>
      <w:r>
        <w:rPr>
          <w:rFonts w:asciiTheme="majorHAnsi" w:hAnsiTheme="majorHAnsi"/>
        </w:rPr>
        <w:t>s</w:t>
      </w:r>
      <w:r w:rsidRPr="00B83F67">
        <w:rPr>
          <w:rFonts w:asciiTheme="majorHAnsi" w:hAnsiTheme="majorHAnsi"/>
        </w:rPr>
        <w:t xml:space="preserve"> a small group of women </w:t>
      </w:r>
      <w:r>
        <w:rPr>
          <w:rFonts w:asciiTheme="majorHAnsi" w:hAnsiTheme="majorHAnsi"/>
        </w:rPr>
        <w:t xml:space="preserve">(8% of the total sample) </w:t>
      </w:r>
      <w:r w:rsidRPr="00B83F67">
        <w:rPr>
          <w:rFonts w:asciiTheme="majorHAnsi" w:hAnsiTheme="majorHAnsi"/>
        </w:rPr>
        <w:t xml:space="preserve">who </w:t>
      </w:r>
      <w:r>
        <w:rPr>
          <w:rFonts w:asciiTheme="majorHAnsi" w:hAnsiTheme="majorHAnsi"/>
        </w:rPr>
        <w:t xml:space="preserve">for a substantial proportion of their adult lives </w:t>
      </w:r>
      <w:r w:rsidRPr="00B83F67">
        <w:rPr>
          <w:rFonts w:asciiTheme="majorHAnsi" w:hAnsiTheme="majorHAnsi"/>
        </w:rPr>
        <w:t>do not define themselves as active in either work or family</w:t>
      </w:r>
      <w:r>
        <w:rPr>
          <w:rFonts w:asciiTheme="majorHAnsi" w:hAnsiTheme="majorHAnsi"/>
        </w:rPr>
        <w:t>,</w:t>
      </w:r>
      <w:r w:rsidRPr="00B83F67">
        <w:rPr>
          <w:rFonts w:asciiTheme="majorHAnsi" w:hAnsiTheme="majorHAnsi"/>
        </w:rPr>
        <w:t xml:space="preserve"> but instead are classified as unemployed or otherwise economically inactive</w:t>
      </w:r>
      <w:r>
        <w:rPr>
          <w:rFonts w:asciiTheme="majorHAnsi" w:hAnsiTheme="majorHAnsi"/>
        </w:rPr>
        <w:t xml:space="preserve"> (mostly long-term sick or disabled). </w:t>
      </w:r>
    </w:p>
    <w:p w:rsidR="00977DEB" w:rsidRDefault="00977DEB" w:rsidP="00D260E5">
      <w:pPr>
        <w:spacing w:line="480" w:lineRule="auto"/>
        <w:rPr>
          <w:rFonts w:asciiTheme="majorHAnsi" w:hAnsiTheme="majorHAnsi"/>
        </w:rPr>
      </w:pPr>
    </w:p>
    <w:p w:rsidR="00977DEB" w:rsidRDefault="00977DEB" w:rsidP="00513C32">
      <w:pPr>
        <w:spacing w:line="480" w:lineRule="auto"/>
        <w:rPr>
          <w:rFonts w:asciiTheme="majorHAnsi" w:hAnsiTheme="majorHAnsi"/>
        </w:rPr>
      </w:pPr>
      <w:r>
        <w:rPr>
          <w:rFonts w:asciiTheme="majorHAnsi" w:hAnsiTheme="majorHAnsi"/>
        </w:rPr>
        <w:t>Pairwise comparisons of the five clusters indicate that on average, full- and part-time returners are significantly younger than women classified as full-time workers or family carers (p&lt;0.01). Together</w:t>
      </w:r>
      <w:r w:rsidRPr="00B83F67">
        <w:rPr>
          <w:rFonts w:asciiTheme="majorHAnsi" w:hAnsiTheme="majorHAnsi"/>
        </w:rPr>
        <w:t xml:space="preserve">, </w:t>
      </w:r>
      <w:r>
        <w:rPr>
          <w:rFonts w:asciiTheme="majorHAnsi" w:hAnsiTheme="majorHAnsi"/>
        </w:rPr>
        <w:t xml:space="preserve">full- and part-time returners </w:t>
      </w:r>
      <w:r w:rsidRPr="00B83F67">
        <w:rPr>
          <w:rFonts w:asciiTheme="majorHAnsi" w:hAnsiTheme="majorHAnsi"/>
        </w:rPr>
        <w:t xml:space="preserve">account for half of the women included in </w:t>
      </w:r>
      <w:r>
        <w:rPr>
          <w:rFonts w:asciiTheme="majorHAnsi" w:hAnsiTheme="majorHAnsi"/>
        </w:rPr>
        <w:t>the</w:t>
      </w:r>
      <w:r w:rsidRPr="00B83F67">
        <w:rPr>
          <w:rFonts w:asciiTheme="majorHAnsi" w:hAnsiTheme="majorHAnsi"/>
        </w:rPr>
        <w:t xml:space="preserve"> analy</w:t>
      </w:r>
      <w:r>
        <w:rPr>
          <w:rFonts w:asciiTheme="majorHAnsi" w:hAnsiTheme="majorHAnsi"/>
        </w:rPr>
        <w:t xml:space="preserve">ses. These two groups are </w:t>
      </w:r>
      <w:r w:rsidRPr="00B83F67">
        <w:rPr>
          <w:rFonts w:asciiTheme="majorHAnsi" w:hAnsiTheme="majorHAnsi"/>
        </w:rPr>
        <w:t>similar in many respects – for example, in terms of their mean age, age when they left education, age at first marriage and birth, and mean number of children</w:t>
      </w:r>
      <w:r>
        <w:rPr>
          <w:rFonts w:asciiTheme="majorHAnsi" w:hAnsiTheme="majorHAnsi"/>
        </w:rPr>
        <w:t xml:space="preserve"> (Table 1)</w:t>
      </w:r>
      <w:r w:rsidRPr="00B83F67">
        <w:rPr>
          <w:rFonts w:asciiTheme="majorHAnsi" w:hAnsiTheme="majorHAnsi"/>
        </w:rPr>
        <w:t xml:space="preserve">. </w:t>
      </w:r>
      <w:r>
        <w:rPr>
          <w:rFonts w:asciiTheme="majorHAnsi" w:hAnsiTheme="majorHAnsi"/>
        </w:rPr>
        <w:t xml:space="preserve">Apart from the different balance of full- and part-time work, the other main difference is that full-time returners are </w:t>
      </w:r>
      <w:r w:rsidRPr="00B83F67">
        <w:rPr>
          <w:rFonts w:asciiTheme="majorHAnsi" w:hAnsiTheme="majorHAnsi"/>
        </w:rPr>
        <w:t xml:space="preserve">more advantaged in terms of their (current) occupational class, being twice as likely to be in NSSEC class 1 (higher managerial/professional) as are </w:t>
      </w:r>
      <w:r>
        <w:rPr>
          <w:rFonts w:asciiTheme="majorHAnsi" w:hAnsiTheme="majorHAnsi"/>
        </w:rPr>
        <w:t>part-time returners</w:t>
      </w:r>
      <w:r w:rsidRPr="00B83F67">
        <w:rPr>
          <w:rFonts w:asciiTheme="majorHAnsi" w:hAnsiTheme="majorHAnsi"/>
        </w:rPr>
        <w:t xml:space="preserve"> (</w:t>
      </w:r>
      <w:r>
        <w:rPr>
          <w:rFonts w:asciiTheme="majorHAnsi" w:hAnsiTheme="majorHAnsi"/>
        </w:rPr>
        <w:t>25.6</w:t>
      </w:r>
      <w:r w:rsidRPr="00B83F67">
        <w:rPr>
          <w:rFonts w:asciiTheme="majorHAnsi" w:hAnsiTheme="majorHAnsi"/>
        </w:rPr>
        <w:t xml:space="preserve">% versus </w:t>
      </w:r>
      <w:r>
        <w:rPr>
          <w:rFonts w:asciiTheme="majorHAnsi" w:hAnsiTheme="majorHAnsi"/>
        </w:rPr>
        <w:t>12.4</w:t>
      </w:r>
      <w:r w:rsidRPr="00B83F67">
        <w:rPr>
          <w:rFonts w:asciiTheme="majorHAnsi" w:hAnsiTheme="majorHAnsi"/>
        </w:rPr>
        <w:t>%</w:t>
      </w:r>
      <w:r>
        <w:rPr>
          <w:rFonts w:asciiTheme="majorHAnsi" w:hAnsiTheme="majorHAnsi"/>
        </w:rPr>
        <w:t>; p&lt;0.001</w:t>
      </w:r>
      <w:r w:rsidRPr="00B83F67">
        <w:rPr>
          <w:rFonts w:asciiTheme="majorHAnsi" w:hAnsiTheme="majorHAnsi"/>
        </w:rPr>
        <w:t xml:space="preserve">). </w:t>
      </w:r>
    </w:p>
    <w:p w:rsidR="00977DEB" w:rsidRDefault="00977DEB">
      <w:pPr>
        <w:rPr>
          <w:rFonts w:asciiTheme="majorHAnsi" w:hAnsiTheme="majorHAnsi"/>
        </w:rPr>
      </w:pPr>
      <w:r>
        <w:rPr>
          <w:rFonts w:asciiTheme="majorHAnsi" w:hAnsiTheme="majorHAnsi"/>
        </w:rPr>
        <w:br w:type="page"/>
      </w:r>
    </w:p>
    <w:p w:rsidR="00977DEB" w:rsidRDefault="00977DEB">
      <w:pPr>
        <w:rPr>
          <w:rFonts w:asciiTheme="majorHAnsi" w:hAnsiTheme="majorHAnsi"/>
        </w:rPr>
      </w:pPr>
    </w:p>
    <w:p w:rsidR="00977DEB" w:rsidRPr="00AE5EDD" w:rsidRDefault="00977DEB" w:rsidP="003F5557">
      <w:pPr>
        <w:spacing w:line="360" w:lineRule="auto"/>
        <w:rPr>
          <w:rFonts w:asciiTheme="majorHAnsi" w:hAnsiTheme="majorHAnsi"/>
          <w:b/>
          <w:bCs/>
        </w:rPr>
      </w:pPr>
      <w:r>
        <w:rPr>
          <w:rFonts w:asciiTheme="majorHAnsi" w:hAnsiTheme="majorHAnsi"/>
          <w:b/>
          <w:bCs/>
        </w:rPr>
        <w:t xml:space="preserve">Table 1: </w:t>
      </w:r>
      <w:r w:rsidRPr="00AE5EDD">
        <w:rPr>
          <w:rFonts w:asciiTheme="majorHAnsi" w:hAnsiTheme="majorHAnsi"/>
          <w:b/>
          <w:bCs/>
        </w:rPr>
        <w:t>Cluster characteristics</w:t>
      </w:r>
    </w:p>
    <w:tbl>
      <w:tblPr>
        <w:tblW w:w="9948" w:type="dxa"/>
        <w:tblInd w:w="93" w:type="dxa"/>
        <w:tblLayout w:type="fixed"/>
        <w:tblLook w:val="04A0" w:firstRow="1" w:lastRow="0" w:firstColumn="1" w:lastColumn="0" w:noHBand="0" w:noVBand="1"/>
      </w:tblPr>
      <w:tblGrid>
        <w:gridCol w:w="3417"/>
        <w:gridCol w:w="1162"/>
        <w:gridCol w:w="1162"/>
        <w:gridCol w:w="1163"/>
        <w:gridCol w:w="1162"/>
        <w:gridCol w:w="1163"/>
        <w:gridCol w:w="719"/>
      </w:tblGrid>
      <w:tr w:rsidR="00977DEB" w:rsidRPr="001A47D2" w:rsidTr="00114943">
        <w:trPr>
          <w:trHeight w:val="300"/>
        </w:trPr>
        <w:tc>
          <w:tcPr>
            <w:tcW w:w="3417" w:type="dxa"/>
            <w:shd w:val="clear" w:color="auto" w:fill="auto"/>
            <w:vAlign w:val="center"/>
            <w:hideMark/>
          </w:tcPr>
          <w:p w:rsidR="00977DEB" w:rsidRPr="001A47D2" w:rsidRDefault="00977DEB" w:rsidP="00114943">
            <w:pPr>
              <w:spacing w:line="360" w:lineRule="auto"/>
              <w:rPr>
                <w:rFonts w:asciiTheme="majorHAnsi" w:hAnsiTheme="majorHAnsi"/>
                <w:b/>
                <w:bCs/>
                <w:sz w:val="20"/>
                <w:szCs w:val="20"/>
              </w:rPr>
            </w:pPr>
          </w:p>
        </w:tc>
        <w:tc>
          <w:tcPr>
            <w:tcW w:w="5812" w:type="dxa"/>
            <w:gridSpan w:val="5"/>
            <w:tcBorders>
              <w:top w:val="single" w:sz="4" w:space="0" w:color="auto"/>
            </w:tcBorders>
            <w:shd w:val="clear" w:color="auto" w:fill="auto"/>
            <w:vAlign w:val="center"/>
            <w:hideMark/>
          </w:tcPr>
          <w:p w:rsidR="00977DEB" w:rsidRPr="001A47D2" w:rsidRDefault="00977DEB" w:rsidP="00114943">
            <w:pPr>
              <w:spacing w:line="360" w:lineRule="auto"/>
              <w:jc w:val="center"/>
              <w:rPr>
                <w:rFonts w:asciiTheme="majorHAnsi" w:hAnsiTheme="majorHAnsi"/>
                <w:b/>
                <w:bCs/>
                <w:sz w:val="20"/>
                <w:szCs w:val="20"/>
              </w:rPr>
            </w:pPr>
            <w:r>
              <w:rPr>
                <w:rFonts w:asciiTheme="majorHAnsi" w:hAnsiTheme="majorHAnsi"/>
                <w:b/>
                <w:bCs/>
                <w:sz w:val="20"/>
                <w:szCs w:val="20"/>
              </w:rPr>
              <w:t>ECONOMIC ACTIVITY TRAJECTORY CLUSTER</w:t>
            </w:r>
          </w:p>
        </w:tc>
        <w:tc>
          <w:tcPr>
            <w:tcW w:w="719" w:type="dxa"/>
            <w:tcBorders>
              <w:top w:val="single" w:sz="4" w:space="0" w:color="auto"/>
            </w:tcBorders>
          </w:tcPr>
          <w:p w:rsidR="00977DEB" w:rsidRPr="001A47D2" w:rsidRDefault="00977DEB" w:rsidP="00114943">
            <w:pPr>
              <w:spacing w:line="360" w:lineRule="auto"/>
              <w:rPr>
                <w:rFonts w:asciiTheme="majorHAnsi" w:hAnsiTheme="majorHAnsi"/>
                <w:b/>
                <w:bCs/>
                <w:sz w:val="20"/>
                <w:szCs w:val="20"/>
              </w:rPr>
            </w:pPr>
          </w:p>
        </w:tc>
      </w:tr>
      <w:tr w:rsidR="00977DEB" w:rsidRPr="001A47D2" w:rsidTr="00114943">
        <w:trPr>
          <w:trHeight w:val="300"/>
        </w:trPr>
        <w:tc>
          <w:tcPr>
            <w:tcW w:w="3417" w:type="dxa"/>
            <w:tcBorders>
              <w:bottom w:val="single" w:sz="4" w:space="0" w:color="auto"/>
            </w:tcBorders>
            <w:shd w:val="clear" w:color="auto" w:fill="auto"/>
            <w:vAlign w:val="center"/>
            <w:hideMark/>
          </w:tcPr>
          <w:p w:rsidR="00977DEB" w:rsidRPr="001A47D2" w:rsidRDefault="00977DEB" w:rsidP="00114943">
            <w:pPr>
              <w:spacing w:line="360" w:lineRule="auto"/>
              <w:rPr>
                <w:rFonts w:asciiTheme="majorHAnsi" w:hAnsiTheme="majorHAnsi"/>
                <w:b/>
                <w:bCs/>
                <w:sz w:val="20"/>
                <w:szCs w:val="20"/>
              </w:rPr>
            </w:pPr>
            <w:r w:rsidRPr="001A47D2">
              <w:rPr>
                <w:rFonts w:asciiTheme="majorHAnsi" w:hAnsiTheme="majorHAnsi"/>
                <w:b/>
                <w:bCs/>
                <w:sz w:val="20"/>
                <w:szCs w:val="20"/>
              </w:rPr>
              <w:t> </w:t>
            </w:r>
          </w:p>
        </w:tc>
        <w:tc>
          <w:tcPr>
            <w:tcW w:w="1162" w:type="dxa"/>
            <w:tcBorders>
              <w:bottom w:val="single" w:sz="4" w:space="0" w:color="auto"/>
            </w:tcBorders>
            <w:shd w:val="clear" w:color="auto" w:fill="auto"/>
            <w:vAlign w:val="center"/>
            <w:hideMark/>
          </w:tcPr>
          <w:p w:rsidR="00977DEB" w:rsidRDefault="00977DEB" w:rsidP="00114943">
            <w:pPr>
              <w:spacing w:line="360" w:lineRule="auto"/>
              <w:rPr>
                <w:rFonts w:asciiTheme="majorHAnsi" w:hAnsiTheme="majorHAnsi"/>
                <w:b/>
                <w:bCs/>
                <w:sz w:val="20"/>
                <w:szCs w:val="20"/>
              </w:rPr>
            </w:pPr>
            <w:r w:rsidRPr="001A47D2">
              <w:rPr>
                <w:rFonts w:asciiTheme="majorHAnsi" w:hAnsiTheme="majorHAnsi"/>
                <w:b/>
                <w:bCs/>
                <w:sz w:val="20"/>
                <w:szCs w:val="20"/>
              </w:rPr>
              <w:t>1</w:t>
            </w:r>
          </w:p>
          <w:p w:rsidR="00977DEB" w:rsidRPr="001A47D2" w:rsidRDefault="00977DEB" w:rsidP="00114943">
            <w:pPr>
              <w:spacing w:line="360" w:lineRule="auto"/>
              <w:rPr>
                <w:rFonts w:asciiTheme="majorHAnsi" w:hAnsiTheme="majorHAnsi"/>
                <w:b/>
                <w:bCs/>
                <w:sz w:val="20"/>
                <w:szCs w:val="20"/>
              </w:rPr>
            </w:pPr>
            <w:r>
              <w:rPr>
                <w:rFonts w:asciiTheme="majorHAnsi" w:hAnsiTheme="majorHAnsi"/>
                <w:b/>
                <w:bCs/>
                <w:sz w:val="20"/>
                <w:szCs w:val="20"/>
              </w:rPr>
              <w:t>Full-time workers</w:t>
            </w:r>
          </w:p>
        </w:tc>
        <w:tc>
          <w:tcPr>
            <w:tcW w:w="1162" w:type="dxa"/>
            <w:tcBorders>
              <w:bottom w:val="single" w:sz="4" w:space="0" w:color="auto"/>
            </w:tcBorders>
            <w:shd w:val="clear" w:color="auto" w:fill="auto"/>
            <w:noWrap/>
            <w:vAlign w:val="center"/>
            <w:hideMark/>
          </w:tcPr>
          <w:p w:rsidR="00977DEB" w:rsidRDefault="00977DEB" w:rsidP="00114943">
            <w:pPr>
              <w:spacing w:line="360" w:lineRule="auto"/>
              <w:rPr>
                <w:rFonts w:asciiTheme="majorHAnsi" w:hAnsiTheme="majorHAnsi"/>
                <w:b/>
                <w:bCs/>
                <w:sz w:val="20"/>
                <w:szCs w:val="20"/>
              </w:rPr>
            </w:pPr>
            <w:r w:rsidRPr="001A47D2">
              <w:rPr>
                <w:rFonts w:asciiTheme="majorHAnsi" w:hAnsiTheme="majorHAnsi"/>
                <w:b/>
                <w:bCs/>
                <w:sz w:val="20"/>
                <w:szCs w:val="20"/>
              </w:rPr>
              <w:t>2</w:t>
            </w:r>
          </w:p>
          <w:p w:rsidR="00977DEB" w:rsidRPr="001A47D2" w:rsidRDefault="00977DEB" w:rsidP="00114943">
            <w:pPr>
              <w:spacing w:line="360" w:lineRule="auto"/>
              <w:rPr>
                <w:rFonts w:asciiTheme="majorHAnsi" w:hAnsiTheme="majorHAnsi"/>
                <w:b/>
                <w:bCs/>
                <w:sz w:val="20"/>
                <w:szCs w:val="20"/>
              </w:rPr>
            </w:pPr>
            <w:r>
              <w:rPr>
                <w:rFonts w:asciiTheme="majorHAnsi" w:hAnsiTheme="majorHAnsi"/>
                <w:b/>
                <w:bCs/>
                <w:sz w:val="20"/>
                <w:szCs w:val="20"/>
              </w:rPr>
              <w:t>Family carers</w:t>
            </w:r>
          </w:p>
        </w:tc>
        <w:tc>
          <w:tcPr>
            <w:tcW w:w="1163" w:type="dxa"/>
            <w:tcBorders>
              <w:bottom w:val="single" w:sz="4" w:space="0" w:color="auto"/>
            </w:tcBorders>
            <w:shd w:val="clear" w:color="auto" w:fill="auto"/>
            <w:noWrap/>
            <w:vAlign w:val="center"/>
            <w:hideMark/>
          </w:tcPr>
          <w:p w:rsidR="00977DEB" w:rsidRDefault="00977DEB" w:rsidP="00114943">
            <w:pPr>
              <w:spacing w:line="360" w:lineRule="auto"/>
              <w:rPr>
                <w:rFonts w:asciiTheme="majorHAnsi" w:hAnsiTheme="majorHAnsi"/>
                <w:b/>
                <w:bCs/>
                <w:sz w:val="20"/>
                <w:szCs w:val="20"/>
              </w:rPr>
            </w:pPr>
            <w:r w:rsidRPr="001A47D2">
              <w:rPr>
                <w:rFonts w:asciiTheme="majorHAnsi" w:hAnsiTheme="majorHAnsi"/>
                <w:b/>
                <w:bCs/>
                <w:sz w:val="20"/>
                <w:szCs w:val="20"/>
              </w:rPr>
              <w:t>3</w:t>
            </w:r>
            <w:r>
              <w:rPr>
                <w:rFonts w:asciiTheme="majorHAnsi" w:hAnsiTheme="majorHAnsi"/>
                <w:b/>
                <w:bCs/>
                <w:sz w:val="20"/>
                <w:szCs w:val="20"/>
              </w:rPr>
              <w:t xml:space="preserve"> </w:t>
            </w:r>
          </w:p>
          <w:p w:rsidR="00977DEB" w:rsidRPr="001A47D2" w:rsidRDefault="00977DEB" w:rsidP="00114943">
            <w:pPr>
              <w:spacing w:line="360" w:lineRule="auto"/>
              <w:rPr>
                <w:rFonts w:asciiTheme="majorHAnsi" w:hAnsiTheme="majorHAnsi"/>
                <w:b/>
                <w:bCs/>
                <w:sz w:val="20"/>
                <w:szCs w:val="20"/>
              </w:rPr>
            </w:pPr>
            <w:r>
              <w:rPr>
                <w:rFonts w:asciiTheme="majorHAnsi" w:hAnsiTheme="majorHAnsi"/>
                <w:b/>
                <w:bCs/>
                <w:sz w:val="20"/>
                <w:szCs w:val="20"/>
              </w:rPr>
              <w:t>Full-time returners</w:t>
            </w:r>
            <w:r w:rsidRPr="001A47D2">
              <w:rPr>
                <w:rFonts w:asciiTheme="majorHAnsi" w:hAnsiTheme="majorHAnsi"/>
                <w:b/>
                <w:bCs/>
                <w:sz w:val="20"/>
                <w:szCs w:val="20"/>
              </w:rPr>
              <w:t xml:space="preserve"> </w:t>
            </w:r>
          </w:p>
        </w:tc>
        <w:tc>
          <w:tcPr>
            <w:tcW w:w="1162" w:type="dxa"/>
            <w:tcBorders>
              <w:bottom w:val="single" w:sz="4" w:space="0" w:color="auto"/>
            </w:tcBorders>
            <w:vAlign w:val="center"/>
          </w:tcPr>
          <w:p w:rsidR="00977DEB" w:rsidRDefault="00977DEB" w:rsidP="00114943">
            <w:pPr>
              <w:spacing w:line="360" w:lineRule="auto"/>
              <w:rPr>
                <w:rFonts w:asciiTheme="majorHAnsi" w:hAnsiTheme="majorHAnsi"/>
                <w:b/>
                <w:bCs/>
                <w:sz w:val="20"/>
                <w:szCs w:val="20"/>
              </w:rPr>
            </w:pPr>
            <w:r w:rsidRPr="001A47D2">
              <w:rPr>
                <w:rFonts w:asciiTheme="majorHAnsi" w:hAnsiTheme="majorHAnsi"/>
                <w:b/>
                <w:bCs/>
                <w:sz w:val="20"/>
                <w:szCs w:val="20"/>
              </w:rPr>
              <w:t>4</w:t>
            </w:r>
            <w:r>
              <w:rPr>
                <w:rFonts w:asciiTheme="majorHAnsi" w:hAnsiTheme="majorHAnsi"/>
                <w:b/>
                <w:bCs/>
                <w:sz w:val="20"/>
                <w:szCs w:val="20"/>
              </w:rPr>
              <w:t xml:space="preserve"> </w:t>
            </w:r>
          </w:p>
          <w:p w:rsidR="00977DEB" w:rsidRPr="001A47D2" w:rsidRDefault="00977DEB" w:rsidP="00114943">
            <w:pPr>
              <w:spacing w:line="360" w:lineRule="auto"/>
              <w:rPr>
                <w:rFonts w:asciiTheme="majorHAnsi" w:hAnsiTheme="majorHAnsi"/>
                <w:b/>
                <w:bCs/>
                <w:sz w:val="20"/>
                <w:szCs w:val="20"/>
              </w:rPr>
            </w:pPr>
            <w:r>
              <w:rPr>
                <w:rFonts w:asciiTheme="majorHAnsi" w:hAnsiTheme="majorHAnsi"/>
                <w:b/>
                <w:bCs/>
                <w:sz w:val="20"/>
                <w:szCs w:val="20"/>
              </w:rPr>
              <w:t>Part-time returners</w:t>
            </w:r>
          </w:p>
        </w:tc>
        <w:tc>
          <w:tcPr>
            <w:tcW w:w="1163" w:type="dxa"/>
            <w:tcBorders>
              <w:bottom w:val="single" w:sz="4" w:space="0" w:color="auto"/>
            </w:tcBorders>
            <w:vAlign w:val="center"/>
          </w:tcPr>
          <w:p w:rsidR="00977DEB" w:rsidRDefault="00977DEB" w:rsidP="00114943">
            <w:pPr>
              <w:spacing w:line="360" w:lineRule="auto"/>
              <w:rPr>
                <w:rFonts w:asciiTheme="majorHAnsi" w:hAnsiTheme="majorHAnsi"/>
                <w:b/>
                <w:bCs/>
                <w:sz w:val="20"/>
                <w:szCs w:val="20"/>
              </w:rPr>
            </w:pPr>
            <w:r w:rsidRPr="001A47D2">
              <w:rPr>
                <w:rFonts w:asciiTheme="majorHAnsi" w:hAnsiTheme="majorHAnsi"/>
                <w:b/>
                <w:bCs/>
                <w:sz w:val="20"/>
                <w:szCs w:val="20"/>
              </w:rPr>
              <w:t>5</w:t>
            </w:r>
          </w:p>
          <w:p w:rsidR="00977DEB" w:rsidRPr="001A47D2" w:rsidRDefault="00977DEB" w:rsidP="00114943">
            <w:pPr>
              <w:spacing w:line="360" w:lineRule="auto"/>
              <w:rPr>
                <w:rFonts w:asciiTheme="majorHAnsi" w:hAnsiTheme="majorHAnsi"/>
                <w:b/>
                <w:bCs/>
                <w:sz w:val="20"/>
                <w:szCs w:val="20"/>
              </w:rPr>
            </w:pPr>
            <w:r>
              <w:rPr>
                <w:rFonts w:asciiTheme="majorHAnsi" w:hAnsiTheme="majorHAnsi"/>
                <w:b/>
                <w:bCs/>
                <w:sz w:val="20"/>
                <w:szCs w:val="20"/>
              </w:rPr>
              <w:t>Atypical/ inactive</w:t>
            </w:r>
          </w:p>
        </w:tc>
        <w:tc>
          <w:tcPr>
            <w:tcW w:w="719" w:type="dxa"/>
            <w:tcBorders>
              <w:bottom w:val="single" w:sz="4" w:space="0" w:color="auto"/>
            </w:tcBorders>
            <w:vAlign w:val="center"/>
          </w:tcPr>
          <w:p w:rsidR="00977DEB" w:rsidRPr="001A47D2" w:rsidRDefault="00977DEB" w:rsidP="00114943">
            <w:pPr>
              <w:spacing w:line="360" w:lineRule="auto"/>
              <w:rPr>
                <w:rFonts w:asciiTheme="majorHAnsi" w:hAnsiTheme="majorHAnsi"/>
                <w:b/>
                <w:bCs/>
                <w:sz w:val="20"/>
                <w:szCs w:val="20"/>
              </w:rPr>
            </w:pPr>
            <w:r>
              <w:rPr>
                <w:rFonts w:asciiTheme="majorHAnsi" w:hAnsiTheme="majorHAnsi"/>
                <w:b/>
                <w:bCs/>
                <w:sz w:val="20"/>
                <w:szCs w:val="20"/>
              </w:rPr>
              <w:t>Total</w:t>
            </w:r>
          </w:p>
        </w:tc>
      </w:tr>
      <w:tr w:rsidR="00977DEB" w:rsidRPr="000341D1" w:rsidTr="00114943">
        <w:trPr>
          <w:trHeight w:val="300"/>
        </w:trPr>
        <w:tc>
          <w:tcPr>
            <w:tcW w:w="3417" w:type="dxa"/>
            <w:shd w:val="clear" w:color="auto" w:fill="auto"/>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Weighted % of sample</w:t>
            </w:r>
          </w:p>
        </w:tc>
        <w:tc>
          <w:tcPr>
            <w:tcW w:w="1162" w:type="dxa"/>
            <w:shd w:val="clear" w:color="auto" w:fill="auto"/>
          </w:tcPr>
          <w:p w:rsidR="00977DEB" w:rsidRPr="00173996" w:rsidRDefault="00977DEB" w:rsidP="005C4A7D">
            <w:pPr>
              <w:tabs>
                <w:tab w:val="decimal" w:pos="262"/>
              </w:tabs>
              <w:spacing w:line="360" w:lineRule="auto"/>
              <w:rPr>
                <w:sz w:val="20"/>
                <w:szCs w:val="20"/>
              </w:rPr>
            </w:pPr>
            <w:r>
              <w:rPr>
                <w:sz w:val="20"/>
                <w:szCs w:val="20"/>
              </w:rPr>
              <w:t>23.4</w:t>
            </w:r>
          </w:p>
        </w:tc>
        <w:tc>
          <w:tcPr>
            <w:tcW w:w="1162" w:type="dxa"/>
            <w:shd w:val="clear" w:color="auto" w:fill="auto"/>
          </w:tcPr>
          <w:p w:rsidR="00977DEB" w:rsidRPr="00173996" w:rsidRDefault="00977DEB" w:rsidP="005C4A7D">
            <w:pPr>
              <w:tabs>
                <w:tab w:val="decimal" w:pos="262"/>
              </w:tabs>
              <w:spacing w:line="360" w:lineRule="auto"/>
              <w:rPr>
                <w:sz w:val="20"/>
                <w:szCs w:val="20"/>
              </w:rPr>
            </w:pPr>
            <w:r>
              <w:rPr>
                <w:sz w:val="20"/>
                <w:szCs w:val="20"/>
              </w:rPr>
              <w:t>20.4</w:t>
            </w:r>
          </w:p>
        </w:tc>
        <w:tc>
          <w:tcPr>
            <w:tcW w:w="1163" w:type="dxa"/>
            <w:shd w:val="clear" w:color="auto" w:fill="auto"/>
          </w:tcPr>
          <w:p w:rsidR="00977DEB" w:rsidRPr="00173996" w:rsidRDefault="00977DEB" w:rsidP="005C4A7D">
            <w:pPr>
              <w:tabs>
                <w:tab w:val="decimal" w:pos="262"/>
              </w:tabs>
              <w:spacing w:line="360" w:lineRule="auto"/>
              <w:rPr>
                <w:sz w:val="20"/>
                <w:szCs w:val="20"/>
              </w:rPr>
            </w:pPr>
            <w:r>
              <w:rPr>
                <w:sz w:val="20"/>
                <w:szCs w:val="20"/>
              </w:rPr>
              <w:t>23.4</w:t>
            </w:r>
          </w:p>
        </w:tc>
        <w:tc>
          <w:tcPr>
            <w:tcW w:w="1162" w:type="dxa"/>
          </w:tcPr>
          <w:p w:rsidR="00977DEB" w:rsidRPr="00173996" w:rsidRDefault="00977DEB" w:rsidP="005C4A7D">
            <w:pPr>
              <w:tabs>
                <w:tab w:val="decimal" w:pos="262"/>
              </w:tabs>
              <w:spacing w:line="360" w:lineRule="auto"/>
              <w:rPr>
                <w:sz w:val="20"/>
                <w:szCs w:val="20"/>
              </w:rPr>
            </w:pPr>
            <w:r>
              <w:rPr>
                <w:sz w:val="20"/>
                <w:szCs w:val="20"/>
              </w:rPr>
              <w:t>24.6</w:t>
            </w:r>
          </w:p>
        </w:tc>
        <w:tc>
          <w:tcPr>
            <w:tcW w:w="1163" w:type="dxa"/>
          </w:tcPr>
          <w:p w:rsidR="00977DEB" w:rsidRPr="00173996" w:rsidRDefault="00977DEB" w:rsidP="005C4A7D">
            <w:pPr>
              <w:tabs>
                <w:tab w:val="decimal" w:pos="262"/>
              </w:tabs>
              <w:spacing w:line="360" w:lineRule="auto"/>
              <w:rPr>
                <w:sz w:val="20"/>
                <w:szCs w:val="20"/>
              </w:rPr>
            </w:pPr>
            <w:r>
              <w:rPr>
                <w:sz w:val="20"/>
                <w:szCs w:val="20"/>
              </w:rPr>
              <w:t>8.3</w:t>
            </w:r>
          </w:p>
        </w:tc>
        <w:tc>
          <w:tcPr>
            <w:tcW w:w="719" w:type="dxa"/>
          </w:tcPr>
          <w:p w:rsidR="00977DEB" w:rsidRPr="003404D8" w:rsidRDefault="00977DEB" w:rsidP="005C4A7D">
            <w:pPr>
              <w:tabs>
                <w:tab w:val="decimal" w:pos="176"/>
                <w:tab w:val="decimal" w:pos="262"/>
                <w:tab w:val="decimal" w:pos="383"/>
              </w:tabs>
              <w:spacing w:line="360" w:lineRule="auto"/>
              <w:jc w:val="right"/>
              <w:rPr>
                <w:sz w:val="20"/>
                <w:szCs w:val="20"/>
              </w:rPr>
            </w:pPr>
            <w:r>
              <w:rPr>
                <w:sz w:val="20"/>
                <w:szCs w:val="20"/>
              </w:rPr>
              <w:t>100</w:t>
            </w:r>
          </w:p>
        </w:tc>
      </w:tr>
      <w:tr w:rsidR="00977DEB" w:rsidRPr="005C4A7D" w:rsidTr="00114943">
        <w:trPr>
          <w:trHeight w:val="300"/>
        </w:trPr>
        <w:tc>
          <w:tcPr>
            <w:tcW w:w="3417" w:type="dxa"/>
            <w:shd w:val="clear" w:color="auto" w:fill="auto"/>
          </w:tcPr>
          <w:p w:rsidR="00977DEB" w:rsidRPr="005C4A7D" w:rsidRDefault="00977DEB" w:rsidP="005C4A7D">
            <w:pPr>
              <w:rPr>
                <w:sz w:val="20"/>
                <w:szCs w:val="20"/>
              </w:rPr>
            </w:pPr>
            <w:r>
              <w:rPr>
                <w:sz w:val="20"/>
                <w:szCs w:val="20"/>
              </w:rPr>
              <w:t>Weighted % with f</w:t>
            </w:r>
            <w:r w:rsidRPr="005C4A7D">
              <w:rPr>
                <w:sz w:val="20"/>
                <w:szCs w:val="20"/>
              </w:rPr>
              <w:t>air/</w:t>
            </w:r>
            <w:r>
              <w:rPr>
                <w:sz w:val="20"/>
                <w:szCs w:val="20"/>
              </w:rPr>
              <w:t>poor SRH</w:t>
            </w:r>
          </w:p>
        </w:tc>
        <w:tc>
          <w:tcPr>
            <w:tcW w:w="1162" w:type="dxa"/>
            <w:shd w:val="clear" w:color="auto" w:fill="auto"/>
          </w:tcPr>
          <w:p w:rsidR="00977DEB" w:rsidRPr="005C4A7D" w:rsidRDefault="00977DEB" w:rsidP="001A32DD">
            <w:pPr>
              <w:tabs>
                <w:tab w:val="decimal" w:pos="262"/>
              </w:tabs>
              <w:rPr>
                <w:sz w:val="20"/>
                <w:szCs w:val="20"/>
              </w:rPr>
            </w:pPr>
            <w:r w:rsidRPr="005C4A7D">
              <w:rPr>
                <w:sz w:val="20"/>
                <w:szCs w:val="20"/>
              </w:rPr>
              <w:t>41.1</w:t>
            </w:r>
          </w:p>
        </w:tc>
        <w:tc>
          <w:tcPr>
            <w:tcW w:w="1162" w:type="dxa"/>
            <w:shd w:val="clear" w:color="auto" w:fill="auto"/>
          </w:tcPr>
          <w:p w:rsidR="00977DEB" w:rsidRPr="005C4A7D" w:rsidRDefault="00977DEB" w:rsidP="005C4A7D">
            <w:pPr>
              <w:tabs>
                <w:tab w:val="decimal" w:pos="262"/>
              </w:tabs>
              <w:rPr>
                <w:sz w:val="20"/>
                <w:szCs w:val="20"/>
              </w:rPr>
            </w:pPr>
            <w:r>
              <w:rPr>
                <w:sz w:val="20"/>
                <w:szCs w:val="20"/>
              </w:rPr>
              <w:t>40.6</w:t>
            </w:r>
          </w:p>
        </w:tc>
        <w:tc>
          <w:tcPr>
            <w:tcW w:w="1163" w:type="dxa"/>
            <w:shd w:val="clear" w:color="auto" w:fill="auto"/>
          </w:tcPr>
          <w:p w:rsidR="00977DEB" w:rsidRPr="005C4A7D" w:rsidRDefault="00977DEB" w:rsidP="005C4A7D">
            <w:pPr>
              <w:tabs>
                <w:tab w:val="decimal" w:pos="262"/>
              </w:tabs>
              <w:rPr>
                <w:sz w:val="20"/>
                <w:szCs w:val="20"/>
              </w:rPr>
            </w:pPr>
            <w:r>
              <w:rPr>
                <w:sz w:val="20"/>
                <w:szCs w:val="20"/>
              </w:rPr>
              <w:t>32.</w:t>
            </w:r>
            <w:r w:rsidRPr="005C4A7D">
              <w:rPr>
                <w:sz w:val="20"/>
                <w:szCs w:val="20"/>
              </w:rPr>
              <w:t>7</w:t>
            </w:r>
          </w:p>
        </w:tc>
        <w:tc>
          <w:tcPr>
            <w:tcW w:w="1162" w:type="dxa"/>
          </w:tcPr>
          <w:p w:rsidR="00977DEB" w:rsidRPr="005C4A7D" w:rsidRDefault="00977DEB" w:rsidP="005C4A7D">
            <w:pPr>
              <w:tabs>
                <w:tab w:val="decimal" w:pos="262"/>
              </w:tabs>
              <w:rPr>
                <w:sz w:val="20"/>
                <w:szCs w:val="20"/>
              </w:rPr>
            </w:pPr>
            <w:r>
              <w:rPr>
                <w:sz w:val="20"/>
                <w:szCs w:val="20"/>
              </w:rPr>
              <w:t>34.9</w:t>
            </w:r>
          </w:p>
        </w:tc>
        <w:tc>
          <w:tcPr>
            <w:tcW w:w="1163" w:type="dxa"/>
          </w:tcPr>
          <w:p w:rsidR="00977DEB" w:rsidRPr="005C4A7D" w:rsidRDefault="00977DEB" w:rsidP="005C4A7D">
            <w:pPr>
              <w:tabs>
                <w:tab w:val="decimal" w:pos="262"/>
              </w:tabs>
              <w:rPr>
                <w:sz w:val="20"/>
                <w:szCs w:val="20"/>
              </w:rPr>
            </w:pPr>
            <w:r>
              <w:rPr>
                <w:sz w:val="20"/>
                <w:szCs w:val="20"/>
              </w:rPr>
              <w:t>50.5</w:t>
            </w:r>
          </w:p>
        </w:tc>
        <w:tc>
          <w:tcPr>
            <w:tcW w:w="719" w:type="dxa"/>
          </w:tcPr>
          <w:p w:rsidR="00977DEB" w:rsidRPr="005C4A7D" w:rsidRDefault="00977DEB" w:rsidP="005C4A7D">
            <w:pPr>
              <w:tabs>
                <w:tab w:val="decimal" w:pos="262"/>
              </w:tabs>
              <w:rPr>
                <w:sz w:val="20"/>
                <w:szCs w:val="20"/>
              </w:rPr>
            </w:pPr>
            <w:r>
              <w:rPr>
                <w:sz w:val="20"/>
                <w:szCs w:val="20"/>
              </w:rPr>
              <w:t>38.3</w:t>
            </w:r>
          </w:p>
        </w:tc>
      </w:tr>
      <w:tr w:rsidR="00977DEB" w:rsidRPr="000341D1" w:rsidTr="00114943">
        <w:trPr>
          <w:trHeight w:val="300"/>
        </w:trPr>
        <w:tc>
          <w:tcPr>
            <w:tcW w:w="3417" w:type="dxa"/>
            <w:shd w:val="clear" w:color="auto" w:fill="auto"/>
            <w:hideMark/>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Mean age at interview</w:t>
            </w:r>
          </w:p>
        </w:tc>
        <w:tc>
          <w:tcPr>
            <w:tcW w:w="1162" w:type="dxa"/>
            <w:shd w:val="clear" w:color="auto" w:fill="auto"/>
          </w:tcPr>
          <w:p w:rsidR="00977DEB" w:rsidRPr="0031608F" w:rsidRDefault="00977DEB" w:rsidP="005C4A7D">
            <w:pPr>
              <w:tabs>
                <w:tab w:val="decimal" w:pos="262"/>
              </w:tabs>
              <w:spacing w:line="360" w:lineRule="auto"/>
              <w:rPr>
                <w:rFonts w:asciiTheme="majorHAnsi" w:hAnsiTheme="majorHAnsi" w:cstheme="minorHAnsi"/>
                <w:sz w:val="20"/>
                <w:szCs w:val="20"/>
              </w:rPr>
            </w:pPr>
            <w:r>
              <w:rPr>
                <w:rFonts w:asciiTheme="majorHAnsi" w:hAnsiTheme="majorHAnsi" w:cstheme="minorHAnsi"/>
                <w:sz w:val="20"/>
                <w:szCs w:val="20"/>
              </w:rPr>
              <w:t>76.0</w:t>
            </w:r>
          </w:p>
        </w:tc>
        <w:tc>
          <w:tcPr>
            <w:tcW w:w="1162" w:type="dxa"/>
            <w:shd w:val="clear" w:color="auto" w:fill="auto"/>
          </w:tcPr>
          <w:p w:rsidR="00977DEB" w:rsidRPr="0031608F" w:rsidRDefault="00977DEB" w:rsidP="005C4A7D">
            <w:pPr>
              <w:tabs>
                <w:tab w:val="decimal" w:pos="262"/>
              </w:tabs>
              <w:spacing w:line="360" w:lineRule="auto"/>
              <w:rPr>
                <w:rFonts w:asciiTheme="majorHAnsi" w:hAnsiTheme="majorHAnsi" w:cstheme="minorHAnsi"/>
                <w:sz w:val="20"/>
                <w:szCs w:val="20"/>
              </w:rPr>
            </w:pPr>
            <w:r>
              <w:rPr>
                <w:rFonts w:asciiTheme="majorHAnsi" w:hAnsiTheme="majorHAnsi" w:cstheme="minorHAnsi"/>
                <w:sz w:val="20"/>
                <w:szCs w:val="20"/>
              </w:rPr>
              <w:t>76.8</w:t>
            </w:r>
          </w:p>
        </w:tc>
        <w:tc>
          <w:tcPr>
            <w:tcW w:w="1163" w:type="dxa"/>
            <w:shd w:val="clear" w:color="auto" w:fill="auto"/>
          </w:tcPr>
          <w:p w:rsidR="00977DEB" w:rsidRPr="0031608F" w:rsidRDefault="00977DEB" w:rsidP="005C4A7D">
            <w:pPr>
              <w:tabs>
                <w:tab w:val="decimal" w:pos="262"/>
              </w:tabs>
              <w:spacing w:line="360" w:lineRule="auto"/>
              <w:rPr>
                <w:rFonts w:asciiTheme="majorHAnsi" w:hAnsiTheme="majorHAnsi" w:cstheme="minorHAnsi"/>
                <w:sz w:val="20"/>
                <w:szCs w:val="20"/>
              </w:rPr>
            </w:pPr>
            <w:r>
              <w:rPr>
                <w:rFonts w:asciiTheme="majorHAnsi" w:hAnsiTheme="majorHAnsi" w:cstheme="minorHAnsi"/>
                <w:sz w:val="20"/>
                <w:szCs w:val="20"/>
              </w:rPr>
              <w:t>73.5</w:t>
            </w:r>
          </w:p>
        </w:tc>
        <w:tc>
          <w:tcPr>
            <w:tcW w:w="1162" w:type="dxa"/>
          </w:tcPr>
          <w:p w:rsidR="00977DEB" w:rsidRPr="0031608F" w:rsidRDefault="00977DEB" w:rsidP="005C4A7D">
            <w:pPr>
              <w:tabs>
                <w:tab w:val="decimal" w:pos="262"/>
              </w:tabs>
              <w:spacing w:line="360" w:lineRule="auto"/>
              <w:rPr>
                <w:rFonts w:asciiTheme="majorHAnsi" w:hAnsiTheme="majorHAnsi" w:cstheme="minorHAnsi"/>
                <w:sz w:val="20"/>
                <w:szCs w:val="20"/>
              </w:rPr>
            </w:pPr>
            <w:r>
              <w:rPr>
                <w:rFonts w:asciiTheme="majorHAnsi" w:hAnsiTheme="majorHAnsi" w:cstheme="minorHAnsi"/>
                <w:sz w:val="20"/>
                <w:szCs w:val="20"/>
              </w:rPr>
              <w:t>74.1</w:t>
            </w:r>
          </w:p>
        </w:tc>
        <w:tc>
          <w:tcPr>
            <w:tcW w:w="1163" w:type="dxa"/>
          </w:tcPr>
          <w:p w:rsidR="00977DEB" w:rsidRPr="0031608F" w:rsidRDefault="00977DEB" w:rsidP="005C4A7D">
            <w:pPr>
              <w:tabs>
                <w:tab w:val="decimal" w:pos="262"/>
              </w:tabs>
              <w:spacing w:line="360" w:lineRule="auto"/>
              <w:rPr>
                <w:rFonts w:asciiTheme="majorHAnsi" w:hAnsiTheme="majorHAnsi" w:cstheme="minorHAnsi"/>
                <w:sz w:val="20"/>
                <w:szCs w:val="20"/>
              </w:rPr>
            </w:pPr>
            <w:r>
              <w:rPr>
                <w:rFonts w:asciiTheme="majorHAnsi" w:hAnsiTheme="majorHAnsi" w:cstheme="minorHAnsi"/>
                <w:sz w:val="20"/>
                <w:szCs w:val="20"/>
              </w:rPr>
              <w:t>75.2</w:t>
            </w:r>
          </w:p>
        </w:tc>
        <w:tc>
          <w:tcPr>
            <w:tcW w:w="719" w:type="dxa"/>
          </w:tcPr>
          <w:p w:rsidR="00977DEB" w:rsidRPr="0031608F" w:rsidRDefault="00977DEB" w:rsidP="005C4A7D">
            <w:pPr>
              <w:tabs>
                <w:tab w:val="decimal" w:pos="262"/>
              </w:tabs>
              <w:spacing w:line="360" w:lineRule="auto"/>
              <w:rPr>
                <w:rFonts w:asciiTheme="majorHAnsi" w:hAnsiTheme="majorHAnsi" w:cstheme="minorHAnsi"/>
                <w:sz w:val="20"/>
                <w:szCs w:val="20"/>
              </w:rPr>
            </w:pPr>
            <w:r>
              <w:rPr>
                <w:rFonts w:asciiTheme="majorHAnsi" w:hAnsiTheme="majorHAnsi" w:cstheme="minorHAnsi"/>
                <w:sz w:val="20"/>
                <w:szCs w:val="20"/>
              </w:rPr>
              <w:t>75.0</w:t>
            </w:r>
          </w:p>
        </w:tc>
      </w:tr>
      <w:tr w:rsidR="00977DEB" w:rsidRPr="000341D1" w:rsidTr="00114943">
        <w:trPr>
          <w:trHeight w:val="300"/>
        </w:trPr>
        <w:tc>
          <w:tcPr>
            <w:tcW w:w="3417" w:type="dxa"/>
            <w:shd w:val="clear" w:color="auto" w:fill="auto"/>
            <w:hideMark/>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Mean age left education</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20.0</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15.4</w:t>
            </w:r>
          </w:p>
        </w:tc>
        <w:tc>
          <w:tcPr>
            <w:tcW w:w="1163"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16.9</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15.7</w:t>
            </w: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16.1</w:t>
            </w: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17.0</w:t>
            </w:r>
          </w:p>
        </w:tc>
      </w:tr>
      <w:tr w:rsidR="00977DEB" w:rsidRPr="000341D1" w:rsidTr="00114943">
        <w:trPr>
          <w:trHeight w:val="300"/>
        </w:trPr>
        <w:tc>
          <w:tcPr>
            <w:tcW w:w="3417" w:type="dxa"/>
            <w:shd w:val="clear" w:color="auto" w:fill="auto"/>
            <w:hideMark/>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 xml:space="preserve">Mean years of life in employment:   </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p>
        </w:tc>
        <w:tc>
          <w:tcPr>
            <w:tcW w:w="1163"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p>
        </w:tc>
      </w:tr>
      <w:tr w:rsidR="00977DEB" w:rsidRPr="000341D1" w:rsidTr="00114943">
        <w:trPr>
          <w:trHeight w:val="300"/>
        </w:trPr>
        <w:tc>
          <w:tcPr>
            <w:tcW w:w="3417" w:type="dxa"/>
            <w:shd w:val="clear" w:color="auto" w:fill="auto"/>
          </w:tcPr>
          <w:p w:rsidR="00977DEB" w:rsidRPr="003534DB" w:rsidRDefault="00977DEB" w:rsidP="00114943">
            <w:pPr>
              <w:spacing w:line="360" w:lineRule="auto"/>
              <w:ind w:right="200" w:firstLine="191"/>
              <w:rPr>
                <w:rFonts w:asciiTheme="majorHAnsi" w:hAnsiTheme="majorHAnsi"/>
                <w:i/>
                <w:iCs/>
                <w:sz w:val="20"/>
                <w:szCs w:val="20"/>
              </w:rPr>
            </w:pPr>
            <w:r w:rsidRPr="003534DB">
              <w:rPr>
                <w:rFonts w:asciiTheme="majorHAnsi" w:hAnsiTheme="majorHAnsi"/>
                <w:i/>
                <w:iCs/>
                <w:sz w:val="20"/>
                <w:szCs w:val="20"/>
              </w:rPr>
              <w:t>Total</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36.0</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9.4</w:t>
            </w:r>
          </w:p>
        </w:tc>
        <w:tc>
          <w:tcPr>
            <w:tcW w:w="1163"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30.5</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28.9</w:t>
            </w: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16.8</w:t>
            </w: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26.0</w:t>
            </w:r>
          </w:p>
        </w:tc>
      </w:tr>
      <w:tr w:rsidR="00977DEB" w:rsidRPr="000341D1" w:rsidTr="00114943">
        <w:trPr>
          <w:trHeight w:val="300"/>
        </w:trPr>
        <w:tc>
          <w:tcPr>
            <w:tcW w:w="3417" w:type="dxa"/>
            <w:shd w:val="clear" w:color="auto" w:fill="auto"/>
          </w:tcPr>
          <w:p w:rsidR="00977DEB" w:rsidRPr="003534DB" w:rsidRDefault="00977DEB" w:rsidP="00114943">
            <w:pPr>
              <w:spacing w:line="360" w:lineRule="auto"/>
              <w:ind w:right="200" w:firstLine="191"/>
              <w:rPr>
                <w:rFonts w:asciiTheme="majorHAnsi" w:hAnsiTheme="majorHAnsi"/>
                <w:i/>
                <w:iCs/>
                <w:sz w:val="20"/>
                <w:szCs w:val="20"/>
              </w:rPr>
            </w:pPr>
            <w:r w:rsidRPr="003534DB">
              <w:rPr>
                <w:rFonts w:asciiTheme="majorHAnsi" w:hAnsiTheme="majorHAnsi"/>
                <w:i/>
                <w:iCs/>
                <w:sz w:val="20"/>
                <w:szCs w:val="20"/>
              </w:rPr>
              <w:t>Full-time</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33.1</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7.8</w:t>
            </w:r>
          </w:p>
        </w:tc>
        <w:tc>
          <w:tcPr>
            <w:tcW w:w="1163"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25.3</w:t>
            </w:r>
          </w:p>
        </w:tc>
        <w:tc>
          <w:tcPr>
            <w:tcW w:w="1162"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8.1</w:t>
            </w:r>
          </w:p>
        </w:tc>
        <w:tc>
          <w:tcPr>
            <w:tcW w:w="1163"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11.6</w:t>
            </w: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18.2</w:t>
            </w:r>
          </w:p>
        </w:tc>
      </w:tr>
      <w:tr w:rsidR="00977DEB" w:rsidRPr="000341D1" w:rsidTr="00114943">
        <w:trPr>
          <w:trHeight w:val="300"/>
        </w:trPr>
        <w:tc>
          <w:tcPr>
            <w:tcW w:w="3417" w:type="dxa"/>
            <w:shd w:val="clear" w:color="auto" w:fill="auto"/>
          </w:tcPr>
          <w:p w:rsidR="00977DEB" w:rsidRPr="003534DB" w:rsidRDefault="00977DEB" w:rsidP="00114943">
            <w:pPr>
              <w:spacing w:line="360" w:lineRule="auto"/>
              <w:ind w:right="100" w:firstLine="191"/>
              <w:rPr>
                <w:rFonts w:asciiTheme="majorHAnsi" w:hAnsiTheme="majorHAnsi"/>
                <w:i/>
                <w:iCs/>
                <w:sz w:val="20"/>
                <w:szCs w:val="20"/>
              </w:rPr>
            </w:pPr>
            <w:r w:rsidRPr="003534DB">
              <w:rPr>
                <w:rFonts w:asciiTheme="majorHAnsi" w:hAnsiTheme="majorHAnsi"/>
                <w:i/>
                <w:iCs/>
                <w:sz w:val="20"/>
                <w:szCs w:val="20"/>
              </w:rPr>
              <w:t>Part-time</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2.9</w:t>
            </w:r>
          </w:p>
        </w:tc>
        <w:tc>
          <w:tcPr>
            <w:tcW w:w="1162"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1.6</w:t>
            </w:r>
          </w:p>
        </w:tc>
        <w:tc>
          <w:tcPr>
            <w:tcW w:w="1163"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5.2</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w:t>
            </w:r>
            <w:r>
              <w:rPr>
                <w:rFonts w:asciiTheme="majorHAnsi" w:hAnsiTheme="majorHAnsi" w:cstheme="minorHAnsi"/>
                <w:sz w:val="20"/>
                <w:szCs w:val="20"/>
              </w:rPr>
              <w:t>0.8</w:t>
            </w: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5.2</w:t>
            </w: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7.8</w:t>
            </w:r>
          </w:p>
        </w:tc>
      </w:tr>
      <w:tr w:rsidR="00977DEB" w:rsidRPr="000341D1" w:rsidTr="00114943">
        <w:trPr>
          <w:trHeight w:val="300"/>
        </w:trPr>
        <w:tc>
          <w:tcPr>
            <w:tcW w:w="3417" w:type="dxa"/>
            <w:shd w:val="clear" w:color="auto" w:fill="auto"/>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Mean age at retirement</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58.7</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62.</w:t>
            </w:r>
            <w:r w:rsidRPr="0031608F">
              <w:rPr>
                <w:rFonts w:asciiTheme="majorHAnsi" w:hAnsiTheme="majorHAnsi" w:cstheme="minorHAnsi"/>
                <w:sz w:val="20"/>
                <w:szCs w:val="20"/>
              </w:rPr>
              <w:t>0</w:t>
            </w:r>
          </w:p>
        </w:tc>
        <w:tc>
          <w:tcPr>
            <w:tcW w:w="1163"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60.0</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58.8</w:t>
            </w:r>
          </w:p>
        </w:tc>
        <w:tc>
          <w:tcPr>
            <w:tcW w:w="1163"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49.4</w:t>
            </w: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58.8</w:t>
            </w:r>
          </w:p>
        </w:tc>
      </w:tr>
      <w:tr w:rsidR="00977DEB" w:rsidRPr="000341D1" w:rsidTr="00114943">
        <w:trPr>
          <w:trHeight w:val="300"/>
        </w:trPr>
        <w:tc>
          <w:tcPr>
            <w:tcW w:w="3417" w:type="dxa"/>
            <w:shd w:val="clear" w:color="auto" w:fill="auto"/>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Mean age at first marriage</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25.8</w:t>
            </w:r>
          </w:p>
        </w:tc>
        <w:tc>
          <w:tcPr>
            <w:tcW w:w="1162"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23.</w:t>
            </w:r>
            <w:r>
              <w:rPr>
                <w:rFonts w:asciiTheme="majorHAnsi" w:hAnsiTheme="majorHAnsi" w:cstheme="minorHAnsi"/>
                <w:sz w:val="20"/>
                <w:szCs w:val="20"/>
              </w:rPr>
              <w:t>3</w:t>
            </w:r>
          </w:p>
        </w:tc>
        <w:tc>
          <w:tcPr>
            <w:tcW w:w="1163"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22.</w:t>
            </w:r>
            <w:r w:rsidRPr="0031608F">
              <w:rPr>
                <w:rFonts w:asciiTheme="majorHAnsi" w:hAnsiTheme="majorHAnsi" w:cstheme="minorHAnsi"/>
                <w:sz w:val="20"/>
                <w:szCs w:val="20"/>
              </w:rPr>
              <w:t>0</w:t>
            </w:r>
          </w:p>
        </w:tc>
        <w:tc>
          <w:tcPr>
            <w:tcW w:w="1162"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22.4</w:t>
            </w:r>
          </w:p>
        </w:tc>
        <w:tc>
          <w:tcPr>
            <w:tcW w:w="1163"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22.4</w:t>
            </w: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23.2</w:t>
            </w:r>
          </w:p>
        </w:tc>
      </w:tr>
      <w:tr w:rsidR="00977DEB" w:rsidRPr="000341D1" w:rsidTr="00114943">
        <w:trPr>
          <w:trHeight w:val="300"/>
        </w:trPr>
        <w:tc>
          <w:tcPr>
            <w:tcW w:w="3417" w:type="dxa"/>
            <w:shd w:val="clear" w:color="auto" w:fill="auto"/>
            <w:hideMark/>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Mean number of partners</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1.0</w:t>
            </w:r>
          </w:p>
        </w:tc>
        <w:tc>
          <w:tcPr>
            <w:tcW w:w="1162"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1.1</w:t>
            </w:r>
          </w:p>
        </w:tc>
        <w:tc>
          <w:tcPr>
            <w:tcW w:w="1163"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1.2</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1.1</w:t>
            </w: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1.2</w:t>
            </w:r>
          </w:p>
        </w:tc>
        <w:tc>
          <w:tcPr>
            <w:tcW w:w="719"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1.1</w:t>
            </w:r>
          </w:p>
        </w:tc>
      </w:tr>
      <w:tr w:rsidR="00977DEB" w:rsidRPr="000341D1" w:rsidTr="00114943">
        <w:trPr>
          <w:trHeight w:val="300"/>
        </w:trPr>
        <w:tc>
          <w:tcPr>
            <w:tcW w:w="3417" w:type="dxa"/>
            <w:shd w:val="clear" w:color="auto" w:fill="auto"/>
            <w:hideMark/>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 xml:space="preserve">Mean age at first birth </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26.9</w:t>
            </w:r>
          </w:p>
        </w:tc>
        <w:tc>
          <w:tcPr>
            <w:tcW w:w="1162"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25.8</w:t>
            </w:r>
          </w:p>
        </w:tc>
        <w:tc>
          <w:tcPr>
            <w:tcW w:w="1163"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24.3</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25.1</w:t>
            </w: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24.6</w:t>
            </w:r>
          </w:p>
        </w:tc>
        <w:tc>
          <w:tcPr>
            <w:tcW w:w="719"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25.3</w:t>
            </w:r>
          </w:p>
        </w:tc>
      </w:tr>
      <w:tr w:rsidR="00977DEB" w:rsidRPr="000341D1" w:rsidTr="00114943">
        <w:trPr>
          <w:trHeight w:val="300"/>
        </w:trPr>
        <w:tc>
          <w:tcPr>
            <w:tcW w:w="3417" w:type="dxa"/>
            <w:shd w:val="clear" w:color="auto" w:fill="auto"/>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Mean age at last birth</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31.6</w:t>
            </w:r>
          </w:p>
        </w:tc>
        <w:tc>
          <w:tcPr>
            <w:tcW w:w="1162"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32.0</w:t>
            </w:r>
          </w:p>
        </w:tc>
        <w:tc>
          <w:tcPr>
            <w:tcW w:w="1163" w:type="dxa"/>
            <w:shd w:val="clear" w:color="auto" w:fill="auto"/>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29.6</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30.7</w:t>
            </w: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30.5</w:t>
            </w:r>
          </w:p>
        </w:tc>
        <w:tc>
          <w:tcPr>
            <w:tcW w:w="719"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30.8</w:t>
            </w:r>
          </w:p>
        </w:tc>
      </w:tr>
      <w:tr w:rsidR="00977DEB" w:rsidRPr="000341D1" w:rsidTr="00114943">
        <w:trPr>
          <w:trHeight w:val="300"/>
        </w:trPr>
        <w:tc>
          <w:tcPr>
            <w:tcW w:w="3417" w:type="dxa"/>
            <w:shd w:val="clear" w:color="auto" w:fill="auto"/>
            <w:hideMark/>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Mean number of children</w:t>
            </w:r>
          </w:p>
        </w:tc>
        <w:tc>
          <w:tcPr>
            <w:tcW w:w="1162" w:type="dxa"/>
            <w:shd w:val="clear" w:color="auto" w:fill="auto"/>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1.5</w:t>
            </w:r>
          </w:p>
        </w:tc>
        <w:tc>
          <w:tcPr>
            <w:tcW w:w="1162" w:type="dxa"/>
            <w:shd w:val="clear" w:color="auto" w:fill="auto"/>
          </w:tcPr>
          <w:p w:rsidR="00977DEB" w:rsidRPr="0031608F" w:rsidRDefault="00977DEB" w:rsidP="00647E4C">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2.5</w:t>
            </w:r>
          </w:p>
        </w:tc>
        <w:tc>
          <w:tcPr>
            <w:tcW w:w="1163" w:type="dxa"/>
            <w:shd w:val="clear" w:color="auto" w:fill="auto"/>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2.5</w:t>
            </w:r>
          </w:p>
        </w:tc>
        <w:tc>
          <w:tcPr>
            <w:tcW w:w="1162"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2.4</w:t>
            </w:r>
          </w:p>
        </w:tc>
        <w:tc>
          <w:tcPr>
            <w:tcW w:w="1163" w:type="dxa"/>
          </w:tcPr>
          <w:p w:rsidR="00977DEB" w:rsidRPr="0031608F" w:rsidRDefault="00977DEB" w:rsidP="00114943">
            <w:pPr>
              <w:tabs>
                <w:tab w:val="decimal" w:pos="252"/>
              </w:tabs>
              <w:spacing w:line="360" w:lineRule="auto"/>
              <w:rPr>
                <w:rFonts w:asciiTheme="majorHAnsi" w:hAnsiTheme="majorHAnsi" w:cstheme="minorHAnsi"/>
                <w:sz w:val="20"/>
                <w:szCs w:val="20"/>
              </w:rPr>
            </w:pPr>
            <w:r>
              <w:rPr>
                <w:rFonts w:asciiTheme="majorHAnsi" w:hAnsiTheme="majorHAnsi" w:cstheme="minorHAnsi"/>
                <w:sz w:val="20"/>
                <w:szCs w:val="20"/>
              </w:rPr>
              <w:t>2.3</w:t>
            </w:r>
          </w:p>
        </w:tc>
        <w:tc>
          <w:tcPr>
            <w:tcW w:w="719" w:type="dxa"/>
          </w:tcPr>
          <w:p w:rsidR="00977DEB" w:rsidRPr="0031608F" w:rsidRDefault="00977DEB" w:rsidP="003924A4">
            <w:pPr>
              <w:tabs>
                <w:tab w:val="decimal" w:pos="252"/>
              </w:tabs>
              <w:spacing w:line="360" w:lineRule="auto"/>
              <w:rPr>
                <w:rFonts w:asciiTheme="majorHAnsi" w:hAnsiTheme="majorHAnsi" w:cstheme="minorHAnsi"/>
                <w:sz w:val="20"/>
                <w:szCs w:val="20"/>
              </w:rPr>
            </w:pPr>
            <w:r w:rsidRPr="0031608F">
              <w:rPr>
                <w:rFonts w:asciiTheme="majorHAnsi" w:hAnsiTheme="majorHAnsi" w:cstheme="minorHAnsi"/>
                <w:sz w:val="20"/>
                <w:szCs w:val="20"/>
              </w:rPr>
              <w:t>2.2</w:t>
            </w:r>
          </w:p>
        </w:tc>
      </w:tr>
      <w:tr w:rsidR="00977DEB" w:rsidRPr="001A47D2" w:rsidTr="00114943">
        <w:trPr>
          <w:trHeight w:val="300"/>
        </w:trPr>
        <w:tc>
          <w:tcPr>
            <w:tcW w:w="3417" w:type="dxa"/>
            <w:shd w:val="clear" w:color="auto" w:fill="auto"/>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 in NSSEC group:</w:t>
            </w:r>
          </w:p>
        </w:tc>
        <w:tc>
          <w:tcPr>
            <w:tcW w:w="1162" w:type="dxa"/>
            <w:shd w:val="clear" w:color="auto" w:fill="auto"/>
            <w:vAlign w:val="center"/>
          </w:tcPr>
          <w:p w:rsidR="00977DEB" w:rsidRPr="001C5CF8"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2" w:type="dxa"/>
            <w:shd w:val="clear" w:color="auto" w:fill="auto"/>
            <w:vAlign w:val="center"/>
          </w:tcPr>
          <w:p w:rsidR="00977DEB" w:rsidRPr="001C5CF8"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3" w:type="dxa"/>
            <w:shd w:val="clear" w:color="auto" w:fill="auto"/>
            <w:vAlign w:val="center"/>
          </w:tcPr>
          <w:p w:rsidR="00977DEB" w:rsidRPr="001C5CF8"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2" w:type="dxa"/>
            <w:vAlign w:val="center"/>
          </w:tcPr>
          <w:p w:rsidR="00977DEB" w:rsidRPr="001C5CF8"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3" w:type="dxa"/>
            <w:vAlign w:val="center"/>
          </w:tcPr>
          <w:p w:rsidR="00977DEB" w:rsidRPr="001C5CF8"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719" w:type="dxa"/>
            <w:vAlign w:val="center"/>
          </w:tcPr>
          <w:p w:rsidR="00977DEB" w:rsidRPr="001C5CF8"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r>
      <w:tr w:rsidR="00977DEB" w:rsidRPr="00BA3E74" w:rsidTr="00114943">
        <w:trPr>
          <w:trHeight w:val="300"/>
        </w:trPr>
        <w:tc>
          <w:tcPr>
            <w:tcW w:w="3417" w:type="dxa"/>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1 Higher managerial/professional</w:t>
            </w:r>
          </w:p>
        </w:tc>
        <w:tc>
          <w:tcPr>
            <w:tcW w:w="1162" w:type="dxa"/>
            <w:shd w:val="clear" w:color="auto" w:fill="auto"/>
          </w:tcPr>
          <w:p w:rsidR="00977DEB" w:rsidRPr="00BA3E74" w:rsidRDefault="00977DEB" w:rsidP="00114943">
            <w:pPr>
              <w:tabs>
                <w:tab w:val="decimal" w:pos="252"/>
              </w:tabs>
              <w:spacing w:line="360" w:lineRule="auto"/>
              <w:rPr>
                <w:sz w:val="20"/>
                <w:szCs w:val="20"/>
              </w:rPr>
            </w:pPr>
            <w:r>
              <w:rPr>
                <w:sz w:val="20"/>
                <w:szCs w:val="20"/>
              </w:rPr>
              <w:t>32.9</w:t>
            </w:r>
          </w:p>
        </w:tc>
        <w:tc>
          <w:tcPr>
            <w:tcW w:w="1162" w:type="dxa"/>
            <w:shd w:val="clear" w:color="auto" w:fill="auto"/>
          </w:tcPr>
          <w:p w:rsidR="00977DEB" w:rsidRPr="00BA3E74" w:rsidRDefault="00977DEB" w:rsidP="00647E4C">
            <w:pPr>
              <w:tabs>
                <w:tab w:val="decimal" w:pos="252"/>
              </w:tabs>
              <w:spacing w:line="360" w:lineRule="auto"/>
              <w:rPr>
                <w:sz w:val="20"/>
                <w:szCs w:val="20"/>
              </w:rPr>
            </w:pPr>
            <w:r>
              <w:rPr>
                <w:sz w:val="20"/>
                <w:szCs w:val="20"/>
              </w:rPr>
              <w:t>13.1</w:t>
            </w:r>
          </w:p>
        </w:tc>
        <w:tc>
          <w:tcPr>
            <w:tcW w:w="1163" w:type="dxa"/>
            <w:shd w:val="clear" w:color="auto" w:fill="auto"/>
          </w:tcPr>
          <w:p w:rsidR="00977DEB" w:rsidRPr="00BA3E74" w:rsidRDefault="00977DEB" w:rsidP="003924A4">
            <w:pPr>
              <w:tabs>
                <w:tab w:val="decimal" w:pos="252"/>
              </w:tabs>
              <w:spacing w:line="360" w:lineRule="auto"/>
              <w:rPr>
                <w:sz w:val="20"/>
                <w:szCs w:val="20"/>
              </w:rPr>
            </w:pPr>
            <w:r w:rsidRPr="00BA3E74">
              <w:rPr>
                <w:sz w:val="20"/>
                <w:szCs w:val="20"/>
              </w:rPr>
              <w:t>25.6</w:t>
            </w:r>
          </w:p>
        </w:tc>
        <w:tc>
          <w:tcPr>
            <w:tcW w:w="1162" w:type="dxa"/>
          </w:tcPr>
          <w:p w:rsidR="00977DEB" w:rsidRPr="00BA3E74" w:rsidRDefault="00977DEB" w:rsidP="00114943">
            <w:pPr>
              <w:tabs>
                <w:tab w:val="decimal" w:pos="252"/>
              </w:tabs>
              <w:spacing w:line="360" w:lineRule="auto"/>
              <w:rPr>
                <w:sz w:val="20"/>
                <w:szCs w:val="20"/>
              </w:rPr>
            </w:pPr>
            <w:r>
              <w:rPr>
                <w:sz w:val="20"/>
                <w:szCs w:val="20"/>
              </w:rPr>
              <w:t>12.4</w:t>
            </w:r>
          </w:p>
        </w:tc>
        <w:tc>
          <w:tcPr>
            <w:tcW w:w="1163" w:type="dxa"/>
          </w:tcPr>
          <w:p w:rsidR="00977DEB" w:rsidRPr="00BA3E74" w:rsidRDefault="00977DEB" w:rsidP="00114943">
            <w:pPr>
              <w:tabs>
                <w:tab w:val="decimal" w:pos="252"/>
              </w:tabs>
              <w:spacing w:line="360" w:lineRule="auto"/>
              <w:rPr>
                <w:sz w:val="20"/>
                <w:szCs w:val="20"/>
              </w:rPr>
            </w:pPr>
            <w:r>
              <w:rPr>
                <w:sz w:val="20"/>
                <w:szCs w:val="20"/>
              </w:rPr>
              <w:t>14.9</w:t>
            </w:r>
          </w:p>
        </w:tc>
        <w:tc>
          <w:tcPr>
            <w:tcW w:w="719" w:type="dxa"/>
          </w:tcPr>
          <w:p w:rsidR="00977DEB" w:rsidRPr="00BA3E74" w:rsidRDefault="00977DEB" w:rsidP="003924A4">
            <w:pPr>
              <w:tabs>
                <w:tab w:val="decimal" w:pos="252"/>
              </w:tabs>
              <w:spacing w:line="360" w:lineRule="auto"/>
              <w:rPr>
                <w:sz w:val="20"/>
                <w:szCs w:val="20"/>
              </w:rPr>
            </w:pPr>
            <w:r w:rsidRPr="00BA3E74">
              <w:rPr>
                <w:sz w:val="20"/>
                <w:szCs w:val="20"/>
              </w:rPr>
              <w:t>20.6</w:t>
            </w:r>
          </w:p>
        </w:tc>
      </w:tr>
      <w:tr w:rsidR="00977DEB" w:rsidRPr="00BA3E74" w:rsidTr="00114943">
        <w:trPr>
          <w:trHeight w:val="300"/>
        </w:trPr>
        <w:tc>
          <w:tcPr>
            <w:tcW w:w="3417" w:type="dxa"/>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2 Intermediate</w:t>
            </w:r>
          </w:p>
        </w:tc>
        <w:tc>
          <w:tcPr>
            <w:tcW w:w="1162" w:type="dxa"/>
            <w:shd w:val="clear" w:color="auto" w:fill="auto"/>
          </w:tcPr>
          <w:p w:rsidR="00977DEB" w:rsidRPr="00BA3E74" w:rsidRDefault="00977DEB" w:rsidP="00114943">
            <w:pPr>
              <w:tabs>
                <w:tab w:val="decimal" w:pos="252"/>
              </w:tabs>
              <w:spacing w:line="360" w:lineRule="auto"/>
              <w:rPr>
                <w:sz w:val="20"/>
                <w:szCs w:val="20"/>
              </w:rPr>
            </w:pPr>
            <w:r>
              <w:rPr>
                <w:sz w:val="20"/>
                <w:szCs w:val="20"/>
              </w:rPr>
              <w:t>29.5</w:t>
            </w:r>
          </w:p>
        </w:tc>
        <w:tc>
          <w:tcPr>
            <w:tcW w:w="1162" w:type="dxa"/>
            <w:shd w:val="clear" w:color="auto" w:fill="auto"/>
          </w:tcPr>
          <w:p w:rsidR="00977DEB" w:rsidRPr="00BA3E74" w:rsidRDefault="00977DEB" w:rsidP="00647E4C">
            <w:pPr>
              <w:tabs>
                <w:tab w:val="decimal" w:pos="252"/>
              </w:tabs>
              <w:spacing w:line="360" w:lineRule="auto"/>
              <w:rPr>
                <w:sz w:val="20"/>
                <w:szCs w:val="20"/>
              </w:rPr>
            </w:pPr>
            <w:r w:rsidRPr="00BA3E74">
              <w:rPr>
                <w:sz w:val="20"/>
                <w:szCs w:val="20"/>
              </w:rPr>
              <w:t>28.3</w:t>
            </w:r>
          </w:p>
        </w:tc>
        <w:tc>
          <w:tcPr>
            <w:tcW w:w="1163" w:type="dxa"/>
            <w:shd w:val="clear" w:color="auto" w:fill="auto"/>
          </w:tcPr>
          <w:p w:rsidR="00977DEB" w:rsidRPr="00BA3E74" w:rsidRDefault="00977DEB" w:rsidP="003924A4">
            <w:pPr>
              <w:tabs>
                <w:tab w:val="decimal" w:pos="252"/>
              </w:tabs>
              <w:spacing w:line="360" w:lineRule="auto"/>
              <w:rPr>
                <w:sz w:val="20"/>
                <w:szCs w:val="20"/>
              </w:rPr>
            </w:pPr>
            <w:r w:rsidRPr="00BA3E74">
              <w:rPr>
                <w:sz w:val="20"/>
                <w:szCs w:val="20"/>
              </w:rPr>
              <w:t>29.9</w:t>
            </w:r>
          </w:p>
        </w:tc>
        <w:tc>
          <w:tcPr>
            <w:tcW w:w="1162" w:type="dxa"/>
          </w:tcPr>
          <w:p w:rsidR="00977DEB" w:rsidRPr="00BA3E74" w:rsidRDefault="00977DEB" w:rsidP="00114943">
            <w:pPr>
              <w:tabs>
                <w:tab w:val="decimal" w:pos="252"/>
              </w:tabs>
              <w:spacing w:line="360" w:lineRule="auto"/>
              <w:rPr>
                <w:sz w:val="20"/>
                <w:szCs w:val="20"/>
              </w:rPr>
            </w:pPr>
            <w:r>
              <w:rPr>
                <w:sz w:val="20"/>
                <w:szCs w:val="20"/>
              </w:rPr>
              <w:t>23.8</w:t>
            </w:r>
          </w:p>
        </w:tc>
        <w:tc>
          <w:tcPr>
            <w:tcW w:w="1163" w:type="dxa"/>
          </w:tcPr>
          <w:p w:rsidR="00977DEB" w:rsidRPr="00BA3E74" w:rsidRDefault="00977DEB" w:rsidP="00114943">
            <w:pPr>
              <w:tabs>
                <w:tab w:val="decimal" w:pos="252"/>
              </w:tabs>
              <w:spacing w:line="360" w:lineRule="auto"/>
              <w:rPr>
                <w:sz w:val="20"/>
                <w:szCs w:val="20"/>
              </w:rPr>
            </w:pPr>
            <w:r>
              <w:rPr>
                <w:sz w:val="20"/>
                <w:szCs w:val="20"/>
              </w:rPr>
              <w:t>31.6</w:t>
            </w:r>
          </w:p>
        </w:tc>
        <w:tc>
          <w:tcPr>
            <w:tcW w:w="719" w:type="dxa"/>
          </w:tcPr>
          <w:p w:rsidR="00977DEB" w:rsidRPr="00BA3E74" w:rsidRDefault="00977DEB" w:rsidP="003924A4">
            <w:pPr>
              <w:tabs>
                <w:tab w:val="decimal" w:pos="252"/>
              </w:tabs>
              <w:spacing w:line="360" w:lineRule="auto"/>
              <w:rPr>
                <w:sz w:val="20"/>
                <w:szCs w:val="20"/>
              </w:rPr>
            </w:pPr>
            <w:r w:rsidRPr="00BA3E74">
              <w:rPr>
                <w:sz w:val="20"/>
                <w:szCs w:val="20"/>
              </w:rPr>
              <w:t>28.1</w:t>
            </w:r>
          </w:p>
        </w:tc>
      </w:tr>
      <w:tr w:rsidR="00977DEB" w:rsidRPr="00BA3E74" w:rsidTr="00114943">
        <w:trPr>
          <w:trHeight w:val="300"/>
        </w:trPr>
        <w:tc>
          <w:tcPr>
            <w:tcW w:w="3417" w:type="dxa"/>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3 Routine/manual</w:t>
            </w:r>
          </w:p>
        </w:tc>
        <w:tc>
          <w:tcPr>
            <w:tcW w:w="1162" w:type="dxa"/>
            <w:shd w:val="clear" w:color="auto" w:fill="auto"/>
          </w:tcPr>
          <w:p w:rsidR="00977DEB" w:rsidRPr="00BA3E74" w:rsidRDefault="00977DEB" w:rsidP="00114943">
            <w:pPr>
              <w:tabs>
                <w:tab w:val="decimal" w:pos="252"/>
              </w:tabs>
              <w:spacing w:line="360" w:lineRule="auto"/>
              <w:rPr>
                <w:sz w:val="20"/>
                <w:szCs w:val="20"/>
              </w:rPr>
            </w:pPr>
            <w:r>
              <w:rPr>
                <w:sz w:val="20"/>
                <w:szCs w:val="20"/>
              </w:rPr>
              <w:t>34.6</w:t>
            </w:r>
          </w:p>
        </w:tc>
        <w:tc>
          <w:tcPr>
            <w:tcW w:w="1162" w:type="dxa"/>
            <w:shd w:val="clear" w:color="auto" w:fill="auto"/>
          </w:tcPr>
          <w:p w:rsidR="00977DEB" w:rsidRPr="00BA3E74" w:rsidRDefault="00977DEB" w:rsidP="00647E4C">
            <w:pPr>
              <w:tabs>
                <w:tab w:val="decimal" w:pos="252"/>
              </w:tabs>
              <w:spacing w:line="360" w:lineRule="auto"/>
              <w:rPr>
                <w:sz w:val="20"/>
                <w:szCs w:val="20"/>
              </w:rPr>
            </w:pPr>
            <w:r w:rsidRPr="00BA3E74">
              <w:rPr>
                <w:sz w:val="20"/>
                <w:szCs w:val="20"/>
              </w:rPr>
              <w:t>48.8</w:t>
            </w:r>
          </w:p>
        </w:tc>
        <w:tc>
          <w:tcPr>
            <w:tcW w:w="1163" w:type="dxa"/>
            <w:shd w:val="clear" w:color="auto" w:fill="auto"/>
          </w:tcPr>
          <w:p w:rsidR="00977DEB" w:rsidRPr="00BA3E74" w:rsidRDefault="00977DEB" w:rsidP="003924A4">
            <w:pPr>
              <w:tabs>
                <w:tab w:val="decimal" w:pos="252"/>
              </w:tabs>
              <w:spacing w:line="360" w:lineRule="auto"/>
              <w:rPr>
                <w:sz w:val="20"/>
                <w:szCs w:val="20"/>
              </w:rPr>
            </w:pPr>
            <w:r w:rsidRPr="00BA3E74">
              <w:rPr>
                <w:sz w:val="20"/>
                <w:szCs w:val="20"/>
              </w:rPr>
              <w:t>43.9</w:t>
            </w:r>
          </w:p>
        </w:tc>
        <w:tc>
          <w:tcPr>
            <w:tcW w:w="1162" w:type="dxa"/>
          </w:tcPr>
          <w:p w:rsidR="00977DEB" w:rsidRPr="00BA3E74" w:rsidRDefault="00977DEB" w:rsidP="00114943">
            <w:pPr>
              <w:tabs>
                <w:tab w:val="decimal" w:pos="252"/>
              </w:tabs>
              <w:spacing w:line="360" w:lineRule="auto"/>
              <w:rPr>
                <w:sz w:val="20"/>
                <w:szCs w:val="20"/>
              </w:rPr>
            </w:pPr>
            <w:r>
              <w:rPr>
                <w:sz w:val="20"/>
                <w:szCs w:val="20"/>
              </w:rPr>
              <w:t>62.0</w:t>
            </w:r>
          </w:p>
        </w:tc>
        <w:tc>
          <w:tcPr>
            <w:tcW w:w="1163" w:type="dxa"/>
          </w:tcPr>
          <w:p w:rsidR="00977DEB" w:rsidRPr="00BA3E74" w:rsidRDefault="00977DEB" w:rsidP="00114943">
            <w:pPr>
              <w:tabs>
                <w:tab w:val="decimal" w:pos="252"/>
              </w:tabs>
              <w:spacing w:line="360" w:lineRule="auto"/>
              <w:rPr>
                <w:sz w:val="20"/>
                <w:szCs w:val="20"/>
              </w:rPr>
            </w:pPr>
            <w:r>
              <w:rPr>
                <w:sz w:val="20"/>
                <w:szCs w:val="20"/>
              </w:rPr>
              <w:t>47.3</w:t>
            </w:r>
          </w:p>
        </w:tc>
        <w:tc>
          <w:tcPr>
            <w:tcW w:w="719" w:type="dxa"/>
          </w:tcPr>
          <w:p w:rsidR="00977DEB" w:rsidRPr="00BA3E74" w:rsidRDefault="00977DEB" w:rsidP="00114943">
            <w:pPr>
              <w:tabs>
                <w:tab w:val="decimal" w:pos="252"/>
              </w:tabs>
              <w:spacing w:line="360" w:lineRule="auto"/>
              <w:rPr>
                <w:sz w:val="20"/>
                <w:szCs w:val="20"/>
              </w:rPr>
            </w:pPr>
            <w:r>
              <w:rPr>
                <w:sz w:val="20"/>
                <w:szCs w:val="20"/>
              </w:rPr>
              <w:t>47.</w:t>
            </w:r>
            <w:r w:rsidRPr="00BA3E74">
              <w:rPr>
                <w:sz w:val="20"/>
                <w:szCs w:val="20"/>
              </w:rPr>
              <w:t>5</w:t>
            </w:r>
          </w:p>
        </w:tc>
      </w:tr>
      <w:tr w:rsidR="00977DEB" w:rsidRPr="00BA3E74" w:rsidTr="00114943">
        <w:trPr>
          <w:trHeight w:val="300"/>
        </w:trPr>
        <w:tc>
          <w:tcPr>
            <w:tcW w:w="3417" w:type="dxa"/>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4 Long-term unemployed</w:t>
            </w:r>
          </w:p>
        </w:tc>
        <w:tc>
          <w:tcPr>
            <w:tcW w:w="1162" w:type="dxa"/>
            <w:shd w:val="clear" w:color="auto" w:fill="auto"/>
          </w:tcPr>
          <w:p w:rsidR="00977DEB" w:rsidRPr="00BA3E74" w:rsidRDefault="00977DEB" w:rsidP="00114943">
            <w:pPr>
              <w:tabs>
                <w:tab w:val="decimal" w:pos="252"/>
              </w:tabs>
              <w:spacing w:line="360" w:lineRule="auto"/>
              <w:rPr>
                <w:sz w:val="20"/>
                <w:szCs w:val="20"/>
              </w:rPr>
            </w:pPr>
            <w:r>
              <w:rPr>
                <w:sz w:val="20"/>
                <w:szCs w:val="20"/>
              </w:rPr>
              <w:t>3.0</w:t>
            </w:r>
          </w:p>
        </w:tc>
        <w:tc>
          <w:tcPr>
            <w:tcW w:w="1162" w:type="dxa"/>
            <w:shd w:val="clear" w:color="auto" w:fill="auto"/>
          </w:tcPr>
          <w:p w:rsidR="00977DEB" w:rsidRPr="00BA3E74" w:rsidRDefault="00977DEB" w:rsidP="00647E4C">
            <w:pPr>
              <w:tabs>
                <w:tab w:val="decimal" w:pos="252"/>
              </w:tabs>
              <w:spacing w:line="360" w:lineRule="auto"/>
              <w:rPr>
                <w:sz w:val="20"/>
                <w:szCs w:val="20"/>
              </w:rPr>
            </w:pPr>
            <w:r w:rsidRPr="00BA3E74">
              <w:rPr>
                <w:sz w:val="20"/>
                <w:szCs w:val="20"/>
              </w:rPr>
              <w:t>9.8</w:t>
            </w:r>
          </w:p>
        </w:tc>
        <w:tc>
          <w:tcPr>
            <w:tcW w:w="1163" w:type="dxa"/>
            <w:shd w:val="clear" w:color="auto" w:fill="auto"/>
          </w:tcPr>
          <w:p w:rsidR="00977DEB" w:rsidRPr="00BA3E74" w:rsidRDefault="00977DEB" w:rsidP="003924A4">
            <w:pPr>
              <w:tabs>
                <w:tab w:val="decimal" w:pos="252"/>
              </w:tabs>
              <w:spacing w:line="360" w:lineRule="auto"/>
              <w:rPr>
                <w:sz w:val="20"/>
                <w:szCs w:val="20"/>
              </w:rPr>
            </w:pPr>
            <w:r w:rsidRPr="00BA3E74">
              <w:rPr>
                <w:sz w:val="20"/>
                <w:szCs w:val="20"/>
              </w:rPr>
              <w:t>0.5</w:t>
            </w:r>
          </w:p>
        </w:tc>
        <w:tc>
          <w:tcPr>
            <w:tcW w:w="1162" w:type="dxa"/>
          </w:tcPr>
          <w:p w:rsidR="00977DEB" w:rsidRPr="00BA3E74" w:rsidRDefault="00977DEB" w:rsidP="00114943">
            <w:pPr>
              <w:tabs>
                <w:tab w:val="decimal" w:pos="252"/>
              </w:tabs>
              <w:spacing w:line="360" w:lineRule="auto"/>
              <w:rPr>
                <w:sz w:val="20"/>
                <w:szCs w:val="20"/>
              </w:rPr>
            </w:pPr>
            <w:r>
              <w:rPr>
                <w:sz w:val="20"/>
                <w:szCs w:val="20"/>
              </w:rPr>
              <w:t>1.9</w:t>
            </w:r>
          </w:p>
        </w:tc>
        <w:tc>
          <w:tcPr>
            <w:tcW w:w="1163" w:type="dxa"/>
          </w:tcPr>
          <w:p w:rsidR="00977DEB" w:rsidRPr="00BA3E74" w:rsidRDefault="00977DEB" w:rsidP="00114943">
            <w:pPr>
              <w:tabs>
                <w:tab w:val="decimal" w:pos="252"/>
              </w:tabs>
              <w:spacing w:line="360" w:lineRule="auto"/>
              <w:rPr>
                <w:sz w:val="20"/>
                <w:szCs w:val="20"/>
              </w:rPr>
            </w:pPr>
            <w:r>
              <w:rPr>
                <w:sz w:val="20"/>
                <w:szCs w:val="20"/>
              </w:rPr>
              <w:t>6.3</w:t>
            </w:r>
          </w:p>
        </w:tc>
        <w:tc>
          <w:tcPr>
            <w:tcW w:w="719" w:type="dxa"/>
          </w:tcPr>
          <w:p w:rsidR="00977DEB" w:rsidRPr="00BA3E74" w:rsidRDefault="00977DEB" w:rsidP="00114943">
            <w:pPr>
              <w:tabs>
                <w:tab w:val="decimal" w:pos="252"/>
              </w:tabs>
              <w:spacing w:line="360" w:lineRule="auto"/>
              <w:rPr>
                <w:sz w:val="20"/>
                <w:szCs w:val="20"/>
              </w:rPr>
            </w:pPr>
            <w:r>
              <w:rPr>
                <w:sz w:val="20"/>
                <w:szCs w:val="20"/>
              </w:rPr>
              <w:t>3.8</w:t>
            </w:r>
          </w:p>
        </w:tc>
      </w:tr>
      <w:tr w:rsidR="00977DEB" w:rsidRPr="001A47D2" w:rsidTr="00114943">
        <w:trPr>
          <w:trHeight w:val="300"/>
        </w:trPr>
        <w:tc>
          <w:tcPr>
            <w:tcW w:w="3417" w:type="dxa"/>
            <w:shd w:val="clear" w:color="auto" w:fill="auto"/>
          </w:tcPr>
          <w:p w:rsidR="00977DEB" w:rsidRPr="003534DB" w:rsidRDefault="00977DEB" w:rsidP="00114943">
            <w:pPr>
              <w:spacing w:line="360" w:lineRule="auto"/>
              <w:rPr>
                <w:rFonts w:asciiTheme="majorHAnsi" w:hAnsiTheme="majorHAnsi"/>
                <w:sz w:val="20"/>
                <w:szCs w:val="20"/>
              </w:rPr>
            </w:pPr>
            <w:r w:rsidRPr="003534DB">
              <w:rPr>
                <w:rFonts w:asciiTheme="majorHAnsi" w:hAnsiTheme="majorHAnsi"/>
                <w:sz w:val="20"/>
                <w:szCs w:val="20"/>
              </w:rPr>
              <w:t>Current partner</w:t>
            </w:r>
            <w:r w:rsidRPr="003534DB">
              <w:rPr>
                <w:rFonts w:asciiTheme="majorHAnsi" w:hAnsiTheme="majorHAnsi"/>
                <w:sz w:val="20"/>
                <w:szCs w:val="20"/>
                <w:vertAlign w:val="superscript"/>
              </w:rPr>
              <w:t>1</w:t>
            </w:r>
            <w:r w:rsidRPr="003534DB">
              <w:rPr>
                <w:rFonts w:asciiTheme="majorHAnsi" w:hAnsiTheme="majorHAnsi"/>
                <w:sz w:val="20"/>
                <w:szCs w:val="20"/>
              </w:rPr>
              <w:t xml:space="preserve"> - % in NSSEC group:</w:t>
            </w:r>
          </w:p>
        </w:tc>
        <w:tc>
          <w:tcPr>
            <w:tcW w:w="1162" w:type="dxa"/>
            <w:shd w:val="clear" w:color="auto" w:fill="auto"/>
            <w:vAlign w:val="center"/>
          </w:tcPr>
          <w:p w:rsidR="00977DEB" w:rsidRPr="00BD5809"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2" w:type="dxa"/>
            <w:shd w:val="clear" w:color="auto" w:fill="auto"/>
            <w:vAlign w:val="center"/>
          </w:tcPr>
          <w:p w:rsidR="00977DEB" w:rsidRPr="00BD5809"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3" w:type="dxa"/>
            <w:shd w:val="clear" w:color="auto" w:fill="auto"/>
            <w:vAlign w:val="center"/>
          </w:tcPr>
          <w:p w:rsidR="00977DEB" w:rsidRPr="00BD5809"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2" w:type="dxa"/>
            <w:vAlign w:val="center"/>
          </w:tcPr>
          <w:p w:rsidR="00977DEB" w:rsidRPr="00BD5809"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1163" w:type="dxa"/>
            <w:vAlign w:val="center"/>
          </w:tcPr>
          <w:p w:rsidR="00977DEB" w:rsidRPr="00BD5809"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c>
          <w:tcPr>
            <w:tcW w:w="719" w:type="dxa"/>
            <w:vAlign w:val="center"/>
          </w:tcPr>
          <w:p w:rsidR="00977DEB" w:rsidRPr="00BD5809" w:rsidRDefault="00977DEB" w:rsidP="00114943">
            <w:pPr>
              <w:tabs>
                <w:tab w:val="decimal" w:pos="176"/>
                <w:tab w:val="decimal" w:pos="252"/>
                <w:tab w:val="decimal" w:pos="383"/>
              </w:tabs>
              <w:spacing w:line="360" w:lineRule="auto"/>
              <w:rPr>
                <w:rFonts w:asciiTheme="majorHAnsi" w:hAnsiTheme="majorHAnsi"/>
                <w:color w:val="000000"/>
                <w:sz w:val="20"/>
                <w:szCs w:val="20"/>
              </w:rPr>
            </w:pPr>
          </w:p>
        </w:tc>
      </w:tr>
      <w:tr w:rsidR="00977DEB" w:rsidRPr="001A47D2" w:rsidTr="00114943">
        <w:trPr>
          <w:trHeight w:val="300"/>
        </w:trPr>
        <w:tc>
          <w:tcPr>
            <w:tcW w:w="3417" w:type="dxa"/>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1 Higher managerial/professional</w:t>
            </w:r>
          </w:p>
        </w:tc>
        <w:tc>
          <w:tcPr>
            <w:tcW w:w="1162" w:type="dxa"/>
            <w:shd w:val="clear" w:color="auto" w:fill="auto"/>
          </w:tcPr>
          <w:p w:rsidR="00977DEB" w:rsidRPr="00F21B00" w:rsidRDefault="00977DEB" w:rsidP="00114943">
            <w:pPr>
              <w:tabs>
                <w:tab w:val="decimal" w:pos="252"/>
              </w:tabs>
              <w:spacing w:line="360" w:lineRule="auto"/>
              <w:rPr>
                <w:sz w:val="20"/>
                <w:szCs w:val="20"/>
              </w:rPr>
            </w:pPr>
            <w:r>
              <w:rPr>
                <w:sz w:val="20"/>
                <w:szCs w:val="20"/>
              </w:rPr>
              <w:t>42.9</w:t>
            </w:r>
          </w:p>
        </w:tc>
        <w:tc>
          <w:tcPr>
            <w:tcW w:w="1162" w:type="dxa"/>
            <w:shd w:val="clear" w:color="auto" w:fill="auto"/>
          </w:tcPr>
          <w:p w:rsidR="00977DEB" w:rsidRPr="00F21B00" w:rsidRDefault="00977DEB" w:rsidP="00647E4C">
            <w:pPr>
              <w:tabs>
                <w:tab w:val="decimal" w:pos="252"/>
              </w:tabs>
              <w:spacing w:line="360" w:lineRule="auto"/>
              <w:rPr>
                <w:sz w:val="20"/>
                <w:szCs w:val="20"/>
              </w:rPr>
            </w:pPr>
            <w:r w:rsidRPr="00F21B00">
              <w:rPr>
                <w:sz w:val="20"/>
                <w:szCs w:val="20"/>
              </w:rPr>
              <w:t>39.1</w:t>
            </w:r>
          </w:p>
        </w:tc>
        <w:tc>
          <w:tcPr>
            <w:tcW w:w="1163" w:type="dxa"/>
            <w:shd w:val="clear" w:color="auto" w:fill="auto"/>
          </w:tcPr>
          <w:p w:rsidR="00977DEB" w:rsidRPr="00F21B00" w:rsidRDefault="00977DEB" w:rsidP="003924A4">
            <w:pPr>
              <w:tabs>
                <w:tab w:val="decimal" w:pos="252"/>
              </w:tabs>
              <w:spacing w:line="360" w:lineRule="auto"/>
              <w:rPr>
                <w:sz w:val="20"/>
                <w:szCs w:val="20"/>
              </w:rPr>
            </w:pPr>
            <w:r w:rsidRPr="00F21B00">
              <w:rPr>
                <w:sz w:val="20"/>
                <w:szCs w:val="20"/>
              </w:rPr>
              <w:t>36.1</w:t>
            </w:r>
          </w:p>
        </w:tc>
        <w:tc>
          <w:tcPr>
            <w:tcW w:w="1162" w:type="dxa"/>
          </w:tcPr>
          <w:p w:rsidR="00977DEB" w:rsidRPr="00F21B00" w:rsidRDefault="00977DEB" w:rsidP="00114943">
            <w:pPr>
              <w:tabs>
                <w:tab w:val="decimal" w:pos="252"/>
              </w:tabs>
              <w:spacing w:line="360" w:lineRule="auto"/>
              <w:rPr>
                <w:sz w:val="20"/>
                <w:szCs w:val="20"/>
              </w:rPr>
            </w:pPr>
            <w:r>
              <w:rPr>
                <w:sz w:val="20"/>
                <w:szCs w:val="20"/>
              </w:rPr>
              <w:t>38.1</w:t>
            </w:r>
          </w:p>
        </w:tc>
        <w:tc>
          <w:tcPr>
            <w:tcW w:w="1163" w:type="dxa"/>
          </w:tcPr>
          <w:p w:rsidR="00977DEB" w:rsidRPr="00F21B00" w:rsidRDefault="00977DEB" w:rsidP="00114943">
            <w:pPr>
              <w:tabs>
                <w:tab w:val="decimal" w:pos="252"/>
              </w:tabs>
              <w:spacing w:line="360" w:lineRule="auto"/>
              <w:rPr>
                <w:sz w:val="20"/>
                <w:szCs w:val="20"/>
              </w:rPr>
            </w:pPr>
            <w:r>
              <w:rPr>
                <w:sz w:val="20"/>
                <w:szCs w:val="20"/>
              </w:rPr>
              <w:t>38.2</w:t>
            </w:r>
          </w:p>
        </w:tc>
        <w:tc>
          <w:tcPr>
            <w:tcW w:w="719" w:type="dxa"/>
          </w:tcPr>
          <w:p w:rsidR="00977DEB" w:rsidRPr="00F21B00" w:rsidRDefault="00977DEB" w:rsidP="003924A4">
            <w:pPr>
              <w:tabs>
                <w:tab w:val="decimal" w:pos="252"/>
              </w:tabs>
              <w:spacing w:line="360" w:lineRule="auto"/>
              <w:rPr>
                <w:sz w:val="20"/>
                <w:szCs w:val="20"/>
              </w:rPr>
            </w:pPr>
            <w:r w:rsidRPr="00F21B00">
              <w:rPr>
                <w:sz w:val="20"/>
                <w:szCs w:val="20"/>
              </w:rPr>
              <w:t>38.7</w:t>
            </w:r>
          </w:p>
        </w:tc>
      </w:tr>
      <w:tr w:rsidR="00977DEB" w:rsidRPr="001A47D2" w:rsidTr="00114943">
        <w:trPr>
          <w:trHeight w:val="300"/>
        </w:trPr>
        <w:tc>
          <w:tcPr>
            <w:tcW w:w="3417" w:type="dxa"/>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2 Intermediate</w:t>
            </w:r>
          </w:p>
        </w:tc>
        <w:tc>
          <w:tcPr>
            <w:tcW w:w="1162" w:type="dxa"/>
            <w:shd w:val="clear" w:color="auto" w:fill="auto"/>
          </w:tcPr>
          <w:p w:rsidR="00977DEB" w:rsidRPr="00F21B00" w:rsidRDefault="00977DEB" w:rsidP="00114943">
            <w:pPr>
              <w:tabs>
                <w:tab w:val="decimal" w:pos="252"/>
              </w:tabs>
              <w:spacing w:line="360" w:lineRule="auto"/>
              <w:rPr>
                <w:sz w:val="20"/>
                <w:szCs w:val="20"/>
              </w:rPr>
            </w:pPr>
            <w:r>
              <w:rPr>
                <w:sz w:val="20"/>
                <w:szCs w:val="20"/>
              </w:rPr>
              <w:t>21.3</w:t>
            </w:r>
          </w:p>
        </w:tc>
        <w:tc>
          <w:tcPr>
            <w:tcW w:w="1162" w:type="dxa"/>
            <w:shd w:val="clear" w:color="auto" w:fill="auto"/>
          </w:tcPr>
          <w:p w:rsidR="00977DEB" w:rsidRPr="00F21B00" w:rsidRDefault="00977DEB" w:rsidP="00114943">
            <w:pPr>
              <w:tabs>
                <w:tab w:val="decimal" w:pos="252"/>
              </w:tabs>
              <w:spacing w:line="360" w:lineRule="auto"/>
              <w:rPr>
                <w:sz w:val="20"/>
                <w:szCs w:val="20"/>
              </w:rPr>
            </w:pPr>
            <w:r>
              <w:rPr>
                <w:sz w:val="20"/>
                <w:szCs w:val="20"/>
              </w:rPr>
              <w:t>19.</w:t>
            </w:r>
            <w:r w:rsidRPr="00F21B00">
              <w:rPr>
                <w:sz w:val="20"/>
                <w:szCs w:val="20"/>
              </w:rPr>
              <w:t>5</w:t>
            </w:r>
          </w:p>
        </w:tc>
        <w:tc>
          <w:tcPr>
            <w:tcW w:w="1163" w:type="dxa"/>
            <w:shd w:val="clear" w:color="auto" w:fill="auto"/>
          </w:tcPr>
          <w:p w:rsidR="00977DEB" w:rsidRPr="00F21B00" w:rsidRDefault="00977DEB" w:rsidP="00114943">
            <w:pPr>
              <w:tabs>
                <w:tab w:val="decimal" w:pos="252"/>
              </w:tabs>
              <w:spacing w:line="360" w:lineRule="auto"/>
              <w:rPr>
                <w:sz w:val="20"/>
                <w:szCs w:val="20"/>
              </w:rPr>
            </w:pPr>
            <w:r>
              <w:rPr>
                <w:sz w:val="20"/>
                <w:szCs w:val="20"/>
              </w:rPr>
              <w:t>22.6</w:t>
            </w:r>
          </w:p>
        </w:tc>
        <w:tc>
          <w:tcPr>
            <w:tcW w:w="1162" w:type="dxa"/>
          </w:tcPr>
          <w:p w:rsidR="00977DEB" w:rsidRPr="00F21B00" w:rsidRDefault="00977DEB" w:rsidP="00114943">
            <w:pPr>
              <w:tabs>
                <w:tab w:val="decimal" w:pos="252"/>
              </w:tabs>
              <w:spacing w:line="360" w:lineRule="auto"/>
              <w:rPr>
                <w:sz w:val="20"/>
                <w:szCs w:val="20"/>
              </w:rPr>
            </w:pPr>
            <w:r>
              <w:rPr>
                <w:sz w:val="20"/>
                <w:szCs w:val="20"/>
              </w:rPr>
              <w:t>19.5</w:t>
            </w:r>
          </w:p>
        </w:tc>
        <w:tc>
          <w:tcPr>
            <w:tcW w:w="1163" w:type="dxa"/>
          </w:tcPr>
          <w:p w:rsidR="00977DEB" w:rsidRPr="00F21B00" w:rsidRDefault="00977DEB" w:rsidP="00114943">
            <w:pPr>
              <w:tabs>
                <w:tab w:val="decimal" w:pos="252"/>
              </w:tabs>
              <w:spacing w:line="360" w:lineRule="auto"/>
              <w:rPr>
                <w:sz w:val="20"/>
                <w:szCs w:val="20"/>
              </w:rPr>
            </w:pPr>
            <w:r>
              <w:rPr>
                <w:sz w:val="20"/>
                <w:szCs w:val="20"/>
              </w:rPr>
              <w:t>18.0</w:t>
            </w:r>
          </w:p>
        </w:tc>
        <w:tc>
          <w:tcPr>
            <w:tcW w:w="719" w:type="dxa"/>
          </w:tcPr>
          <w:p w:rsidR="00977DEB" w:rsidRPr="00F21B00" w:rsidRDefault="00977DEB" w:rsidP="00114943">
            <w:pPr>
              <w:tabs>
                <w:tab w:val="decimal" w:pos="252"/>
              </w:tabs>
              <w:spacing w:line="360" w:lineRule="auto"/>
              <w:rPr>
                <w:sz w:val="20"/>
                <w:szCs w:val="20"/>
              </w:rPr>
            </w:pPr>
            <w:r>
              <w:rPr>
                <w:sz w:val="20"/>
                <w:szCs w:val="20"/>
              </w:rPr>
              <w:t>20.5</w:t>
            </w:r>
          </w:p>
        </w:tc>
      </w:tr>
      <w:tr w:rsidR="00977DEB" w:rsidRPr="001A47D2" w:rsidTr="00114943">
        <w:trPr>
          <w:trHeight w:val="300"/>
        </w:trPr>
        <w:tc>
          <w:tcPr>
            <w:tcW w:w="3417" w:type="dxa"/>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3 Routine/manual</w:t>
            </w:r>
          </w:p>
        </w:tc>
        <w:tc>
          <w:tcPr>
            <w:tcW w:w="1162" w:type="dxa"/>
            <w:shd w:val="clear" w:color="auto" w:fill="auto"/>
          </w:tcPr>
          <w:p w:rsidR="00977DEB" w:rsidRPr="00F21B00" w:rsidRDefault="00977DEB" w:rsidP="00114943">
            <w:pPr>
              <w:tabs>
                <w:tab w:val="decimal" w:pos="252"/>
              </w:tabs>
              <w:spacing w:line="360" w:lineRule="auto"/>
              <w:rPr>
                <w:sz w:val="20"/>
                <w:szCs w:val="20"/>
              </w:rPr>
            </w:pPr>
            <w:r>
              <w:rPr>
                <w:sz w:val="20"/>
                <w:szCs w:val="20"/>
              </w:rPr>
              <w:t>35.8</w:t>
            </w:r>
          </w:p>
        </w:tc>
        <w:tc>
          <w:tcPr>
            <w:tcW w:w="1162" w:type="dxa"/>
            <w:shd w:val="clear" w:color="auto" w:fill="auto"/>
          </w:tcPr>
          <w:p w:rsidR="00977DEB" w:rsidRPr="00F21B00" w:rsidRDefault="00977DEB" w:rsidP="00647E4C">
            <w:pPr>
              <w:tabs>
                <w:tab w:val="decimal" w:pos="252"/>
              </w:tabs>
              <w:spacing w:line="360" w:lineRule="auto"/>
              <w:rPr>
                <w:sz w:val="20"/>
                <w:szCs w:val="20"/>
              </w:rPr>
            </w:pPr>
            <w:r w:rsidRPr="00F21B00">
              <w:rPr>
                <w:sz w:val="20"/>
                <w:szCs w:val="20"/>
              </w:rPr>
              <w:t>39.1</w:t>
            </w:r>
          </w:p>
        </w:tc>
        <w:tc>
          <w:tcPr>
            <w:tcW w:w="1163" w:type="dxa"/>
            <w:shd w:val="clear" w:color="auto" w:fill="auto"/>
          </w:tcPr>
          <w:p w:rsidR="00977DEB" w:rsidRPr="00F21B00" w:rsidRDefault="00977DEB" w:rsidP="003924A4">
            <w:pPr>
              <w:tabs>
                <w:tab w:val="decimal" w:pos="252"/>
              </w:tabs>
              <w:spacing w:line="360" w:lineRule="auto"/>
              <w:rPr>
                <w:sz w:val="20"/>
                <w:szCs w:val="20"/>
              </w:rPr>
            </w:pPr>
            <w:r w:rsidRPr="00F21B00">
              <w:rPr>
                <w:sz w:val="20"/>
                <w:szCs w:val="20"/>
              </w:rPr>
              <w:t>40.8</w:t>
            </w:r>
          </w:p>
        </w:tc>
        <w:tc>
          <w:tcPr>
            <w:tcW w:w="1162" w:type="dxa"/>
          </w:tcPr>
          <w:p w:rsidR="00977DEB" w:rsidRPr="00F21B00" w:rsidRDefault="00977DEB" w:rsidP="00114943">
            <w:pPr>
              <w:tabs>
                <w:tab w:val="decimal" w:pos="252"/>
              </w:tabs>
              <w:spacing w:line="360" w:lineRule="auto"/>
              <w:rPr>
                <w:sz w:val="20"/>
                <w:szCs w:val="20"/>
              </w:rPr>
            </w:pPr>
            <w:r>
              <w:rPr>
                <w:sz w:val="20"/>
                <w:szCs w:val="20"/>
              </w:rPr>
              <w:t>42.0</w:t>
            </w:r>
          </w:p>
        </w:tc>
        <w:tc>
          <w:tcPr>
            <w:tcW w:w="1163" w:type="dxa"/>
          </w:tcPr>
          <w:p w:rsidR="00977DEB" w:rsidRPr="00F21B00" w:rsidRDefault="00977DEB" w:rsidP="00114943">
            <w:pPr>
              <w:tabs>
                <w:tab w:val="decimal" w:pos="252"/>
              </w:tabs>
              <w:spacing w:line="360" w:lineRule="auto"/>
              <w:rPr>
                <w:sz w:val="20"/>
                <w:szCs w:val="20"/>
              </w:rPr>
            </w:pPr>
            <w:r>
              <w:rPr>
                <w:sz w:val="20"/>
                <w:szCs w:val="20"/>
              </w:rPr>
              <w:t>43.9</w:t>
            </w:r>
          </w:p>
        </w:tc>
        <w:tc>
          <w:tcPr>
            <w:tcW w:w="719" w:type="dxa"/>
          </w:tcPr>
          <w:p w:rsidR="00977DEB" w:rsidRPr="00F21B00" w:rsidRDefault="00977DEB" w:rsidP="003924A4">
            <w:pPr>
              <w:tabs>
                <w:tab w:val="decimal" w:pos="252"/>
              </w:tabs>
              <w:spacing w:line="360" w:lineRule="auto"/>
              <w:rPr>
                <w:sz w:val="20"/>
                <w:szCs w:val="20"/>
              </w:rPr>
            </w:pPr>
            <w:r>
              <w:rPr>
                <w:sz w:val="20"/>
                <w:szCs w:val="20"/>
              </w:rPr>
              <w:t>40.1</w:t>
            </w:r>
          </w:p>
        </w:tc>
      </w:tr>
      <w:tr w:rsidR="00977DEB" w:rsidRPr="001A47D2" w:rsidTr="00114943">
        <w:trPr>
          <w:trHeight w:val="300"/>
        </w:trPr>
        <w:tc>
          <w:tcPr>
            <w:tcW w:w="3417" w:type="dxa"/>
            <w:tcBorders>
              <w:bottom w:val="single" w:sz="4" w:space="0" w:color="auto"/>
            </w:tcBorders>
            <w:shd w:val="clear" w:color="auto" w:fill="auto"/>
          </w:tcPr>
          <w:p w:rsidR="00977DEB" w:rsidRPr="003534DB" w:rsidRDefault="00977DEB" w:rsidP="00114943">
            <w:pPr>
              <w:spacing w:line="360" w:lineRule="auto"/>
              <w:ind w:firstLine="191"/>
              <w:rPr>
                <w:rFonts w:asciiTheme="majorHAnsi" w:hAnsiTheme="majorHAnsi"/>
                <w:i/>
                <w:iCs/>
                <w:sz w:val="20"/>
                <w:szCs w:val="20"/>
              </w:rPr>
            </w:pPr>
            <w:r w:rsidRPr="003534DB">
              <w:rPr>
                <w:rFonts w:asciiTheme="majorHAnsi" w:hAnsiTheme="majorHAnsi"/>
                <w:i/>
                <w:iCs/>
                <w:sz w:val="20"/>
                <w:szCs w:val="20"/>
              </w:rPr>
              <w:t>4 Long-term unemployed</w:t>
            </w:r>
          </w:p>
        </w:tc>
        <w:tc>
          <w:tcPr>
            <w:tcW w:w="1162" w:type="dxa"/>
            <w:tcBorders>
              <w:bottom w:val="single" w:sz="4" w:space="0" w:color="auto"/>
            </w:tcBorders>
            <w:shd w:val="clear" w:color="auto" w:fill="auto"/>
          </w:tcPr>
          <w:p w:rsidR="00977DEB" w:rsidRPr="00F21B00" w:rsidRDefault="00977DEB" w:rsidP="00114943">
            <w:pPr>
              <w:tabs>
                <w:tab w:val="decimal" w:pos="252"/>
              </w:tabs>
              <w:spacing w:line="360" w:lineRule="auto"/>
              <w:rPr>
                <w:sz w:val="20"/>
                <w:szCs w:val="20"/>
              </w:rPr>
            </w:pPr>
            <w:r>
              <w:rPr>
                <w:sz w:val="20"/>
                <w:szCs w:val="20"/>
              </w:rPr>
              <w:t>0.0</w:t>
            </w:r>
          </w:p>
        </w:tc>
        <w:tc>
          <w:tcPr>
            <w:tcW w:w="1162" w:type="dxa"/>
            <w:tcBorders>
              <w:bottom w:val="single" w:sz="4" w:space="0" w:color="auto"/>
            </w:tcBorders>
            <w:shd w:val="clear" w:color="auto" w:fill="auto"/>
          </w:tcPr>
          <w:p w:rsidR="00977DEB" w:rsidRPr="00F21B00" w:rsidRDefault="00977DEB" w:rsidP="00647E4C">
            <w:pPr>
              <w:tabs>
                <w:tab w:val="decimal" w:pos="252"/>
              </w:tabs>
              <w:spacing w:line="360" w:lineRule="auto"/>
              <w:rPr>
                <w:sz w:val="20"/>
                <w:szCs w:val="20"/>
              </w:rPr>
            </w:pPr>
            <w:r w:rsidRPr="00F21B00">
              <w:rPr>
                <w:sz w:val="20"/>
                <w:szCs w:val="20"/>
              </w:rPr>
              <w:t>2.3</w:t>
            </w:r>
          </w:p>
        </w:tc>
        <w:tc>
          <w:tcPr>
            <w:tcW w:w="1163" w:type="dxa"/>
            <w:tcBorders>
              <w:bottom w:val="single" w:sz="4" w:space="0" w:color="auto"/>
            </w:tcBorders>
            <w:shd w:val="clear" w:color="auto" w:fill="auto"/>
          </w:tcPr>
          <w:p w:rsidR="00977DEB" w:rsidRPr="00F21B00" w:rsidRDefault="00977DEB" w:rsidP="00114943">
            <w:pPr>
              <w:tabs>
                <w:tab w:val="decimal" w:pos="252"/>
              </w:tabs>
              <w:spacing w:line="360" w:lineRule="auto"/>
              <w:rPr>
                <w:sz w:val="20"/>
                <w:szCs w:val="20"/>
              </w:rPr>
            </w:pPr>
            <w:r>
              <w:rPr>
                <w:sz w:val="20"/>
                <w:szCs w:val="20"/>
              </w:rPr>
              <w:t>0.5</w:t>
            </w:r>
          </w:p>
        </w:tc>
        <w:tc>
          <w:tcPr>
            <w:tcW w:w="1162" w:type="dxa"/>
            <w:tcBorders>
              <w:bottom w:val="single" w:sz="4" w:space="0" w:color="auto"/>
            </w:tcBorders>
          </w:tcPr>
          <w:p w:rsidR="00977DEB" w:rsidRPr="00F21B00" w:rsidRDefault="00977DEB" w:rsidP="00114943">
            <w:pPr>
              <w:tabs>
                <w:tab w:val="decimal" w:pos="252"/>
              </w:tabs>
              <w:spacing w:line="360" w:lineRule="auto"/>
              <w:rPr>
                <w:sz w:val="20"/>
                <w:szCs w:val="20"/>
              </w:rPr>
            </w:pPr>
            <w:r>
              <w:rPr>
                <w:sz w:val="20"/>
                <w:szCs w:val="20"/>
              </w:rPr>
              <w:t>0.5</w:t>
            </w:r>
          </w:p>
        </w:tc>
        <w:tc>
          <w:tcPr>
            <w:tcW w:w="1163" w:type="dxa"/>
            <w:tcBorders>
              <w:bottom w:val="single" w:sz="4" w:space="0" w:color="auto"/>
            </w:tcBorders>
          </w:tcPr>
          <w:p w:rsidR="00977DEB" w:rsidRPr="00F21B00" w:rsidRDefault="00977DEB" w:rsidP="003924A4">
            <w:pPr>
              <w:tabs>
                <w:tab w:val="decimal" w:pos="252"/>
              </w:tabs>
              <w:spacing w:line="360" w:lineRule="auto"/>
              <w:rPr>
                <w:sz w:val="20"/>
                <w:szCs w:val="20"/>
              </w:rPr>
            </w:pPr>
            <w:r w:rsidRPr="00F21B00">
              <w:rPr>
                <w:sz w:val="20"/>
                <w:szCs w:val="20"/>
              </w:rPr>
              <w:t>0.0</w:t>
            </w:r>
          </w:p>
        </w:tc>
        <w:tc>
          <w:tcPr>
            <w:tcW w:w="719" w:type="dxa"/>
            <w:tcBorders>
              <w:bottom w:val="single" w:sz="4" w:space="0" w:color="auto"/>
            </w:tcBorders>
          </w:tcPr>
          <w:p w:rsidR="00977DEB" w:rsidRPr="00F21B00" w:rsidRDefault="00977DEB" w:rsidP="003924A4">
            <w:pPr>
              <w:tabs>
                <w:tab w:val="decimal" w:pos="252"/>
              </w:tabs>
              <w:spacing w:line="360" w:lineRule="auto"/>
              <w:rPr>
                <w:sz w:val="20"/>
                <w:szCs w:val="20"/>
              </w:rPr>
            </w:pPr>
            <w:r w:rsidRPr="00F21B00">
              <w:rPr>
                <w:sz w:val="20"/>
                <w:szCs w:val="20"/>
              </w:rPr>
              <w:t>0.7</w:t>
            </w:r>
          </w:p>
        </w:tc>
      </w:tr>
    </w:tbl>
    <w:p w:rsidR="00977DEB" w:rsidRPr="00FE1E0B" w:rsidRDefault="00977DEB" w:rsidP="003F5557">
      <w:pPr>
        <w:spacing w:line="360" w:lineRule="auto"/>
        <w:rPr>
          <w:rFonts w:asciiTheme="majorHAnsi" w:hAnsiTheme="majorHAnsi"/>
          <w:b/>
          <w:bCs/>
          <w:sz w:val="18"/>
          <w:szCs w:val="18"/>
        </w:rPr>
      </w:pPr>
      <w:r w:rsidRPr="00FE1E0B">
        <w:rPr>
          <w:rFonts w:asciiTheme="majorHAnsi" w:hAnsiTheme="majorHAnsi"/>
          <w:b/>
          <w:bCs/>
          <w:sz w:val="18"/>
          <w:szCs w:val="18"/>
        </w:rPr>
        <w:t xml:space="preserve">note: descriptives refer to characteristics measured for ages 0-60 (employment, 16-60). </w:t>
      </w:r>
    </w:p>
    <w:p w:rsidR="00977DEB" w:rsidRDefault="00977DEB" w:rsidP="003F5557">
      <w:pPr>
        <w:spacing w:line="360" w:lineRule="auto"/>
        <w:rPr>
          <w:rFonts w:asciiTheme="majorHAnsi" w:hAnsiTheme="majorHAnsi"/>
          <w:b/>
          <w:bCs/>
          <w:sz w:val="18"/>
          <w:szCs w:val="18"/>
        </w:rPr>
      </w:pPr>
      <w:r w:rsidRPr="00FE1E0B">
        <w:rPr>
          <w:rFonts w:asciiTheme="majorHAnsi" w:hAnsiTheme="majorHAnsi"/>
          <w:b/>
          <w:bCs/>
          <w:sz w:val="18"/>
          <w:szCs w:val="18"/>
          <w:vertAlign w:val="superscript"/>
        </w:rPr>
        <w:t>1</w:t>
      </w:r>
      <w:r w:rsidRPr="00FE1E0B">
        <w:rPr>
          <w:rFonts w:asciiTheme="majorHAnsi" w:hAnsiTheme="majorHAnsi"/>
          <w:b/>
          <w:bCs/>
          <w:sz w:val="18"/>
          <w:szCs w:val="18"/>
        </w:rPr>
        <w:t>Partner characteristics only available for respondents who have a co-resident partner at wave 3 who a</w:t>
      </w:r>
      <w:r>
        <w:rPr>
          <w:rFonts w:asciiTheme="majorHAnsi" w:hAnsiTheme="majorHAnsi"/>
          <w:b/>
          <w:bCs/>
          <w:sz w:val="18"/>
          <w:szCs w:val="18"/>
        </w:rPr>
        <w:t>lso provides a valid interview response (n=923)</w:t>
      </w:r>
    </w:p>
    <w:p w:rsidR="00977DEB" w:rsidRDefault="00977DEB" w:rsidP="003F5557">
      <w:pPr>
        <w:spacing w:line="360" w:lineRule="auto"/>
        <w:rPr>
          <w:b/>
          <w:bCs/>
          <w:lang w:eastAsia="zh-TW"/>
        </w:rPr>
      </w:pPr>
    </w:p>
    <w:p w:rsidR="00977DEB" w:rsidRDefault="00977DEB" w:rsidP="003F5557">
      <w:pPr>
        <w:spacing w:line="360" w:lineRule="auto"/>
        <w:rPr>
          <w:b/>
          <w:bCs/>
          <w:lang w:eastAsia="zh-TW"/>
        </w:rPr>
      </w:pPr>
    </w:p>
    <w:p w:rsidR="00977DEB" w:rsidRDefault="00977DEB">
      <w:pPr>
        <w:rPr>
          <w:b/>
          <w:bCs/>
          <w:lang w:eastAsia="zh-TW"/>
        </w:rPr>
      </w:pPr>
      <w:r>
        <w:rPr>
          <w:b/>
          <w:bCs/>
          <w:lang w:eastAsia="zh-TW"/>
        </w:rPr>
        <w:br w:type="page"/>
      </w:r>
    </w:p>
    <w:p w:rsidR="00977DEB" w:rsidRDefault="00977DEB" w:rsidP="003F5557">
      <w:pPr>
        <w:spacing w:line="360" w:lineRule="auto"/>
        <w:rPr>
          <w:b/>
          <w:bCs/>
          <w:lang w:eastAsia="zh-TW"/>
        </w:rPr>
      </w:pPr>
    </w:p>
    <w:p w:rsidR="00977DEB" w:rsidRPr="00B83F67" w:rsidRDefault="00977DEB" w:rsidP="00D95A22">
      <w:pPr>
        <w:pStyle w:val="Heading2"/>
        <w:spacing w:line="480" w:lineRule="auto"/>
      </w:pPr>
      <w:r w:rsidRPr="00B83F67">
        <w:t xml:space="preserve">Explanatory analysis – predicting </w:t>
      </w:r>
      <w:r>
        <w:t xml:space="preserve">poor </w:t>
      </w:r>
      <w:r w:rsidRPr="00B83F67">
        <w:t>self-rated health</w:t>
      </w:r>
    </w:p>
    <w:p w:rsidR="00977DEB" w:rsidRDefault="00977DEB" w:rsidP="00E408B9">
      <w:pPr>
        <w:spacing w:line="480" w:lineRule="auto"/>
        <w:rPr>
          <w:lang w:eastAsia="zh-TW"/>
        </w:rPr>
      </w:pPr>
      <w:r w:rsidRPr="00B83F67">
        <w:rPr>
          <w:lang w:eastAsia="zh-TW"/>
        </w:rPr>
        <w:t xml:space="preserve">Table </w:t>
      </w:r>
      <w:r>
        <w:rPr>
          <w:lang w:eastAsia="zh-TW"/>
        </w:rPr>
        <w:t>2</w:t>
      </w:r>
      <w:r w:rsidRPr="00B83F67">
        <w:rPr>
          <w:lang w:eastAsia="zh-TW"/>
        </w:rPr>
        <w:t xml:space="preserve"> shows the results of logistic regression analysis</w:t>
      </w:r>
      <w:r>
        <w:rPr>
          <w:lang w:eastAsia="zh-TW"/>
        </w:rPr>
        <w:t xml:space="preserve"> predicting poor SRH</w:t>
      </w:r>
      <w:r w:rsidRPr="00B83F67">
        <w:rPr>
          <w:lang w:eastAsia="zh-TW"/>
        </w:rPr>
        <w:t xml:space="preserve">. </w:t>
      </w:r>
      <w:r>
        <w:rPr>
          <w:lang w:eastAsia="zh-TW"/>
        </w:rPr>
        <w:t xml:space="preserve">The results from model 1, controlling only for age at interview, suggest that women classified as full-time and part-time returners are significantly less likely to have poor SRH than full-time workers. The atypical/inactive group are more likely to have poor health, which likely reflects the high proportion of women economically inactive due to long-term sickness. When indicators of accumulated economic/financial resources are included (model 2), housing wealth shows a particularly strong relationship with SRH, with the odds for poor SRH decreasing as wealth increases. However, women classified as full-time returners remain significantly less likely to be in poor health than the reference group. In model 3, indicators of potential family resources are added (marital status and parity), but show no significant association with SRH. In this model, the association between being a ‘full-time returner’ and reduced odds for poor health remains statistically significant at the 5% level. In model 4, the partner’s NSSEC is added for the subgroup of older women with a current co-resident partner. Although the association between the full-time returners group and reduced odds for poor SRH is no longer statistically significant (reflecting, in part, the reduced sample size) the odds ratios still indicate that this group is doing best in terms of their current SRH. </w:t>
      </w:r>
    </w:p>
    <w:p w:rsidR="00977DEB" w:rsidRPr="00B83F67" w:rsidRDefault="00977DEB" w:rsidP="00D95A22">
      <w:pPr>
        <w:spacing w:line="480" w:lineRule="auto"/>
        <w:rPr>
          <w:lang w:eastAsia="zh-TW"/>
        </w:rPr>
      </w:pPr>
    </w:p>
    <w:p w:rsidR="00977DEB" w:rsidRDefault="00977DEB">
      <w:pPr>
        <w:rPr>
          <w:lang w:eastAsia="zh-TW"/>
        </w:rPr>
      </w:pPr>
      <w:r>
        <w:rPr>
          <w:lang w:eastAsia="zh-TW"/>
        </w:rPr>
        <w:br w:type="page"/>
      </w:r>
    </w:p>
    <w:p w:rsidR="00977DEB" w:rsidRPr="00A24B6E" w:rsidRDefault="00977DEB" w:rsidP="00836212">
      <w:pPr>
        <w:spacing w:line="360" w:lineRule="auto"/>
        <w:rPr>
          <w:b/>
          <w:bCs/>
          <w:lang w:eastAsia="zh-TW"/>
        </w:rPr>
      </w:pPr>
      <w:r w:rsidRPr="00A24B6E">
        <w:rPr>
          <w:b/>
          <w:bCs/>
          <w:lang w:eastAsia="zh-TW"/>
        </w:rPr>
        <w:lastRenderedPageBreak/>
        <w:t xml:space="preserve">Table </w:t>
      </w:r>
      <w:r>
        <w:rPr>
          <w:b/>
          <w:bCs/>
          <w:lang w:eastAsia="zh-TW"/>
        </w:rPr>
        <w:t>2</w:t>
      </w:r>
      <w:r w:rsidRPr="00A24B6E">
        <w:rPr>
          <w:b/>
          <w:bCs/>
          <w:lang w:eastAsia="zh-TW"/>
        </w:rPr>
        <w:t xml:space="preserve">: Results from </w:t>
      </w:r>
      <w:r>
        <w:rPr>
          <w:b/>
          <w:bCs/>
          <w:lang w:eastAsia="zh-TW"/>
        </w:rPr>
        <w:t>logistic</w:t>
      </w:r>
      <w:r w:rsidRPr="00A24B6E">
        <w:rPr>
          <w:b/>
          <w:bCs/>
          <w:lang w:eastAsia="zh-TW"/>
        </w:rPr>
        <w:t xml:space="preserve"> regression analysis predicting </w:t>
      </w:r>
      <w:r>
        <w:rPr>
          <w:b/>
          <w:bCs/>
          <w:lang w:eastAsia="zh-TW"/>
        </w:rPr>
        <w:t>poor self-rated health</w:t>
      </w:r>
      <w:r w:rsidRPr="00A24B6E">
        <w:rPr>
          <w:b/>
          <w:bCs/>
          <w:lang w:eastAsia="zh-TW"/>
        </w:rPr>
        <w:t xml:space="preserve"> at interview in Wave 3</w:t>
      </w:r>
      <w:r>
        <w:rPr>
          <w:b/>
          <w:bCs/>
          <w:lang w:eastAsia="zh-TW"/>
        </w:rPr>
        <w:t>, women aged 64+ at interview</w:t>
      </w:r>
      <w:r w:rsidRPr="00A24B6E">
        <w:rPr>
          <w:b/>
          <w:bCs/>
          <w:lang w:eastAsia="zh-TW"/>
        </w:rPr>
        <w:t xml:space="preserve">. </w:t>
      </w:r>
    </w:p>
    <w:p w:rsidR="00977DEB" w:rsidRDefault="00977DEB" w:rsidP="00836212">
      <w:pPr>
        <w:spacing w:line="360" w:lineRule="auto"/>
        <w:rPr>
          <w:lang w:eastAsia="zh-TW"/>
        </w:rPr>
      </w:pPr>
    </w:p>
    <w:tbl>
      <w:tblPr>
        <w:tblW w:w="10201" w:type="dxa"/>
        <w:tblLayout w:type="fixed"/>
        <w:tblLook w:val="0000" w:firstRow="0" w:lastRow="0" w:firstColumn="0" w:lastColumn="0" w:noHBand="0" w:noVBand="0"/>
      </w:tblPr>
      <w:tblGrid>
        <w:gridCol w:w="5778"/>
        <w:gridCol w:w="1105"/>
        <w:gridCol w:w="1106"/>
        <w:gridCol w:w="1106"/>
        <w:gridCol w:w="1106"/>
      </w:tblGrid>
      <w:tr w:rsidR="00977DEB" w:rsidRPr="00D0688D" w:rsidTr="00114943">
        <w:tc>
          <w:tcPr>
            <w:tcW w:w="5778" w:type="dxa"/>
            <w:tcBorders>
              <w:top w:val="single" w:sz="4" w:space="0" w:color="auto"/>
              <w:left w:val="nil"/>
              <w:bottom w:val="nil"/>
              <w:right w:val="nil"/>
            </w:tcBorders>
          </w:tcPr>
          <w:p w:rsidR="00977DEB" w:rsidRPr="00D0688D" w:rsidRDefault="00977DEB" w:rsidP="00114943">
            <w:pPr>
              <w:spacing w:line="360" w:lineRule="auto"/>
              <w:rPr>
                <w:rFonts w:asciiTheme="majorHAnsi" w:hAnsiTheme="majorHAnsi"/>
                <w:sz w:val="20"/>
                <w:szCs w:val="20"/>
                <w:lang w:val="en-US" w:eastAsia="zh-TW"/>
              </w:rPr>
            </w:pPr>
          </w:p>
        </w:tc>
        <w:tc>
          <w:tcPr>
            <w:tcW w:w="1105"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b/>
                <w:bCs/>
                <w:sz w:val="20"/>
                <w:szCs w:val="20"/>
                <w:lang w:val="en-US" w:eastAsia="zh-TW"/>
              </w:rPr>
            </w:pPr>
            <w:r w:rsidRPr="00D0688D">
              <w:rPr>
                <w:rFonts w:asciiTheme="majorHAnsi" w:hAnsiTheme="majorHAnsi"/>
                <w:b/>
                <w:bCs/>
                <w:sz w:val="20"/>
                <w:szCs w:val="20"/>
                <w:lang w:val="en-US" w:eastAsia="zh-TW"/>
              </w:rPr>
              <w:t>Model 1</w:t>
            </w:r>
          </w:p>
        </w:tc>
        <w:tc>
          <w:tcPr>
            <w:tcW w:w="1106"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b/>
                <w:bCs/>
                <w:sz w:val="20"/>
                <w:szCs w:val="20"/>
                <w:lang w:val="en-US" w:eastAsia="zh-TW"/>
              </w:rPr>
            </w:pPr>
            <w:r w:rsidRPr="00D0688D">
              <w:rPr>
                <w:rFonts w:asciiTheme="majorHAnsi" w:hAnsiTheme="majorHAnsi"/>
                <w:b/>
                <w:bCs/>
                <w:sz w:val="20"/>
                <w:szCs w:val="20"/>
                <w:lang w:val="en-US" w:eastAsia="zh-TW"/>
              </w:rPr>
              <w:t>Model2</w:t>
            </w:r>
          </w:p>
        </w:tc>
        <w:tc>
          <w:tcPr>
            <w:tcW w:w="1106"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b/>
                <w:bCs/>
                <w:sz w:val="20"/>
                <w:szCs w:val="20"/>
                <w:lang w:val="en-US" w:eastAsia="zh-TW"/>
              </w:rPr>
            </w:pPr>
            <w:r w:rsidRPr="00D0688D">
              <w:rPr>
                <w:rFonts w:asciiTheme="majorHAnsi" w:hAnsiTheme="majorHAnsi"/>
                <w:b/>
                <w:bCs/>
                <w:sz w:val="20"/>
                <w:szCs w:val="20"/>
                <w:lang w:val="en-US" w:eastAsia="zh-TW"/>
              </w:rPr>
              <w:t>Model 3</w:t>
            </w:r>
          </w:p>
        </w:tc>
        <w:tc>
          <w:tcPr>
            <w:tcW w:w="1106"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b/>
                <w:bCs/>
                <w:sz w:val="20"/>
                <w:szCs w:val="20"/>
                <w:lang w:val="en-US" w:eastAsia="zh-TW"/>
              </w:rPr>
            </w:pPr>
            <w:r w:rsidRPr="00D0688D">
              <w:rPr>
                <w:rFonts w:asciiTheme="majorHAnsi" w:hAnsiTheme="majorHAnsi"/>
                <w:b/>
                <w:bCs/>
                <w:sz w:val="20"/>
                <w:szCs w:val="20"/>
                <w:lang w:val="en-US" w:eastAsia="zh-TW"/>
              </w:rPr>
              <w:t>Model 4</w:t>
            </w:r>
          </w:p>
        </w:tc>
      </w:tr>
      <w:tr w:rsidR="00977DEB" w:rsidRPr="00D0688D" w:rsidTr="00114943">
        <w:tc>
          <w:tcPr>
            <w:tcW w:w="5778" w:type="dxa"/>
            <w:tcBorders>
              <w:top w:val="single" w:sz="4" w:space="0" w:color="auto"/>
              <w:left w:val="nil"/>
              <w:bottom w:val="nil"/>
              <w:right w:val="nil"/>
            </w:tcBorders>
          </w:tcPr>
          <w:p w:rsidR="00977DEB" w:rsidRPr="00D0688D" w:rsidRDefault="00977DEB" w:rsidP="00114943">
            <w:pPr>
              <w:spacing w:line="360" w:lineRule="auto"/>
              <w:rPr>
                <w:rFonts w:asciiTheme="majorHAnsi" w:hAnsiTheme="majorHAnsi"/>
                <w:sz w:val="20"/>
                <w:szCs w:val="20"/>
                <w:lang w:val="en-US" w:eastAsia="zh-TW"/>
              </w:rPr>
            </w:pPr>
          </w:p>
        </w:tc>
        <w:tc>
          <w:tcPr>
            <w:tcW w:w="1105"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sz w:val="20"/>
                <w:szCs w:val="20"/>
                <w:lang w:val="en-US" w:eastAsia="zh-TW"/>
              </w:rPr>
            </w:pPr>
          </w:p>
        </w:tc>
        <w:tc>
          <w:tcPr>
            <w:tcW w:w="1106"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sz w:val="20"/>
                <w:szCs w:val="20"/>
                <w:lang w:val="en-US" w:eastAsia="zh-TW"/>
              </w:rPr>
            </w:pPr>
          </w:p>
        </w:tc>
        <w:tc>
          <w:tcPr>
            <w:tcW w:w="1106"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sz w:val="20"/>
                <w:szCs w:val="20"/>
                <w:lang w:val="en-US" w:eastAsia="zh-TW"/>
              </w:rPr>
            </w:pPr>
          </w:p>
        </w:tc>
        <w:tc>
          <w:tcPr>
            <w:tcW w:w="1106" w:type="dxa"/>
            <w:tcBorders>
              <w:top w:val="single" w:sz="4" w:space="0" w:color="auto"/>
              <w:left w:val="nil"/>
              <w:bottom w:val="nil"/>
              <w:right w:val="nil"/>
            </w:tcBorders>
          </w:tcPr>
          <w:p w:rsidR="00977DEB" w:rsidRPr="00D0688D" w:rsidRDefault="00977DEB" w:rsidP="00114943">
            <w:pPr>
              <w:tabs>
                <w:tab w:val="decimal" w:pos="162"/>
              </w:tabs>
              <w:spacing w:line="360" w:lineRule="auto"/>
              <w:rPr>
                <w:rFonts w:asciiTheme="majorHAnsi" w:hAnsiTheme="majorHAnsi"/>
                <w:sz w:val="20"/>
                <w:szCs w:val="20"/>
                <w:lang w:val="en-US" w:eastAsia="zh-TW"/>
              </w:rPr>
            </w:pP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rPr>
                <w:rFonts w:asciiTheme="majorHAnsi" w:hAnsiTheme="majorHAnsi" w:cs="Times New Roman"/>
                <w:b/>
                <w:bCs/>
                <w:sz w:val="20"/>
                <w:szCs w:val="20"/>
                <w:lang w:val="en-US"/>
              </w:rPr>
            </w:pPr>
            <w:r w:rsidRPr="00D0688D">
              <w:rPr>
                <w:rFonts w:asciiTheme="majorHAnsi" w:hAnsiTheme="majorHAnsi" w:cs="Times New Roman"/>
                <w:b/>
                <w:bCs/>
                <w:sz w:val="20"/>
                <w:szCs w:val="20"/>
                <w:lang w:val="en-US"/>
              </w:rPr>
              <w:t>Cluster group (ref 1. Full-time workers)</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firstLine="567"/>
              <w:rPr>
                <w:rFonts w:asciiTheme="majorHAnsi" w:hAnsiTheme="majorHAnsi" w:cs="Times New Roman"/>
                <w:sz w:val="20"/>
                <w:szCs w:val="20"/>
                <w:lang w:val="en-US"/>
              </w:rPr>
            </w:pPr>
            <w:r w:rsidRPr="00D0688D">
              <w:rPr>
                <w:rFonts w:asciiTheme="majorHAnsi" w:hAnsiTheme="majorHAnsi" w:cs="Times New Roman"/>
                <w:sz w:val="20"/>
                <w:szCs w:val="20"/>
                <w:lang w:val="en-US"/>
              </w:rPr>
              <w:t xml:space="preserve">2. Family </w:t>
            </w:r>
            <w:proofErr w:type="spellStart"/>
            <w:r w:rsidRPr="00D0688D">
              <w:rPr>
                <w:rFonts w:asciiTheme="majorHAnsi" w:hAnsiTheme="majorHAnsi" w:cs="Times New Roman"/>
                <w:sz w:val="20"/>
                <w:szCs w:val="20"/>
                <w:lang w:val="en-US"/>
              </w:rPr>
              <w:t>carers</w:t>
            </w:r>
            <w:proofErr w:type="spellEnd"/>
          </w:p>
        </w:tc>
        <w:tc>
          <w:tcPr>
            <w:tcW w:w="1105"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0.96</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0.89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0.94</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1.24</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firstLine="567"/>
              <w:rPr>
                <w:rFonts w:asciiTheme="majorHAnsi" w:hAnsiTheme="majorHAnsi" w:cs="Times New Roman"/>
                <w:sz w:val="20"/>
                <w:szCs w:val="20"/>
                <w:lang w:val="en-US"/>
              </w:rPr>
            </w:pPr>
            <w:r w:rsidRPr="00D0688D">
              <w:rPr>
                <w:rFonts w:asciiTheme="majorHAnsi" w:hAnsiTheme="majorHAnsi" w:cs="Times New Roman"/>
                <w:sz w:val="20"/>
                <w:szCs w:val="20"/>
                <w:lang w:val="en-US"/>
              </w:rPr>
              <w:t>3. Full-time returners</w:t>
            </w:r>
          </w:p>
        </w:tc>
        <w:tc>
          <w:tcPr>
            <w:tcW w:w="1105"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0.73*</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0.69*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0.71*</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0.77</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firstLine="567"/>
              <w:rPr>
                <w:rFonts w:asciiTheme="majorHAnsi" w:hAnsiTheme="majorHAnsi" w:cs="Times New Roman"/>
                <w:sz w:val="20"/>
                <w:szCs w:val="20"/>
                <w:lang w:val="en-US"/>
              </w:rPr>
            </w:pPr>
            <w:r w:rsidRPr="00D0688D">
              <w:rPr>
                <w:rFonts w:asciiTheme="majorHAnsi" w:hAnsiTheme="majorHAnsi" w:cs="Times New Roman"/>
                <w:sz w:val="20"/>
                <w:szCs w:val="20"/>
                <w:lang w:val="en-US"/>
              </w:rPr>
              <w:t>4. Part-time returners</w:t>
            </w:r>
          </w:p>
        </w:tc>
        <w:tc>
          <w:tcPr>
            <w:tcW w:w="1105"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0.79</w:t>
            </w:r>
            <w:r w:rsidRPr="00D0688D">
              <w:rPr>
                <w:sz w:val="20"/>
                <w:szCs w:val="20"/>
                <w:vertAlign w:val="superscript"/>
              </w:rPr>
              <w:t>†</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0.77</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0.82</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0.89</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firstLine="567"/>
              <w:rPr>
                <w:rFonts w:asciiTheme="majorHAnsi" w:hAnsiTheme="majorHAnsi" w:cs="Times New Roman"/>
                <w:sz w:val="20"/>
                <w:szCs w:val="20"/>
                <w:lang w:val="en-US"/>
              </w:rPr>
            </w:pPr>
            <w:r w:rsidRPr="00D0688D">
              <w:rPr>
                <w:rFonts w:asciiTheme="majorHAnsi" w:hAnsiTheme="majorHAnsi" w:cs="Times New Roman"/>
                <w:sz w:val="20"/>
                <w:szCs w:val="20"/>
                <w:lang w:val="en-US"/>
              </w:rPr>
              <w:t>5. Atypical/inactive</w:t>
            </w:r>
          </w:p>
        </w:tc>
        <w:tc>
          <w:tcPr>
            <w:tcW w:w="1105"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1.50*</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1.43</w:t>
            </w:r>
            <w:r w:rsidRPr="00D0688D">
              <w:rPr>
                <w:sz w:val="20"/>
                <w:szCs w:val="20"/>
                <w:vertAlign w:val="superscript"/>
              </w:rPr>
              <w:t>†</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1.47</w:t>
            </w:r>
            <w:r w:rsidRPr="00D0688D">
              <w:rPr>
                <w:sz w:val="20"/>
                <w:szCs w:val="20"/>
                <w:vertAlign w:val="superscript"/>
              </w:rPr>
              <w:t>†</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1.87</w:t>
            </w:r>
            <w:r w:rsidRPr="00D0688D">
              <w:rPr>
                <w:sz w:val="20"/>
                <w:szCs w:val="20"/>
                <w:vertAlign w:val="superscript"/>
              </w:rPr>
              <w:t>†</w:t>
            </w:r>
          </w:p>
        </w:tc>
      </w:tr>
      <w:tr w:rsidR="00977DEB" w:rsidRPr="00D0688D" w:rsidTr="00114943">
        <w:tc>
          <w:tcPr>
            <w:tcW w:w="5778" w:type="dxa"/>
            <w:tcBorders>
              <w:top w:val="nil"/>
              <w:left w:val="nil"/>
              <w:bottom w:val="nil"/>
              <w:right w:val="nil"/>
            </w:tcBorders>
          </w:tcPr>
          <w:p w:rsidR="00977DEB" w:rsidRPr="00D0688D" w:rsidRDefault="00977DEB" w:rsidP="002E6C9B">
            <w:pPr>
              <w:spacing w:line="360" w:lineRule="auto"/>
              <w:rPr>
                <w:rFonts w:asciiTheme="majorHAnsi" w:hAnsiTheme="majorHAnsi"/>
                <w:b/>
                <w:bCs/>
                <w:sz w:val="20"/>
                <w:szCs w:val="20"/>
                <w:lang w:val="en-US" w:eastAsia="zh-TW"/>
              </w:rPr>
            </w:pPr>
            <w:r w:rsidRPr="00D0688D">
              <w:rPr>
                <w:rFonts w:asciiTheme="majorHAnsi" w:hAnsiTheme="majorHAnsi"/>
                <w:b/>
                <w:bCs/>
                <w:sz w:val="20"/>
                <w:szCs w:val="20"/>
                <w:lang w:val="en-US" w:eastAsia="zh-TW"/>
              </w:rPr>
              <w:t>Age group at interview (ref 6</w:t>
            </w:r>
            <w:r>
              <w:rPr>
                <w:rFonts w:asciiTheme="majorHAnsi" w:hAnsiTheme="majorHAnsi"/>
                <w:b/>
                <w:bCs/>
                <w:sz w:val="20"/>
                <w:szCs w:val="20"/>
                <w:lang w:val="en-US" w:eastAsia="zh-TW"/>
              </w:rPr>
              <w:t>4</w:t>
            </w:r>
            <w:r w:rsidRPr="00D0688D">
              <w:rPr>
                <w:rFonts w:asciiTheme="majorHAnsi" w:hAnsiTheme="majorHAnsi"/>
                <w:b/>
                <w:bCs/>
                <w:sz w:val="20"/>
                <w:szCs w:val="20"/>
                <w:lang w:val="en-US" w:eastAsia="zh-TW"/>
              </w:rPr>
              <w:t>-69)</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r>
      <w:tr w:rsidR="00977DEB" w:rsidRPr="00D0688D" w:rsidTr="00114943">
        <w:tc>
          <w:tcPr>
            <w:tcW w:w="5778" w:type="dxa"/>
            <w:tcBorders>
              <w:top w:val="nil"/>
              <w:left w:val="nil"/>
              <w:bottom w:val="nil"/>
              <w:right w:val="nil"/>
            </w:tcBorders>
          </w:tcPr>
          <w:p w:rsidR="00977DEB" w:rsidRPr="00D0688D" w:rsidRDefault="00977DEB" w:rsidP="00114943">
            <w:pPr>
              <w:spacing w:line="360" w:lineRule="auto"/>
              <w:ind w:firstLine="567"/>
              <w:rPr>
                <w:rFonts w:asciiTheme="majorHAnsi" w:hAnsiTheme="majorHAnsi"/>
                <w:sz w:val="20"/>
                <w:szCs w:val="20"/>
                <w:lang w:val="en-US" w:eastAsia="zh-TW"/>
              </w:rPr>
            </w:pPr>
            <w:r w:rsidRPr="00D0688D">
              <w:rPr>
                <w:rFonts w:asciiTheme="majorHAnsi" w:hAnsiTheme="majorHAnsi"/>
                <w:sz w:val="20"/>
                <w:szCs w:val="20"/>
                <w:lang w:val="en-US" w:eastAsia="zh-TW"/>
              </w:rPr>
              <w:t>70-79</w:t>
            </w:r>
          </w:p>
        </w:tc>
        <w:tc>
          <w:tcPr>
            <w:tcW w:w="1105"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1.26*</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1.15</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1.18</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1.18</w:t>
            </w:r>
          </w:p>
        </w:tc>
      </w:tr>
      <w:tr w:rsidR="00977DEB" w:rsidRPr="00D0688D" w:rsidTr="00114943">
        <w:tc>
          <w:tcPr>
            <w:tcW w:w="5778" w:type="dxa"/>
            <w:tcBorders>
              <w:top w:val="nil"/>
              <w:left w:val="nil"/>
              <w:bottom w:val="nil"/>
              <w:right w:val="nil"/>
            </w:tcBorders>
          </w:tcPr>
          <w:p w:rsidR="00977DEB" w:rsidRPr="00D0688D" w:rsidRDefault="00977DEB" w:rsidP="00114943">
            <w:pPr>
              <w:spacing w:line="360" w:lineRule="auto"/>
              <w:ind w:firstLine="567"/>
              <w:rPr>
                <w:rFonts w:asciiTheme="majorHAnsi" w:hAnsiTheme="majorHAnsi"/>
                <w:sz w:val="20"/>
                <w:szCs w:val="20"/>
                <w:lang w:val="en-US" w:eastAsia="zh-TW"/>
              </w:rPr>
            </w:pPr>
            <w:r w:rsidRPr="00D0688D">
              <w:rPr>
                <w:rFonts w:asciiTheme="majorHAnsi" w:hAnsiTheme="majorHAnsi"/>
                <w:sz w:val="20"/>
                <w:szCs w:val="20"/>
                <w:lang w:val="en-US" w:eastAsia="zh-TW"/>
              </w:rPr>
              <w:t>80+</w:t>
            </w:r>
          </w:p>
        </w:tc>
        <w:tc>
          <w:tcPr>
            <w:tcW w:w="1105"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1.58***</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1.29</w:t>
            </w:r>
            <w:r w:rsidRPr="00D0688D">
              <w:rPr>
                <w:sz w:val="20"/>
                <w:szCs w:val="20"/>
                <w:vertAlign w:val="superscript"/>
              </w:rPr>
              <w:t>†</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1.33</w:t>
            </w:r>
            <w:r w:rsidRPr="00D0688D">
              <w:rPr>
                <w:sz w:val="20"/>
                <w:szCs w:val="20"/>
                <w:vertAlign w:val="superscript"/>
              </w:rPr>
              <w:t>†</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1.52</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rPr>
                <w:rFonts w:asciiTheme="majorHAnsi" w:hAnsiTheme="majorHAnsi" w:cs="Times New Roman"/>
                <w:b/>
                <w:bCs/>
                <w:sz w:val="20"/>
                <w:szCs w:val="20"/>
                <w:lang w:val="en-US"/>
              </w:rPr>
            </w:pPr>
            <w:r w:rsidRPr="00D0688D">
              <w:rPr>
                <w:rFonts w:asciiTheme="majorHAnsi" w:hAnsiTheme="majorHAnsi" w:cs="Times New Roman"/>
                <w:b/>
                <w:bCs/>
                <w:sz w:val="20"/>
                <w:szCs w:val="20"/>
                <w:lang w:val="en-US"/>
              </w:rPr>
              <w:t>NSSEC (ref 1: Higher managerial/professional)</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2. Intermediate</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0.90</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0.91</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0.96</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3. Routine/manual</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1.75***</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1.74***</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1.85*</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4. Long-term unemployed</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1.59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1.61</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3.34</w:t>
            </w:r>
            <w:r w:rsidRPr="00D0688D">
              <w:rPr>
                <w:sz w:val="20"/>
                <w:szCs w:val="20"/>
                <w:vertAlign w:val="superscript"/>
              </w:rPr>
              <w:t>†</w:t>
            </w:r>
          </w:p>
        </w:tc>
      </w:tr>
      <w:tr w:rsidR="00977DEB" w:rsidRPr="00D0688D" w:rsidTr="00114943">
        <w:tc>
          <w:tcPr>
            <w:tcW w:w="5778" w:type="dxa"/>
            <w:tcBorders>
              <w:top w:val="nil"/>
              <w:left w:val="nil"/>
              <w:bottom w:val="nil"/>
              <w:right w:val="nil"/>
            </w:tcBorders>
          </w:tcPr>
          <w:p w:rsidR="00977DEB" w:rsidRPr="00D0688D" w:rsidRDefault="00977DEB" w:rsidP="00114943">
            <w:pPr>
              <w:spacing w:line="360" w:lineRule="auto"/>
              <w:rPr>
                <w:rFonts w:asciiTheme="majorHAnsi" w:hAnsiTheme="majorHAnsi"/>
                <w:b/>
                <w:bCs/>
                <w:sz w:val="20"/>
                <w:szCs w:val="20"/>
                <w:lang w:val="en-US" w:eastAsia="zh-TW"/>
              </w:rPr>
            </w:pPr>
            <w:r w:rsidRPr="00D0688D">
              <w:rPr>
                <w:rFonts w:asciiTheme="majorHAnsi" w:hAnsiTheme="majorHAnsi"/>
                <w:b/>
                <w:bCs/>
                <w:sz w:val="20"/>
                <w:szCs w:val="20"/>
                <w:lang w:val="en-US" w:eastAsia="zh-TW"/>
              </w:rPr>
              <w:t>Housing wealth band (ref none)</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r>
      <w:tr w:rsidR="00977DEB" w:rsidRPr="00D0688D" w:rsidTr="00114943">
        <w:tc>
          <w:tcPr>
            <w:tcW w:w="5778" w:type="dxa"/>
            <w:tcBorders>
              <w:top w:val="nil"/>
              <w:left w:val="nil"/>
              <w:bottom w:val="nil"/>
              <w:right w:val="nil"/>
            </w:tcBorders>
          </w:tcPr>
          <w:p w:rsidR="00977DEB" w:rsidRPr="00D0688D" w:rsidRDefault="00977DEB" w:rsidP="00114943">
            <w:pPr>
              <w:spacing w:line="360" w:lineRule="auto"/>
              <w:ind w:left="567"/>
              <w:rPr>
                <w:rFonts w:asciiTheme="majorHAnsi" w:hAnsiTheme="majorHAnsi"/>
                <w:sz w:val="20"/>
                <w:szCs w:val="20"/>
                <w:lang w:eastAsia="zh-TW"/>
              </w:rPr>
            </w:pPr>
            <w:r w:rsidRPr="00D0688D">
              <w:rPr>
                <w:rFonts w:asciiTheme="majorHAnsi" w:hAnsiTheme="majorHAnsi"/>
                <w:sz w:val="20"/>
                <w:szCs w:val="20"/>
                <w:lang w:eastAsia="zh-TW"/>
              </w:rPr>
              <w:t>£1-149999</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0.71*</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0.71*</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0.60</w:t>
            </w:r>
            <w:r w:rsidRPr="00D0688D">
              <w:rPr>
                <w:sz w:val="20"/>
                <w:szCs w:val="20"/>
                <w:vertAlign w:val="superscript"/>
              </w:rPr>
              <w:t>†</w:t>
            </w:r>
          </w:p>
        </w:tc>
      </w:tr>
      <w:tr w:rsidR="00977DEB" w:rsidRPr="00D0688D" w:rsidTr="00114943">
        <w:tc>
          <w:tcPr>
            <w:tcW w:w="5778" w:type="dxa"/>
            <w:tcBorders>
              <w:top w:val="nil"/>
              <w:left w:val="nil"/>
              <w:bottom w:val="nil"/>
              <w:right w:val="nil"/>
            </w:tcBorders>
          </w:tcPr>
          <w:p w:rsidR="00977DEB" w:rsidRPr="00D0688D" w:rsidRDefault="00977DEB" w:rsidP="00114943">
            <w:pPr>
              <w:spacing w:line="360" w:lineRule="auto"/>
              <w:ind w:left="567"/>
              <w:rPr>
                <w:rFonts w:asciiTheme="majorHAnsi" w:hAnsiTheme="majorHAnsi"/>
                <w:sz w:val="20"/>
                <w:szCs w:val="20"/>
                <w:lang w:eastAsia="zh-TW"/>
              </w:rPr>
            </w:pPr>
            <w:r w:rsidRPr="00D0688D">
              <w:rPr>
                <w:rFonts w:asciiTheme="majorHAnsi" w:hAnsiTheme="majorHAnsi"/>
                <w:sz w:val="20"/>
                <w:szCs w:val="20"/>
                <w:lang w:eastAsia="zh-TW"/>
              </w:rPr>
              <w:t>£150-299999</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0.47***</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0.47***</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0.43***</w:t>
            </w:r>
          </w:p>
        </w:tc>
      </w:tr>
      <w:tr w:rsidR="00977DEB" w:rsidRPr="00D0688D" w:rsidTr="00114943">
        <w:tc>
          <w:tcPr>
            <w:tcW w:w="5778" w:type="dxa"/>
            <w:tcBorders>
              <w:top w:val="nil"/>
              <w:left w:val="nil"/>
              <w:bottom w:val="nil"/>
              <w:right w:val="nil"/>
            </w:tcBorders>
          </w:tcPr>
          <w:p w:rsidR="00977DEB" w:rsidRPr="00D0688D" w:rsidRDefault="00977DEB" w:rsidP="00114943">
            <w:pPr>
              <w:spacing w:line="360" w:lineRule="auto"/>
              <w:ind w:left="567"/>
              <w:rPr>
                <w:rFonts w:asciiTheme="majorHAnsi" w:hAnsiTheme="majorHAnsi"/>
                <w:sz w:val="20"/>
                <w:szCs w:val="20"/>
                <w:lang w:eastAsia="zh-TW"/>
              </w:rPr>
            </w:pPr>
            <w:r w:rsidRPr="00D0688D">
              <w:rPr>
                <w:rFonts w:asciiTheme="majorHAnsi" w:hAnsiTheme="majorHAnsi"/>
                <w:sz w:val="20"/>
                <w:szCs w:val="20"/>
                <w:lang w:eastAsia="zh-TW"/>
              </w:rPr>
              <w:t>£300-449999</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0.32***</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0.32***</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0.28***</w:t>
            </w:r>
          </w:p>
        </w:tc>
      </w:tr>
      <w:tr w:rsidR="00977DEB" w:rsidRPr="00D0688D" w:rsidTr="00114943">
        <w:tc>
          <w:tcPr>
            <w:tcW w:w="5778" w:type="dxa"/>
            <w:tcBorders>
              <w:top w:val="nil"/>
              <w:left w:val="nil"/>
              <w:bottom w:val="nil"/>
              <w:right w:val="nil"/>
            </w:tcBorders>
          </w:tcPr>
          <w:p w:rsidR="00977DEB" w:rsidRPr="00D0688D" w:rsidRDefault="00977DEB" w:rsidP="00114943">
            <w:pPr>
              <w:spacing w:line="360" w:lineRule="auto"/>
              <w:ind w:left="567"/>
              <w:rPr>
                <w:rFonts w:asciiTheme="majorHAnsi" w:hAnsiTheme="majorHAnsi"/>
                <w:sz w:val="20"/>
                <w:szCs w:val="20"/>
              </w:rPr>
            </w:pPr>
            <w:r w:rsidRPr="00D0688D">
              <w:rPr>
                <w:rFonts w:asciiTheme="majorHAnsi" w:hAnsiTheme="majorHAnsi"/>
                <w:sz w:val="20"/>
                <w:szCs w:val="20"/>
                <w:lang w:eastAsia="zh-TW"/>
              </w:rPr>
              <w:t>£450000+</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0.20***</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0.20***</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0.15***</w:t>
            </w:r>
          </w:p>
        </w:tc>
      </w:tr>
      <w:tr w:rsidR="00977DEB" w:rsidRPr="00D0688D" w:rsidTr="00114943">
        <w:tc>
          <w:tcPr>
            <w:tcW w:w="5778" w:type="dxa"/>
            <w:tcBorders>
              <w:top w:val="nil"/>
              <w:left w:val="nil"/>
              <w:bottom w:val="nil"/>
              <w:right w:val="nil"/>
            </w:tcBorders>
          </w:tcPr>
          <w:p w:rsidR="00977DEB" w:rsidRPr="00D0688D" w:rsidRDefault="00977DEB" w:rsidP="00114943">
            <w:pPr>
              <w:tabs>
                <w:tab w:val="left" w:pos="60"/>
              </w:tabs>
              <w:spacing w:line="360" w:lineRule="auto"/>
              <w:ind w:left="142" w:hanging="142"/>
              <w:rPr>
                <w:rFonts w:asciiTheme="majorHAnsi" w:hAnsiTheme="majorHAnsi"/>
                <w:b/>
                <w:bCs/>
                <w:sz w:val="20"/>
                <w:szCs w:val="20"/>
                <w:lang w:val="en-US" w:eastAsia="zh-TW"/>
              </w:rPr>
            </w:pPr>
            <w:r w:rsidRPr="00D0688D">
              <w:rPr>
                <w:rFonts w:asciiTheme="majorHAnsi" w:hAnsiTheme="majorHAnsi" w:cs="Times New Roman"/>
                <w:b/>
                <w:bCs/>
                <w:sz w:val="20"/>
                <w:szCs w:val="20"/>
                <w:lang w:val="en-US"/>
              </w:rPr>
              <w:t>% of life in part-time work</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1.00</w:t>
            </w:r>
          </w:p>
        </w:tc>
      </w:tr>
      <w:tr w:rsidR="00977DEB" w:rsidRPr="00D0688D" w:rsidTr="00114943">
        <w:tc>
          <w:tcPr>
            <w:tcW w:w="5778" w:type="dxa"/>
            <w:tcBorders>
              <w:top w:val="nil"/>
              <w:left w:val="nil"/>
              <w:bottom w:val="nil"/>
              <w:right w:val="nil"/>
            </w:tcBorders>
          </w:tcPr>
          <w:p w:rsidR="00977DEB" w:rsidRPr="00D0688D" w:rsidRDefault="00977DEB" w:rsidP="00114943">
            <w:pPr>
              <w:tabs>
                <w:tab w:val="left" w:pos="60"/>
              </w:tabs>
              <w:spacing w:line="360" w:lineRule="auto"/>
              <w:ind w:left="142" w:hanging="142"/>
              <w:rPr>
                <w:rFonts w:asciiTheme="majorHAnsi" w:hAnsiTheme="majorHAnsi"/>
                <w:b/>
                <w:bCs/>
                <w:sz w:val="20"/>
                <w:szCs w:val="20"/>
                <w:lang w:val="en-US" w:eastAsia="zh-TW"/>
              </w:rPr>
            </w:pPr>
            <w:r w:rsidRPr="00D0688D">
              <w:rPr>
                <w:rFonts w:asciiTheme="majorHAnsi" w:hAnsiTheme="majorHAnsi"/>
                <w:b/>
                <w:bCs/>
                <w:sz w:val="20"/>
                <w:szCs w:val="20"/>
                <w:lang w:val="en-US" w:eastAsia="zh-TW"/>
              </w:rPr>
              <w:t>Number of children (ref none)</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r>
      <w:tr w:rsidR="00977DEB" w:rsidRPr="00D0688D" w:rsidTr="00114943">
        <w:tc>
          <w:tcPr>
            <w:tcW w:w="5778" w:type="dxa"/>
            <w:tcBorders>
              <w:top w:val="nil"/>
              <w:left w:val="nil"/>
              <w:bottom w:val="nil"/>
              <w:right w:val="nil"/>
            </w:tcBorders>
          </w:tcPr>
          <w:p w:rsidR="00977DEB" w:rsidRPr="00D0688D" w:rsidRDefault="00977DEB" w:rsidP="00114943">
            <w:pPr>
              <w:tabs>
                <w:tab w:val="left" w:pos="567"/>
              </w:tabs>
              <w:spacing w:line="360" w:lineRule="auto"/>
              <w:ind w:left="142" w:firstLine="425"/>
              <w:rPr>
                <w:rFonts w:asciiTheme="majorHAnsi" w:hAnsiTheme="majorHAnsi"/>
                <w:sz w:val="20"/>
                <w:szCs w:val="20"/>
                <w:lang w:val="en-US" w:eastAsia="zh-TW"/>
              </w:rPr>
            </w:pPr>
            <w:r w:rsidRPr="00D0688D">
              <w:rPr>
                <w:rFonts w:asciiTheme="majorHAnsi" w:hAnsiTheme="majorHAnsi"/>
                <w:sz w:val="20"/>
                <w:szCs w:val="20"/>
                <w:lang w:val="en-US" w:eastAsia="zh-TW"/>
              </w:rPr>
              <w:t>1</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0.90</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1.00</w:t>
            </w:r>
          </w:p>
        </w:tc>
      </w:tr>
      <w:tr w:rsidR="00977DEB" w:rsidRPr="00D0688D" w:rsidTr="00114943">
        <w:tc>
          <w:tcPr>
            <w:tcW w:w="5778" w:type="dxa"/>
            <w:tcBorders>
              <w:top w:val="nil"/>
              <w:left w:val="nil"/>
              <w:bottom w:val="nil"/>
              <w:right w:val="nil"/>
            </w:tcBorders>
          </w:tcPr>
          <w:p w:rsidR="00977DEB" w:rsidRPr="00D0688D" w:rsidRDefault="00977DEB" w:rsidP="00114943">
            <w:pPr>
              <w:tabs>
                <w:tab w:val="left" w:pos="567"/>
              </w:tabs>
              <w:spacing w:line="360" w:lineRule="auto"/>
              <w:ind w:left="142" w:firstLine="425"/>
              <w:rPr>
                <w:rFonts w:asciiTheme="majorHAnsi" w:hAnsiTheme="majorHAnsi"/>
                <w:sz w:val="20"/>
                <w:szCs w:val="20"/>
                <w:lang w:val="en-US" w:eastAsia="zh-TW"/>
              </w:rPr>
            </w:pPr>
            <w:r w:rsidRPr="00D0688D">
              <w:rPr>
                <w:rFonts w:asciiTheme="majorHAnsi" w:hAnsiTheme="majorHAnsi"/>
                <w:sz w:val="20"/>
                <w:szCs w:val="20"/>
                <w:lang w:val="en-US" w:eastAsia="zh-TW"/>
              </w:rPr>
              <w:t>2</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0.83</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0.67</w:t>
            </w:r>
          </w:p>
        </w:tc>
      </w:tr>
      <w:tr w:rsidR="00977DEB" w:rsidRPr="00D0688D" w:rsidTr="00114943">
        <w:tc>
          <w:tcPr>
            <w:tcW w:w="5778" w:type="dxa"/>
            <w:tcBorders>
              <w:top w:val="nil"/>
              <w:left w:val="nil"/>
              <w:bottom w:val="nil"/>
              <w:right w:val="nil"/>
            </w:tcBorders>
          </w:tcPr>
          <w:p w:rsidR="00977DEB" w:rsidRPr="00D0688D" w:rsidRDefault="00977DEB" w:rsidP="00114943">
            <w:pPr>
              <w:tabs>
                <w:tab w:val="left" w:pos="567"/>
              </w:tabs>
              <w:spacing w:line="360" w:lineRule="auto"/>
              <w:ind w:left="142" w:firstLine="425"/>
              <w:rPr>
                <w:rFonts w:asciiTheme="majorHAnsi" w:hAnsiTheme="majorHAnsi"/>
                <w:sz w:val="20"/>
                <w:szCs w:val="20"/>
                <w:lang w:val="en-US" w:eastAsia="zh-TW"/>
              </w:rPr>
            </w:pPr>
            <w:r w:rsidRPr="00D0688D">
              <w:rPr>
                <w:rFonts w:asciiTheme="majorHAnsi" w:hAnsiTheme="majorHAnsi"/>
                <w:sz w:val="20"/>
                <w:szCs w:val="20"/>
                <w:lang w:val="en-US" w:eastAsia="zh-TW"/>
              </w:rPr>
              <w:t>3+</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0.94</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0.71</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rPr>
                <w:rFonts w:asciiTheme="majorHAnsi" w:hAnsiTheme="majorHAnsi" w:cs="Times New Roman"/>
                <w:b/>
                <w:bCs/>
                <w:sz w:val="20"/>
                <w:szCs w:val="20"/>
                <w:lang w:val="en-US"/>
              </w:rPr>
            </w:pPr>
            <w:r w:rsidRPr="00D0688D">
              <w:rPr>
                <w:rFonts w:asciiTheme="majorHAnsi" w:hAnsiTheme="majorHAnsi" w:cs="Times New Roman"/>
                <w:b/>
                <w:bCs/>
                <w:sz w:val="20"/>
                <w:szCs w:val="20"/>
                <w:lang w:val="en-US"/>
              </w:rPr>
              <w:t>Current marital status (ref never married)</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Married (first marriage)</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0.63</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Remarried</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1.39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1.14</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Divorced</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0.98</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0.97</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Widowed</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0.99</w:t>
            </w:r>
          </w:p>
        </w:tc>
        <w:tc>
          <w:tcPr>
            <w:tcW w:w="1106" w:type="dxa"/>
            <w:tcBorders>
              <w:top w:val="nil"/>
              <w:left w:val="nil"/>
              <w:bottom w:val="nil"/>
              <w:right w:val="nil"/>
            </w:tcBorders>
          </w:tcPr>
          <w:p w:rsidR="00977DEB" w:rsidRPr="00D0688D" w:rsidRDefault="00977DEB" w:rsidP="00114943">
            <w:pPr>
              <w:spacing w:line="360" w:lineRule="auto"/>
              <w:rPr>
                <w:sz w:val="20"/>
                <w:szCs w:val="20"/>
              </w:rPr>
            </w:pPr>
            <w:r>
              <w:rPr>
                <w:sz w:val="20"/>
                <w:szCs w:val="20"/>
              </w:rPr>
              <w:t>-</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rPr>
                <w:rFonts w:asciiTheme="majorHAnsi" w:hAnsiTheme="majorHAnsi" w:cs="Times New Roman"/>
                <w:b/>
                <w:bCs/>
                <w:sz w:val="20"/>
                <w:szCs w:val="20"/>
                <w:lang w:val="en-US"/>
              </w:rPr>
            </w:pPr>
            <w:r w:rsidRPr="00D0688D">
              <w:rPr>
                <w:rFonts w:asciiTheme="majorHAnsi" w:hAnsiTheme="majorHAnsi" w:cs="Times New Roman"/>
                <w:b/>
                <w:bCs/>
                <w:sz w:val="20"/>
                <w:szCs w:val="20"/>
                <w:lang w:val="en-US"/>
              </w:rPr>
              <w:t>Partner’s NSSEC (ref 1: Higher managerial/professional)</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2. Intermediate</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1.01</w:t>
            </w:r>
          </w:p>
        </w:tc>
      </w:tr>
      <w:tr w:rsidR="00977DEB" w:rsidRPr="00D0688D" w:rsidTr="00114943">
        <w:tc>
          <w:tcPr>
            <w:tcW w:w="5778" w:type="dxa"/>
            <w:tcBorders>
              <w:top w:val="nil"/>
              <w:left w:val="nil"/>
              <w:bottom w:val="nil"/>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3. Routine/manual</w:t>
            </w:r>
          </w:p>
        </w:tc>
        <w:tc>
          <w:tcPr>
            <w:tcW w:w="1105"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p>
        </w:tc>
        <w:tc>
          <w:tcPr>
            <w:tcW w:w="1106" w:type="dxa"/>
            <w:tcBorders>
              <w:top w:val="nil"/>
              <w:left w:val="nil"/>
              <w:bottom w:val="nil"/>
              <w:right w:val="nil"/>
            </w:tcBorders>
          </w:tcPr>
          <w:p w:rsidR="00977DEB" w:rsidRPr="00D0688D" w:rsidRDefault="00977DEB" w:rsidP="00114943">
            <w:pPr>
              <w:spacing w:line="360" w:lineRule="auto"/>
              <w:rPr>
                <w:sz w:val="20"/>
                <w:szCs w:val="20"/>
              </w:rPr>
            </w:pPr>
            <w:r w:rsidRPr="00D0688D">
              <w:rPr>
                <w:sz w:val="20"/>
                <w:szCs w:val="20"/>
              </w:rPr>
              <w:t>1.04</w:t>
            </w:r>
          </w:p>
        </w:tc>
      </w:tr>
      <w:tr w:rsidR="00977DEB" w:rsidRPr="00D0688D" w:rsidTr="00114943">
        <w:tc>
          <w:tcPr>
            <w:tcW w:w="5778" w:type="dxa"/>
            <w:tcBorders>
              <w:top w:val="nil"/>
              <w:left w:val="nil"/>
              <w:bottom w:val="single" w:sz="4" w:space="0" w:color="auto"/>
              <w:right w:val="nil"/>
            </w:tcBorders>
          </w:tcPr>
          <w:p w:rsidR="00977DEB" w:rsidRPr="00D0688D" w:rsidRDefault="00977DEB" w:rsidP="00114943">
            <w:pPr>
              <w:widowControl w:val="0"/>
              <w:autoSpaceDE w:val="0"/>
              <w:autoSpaceDN w:val="0"/>
              <w:adjustRightInd w:val="0"/>
              <w:spacing w:line="360" w:lineRule="auto"/>
              <w:ind w:left="567"/>
              <w:rPr>
                <w:rFonts w:asciiTheme="majorHAnsi" w:hAnsiTheme="majorHAnsi" w:cs="Times New Roman"/>
                <w:sz w:val="20"/>
                <w:szCs w:val="20"/>
                <w:lang w:val="en-US"/>
              </w:rPr>
            </w:pPr>
            <w:r w:rsidRPr="00D0688D">
              <w:rPr>
                <w:rFonts w:asciiTheme="majorHAnsi" w:hAnsiTheme="majorHAnsi" w:cs="Times New Roman"/>
                <w:sz w:val="20"/>
                <w:szCs w:val="20"/>
                <w:lang w:val="en-US"/>
              </w:rPr>
              <w:t>4. Long-term unemployed</w:t>
            </w:r>
          </w:p>
        </w:tc>
        <w:tc>
          <w:tcPr>
            <w:tcW w:w="1105" w:type="dxa"/>
            <w:tcBorders>
              <w:top w:val="nil"/>
              <w:left w:val="nil"/>
              <w:bottom w:val="single" w:sz="4" w:space="0" w:color="auto"/>
              <w:right w:val="nil"/>
            </w:tcBorders>
          </w:tcPr>
          <w:p w:rsidR="00977DEB" w:rsidRPr="00D0688D" w:rsidRDefault="00977DEB" w:rsidP="00114943">
            <w:pPr>
              <w:spacing w:line="360" w:lineRule="auto"/>
              <w:rPr>
                <w:sz w:val="20"/>
                <w:szCs w:val="20"/>
              </w:rPr>
            </w:pPr>
          </w:p>
        </w:tc>
        <w:tc>
          <w:tcPr>
            <w:tcW w:w="1106" w:type="dxa"/>
            <w:tcBorders>
              <w:top w:val="nil"/>
              <w:left w:val="nil"/>
              <w:bottom w:val="single" w:sz="4" w:space="0" w:color="auto"/>
              <w:right w:val="nil"/>
            </w:tcBorders>
          </w:tcPr>
          <w:p w:rsidR="00977DEB" w:rsidRPr="00D0688D" w:rsidRDefault="00977DEB" w:rsidP="00114943">
            <w:pPr>
              <w:spacing w:line="360" w:lineRule="auto"/>
              <w:rPr>
                <w:sz w:val="20"/>
                <w:szCs w:val="20"/>
              </w:rPr>
            </w:pPr>
          </w:p>
        </w:tc>
        <w:tc>
          <w:tcPr>
            <w:tcW w:w="1106" w:type="dxa"/>
            <w:tcBorders>
              <w:top w:val="nil"/>
              <w:left w:val="nil"/>
              <w:bottom w:val="single" w:sz="4" w:space="0" w:color="auto"/>
              <w:right w:val="nil"/>
            </w:tcBorders>
          </w:tcPr>
          <w:p w:rsidR="00977DEB" w:rsidRPr="00D0688D" w:rsidRDefault="00977DEB" w:rsidP="00114943">
            <w:pPr>
              <w:spacing w:line="360" w:lineRule="auto"/>
              <w:rPr>
                <w:sz w:val="20"/>
                <w:szCs w:val="20"/>
              </w:rPr>
            </w:pPr>
          </w:p>
        </w:tc>
        <w:tc>
          <w:tcPr>
            <w:tcW w:w="1106" w:type="dxa"/>
            <w:tcBorders>
              <w:top w:val="nil"/>
              <w:left w:val="nil"/>
              <w:bottom w:val="single" w:sz="4" w:space="0" w:color="auto"/>
              <w:right w:val="nil"/>
            </w:tcBorders>
          </w:tcPr>
          <w:p w:rsidR="00977DEB" w:rsidRPr="00D0688D" w:rsidRDefault="00977DEB" w:rsidP="00114943">
            <w:pPr>
              <w:spacing w:line="360" w:lineRule="auto"/>
              <w:rPr>
                <w:sz w:val="20"/>
                <w:szCs w:val="20"/>
              </w:rPr>
            </w:pPr>
            <w:r w:rsidRPr="00D0688D">
              <w:rPr>
                <w:sz w:val="20"/>
                <w:szCs w:val="20"/>
              </w:rPr>
              <w:t>0.53</w:t>
            </w:r>
          </w:p>
        </w:tc>
      </w:tr>
      <w:tr w:rsidR="00977DEB" w:rsidRPr="00D0688D" w:rsidTr="00114943">
        <w:tc>
          <w:tcPr>
            <w:tcW w:w="5778" w:type="dxa"/>
            <w:tcBorders>
              <w:top w:val="nil"/>
              <w:left w:val="nil"/>
              <w:bottom w:val="single" w:sz="4" w:space="0" w:color="auto"/>
              <w:right w:val="nil"/>
            </w:tcBorders>
          </w:tcPr>
          <w:p w:rsidR="00977DEB" w:rsidRPr="00D0688D" w:rsidRDefault="00977DEB" w:rsidP="00114943">
            <w:pPr>
              <w:spacing w:line="360" w:lineRule="auto"/>
              <w:rPr>
                <w:rFonts w:asciiTheme="majorHAnsi" w:hAnsiTheme="majorHAnsi"/>
                <w:sz w:val="20"/>
                <w:szCs w:val="20"/>
                <w:lang w:val="en-US" w:eastAsia="zh-TW"/>
              </w:rPr>
            </w:pPr>
            <w:r w:rsidRPr="00D0688D">
              <w:rPr>
                <w:rFonts w:asciiTheme="majorHAnsi" w:hAnsiTheme="majorHAnsi"/>
                <w:i/>
                <w:iCs/>
                <w:sz w:val="20"/>
                <w:szCs w:val="20"/>
                <w:lang w:val="en-US" w:eastAsia="zh-TW"/>
              </w:rPr>
              <w:t>N</w:t>
            </w:r>
          </w:p>
        </w:tc>
        <w:tc>
          <w:tcPr>
            <w:tcW w:w="1105" w:type="dxa"/>
            <w:tcBorders>
              <w:top w:val="nil"/>
              <w:left w:val="nil"/>
              <w:bottom w:val="single" w:sz="4" w:space="0" w:color="auto"/>
              <w:right w:val="nil"/>
            </w:tcBorders>
          </w:tcPr>
          <w:p w:rsidR="00977DEB" w:rsidRPr="00D0688D" w:rsidRDefault="00977DEB" w:rsidP="00114943">
            <w:pPr>
              <w:spacing w:line="360" w:lineRule="auto"/>
              <w:rPr>
                <w:sz w:val="20"/>
                <w:szCs w:val="20"/>
              </w:rPr>
            </w:pPr>
            <w:r w:rsidRPr="00D0688D">
              <w:rPr>
                <w:sz w:val="20"/>
                <w:szCs w:val="20"/>
              </w:rPr>
              <w:t>2160</w:t>
            </w:r>
          </w:p>
        </w:tc>
        <w:tc>
          <w:tcPr>
            <w:tcW w:w="1106" w:type="dxa"/>
            <w:tcBorders>
              <w:top w:val="nil"/>
              <w:left w:val="nil"/>
              <w:bottom w:val="single" w:sz="4" w:space="0" w:color="auto"/>
              <w:right w:val="nil"/>
            </w:tcBorders>
          </w:tcPr>
          <w:p w:rsidR="00977DEB" w:rsidRPr="00D0688D" w:rsidRDefault="00977DEB" w:rsidP="00114943">
            <w:pPr>
              <w:spacing w:line="360" w:lineRule="auto"/>
              <w:rPr>
                <w:sz w:val="20"/>
                <w:szCs w:val="20"/>
              </w:rPr>
            </w:pPr>
            <w:r w:rsidRPr="00D0688D">
              <w:rPr>
                <w:sz w:val="20"/>
                <w:szCs w:val="20"/>
              </w:rPr>
              <w:t>2160</w:t>
            </w:r>
          </w:p>
        </w:tc>
        <w:tc>
          <w:tcPr>
            <w:tcW w:w="1106" w:type="dxa"/>
            <w:tcBorders>
              <w:top w:val="nil"/>
              <w:left w:val="nil"/>
              <w:bottom w:val="single" w:sz="4" w:space="0" w:color="auto"/>
              <w:right w:val="nil"/>
            </w:tcBorders>
          </w:tcPr>
          <w:p w:rsidR="00977DEB" w:rsidRPr="00D0688D" w:rsidRDefault="00977DEB" w:rsidP="00114943">
            <w:pPr>
              <w:spacing w:line="360" w:lineRule="auto"/>
              <w:rPr>
                <w:sz w:val="20"/>
                <w:szCs w:val="20"/>
              </w:rPr>
            </w:pPr>
            <w:r w:rsidRPr="00D0688D">
              <w:rPr>
                <w:sz w:val="20"/>
                <w:szCs w:val="20"/>
              </w:rPr>
              <w:t>2160</w:t>
            </w:r>
          </w:p>
        </w:tc>
        <w:tc>
          <w:tcPr>
            <w:tcW w:w="1106" w:type="dxa"/>
            <w:tcBorders>
              <w:top w:val="nil"/>
              <w:left w:val="nil"/>
              <w:bottom w:val="single" w:sz="4" w:space="0" w:color="auto"/>
              <w:right w:val="nil"/>
            </w:tcBorders>
          </w:tcPr>
          <w:p w:rsidR="00977DEB" w:rsidRPr="00D0688D" w:rsidRDefault="00977DEB" w:rsidP="00114943">
            <w:pPr>
              <w:spacing w:line="360" w:lineRule="auto"/>
              <w:rPr>
                <w:sz w:val="20"/>
                <w:szCs w:val="20"/>
              </w:rPr>
            </w:pPr>
            <w:r w:rsidRPr="00D0688D">
              <w:rPr>
                <w:sz w:val="20"/>
                <w:szCs w:val="20"/>
              </w:rPr>
              <w:t>923</w:t>
            </w:r>
          </w:p>
        </w:tc>
      </w:tr>
    </w:tbl>
    <w:p w:rsidR="00977DEB" w:rsidRPr="006A5EC0" w:rsidRDefault="00977DEB" w:rsidP="00836212">
      <w:pPr>
        <w:spacing w:line="360" w:lineRule="auto"/>
        <w:rPr>
          <w:sz w:val="18"/>
          <w:szCs w:val="18"/>
          <w:lang w:val="en-US" w:eastAsia="zh-TW"/>
        </w:rPr>
      </w:pPr>
      <w:proofErr w:type="spellStart"/>
      <w:r w:rsidRPr="006A5EC0">
        <w:rPr>
          <w:sz w:val="18"/>
          <w:szCs w:val="18"/>
          <w:lang w:val="en-US" w:eastAsia="zh-TW"/>
        </w:rPr>
        <w:t>Exponentiated</w:t>
      </w:r>
      <w:proofErr w:type="spellEnd"/>
      <w:r w:rsidRPr="006A5EC0">
        <w:rPr>
          <w:sz w:val="18"/>
          <w:szCs w:val="18"/>
          <w:lang w:val="en-US" w:eastAsia="zh-TW"/>
        </w:rPr>
        <w:t xml:space="preserve"> coefficients</w:t>
      </w:r>
    </w:p>
    <w:p w:rsidR="00977DEB" w:rsidRDefault="00977DEB" w:rsidP="00836212">
      <w:pPr>
        <w:spacing w:line="360" w:lineRule="auto"/>
        <w:rPr>
          <w:sz w:val="18"/>
          <w:szCs w:val="18"/>
          <w:lang w:val="en-US" w:eastAsia="zh-TW"/>
        </w:rPr>
      </w:pPr>
      <w:r w:rsidRPr="00D0688D">
        <w:rPr>
          <w:vertAlign w:val="superscript"/>
        </w:rPr>
        <w:t>†</w:t>
      </w:r>
      <w:r w:rsidRPr="001A310C">
        <w:rPr>
          <w:i/>
          <w:iCs/>
          <w:sz w:val="18"/>
          <w:szCs w:val="18"/>
          <w:lang w:val="en-US" w:eastAsia="zh-TW"/>
        </w:rPr>
        <w:t>p&lt;0.10</w:t>
      </w:r>
      <w:r>
        <w:rPr>
          <w:i/>
          <w:iCs/>
          <w:sz w:val="18"/>
          <w:szCs w:val="18"/>
          <w:lang w:val="en-US" w:eastAsia="zh-TW"/>
        </w:rPr>
        <w:t>,</w:t>
      </w:r>
      <w:r>
        <w:rPr>
          <w:sz w:val="18"/>
          <w:szCs w:val="18"/>
          <w:vertAlign w:val="superscript"/>
          <w:lang w:val="en-US" w:eastAsia="zh-TW"/>
        </w:rPr>
        <w:t xml:space="preserve"> </w:t>
      </w:r>
      <w:r w:rsidRPr="006A5EC0">
        <w:rPr>
          <w:sz w:val="18"/>
          <w:szCs w:val="18"/>
          <w:vertAlign w:val="superscript"/>
          <w:lang w:val="en-US" w:eastAsia="zh-TW"/>
        </w:rPr>
        <w:t>*</w:t>
      </w:r>
      <w:r w:rsidRPr="006A5EC0">
        <w:rPr>
          <w:sz w:val="18"/>
          <w:szCs w:val="18"/>
          <w:lang w:val="en-US" w:eastAsia="zh-TW"/>
        </w:rPr>
        <w:t xml:space="preserve"> </w:t>
      </w:r>
      <w:r w:rsidRPr="006A5EC0">
        <w:rPr>
          <w:i/>
          <w:iCs/>
          <w:sz w:val="18"/>
          <w:szCs w:val="18"/>
          <w:lang w:val="en-US" w:eastAsia="zh-TW"/>
        </w:rPr>
        <w:t>p</w:t>
      </w:r>
      <w:r w:rsidRPr="006A5EC0">
        <w:rPr>
          <w:sz w:val="18"/>
          <w:szCs w:val="18"/>
          <w:lang w:val="en-US" w:eastAsia="zh-TW"/>
        </w:rPr>
        <w:t xml:space="preserve"> &lt; 0.05, </w:t>
      </w:r>
      <w:r w:rsidRPr="006A5EC0">
        <w:rPr>
          <w:sz w:val="18"/>
          <w:szCs w:val="18"/>
          <w:vertAlign w:val="superscript"/>
          <w:lang w:val="en-US" w:eastAsia="zh-TW"/>
        </w:rPr>
        <w:t>**</w:t>
      </w:r>
      <w:r w:rsidRPr="006A5EC0">
        <w:rPr>
          <w:sz w:val="18"/>
          <w:szCs w:val="18"/>
          <w:lang w:val="en-US" w:eastAsia="zh-TW"/>
        </w:rPr>
        <w:t xml:space="preserve"> </w:t>
      </w:r>
      <w:r w:rsidRPr="006A5EC0">
        <w:rPr>
          <w:i/>
          <w:iCs/>
          <w:sz w:val="18"/>
          <w:szCs w:val="18"/>
          <w:lang w:val="en-US" w:eastAsia="zh-TW"/>
        </w:rPr>
        <w:t>p</w:t>
      </w:r>
      <w:r w:rsidRPr="006A5EC0">
        <w:rPr>
          <w:sz w:val="18"/>
          <w:szCs w:val="18"/>
          <w:lang w:val="en-US" w:eastAsia="zh-TW"/>
        </w:rPr>
        <w:t xml:space="preserve"> &lt; 0.01, </w:t>
      </w:r>
      <w:r w:rsidRPr="006A5EC0">
        <w:rPr>
          <w:sz w:val="18"/>
          <w:szCs w:val="18"/>
          <w:vertAlign w:val="superscript"/>
          <w:lang w:val="en-US" w:eastAsia="zh-TW"/>
        </w:rPr>
        <w:t>***</w:t>
      </w:r>
      <w:r w:rsidRPr="006A5EC0">
        <w:rPr>
          <w:sz w:val="18"/>
          <w:szCs w:val="18"/>
          <w:lang w:val="en-US" w:eastAsia="zh-TW"/>
        </w:rPr>
        <w:t xml:space="preserve"> </w:t>
      </w:r>
      <w:r w:rsidRPr="006A5EC0">
        <w:rPr>
          <w:i/>
          <w:iCs/>
          <w:sz w:val="18"/>
          <w:szCs w:val="18"/>
          <w:lang w:val="en-US" w:eastAsia="zh-TW"/>
        </w:rPr>
        <w:t>p</w:t>
      </w:r>
      <w:r w:rsidRPr="006A5EC0">
        <w:rPr>
          <w:sz w:val="18"/>
          <w:szCs w:val="18"/>
          <w:lang w:val="en-US" w:eastAsia="zh-TW"/>
        </w:rPr>
        <w:t xml:space="preserve"> &lt; 0.001</w:t>
      </w:r>
    </w:p>
    <w:p w:rsidR="00977DEB" w:rsidRPr="00B83F67" w:rsidRDefault="00977DEB" w:rsidP="00836212">
      <w:pPr>
        <w:spacing w:line="480" w:lineRule="auto"/>
        <w:rPr>
          <w:lang w:eastAsia="zh-TW"/>
        </w:rPr>
      </w:pPr>
      <w:r>
        <w:rPr>
          <w:rFonts w:asciiTheme="majorHAnsi" w:hAnsiTheme="majorHAnsi"/>
        </w:rPr>
        <w:br w:type="page"/>
      </w:r>
    </w:p>
    <w:p w:rsidR="00977DEB" w:rsidRPr="00B83F67" w:rsidRDefault="00977DEB" w:rsidP="00D95A22">
      <w:pPr>
        <w:pStyle w:val="Heading1"/>
        <w:spacing w:line="480" w:lineRule="auto"/>
        <w:rPr>
          <w:lang w:eastAsia="zh-TW"/>
        </w:rPr>
      </w:pPr>
      <w:r w:rsidRPr="00B83F67">
        <w:rPr>
          <w:lang w:eastAsia="zh-TW"/>
        </w:rPr>
        <w:lastRenderedPageBreak/>
        <w:t xml:space="preserve">Discussion </w:t>
      </w:r>
    </w:p>
    <w:p w:rsidR="00977DEB" w:rsidRDefault="00977DEB" w:rsidP="00E408B9">
      <w:pPr>
        <w:spacing w:line="480" w:lineRule="auto"/>
        <w:rPr>
          <w:rFonts w:eastAsia="PMingLiU"/>
          <w:lang w:eastAsia="zh-TW"/>
        </w:rPr>
      </w:pPr>
      <w:r>
        <w:rPr>
          <w:rFonts w:eastAsia="PMingLiU"/>
          <w:lang w:eastAsia="zh-TW"/>
        </w:rPr>
        <w:t xml:space="preserve">Work and family opportunities for women in English society during the second half of the twentieth century had ostensibly become more diverse via, for example, participation in the labour market and access to contraception </w:t>
      </w:r>
      <w:r>
        <w:rPr>
          <w:noProof/>
        </w:rPr>
        <w:t>[22, 23, 44]</w:t>
      </w:r>
      <w:r>
        <w:rPr>
          <w:rFonts w:eastAsia="PMingLiU"/>
          <w:lang w:eastAsia="zh-TW"/>
        </w:rPr>
        <w:t xml:space="preserve">. However, in the present study a relatively limited set of trajectories emerged that encapsulate the dominant patterns of women’s economic activity over the life course during this period. To understand why this is the case requires consideration of how this historical context interacts with women’s chronological and social time-lines. Despite the considerable societal changes that occurred during their lifetimes most of the women in this study, born between 1909and 1943, would have already been young adults or in mid-life by the 1960s, when many of these changes began to emerge.  Therefore, at least in terms of family formation, these women were likely to already have embarked upon the ‘traditional’ route of marriage followed by childbearing. This may in part explain why the trajectories of economic activity were not more heterogeneous, and </w:t>
      </w:r>
      <w:r w:rsidRPr="00BF4A3C">
        <w:t xml:space="preserve">supports the argument that life-course trajectories may often be limited by social, cultural or structural ‘norms’ </w:t>
      </w:r>
      <w:r>
        <w:rPr>
          <w:noProof/>
        </w:rPr>
        <w:t>[19]</w:t>
      </w:r>
      <w:r w:rsidRPr="00BF4A3C">
        <w:t>.</w:t>
      </w:r>
      <w:r>
        <w:t xml:space="preserve"> </w:t>
      </w:r>
    </w:p>
    <w:p w:rsidR="00977DEB" w:rsidRDefault="00977DEB" w:rsidP="00310FED">
      <w:pPr>
        <w:spacing w:line="480" w:lineRule="auto"/>
        <w:rPr>
          <w:rFonts w:eastAsia="PMingLiU"/>
          <w:lang w:eastAsia="zh-TW"/>
        </w:rPr>
      </w:pPr>
    </w:p>
    <w:p w:rsidR="00977DEB" w:rsidRDefault="00977DEB" w:rsidP="00134572">
      <w:pPr>
        <w:spacing w:line="480" w:lineRule="auto"/>
        <w:rPr>
          <w:rFonts w:eastAsia="PMingLiU"/>
          <w:lang w:eastAsia="zh-TW"/>
        </w:rPr>
      </w:pPr>
      <w:r>
        <w:rPr>
          <w:rFonts w:eastAsia="PMingLiU"/>
          <w:lang w:eastAsia="zh-TW"/>
        </w:rPr>
        <w:t xml:space="preserve">The findings further suggest that women’s trajectories of economic activity have an impact on their </w:t>
      </w:r>
      <w:r>
        <w:rPr>
          <w:lang w:eastAsia="zh-TW"/>
        </w:rPr>
        <w:t>SRH</w:t>
      </w:r>
      <w:r>
        <w:rPr>
          <w:rFonts w:eastAsia="PMingLiU"/>
          <w:lang w:eastAsia="zh-TW"/>
        </w:rPr>
        <w:t xml:space="preserve"> in later life. In contrast to previous findings for men </w:t>
      </w:r>
      <w:r>
        <w:rPr>
          <w:rFonts w:eastAsia="PMingLiU"/>
          <w:noProof/>
          <w:lang w:eastAsia="zh-TW"/>
        </w:rPr>
        <w:t>[10]</w:t>
      </w:r>
      <w:r>
        <w:rPr>
          <w:rFonts w:eastAsia="PMingLiU"/>
          <w:lang w:eastAsia="zh-TW"/>
        </w:rPr>
        <w:t>, the findings indicate that for women,</w:t>
      </w:r>
      <w:r w:rsidRPr="00B83F67">
        <w:rPr>
          <w:rFonts w:eastAsia="PMingLiU"/>
          <w:lang w:eastAsia="zh-TW"/>
        </w:rPr>
        <w:t xml:space="preserve"> being in full-time paid employment across the life course is not necessarily good for their </w:t>
      </w:r>
      <w:r>
        <w:rPr>
          <w:rFonts w:eastAsia="PMingLiU"/>
          <w:lang w:eastAsia="zh-TW"/>
        </w:rPr>
        <w:t xml:space="preserve">later health. This does, however, support previous evidence for women in the USA indicating that labour-force participation over the life course does not necessarily promote healthy ageing </w:t>
      </w:r>
      <w:r>
        <w:rPr>
          <w:rFonts w:eastAsia="PMingLiU"/>
          <w:noProof/>
          <w:lang w:eastAsia="zh-TW"/>
        </w:rPr>
        <w:t>[33]</w:t>
      </w:r>
      <w:r>
        <w:rPr>
          <w:rFonts w:eastAsia="PMingLiU"/>
          <w:lang w:eastAsia="zh-TW"/>
        </w:rPr>
        <w:t xml:space="preserve">. Women who experience distinct periods of full-time work and periods focussed on looking after a family appear to have the most favourable outcomes. </w:t>
      </w:r>
    </w:p>
    <w:p w:rsidR="00977DEB" w:rsidRDefault="00977DEB" w:rsidP="00473BC3">
      <w:pPr>
        <w:spacing w:line="480" w:lineRule="auto"/>
        <w:rPr>
          <w:rFonts w:eastAsia="PMingLiU"/>
          <w:lang w:eastAsia="zh-TW"/>
        </w:rPr>
      </w:pPr>
    </w:p>
    <w:p w:rsidR="00977DEB" w:rsidRDefault="00977DEB" w:rsidP="00FA6502">
      <w:pPr>
        <w:spacing w:line="480" w:lineRule="auto"/>
        <w:rPr>
          <w:rFonts w:eastAsia="PMingLiU"/>
          <w:lang w:eastAsia="zh-TW"/>
        </w:rPr>
      </w:pPr>
      <w:r>
        <w:rPr>
          <w:rFonts w:eastAsia="PMingLiU"/>
          <w:lang w:eastAsia="zh-TW"/>
        </w:rPr>
        <w:t xml:space="preserve">There is some support for an accumulation model, given that housing wealth shows a relatively strong and negative linear relationship with the risk of poor SRH in later life. </w:t>
      </w:r>
      <w:r>
        <w:t xml:space="preserve">However, a simple ‘dose-response’ relationship between accumulation of resources and health does not provide a full explanation of the association between women’s economic activity trajectories and health. Even when controlling for indicators of accumulated financial and social resources, significant associations between life-course economic activity and SRH remain. The classification of economic activity trajectories incorporating both the duration and the pattern of work and family statuses across women’s lives adds explanatory value in predicting SRH in later life. The results therefore provide support for both a life-course perspective, emphasising the sequence and timing of </w:t>
      </w:r>
      <w:r>
        <w:lastRenderedPageBreak/>
        <w:t>experiences within interrelated work and family trajectories, and a longitudinal multiple role perspective that considers lifetime experiences of occupying particular roles in work and family life.</w:t>
      </w:r>
    </w:p>
    <w:p w:rsidR="00977DEB" w:rsidRDefault="00977DEB" w:rsidP="00D95A22">
      <w:pPr>
        <w:spacing w:line="480" w:lineRule="auto"/>
      </w:pPr>
    </w:p>
    <w:p w:rsidR="00977DEB" w:rsidRDefault="00977DEB" w:rsidP="00E408B9">
      <w:pPr>
        <w:spacing w:line="480" w:lineRule="auto"/>
      </w:pPr>
      <w:r>
        <w:t>Previous w</w:t>
      </w:r>
      <w:r w:rsidRPr="00B83F67">
        <w:t xml:space="preserve">ork suggests that associations </w:t>
      </w:r>
      <w:r>
        <w:t xml:space="preserve">between multiple role occupancy and health </w:t>
      </w:r>
      <w:r w:rsidRPr="00B83F67">
        <w:t xml:space="preserve">are highly dependent upon the nature of </w:t>
      </w:r>
      <w:r>
        <w:t>such</w:t>
      </w:r>
      <w:r w:rsidRPr="00B83F67">
        <w:t xml:space="preserve"> roles and health outcomes, and there is no </w:t>
      </w:r>
      <w:r>
        <w:t xml:space="preserve">clear </w:t>
      </w:r>
      <w:r w:rsidRPr="00B83F67">
        <w:t xml:space="preserve">consensus as to whether the overall effects on health are positive or negative </w:t>
      </w:r>
      <w:r>
        <w:rPr>
          <w:noProof/>
        </w:rPr>
        <w:t>[45, 46]</w:t>
      </w:r>
      <w:r w:rsidRPr="00B83F67">
        <w:t>.</w:t>
      </w:r>
      <w:r>
        <w:t xml:space="preserve"> Perhaps c</w:t>
      </w:r>
      <w:r w:rsidRPr="00E0139F">
        <w:t xml:space="preserve">ombining work and family </w:t>
      </w:r>
      <w:r>
        <w:t>confers</w:t>
      </w:r>
      <w:r w:rsidRPr="00E0139F">
        <w:t xml:space="preserve"> short</w:t>
      </w:r>
      <w:r>
        <w:t>-</w:t>
      </w:r>
      <w:r w:rsidRPr="00E0139F">
        <w:t xml:space="preserve">term detrimental effects on health, but long-term benefits due to opportunities to accumulate resources that have an impact throughout life into older age. </w:t>
      </w:r>
      <w:r>
        <w:t xml:space="preserve">This is supported by the findings presented here in that the most favourable outcomes were observed among women who took time out of full-time work to concentrate on family life, before returning to employment at a later date. Such women would tend to experience multiple roles sequentially rather than simultaneously, therefore avoiding the ‘role stress’ associated with concurrent multiple role occupancy. The present study also suggests that women who consistently occupy one ‘major role’ throughout their life course are disadvantaged in terms of their later health compared with those who experience distinct periods of time focused on work and family domains, and provides tentative support for the ‘role accumulation’ hypothesis. </w:t>
      </w:r>
    </w:p>
    <w:p w:rsidR="00977DEB" w:rsidRDefault="00977DEB" w:rsidP="00D95A22">
      <w:pPr>
        <w:spacing w:line="480" w:lineRule="auto"/>
      </w:pPr>
    </w:p>
    <w:p w:rsidR="00977DEB" w:rsidRPr="0021769C" w:rsidRDefault="00977DEB" w:rsidP="00D95A22">
      <w:pPr>
        <w:pStyle w:val="Heading2"/>
        <w:spacing w:line="480" w:lineRule="auto"/>
        <w:rPr>
          <w:i/>
          <w:iCs/>
        </w:rPr>
      </w:pPr>
      <w:r>
        <w:t>Limitations</w:t>
      </w:r>
    </w:p>
    <w:p w:rsidR="00977DEB" w:rsidRDefault="00977DEB" w:rsidP="00595F8A">
      <w:pPr>
        <w:spacing w:line="480" w:lineRule="auto"/>
        <w:rPr>
          <w:sz w:val="23"/>
          <w:szCs w:val="23"/>
        </w:rPr>
      </w:pPr>
      <w:r>
        <w:rPr>
          <w:rFonts w:eastAsia="PMingLiU"/>
          <w:lang w:eastAsia="zh-TW"/>
        </w:rPr>
        <w:t>When analysing data from observational studies such as ELSA it is important to be mindful of biases that might arise from sample selection. For the present study, a particular concern is selection bias based on both health and economic activity, such that those who are unwell and/or socioeconomically disadvantaged being under-represented in the sample. Cross-sectional weights in the ELSA dataset, designed to account for differential non-response in each wave and calibrated to match 2006 household population estimates for England from the Office for National Statistics, are</w:t>
      </w:r>
      <w:r>
        <w:rPr>
          <w:sz w:val="23"/>
          <w:szCs w:val="23"/>
        </w:rPr>
        <w:t xml:space="preserve"> helpful in reducing the impact of non-response to some extent. Unfortunately, no information is available on life course experiences of health and illness, therefore it is difficult to assess the possibility of reverse causation, i.e. whether poor health preceded transitions in economic activity. However, if we assume that women who are socioeconomically disadvantaged and have poor self-rated health are under-represented in the sample due to non-response, this is likely to result in underestimation of health inequalities. Therefore, the present study likely provides conservative estimates </w:t>
      </w:r>
      <w:r>
        <w:rPr>
          <w:sz w:val="23"/>
          <w:szCs w:val="23"/>
        </w:rPr>
        <w:lastRenderedPageBreak/>
        <w:t xml:space="preserve">of the associations of interest and this may also in part explain why the observed associations were modest in magnitude. In addition, there is a related issue of attrition from the sample longitudinally, which is also to an extent dealt with by using the cross-sectional weights. To test the impact of attrition, a two-stage selection model was estimated, providing reassurance that loss to follow-up did not have a significant impact on the substantive findings. Further details of this selection modelling can be found in the supplementary online material. </w:t>
      </w:r>
    </w:p>
    <w:p w:rsidR="00977DEB" w:rsidRDefault="00977DEB" w:rsidP="00D81791">
      <w:pPr>
        <w:spacing w:line="480" w:lineRule="auto"/>
        <w:rPr>
          <w:rFonts w:eastAsia="PMingLiU"/>
          <w:lang w:eastAsia="zh-TW"/>
        </w:rPr>
      </w:pPr>
    </w:p>
    <w:p w:rsidR="00977DEB" w:rsidRDefault="00977DEB" w:rsidP="00595F8A">
      <w:pPr>
        <w:spacing w:line="480" w:lineRule="auto"/>
        <w:rPr>
          <w:rFonts w:eastAsia="PMingLiU"/>
          <w:lang w:eastAsia="zh-TW"/>
        </w:rPr>
      </w:pPr>
      <w:r>
        <w:rPr>
          <w:rFonts w:eastAsia="PMingLiU"/>
          <w:lang w:eastAsia="zh-TW"/>
        </w:rPr>
        <w:t>Cautious consideration is also required as a range of other indicators about work and family life, such as the nature of women’s work, their earnings, and the spacing of childbearing are not included in this analysis. A  limited set of covariates was included to measure accumulated resources, and additional effects not controlled for cannot be ruled out. In operationalising multiple roles, only work and looking after a home and family were considered. Other roles outside these domains might also be important however – in particular, the</w:t>
      </w:r>
      <w:r w:rsidRPr="005C1AC9">
        <w:rPr>
          <w:rFonts w:eastAsia="PMingLiU"/>
          <w:lang w:eastAsia="zh-TW"/>
        </w:rPr>
        <w:t xml:space="preserve"> additional ‘role strain’ that might arise from informal caring for an ill spouse or surviving parents. </w:t>
      </w:r>
      <w:r>
        <w:rPr>
          <w:rFonts w:eastAsia="PMingLiU"/>
          <w:lang w:eastAsia="zh-TW"/>
        </w:rPr>
        <w:t xml:space="preserve">Nevertheless, the findings show the potential of such work to make a valuable contribution in </w:t>
      </w:r>
      <w:r>
        <w:t xml:space="preserve">providing, for England, a new classification of women’s life-course economic activity trajectories that takes the timing, sequence and duration of changing labour market status into account and can, in turn, help predict women’s health and wellbeing in later life. </w:t>
      </w:r>
    </w:p>
    <w:p w:rsidR="00977DEB" w:rsidRDefault="00977DEB" w:rsidP="00D95A22">
      <w:pPr>
        <w:pStyle w:val="Heading2"/>
        <w:spacing w:line="480" w:lineRule="auto"/>
      </w:pPr>
    </w:p>
    <w:p w:rsidR="00977DEB" w:rsidRDefault="00977DEB" w:rsidP="00D95A22">
      <w:pPr>
        <w:pStyle w:val="Heading2"/>
        <w:spacing w:line="480" w:lineRule="auto"/>
      </w:pPr>
      <w:r>
        <w:t xml:space="preserve">Conclusions </w:t>
      </w:r>
    </w:p>
    <w:p w:rsidR="00977DEB" w:rsidRPr="00B83F67" w:rsidRDefault="00977DEB" w:rsidP="00595F8A">
      <w:pPr>
        <w:spacing w:line="480" w:lineRule="auto"/>
        <w:rPr>
          <w:rFonts w:eastAsia="PMingLiU"/>
          <w:lang w:eastAsia="zh-TW"/>
        </w:rPr>
      </w:pPr>
      <w:r>
        <w:t xml:space="preserve">Despite the more active and varied role of women in the labour market in the second half of the twentieth century, current cohorts of older women have still followed a relatively narrow range of economic activity trajectories.  This might reflect continuing structural constraints and cultural expectations regarding work and family for women during this period. </w:t>
      </w:r>
      <w:r>
        <w:rPr>
          <w:rFonts w:eastAsia="PMingLiU"/>
          <w:lang w:eastAsia="zh-TW"/>
        </w:rPr>
        <w:t xml:space="preserve">The findings suggest that policies that allow women, if they wish, to successfully combine paid employment with family life may have a positive impact on their health in later life. Such policies might include increasing the provision of affordable childcare. In turn, policies which encourage the combination of multiple roles over the life course may also produce benefits for women’s pension contributions and broader economic resources in later life, which can further increase women’s choice over </w:t>
      </w:r>
      <w:r>
        <w:rPr>
          <w:rFonts w:eastAsia="PMingLiU"/>
          <w:lang w:eastAsia="zh-TW"/>
        </w:rPr>
        <w:lastRenderedPageBreak/>
        <w:t xml:space="preserve">their life trajectory. Given that </w:t>
      </w:r>
      <w:r>
        <w:rPr>
          <w:lang w:eastAsia="zh-TW"/>
        </w:rPr>
        <w:t>SRH</w:t>
      </w:r>
      <w:r>
        <w:rPr>
          <w:rFonts w:eastAsia="PMingLiU"/>
          <w:lang w:eastAsia="zh-TW"/>
        </w:rPr>
        <w:t xml:space="preserve"> is consistently shown to be a significant predictor of mortality, the findings may also have wider implications for the longevity and the ageing of future cohorts of women in England. </w:t>
      </w:r>
    </w:p>
    <w:p w:rsidR="00977DEB" w:rsidRDefault="00977DEB">
      <w:pPr>
        <w:rPr>
          <w:b/>
          <w:bCs/>
        </w:rPr>
      </w:pPr>
      <w:r>
        <w:rPr>
          <w:b/>
          <w:bCs/>
        </w:rPr>
        <w:br w:type="page"/>
      </w:r>
    </w:p>
    <w:p w:rsidR="00977DEB" w:rsidRPr="00C15DF4" w:rsidRDefault="00977DEB" w:rsidP="00C15DF4">
      <w:pPr>
        <w:pStyle w:val="Heading1"/>
      </w:pPr>
      <w:r w:rsidRPr="00C15DF4">
        <w:lastRenderedPageBreak/>
        <w:t>ACKNOWLEDGEMENTS</w:t>
      </w:r>
    </w:p>
    <w:p w:rsidR="00977DEB" w:rsidRPr="00C15DF4" w:rsidRDefault="00977DEB" w:rsidP="00C15DF4">
      <w:pPr>
        <w:spacing w:line="360" w:lineRule="auto"/>
      </w:pPr>
    </w:p>
    <w:p w:rsidR="00977DEB" w:rsidRPr="00C15DF4" w:rsidRDefault="00977DEB" w:rsidP="00C15DF4">
      <w:pPr>
        <w:spacing w:line="360" w:lineRule="auto"/>
      </w:pPr>
      <w:r w:rsidRPr="009641B7">
        <w:t xml:space="preserve">The data were made available through the UK Data Archive. ELSA was developed by a team of researchers based at the </w:t>
      </w:r>
      <w:proofErr w:type="spellStart"/>
      <w:r w:rsidRPr="009641B7">
        <w:t>NatCen</w:t>
      </w:r>
      <w:proofErr w:type="spellEnd"/>
      <w:r w:rsidRPr="009641B7">
        <w:t xml:space="preserve"> Social Research, University College London and the Institute for Fiscal Studies. The data were collected by </w:t>
      </w:r>
      <w:proofErr w:type="spellStart"/>
      <w:r w:rsidRPr="009641B7">
        <w:t>NatCen</w:t>
      </w:r>
      <w:proofErr w:type="spellEnd"/>
      <w:r w:rsidRPr="009641B7">
        <w:t xml:space="preserve"> Social Research. The funding is provided by the National Institute of Aging in the United States, and a consortium of UK government departments co-ordinated by the Office for National Statistics. The developers and funders of ELSA and the Archive do not bear any responsibility for the analyses or </w:t>
      </w:r>
      <w:r>
        <w:t>interpretations presented here.</w:t>
      </w:r>
    </w:p>
    <w:p w:rsidR="00977DEB" w:rsidRPr="00C15DF4" w:rsidRDefault="00977DEB" w:rsidP="00C15DF4">
      <w:pPr>
        <w:spacing w:line="360" w:lineRule="auto"/>
      </w:pPr>
    </w:p>
    <w:p w:rsidR="00977DEB" w:rsidRPr="00C15DF4" w:rsidRDefault="00977DEB" w:rsidP="00C15DF4">
      <w:pPr>
        <w:spacing w:line="360" w:lineRule="auto"/>
      </w:pPr>
      <w:r w:rsidRPr="00C15DF4">
        <w:rPr>
          <w:rStyle w:val="Heading1Char"/>
        </w:rPr>
        <w:t>COMPETING INTERESTS:</w:t>
      </w:r>
      <w:r w:rsidRPr="00C15DF4">
        <w:t xml:space="preserve"> none</w:t>
      </w:r>
    </w:p>
    <w:p w:rsidR="00977DEB" w:rsidRPr="00C15DF4" w:rsidRDefault="00977DEB" w:rsidP="00C15DF4">
      <w:pPr>
        <w:spacing w:line="360" w:lineRule="auto"/>
      </w:pPr>
    </w:p>
    <w:p w:rsidR="00977DEB" w:rsidRPr="00C15DF4" w:rsidRDefault="00977DEB" w:rsidP="00C15DF4">
      <w:pPr>
        <w:spacing w:line="360" w:lineRule="auto"/>
      </w:pPr>
    </w:p>
    <w:p w:rsidR="00977DEB" w:rsidRPr="00C15DF4" w:rsidRDefault="00977DEB" w:rsidP="00C15DF4">
      <w:pPr>
        <w:pStyle w:val="Heading1"/>
      </w:pPr>
      <w:r w:rsidRPr="00C15DF4">
        <w:t>FUNDING</w:t>
      </w:r>
    </w:p>
    <w:p w:rsidR="00977DEB" w:rsidRPr="00C15DF4" w:rsidRDefault="00977DEB" w:rsidP="00C15DF4">
      <w:pPr>
        <w:spacing w:line="360" w:lineRule="auto"/>
      </w:pPr>
    </w:p>
    <w:p w:rsidR="00977DEB" w:rsidRPr="00C15DF4" w:rsidRDefault="00977DEB" w:rsidP="00C15DF4">
      <w:pPr>
        <w:spacing w:line="360" w:lineRule="auto"/>
        <w:rPr>
          <w:rStyle w:val="Heading1Char"/>
        </w:rPr>
      </w:pPr>
      <w:r w:rsidRPr="00C15DF4">
        <w:t>This work was supported by the Economic and Social Research Council (ESRC) [grant number RES-625-28-0001] which funds the ESRC Centre for Population Change (CPC) where this study was carried out. CPC is a joint initiative between the Universities of Southampton, St. Andrews, Dundee, Edinburgh, Stirling and Strathclyde, in partnership with the Office for National Statistics (ONS) and the General Register Office Scotland (GROS) (now the National Records of Scotland, NRS). The findings, interpretations, and conclusions expressed in this study are entirely those of the authors and should not be attributed in any manner to ONS or GROS/NRS.</w:t>
      </w:r>
      <w:r>
        <w:rPr>
          <w:b/>
          <w:bCs/>
        </w:rPr>
        <w:br w:type="page"/>
      </w:r>
      <w:r w:rsidRPr="00C15DF4">
        <w:rPr>
          <w:rStyle w:val="Heading1Char"/>
        </w:rPr>
        <w:lastRenderedPageBreak/>
        <w:t>References</w:t>
      </w:r>
    </w:p>
    <w:p w:rsidR="00977DEB" w:rsidRDefault="00977DEB" w:rsidP="003421FD">
      <w:pPr>
        <w:spacing w:line="360" w:lineRule="auto"/>
      </w:pPr>
    </w:p>
    <w:p w:rsidR="00977DEB" w:rsidRPr="00EC141B" w:rsidRDefault="00977DEB" w:rsidP="00EC141B">
      <w:pPr>
        <w:jc w:val="center"/>
        <w:rPr>
          <w:noProof/>
          <w:sz w:val="20"/>
        </w:rPr>
      </w:pPr>
    </w:p>
    <w:p w:rsidR="00977DEB" w:rsidRDefault="00977DEB" w:rsidP="00EC141B">
      <w:pPr>
        <w:tabs>
          <w:tab w:val="right" w:pos="360"/>
          <w:tab w:val="left" w:pos="540"/>
        </w:tabs>
        <w:spacing w:after="240"/>
        <w:ind w:left="540" w:hanging="540"/>
        <w:rPr>
          <w:noProof/>
          <w:sz w:val="20"/>
        </w:rPr>
      </w:pPr>
      <w:r>
        <w:rPr>
          <w:noProof/>
          <w:sz w:val="20"/>
        </w:rPr>
        <w:tab/>
        <w:t xml:space="preserve">1. </w:t>
      </w:r>
      <w:r>
        <w:rPr>
          <w:noProof/>
          <w:sz w:val="20"/>
        </w:rPr>
        <w:tab/>
        <w:t xml:space="preserve">Grundy E, Holt G. Adult life experiences and health in early old age in Great Britain. </w:t>
      </w:r>
      <w:r w:rsidRPr="00EC141B">
        <w:rPr>
          <w:i/>
          <w:noProof/>
          <w:sz w:val="20"/>
        </w:rPr>
        <w:t>Social Science &amp; Medicine</w:t>
      </w:r>
      <w:r>
        <w:rPr>
          <w:noProof/>
          <w:sz w:val="20"/>
        </w:rPr>
        <w:t xml:space="preserve"> 2000; </w:t>
      </w:r>
      <w:r w:rsidRPr="00EC141B">
        <w:rPr>
          <w:b/>
          <w:noProof/>
          <w:sz w:val="20"/>
        </w:rPr>
        <w:t>51</w:t>
      </w:r>
      <w:r>
        <w:rPr>
          <w:noProof/>
          <w:sz w:val="20"/>
        </w:rPr>
        <w:t>(7):1061-1074.</w:t>
      </w:r>
    </w:p>
    <w:p w:rsidR="00977DEB" w:rsidRDefault="00977DEB" w:rsidP="00EC141B">
      <w:pPr>
        <w:tabs>
          <w:tab w:val="right" w:pos="360"/>
          <w:tab w:val="left" w:pos="540"/>
        </w:tabs>
        <w:spacing w:after="240"/>
        <w:ind w:left="540" w:hanging="540"/>
        <w:rPr>
          <w:noProof/>
          <w:sz w:val="20"/>
        </w:rPr>
      </w:pPr>
      <w:r>
        <w:rPr>
          <w:noProof/>
          <w:sz w:val="20"/>
        </w:rPr>
        <w:tab/>
        <w:t xml:space="preserve">2. </w:t>
      </w:r>
      <w:r>
        <w:rPr>
          <w:noProof/>
          <w:sz w:val="20"/>
        </w:rPr>
        <w:tab/>
        <w:t>Marmot MG, Allen J, Goldblatt P, Boyce T, McNeish D, Grady M et al. Fair society, healthy lives: Strategic review of health inequalities in England post-2010. 2010.</w:t>
      </w:r>
    </w:p>
    <w:p w:rsidR="00977DEB" w:rsidRDefault="00977DEB" w:rsidP="00EC141B">
      <w:pPr>
        <w:tabs>
          <w:tab w:val="right" w:pos="360"/>
          <w:tab w:val="left" w:pos="540"/>
        </w:tabs>
        <w:spacing w:after="240"/>
        <w:ind w:left="540" w:hanging="540"/>
        <w:rPr>
          <w:noProof/>
          <w:sz w:val="20"/>
        </w:rPr>
      </w:pPr>
      <w:r>
        <w:rPr>
          <w:noProof/>
          <w:sz w:val="20"/>
        </w:rPr>
        <w:tab/>
        <w:t xml:space="preserve">3. </w:t>
      </w:r>
      <w:r>
        <w:rPr>
          <w:noProof/>
          <w:sz w:val="20"/>
        </w:rPr>
        <w:tab/>
        <w:t xml:space="preserve">Arber S, Davidson K, Ginn J. Changing approaches to gender and later life. </w:t>
      </w:r>
      <w:r w:rsidRPr="00EC141B">
        <w:rPr>
          <w:i/>
          <w:noProof/>
          <w:sz w:val="20"/>
        </w:rPr>
        <w:t>Gender and ageing: Changing roles and relationships</w:t>
      </w:r>
      <w:r>
        <w:rPr>
          <w:noProof/>
          <w:sz w:val="20"/>
        </w:rPr>
        <w:t xml:space="preserve"> 2003;1-14.</w:t>
      </w:r>
    </w:p>
    <w:p w:rsidR="00977DEB" w:rsidRDefault="00977DEB" w:rsidP="00EC141B">
      <w:pPr>
        <w:tabs>
          <w:tab w:val="right" w:pos="360"/>
          <w:tab w:val="left" w:pos="540"/>
        </w:tabs>
        <w:spacing w:after="240"/>
        <w:ind w:left="540" w:hanging="540"/>
        <w:rPr>
          <w:noProof/>
          <w:sz w:val="20"/>
        </w:rPr>
      </w:pPr>
      <w:r>
        <w:rPr>
          <w:noProof/>
          <w:sz w:val="20"/>
        </w:rPr>
        <w:tab/>
        <w:t xml:space="preserve">4. </w:t>
      </w:r>
      <w:r>
        <w:rPr>
          <w:noProof/>
          <w:sz w:val="20"/>
        </w:rPr>
        <w:tab/>
        <w:t xml:space="preserve">Spencer N. Explaining the social gradient in smoking in pregnancy: early life course accumulation and cross-sectional clustering of social risk exposures in the 1958 British national cohort. </w:t>
      </w:r>
      <w:r w:rsidRPr="00EC141B">
        <w:rPr>
          <w:i/>
          <w:noProof/>
          <w:sz w:val="20"/>
        </w:rPr>
        <w:t>Social Science &amp; Medicine</w:t>
      </w:r>
      <w:r>
        <w:rPr>
          <w:noProof/>
          <w:sz w:val="20"/>
        </w:rPr>
        <w:t xml:space="preserve"> 2006; </w:t>
      </w:r>
      <w:r w:rsidRPr="00EC141B">
        <w:rPr>
          <w:b/>
          <w:noProof/>
          <w:sz w:val="20"/>
        </w:rPr>
        <w:t>62</w:t>
      </w:r>
      <w:r>
        <w:rPr>
          <w:noProof/>
          <w:sz w:val="20"/>
        </w:rPr>
        <w:t>(5):1250-1259.</w:t>
      </w:r>
    </w:p>
    <w:p w:rsidR="00977DEB" w:rsidRDefault="00977DEB" w:rsidP="00EC141B">
      <w:pPr>
        <w:tabs>
          <w:tab w:val="right" w:pos="360"/>
          <w:tab w:val="left" w:pos="540"/>
        </w:tabs>
        <w:spacing w:after="240"/>
        <w:ind w:left="540" w:hanging="540"/>
        <w:rPr>
          <w:noProof/>
          <w:sz w:val="20"/>
        </w:rPr>
      </w:pPr>
      <w:r>
        <w:rPr>
          <w:noProof/>
          <w:sz w:val="20"/>
        </w:rPr>
        <w:tab/>
        <w:t xml:space="preserve">5. </w:t>
      </w:r>
      <w:r>
        <w:rPr>
          <w:noProof/>
          <w:sz w:val="20"/>
        </w:rPr>
        <w:tab/>
        <w:t xml:space="preserve">Glaser K, Nicholls M, Stuchbury R, Price D, Gjonca E. Life course influences on poverty and social isolation in later life: a review.  2009. Manchester, Equality and Human Rights Commission. </w:t>
      </w:r>
    </w:p>
    <w:p w:rsidR="00977DEB" w:rsidRDefault="00977DEB" w:rsidP="00EC141B">
      <w:pPr>
        <w:tabs>
          <w:tab w:val="right" w:pos="360"/>
          <w:tab w:val="left" w:pos="540"/>
        </w:tabs>
        <w:spacing w:after="240"/>
        <w:ind w:left="540" w:hanging="540"/>
        <w:rPr>
          <w:noProof/>
          <w:sz w:val="20"/>
        </w:rPr>
      </w:pPr>
      <w:r>
        <w:rPr>
          <w:noProof/>
          <w:sz w:val="20"/>
        </w:rPr>
        <w:tab/>
        <w:t xml:space="preserve">6. </w:t>
      </w:r>
      <w:r>
        <w:rPr>
          <w:noProof/>
          <w:sz w:val="20"/>
        </w:rPr>
        <w:tab/>
        <w:t xml:space="preserve">Joshi H. The cash opportunity costs of childbearing: an approach to estimation using British data. </w:t>
      </w:r>
      <w:r w:rsidRPr="00EC141B">
        <w:rPr>
          <w:i/>
          <w:noProof/>
          <w:sz w:val="20"/>
        </w:rPr>
        <w:t>Population Studies</w:t>
      </w:r>
      <w:r>
        <w:rPr>
          <w:noProof/>
          <w:sz w:val="20"/>
        </w:rPr>
        <w:t xml:space="preserve"> 1990; </w:t>
      </w:r>
      <w:r w:rsidRPr="00EC141B">
        <w:rPr>
          <w:b/>
          <w:noProof/>
          <w:sz w:val="20"/>
        </w:rPr>
        <w:t>44</w:t>
      </w:r>
      <w:r>
        <w:rPr>
          <w:noProof/>
          <w:sz w:val="20"/>
        </w:rPr>
        <w:t>(1):41-60.</w:t>
      </w:r>
    </w:p>
    <w:p w:rsidR="00977DEB" w:rsidRDefault="00977DEB" w:rsidP="00EC141B">
      <w:pPr>
        <w:tabs>
          <w:tab w:val="right" w:pos="360"/>
          <w:tab w:val="left" w:pos="540"/>
        </w:tabs>
        <w:spacing w:after="240"/>
        <w:ind w:left="540" w:hanging="540"/>
        <w:rPr>
          <w:noProof/>
          <w:sz w:val="20"/>
        </w:rPr>
      </w:pPr>
      <w:r>
        <w:rPr>
          <w:noProof/>
          <w:sz w:val="20"/>
        </w:rPr>
        <w:tab/>
        <w:t xml:space="preserve">7. </w:t>
      </w:r>
      <w:r>
        <w:rPr>
          <w:noProof/>
          <w:sz w:val="20"/>
        </w:rPr>
        <w:tab/>
        <w:t xml:space="preserve">Sefton T, Evandrou M, Falkingham J, Vlachantoni A. The relationship between women's work histories and incomes in later life in the UK, US and West Germany. </w:t>
      </w:r>
      <w:r w:rsidRPr="00EC141B">
        <w:rPr>
          <w:i/>
          <w:noProof/>
          <w:sz w:val="20"/>
        </w:rPr>
        <w:t>Journal of European Social Policy</w:t>
      </w:r>
      <w:r>
        <w:rPr>
          <w:noProof/>
          <w:sz w:val="20"/>
        </w:rPr>
        <w:t xml:space="preserve"> 2011; </w:t>
      </w:r>
      <w:r w:rsidRPr="00EC141B">
        <w:rPr>
          <w:b/>
          <w:noProof/>
          <w:sz w:val="20"/>
        </w:rPr>
        <w:t>21</w:t>
      </w:r>
      <w:r>
        <w:rPr>
          <w:noProof/>
          <w:sz w:val="20"/>
        </w:rPr>
        <w:t>(1):20-36.</w:t>
      </w:r>
    </w:p>
    <w:p w:rsidR="00977DEB" w:rsidRDefault="00977DEB" w:rsidP="00EC141B">
      <w:pPr>
        <w:tabs>
          <w:tab w:val="right" w:pos="360"/>
          <w:tab w:val="left" w:pos="540"/>
        </w:tabs>
        <w:spacing w:after="240"/>
        <w:ind w:left="540" w:hanging="540"/>
        <w:rPr>
          <w:noProof/>
          <w:sz w:val="20"/>
        </w:rPr>
      </w:pPr>
      <w:r>
        <w:rPr>
          <w:noProof/>
          <w:sz w:val="20"/>
        </w:rPr>
        <w:tab/>
        <w:t xml:space="preserve">8. </w:t>
      </w:r>
      <w:r>
        <w:rPr>
          <w:noProof/>
          <w:sz w:val="20"/>
        </w:rPr>
        <w:tab/>
        <w:t>Hareven TK, Trepagnier B. Families, history, and social change: life course and cross-cultural perspectives. Westview Press Boulder, CO; 2000.</w:t>
      </w:r>
    </w:p>
    <w:p w:rsidR="00977DEB" w:rsidRDefault="00977DEB" w:rsidP="00EC141B">
      <w:pPr>
        <w:tabs>
          <w:tab w:val="right" w:pos="360"/>
          <w:tab w:val="left" w:pos="540"/>
        </w:tabs>
        <w:spacing w:after="240"/>
        <w:ind w:left="540" w:hanging="540"/>
        <w:rPr>
          <w:noProof/>
          <w:sz w:val="20"/>
        </w:rPr>
      </w:pPr>
      <w:r>
        <w:rPr>
          <w:noProof/>
          <w:sz w:val="20"/>
        </w:rPr>
        <w:tab/>
        <w:t xml:space="preserve">9. </w:t>
      </w:r>
      <w:r>
        <w:rPr>
          <w:noProof/>
          <w:sz w:val="20"/>
        </w:rPr>
        <w:tab/>
        <w:t xml:space="preserve">Kotler P, Wingard DL. The effect of occupational, marital and parental roles on mortality: the Alameda County Study. </w:t>
      </w:r>
      <w:r w:rsidRPr="00EC141B">
        <w:rPr>
          <w:i/>
          <w:noProof/>
          <w:sz w:val="20"/>
        </w:rPr>
        <w:t>American Journal of Public Health</w:t>
      </w:r>
      <w:r>
        <w:rPr>
          <w:noProof/>
          <w:sz w:val="20"/>
        </w:rPr>
        <w:t xml:space="preserve"> 1989; </w:t>
      </w:r>
      <w:r w:rsidRPr="00EC141B">
        <w:rPr>
          <w:b/>
          <w:noProof/>
          <w:sz w:val="20"/>
        </w:rPr>
        <w:t>79</w:t>
      </w:r>
      <w:r>
        <w:rPr>
          <w:noProof/>
          <w:sz w:val="20"/>
        </w:rPr>
        <w:t>(5):607-612.</w:t>
      </w:r>
    </w:p>
    <w:p w:rsidR="00977DEB" w:rsidRDefault="00977DEB" w:rsidP="00EC141B">
      <w:pPr>
        <w:tabs>
          <w:tab w:val="right" w:pos="360"/>
          <w:tab w:val="left" w:pos="540"/>
        </w:tabs>
        <w:spacing w:after="240"/>
        <w:ind w:left="540" w:hanging="540"/>
        <w:rPr>
          <w:noProof/>
          <w:sz w:val="20"/>
        </w:rPr>
      </w:pPr>
      <w:r>
        <w:rPr>
          <w:noProof/>
          <w:sz w:val="20"/>
        </w:rPr>
        <w:tab/>
        <w:t xml:space="preserve">10. </w:t>
      </w:r>
      <w:r>
        <w:rPr>
          <w:noProof/>
          <w:sz w:val="20"/>
        </w:rPr>
        <w:tab/>
        <w:t xml:space="preserve">Bartley M, Plewis I. Accumulated labour market disadvantage and limiting long-term illness: data from the 1971-1991 Office for National Statistics' Longitudinal Study. </w:t>
      </w:r>
      <w:r w:rsidRPr="00EC141B">
        <w:rPr>
          <w:i/>
          <w:noProof/>
          <w:sz w:val="20"/>
        </w:rPr>
        <w:t>Int J Epidemiol</w:t>
      </w:r>
      <w:r>
        <w:rPr>
          <w:noProof/>
          <w:sz w:val="20"/>
        </w:rPr>
        <w:t xml:space="preserve"> 2002; </w:t>
      </w:r>
      <w:r w:rsidRPr="00EC141B">
        <w:rPr>
          <w:b/>
          <w:noProof/>
          <w:sz w:val="20"/>
        </w:rPr>
        <w:t>31</w:t>
      </w:r>
      <w:r>
        <w:rPr>
          <w:noProof/>
          <w:sz w:val="20"/>
        </w:rPr>
        <w:t>(2):336-341.</w:t>
      </w:r>
    </w:p>
    <w:p w:rsidR="00977DEB" w:rsidRDefault="00977DEB" w:rsidP="00EC141B">
      <w:pPr>
        <w:tabs>
          <w:tab w:val="right" w:pos="360"/>
          <w:tab w:val="left" w:pos="540"/>
        </w:tabs>
        <w:spacing w:after="240"/>
        <w:ind w:left="540" w:hanging="540"/>
        <w:rPr>
          <w:noProof/>
          <w:sz w:val="20"/>
        </w:rPr>
      </w:pPr>
      <w:r>
        <w:rPr>
          <w:noProof/>
          <w:sz w:val="20"/>
        </w:rPr>
        <w:tab/>
        <w:t xml:space="preserve">11. </w:t>
      </w:r>
      <w:r>
        <w:rPr>
          <w:noProof/>
          <w:sz w:val="20"/>
        </w:rPr>
        <w:tab/>
        <w:t xml:space="preserve">Ben-Shlomo Y, Kuh D. A life course approach to chronic disease epidemiology: conceptual models, empirical challenges and interdisciplinary perspective. </w:t>
      </w:r>
      <w:r w:rsidRPr="00EC141B">
        <w:rPr>
          <w:i/>
          <w:noProof/>
          <w:sz w:val="20"/>
        </w:rPr>
        <w:t>Int J Epidemiol</w:t>
      </w:r>
      <w:r>
        <w:rPr>
          <w:noProof/>
          <w:sz w:val="20"/>
        </w:rPr>
        <w:t xml:space="preserve"> 2002; </w:t>
      </w:r>
      <w:r w:rsidRPr="00EC141B">
        <w:rPr>
          <w:b/>
          <w:noProof/>
          <w:sz w:val="20"/>
        </w:rPr>
        <w:t>31</w:t>
      </w:r>
      <w:r>
        <w:rPr>
          <w:noProof/>
          <w:sz w:val="20"/>
        </w:rPr>
        <w:t>:285-293.</w:t>
      </w:r>
    </w:p>
    <w:p w:rsidR="00977DEB" w:rsidRDefault="00977DEB" w:rsidP="00EC141B">
      <w:pPr>
        <w:tabs>
          <w:tab w:val="right" w:pos="360"/>
          <w:tab w:val="left" w:pos="540"/>
        </w:tabs>
        <w:spacing w:after="240"/>
        <w:ind w:left="540" w:hanging="540"/>
        <w:rPr>
          <w:noProof/>
          <w:sz w:val="20"/>
        </w:rPr>
      </w:pPr>
      <w:r>
        <w:rPr>
          <w:noProof/>
          <w:sz w:val="20"/>
        </w:rPr>
        <w:tab/>
        <w:t xml:space="preserve">12. </w:t>
      </w:r>
      <w:r>
        <w:rPr>
          <w:noProof/>
          <w:sz w:val="20"/>
        </w:rPr>
        <w:tab/>
        <w:t xml:space="preserve">Hertzman C, Power C, Matthews S, Manor O. Using an interactive framework of society and lifecourse to explain self-rated health in early adulthood. </w:t>
      </w:r>
      <w:r w:rsidRPr="00EC141B">
        <w:rPr>
          <w:i/>
          <w:noProof/>
          <w:sz w:val="20"/>
        </w:rPr>
        <w:t>Social Science &amp; Medicine</w:t>
      </w:r>
      <w:r>
        <w:rPr>
          <w:noProof/>
          <w:sz w:val="20"/>
        </w:rPr>
        <w:t xml:space="preserve"> 2001; </w:t>
      </w:r>
      <w:r w:rsidRPr="00EC141B">
        <w:rPr>
          <w:b/>
          <w:noProof/>
          <w:sz w:val="20"/>
        </w:rPr>
        <w:t>53</w:t>
      </w:r>
      <w:r>
        <w:rPr>
          <w:noProof/>
          <w:sz w:val="20"/>
        </w:rPr>
        <w:t>:1575-1585.</w:t>
      </w:r>
    </w:p>
    <w:p w:rsidR="00977DEB" w:rsidRDefault="00977DEB" w:rsidP="00EC141B">
      <w:pPr>
        <w:tabs>
          <w:tab w:val="right" w:pos="360"/>
          <w:tab w:val="left" w:pos="540"/>
        </w:tabs>
        <w:spacing w:after="240"/>
        <w:ind w:left="540" w:hanging="540"/>
        <w:rPr>
          <w:noProof/>
          <w:sz w:val="20"/>
        </w:rPr>
      </w:pPr>
      <w:r>
        <w:rPr>
          <w:noProof/>
          <w:sz w:val="20"/>
        </w:rPr>
        <w:tab/>
        <w:t xml:space="preserve">13. </w:t>
      </w:r>
      <w:r>
        <w:rPr>
          <w:noProof/>
          <w:sz w:val="20"/>
        </w:rPr>
        <w:tab/>
        <w:t>Bartley M. Health inequality: introduction to theories, concepts and methods. Cambridge: Polity; 2004.</w:t>
      </w:r>
    </w:p>
    <w:p w:rsidR="00977DEB" w:rsidRDefault="00977DEB" w:rsidP="00EC141B">
      <w:pPr>
        <w:tabs>
          <w:tab w:val="right" w:pos="360"/>
          <w:tab w:val="left" w:pos="540"/>
        </w:tabs>
        <w:spacing w:after="240"/>
        <w:ind w:left="540" w:hanging="540"/>
        <w:rPr>
          <w:noProof/>
          <w:sz w:val="20"/>
        </w:rPr>
      </w:pPr>
      <w:r>
        <w:rPr>
          <w:noProof/>
          <w:sz w:val="20"/>
        </w:rPr>
        <w:tab/>
        <w:t xml:space="preserve">14. </w:t>
      </w:r>
      <w:r>
        <w:rPr>
          <w:noProof/>
          <w:sz w:val="20"/>
        </w:rPr>
        <w:tab/>
        <w:t>Blane D. Health inequalities: from science to policy. In: Oliver A, editor. Personal histories in health research. London: Nuffield; 2005.</w:t>
      </w:r>
    </w:p>
    <w:p w:rsidR="00977DEB" w:rsidRDefault="00977DEB" w:rsidP="00EC141B">
      <w:pPr>
        <w:tabs>
          <w:tab w:val="right" w:pos="360"/>
          <w:tab w:val="left" w:pos="540"/>
        </w:tabs>
        <w:spacing w:after="240"/>
        <w:ind w:left="540" w:hanging="540"/>
        <w:rPr>
          <w:noProof/>
          <w:sz w:val="20"/>
        </w:rPr>
      </w:pPr>
      <w:r>
        <w:rPr>
          <w:noProof/>
          <w:sz w:val="20"/>
        </w:rPr>
        <w:tab/>
        <w:t xml:space="preserve">15. </w:t>
      </w:r>
      <w:r>
        <w:rPr>
          <w:noProof/>
          <w:sz w:val="20"/>
        </w:rPr>
        <w:tab/>
        <w:t xml:space="preserve">Ljung R, Hallqvist J. Accumulation of adverse socioeconomic position over the entire life course and the risk of myocardial infarction among men and women: results from the Stockholm Heart Epidemiology Program (SHEEP). </w:t>
      </w:r>
      <w:r w:rsidRPr="00EC141B">
        <w:rPr>
          <w:i/>
          <w:noProof/>
          <w:sz w:val="20"/>
        </w:rPr>
        <w:t>J Epidemiol Community Health</w:t>
      </w:r>
      <w:r>
        <w:rPr>
          <w:noProof/>
          <w:sz w:val="20"/>
        </w:rPr>
        <w:t xml:space="preserve"> 2006; </w:t>
      </w:r>
      <w:r w:rsidRPr="00EC141B">
        <w:rPr>
          <w:b/>
          <w:noProof/>
          <w:sz w:val="20"/>
        </w:rPr>
        <w:t>60</w:t>
      </w:r>
      <w:r>
        <w:rPr>
          <w:noProof/>
          <w:sz w:val="20"/>
        </w:rPr>
        <w:t>(12):1080-1084.</w:t>
      </w:r>
    </w:p>
    <w:p w:rsidR="00977DEB" w:rsidRDefault="00977DEB" w:rsidP="00EC141B">
      <w:pPr>
        <w:tabs>
          <w:tab w:val="right" w:pos="360"/>
          <w:tab w:val="left" w:pos="540"/>
        </w:tabs>
        <w:spacing w:after="240"/>
        <w:ind w:left="540" w:hanging="540"/>
        <w:rPr>
          <w:noProof/>
          <w:sz w:val="20"/>
        </w:rPr>
      </w:pPr>
      <w:r>
        <w:rPr>
          <w:noProof/>
          <w:sz w:val="20"/>
        </w:rPr>
        <w:tab/>
        <w:t xml:space="preserve">16. </w:t>
      </w:r>
      <w:r>
        <w:rPr>
          <w:noProof/>
          <w:sz w:val="20"/>
        </w:rPr>
        <w:tab/>
        <w:t xml:space="preserve">Singh-Manoux A, Ferrie JE, Chandola T, Marmot M. Socioeconomic trajectories across the life course and health outcomes in midlife: evidence for the accumulation hypothesis? </w:t>
      </w:r>
      <w:r w:rsidRPr="00EC141B">
        <w:rPr>
          <w:i/>
          <w:noProof/>
          <w:sz w:val="20"/>
        </w:rPr>
        <w:t>Int J Epidemiol</w:t>
      </w:r>
      <w:r>
        <w:rPr>
          <w:noProof/>
          <w:sz w:val="20"/>
        </w:rPr>
        <w:t xml:space="preserve"> 2004; </w:t>
      </w:r>
      <w:r w:rsidRPr="00EC141B">
        <w:rPr>
          <w:b/>
          <w:noProof/>
          <w:sz w:val="20"/>
        </w:rPr>
        <w:t>33</w:t>
      </w:r>
      <w:r>
        <w:rPr>
          <w:noProof/>
          <w:sz w:val="20"/>
        </w:rPr>
        <w:t>(5):1072-1079.</w:t>
      </w:r>
    </w:p>
    <w:p w:rsidR="00977DEB" w:rsidRDefault="00977DEB" w:rsidP="00EC141B">
      <w:pPr>
        <w:tabs>
          <w:tab w:val="right" w:pos="360"/>
          <w:tab w:val="left" w:pos="540"/>
        </w:tabs>
        <w:spacing w:after="240"/>
        <w:ind w:left="540" w:hanging="540"/>
        <w:rPr>
          <w:noProof/>
          <w:sz w:val="20"/>
        </w:rPr>
      </w:pPr>
      <w:r>
        <w:rPr>
          <w:noProof/>
          <w:sz w:val="20"/>
        </w:rPr>
        <w:tab/>
        <w:t xml:space="preserve">17. </w:t>
      </w:r>
      <w:r>
        <w:rPr>
          <w:noProof/>
          <w:sz w:val="20"/>
        </w:rPr>
        <w:tab/>
        <w:t xml:space="preserve">Pollitt RA, Rose KM, Kaufman JS. Evaluating the evidence for models of life course socioeconomic factors and cardiovascular outcomes: a systematic review. </w:t>
      </w:r>
      <w:r w:rsidRPr="00EC141B">
        <w:rPr>
          <w:i/>
          <w:noProof/>
          <w:sz w:val="20"/>
        </w:rPr>
        <w:t>Bmc Public Health</w:t>
      </w:r>
      <w:r>
        <w:rPr>
          <w:noProof/>
          <w:sz w:val="20"/>
        </w:rPr>
        <w:t xml:space="preserve"> 2005; </w:t>
      </w:r>
      <w:r w:rsidRPr="00EC141B">
        <w:rPr>
          <w:b/>
          <w:noProof/>
          <w:sz w:val="20"/>
        </w:rPr>
        <w:t>5</w:t>
      </w:r>
      <w:r>
        <w:rPr>
          <w:noProof/>
          <w:sz w:val="20"/>
        </w:rPr>
        <w:t>.</w:t>
      </w:r>
    </w:p>
    <w:p w:rsidR="00977DEB" w:rsidRDefault="00977DEB" w:rsidP="00EC141B">
      <w:pPr>
        <w:tabs>
          <w:tab w:val="right" w:pos="360"/>
          <w:tab w:val="left" w:pos="540"/>
        </w:tabs>
        <w:spacing w:after="240"/>
        <w:ind w:left="540" w:hanging="540"/>
        <w:rPr>
          <w:noProof/>
          <w:sz w:val="20"/>
        </w:rPr>
      </w:pPr>
      <w:r>
        <w:rPr>
          <w:noProof/>
          <w:sz w:val="20"/>
        </w:rPr>
        <w:tab/>
        <w:t xml:space="preserve">18. </w:t>
      </w:r>
      <w:r>
        <w:rPr>
          <w:noProof/>
          <w:sz w:val="20"/>
        </w:rPr>
        <w:tab/>
        <w:t xml:space="preserve">Schoon I, Sacker A, Bartley M. Socio-economic adversity and psychosocial adjustment: a developmental-contextual perspective. </w:t>
      </w:r>
      <w:r w:rsidRPr="00EC141B">
        <w:rPr>
          <w:i/>
          <w:noProof/>
          <w:sz w:val="20"/>
        </w:rPr>
        <w:t>Social Science &amp; Medicine</w:t>
      </w:r>
      <w:r>
        <w:rPr>
          <w:noProof/>
          <w:sz w:val="20"/>
        </w:rPr>
        <w:t xml:space="preserve"> 2003; </w:t>
      </w:r>
      <w:r w:rsidRPr="00EC141B">
        <w:rPr>
          <w:b/>
          <w:noProof/>
          <w:sz w:val="20"/>
        </w:rPr>
        <w:t>57</w:t>
      </w:r>
      <w:r>
        <w:rPr>
          <w:noProof/>
          <w:sz w:val="20"/>
        </w:rPr>
        <w:t>(6):1001-1015.</w:t>
      </w:r>
    </w:p>
    <w:p w:rsidR="00977DEB" w:rsidRDefault="00977DEB" w:rsidP="00EC141B">
      <w:pPr>
        <w:tabs>
          <w:tab w:val="right" w:pos="360"/>
          <w:tab w:val="left" w:pos="540"/>
        </w:tabs>
        <w:spacing w:after="240"/>
        <w:ind w:left="540" w:hanging="540"/>
        <w:rPr>
          <w:noProof/>
          <w:sz w:val="20"/>
        </w:rPr>
      </w:pPr>
      <w:r>
        <w:rPr>
          <w:noProof/>
          <w:sz w:val="20"/>
        </w:rPr>
        <w:tab/>
        <w:t xml:space="preserve">19. </w:t>
      </w:r>
      <w:r>
        <w:rPr>
          <w:noProof/>
          <w:sz w:val="20"/>
        </w:rPr>
        <w:tab/>
        <w:t>Elder GH. Family History and the Life Course. In: Hareven T, editor. Transitions: The Family and the Life Course in a Historical Perspective. New York: Academic Press; 1978.</w:t>
      </w:r>
    </w:p>
    <w:p w:rsidR="00977DEB" w:rsidRDefault="00977DEB" w:rsidP="00EC141B">
      <w:pPr>
        <w:tabs>
          <w:tab w:val="right" w:pos="360"/>
          <w:tab w:val="left" w:pos="540"/>
        </w:tabs>
        <w:spacing w:after="240"/>
        <w:ind w:left="540" w:hanging="540"/>
        <w:rPr>
          <w:noProof/>
          <w:sz w:val="20"/>
        </w:rPr>
      </w:pPr>
      <w:r>
        <w:rPr>
          <w:noProof/>
          <w:sz w:val="20"/>
        </w:rPr>
        <w:lastRenderedPageBreak/>
        <w:tab/>
        <w:t xml:space="preserve">20. </w:t>
      </w:r>
      <w:r>
        <w:rPr>
          <w:noProof/>
          <w:sz w:val="20"/>
        </w:rPr>
        <w:tab/>
        <w:t>Elder GH. Perspectives on the life course. In: Elder GH, Jr., editor. Life course dynamics: trajectories and transitions, 1968-1980. New York: Cornell University Press; 1985. 23-49.</w:t>
      </w:r>
    </w:p>
    <w:p w:rsidR="00977DEB" w:rsidRDefault="00977DEB" w:rsidP="00EC141B">
      <w:pPr>
        <w:tabs>
          <w:tab w:val="right" w:pos="360"/>
          <w:tab w:val="left" w:pos="540"/>
        </w:tabs>
        <w:spacing w:after="240"/>
        <w:ind w:left="540" w:hanging="540"/>
        <w:rPr>
          <w:noProof/>
          <w:sz w:val="20"/>
        </w:rPr>
      </w:pPr>
      <w:r>
        <w:rPr>
          <w:noProof/>
          <w:sz w:val="20"/>
        </w:rPr>
        <w:tab/>
        <w:t xml:space="preserve">21. </w:t>
      </w:r>
      <w:r>
        <w:rPr>
          <w:noProof/>
          <w:sz w:val="20"/>
        </w:rPr>
        <w:tab/>
        <w:t>Hareven TK, Trepagnier B. Families, history, and social change: life course and cross-cultural perspectives. Westview Press Boulder, CO; 2000.</w:t>
      </w:r>
    </w:p>
    <w:p w:rsidR="00977DEB" w:rsidRDefault="00977DEB" w:rsidP="00EC141B">
      <w:pPr>
        <w:tabs>
          <w:tab w:val="right" w:pos="360"/>
          <w:tab w:val="left" w:pos="540"/>
        </w:tabs>
        <w:spacing w:after="240"/>
        <w:ind w:left="540" w:hanging="540"/>
        <w:rPr>
          <w:noProof/>
          <w:sz w:val="20"/>
        </w:rPr>
      </w:pPr>
      <w:r>
        <w:rPr>
          <w:noProof/>
          <w:sz w:val="20"/>
        </w:rPr>
        <w:tab/>
        <w:t xml:space="preserve">22. </w:t>
      </w:r>
      <w:r>
        <w:rPr>
          <w:noProof/>
          <w:sz w:val="20"/>
        </w:rPr>
        <w:tab/>
        <w:t>Beck U. Risk society: towards a new modernity. London: Sage; 1992.</w:t>
      </w:r>
    </w:p>
    <w:p w:rsidR="00977DEB" w:rsidRDefault="00977DEB" w:rsidP="00EC141B">
      <w:pPr>
        <w:tabs>
          <w:tab w:val="right" w:pos="360"/>
          <w:tab w:val="left" w:pos="540"/>
        </w:tabs>
        <w:spacing w:after="240"/>
        <w:ind w:left="540" w:hanging="540"/>
        <w:rPr>
          <w:noProof/>
          <w:sz w:val="20"/>
        </w:rPr>
      </w:pPr>
      <w:r>
        <w:rPr>
          <w:noProof/>
          <w:sz w:val="20"/>
        </w:rPr>
        <w:tab/>
        <w:t xml:space="preserve">23. </w:t>
      </w:r>
      <w:r>
        <w:rPr>
          <w:noProof/>
          <w:sz w:val="20"/>
        </w:rPr>
        <w:tab/>
        <w:t>Wadsworth ME, Bynner J. A Companion to Life Course Studies: the social and historical context of the British birth cohort studies. Taylor &amp; Francis; 2011.</w:t>
      </w:r>
    </w:p>
    <w:p w:rsidR="00977DEB" w:rsidRDefault="00977DEB" w:rsidP="00EC141B">
      <w:pPr>
        <w:tabs>
          <w:tab w:val="right" w:pos="360"/>
          <w:tab w:val="left" w:pos="540"/>
        </w:tabs>
        <w:spacing w:after="240"/>
        <w:ind w:left="540" w:hanging="540"/>
        <w:rPr>
          <w:noProof/>
          <w:sz w:val="20"/>
        </w:rPr>
      </w:pPr>
      <w:r>
        <w:rPr>
          <w:noProof/>
          <w:sz w:val="20"/>
        </w:rPr>
        <w:tab/>
        <w:t xml:space="preserve">24. </w:t>
      </w:r>
      <w:r>
        <w:rPr>
          <w:noProof/>
          <w:sz w:val="20"/>
        </w:rPr>
        <w:tab/>
        <w:t xml:space="preserve">Arber S, Gilbert GN, Dale A. Paid employment and women's health: a benefit or a source of role strain? </w:t>
      </w:r>
      <w:r w:rsidRPr="00EC141B">
        <w:rPr>
          <w:i/>
          <w:noProof/>
          <w:sz w:val="20"/>
        </w:rPr>
        <w:t>Sociology of Health &amp; Illness</w:t>
      </w:r>
      <w:r>
        <w:rPr>
          <w:noProof/>
          <w:sz w:val="20"/>
        </w:rPr>
        <w:t xml:space="preserve"> 1985; </w:t>
      </w:r>
      <w:r w:rsidRPr="00EC141B">
        <w:rPr>
          <w:b/>
          <w:noProof/>
          <w:sz w:val="20"/>
        </w:rPr>
        <w:t>7</w:t>
      </w:r>
      <w:r>
        <w:rPr>
          <w:noProof/>
          <w:sz w:val="20"/>
        </w:rPr>
        <w:t>(3):375-400.</w:t>
      </w:r>
    </w:p>
    <w:p w:rsidR="00977DEB" w:rsidRDefault="00977DEB" w:rsidP="00EC141B">
      <w:pPr>
        <w:tabs>
          <w:tab w:val="right" w:pos="360"/>
          <w:tab w:val="left" w:pos="540"/>
        </w:tabs>
        <w:spacing w:after="240"/>
        <w:ind w:left="540" w:hanging="540"/>
        <w:rPr>
          <w:noProof/>
          <w:sz w:val="20"/>
        </w:rPr>
      </w:pPr>
      <w:r>
        <w:rPr>
          <w:noProof/>
          <w:sz w:val="20"/>
        </w:rPr>
        <w:tab/>
        <w:t xml:space="preserve">25. </w:t>
      </w:r>
      <w:r>
        <w:rPr>
          <w:noProof/>
          <w:sz w:val="20"/>
        </w:rPr>
        <w:tab/>
        <w:t xml:space="preserve">Martikainen P. Women's employment, marriage, motherhood and mortality: a test of the multiple role and role accumulation hypotheses. </w:t>
      </w:r>
      <w:r w:rsidRPr="00EC141B">
        <w:rPr>
          <w:i/>
          <w:noProof/>
          <w:sz w:val="20"/>
        </w:rPr>
        <w:t>Social Science &amp; Medicine</w:t>
      </w:r>
      <w:r>
        <w:rPr>
          <w:noProof/>
          <w:sz w:val="20"/>
        </w:rPr>
        <w:t xml:space="preserve"> 1995; </w:t>
      </w:r>
      <w:r w:rsidRPr="00EC141B">
        <w:rPr>
          <w:b/>
          <w:noProof/>
          <w:sz w:val="20"/>
        </w:rPr>
        <w:t>40</w:t>
      </w:r>
      <w:r>
        <w:rPr>
          <w:noProof/>
          <w:sz w:val="20"/>
        </w:rPr>
        <w:t>(2):199-212.</w:t>
      </w:r>
    </w:p>
    <w:p w:rsidR="00977DEB" w:rsidRDefault="00977DEB" w:rsidP="00EC141B">
      <w:pPr>
        <w:tabs>
          <w:tab w:val="right" w:pos="360"/>
          <w:tab w:val="left" w:pos="540"/>
        </w:tabs>
        <w:spacing w:after="240"/>
        <w:ind w:left="540" w:hanging="540"/>
        <w:rPr>
          <w:noProof/>
          <w:sz w:val="20"/>
        </w:rPr>
      </w:pPr>
      <w:r>
        <w:rPr>
          <w:noProof/>
          <w:sz w:val="20"/>
        </w:rPr>
        <w:tab/>
        <w:t xml:space="preserve">26. </w:t>
      </w:r>
      <w:r>
        <w:rPr>
          <w:noProof/>
          <w:sz w:val="20"/>
        </w:rPr>
        <w:tab/>
        <w:t xml:space="preserve">Goode WJ. A theory of role strain. </w:t>
      </w:r>
      <w:r w:rsidRPr="00EC141B">
        <w:rPr>
          <w:i/>
          <w:noProof/>
          <w:sz w:val="20"/>
        </w:rPr>
        <w:t>American sociological review</w:t>
      </w:r>
      <w:r>
        <w:rPr>
          <w:noProof/>
          <w:sz w:val="20"/>
        </w:rPr>
        <w:t xml:space="preserve"> 1960;483-496.</w:t>
      </w:r>
    </w:p>
    <w:p w:rsidR="00977DEB" w:rsidRDefault="00977DEB" w:rsidP="00EC141B">
      <w:pPr>
        <w:tabs>
          <w:tab w:val="right" w:pos="360"/>
          <w:tab w:val="left" w:pos="540"/>
        </w:tabs>
        <w:spacing w:after="240"/>
        <w:ind w:left="540" w:hanging="540"/>
        <w:rPr>
          <w:noProof/>
          <w:sz w:val="20"/>
        </w:rPr>
      </w:pPr>
      <w:r>
        <w:rPr>
          <w:noProof/>
          <w:sz w:val="20"/>
        </w:rPr>
        <w:tab/>
        <w:t xml:space="preserve">27. </w:t>
      </w:r>
      <w:r>
        <w:rPr>
          <w:noProof/>
          <w:sz w:val="20"/>
        </w:rPr>
        <w:tab/>
        <w:t xml:space="preserve">Lahelma E, Arber S, Kivela K, Roos E. Multiple roles and health among British and Finnish women: the influence of socioeconomic circumstances. </w:t>
      </w:r>
      <w:r w:rsidRPr="00EC141B">
        <w:rPr>
          <w:i/>
          <w:noProof/>
          <w:sz w:val="20"/>
        </w:rPr>
        <w:t>Social Science &amp; Medicine</w:t>
      </w:r>
      <w:r>
        <w:rPr>
          <w:noProof/>
          <w:sz w:val="20"/>
        </w:rPr>
        <w:t xml:space="preserve"> 2002; </w:t>
      </w:r>
      <w:r w:rsidRPr="00EC141B">
        <w:rPr>
          <w:b/>
          <w:noProof/>
          <w:sz w:val="20"/>
        </w:rPr>
        <w:t>54</w:t>
      </w:r>
      <w:r>
        <w:rPr>
          <w:noProof/>
          <w:sz w:val="20"/>
        </w:rPr>
        <w:t>(5):727-740.</w:t>
      </w:r>
    </w:p>
    <w:p w:rsidR="00977DEB" w:rsidRDefault="00977DEB" w:rsidP="00EC141B">
      <w:pPr>
        <w:tabs>
          <w:tab w:val="right" w:pos="360"/>
          <w:tab w:val="left" w:pos="540"/>
        </w:tabs>
        <w:spacing w:after="240"/>
        <w:ind w:left="540" w:hanging="540"/>
        <w:rPr>
          <w:noProof/>
          <w:sz w:val="20"/>
        </w:rPr>
      </w:pPr>
      <w:r>
        <w:rPr>
          <w:noProof/>
          <w:sz w:val="20"/>
        </w:rPr>
        <w:tab/>
        <w:t xml:space="preserve">28. </w:t>
      </w:r>
      <w:r>
        <w:rPr>
          <w:noProof/>
          <w:sz w:val="20"/>
        </w:rPr>
        <w:tab/>
        <w:t xml:space="preserve">Fokkema T. Combining a job and children: contrasting the health of married and divorced women in the Netherlands? </w:t>
      </w:r>
      <w:r w:rsidRPr="00EC141B">
        <w:rPr>
          <w:i/>
          <w:noProof/>
          <w:sz w:val="20"/>
        </w:rPr>
        <w:t>Social Science &amp; Medicine</w:t>
      </w:r>
      <w:r>
        <w:rPr>
          <w:noProof/>
          <w:sz w:val="20"/>
        </w:rPr>
        <w:t xml:space="preserve"> 2002; </w:t>
      </w:r>
      <w:r w:rsidRPr="00EC141B">
        <w:rPr>
          <w:b/>
          <w:noProof/>
          <w:sz w:val="20"/>
        </w:rPr>
        <w:t>54</w:t>
      </w:r>
      <w:r>
        <w:rPr>
          <w:noProof/>
          <w:sz w:val="20"/>
        </w:rPr>
        <w:t>(5):741-752.</w:t>
      </w:r>
    </w:p>
    <w:p w:rsidR="00977DEB" w:rsidRDefault="00977DEB" w:rsidP="00EC141B">
      <w:pPr>
        <w:tabs>
          <w:tab w:val="right" w:pos="360"/>
          <w:tab w:val="left" w:pos="540"/>
        </w:tabs>
        <w:spacing w:after="240"/>
        <w:ind w:left="540" w:hanging="540"/>
        <w:rPr>
          <w:noProof/>
          <w:sz w:val="20"/>
        </w:rPr>
      </w:pPr>
      <w:r>
        <w:rPr>
          <w:noProof/>
          <w:sz w:val="20"/>
        </w:rPr>
        <w:tab/>
        <w:t xml:space="preserve">29. </w:t>
      </w:r>
      <w:r>
        <w:rPr>
          <w:noProof/>
          <w:sz w:val="20"/>
        </w:rPr>
        <w:tab/>
        <w:t xml:space="preserve">Sieber SD. Toward a theory of role accumulation. </w:t>
      </w:r>
      <w:r w:rsidRPr="00EC141B">
        <w:rPr>
          <w:i/>
          <w:noProof/>
          <w:sz w:val="20"/>
        </w:rPr>
        <w:t>American sociological review</w:t>
      </w:r>
      <w:r>
        <w:rPr>
          <w:noProof/>
          <w:sz w:val="20"/>
        </w:rPr>
        <w:t xml:space="preserve"> 1974;567-578.</w:t>
      </w:r>
    </w:p>
    <w:p w:rsidR="00977DEB" w:rsidRDefault="00977DEB" w:rsidP="00EC141B">
      <w:pPr>
        <w:tabs>
          <w:tab w:val="right" w:pos="360"/>
          <w:tab w:val="left" w:pos="540"/>
        </w:tabs>
        <w:spacing w:after="240"/>
        <w:ind w:left="540" w:hanging="540"/>
        <w:rPr>
          <w:noProof/>
          <w:sz w:val="20"/>
        </w:rPr>
      </w:pPr>
      <w:r>
        <w:rPr>
          <w:noProof/>
          <w:sz w:val="20"/>
        </w:rPr>
        <w:tab/>
        <w:t xml:space="preserve">30. </w:t>
      </w:r>
      <w:r>
        <w:rPr>
          <w:noProof/>
          <w:sz w:val="20"/>
        </w:rPr>
        <w:tab/>
        <w:t xml:space="preserve">Read S, Grundy E. Mental health among older married couples: the role of gender and family life. </w:t>
      </w:r>
      <w:r w:rsidRPr="00EC141B">
        <w:rPr>
          <w:i/>
          <w:noProof/>
          <w:sz w:val="20"/>
        </w:rPr>
        <w:t>Social Psychiatry and Psychiatric Epidemiology</w:t>
      </w:r>
      <w:r>
        <w:rPr>
          <w:noProof/>
          <w:sz w:val="20"/>
        </w:rPr>
        <w:t xml:space="preserve"> 2011; </w:t>
      </w:r>
      <w:r w:rsidRPr="00EC141B">
        <w:rPr>
          <w:b/>
          <w:noProof/>
          <w:sz w:val="20"/>
        </w:rPr>
        <w:t>46</w:t>
      </w:r>
      <w:r>
        <w:rPr>
          <w:noProof/>
          <w:sz w:val="20"/>
        </w:rPr>
        <w:t>(4):331-341.</w:t>
      </w:r>
    </w:p>
    <w:p w:rsidR="00977DEB" w:rsidRDefault="00977DEB" w:rsidP="00EC141B">
      <w:pPr>
        <w:tabs>
          <w:tab w:val="right" w:pos="360"/>
          <w:tab w:val="left" w:pos="540"/>
        </w:tabs>
        <w:spacing w:after="240"/>
        <w:ind w:left="540" w:hanging="540"/>
        <w:rPr>
          <w:noProof/>
          <w:sz w:val="20"/>
        </w:rPr>
      </w:pPr>
      <w:r>
        <w:rPr>
          <w:noProof/>
          <w:sz w:val="20"/>
        </w:rPr>
        <w:tab/>
        <w:t xml:space="preserve">31. </w:t>
      </w:r>
      <w:r>
        <w:rPr>
          <w:noProof/>
          <w:sz w:val="20"/>
        </w:rPr>
        <w:tab/>
        <w:t>Read S, Grundy E, Wolf DA. Fertility history, health, and health changes in later life: A panel study of British women and men born 1923</w:t>
      </w:r>
      <w:r w:rsidRPr="00EC141B">
        <w:rPr>
          <w:rFonts w:ascii="Symbol" w:hAnsi="Symbol"/>
          <w:noProof/>
          <w:sz w:val="20"/>
        </w:rPr>
        <w:t></w:t>
      </w:r>
      <w:r>
        <w:rPr>
          <w:noProof/>
          <w:sz w:val="20"/>
        </w:rPr>
        <w:t xml:space="preserve">Çô49. </w:t>
      </w:r>
      <w:r w:rsidRPr="00EC141B">
        <w:rPr>
          <w:i/>
          <w:noProof/>
          <w:sz w:val="20"/>
        </w:rPr>
        <w:t>Population Studies</w:t>
      </w:r>
      <w:r>
        <w:rPr>
          <w:noProof/>
          <w:sz w:val="20"/>
        </w:rPr>
        <w:t xml:space="preserve"> 2011; </w:t>
      </w:r>
      <w:r w:rsidRPr="00EC141B">
        <w:rPr>
          <w:b/>
          <w:noProof/>
          <w:sz w:val="20"/>
        </w:rPr>
        <w:t>65</w:t>
      </w:r>
      <w:r>
        <w:rPr>
          <w:noProof/>
          <w:sz w:val="20"/>
        </w:rPr>
        <w:t>(2):201-215.</w:t>
      </w:r>
    </w:p>
    <w:p w:rsidR="00977DEB" w:rsidRDefault="00977DEB" w:rsidP="00EC141B">
      <w:pPr>
        <w:tabs>
          <w:tab w:val="right" w:pos="360"/>
          <w:tab w:val="left" w:pos="540"/>
        </w:tabs>
        <w:spacing w:after="240"/>
        <w:ind w:left="540" w:hanging="540"/>
        <w:rPr>
          <w:noProof/>
          <w:sz w:val="20"/>
        </w:rPr>
      </w:pPr>
      <w:r>
        <w:rPr>
          <w:noProof/>
          <w:sz w:val="20"/>
        </w:rPr>
        <w:tab/>
        <w:t xml:space="preserve">32. </w:t>
      </w:r>
      <w:r>
        <w:rPr>
          <w:noProof/>
          <w:sz w:val="20"/>
        </w:rPr>
        <w:tab/>
        <w:t>Finch N. Why are women more likely than men to extend paid work? The impact of work</w:t>
      </w:r>
      <w:r w:rsidRPr="00EC141B">
        <w:rPr>
          <w:rFonts w:ascii="Symbol" w:hAnsi="Symbol"/>
          <w:noProof/>
          <w:sz w:val="20"/>
        </w:rPr>
        <w:t></w:t>
      </w:r>
      <w:r>
        <w:rPr>
          <w:noProof/>
          <w:sz w:val="20"/>
        </w:rPr>
        <w:t xml:space="preserve">Çôfamily life history. </w:t>
      </w:r>
      <w:r w:rsidRPr="00EC141B">
        <w:rPr>
          <w:i/>
          <w:noProof/>
          <w:sz w:val="20"/>
        </w:rPr>
        <w:t>European Journal of Ageing</w:t>
      </w:r>
      <w:r>
        <w:rPr>
          <w:noProof/>
          <w:sz w:val="20"/>
        </w:rPr>
        <w:t xml:space="preserve"> 2014; </w:t>
      </w:r>
      <w:r w:rsidRPr="00EC141B">
        <w:rPr>
          <w:b/>
          <w:noProof/>
          <w:sz w:val="20"/>
        </w:rPr>
        <w:t>11</w:t>
      </w:r>
      <w:r>
        <w:rPr>
          <w:noProof/>
          <w:sz w:val="20"/>
        </w:rPr>
        <w:t>(1):31-39.</w:t>
      </w:r>
    </w:p>
    <w:p w:rsidR="00977DEB" w:rsidRDefault="00977DEB" w:rsidP="00EC141B">
      <w:pPr>
        <w:tabs>
          <w:tab w:val="right" w:pos="360"/>
          <w:tab w:val="left" w:pos="540"/>
        </w:tabs>
        <w:spacing w:after="240"/>
        <w:ind w:left="540" w:hanging="540"/>
        <w:rPr>
          <w:noProof/>
          <w:sz w:val="20"/>
        </w:rPr>
      </w:pPr>
      <w:r>
        <w:rPr>
          <w:noProof/>
          <w:sz w:val="20"/>
        </w:rPr>
        <w:tab/>
        <w:t xml:space="preserve">33. </w:t>
      </w:r>
      <w:r>
        <w:rPr>
          <w:noProof/>
          <w:sz w:val="20"/>
        </w:rPr>
        <w:tab/>
        <w:t xml:space="preserve">Moen P, Dempster-McClain D, Williams Jr RM. Successful aging: A life-course perspective on women's multiple roles and health. </w:t>
      </w:r>
      <w:r w:rsidRPr="00EC141B">
        <w:rPr>
          <w:i/>
          <w:noProof/>
          <w:sz w:val="20"/>
        </w:rPr>
        <w:t>American Journal of Sociology</w:t>
      </w:r>
      <w:r>
        <w:rPr>
          <w:noProof/>
          <w:sz w:val="20"/>
        </w:rPr>
        <w:t xml:space="preserve"> 1992;1612-1638.</w:t>
      </w:r>
    </w:p>
    <w:p w:rsidR="00977DEB" w:rsidRDefault="00977DEB" w:rsidP="00EC141B">
      <w:pPr>
        <w:tabs>
          <w:tab w:val="right" w:pos="360"/>
          <w:tab w:val="left" w:pos="540"/>
        </w:tabs>
        <w:spacing w:after="240"/>
        <w:ind w:left="540" w:hanging="540"/>
        <w:rPr>
          <w:noProof/>
          <w:sz w:val="20"/>
        </w:rPr>
      </w:pPr>
      <w:r>
        <w:rPr>
          <w:noProof/>
          <w:sz w:val="20"/>
        </w:rPr>
        <w:tab/>
        <w:t xml:space="preserve">34. </w:t>
      </w:r>
      <w:r>
        <w:rPr>
          <w:noProof/>
          <w:sz w:val="20"/>
        </w:rPr>
        <w:tab/>
        <w:t xml:space="preserve">Lyberaki A, Tinios P, Papadoudis G. Retrospective explanation of older women's lifetime work involvement: Individual paths around social norms. </w:t>
      </w:r>
      <w:r w:rsidRPr="00EC141B">
        <w:rPr>
          <w:i/>
          <w:noProof/>
          <w:sz w:val="20"/>
        </w:rPr>
        <w:t>Advances in Life Course Research</w:t>
      </w:r>
      <w:r>
        <w:rPr>
          <w:noProof/>
          <w:sz w:val="20"/>
        </w:rPr>
        <w:t xml:space="preserve"> 2013; </w:t>
      </w:r>
      <w:r w:rsidRPr="00EC141B">
        <w:rPr>
          <w:b/>
          <w:noProof/>
          <w:sz w:val="20"/>
        </w:rPr>
        <w:t>18</w:t>
      </w:r>
      <w:r>
        <w:rPr>
          <w:noProof/>
          <w:sz w:val="20"/>
        </w:rPr>
        <w:t>(1):26-45.</w:t>
      </w:r>
    </w:p>
    <w:p w:rsidR="00977DEB" w:rsidRDefault="00977DEB" w:rsidP="00EC141B">
      <w:pPr>
        <w:tabs>
          <w:tab w:val="right" w:pos="360"/>
          <w:tab w:val="left" w:pos="540"/>
        </w:tabs>
        <w:spacing w:after="240"/>
        <w:ind w:left="540" w:hanging="540"/>
        <w:rPr>
          <w:noProof/>
          <w:sz w:val="20"/>
        </w:rPr>
      </w:pPr>
      <w:r>
        <w:rPr>
          <w:noProof/>
          <w:sz w:val="20"/>
        </w:rPr>
        <w:tab/>
        <w:t xml:space="preserve">35. </w:t>
      </w:r>
      <w:r>
        <w:rPr>
          <w:noProof/>
          <w:sz w:val="20"/>
        </w:rPr>
        <w:tab/>
        <w:t xml:space="preserve">Leoni T, Eppel R. Women's Work and Family Profiles over the Lifecourse and their Subsequent Health Outcomes. Evidence for Europe.  2013.  WWW for Europe Working Paper. </w:t>
      </w:r>
    </w:p>
    <w:p w:rsidR="00977DEB" w:rsidRDefault="00977DEB" w:rsidP="00EC141B">
      <w:pPr>
        <w:tabs>
          <w:tab w:val="right" w:pos="360"/>
          <w:tab w:val="left" w:pos="540"/>
        </w:tabs>
        <w:spacing w:after="240"/>
        <w:ind w:left="540" w:hanging="540"/>
        <w:rPr>
          <w:noProof/>
          <w:sz w:val="20"/>
        </w:rPr>
      </w:pPr>
      <w:r>
        <w:rPr>
          <w:noProof/>
          <w:sz w:val="20"/>
        </w:rPr>
        <w:tab/>
        <w:t xml:space="preserve">36. </w:t>
      </w:r>
      <w:r>
        <w:rPr>
          <w:noProof/>
          <w:sz w:val="20"/>
        </w:rPr>
        <w:tab/>
        <w:t xml:space="preserve">Mossey JM, Shapiro E. Self-rated health: a predictor of mortality among the elderly. </w:t>
      </w:r>
      <w:r w:rsidRPr="00EC141B">
        <w:rPr>
          <w:i/>
          <w:noProof/>
          <w:sz w:val="20"/>
        </w:rPr>
        <w:t>American Journal of Public Health</w:t>
      </w:r>
      <w:r>
        <w:rPr>
          <w:noProof/>
          <w:sz w:val="20"/>
        </w:rPr>
        <w:t xml:space="preserve"> 1982; </w:t>
      </w:r>
      <w:r w:rsidRPr="00EC141B">
        <w:rPr>
          <w:b/>
          <w:noProof/>
          <w:sz w:val="20"/>
        </w:rPr>
        <w:t>72</w:t>
      </w:r>
      <w:r>
        <w:rPr>
          <w:noProof/>
          <w:sz w:val="20"/>
        </w:rPr>
        <w:t>(8):800-808.</w:t>
      </w:r>
    </w:p>
    <w:p w:rsidR="00977DEB" w:rsidRDefault="00977DEB" w:rsidP="00EC141B">
      <w:pPr>
        <w:tabs>
          <w:tab w:val="right" w:pos="360"/>
          <w:tab w:val="left" w:pos="540"/>
        </w:tabs>
        <w:spacing w:after="240"/>
        <w:ind w:left="540" w:hanging="540"/>
        <w:rPr>
          <w:noProof/>
          <w:sz w:val="20"/>
        </w:rPr>
      </w:pPr>
      <w:r>
        <w:rPr>
          <w:noProof/>
          <w:sz w:val="20"/>
        </w:rPr>
        <w:tab/>
        <w:t xml:space="preserve">37. </w:t>
      </w:r>
      <w:r>
        <w:rPr>
          <w:noProof/>
          <w:sz w:val="20"/>
        </w:rPr>
        <w:tab/>
        <w:t xml:space="preserve">Singh-Manoux A, Martikainen P, Ferrie J, Zins M, Marmot M, Goldberg M. What does self rated health measure? Results from the British Whitehall II and French Gazel cohort studies. </w:t>
      </w:r>
      <w:r w:rsidRPr="00EC141B">
        <w:rPr>
          <w:i/>
          <w:noProof/>
          <w:sz w:val="20"/>
        </w:rPr>
        <w:t>J Epidemiol Community Health</w:t>
      </w:r>
      <w:r>
        <w:rPr>
          <w:noProof/>
          <w:sz w:val="20"/>
        </w:rPr>
        <w:t xml:space="preserve"> 2006; </w:t>
      </w:r>
      <w:r w:rsidRPr="00EC141B">
        <w:rPr>
          <w:b/>
          <w:noProof/>
          <w:sz w:val="20"/>
        </w:rPr>
        <w:t>60</w:t>
      </w:r>
      <w:r>
        <w:rPr>
          <w:noProof/>
          <w:sz w:val="20"/>
        </w:rPr>
        <w:t>(4):364-372.</w:t>
      </w:r>
    </w:p>
    <w:p w:rsidR="00977DEB" w:rsidRDefault="00977DEB" w:rsidP="00EC141B">
      <w:pPr>
        <w:tabs>
          <w:tab w:val="right" w:pos="360"/>
          <w:tab w:val="left" w:pos="540"/>
        </w:tabs>
        <w:spacing w:after="240"/>
        <w:ind w:left="540" w:hanging="540"/>
        <w:rPr>
          <w:noProof/>
          <w:sz w:val="20"/>
        </w:rPr>
      </w:pPr>
      <w:r>
        <w:rPr>
          <w:noProof/>
          <w:sz w:val="20"/>
        </w:rPr>
        <w:tab/>
        <w:t xml:space="preserve">38. </w:t>
      </w:r>
      <w:r>
        <w:rPr>
          <w:noProof/>
          <w:sz w:val="20"/>
        </w:rPr>
        <w:tab/>
        <w:t xml:space="preserve">Berney LR, Blane DB. Collecting retrospective data: Accuracy of recall after 50 years judged against historical records. </w:t>
      </w:r>
      <w:r w:rsidRPr="00EC141B">
        <w:rPr>
          <w:i/>
          <w:noProof/>
          <w:sz w:val="20"/>
        </w:rPr>
        <w:t>Social Science &amp; Medicine</w:t>
      </w:r>
      <w:r>
        <w:rPr>
          <w:noProof/>
          <w:sz w:val="20"/>
        </w:rPr>
        <w:t xml:space="preserve"> 1997; </w:t>
      </w:r>
      <w:r w:rsidRPr="00EC141B">
        <w:rPr>
          <w:b/>
          <w:noProof/>
          <w:sz w:val="20"/>
        </w:rPr>
        <w:t>45</w:t>
      </w:r>
      <w:r>
        <w:rPr>
          <w:noProof/>
          <w:sz w:val="20"/>
        </w:rPr>
        <w:t>(10):1519-1525.</w:t>
      </w:r>
    </w:p>
    <w:p w:rsidR="00977DEB" w:rsidRDefault="00977DEB" w:rsidP="00EC141B">
      <w:pPr>
        <w:tabs>
          <w:tab w:val="right" w:pos="360"/>
          <w:tab w:val="left" w:pos="540"/>
        </w:tabs>
        <w:spacing w:after="240"/>
        <w:ind w:left="540" w:hanging="540"/>
        <w:rPr>
          <w:noProof/>
          <w:sz w:val="20"/>
        </w:rPr>
      </w:pPr>
      <w:r>
        <w:rPr>
          <w:noProof/>
          <w:sz w:val="20"/>
        </w:rPr>
        <w:tab/>
        <w:t xml:space="preserve">39. </w:t>
      </w:r>
      <w:r>
        <w:rPr>
          <w:noProof/>
          <w:sz w:val="20"/>
        </w:rPr>
        <w:tab/>
        <w:t xml:space="preserve">Ward K, Medina J, Mo M, Cox K. ELSA Wave Three: Life History Interview. A User Guide to the Data.  2009. London, NatCen. </w:t>
      </w:r>
    </w:p>
    <w:p w:rsidR="00977DEB" w:rsidRDefault="00977DEB" w:rsidP="00EC141B">
      <w:pPr>
        <w:tabs>
          <w:tab w:val="right" w:pos="360"/>
          <w:tab w:val="left" w:pos="540"/>
        </w:tabs>
        <w:spacing w:after="240"/>
        <w:ind w:left="540" w:hanging="540"/>
        <w:rPr>
          <w:noProof/>
          <w:sz w:val="20"/>
        </w:rPr>
      </w:pPr>
      <w:r>
        <w:rPr>
          <w:noProof/>
          <w:sz w:val="20"/>
        </w:rPr>
        <w:tab/>
        <w:t xml:space="preserve">40. </w:t>
      </w:r>
      <w:r>
        <w:rPr>
          <w:noProof/>
          <w:sz w:val="20"/>
        </w:rPr>
        <w:tab/>
        <w:t xml:space="preserve">Abbott, A., Tsay A. Sequence analysis and optimal matching methods in sociology - Review and prospect. </w:t>
      </w:r>
      <w:r w:rsidRPr="00EC141B">
        <w:rPr>
          <w:i/>
          <w:noProof/>
          <w:sz w:val="20"/>
        </w:rPr>
        <w:t>Sociological Methods &amp; Research</w:t>
      </w:r>
      <w:r>
        <w:rPr>
          <w:noProof/>
          <w:sz w:val="20"/>
        </w:rPr>
        <w:t xml:space="preserve"> 2000; </w:t>
      </w:r>
      <w:r w:rsidRPr="00EC141B">
        <w:rPr>
          <w:b/>
          <w:noProof/>
          <w:sz w:val="20"/>
        </w:rPr>
        <w:t>29</w:t>
      </w:r>
      <w:r>
        <w:rPr>
          <w:noProof/>
          <w:sz w:val="20"/>
        </w:rPr>
        <w:t>(1):3-33.</w:t>
      </w:r>
    </w:p>
    <w:p w:rsidR="00977DEB" w:rsidRDefault="00977DEB" w:rsidP="00EC141B">
      <w:pPr>
        <w:tabs>
          <w:tab w:val="right" w:pos="360"/>
          <w:tab w:val="left" w:pos="540"/>
        </w:tabs>
        <w:spacing w:after="240"/>
        <w:ind w:left="540" w:hanging="540"/>
        <w:rPr>
          <w:noProof/>
          <w:sz w:val="20"/>
        </w:rPr>
      </w:pPr>
      <w:r>
        <w:rPr>
          <w:noProof/>
          <w:sz w:val="20"/>
        </w:rPr>
        <w:lastRenderedPageBreak/>
        <w:tab/>
        <w:t xml:space="preserve">41. </w:t>
      </w:r>
      <w:r>
        <w:rPr>
          <w:noProof/>
          <w:sz w:val="20"/>
        </w:rPr>
        <w:tab/>
        <w:t xml:space="preserve">Abbott, A., Hrycak A. Measuring resemblance in sequence data: an optimal matching analysis of musicians' careers. </w:t>
      </w:r>
      <w:r w:rsidRPr="00EC141B">
        <w:rPr>
          <w:i/>
          <w:noProof/>
          <w:sz w:val="20"/>
        </w:rPr>
        <w:t>The American journal of sociology</w:t>
      </w:r>
      <w:r>
        <w:rPr>
          <w:noProof/>
          <w:sz w:val="20"/>
        </w:rPr>
        <w:t xml:space="preserve"> 1990; </w:t>
      </w:r>
      <w:r w:rsidRPr="00EC141B">
        <w:rPr>
          <w:b/>
          <w:noProof/>
          <w:sz w:val="20"/>
        </w:rPr>
        <w:t>96</w:t>
      </w:r>
      <w:r>
        <w:rPr>
          <w:noProof/>
          <w:sz w:val="20"/>
        </w:rPr>
        <w:t>(1):144-185.</w:t>
      </w:r>
    </w:p>
    <w:p w:rsidR="00977DEB" w:rsidRDefault="00977DEB" w:rsidP="00EC141B">
      <w:pPr>
        <w:tabs>
          <w:tab w:val="right" w:pos="360"/>
          <w:tab w:val="left" w:pos="540"/>
        </w:tabs>
        <w:spacing w:after="240"/>
        <w:ind w:left="540" w:hanging="540"/>
        <w:rPr>
          <w:noProof/>
          <w:sz w:val="20"/>
        </w:rPr>
      </w:pPr>
      <w:r>
        <w:rPr>
          <w:noProof/>
          <w:sz w:val="20"/>
        </w:rPr>
        <w:tab/>
        <w:t xml:space="preserve">42. </w:t>
      </w:r>
      <w:r>
        <w:rPr>
          <w:noProof/>
          <w:sz w:val="20"/>
        </w:rPr>
        <w:tab/>
        <w:t>Erikson R, Goldthorpe JH. The constant flux : a study of class mobility in industrial societies. Oxford: Clarendon Press, 1992.</w:t>
      </w:r>
    </w:p>
    <w:p w:rsidR="00977DEB" w:rsidRDefault="00977DEB" w:rsidP="00EC141B">
      <w:pPr>
        <w:tabs>
          <w:tab w:val="right" w:pos="360"/>
          <w:tab w:val="left" w:pos="540"/>
        </w:tabs>
        <w:spacing w:after="240"/>
        <w:ind w:left="540" w:hanging="540"/>
        <w:rPr>
          <w:noProof/>
          <w:sz w:val="20"/>
        </w:rPr>
      </w:pPr>
      <w:r>
        <w:rPr>
          <w:noProof/>
          <w:sz w:val="20"/>
        </w:rPr>
        <w:tab/>
        <w:t xml:space="preserve">43. </w:t>
      </w:r>
      <w:r>
        <w:rPr>
          <w:noProof/>
          <w:sz w:val="20"/>
        </w:rPr>
        <w:tab/>
        <w:t xml:space="preserve">Joshi H. Production, reproduction, and education: Women, children, and work in a British perspective. </w:t>
      </w:r>
      <w:r w:rsidRPr="00EC141B">
        <w:rPr>
          <w:i/>
          <w:noProof/>
          <w:sz w:val="20"/>
        </w:rPr>
        <w:t>Population and Development Review</w:t>
      </w:r>
      <w:r>
        <w:rPr>
          <w:noProof/>
          <w:sz w:val="20"/>
        </w:rPr>
        <w:t xml:space="preserve"> 2002; </w:t>
      </w:r>
      <w:r w:rsidRPr="00EC141B">
        <w:rPr>
          <w:b/>
          <w:noProof/>
          <w:sz w:val="20"/>
        </w:rPr>
        <w:t>28</w:t>
      </w:r>
      <w:r>
        <w:rPr>
          <w:noProof/>
          <w:sz w:val="20"/>
        </w:rPr>
        <w:t>(3):445-474.</w:t>
      </w:r>
    </w:p>
    <w:p w:rsidR="00977DEB" w:rsidRDefault="00977DEB" w:rsidP="00EC141B">
      <w:pPr>
        <w:tabs>
          <w:tab w:val="right" w:pos="360"/>
          <w:tab w:val="left" w:pos="540"/>
        </w:tabs>
        <w:spacing w:after="240"/>
        <w:ind w:left="540" w:hanging="540"/>
        <w:rPr>
          <w:noProof/>
          <w:sz w:val="20"/>
        </w:rPr>
      </w:pPr>
      <w:r>
        <w:rPr>
          <w:noProof/>
          <w:sz w:val="20"/>
        </w:rPr>
        <w:tab/>
        <w:t xml:space="preserve">44. </w:t>
      </w:r>
      <w:r>
        <w:rPr>
          <w:noProof/>
          <w:sz w:val="20"/>
        </w:rPr>
        <w:tab/>
        <w:t xml:space="preserve">Ni Bhrolchain M. The interpretation and role of work-associated accelerated childbearing in post-war Britain. </w:t>
      </w:r>
      <w:r w:rsidRPr="00EC141B">
        <w:rPr>
          <w:i/>
          <w:noProof/>
          <w:sz w:val="20"/>
        </w:rPr>
        <w:t>European Journal of Population</w:t>
      </w:r>
      <w:r>
        <w:rPr>
          <w:noProof/>
          <w:sz w:val="20"/>
        </w:rPr>
        <w:t xml:space="preserve"> 1986; </w:t>
      </w:r>
      <w:r w:rsidRPr="00EC141B">
        <w:rPr>
          <w:b/>
          <w:noProof/>
          <w:sz w:val="20"/>
        </w:rPr>
        <w:t>2</w:t>
      </w:r>
      <w:r>
        <w:rPr>
          <w:noProof/>
          <w:sz w:val="20"/>
        </w:rPr>
        <w:t>(2):135-154.</w:t>
      </w:r>
    </w:p>
    <w:p w:rsidR="00977DEB" w:rsidRDefault="00977DEB" w:rsidP="00EC141B">
      <w:pPr>
        <w:tabs>
          <w:tab w:val="right" w:pos="360"/>
          <w:tab w:val="left" w:pos="540"/>
        </w:tabs>
        <w:spacing w:after="240"/>
        <w:ind w:left="540" w:hanging="540"/>
        <w:rPr>
          <w:noProof/>
          <w:sz w:val="20"/>
        </w:rPr>
      </w:pPr>
      <w:r>
        <w:rPr>
          <w:noProof/>
          <w:sz w:val="20"/>
        </w:rPr>
        <w:tab/>
        <w:t xml:space="preserve">45. </w:t>
      </w:r>
      <w:r>
        <w:rPr>
          <w:noProof/>
          <w:sz w:val="20"/>
        </w:rPr>
        <w:tab/>
        <w:t xml:space="preserve">McMunn A, Bartley M, Hardy R, Kuh D. Life course social roles and women's health in mid-life: causation or selection? </w:t>
      </w:r>
      <w:r w:rsidRPr="00EC141B">
        <w:rPr>
          <w:i/>
          <w:noProof/>
          <w:sz w:val="20"/>
        </w:rPr>
        <w:t>J Epidemiol Community Health</w:t>
      </w:r>
      <w:r>
        <w:rPr>
          <w:noProof/>
          <w:sz w:val="20"/>
        </w:rPr>
        <w:t xml:space="preserve"> 2006; </w:t>
      </w:r>
      <w:r w:rsidRPr="00EC141B">
        <w:rPr>
          <w:b/>
          <w:noProof/>
          <w:sz w:val="20"/>
        </w:rPr>
        <w:t>60</w:t>
      </w:r>
      <w:r>
        <w:rPr>
          <w:noProof/>
          <w:sz w:val="20"/>
        </w:rPr>
        <w:t>(6):484-489.</w:t>
      </w:r>
    </w:p>
    <w:p w:rsidR="00977DEB" w:rsidRDefault="00977DEB" w:rsidP="00EC141B">
      <w:pPr>
        <w:tabs>
          <w:tab w:val="right" w:pos="360"/>
          <w:tab w:val="left" w:pos="540"/>
        </w:tabs>
        <w:ind w:left="540" w:hanging="540"/>
        <w:rPr>
          <w:noProof/>
          <w:sz w:val="20"/>
        </w:rPr>
      </w:pPr>
      <w:r>
        <w:rPr>
          <w:noProof/>
          <w:sz w:val="20"/>
        </w:rPr>
        <w:tab/>
        <w:t xml:space="preserve">46. </w:t>
      </w:r>
      <w:r>
        <w:rPr>
          <w:noProof/>
          <w:sz w:val="20"/>
        </w:rPr>
        <w:tab/>
        <w:t xml:space="preserve">Evandrou M, Glaser K. Family, work and quality of life: changing economic and social roles through the lifecourse. </w:t>
      </w:r>
      <w:r w:rsidRPr="00EC141B">
        <w:rPr>
          <w:i/>
          <w:noProof/>
          <w:sz w:val="20"/>
        </w:rPr>
        <w:t>Ageing &amp; Society</w:t>
      </w:r>
      <w:r>
        <w:rPr>
          <w:noProof/>
          <w:sz w:val="20"/>
        </w:rPr>
        <w:t xml:space="preserve"> 2004; </w:t>
      </w:r>
      <w:r w:rsidRPr="00EC141B">
        <w:rPr>
          <w:b/>
          <w:noProof/>
          <w:sz w:val="20"/>
        </w:rPr>
        <w:t>24</w:t>
      </w:r>
      <w:r>
        <w:rPr>
          <w:noProof/>
          <w:sz w:val="20"/>
        </w:rPr>
        <w:t>(05):771-791.</w:t>
      </w:r>
    </w:p>
    <w:p w:rsidR="00977DEB" w:rsidRDefault="00977DEB" w:rsidP="00EC141B">
      <w:pPr>
        <w:tabs>
          <w:tab w:val="right" w:pos="360"/>
          <w:tab w:val="left" w:pos="540"/>
        </w:tabs>
        <w:ind w:left="540" w:hanging="540"/>
        <w:rPr>
          <w:noProof/>
          <w:sz w:val="20"/>
        </w:rPr>
      </w:pPr>
    </w:p>
    <w:p w:rsidR="00977DEB" w:rsidRDefault="00977DEB" w:rsidP="003421FD">
      <w:pPr>
        <w:tabs>
          <w:tab w:val="left" w:pos="0"/>
        </w:tabs>
        <w:spacing w:line="360" w:lineRule="auto"/>
      </w:pPr>
    </w:p>
    <w:p w:rsidR="00977DEB" w:rsidRDefault="00977DEB">
      <w:pPr>
        <w:rPr>
          <w:rFonts w:asciiTheme="majorHAnsi" w:hAnsiTheme="majorHAnsi"/>
          <w:b/>
          <w:bCs/>
        </w:rPr>
      </w:pPr>
      <w:r>
        <w:rPr>
          <w:rFonts w:asciiTheme="majorHAnsi" w:hAnsiTheme="majorHAnsi"/>
          <w:b/>
          <w:bCs/>
        </w:rPr>
        <w:br w:type="page"/>
      </w:r>
    </w:p>
    <w:p w:rsidR="00977DEB" w:rsidRDefault="00977DEB" w:rsidP="00A65ECA">
      <w:pPr>
        <w:spacing w:line="360" w:lineRule="auto"/>
      </w:pPr>
      <w:r>
        <w:rPr>
          <w:rFonts w:asciiTheme="majorHAnsi" w:hAnsiTheme="majorHAnsi"/>
          <w:b/>
          <w:bCs/>
        </w:rPr>
        <w:lastRenderedPageBreak/>
        <w:t>Figure 1: Trajectories of economic activity over the life course from age 16-64 among women aged 64+ at interview, according to OMA cluster.</w:t>
      </w:r>
      <w:r>
        <w:t xml:space="preserve"> </w:t>
      </w:r>
      <w:bookmarkStart w:id="0" w:name="_GoBack"/>
      <w:bookmarkEnd w:id="0"/>
    </w:p>
    <w:p w:rsidR="00B14DC4" w:rsidRDefault="00B14DC4" w:rsidP="00A65ECA">
      <w:pPr>
        <w:spacing w:line="360" w:lineRule="auto"/>
      </w:pPr>
    </w:p>
    <w:p w:rsidR="00B14DC4" w:rsidRDefault="00B14DC4" w:rsidP="00A65ECA">
      <w:pPr>
        <w:spacing w:line="360" w:lineRule="auto"/>
      </w:pPr>
      <w:r>
        <w:rPr>
          <w:noProof/>
        </w:rPr>
        <w:drawing>
          <wp:inline distT="0" distB="0" distL="0" distR="0">
            <wp:extent cx="6245352" cy="7827264"/>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45352" cy="7827264"/>
                    </a:xfrm>
                    <a:prstGeom prst="rect">
                      <a:avLst/>
                    </a:prstGeom>
                  </pic:spPr>
                </pic:pic>
              </a:graphicData>
            </a:graphic>
          </wp:inline>
        </w:drawing>
      </w:r>
    </w:p>
    <w:p w:rsidR="00646298" w:rsidRDefault="00B14DC4"/>
    <w:sectPr w:rsidR="00646298" w:rsidSect="00977DEB">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14DC4">
      <w:r>
        <w:separator/>
      </w:r>
    </w:p>
  </w:endnote>
  <w:endnote w:type="continuationSeparator" w:id="0">
    <w:p w:rsidR="00000000" w:rsidRDefault="00B1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64620"/>
      <w:docPartObj>
        <w:docPartGallery w:val="Page Numbers (Bottom of Page)"/>
        <w:docPartUnique/>
      </w:docPartObj>
    </w:sdtPr>
    <w:sdtEndPr>
      <w:rPr>
        <w:noProof/>
      </w:rPr>
    </w:sdtEndPr>
    <w:sdtContent>
      <w:p w:rsidR="00D83CC7" w:rsidRDefault="00977DEB">
        <w:pPr>
          <w:pStyle w:val="Footer"/>
          <w:jc w:val="right"/>
        </w:pPr>
        <w:r>
          <w:fldChar w:fldCharType="begin"/>
        </w:r>
        <w:r>
          <w:instrText xml:space="preserve"> PAGE   \* MERGEFORMAT </w:instrText>
        </w:r>
        <w:r>
          <w:fldChar w:fldCharType="separate"/>
        </w:r>
        <w:r w:rsidR="00B14DC4">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14DC4">
      <w:r>
        <w:separator/>
      </w:r>
    </w:p>
  </w:footnote>
  <w:footnote w:type="continuationSeparator" w:id="0">
    <w:p w:rsidR="00000000" w:rsidRDefault="00B14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C7" w:rsidRPr="008C7AB8" w:rsidRDefault="00977DEB" w:rsidP="0059500F">
    <w:pPr>
      <w:pStyle w:val="Header"/>
      <w:jc w:val="center"/>
      <w:rPr>
        <w:sz w:val="20"/>
        <w:szCs w:val="20"/>
      </w:rPr>
    </w:pPr>
    <w:r w:rsidRPr="008C7AB8">
      <w:rPr>
        <w:sz w:val="20"/>
        <w:szCs w:val="20"/>
      </w:rPr>
      <w:t xml:space="preserve"> </w:t>
    </w:r>
  </w:p>
  <w:p w:rsidR="00D83CC7" w:rsidRPr="008C7AB8" w:rsidRDefault="00B14DC4" w:rsidP="008C7AB8">
    <w:pPr>
      <w:pStyle w:val="Header"/>
      <w:jc w:val="cent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080"/>
    <w:multiLevelType w:val="hybridMultilevel"/>
    <w:tmpl w:val="79841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B01405"/>
    <w:multiLevelType w:val="hybridMultilevel"/>
    <w:tmpl w:val="57A24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81451C"/>
    <w:multiLevelType w:val="multilevel"/>
    <w:tmpl w:val="6FCA23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3334011"/>
    <w:multiLevelType w:val="hybridMultilevel"/>
    <w:tmpl w:val="25B2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C17A15"/>
    <w:multiLevelType w:val="hybridMultilevel"/>
    <w:tmpl w:val="9BDE19EA"/>
    <w:lvl w:ilvl="0" w:tplc="A3FA21EC">
      <w:start w:val="1"/>
      <w:numFmt w:val="decimal"/>
      <w:lvlText w:val="%1."/>
      <w:lvlJc w:val="left"/>
      <w:pPr>
        <w:tabs>
          <w:tab w:val="num" w:pos="720"/>
        </w:tabs>
        <w:ind w:left="720" w:hanging="360"/>
      </w:pPr>
    </w:lvl>
    <w:lvl w:ilvl="1" w:tplc="C3A29E76" w:tentative="1">
      <w:start w:val="1"/>
      <w:numFmt w:val="decimal"/>
      <w:lvlText w:val="%2."/>
      <w:lvlJc w:val="left"/>
      <w:pPr>
        <w:tabs>
          <w:tab w:val="num" w:pos="1440"/>
        </w:tabs>
        <w:ind w:left="1440" w:hanging="360"/>
      </w:pPr>
    </w:lvl>
    <w:lvl w:ilvl="2" w:tplc="A26E051E" w:tentative="1">
      <w:start w:val="1"/>
      <w:numFmt w:val="decimal"/>
      <w:lvlText w:val="%3."/>
      <w:lvlJc w:val="left"/>
      <w:pPr>
        <w:tabs>
          <w:tab w:val="num" w:pos="2160"/>
        </w:tabs>
        <w:ind w:left="2160" w:hanging="360"/>
      </w:pPr>
    </w:lvl>
    <w:lvl w:ilvl="3" w:tplc="BF4EBE86" w:tentative="1">
      <w:start w:val="1"/>
      <w:numFmt w:val="decimal"/>
      <w:lvlText w:val="%4."/>
      <w:lvlJc w:val="left"/>
      <w:pPr>
        <w:tabs>
          <w:tab w:val="num" w:pos="2880"/>
        </w:tabs>
        <w:ind w:left="2880" w:hanging="360"/>
      </w:pPr>
    </w:lvl>
    <w:lvl w:ilvl="4" w:tplc="97FE6344" w:tentative="1">
      <w:start w:val="1"/>
      <w:numFmt w:val="decimal"/>
      <w:lvlText w:val="%5."/>
      <w:lvlJc w:val="left"/>
      <w:pPr>
        <w:tabs>
          <w:tab w:val="num" w:pos="3600"/>
        </w:tabs>
        <w:ind w:left="3600" w:hanging="360"/>
      </w:pPr>
    </w:lvl>
    <w:lvl w:ilvl="5" w:tplc="B8926DD4" w:tentative="1">
      <w:start w:val="1"/>
      <w:numFmt w:val="decimal"/>
      <w:lvlText w:val="%6."/>
      <w:lvlJc w:val="left"/>
      <w:pPr>
        <w:tabs>
          <w:tab w:val="num" w:pos="4320"/>
        </w:tabs>
        <w:ind w:left="4320" w:hanging="360"/>
      </w:pPr>
    </w:lvl>
    <w:lvl w:ilvl="6" w:tplc="FF76EE3A" w:tentative="1">
      <w:start w:val="1"/>
      <w:numFmt w:val="decimal"/>
      <w:lvlText w:val="%7."/>
      <w:lvlJc w:val="left"/>
      <w:pPr>
        <w:tabs>
          <w:tab w:val="num" w:pos="5040"/>
        </w:tabs>
        <w:ind w:left="5040" w:hanging="360"/>
      </w:pPr>
    </w:lvl>
    <w:lvl w:ilvl="7" w:tplc="B462813C" w:tentative="1">
      <w:start w:val="1"/>
      <w:numFmt w:val="decimal"/>
      <w:lvlText w:val="%8."/>
      <w:lvlJc w:val="left"/>
      <w:pPr>
        <w:tabs>
          <w:tab w:val="num" w:pos="5760"/>
        </w:tabs>
        <w:ind w:left="5760" w:hanging="360"/>
      </w:pPr>
    </w:lvl>
    <w:lvl w:ilvl="8" w:tplc="3D425582" w:tentative="1">
      <w:start w:val="1"/>
      <w:numFmt w:val="decimal"/>
      <w:lvlText w:val="%9."/>
      <w:lvlJc w:val="left"/>
      <w:pPr>
        <w:tabs>
          <w:tab w:val="num" w:pos="6480"/>
        </w:tabs>
        <w:ind w:left="6480" w:hanging="360"/>
      </w:pPr>
    </w:lvl>
  </w:abstractNum>
  <w:abstractNum w:abstractNumId="5">
    <w:nsid w:val="4AFF53E0"/>
    <w:multiLevelType w:val="multilevel"/>
    <w:tmpl w:val="F872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641975"/>
    <w:multiLevelType w:val="hybridMultilevel"/>
    <w:tmpl w:val="A9B0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865DFF"/>
    <w:multiLevelType w:val="hybridMultilevel"/>
    <w:tmpl w:val="7E8424E4"/>
    <w:lvl w:ilvl="0" w:tplc="0504A7B6">
      <w:start w:val="1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B82DA7"/>
    <w:multiLevelType w:val="hybridMultilevel"/>
    <w:tmpl w:val="88803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7B81D05"/>
    <w:multiLevelType w:val="multilevel"/>
    <w:tmpl w:val="1B9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E46D58"/>
    <w:multiLevelType w:val="hybridMultilevel"/>
    <w:tmpl w:val="253A7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874AD8"/>
    <w:multiLevelType w:val="hybridMultilevel"/>
    <w:tmpl w:val="79841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CB045C8"/>
    <w:multiLevelType w:val="hybridMultilevel"/>
    <w:tmpl w:val="837C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CE12968"/>
    <w:multiLevelType w:val="multilevel"/>
    <w:tmpl w:val="8A72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B612F1"/>
    <w:multiLevelType w:val="multilevel"/>
    <w:tmpl w:val="C93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7"/>
  </w:num>
  <w:num w:numId="4">
    <w:abstractNumId w:val="12"/>
  </w:num>
  <w:num w:numId="5">
    <w:abstractNumId w:val="11"/>
  </w:num>
  <w:num w:numId="6">
    <w:abstractNumId w:val="3"/>
  </w:num>
  <w:num w:numId="7">
    <w:abstractNumId w:val="8"/>
  </w:num>
  <w:num w:numId="8">
    <w:abstractNumId w:val="0"/>
  </w:num>
  <w:num w:numId="9">
    <w:abstractNumId w:val="10"/>
  </w:num>
  <w:num w:numId="10">
    <w:abstractNumId w:val="6"/>
  </w:num>
  <w:num w:numId="11">
    <w:abstractNumId w:val="13"/>
  </w:num>
  <w:num w:numId="12">
    <w:abstractNumId w:val="9"/>
  </w:num>
  <w:num w:numId="13">
    <w:abstractNumId w:val="5"/>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s>
  <w:rsids>
    <w:rsidRoot w:val="00977DEB"/>
    <w:rsid w:val="00102247"/>
    <w:rsid w:val="001636C1"/>
    <w:rsid w:val="002950B6"/>
    <w:rsid w:val="002C5096"/>
    <w:rsid w:val="00624D7F"/>
    <w:rsid w:val="00636941"/>
    <w:rsid w:val="006C5B11"/>
    <w:rsid w:val="008730A1"/>
    <w:rsid w:val="00887CBC"/>
    <w:rsid w:val="00927312"/>
    <w:rsid w:val="00977DEB"/>
    <w:rsid w:val="00A16991"/>
    <w:rsid w:val="00B14DC4"/>
    <w:rsid w:val="00C92A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DEB"/>
  </w:style>
  <w:style w:type="paragraph" w:styleId="Heading1">
    <w:name w:val="heading 1"/>
    <w:basedOn w:val="Normal"/>
    <w:next w:val="Normal"/>
    <w:link w:val="Heading1Char"/>
    <w:uiPriority w:val="9"/>
    <w:qFormat/>
    <w:rsid w:val="00977DEB"/>
    <w:pPr>
      <w:contextualSpacing/>
      <w:outlineLvl w:val="0"/>
    </w:pPr>
    <w:rPr>
      <w:rFonts w:asciiTheme="majorHAnsi" w:eastAsiaTheme="majorEastAsia" w:hAnsiTheme="majorHAnsi" w:cstheme="majorBidi"/>
      <w:b/>
      <w:bCs/>
      <w:caps/>
    </w:rPr>
  </w:style>
  <w:style w:type="paragraph" w:styleId="Heading2">
    <w:name w:val="heading 2"/>
    <w:basedOn w:val="Normal"/>
    <w:next w:val="Normal"/>
    <w:link w:val="Heading2Char"/>
    <w:uiPriority w:val="9"/>
    <w:unhideWhenUsed/>
    <w:qFormat/>
    <w:rsid w:val="00977DEB"/>
    <w:pPr>
      <w:outlineLvl w:val="1"/>
    </w:pPr>
    <w:rPr>
      <w:b/>
      <w:bCs/>
      <w:lang w:eastAsia="zh-TW"/>
    </w:rPr>
  </w:style>
  <w:style w:type="paragraph" w:styleId="Heading3">
    <w:name w:val="heading 3"/>
    <w:basedOn w:val="Normal"/>
    <w:next w:val="Normal"/>
    <w:link w:val="Heading3Char"/>
    <w:uiPriority w:val="9"/>
    <w:unhideWhenUsed/>
    <w:qFormat/>
    <w:rsid w:val="00977DEB"/>
    <w:pPr>
      <w:spacing w:before="20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977DEB"/>
    <w:pPr>
      <w:spacing w:before="20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qFormat/>
    <w:rsid w:val="00977DEB"/>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7DEB"/>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7DEB"/>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7DEB"/>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77DEB"/>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DEB"/>
    <w:rPr>
      <w:rFonts w:asciiTheme="majorHAnsi" w:eastAsiaTheme="majorEastAsia" w:hAnsiTheme="majorHAnsi" w:cstheme="majorBidi"/>
      <w:b/>
      <w:bCs/>
      <w:caps/>
    </w:rPr>
  </w:style>
  <w:style w:type="character" w:customStyle="1" w:styleId="Heading2Char">
    <w:name w:val="Heading 2 Char"/>
    <w:basedOn w:val="DefaultParagraphFont"/>
    <w:link w:val="Heading2"/>
    <w:uiPriority w:val="9"/>
    <w:rsid w:val="00977DEB"/>
    <w:rPr>
      <w:b/>
      <w:bCs/>
      <w:lang w:eastAsia="zh-TW"/>
    </w:rPr>
  </w:style>
  <w:style w:type="character" w:customStyle="1" w:styleId="Heading3Char">
    <w:name w:val="Heading 3 Char"/>
    <w:basedOn w:val="DefaultParagraphFont"/>
    <w:link w:val="Heading3"/>
    <w:uiPriority w:val="9"/>
    <w:rsid w:val="00977DEB"/>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977DEB"/>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semiHidden/>
    <w:rsid w:val="00977D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7D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7D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7D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7D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77DEB"/>
    <w:pPr>
      <w:pBdr>
        <w:bottom w:val="single" w:sz="4" w:space="1" w:color="auto"/>
      </w:pBdr>
      <w:contextualSpacing/>
    </w:pPr>
    <w:rPr>
      <w:rFonts w:asciiTheme="majorHAnsi" w:eastAsiaTheme="majorEastAsia" w:hAnsiTheme="majorHAnsi" w:cstheme="majorBidi"/>
      <w:spacing w:val="5"/>
      <w:sz w:val="32"/>
      <w:szCs w:val="32"/>
    </w:rPr>
  </w:style>
  <w:style w:type="character" w:customStyle="1" w:styleId="TitleChar">
    <w:name w:val="Title Char"/>
    <w:basedOn w:val="DefaultParagraphFont"/>
    <w:link w:val="Title"/>
    <w:uiPriority w:val="10"/>
    <w:rsid w:val="00977DEB"/>
    <w:rPr>
      <w:rFonts w:asciiTheme="majorHAnsi" w:eastAsiaTheme="majorEastAsia" w:hAnsiTheme="majorHAnsi" w:cstheme="majorBidi"/>
      <w:spacing w:val="5"/>
      <w:sz w:val="32"/>
      <w:szCs w:val="32"/>
    </w:rPr>
  </w:style>
  <w:style w:type="paragraph" w:styleId="Subtitle">
    <w:name w:val="Subtitle"/>
    <w:basedOn w:val="Normal"/>
    <w:next w:val="Normal"/>
    <w:link w:val="SubtitleChar"/>
    <w:uiPriority w:val="11"/>
    <w:qFormat/>
    <w:rsid w:val="00977D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7DEB"/>
    <w:rPr>
      <w:rFonts w:asciiTheme="majorHAnsi" w:eastAsiaTheme="majorEastAsia" w:hAnsiTheme="majorHAnsi" w:cstheme="majorBidi"/>
      <w:i/>
      <w:iCs/>
      <w:spacing w:val="13"/>
      <w:sz w:val="24"/>
      <w:szCs w:val="24"/>
    </w:rPr>
  </w:style>
  <w:style w:type="character" w:styleId="Strong">
    <w:name w:val="Strong"/>
    <w:uiPriority w:val="22"/>
    <w:qFormat/>
    <w:rsid w:val="00977DEB"/>
    <w:rPr>
      <w:b/>
      <w:bCs/>
    </w:rPr>
  </w:style>
  <w:style w:type="character" w:styleId="Emphasis">
    <w:name w:val="Emphasis"/>
    <w:uiPriority w:val="20"/>
    <w:qFormat/>
    <w:rsid w:val="00977DEB"/>
    <w:rPr>
      <w:b/>
      <w:bCs/>
      <w:i/>
      <w:iCs/>
      <w:spacing w:val="10"/>
      <w:bdr w:val="none" w:sz="0" w:space="0" w:color="auto"/>
      <w:shd w:val="clear" w:color="auto" w:fill="auto"/>
    </w:rPr>
  </w:style>
  <w:style w:type="paragraph" w:styleId="NoSpacing">
    <w:name w:val="No Spacing"/>
    <w:basedOn w:val="Normal"/>
    <w:uiPriority w:val="1"/>
    <w:qFormat/>
    <w:rsid w:val="00977DEB"/>
  </w:style>
  <w:style w:type="paragraph" w:styleId="ListParagraph">
    <w:name w:val="List Paragraph"/>
    <w:basedOn w:val="Normal"/>
    <w:uiPriority w:val="34"/>
    <w:qFormat/>
    <w:rsid w:val="00977DEB"/>
    <w:pPr>
      <w:ind w:left="720"/>
      <w:contextualSpacing/>
    </w:pPr>
  </w:style>
  <w:style w:type="paragraph" w:styleId="Quote">
    <w:name w:val="Quote"/>
    <w:basedOn w:val="Normal"/>
    <w:next w:val="Normal"/>
    <w:link w:val="QuoteChar"/>
    <w:uiPriority w:val="29"/>
    <w:qFormat/>
    <w:rsid w:val="00977DEB"/>
    <w:pPr>
      <w:spacing w:before="200"/>
      <w:ind w:left="360" w:right="360"/>
    </w:pPr>
    <w:rPr>
      <w:i/>
      <w:iCs/>
    </w:rPr>
  </w:style>
  <w:style w:type="character" w:customStyle="1" w:styleId="QuoteChar">
    <w:name w:val="Quote Char"/>
    <w:basedOn w:val="DefaultParagraphFont"/>
    <w:link w:val="Quote"/>
    <w:uiPriority w:val="29"/>
    <w:rsid w:val="00977DEB"/>
    <w:rPr>
      <w:i/>
      <w:iCs/>
    </w:rPr>
  </w:style>
  <w:style w:type="paragraph" w:styleId="IntenseQuote">
    <w:name w:val="Intense Quote"/>
    <w:basedOn w:val="Normal"/>
    <w:next w:val="Normal"/>
    <w:link w:val="IntenseQuoteChar"/>
    <w:uiPriority w:val="30"/>
    <w:qFormat/>
    <w:rsid w:val="00977D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7DEB"/>
    <w:rPr>
      <w:b/>
      <w:bCs/>
      <w:i/>
      <w:iCs/>
    </w:rPr>
  </w:style>
  <w:style w:type="character" w:styleId="SubtleEmphasis">
    <w:name w:val="Subtle Emphasis"/>
    <w:uiPriority w:val="19"/>
    <w:qFormat/>
    <w:rsid w:val="00977DEB"/>
    <w:rPr>
      <w:i/>
      <w:iCs/>
    </w:rPr>
  </w:style>
  <w:style w:type="character" w:styleId="IntenseEmphasis">
    <w:name w:val="Intense Emphasis"/>
    <w:uiPriority w:val="21"/>
    <w:qFormat/>
    <w:rsid w:val="00977DEB"/>
    <w:rPr>
      <w:b/>
      <w:bCs/>
    </w:rPr>
  </w:style>
  <w:style w:type="character" w:styleId="SubtleReference">
    <w:name w:val="Subtle Reference"/>
    <w:uiPriority w:val="31"/>
    <w:qFormat/>
    <w:rsid w:val="00977DEB"/>
    <w:rPr>
      <w:smallCaps/>
    </w:rPr>
  </w:style>
  <w:style w:type="character" w:styleId="IntenseReference">
    <w:name w:val="Intense Reference"/>
    <w:uiPriority w:val="32"/>
    <w:qFormat/>
    <w:rsid w:val="00977DEB"/>
    <w:rPr>
      <w:smallCaps/>
      <w:spacing w:val="5"/>
      <w:u w:val="single"/>
    </w:rPr>
  </w:style>
  <w:style w:type="character" w:styleId="BookTitle">
    <w:name w:val="Book Title"/>
    <w:uiPriority w:val="33"/>
    <w:qFormat/>
    <w:rsid w:val="00977DEB"/>
    <w:rPr>
      <w:i/>
      <w:iCs/>
      <w:smallCaps/>
      <w:spacing w:val="5"/>
    </w:rPr>
  </w:style>
  <w:style w:type="paragraph" w:styleId="TOCHeading">
    <w:name w:val="TOC Heading"/>
    <w:basedOn w:val="Heading1"/>
    <w:next w:val="Normal"/>
    <w:uiPriority w:val="39"/>
    <w:semiHidden/>
    <w:unhideWhenUsed/>
    <w:qFormat/>
    <w:rsid w:val="00977DEB"/>
    <w:pPr>
      <w:outlineLvl w:val="9"/>
    </w:pPr>
    <w:rPr>
      <w:lang w:bidi="en-US"/>
    </w:rPr>
  </w:style>
  <w:style w:type="character" w:styleId="Hyperlink">
    <w:name w:val="Hyperlink"/>
    <w:basedOn w:val="DefaultParagraphFont"/>
    <w:uiPriority w:val="99"/>
    <w:unhideWhenUsed/>
    <w:rsid w:val="00977DEB"/>
    <w:rPr>
      <w:color w:val="0000FF" w:themeColor="hyperlink"/>
      <w:u w:val="single"/>
    </w:rPr>
  </w:style>
  <w:style w:type="table" w:styleId="TableGrid">
    <w:name w:val="Table Grid"/>
    <w:basedOn w:val="TableNormal"/>
    <w:uiPriority w:val="59"/>
    <w:rsid w:val="0097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DEB"/>
    <w:rPr>
      <w:rFonts w:ascii="Tahoma" w:hAnsi="Tahoma" w:cs="Tahoma"/>
      <w:sz w:val="16"/>
      <w:szCs w:val="16"/>
    </w:rPr>
  </w:style>
  <w:style w:type="character" w:customStyle="1" w:styleId="BalloonTextChar">
    <w:name w:val="Balloon Text Char"/>
    <w:basedOn w:val="DefaultParagraphFont"/>
    <w:link w:val="BalloonText"/>
    <w:uiPriority w:val="99"/>
    <w:semiHidden/>
    <w:rsid w:val="00977DEB"/>
    <w:rPr>
      <w:rFonts w:ascii="Tahoma" w:hAnsi="Tahoma" w:cs="Tahoma"/>
      <w:sz w:val="16"/>
      <w:szCs w:val="16"/>
    </w:rPr>
  </w:style>
  <w:style w:type="character" w:customStyle="1" w:styleId="apple-converted-space">
    <w:name w:val="apple-converted-space"/>
    <w:basedOn w:val="DefaultParagraphFont"/>
    <w:rsid w:val="00977DEB"/>
  </w:style>
  <w:style w:type="character" w:styleId="FollowedHyperlink">
    <w:name w:val="FollowedHyperlink"/>
    <w:basedOn w:val="DefaultParagraphFont"/>
    <w:uiPriority w:val="99"/>
    <w:semiHidden/>
    <w:unhideWhenUsed/>
    <w:rsid w:val="00977DEB"/>
    <w:rPr>
      <w:color w:val="800080" w:themeColor="followedHyperlink"/>
      <w:u w:val="single"/>
    </w:rPr>
  </w:style>
  <w:style w:type="paragraph" w:styleId="FootnoteText">
    <w:name w:val="footnote text"/>
    <w:basedOn w:val="Normal"/>
    <w:link w:val="FootnoteTextChar"/>
    <w:rsid w:val="00977DEB"/>
    <w:rPr>
      <w:rFonts w:ascii="Verdana" w:eastAsia="Times New Roman" w:hAnsi="Verdana" w:cs="Times New Roman"/>
      <w:sz w:val="20"/>
      <w:szCs w:val="20"/>
      <w:lang w:eastAsia="en-GB"/>
    </w:rPr>
  </w:style>
  <w:style w:type="character" w:customStyle="1" w:styleId="FootnoteTextChar">
    <w:name w:val="Footnote Text Char"/>
    <w:basedOn w:val="DefaultParagraphFont"/>
    <w:link w:val="FootnoteText"/>
    <w:rsid w:val="00977DEB"/>
    <w:rPr>
      <w:rFonts w:ascii="Verdana" w:eastAsia="Times New Roman" w:hAnsi="Verdana" w:cs="Times New Roman"/>
      <w:sz w:val="20"/>
      <w:szCs w:val="20"/>
      <w:lang w:eastAsia="en-GB"/>
    </w:rPr>
  </w:style>
  <w:style w:type="character" w:styleId="FootnoteReference">
    <w:name w:val="footnote reference"/>
    <w:basedOn w:val="DefaultParagraphFont"/>
    <w:semiHidden/>
    <w:rsid w:val="00977DEB"/>
    <w:rPr>
      <w:vertAlign w:val="superscript"/>
    </w:rPr>
  </w:style>
  <w:style w:type="character" w:styleId="CommentReference">
    <w:name w:val="annotation reference"/>
    <w:basedOn w:val="DefaultParagraphFont"/>
    <w:uiPriority w:val="99"/>
    <w:semiHidden/>
    <w:unhideWhenUsed/>
    <w:rsid w:val="00977DEB"/>
    <w:rPr>
      <w:sz w:val="16"/>
      <w:szCs w:val="16"/>
    </w:rPr>
  </w:style>
  <w:style w:type="paragraph" w:styleId="CommentText">
    <w:name w:val="annotation text"/>
    <w:basedOn w:val="Normal"/>
    <w:link w:val="CommentTextChar"/>
    <w:uiPriority w:val="99"/>
    <w:semiHidden/>
    <w:unhideWhenUsed/>
    <w:rsid w:val="00977DEB"/>
    <w:rPr>
      <w:sz w:val="20"/>
      <w:szCs w:val="20"/>
    </w:rPr>
  </w:style>
  <w:style w:type="character" w:customStyle="1" w:styleId="CommentTextChar">
    <w:name w:val="Comment Text Char"/>
    <w:basedOn w:val="DefaultParagraphFont"/>
    <w:link w:val="CommentText"/>
    <w:uiPriority w:val="99"/>
    <w:semiHidden/>
    <w:rsid w:val="00977DEB"/>
    <w:rPr>
      <w:sz w:val="20"/>
      <w:szCs w:val="20"/>
    </w:rPr>
  </w:style>
  <w:style w:type="paragraph" w:styleId="CommentSubject">
    <w:name w:val="annotation subject"/>
    <w:basedOn w:val="CommentText"/>
    <w:next w:val="CommentText"/>
    <w:link w:val="CommentSubjectChar"/>
    <w:uiPriority w:val="99"/>
    <w:semiHidden/>
    <w:unhideWhenUsed/>
    <w:rsid w:val="00977DEB"/>
    <w:rPr>
      <w:b/>
      <w:bCs/>
    </w:rPr>
  </w:style>
  <w:style w:type="character" w:customStyle="1" w:styleId="CommentSubjectChar">
    <w:name w:val="Comment Subject Char"/>
    <w:basedOn w:val="CommentTextChar"/>
    <w:link w:val="CommentSubject"/>
    <w:uiPriority w:val="99"/>
    <w:semiHidden/>
    <w:rsid w:val="00977DEB"/>
    <w:rPr>
      <w:b/>
      <w:bCs/>
      <w:sz w:val="20"/>
      <w:szCs w:val="20"/>
    </w:rPr>
  </w:style>
  <w:style w:type="paragraph" w:styleId="Header">
    <w:name w:val="header"/>
    <w:basedOn w:val="Normal"/>
    <w:link w:val="HeaderChar"/>
    <w:uiPriority w:val="99"/>
    <w:unhideWhenUsed/>
    <w:rsid w:val="00977DEB"/>
    <w:pPr>
      <w:tabs>
        <w:tab w:val="center" w:pos="4513"/>
        <w:tab w:val="right" w:pos="9026"/>
      </w:tabs>
    </w:pPr>
  </w:style>
  <w:style w:type="character" w:customStyle="1" w:styleId="HeaderChar">
    <w:name w:val="Header Char"/>
    <w:basedOn w:val="DefaultParagraphFont"/>
    <w:link w:val="Header"/>
    <w:uiPriority w:val="99"/>
    <w:rsid w:val="00977DEB"/>
  </w:style>
  <w:style w:type="paragraph" w:styleId="Footer">
    <w:name w:val="footer"/>
    <w:basedOn w:val="Normal"/>
    <w:link w:val="FooterChar"/>
    <w:uiPriority w:val="99"/>
    <w:unhideWhenUsed/>
    <w:rsid w:val="00977DEB"/>
    <w:pPr>
      <w:tabs>
        <w:tab w:val="center" w:pos="4513"/>
        <w:tab w:val="right" w:pos="9026"/>
      </w:tabs>
    </w:pPr>
  </w:style>
  <w:style w:type="character" w:customStyle="1" w:styleId="FooterChar">
    <w:name w:val="Footer Char"/>
    <w:basedOn w:val="DefaultParagraphFont"/>
    <w:link w:val="Footer"/>
    <w:uiPriority w:val="99"/>
    <w:rsid w:val="00977DEB"/>
  </w:style>
  <w:style w:type="paragraph" w:styleId="NormalWeb">
    <w:name w:val="Normal (Web)"/>
    <w:basedOn w:val="Normal"/>
    <w:uiPriority w:val="99"/>
    <w:semiHidden/>
    <w:unhideWhenUsed/>
    <w:rsid w:val="00977DEB"/>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DEB"/>
  </w:style>
  <w:style w:type="paragraph" w:styleId="Heading1">
    <w:name w:val="heading 1"/>
    <w:basedOn w:val="Normal"/>
    <w:next w:val="Normal"/>
    <w:link w:val="Heading1Char"/>
    <w:uiPriority w:val="9"/>
    <w:qFormat/>
    <w:rsid w:val="00977DEB"/>
    <w:pPr>
      <w:contextualSpacing/>
      <w:outlineLvl w:val="0"/>
    </w:pPr>
    <w:rPr>
      <w:rFonts w:asciiTheme="majorHAnsi" w:eastAsiaTheme="majorEastAsia" w:hAnsiTheme="majorHAnsi" w:cstheme="majorBidi"/>
      <w:b/>
      <w:bCs/>
      <w:caps/>
    </w:rPr>
  </w:style>
  <w:style w:type="paragraph" w:styleId="Heading2">
    <w:name w:val="heading 2"/>
    <w:basedOn w:val="Normal"/>
    <w:next w:val="Normal"/>
    <w:link w:val="Heading2Char"/>
    <w:uiPriority w:val="9"/>
    <w:unhideWhenUsed/>
    <w:qFormat/>
    <w:rsid w:val="00977DEB"/>
    <w:pPr>
      <w:outlineLvl w:val="1"/>
    </w:pPr>
    <w:rPr>
      <w:b/>
      <w:bCs/>
      <w:lang w:eastAsia="zh-TW"/>
    </w:rPr>
  </w:style>
  <w:style w:type="paragraph" w:styleId="Heading3">
    <w:name w:val="heading 3"/>
    <w:basedOn w:val="Normal"/>
    <w:next w:val="Normal"/>
    <w:link w:val="Heading3Char"/>
    <w:uiPriority w:val="9"/>
    <w:unhideWhenUsed/>
    <w:qFormat/>
    <w:rsid w:val="00977DEB"/>
    <w:pPr>
      <w:spacing w:before="20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977DEB"/>
    <w:pPr>
      <w:spacing w:before="20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qFormat/>
    <w:rsid w:val="00977DEB"/>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7DEB"/>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7DEB"/>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7DEB"/>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77DEB"/>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DEB"/>
    <w:rPr>
      <w:rFonts w:asciiTheme="majorHAnsi" w:eastAsiaTheme="majorEastAsia" w:hAnsiTheme="majorHAnsi" w:cstheme="majorBidi"/>
      <w:b/>
      <w:bCs/>
      <w:caps/>
    </w:rPr>
  </w:style>
  <w:style w:type="character" w:customStyle="1" w:styleId="Heading2Char">
    <w:name w:val="Heading 2 Char"/>
    <w:basedOn w:val="DefaultParagraphFont"/>
    <w:link w:val="Heading2"/>
    <w:uiPriority w:val="9"/>
    <w:rsid w:val="00977DEB"/>
    <w:rPr>
      <w:b/>
      <w:bCs/>
      <w:lang w:eastAsia="zh-TW"/>
    </w:rPr>
  </w:style>
  <w:style w:type="character" w:customStyle="1" w:styleId="Heading3Char">
    <w:name w:val="Heading 3 Char"/>
    <w:basedOn w:val="DefaultParagraphFont"/>
    <w:link w:val="Heading3"/>
    <w:uiPriority w:val="9"/>
    <w:rsid w:val="00977DEB"/>
    <w:rPr>
      <w:rFonts w:asciiTheme="majorHAnsi" w:eastAsiaTheme="majorEastAsia" w:hAnsiTheme="majorHAnsi" w:cstheme="majorBidi"/>
    </w:rPr>
  </w:style>
  <w:style w:type="character" w:customStyle="1" w:styleId="Heading4Char">
    <w:name w:val="Heading 4 Char"/>
    <w:basedOn w:val="DefaultParagraphFont"/>
    <w:link w:val="Heading4"/>
    <w:uiPriority w:val="9"/>
    <w:rsid w:val="00977DEB"/>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semiHidden/>
    <w:rsid w:val="00977D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7D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7DE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7D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7DE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77DEB"/>
    <w:pPr>
      <w:pBdr>
        <w:bottom w:val="single" w:sz="4" w:space="1" w:color="auto"/>
      </w:pBdr>
      <w:contextualSpacing/>
    </w:pPr>
    <w:rPr>
      <w:rFonts w:asciiTheme="majorHAnsi" w:eastAsiaTheme="majorEastAsia" w:hAnsiTheme="majorHAnsi" w:cstheme="majorBidi"/>
      <w:spacing w:val="5"/>
      <w:sz w:val="32"/>
      <w:szCs w:val="32"/>
    </w:rPr>
  </w:style>
  <w:style w:type="character" w:customStyle="1" w:styleId="TitleChar">
    <w:name w:val="Title Char"/>
    <w:basedOn w:val="DefaultParagraphFont"/>
    <w:link w:val="Title"/>
    <w:uiPriority w:val="10"/>
    <w:rsid w:val="00977DEB"/>
    <w:rPr>
      <w:rFonts w:asciiTheme="majorHAnsi" w:eastAsiaTheme="majorEastAsia" w:hAnsiTheme="majorHAnsi" w:cstheme="majorBidi"/>
      <w:spacing w:val="5"/>
      <w:sz w:val="32"/>
      <w:szCs w:val="32"/>
    </w:rPr>
  </w:style>
  <w:style w:type="paragraph" w:styleId="Subtitle">
    <w:name w:val="Subtitle"/>
    <w:basedOn w:val="Normal"/>
    <w:next w:val="Normal"/>
    <w:link w:val="SubtitleChar"/>
    <w:uiPriority w:val="11"/>
    <w:qFormat/>
    <w:rsid w:val="00977D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7DEB"/>
    <w:rPr>
      <w:rFonts w:asciiTheme="majorHAnsi" w:eastAsiaTheme="majorEastAsia" w:hAnsiTheme="majorHAnsi" w:cstheme="majorBidi"/>
      <w:i/>
      <w:iCs/>
      <w:spacing w:val="13"/>
      <w:sz w:val="24"/>
      <w:szCs w:val="24"/>
    </w:rPr>
  </w:style>
  <w:style w:type="character" w:styleId="Strong">
    <w:name w:val="Strong"/>
    <w:uiPriority w:val="22"/>
    <w:qFormat/>
    <w:rsid w:val="00977DEB"/>
    <w:rPr>
      <w:b/>
      <w:bCs/>
    </w:rPr>
  </w:style>
  <w:style w:type="character" w:styleId="Emphasis">
    <w:name w:val="Emphasis"/>
    <w:uiPriority w:val="20"/>
    <w:qFormat/>
    <w:rsid w:val="00977DEB"/>
    <w:rPr>
      <w:b/>
      <w:bCs/>
      <w:i/>
      <w:iCs/>
      <w:spacing w:val="10"/>
      <w:bdr w:val="none" w:sz="0" w:space="0" w:color="auto"/>
      <w:shd w:val="clear" w:color="auto" w:fill="auto"/>
    </w:rPr>
  </w:style>
  <w:style w:type="paragraph" w:styleId="NoSpacing">
    <w:name w:val="No Spacing"/>
    <w:basedOn w:val="Normal"/>
    <w:uiPriority w:val="1"/>
    <w:qFormat/>
    <w:rsid w:val="00977DEB"/>
  </w:style>
  <w:style w:type="paragraph" w:styleId="ListParagraph">
    <w:name w:val="List Paragraph"/>
    <w:basedOn w:val="Normal"/>
    <w:uiPriority w:val="34"/>
    <w:qFormat/>
    <w:rsid w:val="00977DEB"/>
    <w:pPr>
      <w:ind w:left="720"/>
      <w:contextualSpacing/>
    </w:pPr>
  </w:style>
  <w:style w:type="paragraph" w:styleId="Quote">
    <w:name w:val="Quote"/>
    <w:basedOn w:val="Normal"/>
    <w:next w:val="Normal"/>
    <w:link w:val="QuoteChar"/>
    <w:uiPriority w:val="29"/>
    <w:qFormat/>
    <w:rsid w:val="00977DEB"/>
    <w:pPr>
      <w:spacing w:before="200"/>
      <w:ind w:left="360" w:right="360"/>
    </w:pPr>
    <w:rPr>
      <w:i/>
      <w:iCs/>
    </w:rPr>
  </w:style>
  <w:style w:type="character" w:customStyle="1" w:styleId="QuoteChar">
    <w:name w:val="Quote Char"/>
    <w:basedOn w:val="DefaultParagraphFont"/>
    <w:link w:val="Quote"/>
    <w:uiPriority w:val="29"/>
    <w:rsid w:val="00977DEB"/>
    <w:rPr>
      <w:i/>
      <w:iCs/>
    </w:rPr>
  </w:style>
  <w:style w:type="paragraph" w:styleId="IntenseQuote">
    <w:name w:val="Intense Quote"/>
    <w:basedOn w:val="Normal"/>
    <w:next w:val="Normal"/>
    <w:link w:val="IntenseQuoteChar"/>
    <w:uiPriority w:val="30"/>
    <w:qFormat/>
    <w:rsid w:val="00977D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7DEB"/>
    <w:rPr>
      <w:b/>
      <w:bCs/>
      <w:i/>
      <w:iCs/>
    </w:rPr>
  </w:style>
  <w:style w:type="character" w:styleId="SubtleEmphasis">
    <w:name w:val="Subtle Emphasis"/>
    <w:uiPriority w:val="19"/>
    <w:qFormat/>
    <w:rsid w:val="00977DEB"/>
    <w:rPr>
      <w:i/>
      <w:iCs/>
    </w:rPr>
  </w:style>
  <w:style w:type="character" w:styleId="IntenseEmphasis">
    <w:name w:val="Intense Emphasis"/>
    <w:uiPriority w:val="21"/>
    <w:qFormat/>
    <w:rsid w:val="00977DEB"/>
    <w:rPr>
      <w:b/>
      <w:bCs/>
    </w:rPr>
  </w:style>
  <w:style w:type="character" w:styleId="SubtleReference">
    <w:name w:val="Subtle Reference"/>
    <w:uiPriority w:val="31"/>
    <w:qFormat/>
    <w:rsid w:val="00977DEB"/>
    <w:rPr>
      <w:smallCaps/>
    </w:rPr>
  </w:style>
  <w:style w:type="character" w:styleId="IntenseReference">
    <w:name w:val="Intense Reference"/>
    <w:uiPriority w:val="32"/>
    <w:qFormat/>
    <w:rsid w:val="00977DEB"/>
    <w:rPr>
      <w:smallCaps/>
      <w:spacing w:val="5"/>
      <w:u w:val="single"/>
    </w:rPr>
  </w:style>
  <w:style w:type="character" w:styleId="BookTitle">
    <w:name w:val="Book Title"/>
    <w:uiPriority w:val="33"/>
    <w:qFormat/>
    <w:rsid w:val="00977DEB"/>
    <w:rPr>
      <w:i/>
      <w:iCs/>
      <w:smallCaps/>
      <w:spacing w:val="5"/>
    </w:rPr>
  </w:style>
  <w:style w:type="paragraph" w:styleId="TOCHeading">
    <w:name w:val="TOC Heading"/>
    <w:basedOn w:val="Heading1"/>
    <w:next w:val="Normal"/>
    <w:uiPriority w:val="39"/>
    <w:semiHidden/>
    <w:unhideWhenUsed/>
    <w:qFormat/>
    <w:rsid w:val="00977DEB"/>
    <w:pPr>
      <w:outlineLvl w:val="9"/>
    </w:pPr>
    <w:rPr>
      <w:lang w:bidi="en-US"/>
    </w:rPr>
  </w:style>
  <w:style w:type="character" w:styleId="Hyperlink">
    <w:name w:val="Hyperlink"/>
    <w:basedOn w:val="DefaultParagraphFont"/>
    <w:uiPriority w:val="99"/>
    <w:unhideWhenUsed/>
    <w:rsid w:val="00977DEB"/>
    <w:rPr>
      <w:color w:val="0000FF" w:themeColor="hyperlink"/>
      <w:u w:val="single"/>
    </w:rPr>
  </w:style>
  <w:style w:type="table" w:styleId="TableGrid">
    <w:name w:val="Table Grid"/>
    <w:basedOn w:val="TableNormal"/>
    <w:uiPriority w:val="59"/>
    <w:rsid w:val="0097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7DEB"/>
    <w:rPr>
      <w:rFonts w:ascii="Tahoma" w:hAnsi="Tahoma" w:cs="Tahoma"/>
      <w:sz w:val="16"/>
      <w:szCs w:val="16"/>
    </w:rPr>
  </w:style>
  <w:style w:type="character" w:customStyle="1" w:styleId="BalloonTextChar">
    <w:name w:val="Balloon Text Char"/>
    <w:basedOn w:val="DefaultParagraphFont"/>
    <w:link w:val="BalloonText"/>
    <w:uiPriority w:val="99"/>
    <w:semiHidden/>
    <w:rsid w:val="00977DEB"/>
    <w:rPr>
      <w:rFonts w:ascii="Tahoma" w:hAnsi="Tahoma" w:cs="Tahoma"/>
      <w:sz w:val="16"/>
      <w:szCs w:val="16"/>
    </w:rPr>
  </w:style>
  <w:style w:type="character" w:customStyle="1" w:styleId="apple-converted-space">
    <w:name w:val="apple-converted-space"/>
    <w:basedOn w:val="DefaultParagraphFont"/>
    <w:rsid w:val="00977DEB"/>
  </w:style>
  <w:style w:type="character" w:styleId="FollowedHyperlink">
    <w:name w:val="FollowedHyperlink"/>
    <w:basedOn w:val="DefaultParagraphFont"/>
    <w:uiPriority w:val="99"/>
    <w:semiHidden/>
    <w:unhideWhenUsed/>
    <w:rsid w:val="00977DEB"/>
    <w:rPr>
      <w:color w:val="800080" w:themeColor="followedHyperlink"/>
      <w:u w:val="single"/>
    </w:rPr>
  </w:style>
  <w:style w:type="paragraph" w:styleId="FootnoteText">
    <w:name w:val="footnote text"/>
    <w:basedOn w:val="Normal"/>
    <w:link w:val="FootnoteTextChar"/>
    <w:rsid w:val="00977DEB"/>
    <w:rPr>
      <w:rFonts w:ascii="Verdana" w:eastAsia="Times New Roman" w:hAnsi="Verdana" w:cs="Times New Roman"/>
      <w:sz w:val="20"/>
      <w:szCs w:val="20"/>
      <w:lang w:eastAsia="en-GB"/>
    </w:rPr>
  </w:style>
  <w:style w:type="character" w:customStyle="1" w:styleId="FootnoteTextChar">
    <w:name w:val="Footnote Text Char"/>
    <w:basedOn w:val="DefaultParagraphFont"/>
    <w:link w:val="FootnoteText"/>
    <w:rsid w:val="00977DEB"/>
    <w:rPr>
      <w:rFonts w:ascii="Verdana" w:eastAsia="Times New Roman" w:hAnsi="Verdana" w:cs="Times New Roman"/>
      <w:sz w:val="20"/>
      <w:szCs w:val="20"/>
      <w:lang w:eastAsia="en-GB"/>
    </w:rPr>
  </w:style>
  <w:style w:type="character" w:styleId="FootnoteReference">
    <w:name w:val="footnote reference"/>
    <w:basedOn w:val="DefaultParagraphFont"/>
    <w:semiHidden/>
    <w:rsid w:val="00977DEB"/>
    <w:rPr>
      <w:vertAlign w:val="superscript"/>
    </w:rPr>
  </w:style>
  <w:style w:type="character" w:styleId="CommentReference">
    <w:name w:val="annotation reference"/>
    <w:basedOn w:val="DefaultParagraphFont"/>
    <w:uiPriority w:val="99"/>
    <w:semiHidden/>
    <w:unhideWhenUsed/>
    <w:rsid w:val="00977DEB"/>
    <w:rPr>
      <w:sz w:val="16"/>
      <w:szCs w:val="16"/>
    </w:rPr>
  </w:style>
  <w:style w:type="paragraph" w:styleId="CommentText">
    <w:name w:val="annotation text"/>
    <w:basedOn w:val="Normal"/>
    <w:link w:val="CommentTextChar"/>
    <w:uiPriority w:val="99"/>
    <w:semiHidden/>
    <w:unhideWhenUsed/>
    <w:rsid w:val="00977DEB"/>
    <w:rPr>
      <w:sz w:val="20"/>
      <w:szCs w:val="20"/>
    </w:rPr>
  </w:style>
  <w:style w:type="character" w:customStyle="1" w:styleId="CommentTextChar">
    <w:name w:val="Comment Text Char"/>
    <w:basedOn w:val="DefaultParagraphFont"/>
    <w:link w:val="CommentText"/>
    <w:uiPriority w:val="99"/>
    <w:semiHidden/>
    <w:rsid w:val="00977DEB"/>
    <w:rPr>
      <w:sz w:val="20"/>
      <w:szCs w:val="20"/>
    </w:rPr>
  </w:style>
  <w:style w:type="paragraph" w:styleId="CommentSubject">
    <w:name w:val="annotation subject"/>
    <w:basedOn w:val="CommentText"/>
    <w:next w:val="CommentText"/>
    <w:link w:val="CommentSubjectChar"/>
    <w:uiPriority w:val="99"/>
    <w:semiHidden/>
    <w:unhideWhenUsed/>
    <w:rsid w:val="00977DEB"/>
    <w:rPr>
      <w:b/>
      <w:bCs/>
    </w:rPr>
  </w:style>
  <w:style w:type="character" w:customStyle="1" w:styleId="CommentSubjectChar">
    <w:name w:val="Comment Subject Char"/>
    <w:basedOn w:val="CommentTextChar"/>
    <w:link w:val="CommentSubject"/>
    <w:uiPriority w:val="99"/>
    <w:semiHidden/>
    <w:rsid w:val="00977DEB"/>
    <w:rPr>
      <w:b/>
      <w:bCs/>
      <w:sz w:val="20"/>
      <w:szCs w:val="20"/>
    </w:rPr>
  </w:style>
  <w:style w:type="paragraph" w:styleId="Header">
    <w:name w:val="header"/>
    <w:basedOn w:val="Normal"/>
    <w:link w:val="HeaderChar"/>
    <w:uiPriority w:val="99"/>
    <w:unhideWhenUsed/>
    <w:rsid w:val="00977DEB"/>
    <w:pPr>
      <w:tabs>
        <w:tab w:val="center" w:pos="4513"/>
        <w:tab w:val="right" w:pos="9026"/>
      </w:tabs>
    </w:pPr>
  </w:style>
  <w:style w:type="character" w:customStyle="1" w:styleId="HeaderChar">
    <w:name w:val="Header Char"/>
    <w:basedOn w:val="DefaultParagraphFont"/>
    <w:link w:val="Header"/>
    <w:uiPriority w:val="99"/>
    <w:rsid w:val="00977DEB"/>
  </w:style>
  <w:style w:type="paragraph" w:styleId="Footer">
    <w:name w:val="footer"/>
    <w:basedOn w:val="Normal"/>
    <w:link w:val="FooterChar"/>
    <w:uiPriority w:val="99"/>
    <w:unhideWhenUsed/>
    <w:rsid w:val="00977DEB"/>
    <w:pPr>
      <w:tabs>
        <w:tab w:val="center" w:pos="4513"/>
        <w:tab w:val="right" w:pos="9026"/>
      </w:tabs>
    </w:pPr>
  </w:style>
  <w:style w:type="character" w:customStyle="1" w:styleId="FooterChar">
    <w:name w:val="Footer Char"/>
    <w:basedOn w:val="DefaultParagraphFont"/>
    <w:link w:val="Footer"/>
    <w:uiPriority w:val="99"/>
    <w:rsid w:val="00977DEB"/>
  </w:style>
  <w:style w:type="paragraph" w:styleId="NormalWeb">
    <w:name w:val="Normal (Web)"/>
    <w:basedOn w:val="Normal"/>
    <w:uiPriority w:val="99"/>
    <w:semiHidden/>
    <w:unhideWhenUsed/>
    <w:rsid w:val="00977DE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one@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6169</Words>
  <Characters>35167</Characters>
  <Application>Microsoft Office Word</Application>
  <DocSecurity>0</DocSecurity>
  <Lines>293</Lines>
  <Paragraphs>82</Paragraphs>
  <ScaleCrop>false</ScaleCrop>
  <Company>University of Southampton</Company>
  <LinksUpToDate>false</LinksUpToDate>
  <CharactersWithSpaces>41254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J.</dc:creator>
  <cp:lastModifiedBy>Stone J.</cp:lastModifiedBy>
  <cp:revision>3</cp:revision>
  <dcterms:created xsi:type="dcterms:W3CDTF">2015-05-08T10:02:00Z</dcterms:created>
  <dcterms:modified xsi:type="dcterms:W3CDTF">2015-05-08T10:03:00Z</dcterms:modified>
</cp:coreProperties>
</file>