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B0D6E" w14:textId="31138216" w:rsidR="00F87012" w:rsidRDefault="002C7A5D" w:rsidP="00CA0B20">
      <w:pPr>
        <w:spacing w:line="480" w:lineRule="auto"/>
        <w:rPr>
          <w:lang w:val="en-US"/>
        </w:rPr>
      </w:pPr>
      <w:r w:rsidRPr="00B535B8">
        <w:rPr>
          <w:b/>
          <w:bCs/>
          <w:lang w:val="en-US"/>
        </w:rPr>
        <w:t>Title</w:t>
      </w:r>
      <w:r>
        <w:rPr>
          <w:lang w:val="en-US"/>
        </w:rPr>
        <w:t xml:space="preserve">: </w:t>
      </w:r>
      <w:r w:rsidR="00F87012">
        <w:rPr>
          <w:lang w:val="en-US"/>
        </w:rPr>
        <w:t xml:space="preserve">Perspectives on differing health outcomes by city: accounting for </w:t>
      </w:r>
      <w:r w:rsidR="00E11EF9">
        <w:rPr>
          <w:lang w:val="en-US"/>
        </w:rPr>
        <w:t>Glasgow’s excess mortality</w:t>
      </w:r>
      <w:r w:rsidR="00F87012">
        <w:rPr>
          <w:lang w:val="en-US"/>
        </w:rPr>
        <w:t xml:space="preserve"> </w:t>
      </w:r>
    </w:p>
    <w:p w14:paraId="02F558FD" w14:textId="77777777" w:rsidR="00A966C5" w:rsidRDefault="00A966C5" w:rsidP="00CA0B20">
      <w:pPr>
        <w:spacing w:line="480" w:lineRule="auto"/>
        <w:rPr>
          <w:b/>
          <w:bCs/>
          <w:lang w:val="en-US"/>
        </w:rPr>
      </w:pPr>
    </w:p>
    <w:p w14:paraId="0B2EEF55" w14:textId="33D8BF8F" w:rsidR="00473CA0" w:rsidRDefault="002C7A5D" w:rsidP="00CA0B20">
      <w:pPr>
        <w:spacing w:line="480" w:lineRule="auto"/>
        <w:rPr>
          <w:lang w:val="en-US"/>
        </w:rPr>
      </w:pPr>
      <w:r w:rsidRPr="00B535B8">
        <w:rPr>
          <w:b/>
          <w:bCs/>
          <w:lang w:val="en-US"/>
        </w:rPr>
        <w:t>Journal</w:t>
      </w:r>
      <w:r>
        <w:rPr>
          <w:lang w:val="en-US"/>
        </w:rPr>
        <w:t xml:space="preserve">: </w:t>
      </w:r>
      <w:r w:rsidR="00C77836">
        <w:rPr>
          <w:lang w:val="en-US"/>
        </w:rPr>
        <w:t xml:space="preserve">Journal of </w:t>
      </w:r>
      <w:r w:rsidR="00F87012">
        <w:rPr>
          <w:lang w:val="en-US"/>
        </w:rPr>
        <w:t>Risk Management and Healthcare Policy</w:t>
      </w:r>
    </w:p>
    <w:p w14:paraId="6E490944" w14:textId="77777777" w:rsidR="00A966C5" w:rsidRDefault="00A966C5" w:rsidP="00CA0B20">
      <w:pPr>
        <w:spacing w:line="480" w:lineRule="auto"/>
        <w:rPr>
          <w:b/>
          <w:bCs/>
          <w:lang w:val="en-US"/>
        </w:rPr>
      </w:pPr>
    </w:p>
    <w:p w14:paraId="22A05677" w14:textId="77777777" w:rsidR="002C7A5D" w:rsidRDefault="002C7A5D" w:rsidP="00CA0B20">
      <w:pPr>
        <w:spacing w:line="480" w:lineRule="auto"/>
        <w:rPr>
          <w:lang w:val="en-US"/>
        </w:rPr>
      </w:pPr>
      <w:r w:rsidRPr="00B535B8">
        <w:rPr>
          <w:b/>
          <w:bCs/>
          <w:lang w:val="en-US"/>
        </w:rPr>
        <w:t>Authors</w:t>
      </w:r>
      <w:r>
        <w:rPr>
          <w:lang w:val="en-US"/>
        </w:rPr>
        <w:t>:</w:t>
      </w:r>
    </w:p>
    <w:p w14:paraId="7C21CAC0" w14:textId="77777777" w:rsidR="006305FB" w:rsidRDefault="00F87012" w:rsidP="00CA0B20">
      <w:pPr>
        <w:spacing w:line="480" w:lineRule="auto"/>
        <w:rPr>
          <w:lang w:val="en-US"/>
        </w:rPr>
      </w:pPr>
      <w:r>
        <w:rPr>
          <w:lang w:val="en-US"/>
        </w:rPr>
        <w:t>Fraser SD</w:t>
      </w:r>
      <w:r w:rsidR="000E0C7E">
        <w:rPr>
          <w:lang w:val="en-US"/>
        </w:rPr>
        <w:t>S</w:t>
      </w:r>
      <w:r>
        <w:rPr>
          <w:lang w:val="en-US"/>
        </w:rPr>
        <w:t xml:space="preserve"> </w:t>
      </w:r>
      <w:bookmarkStart w:id="0" w:name="_GoBack"/>
      <w:bookmarkEnd w:id="0"/>
    </w:p>
    <w:p w14:paraId="376C1871" w14:textId="77777777" w:rsidR="006305FB" w:rsidRDefault="006305FB" w:rsidP="00CA0B20">
      <w:pPr>
        <w:spacing w:line="480" w:lineRule="auto"/>
        <w:rPr>
          <w:lang w:val="en-US"/>
        </w:rPr>
      </w:pPr>
      <w:r>
        <w:rPr>
          <w:lang w:val="en-US"/>
        </w:rPr>
        <w:t>Clinical Lecturer in Public Health</w:t>
      </w:r>
    </w:p>
    <w:p w14:paraId="48F28815" w14:textId="77777777" w:rsidR="006305FB" w:rsidRPr="006305FB" w:rsidRDefault="006305FB" w:rsidP="00CA0B20">
      <w:pPr>
        <w:spacing w:line="480" w:lineRule="auto"/>
        <w:rPr>
          <w:lang w:val="en-US"/>
        </w:rPr>
      </w:pPr>
      <w:r w:rsidRPr="006305FB">
        <w:rPr>
          <w:lang w:val="en-US"/>
        </w:rPr>
        <w:t xml:space="preserve">Academic Unit of Primary Care and Population Sciences </w:t>
      </w:r>
    </w:p>
    <w:p w14:paraId="1B5B7016" w14:textId="77777777" w:rsidR="006305FB" w:rsidRPr="006305FB" w:rsidRDefault="006305FB" w:rsidP="00CA0B20">
      <w:pPr>
        <w:spacing w:line="480" w:lineRule="auto"/>
        <w:rPr>
          <w:lang w:val="en-US"/>
        </w:rPr>
      </w:pPr>
      <w:r w:rsidRPr="006305FB">
        <w:rPr>
          <w:lang w:val="en-US"/>
        </w:rPr>
        <w:t>Faculty of Medicine</w:t>
      </w:r>
    </w:p>
    <w:p w14:paraId="1DE7C965" w14:textId="77777777" w:rsidR="006305FB" w:rsidRPr="006305FB" w:rsidRDefault="006305FB" w:rsidP="00CA0B20">
      <w:pPr>
        <w:spacing w:line="480" w:lineRule="auto"/>
        <w:rPr>
          <w:lang w:val="en-US"/>
        </w:rPr>
      </w:pPr>
      <w:r w:rsidRPr="006305FB">
        <w:rPr>
          <w:lang w:val="en-US"/>
        </w:rPr>
        <w:t>University of Southampton</w:t>
      </w:r>
    </w:p>
    <w:p w14:paraId="6025F384" w14:textId="77777777" w:rsidR="006305FB" w:rsidRPr="006305FB" w:rsidRDefault="006305FB" w:rsidP="00CA0B20">
      <w:pPr>
        <w:spacing w:line="480" w:lineRule="auto"/>
        <w:rPr>
          <w:lang w:val="en-US"/>
        </w:rPr>
      </w:pPr>
      <w:r w:rsidRPr="006305FB">
        <w:rPr>
          <w:lang w:val="en-US"/>
        </w:rPr>
        <w:t>South Academic Block, Southampton General Hospital</w:t>
      </w:r>
    </w:p>
    <w:p w14:paraId="2AFC0843" w14:textId="77777777" w:rsidR="006305FB" w:rsidRPr="006305FB" w:rsidRDefault="006305FB" w:rsidP="00CA0B20">
      <w:pPr>
        <w:spacing w:line="480" w:lineRule="auto"/>
        <w:rPr>
          <w:lang w:val="en-US"/>
        </w:rPr>
      </w:pPr>
      <w:proofErr w:type="spellStart"/>
      <w:r w:rsidRPr="006305FB">
        <w:rPr>
          <w:lang w:val="en-US"/>
        </w:rPr>
        <w:t>Tremona</w:t>
      </w:r>
      <w:proofErr w:type="spellEnd"/>
      <w:r w:rsidRPr="006305FB">
        <w:rPr>
          <w:lang w:val="en-US"/>
        </w:rPr>
        <w:t xml:space="preserve"> Road, </w:t>
      </w:r>
    </w:p>
    <w:p w14:paraId="21D5CF1A" w14:textId="77777777" w:rsidR="006305FB" w:rsidRPr="006305FB" w:rsidRDefault="006305FB" w:rsidP="00CA0B20">
      <w:pPr>
        <w:spacing w:line="480" w:lineRule="auto"/>
        <w:rPr>
          <w:lang w:val="en-US"/>
        </w:rPr>
      </w:pPr>
      <w:r w:rsidRPr="006305FB">
        <w:rPr>
          <w:lang w:val="en-US"/>
        </w:rPr>
        <w:t>Southampton</w:t>
      </w:r>
    </w:p>
    <w:p w14:paraId="2276ED57" w14:textId="77777777" w:rsidR="006305FB" w:rsidRPr="006305FB" w:rsidRDefault="006305FB" w:rsidP="00CA0B20">
      <w:pPr>
        <w:spacing w:line="480" w:lineRule="auto"/>
        <w:rPr>
          <w:lang w:val="en-US"/>
        </w:rPr>
      </w:pPr>
      <w:r w:rsidRPr="006305FB">
        <w:rPr>
          <w:lang w:val="en-US"/>
        </w:rPr>
        <w:t>Hampshire</w:t>
      </w:r>
    </w:p>
    <w:p w14:paraId="477BF4BA" w14:textId="77777777" w:rsidR="006305FB" w:rsidRPr="006305FB" w:rsidRDefault="006305FB" w:rsidP="00CA0B20">
      <w:pPr>
        <w:spacing w:line="480" w:lineRule="auto"/>
        <w:rPr>
          <w:lang w:val="en-US"/>
        </w:rPr>
      </w:pPr>
      <w:r w:rsidRPr="006305FB">
        <w:rPr>
          <w:lang w:val="en-US"/>
        </w:rPr>
        <w:t>UK</w:t>
      </w:r>
    </w:p>
    <w:p w14:paraId="79686067" w14:textId="77777777" w:rsidR="006305FB" w:rsidRPr="006305FB" w:rsidRDefault="006305FB" w:rsidP="00CA0B20">
      <w:pPr>
        <w:spacing w:line="480" w:lineRule="auto"/>
        <w:rPr>
          <w:lang w:val="en-US"/>
        </w:rPr>
      </w:pPr>
      <w:r w:rsidRPr="006305FB">
        <w:rPr>
          <w:lang w:val="en-US"/>
        </w:rPr>
        <w:t>SO16 6YD</w:t>
      </w:r>
    </w:p>
    <w:p w14:paraId="344751A5" w14:textId="77777777" w:rsidR="006305FB" w:rsidRPr="00B535B8" w:rsidRDefault="006305FB" w:rsidP="00CA0B20">
      <w:pPr>
        <w:spacing w:line="480" w:lineRule="auto"/>
        <w:rPr>
          <w:lang w:val="fr-FR"/>
        </w:rPr>
      </w:pPr>
      <w:r w:rsidRPr="00B535B8">
        <w:rPr>
          <w:lang w:val="fr-FR"/>
        </w:rPr>
        <w:t>Tel: 023 81206530</w:t>
      </w:r>
    </w:p>
    <w:p w14:paraId="2F13F518" w14:textId="77777777" w:rsidR="00FA619D" w:rsidRDefault="00FA619D" w:rsidP="00CA0B20">
      <w:pPr>
        <w:spacing w:line="480" w:lineRule="auto"/>
        <w:rPr>
          <w:lang w:val="fr-FR"/>
        </w:rPr>
      </w:pPr>
      <w:r w:rsidRPr="00FA619D">
        <w:rPr>
          <w:lang w:val="fr-FR"/>
        </w:rPr>
        <w:t xml:space="preserve">Email: </w:t>
      </w:r>
      <w:hyperlink r:id="rId9" w:history="1">
        <w:r w:rsidR="007B7077" w:rsidRPr="00FA224E">
          <w:rPr>
            <w:rStyle w:val="Hyperlink"/>
            <w:lang w:val="fr-FR"/>
          </w:rPr>
          <w:t>s.fraser@soton.ac.uk</w:t>
        </w:r>
      </w:hyperlink>
    </w:p>
    <w:p w14:paraId="2BAE5E81" w14:textId="77777777" w:rsidR="006305FB" w:rsidRPr="00FA619D" w:rsidRDefault="006305FB" w:rsidP="00CA0B20">
      <w:pPr>
        <w:spacing w:line="480" w:lineRule="auto"/>
        <w:rPr>
          <w:lang w:val="fr-FR"/>
        </w:rPr>
      </w:pPr>
    </w:p>
    <w:p w14:paraId="5B6C4AF6" w14:textId="77777777" w:rsidR="00F87012" w:rsidRDefault="00F87012" w:rsidP="00CA0B20">
      <w:pPr>
        <w:spacing w:line="480" w:lineRule="auto"/>
        <w:rPr>
          <w:lang w:val="en-US"/>
        </w:rPr>
      </w:pPr>
      <w:r>
        <w:rPr>
          <w:lang w:val="en-US"/>
        </w:rPr>
        <w:t>George S</w:t>
      </w:r>
    </w:p>
    <w:p w14:paraId="64849FDF" w14:textId="77777777" w:rsidR="006305FB" w:rsidRDefault="006305FB" w:rsidP="00CA0B20">
      <w:pPr>
        <w:spacing w:line="480" w:lineRule="auto"/>
        <w:rPr>
          <w:lang w:val="en-US"/>
        </w:rPr>
      </w:pPr>
      <w:r>
        <w:rPr>
          <w:lang w:val="en-US"/>
        </w:rPr>
        <w:t>Reader in Public Health</w:t>
      </w:r>
    </w:p>
    <w:p w14:paraId="4EF62C6A" w14:textId="77777777" w:rsidR="006305FB" w:rsidRDefault="006305FB" w:rsidP="00CA0B20">
      <w:pPr>
        <w:spacing w:line="480" w:lineRule="auto"/>
      </w:pPr>
      <w:r>
        <w:t xml:space="preserve">Academic Unit of Primary Care and Population Sciences </w:t>
      </w:r>
    </w:p>
    <w:p w14:paraId="5512C8C1" w14:textId="77777777" w:rsidR="006305FB" w:rsidRDefault="006305FB" w:rsidP="00CA0B20">
      <w:pPr>
        <w:spacing w:line="480" w:lineRule="auto"/>
      </w:pPr>
      <w:r>
        <w:t>Faculty of Medicine</w:t>
      </w:r>
    </w:p>
    <w:p w14:paraId="4CAC83AE" w14:textId="77777777" w:rsidR="006305FB" w:rsidRDefault="006305FB" w:rsidP="00CA0B20">
      <w:pPr>
        <w:spacing w:line="480" w:lineRule="auto"/>
      </w:pPr>
      <w:r>
        <w:t>University of Southampton</w:t>
      </w:r>
    </w:p>
    <w:p w14:paraId="114495D0" w14:textId="77777777" w:rsidR="006305FB" w:rsidRDefault="006305FB" w:rsidP="00CA0B20">
      <w:pPr>
        <w:spacing w:line="480" w:lineRule="auto"/>
      </w:pPr>
      <w:r>
        <w:lastRenderedPageBreak/>
        <w:t>South Academic Block, Southampton General Hospital</w:t>
      </w:r>
    </w:p>
    <w:p w14:paraId="0F33F9BF" w14:textId="77777777" w:rsidR="006305FB" w:rsidRDefault="006305FB" w:rsidP="00CA0B20">
      <w:pPr>
        <w:spacing w:line="480" w:lineRule="auto"/>
      </w:pPr>
      <w:proofErr w:type="spellStart"/>
      <w:r>
        <w:t>Tremona</w:t>
      </w:r>
      <w:proofErr w:type="spellEnd"/>
      <w:r>
        <w:t xml:space="preserve"> Road, </w:t>
      </w:r>
    </w:p>
    <w:p w14:paraId="5800DC2B" w14:textId="77777777" w:rsidR="006305FB" w:rsidRDefault="006305FB" w:rsidP="00CA0B20">
      <w:pPr>
        <w:spacing w:line="480" w:lineRule="auto"/>
      </w:pPr>
      <w:r>
        <w:t>Southampton</w:t>
      </w:r>
    </w:p>
    <w:p w14:paraId="340B37E9" w14:textId="77777777" w:rsidR="006305FB" w:rsidRDefault="006305FB" w:rsidP="00CA0B20">
      <w:pPr>
        <w:spacing w:line="480" w:lineRule="auto"/>
      </w:pPr>
      <w:r>
        <w:t>Hampshire</w:t>
      </w:r>
    </w:p>
    <w:p w14:paraId="2D6CBAC4" w14:textId="77777777" w:rsidR="006305FB" w:rsidRDefault="006305FB" w:rsidP="00CA0B20">
      <w:pPr>
        <w:spacing w:line="480" w:lineRule="auto"/>
      </w:pPr>
      <w:r>
        <w:t>UK</w:t>
      </w:r>
    </w:p>
    <w:p w14:paraId="3F45B1DE" w14:textId="77777777" w:rsidR="006305FB" w:rsidRDefault="006305FB" w:rsidP="00CA0B20">
      <w:pPr>
        <w:spacing w:line="480" w:lineRule="auto"/>
      </w:pPr>
      <w:r>
        <w:t>SO16 6YD</w:t>
      </w:r>
    </w:p>
    <w:p w14:paraId="6FC5621E" w14:textId="77777777" w:rsidR="006305FB" w:rsidRPr="00B535B8" w:rsidRDefault="006305FB" w:rsidP="00CA0B20">
      <w:pPr>
        <w:spacing w:line="480" w:lineRule="auto"/>
        <w:rPr>
          <w:lang w:val="fr-FR"/>
        </w:rPr>
      </w:pPr>
      <w:r w:rsidRPr="00B535B8">
        <w:rPr>
          <w:lang w:val="fr-FR"/>
        </w:rPr>
        <w:t>Tel: 023 81206530</w:t>
      </w:r>
    </w:p>
    <w:p w14:paraId="02521C40" w14:textId="77777777" w:rsidR="00FA619D" w:rsidRPr="00B535B8" w:rsidRDefault="00FA619D" w:rsidP="00CA0B20">
      <w:pPr>
        <w:spacing w:line="480" w:lineRule="auto"/>
        <w:rPr>
          <w:lang w:val="fr-FR"/>
        </w:rPr>
      </w:pPr>
      <w:r w:rsidRPr="00B535B8">
        <w:rPr>
          <w:lang w:val="fr-FR"/>
        </w:rPr>
        <w:t xml:space="preserve">Email: </w:t>
      </w:r>
      <w:hyperlink r:id="rId10" w:history="1">
        <w:r w:rsidR="007B7077" w:rsidRPr="00B535B8">
          <w:rPr>
            <w:rStyle w:val="Hyperlink"/>
            <w:lang w:val="fr-FR"/>
          </w:rPr>
          <w:t>pluto@soton.ac.uk</w:t>
        </w:r>
      </w:hyperlink>
    </w:p>
    <w:p w14:paraId="2E1A0B4B" w14:textId="77777777" w:rsidR="00A43541" w:rsidRDefault="00A43541">
      <w:pPr>
        <w:rPr>
          <w:b/>
          <w:bCs/>
          <w:lang w:val="fr-FR"/>
        </w:rPr>
      </w:pPr>
    </w:p>
    <w:p w14:paraId="3830011B" w14:textId="77777777" w:rsidR="00A43541" w:rsidRDefault="00A43541">
      <w:pPr>
        <w:rPr>
          <w:b/>
          <w:bCs/>
          <w:lang w:val="fr-FR"/>
        </w:rPr>
      </w:pPr>
    </w:p>
    <w:p w14:paraId="24A73FE1" w14:textId="77777777" w:rsidR="00A43541" w:rsidRDefault="00A43541">
      <w:pPr>
        <w:rPr>
          <w:b/>
          <w:bCs/>
          <w:lang w:val="fr-FR"/>
        </w:rPr>
      </w:pPr>
    </w:p>
    <w:p w14:paraId="764DA156" w14:textId="77777777" w:rsidR="00A43541" w:rsidRPr="00922CE9" w:rsidRDefault="00A43541">
      <w:pPr>
        <w:rPr>
          <w:b/>
          <w:bCs/>
        </w:rPr>
      </w:pPr>
      <w:proofErr w:type="gramStart"/>
      <w:r w:rsidRPr="00922CE9">
        <w:rPr>
          <w:b/>
          <w:bCs/>
        </w:rPr>
        <w:t>Keywords :</w:t>
      </w:r>
      <w:proofErr w:type="gramEnd"/>
    </w:p>
    <w:p w14:paraId="6F5F8EF1" w14:textId="7567D096" w:rsidR="00C77836" w:rsidRPr="00922CE9" w:rsidRDefault="00A43541">
      <w:pPr>
        <w:rPr>
          <w:b/>
          <w:bCs/>
        </w:rPr>
      </w:pPr>
      <w:r w:rsidRPr="00922CE9">
        <w:rPr>
          <w:bCs/>
        </w:rPr>
        <w:t>Glasgow effect, mortality, inequalities</w:t>
      </w:r>
      <w:r w:rsidR="00F878E0" w:rsidRPr="00922CE9">
        <w:rPr>
          <w:bCs/>
        </w:rPr>
        <w:t>, determinants</w:t>
      </w:r>
      <w:r w:rsidR="00C77836" w:rsidRPr="00922CE9">
        <w:rPr>
          <w:b/>
          <w:bCs/>
        </w:rPr>
        <w:br w:type="page"/>
      </w:r>
    </w:p>
    <w:p w14:paraId="669DB284" w14:textId="6114014E" w:rsidR="00837AD1" w:rsidRDefault="00837AD1" w:rsidP="00CA0B20">
      <w:pPr>
        <w:spacing w:line="480" w:lineRule="auto"/>
      </w:pPr>
      <w:r w:rsidRPr="00B535B8">
        <w:rPr>
          <w:b/>
          <w:bCs/>
        </w:rPr>
        <w:lastRenderedPageBreak/>
        <w:t>Abstract</w:t>
      </w:r>
      <w:r>
        <w:t xml:space="preserve"> </w:t>
      </w:r>
    </w:p>
    <w:p w14:paraId="4AD660EC" w14:textId="3385D9D6" w:rsidR="00837AD1" w:rsidRDefault="00937CFF" w:rsidP="00B35318">
      <w:pPr>
        <w:spacing w:line="480" w:lineRule="auto"/>
      </w:pPr>
      <w:r>
        <w:t>Several health outcomes (including mortality) and health related behaviours are known to be worse in Scotland than in comparable areas of Europe and the United Kingdom.  Within Scotland, Greater Glasgow (in West Central Scotland) experiences disproportionately poorer outcomes</w:t>
      </w:r>
      <w:r w:rsidR="00CA7399">
        <w:t xml:space="preserve"> independent of measurable variation in socioeconomic status and other important determinants</w:t>
      </w:r>
      <w:r>
        <w:t>. Many reasons for this have been proposed</w:t>
      </w:r>
      <w:r w:rsidR="00DB30C5">
        <w:t>, particularly related to deprivation, inequalities and variation in health behaviours.</w:t>
      </w:r>
      <w:r w:rsidR="00CA7399">
        <w:t xml:space="preserve"> </w:t>
      </w:r>
      <w:r w:rsidR="008F32A8">
        <w:t>T</w:t>
      </w:r>
      <w:r w:rsidR="006154E1">
        <w:t xml:space="preserve">he use of </w:t>
      </w:r>
      <w:r w:rsidR="005F4F5F">
        <w:t>models (such as the application of Bradford Hill</w:t>
      </w:r>
      <w:r w:rsidR="00A36FA9">
        <w:t>’s viewpoints on</w:t>
      </w:r>
      <w:r w:rsidR="005F4F5F">
        <w:t xml:space="preserve"> causality</w:t>
      </w:r>
      <w:r w:rsidR="00C07736">
        <w:t xml:space="preserve"> </w:t>
      </w:r>
      <w:r w:rsidR="005F4F5F">
        <w:t>to the different hypotheses) has provided useful insights</w:t>
      </w:r>
      <w:r w:rsidR="008F32A8">
        <w:t xml:space="preserve"> on potentially causal mechanisms</w:t>
      </w:r>
      <w:r w:rsidR="006154E1">
        <w:t>,</w:t>
      </w:r>
      <w:r w:rsidR="005F4F5F">
        <w:t xml:space="preserve"> with health behaviours and inequalities likely to represent the strongest </w:t>
      </w:r>
      <w:r w:rsidR="009A53D2">
        <w:t xml:space="preserve">individual </w:t>
      </w:r>
      <w:r w:rsidR="008F32A8">
        <w:t>candidates</w:t>
      </w:r>
      <w:r w:rsidR="005F4F5F">
        <w:t>.</w:t>
      </w:r>
      <w:r w:rsidR="00CA7399">
        <w:t xml:space="preserve"> </w:t>
      </w:r>
      <w:r w:rsidR="00D8215C">
        <w:t xml:space="preserve">This review describes the evolution of </w:t>
      </w:r>
      <w:r w:rsidR="00C51B6E">
        <w:t xml:space="preserve">our </w:t>
      </w:r>
      <w:r w:rsidR="00D8215C">
        <w:t>understanding of Glasgow</w:t>
      </w:r>
      <w:r w:rsidR="00986F2A">
        <w:t xml:space="preserve">’s excess mortality, </w:t>
      </w:r>
      <w:r w:rsidR="00D8215C">
        <w:t xml:space="preserve">summarises some of the key work in this area and provides some suggestions for future areas of exploration. </w:t>
      </w:r>
      <w:r w:rsidR="00052F2C">
        <w:t>In the context of demographic change, t</w:t>
      </w:r>
      <w:r w:rsidR="00D8215C">
        <w:t xml:space="preserve">he </w:t>
      </w:r>
      <w:r w:rsidR="00A776DE">
        <w:t>experience in Glasgow</w:t>
      </w:r>
      <w:r w:rsidR="00D8215C">
        <w:t xml:space="preserve"> is an important example of the complexity that frequently lies behind observed variations in health outcomes within and between populations. A comprehensive explanation of </w:t>
      </w:r>
      <w:r w:rsidR="00B35318">
        <w:t>Glasgow’s excess mortality</w:t>
      </w:r>
      <w:r w:rsidR="00D8215C">
        <w:t xml:space="preserve"> may continue to remain elusive but is likely to lie in a complex and difficult-to-measure interplay of health determinants acting </w:t>
      </w:r>
      <w:r w:rsidR="0056240C">
        <w:t xml:space="preserve">at different levels in society </w:t>
      </w:r>
      <w:r w:rsidR="00D8215C">
        <w:t>through</w:t>
      </w:r>
      <w:r w:rsidR="0056240C">
        <w:t>out</w:t>
      </w:r>
      <w:r w:rsidR="00D8215C">
        <w:t xml:space="preserve"> the life course. </w:t>
      </w:r>
      <w:r w:rsidR="000975FB">
        <w:t xml:space="preserve">Lessons learned from the detailed examination of </w:t>
      </w:r>
      <w:r w:rsidR="00D8215C">
        <w:t>different potentially causative determinants</w:t>
      </w:r>
      <w:r w:rsidR="000975FB">
        <w:t xml:space="preserve"> in Scotland </w:t>
      </w:r>
      <w:r w:rsidR="00D8215C">
        <w:t xml:space="preserve">may </w:t>
      </w:r>
      <w:r w:rsidR="000975FB">
        <w:t xml:space="preserve">provide useful </w:t>
      </w:r>
      <w:r w:rsidR="00D84E26">
        <w:t xml:space="preserve">methodological </w:t>
      </w:r>
      <w:r w:rsidR="000975FB">
        <w:t xml:space="preserve">insights </w:t>
      </w:r>
      <w:r w:rsidR="00D84E26">
        <w:t xml:space="preserve">that </w:t>
      </w:r>
      <w:r w:rsidR="004D572D">
        <w:t xml:space="preserve">may </w:t>
      </w:r>
      <w:r w:rsidR="00D84E26">
        <w:t xml:space="preserve">be applied in other </w:t>
      </w:r>
      <w:r w:rsidR="00D8215C">
        <w:t>settings</w:t>
      </w:r>
      <w:r w:rsidR="00D84E26">
        <w:t>.</w:t>
      </w:r>
      <w:r w:rsidR="000975FB">
        <w:t xml:space="preserve"> </w:t>
      </w:r>
      <w:r w:rsidR="00EF098D">
        <w:t xml:space="preserve"> Ongoing efforts to unravel the </w:t>
      </w:r>
      <w:r w:rsidR="00C67FC6">
        <w:t xml:space="preserve">causal mechanisms </w:t>
      </w:r>
      <w:r w:rsidR="00EF098D">
        <w:t xml:space="preserve">are needed to inform </w:t>
      </w:r>
      <w:r w:rsidR="006370FC">
        <w:t>Public H</w:t>
      </w:r>
      <w:r w:rsidR="00EF098D">
        <w:t>ealth efforts to reduce health inequalities</w:t>
      </w:r>
      <w:r w:rsidR="00C67FC6">
        <w:t xml:space="preserve"> and improve outcomes</w:t>
      </w:r>
      <w:r w:rsidR="00F469EF">
        <w:t xml:space="preserve"> in Scotland</w:t>
      </w:r>
      <w:r w:rsidR="00EF098D">
        <w:t>.</w:t>
      </w:r>
    </w:p>
    <w:p w14:paraId="1D5117F3" w14:textId="77777777" w:rsidR="002E0D29" w:rsidRDefault="002E0D29">
      <w:pPr>
        <w:rPr>
          <w:b/>
          <w:bCs/>
        </w:rPr>
      </w:pPr>
      <w:r>
        <w:rPr>
          <w:b/>
          <w:bCs/>
        </w:rPr>
        <w:br w:type="page"/>
      </w:r>
    </w:p>
    <w:p w14:paraId="4B10936D" w14:textId="42023E60" w:rsidR="007B7077" w:rsidRDefault="00B37973" w:rsidP="00CA0B20">
      <w:pPr>
        <w:spacing w:line="480" w:lineRule="auto"/>
      </w:pPr>
      <w:r w:rsidRPr="00B535B8">
        <w:rPr>
          <w:b/>
          <w:bCs/>
        </w:rPr>
        <w:lastRenderedPageBreak/>
        <w:t>Introduction</w:t>
      </w:r>
      <w:r w:rsidR="00B535B8">
        <w:t xml:space="preserve"> </w:t>
      </w:r>
    </w:p>
    <w:p w14:paraId="7CFE9163" w14:textId="1D8429BC" w:rsidR="005A74AB" w:rsidRDefault="00152B90" w:rsidP="004751C0">
      <w:pPr>
        <w:spacing w:line="480" w:lineRule="auto"/>
      </w:pPr>
      <w:r>
        <w:t>From a global perspective, t</w:t>
      </w:r>
      <w:r w:rsidR="005636F3">
        <w:t>he early part of the</w:t>
      </w:r>
      <w:r w:rsidR="004D26BE">
        <w:t xml:space="preserve"> twenty first century </w:t>
      </w:r>
      <w:r w:rsidR="00C25E41">
        <w:t>has seen</w:t>
      </w:r>
      <w:r w:rsidR="005636F3">
        <w:t xml:space="preserve"> a significant turning point in population distribution. </w:t>
      </w:r>
      <w:r w:rsidR="004751C0">
        <w:t xml:space="preserve">According to </w:t>
      </w:r>
      <w:r w:rsidR="005636F3">
        <w:t>World Health Organis</w:t>
      </w:r>
      <w:r w:rsidR="00D1683F">
        <w:t>at</w:t>
      </w:r>
      <w:r w:rsidR="004751C0">
        <w:t>ion (WHO) estimates</w:t>
      </w:r>
      <w:r w:rsidR="00D1683F">
        <w:t>,</w:t>
      </w:r>
      <w:r w:rsidR="005636F3">
        <w:t xml:space="preserve"> </w:t>
      </w:r>
      <w:r w:rsidR="00C25E41">
        <w:t>in 1990, less than 40% of</w:t>
      </w:r>
      <w:r w:rsidR="005636F3">
        <w:t xml:space="preserve"> the world’s population </w:t>
      </w:r>
      <w:r>
        <w:t>were</w:t>
      </w:r>
      <w:r w:rsidR="005636F3">
        <w:t xml:space="preserve"> liv</w:t>
      </w:r>
      <w:r>
        <w:t>ing</w:t>
      </w:r>
      <w:r w:rsidR="005636F3">
        <w:t xml:space="preserve"> in cities </w:t>
      </w:r>
      <w:r>
        <w:t>compared to</w:t>
      </w:r>
      <w:r w:rsidR="00C25E41">
        <w:t xml:space="preserve"> over half by 2010.</w:t>
      </w:r>
      <w:r w:rsidR="005636F3" w:rsidRPr="005636F3">
        <w:rPr>
          <w:vertAlign w:val="superscript"/>
        </w:rPr>
        <w:t>1</w:t>
      </w:r>
      <w:r w:rsidR="00E74E43">
        <w:t xml:space="preserve"> </w:t>
      </w:r>
      <w:r w:rsidR="00C25E41">
        <w:t xml:space="preserve">This rapid transition is having fundamental implications for health and </w:t>
      </w:r>
      <w:r w:rsidR="005A74AB">
        <w:t xml:space="preserve">health </w:t>
      </w:r>
      <w:r w:rsidR="00C25E41">
        <w:t xml:space="preserve">inequalities. </w:t>
      </w:r>
      <w:r w:rsidR="00C5617E">
        <w:t>In Europe, unlike other major world regions</w:t>
      </w:r>
      <w:r w:rsidR="004D26BE">
        <w:t>, the</w:t>
      </w:r>
      <w:r w:rsidR="00C5617E">
        <w:t xml:space="preserve"> overall population is predicted to fall</w:t>
      </w:r>
      <w:r w:rsidR="003255E1">
        <w:t>.</w:t>
      </w:r>
      <w:r w:rsidR="003255E1" w:rsidRPr="00922CE9">
        <w:rPr>
          <w:vertAlign w:val="superscript"/>
        </w:rPr>
        <w:t>2</w:t>
      </w:r>
      <w:r w:rsidR="004D26BE">
        <w:t xml:space="preserve"> </w:t>
      </w:r>
      <w:r w:rsidR="003255E1">
        <w:t xml:space="preserve">  L</w:t>
      </w:r>
      <w:r w:rsidR="004D26BE">
        <w:t>ow fertility rates, decreasing premature mortality rates</w:t>
      </w:r>
      <w:r w:rsidR="001B53F9">
        <w:t>, and</w:t>
      </w:r>
      <w:r w:rsidR="004D26BE">
        <w:t xml:space="preserve"> flattening t</w:t>
      </w:r>
      <w:r w:rsidR="00E54EAB">
        <w:t>r</w:t>
      </w:r>
      <w:r w:rsidR="004D26BE">
        <w:t>ends in immigration</w:t>
      </w:r>
      <w:r w:rsidR="003255E1">
        <w:t xml:space="preserve"> are</w:t>
      </w:r>
      <w:r w:rsidR="004D26BE">
        <w:t xml:space="preserve"> leading to </w:t>
      </w:r>
      <w:r w:rsidR="00C5617E">
        <w:t xml:space="preserve">an </w:t>
      </w:r>
      <w:r w:rsidR="004D26BE">
        <w:t xml:space="preserve">older </w:t>
      </w:r>
      <w:r w:rsidR="00C5617E">
        <w:t>population</w:t>
      </w:r>
      <w:r w:rsidR="004D26BE">
        <w:t xml:space="preserve"> profile</w:t>
      </w:r>
      <w:r w:rsidR="00C5617E">
        <w:t>.</w:t>
      </w:r>
      <w:r w:rsidR="00C5617E" w:rsidRPr="00C5617E">
        <w:rPr>
          <w:vertAlign w:val="superscript"/>
        </w:rPr>
        <w:t>2</w:t>
      </w:r>
      <w:r w:rsidR="00E74E43">
        <w:t xml:space="preserve"> </w:t>
      </w:r>
      <w:r w:rsidR="003255E1">
        <w:t>Along with</w:t>
      </w:r>
      <w:r w:rsidR="00C737CC">
        <w:t xml:space="preserve"> these important </w:t>
      </w:r>
      <w:r w:rsidR="003255E1">
        <w:t xml:space="preserve">demographic </w:t>
      </w:r>
      <w:r w:rsidR="00C737CC">
        <w:t>changes</w:t>
      </w:r>
      <w:r w:rsidR="001B53F9">
        <w:t xml:space="preserve">, wide variations are seen </w:t>
      </w:r>
      <w:r w:rsidR="005A74AB">
        <w:t xml:space="preserve">across Europe </w:t>
      </w:r>
      <w:r w:rsidR="001B53F9">
        <w:t xml:space="preserve">in </w:t>
      </w:r>
      <w:r w:rsidR="00C737CC">
        <w:t>health</w:t>
      </w:r>
      <w:r w:rsidR="003C6581">
        <w:t>-related</w:t>
      </w:r>
      <w:r w:rsidR="00C737CC">
        <w:t xml:space="preserve"> </w:t>
      </w:r>
      <w:r w:rsidR="00E13843">
        <w:t xml:space="preserve">behaviours (such as smoking and alcohol consumption) and </w:t>
      </w:r>
      <w:r w:rsidR="003C6581">
        <w:t xml:space="preserve">health </w:t>
      </w:r>
      <w:r w:rsidR="00C737CC">
        <w:t>outcomes</w:t>
      </w:r>
      <w:r w:rsidR="00E13843">
        <w:t xml:space="preserve"> (such as prevalence of long term conditions and mortality)</w:t>
      </w:r>
      <w:r w:rsidR="005A74AB">
        <w:t xml:space="preserve"> both between and within countries</w:t>
      </w:r>
      <w:r w:rsidR="00C737CC">
        <w:t xml:space="preserve">. </w:t>
      </w:r>
      <w:r w:rsidR="00E13843">
        <w:t>L</w:t>
      </w:r>
      <w:r w:rsidR="00F7654C">
        <w:t xml:space="preserve">ife expectancy at birth </w:t>
      </w:r>
      <w:r w:rsidR="00E74E43">
        <w:t>and mortality rates</w:t>
      </w:r>
      <w:r w:rsidR="00E13843">
        <w:t>, for example</w:t>
      </w:r>
      <w:r w:rsidR="00512BAB">
        <w:t>,</w:t>
      </w:r>
      <w:r w:rsidR="00E74E43">
        <w:t xml:space="preserve"> </w:t>
      </w:r>
      <w:r w:rsidR="00E13843">
        <w:t xml:space="preserve">have been shown to </w:t>
      </w:r>
      <w:r w:rsidR="00F7654C">
        <w:t>var</w:t>
      </w:r>
      <w:r w:rsidR="00E74E43">
        <w:t>y</w:t>
      </w:r>
      <w:r w:rsidR="00F7654C">
        <w:t xml:space="preserve"> </w:t>
      </w:r>
      <w:r w:rsidR="00E13843">
        <w:t>considerab</w:t>
      </w:r>
      <w:r w:rsidR="00DD46C0">
        <w:t>ly</w:t>
      </w:r>
      <w:r w:rsidR="00F7654C">
        <w:t xml:space="preserve"> between</w:t>
      </w:r>
      <w:r w:rsidR="00DD46C0">
        <w:t xml:space="preserve"> </w:t>
      </w:r>
      <w:r w:rsidR="00E13843">
        <w:t>different Europe</w:t>
      </w:r>
      <w:r w:rsidR="005A74AB">
        <w:t>an countries, regions and cities</w:t>
      </w:r>
      <w:r w:rsidR="00DD46C0">
        <w:t>.</w:t>
      </w:r>
      <w:r w:rsidR="00DD46C0" w:rsidRPr="00DD46C0">
        <w:rPr>
          <w:vertAlign w:val="superscript"/>
        </w:rPr>
        <w:t>3</w:t>
      </w:r>
      <w:r w:rsidR="00DD46C0">
        <w:t xml:space="preserve"> </w:t>
      </w:r>
    </w:p>
    <w:p w14:paraId="400E52D6" w14:textId="20248B4D" w:rsidR="000919C5" w:rsidRDefault="00502BF6" w:rsidP="000919C5">
      <w:pPr>
        <w:spacing w:line="480" w:lineRule="auto"/>
      </w:pPr>
      <w:r>
        <w:t xml:space="preserve">Scotland’s </w:t>
      </w:r>
      <w:r w:rsidR="00DC0BFD">
        <w:t>relatively poor</w:t>
      </w:r>
      <w:r>
        <w:t xml:space="preserve"> health profile</w:t>
      </w:r>
      <w:r w:rsidR="00DC0BFD">
        <w:t>,</w:t>
      </w:r>
      <w:r>
        <w:t xml:space="preserve"> compared with other parts of </w:t>
      </w:r>
      <w:r w:rsidR="000E2AA6">
        <w:t xml:space="preserve">the United Kingdom and with </w:t>
      </w:r>
      <w:r>
        <w:t>Europe</w:t>
      </w:r>
      <w:r w:rsidR="00DC0BFD">
        <w:t>,</w:t>
      </w:r>
      <w:r>
        <w:t xml:space="preserve"> has been recognised for some considerable time. </w:t>
      </w:r>
      <w:r w:rsidR="00515A35">
        <w:t xml:space="preserve">In 1989, </w:t>
      </w:r>
      <w:proofErr w:type="spellStart"/>
      <w:r w:rsidR="00515A35">
        <w:t>Carstairs</w:t>
      </w:r>
      <w:proofErr w:type="spellEnd"/>
      <w:r w:rsidR="00515A35">
        <w:t xml:space="preserve"> and Morris examined the difference between mortality experience in Scotland and England and Wales and suggested that the excess mortality in Scotland may be explained by more adve</w:t>
      </w:r>
      <w:r w:rsidR="000E2AA6">
        <w:t xml:space="preserve">rse conditions </w:t>
      </w:r>
      <w:r w:rsidR="00687D9B">
        <w:t>(</w:t>
      </w:r>
      <w:r w:rsidR="00AE5A8C">
        <w:t>ie</w:t>
      </w:r>
      <w:r w:rsidR="000E2AA6">
        <w:t xml:space="preserve"> </w:t>
      </w:r>
      <w:r w:rsidR="00687D9B">
        <w:t xml:space="preserve">greater </w:t>
      </w:r>
      <w:r w:rsidR="000E2AA6">
        <w:t>deprivation</w:t>
      </w:r>
      <w:r w:rsidR="00687D9B">
        <w:t>)</w:t>
      </w:r>
      <w:r w:rsidR="000E2AA6">
        <w:t xml:space="preserve"> </w:t>
      </w:r>
      <w:r w:rsidR="00687D9B">
        <w:t>but</w:t>
      </w:r>
      <w:r w:rsidR="000E2AA6">
        <w:t xml:space="preserve"> </w:t>
      </w:r>
      <w:r w:rsidR="00687D9B">
        <w:t xml:space="preserve">were unable to demonstrate </w:t>
      </w:r>
      <w:r w:rsidR="000E2AA6">
        <w:t>a causal relationship.</w:t>
      </w:r>
      <w:r w:rsidR="00515A35">
        <w:rPr>
          <w:vertAlign w:val="superscript"/>
        </w:rPr>
        <w:t>4</w:t>
      </w:r>
      <w:r w:rsidR="000E2AA6">
        <w:t xml:space="preserve"> Such observations l</w:t>
      </w:r>
      <w:r w:rsidR="00515A35">
        <w:t>e</w:t>
      </w:r>
      <w:r w:rsidR="000E2AA6">
        <w:t>d</w:t>
      </w:r>
      <w:r w:rsidR="00515A35">
        <w:t xml:space="preserve"> to the concept of a ‘Scottish effect’</w:t>
      </w:r>
      <w:r w:rsidR="000E2AA6">
        <w:t xml:space="preserve"> in which Scotland was observed to experience an excess of poor health outcomes </w:t>
      </w:r>
      <w:r w:rsidR="004303D4">
        <w:t>greater than that which</w:t>
      </w:r>
      <w:r w:rsidR="000E2AA6">
        <w:t xml:space="preserve"> could be explained by variation in common factors such </w:t>
      </w:r>
      <w:r w:rsidR="00687D9B">
        <w:t xml:space="preserve">as </w:t>
      </w:r>
      <w:r w:rsidR="00F065B5">
        <w:t>differences in</w:t>
      </w:r>
      <w:r w:rsidR="000E2AA6">
        <w:t xml:space="preserve"> age distribution</w:t>
      </w:r>
      <w:r w:rsidR="00515A35">
        <w:t>.</w:t>
      </w:r>
      <w:r w:rsidR="00515A35">
        <w:rPr>
          <w:vertAlign w:val="superscript"/>
        </w:rPr>
        <w:t>5</w:t>
      </w:r>
      <w:r w:rsidR="00515A35">
        <w:t xml:space="preserve"> This led </w:t>
      </w:r>
      <w:r w:rsidR="000919C5">
        <w:t xml:space="preserve">Public Health leaders </w:t>
      </w:r>
      <w:r w:rsidR="00515A35">
        <w:t>to call for a ‘step change’ in societal efforts to improve health in Scotland.</w:t>
      </w:r>
      <w:r w:rsidR="00515A35" w:rsidRPr="00515A35">
        <w:rPr>
          <w:vertAlign w:val="superscript"/>
        </w:rPr>
        <w:t>6</w:t>
      </w:r>
      <w:r w:rsidR="00515A35">
        <w:t xml:space="preserve"> However, the </w:t>
      </w:r>
      <w:r w:rsidR="007D6E91">
        <w:t xml:space="preserve">optimal targeting of </w:t>
      </w:r>
      <w:r w:rsidR="00515A35">
        <w:t xml:space="preserve">such efforts </w:t>
      </w:r>
      <w:r w:rsidR="007D6E91">
        <w:t xml:space="preserve">and their effectiveness in narrowing inequalities </w:t>
      </w:r>
      <w:r w:rsidR="00515A35">
        <w:t>may have been</w:t>
      </w:r>
      <w:r w:rsidR="00F065B5">
        <w:t xml:space="preserve"> somewhat </w:t>
      </w:r>
      <w:r w:rsidR="007D6E91">
        <w:t xml:space="preserve">hindered by </w:t>
      </w:r>
      <w:r w:rsidR="00515A35">
        <w:t xml:space="preserve">uncertainty about </w:t>
      </w:r>
      <w:r w:rsidR="00F065B5">
        <w:t>true</w:t>
      </w:r>
      <w:r w:rsidR="00515A35">
        <w:t xml:space="preserve"> causal mechanisms. </w:t>
      </w:r>
    </w:p>
    <w:p w14:paraId="4E5150E6" w14:textId="7241CA2A" w:rsidR="005636F3" w:rsidRDefault="00C32770" w:rsidP="00DE66B4">
      <w:pPr>
        <w:spacing w:line="480" w:lineRule="auto"/>
      </w:pPr>
      <w:r>
        <w:lastRenderedPageBreak/>
        <w:t>Newer</w:t>
      </w:r>
      <w:r w:rsidR="00E13843">
        <w:t xml:space="preserve"> techniques</w:t>
      </w:r>
      <w:r w:rsidR="000919C5">
        <w:t>,</w:t>
      </w:r>
      <w:r w:rsidR="00E13843">
        <w:t xml:space="preserve"> such as </w:t>
      </w:r>
      <w:r w:rsidR="00757EBA">
        <w:t>multilevel modelling</w:t>
      </w:r>
      <w:r w:rsidR="000919C5">
        <w:t>,</w:t>
      </w:r>
      <w:r w:rsidR="00757EBA">
        <w:t xml:space="preserve"> </w:t>
      </w:r>
      <w:r w:rsidR="00E13843">
        <w:t xml:space="preserve">have allowed for better understanding of </w:t>
      </w:r>
      <w:r w:rsidR="002E30D9">
        <w:t xml:space="preserve">the nature of </w:t>
      </w:r>
      <w:r w:rsidR="00E13843">
        <w:t>associations</w:t>
      </w:r>
      <w:r w:rsidR="000919C5">
        <w:t xml:space="preserve"> </w:t>
      </w:r>
      <w:r w:rsidR="002E30D9">
        <w:t>(</w:t>
      </w:r>
      <w:r w:rsidR="000919C5">
        <w:t xml:space="preserve">such as that between deprivation and </w:t>
      </w:r>
      <w:r w:rsidR="00013166">
        <w:t>diet</w:t>
      </w:r>
      <w:r w:rsidR="002E30D9">
        <w:t>)</w:t>
      </w:r>
      <w:r w:rsidR="003E36F0">
        <w:t>, but have also resulted in greater awareness of the lack of simplistic explanations</w:t>
      </w:r>
      <w:r w:rsidR="00E13843">
        <w:t xml:space="preserve">. </w:t>
      </w:r>
      <w:r w:rsidR="003E36F0">
        <w:t>For example, i</w:t>
      </w:r>
      <w:r>
        <w:t>mproved</w:t>
      </w:r>
      <w:r w:rsidR="00E13843">
        <w:t xml:space="preserve"> </w:t>
      </w:r>
      <w:r w:rsidR="002E30D9">
        <w:t xml:space="preserve">ability to </w:t>
      </w:r>
      <w:r w:rsidR="00E13843">
        <w:t>compar</w:t>
      </w:r>
      <w:r w:rsidR="002E30D9">
        <w:t>e</w:t>
      </w:r>
      <w:r w:rsidR="00E13843">
        <w:t xml:space="preserve"> </w:t>
      </w:r>
      <w:r w:rsidR="00E164B6">
        <w:t xml:space="preserve">the relationship between </w:t>
      </w:r>
      <w:r w:rsidR="00E13843">
        <w:t xml:space="preserve">Scottish health behaviours and </w:t>
      </w:r>
      <w:r w:rsidR="002E30D9">
        <w:t xml:space="preserve">associated </w:t>
      </w:r>
      <w:r w:rsidR="00E13843">
        <w:t>outcomes has meant that the role of deprivation as the sole explanatory factor has been questioned</w:t>
      </w:r>
      <w:r w:rsidR="00E164B6">
        <w:t>.</w:t>
      </w:r>
      <w:r w:rsidR="00DE66B4" w:rsidRPr="00D633EC">
        <w:rPr>
          <w:vertAlign w:val="superscript"/>
        </w:rPr>
        <w:t>7</w:t>
      </w:r>
      <w:r w:rsidR="00E13843">
        <w:t xml:space="preserve"> </w:t>
      </w:r>
      <w:r w:rsidR="002E30D9">
        <w:t>Similarly, b</w:t>
      </w:r>
      <w:r w:rsidR="00E13843">
        <w:t xml:space="preserve">etter understanding </w:t>
      </w:r>
      <w:r w:rsidR="00D05DC9">
        <w:t xml:space="preserve">of factors </w:t>
      </w:r>
      <w:r w:rsidR="00E13843">
        <w:t xml:space="preserve">such as </w:t>
      </w:r>
      <w:r w:rsidR="00DE66B4">
        <w:t>the</w:t>
      </w:r>
      <w:r w:rsidR="00E13843">
        <w:t xml:space="preserve"> apparent </w:t>
      </w:r>
      <w:r w:rsidR="00DE66B4">
        <w:t>change</w:t>
      </w:r>
      <w:r w:rsidR="00D05DC9">
        <w:t xml:space="preserve"> in</w:t>
      </w:r>
      <w:r w:rsidR="00E13843">
        <w:t xml:space="preserve"> </w:t>
      </w:r>
      <w:r w:rsidR="00DE66B4">
        <w:t xml:space="preserve">the </w:t>
      </w:r>
      <w:r w:rsidR="00E13843">
        <w:t>influence</w:t>
      </w:r>
      <w:r w:rsidR="00DE66B4">
        <w:t xml:space="preserve"> of socioeconomic status over time</w:t>
      </w:r>
      <w:r w:rsidR="00E13843">
        <w:t xml:space="preserve"> </w:t>
      </w:r>
      <w:r w:rsidR="00204A7A">
        <w:t xml:space="preserve">(when </w:t>
      </w:r>
      <w:r w:rsidR="00E13843">
        <w:t>compared with the rest of Great Britain</w:t>
      </w:r>
      <w:r w:rsidR="00204A7A">
        <w:t>)</w:t>
      </w:r>
      <w:r w:rsidR="00DE66B4">
        <w:t xml:space="preserve"> has revealed </w:t>
      </w:r>
      <w:r w:rsidR="00680F37">
        <w:t xml:space="preserve">a </w:t>
      </w:r>
      <w:r w:rsidR="00DE66B4">
        <w:t xml:space="preserve">greater </w:t>
      </w:r>
      <w:r w:rsidR="00680F37">
        <w:t xml:space="preserve">underlying degree of </w:t>
      </w:r>
      <w:r w:rsidR="00DE66B4">
        <w:t>complexity</w:t>
      </w:r>
      <w:r w:rsidR="002E30D9">
        <w:t xml:space="preserve"> than was previously appreciated</w:t>
      </w:r>
      <w:r w:rsidR="00E13843">
        <w:t>.</w:t>
      </w:r>
      <w:r w:rsidR="00E13843">
        <w:rPr>
          <w:vertAlign w:val="superscript"/>
        </w:rPr>
        <w:t>8</w:t>
      </w:r>
      <w:proofErr w:type="gramStart"/>
      <w:r w:rsidR="00E13843">
        <w:rPr>
          <w:vertAlign w:val="superscript"/>
        </w:rPr>
        <w:t>,9</w:t>
      </w:r>
      <w:proofErr w:type="gramEnd"/>
      <w:r w:rsidR="00F7654C">
        <w:t xml:space="preserve"> </w:t>
      </w:r>
    </w:p>
    <w:p w14:paraId="5120E898" w14:textId="7A8EB6D9" w:rsidR="003E36F0" w:rsidRDefault="00D02056" w:rsidP="004A6152">
      <w:pPr>
        <w:spacing w:line="480" w:lineRule="auto"/>
      </w:pPr>
      <w:r>
        <w:t xml:space="preserve">Leading on from the identification of </w:t>
      </w:r>
      <w:r w:rsidR="004A6152">
        <w:t xml:space="preserve">the variation between </w:t>
      </w:r>
      <w:r>
        <w:t>Scot</w:t>
      </w:r>
      <w:r w:rsidR="004A6152">
        <w:t>land and  the rest of the UK</w:t>
      </w:r>
      <w:r>
        <w:t xml:space="preserve">, </w:t>
      </w:r>
      <w:r w:rsidR="00820DEB">
        <w:t>the Glasg</w:t>
      </w:r>
      <w:r>
        <w:t xml:space="preserve">ow Centre for Population Health </w:t>
      </w:r>
      <w:r w:rsidR="00855F1C">
        <w:t>(GCPH) has been in the forefront of work</w:t>
      </w:r>
      <w:r>
        <w:t xml:space="preserve"> </w:t>
      </w:r>
      <w:r w:rsidR="00820DEB">
        <w:t>identif</w:t>
      </w:r>
      <w:r w:rsidR="00855F1C">
        <w:t>ying</w:t>
      </w:r>
      <w:r w:rsidR="00820DEB">
        <w:t xml:space="preserve"> that several health outcomes and health-related </w:t>
      </w:r>
      <w:r>
        <w:t>behaviours are</w:t>
      </w:r>
      <w:r w:rsidR="00820DEB">
        <w:t xml:space="preserve"> worse in</w:t>
      </w:r>
      <w:r w:rsidR="00820DEB" w:rsidRPr="00820DEB">
        <w:t xml:space="preserve"> </w:t>
      </w:r>
      <w:r w:rsidR="00C74A47">
        <w:t xml:space="preserve">particular areas </w:t>
      </w:r>
      <w:r w:rsidR="00C74A47" w:rsidRPr="00EC7B34">
        <w:rPr>
          <w:i/>
        </w:rPr>
        <w:t>within</w:t>
      </w:r>
      <w:r w:rsidR="00C74A47">
        <w:t xml:space="preserve"> Scotland, particularly </w:t>
      </w:r>
      <w:r w:rsidR="00820DEB">
        <w:t>West Central Scotland (</w:t>
      </w:r>
      <w:r w:rsidR="00C74A47">
        <w:t>including</w:t>
      </w:r>
      <w:r w:rsidR="00820DEB">
        <w:t xml:space="preserve"> </w:t>
      </w:r>
      <w:r>
        <w:t>Greater</w:t>
      </w:r>
      <w:r w:rsidR="00C74A47">
        <w:t xml:space="preserve"> </w:t>
      </w:r>
      <w:r w:rsidR="00820DEB">
        <w:t>Glasgow)</w:t>
      </w:r>
      <w:r w:rsidR="00820DEB" w:rsidRPr="00820DEB">
        <w:t xml:space="preserve"> and </w:t>
      </w:r>
      <w:r>
        <w:t>ar</w:t>
      </w:r>
      <w:r w:rsidR="009C2DAD">
        <w:t xml:space="preserve">e </w:t>
      </w:r>
      <w:r w:rsidR="00820DEB" w:rsidRPr="00820DEB">
        <w:t>improving at a slower rate than comparable, post-industrial regions in Europe</w:t>
      </w:r>
      <w:r w:rsidR="004D5E5F">
        <w:t xml:space="preserve"> and the rest of Scotland</w:t>
      </w:r>
      <w:r w:rsidR="00820DEB" w:rsidRPr="00820DEB">
        <w:t>.</w:t>
      </w:r>
      <w:r w:rsidR="00AF7F47">
        <w:rPr>
          <w:vertAlign w:val="superscript"/>
        </w:rPr>
        <w:t>8,1</w:t>
      </w:r>
      <w:r w:rsidR="004D5E5F" w:rsidRPr="009662D9">
        <w:rPr>
          <w:vertAlign w:val="superscript"/>
        </w:rPr>
        <w:t>0,11,12</w:t>
      </w:r>
      <w:r w:rsidR="009662D9">
        <w:t xml:space="preserve"> </w:t>
      </w:r>
      <w:r w:rsidR="009B4214">
        <w:t>Yet, despite a growing body of research in this area, a</w:t>
      </w:r>
      <w:r w:rsidR="009C2DAD">
        <w:t xml:space="preserve"> c</w:t>
      </w:r>
      <w:r w:rsidR="003E36F0">
        <w:t>o</w:t>
      </w:r>
      <w:r w:rsidR="009C2DAD">
        <w:t xml:space="preserve">mprehensive explanation for </w:t>
      </w:r>
      <w:r w:rsidR="00986F2A">
        <w:t xml:space="preserve">Glasgow’s excess mortality </w:t>
      </w:r>
      <w:r w:rsidR="003E36F0">
        <w:t xml:space="preserve"> </w:t>
      </w:r>
      <w:r w:rsidR="009C2DAD">
        <w:t>has</w:t>
      </w:r>
      <w:r w:rsidR="009B4214">
        <w:t xml:space="preserve"> continued to</w:t>
      </w:r>
      <w:r w:rsidR="003E36F0">
        <w:t xml:space="preserve"> prove elusive. </w:t>
      </w:r>
      <w:r w:rsidR="00986F2A">
        <w:t xml:space="preserve"> This effect has sometimes been referred to as ‘the Glasgow effect’, although the term is considered by some to be unhelpful.</w:t>
      </w:r>
      <w:r w:rsidR="00037F93">
        <w:t xml:space="preserve"> T</w:t>
      </w:r>
      <w:r w:rsidR="00037F93" w:rsidRPr="00037F93">
        <w:t xml:space="preserve">he excess </w:t>
      </w:r>
      <w:r w:rsidR="00037F93">
        <w:t>appears to be increasing over time,</w:t>
      </w:r>
      <w:r w:rsidR="00037F93" w:rsidRPr="00037F93">
        <w:t xml:space="preserve"> is seen for many different causes of death</w:t>
      </w:r>
      <w:r w:rsidR="00037F93">
        <w:t>,</w:t>
      </w:r>
      <w:r w:rsidR="00037F93" w:rsidRPr="00037F93">
        <w:t xml:space="preserve"> is seen in comparison of </w:t>
      </w:r>
      <w:r w:rsidR="00037F93">
        <w:t>all</w:t>
      </w:r>
      <w:r w:rsidR="00037F93" w:rsidRPr="00037F93">
        <w:t xml:space="preserve"> social classes </w:t>
      </w:r>
      <w:r w:rsidR="00037F93">
        <w:t>(</w:t>
      </w:r>
      <w:r w:rsidR="00037F93" w:rsidRPr="00037F93">
        <w:t>although for premature mortality, the excess is greatest in comparisons of those living in the poorest areas</w:t>
      </w:r>
      <w:r w:rsidR="00037F93">
        <w:t>),</w:t>
      </w:r>
      <w:r w:rsidR="00037F93" w:rsidRPr="00037F93">
        <w:t xml:space="preserve"> and has been observed in all parts of Scotland</w:t>
      </w:r>
      <w:r w:rsidR="00037F93">
        <w:t xml:space="preserve"> when compared to other areas</w:t>
      </w:r>
      <w:r w:rsidR="00037F93" w:rsidRPr="00037F93">
        <w:t>, not just Glasgow</w:t>
      </w:r>
      <w:r w:rsidR="00037F93">
        <w:t>.</w:t>
      </w:r>
    </w:p>
    <w:p w14:paraId="5508E78E" w14:textId="6A9D6DE8" w:rsidR="002E0D29" w:rsidRDefault="00452918" w:rsidP="00680F37">
      <w:pPr>
        <w:spacing w:line="480" w:lineRule="auto"/>
      </w:pPr>
      <w:r>
        <w:t>T</w:t>
      </w:r>
      <w:r w:rsidR="00655F85">
        <w:t xml:space="preserve">his </w:t>
      </w:r>
      <w:r w:rsidR="002E0D29">
        <w:t xml:space="preserve">review </w:t>
      </w:r>
      <w:r>
        <w:t xml:space="preserve">does not aim to </w:t>
      </w:r>
      <w:r w:rsidR="00BB404B">
        <w:t>represent</w:t>
      </w:r>
      <w:r w:rsidR="003E36F0">
        <w:t xml:space="preserve"> </w:t>
      </w:r>
      <w:r>
        <w:t xml:space="preserve">a </w:t>
      </w:r>
      <w:r w:rsidR="003E36F0">
        <w:t>complete</w:t>
      </w:r>
      <w:r>
        <w:t xml:space="preserve"> </w:t>
      </w:r>
      <w:r w:rsidR="00680F37">
        <w:t xml:space="preserve">synopsis </w:t>
      </w:r>
      <w:r>
        <w:t xml:space="preserve">of all work in this area, but to </w:t>
      </w:r>
      <w:r w:rsidR="00531F91">
        <w:t>describe</w:t>
      </w:r>
      <w:r w:rsidR="002E0D29">
        <w:t xml:space="preserve"> </w:t>
      </w:r>
      <w:r w:rsidR="004315E2">
        <w:t xml:space="preserve">some of the studies that have </w:t>
      </w:r>
      <w:r w:rsidR="00BB404B">
        <w:t>been key in shaping our</w:t>
      </w:r>
      <w:r w:rsidR="004315E2">
        <w:t xml:space="preserve"> understanding of </w:t>
      </w:r>
      <w:r w:rsidR="001D4AC8">
        <w:t xml:space="preserve">the excess mortality in Scotland and, more specifically, in </w:t>
      </w:r>
      <w:r w:rsidR="00655F85">
        <w:t>Glasgow</w:t>
      </w:r>
      <w:r w:rsidR="004315E2">
        <w:t xml:space="preserve">, to summarize current thinking </w:t>
      </w:r>
      <w:r>
        <w:t>in the light of more recent work a</w:t>
      </w:r>
      <w:r w:rsidR="00531F91">
        <w:t xml:space="preserve">nd </w:t>
      </w:r>
      <w:r w:rsidR="004315E2">
        <w:t xml:space="preserve">to </w:t>
      </w:r>
      <w:r w:rsidR="00531F91">
        <w:t xml:space="preserve">identify where </w:t>
      </w:r>
      <w:r w:rsidR="00C33EDF">
        <w:t>uncertainties</w:t>
      </w:r>
      <w:r w:rsidR="00531F91">
        <w:t xml:space="preserve"> remain </w:t>
      </w:r>
      <w:r w:rsidR="00C33EDF">
        <w:t>that may require</w:t>
      </w:r>
      <w:r w:rsidR="00531F91">
        <w:t xml:space="preserve"> future investigation.</w:t>
      </w:r>
    </w:p>
    <w:p w14:paraId="51A80AA0" w14:textId="77777777" w:rsidR="002E0D29" w:rsidRDefault="002E0D29" w:rsidP="00CA0B20">
      <w:pPr>
        <w:spacing w:line="480" w:lineRule="auto"/>
      </w:pPr>
    </w:p>
    <w:p w14:paraId="6879021C" w14:textId="056743E4" w:rsidR="009E3D5A" w:rsidRPr="009E3D5A" w:rsidRDefault="00007BEB" w:rsidP="00CA0B20">
      <w:pPr>
        <w:spacing w:line="480" w:lineRule="auto"/>
        <w:rPr>
          <w:b/>
        </w:rPr>
      </w:pPr>
      <w:r>
        <w:rPr>
          <w:b/>
        </w:rPr>
        <w:t>Deprivation and health in Scotland</w:t>
      </w:r>
    </w:p>
    <w:p w14:paraId="1682390A" w14:textId="52C80530" w:rsidR="007F3E8B" w:rsidRDefault="007F3E8B" w:rsidP="007F3E8B">
      <w:pPr>
        <w:spacing w:line="480" w:lineRule="auto"/>
      </w:pPr>
      <w:r>
        <w:t xml:space="preserve">In </w:t>
      </w:r>
      <w:r w:rsidR="00007BEB">
        <w:t xml:space="preserve">2005, Hanlon and colleagues published the findings of </w:t>
      </w:r>
      <w:r>
        <w:t xml:space="preserve">a cross sectional </w:t>
      </w:r>
      <w:r w:rsidR="00052AD6">
        <w:t>analysis of the</w:t>
      </w:r>
      <w:r w:rsidR="002A0840">
        <w:t xml:space="preserve">  Brit</w:t>
      </w:r>
      <w:r w:rsidR="00D7079A">
        <w:t>ish</w:t>
      </w:r>
      <w:r w:rsidR="002A0840">
        <w:t xml:space="preserve"> </w:t>
      </w:r>
      <w:r w:rsidR="00D7079A">
        <w:t xml:space="preserve">population </w:t>
      </w:r>
      <w:r w:rsidR="002A0840">
        <w:t xml:space="preserve">using data from the </w:t>
      </w:r>
      <w:r w:rsidR="00052AD6">
        <w:t>1981,1991 and 2001 censuses</w:t>
      </w:r>
      <w:r>
        <w:t xml:space="preserve">, </w:t>
      </w:r>
      <w:r w:rsidR="00007BEB">
        <w:t>demonstrating</w:t>
      </w:r>
      <w:r>
        <w:t xml:space="preserve"> that, between 1981 and 2001, Scotland became less deprived relative to the rest of Great Britain but that age and sex standardised all-cause mortality rates were 12% higher in Scotland in 1981 and 15% higher in 2001.</w:t>
      </w:r>
      <w:r w:rsidR="005502D4" w:rsidRPr="005502D4">
        <w:rPr>
          <w:vertAlign w:val="superscript"/>
        </w:rPr>
        <w:t>8</w:t>
      </w:r>
      <w:r>
        <w:t xml:space="preserve"> </w:t>
      </w:r>
      <w:r w:rsidR="00CB6FDD">
        <w:t>From their findings, they also</w:t>
      </w:r>
      <w:r>
        <w:t xml:space="preserve"> </w:t>
      </w:r>
      <w:r w:rsidR="005502D4">
        <w:t>suggested</w:t>
      </w:r>
      <w:r>
        <w:t xml:space="preserve"> that measures of deprivation (using the </w:t>
      </w:r>
      <w:proofErr w:type="spellStart"/>
      <w:r>
        <w:t>Carstairs</w:t>
      </w:r>
      <w:proofErr w:type="spellEnd"/>
      <w:r>
        <w:t xml:space="preserve"> score – a measure of area-based deprivation based on four variables – adult male unemployment, lack of car ownership, low social class and overcrowding)</w:t>
      </w:r>
      <w:r w:rsidR="00AC7233" w:rsidRPr="00AC7233">
        <w:rPr>
          <w:vertAlign w:val="superscript"/>
        </w:rPr>
        <w:t>13</w:t>
      </w:r>
      <w:r>
        <w:t xml:space="preserve"> did not explain most of the </w:t>
      </w:r>
      <w:r w:rsidR="009824F1">
        <w:t xml:space="preserve">higher </w:t>
      </w:r>
      <w:r>
        <w:t>mortality in Scotland</w:t>
      </w:r>
      <w:r w:rsidR="006F0362">
        <w:t xml:space="preserve"> (Table 1)</w:t>
      </w:r>
      <w:r>
        <w:t>.</w:t>
      </w:r>
      <w:r w:rsidR="00AC7233" w:rsidRPr="00AC7233">
        <w:rPr>
          <w:vertAlign w:val="superscript"/>
        </w:rPr>
        <w:t>8</w:t>
      </w:r>
      <w:r>
        <w:t xml:space="preserve"> </w:t>
      </w:r>
    </w:p>
    <w:p w14:paraId="0C1D7690" w14:textId="3655BBA8" w:rsidR="007F3E8B" w:rsidRDefault="00CB6FDD" w:rsidP="00AF26A8">
      <w:pPr>
        <w:spacing w:line="480" w:lineRule="auto"/>
      </w:pPr>
      <w:r>
        <w:t xml:space="preserve">Subsequently, </w:t>
      </w:r>
      <w:r w:rsidR="00AA0D07">
        <w:t xml:space="preserve">in 2007, </w:t>
      </w:r>
      <w:r>
        <w:t>a</w:t>
      </w:r>
      <w:r w:rsidR="007F3E8B">
        <w:t xml:space="preserve">nalyses of </w:t>
      </w:r>
      <w:r w:rsidR="008B10BF">
        <w:t xml:space="preserve">combined </w:t>
      </w:r>
      <w:r w:rsidR="007F3E8B">
        <w:t xml:space="preserve">data from Scottish Health Surveys </w:t>
      </w:r>
      <w:r>
        <w:t>in 1995, 1998 and 2003 (nationally representative population surveys</w:t>
      </w:r>
      <w:r w:rsidR="008B10BF">
        <w:t>, total n=25,127</w:t>
      </w:r>
      <w:r>
        <w:t xml:space="preserve">) </w:t>
      </w:r>
      <w:r w:rsidR="007F3E8B">
        <w:t>showed that, by comparison with the rest of Scotl</w:t>
      </w:r>
      <w:r w:rsidR="00651E9F">
        <w:t>and, men in Greater Glasgow had</w:t>
      </w:r>
      <w:r w:rsidR="007F3E8B">
        <w:t xml:space="preserve"> higher mortality rates from cancer, chronic liver disease and </w:t>
      </w:r>
      <w:r w:rsidR="00651E9F">
        <w:t xml:space="preserve">drug-related </w:t>
      </w:r>
      <w:r w:rsidR="007F3E8B">
        <w:t xml:space="preserve">mental </w:t>
      </w:r>
      <w:r w:rsidR="00651E9F">
        <w:t xml:space="preserve">health </w:t>
      </w:r>
      <w:r w:rsidR="007F3E8B">
        <w:t>disorders even after adjustment for area deprivation (</w:t>
      </w:r>
      <w:r w:rsidR="005502D4">
        <w:t xml:space="preserve">also using the </w:t>
      </w:r>
      <w:proofErr w:type="spellStart"/>
      <w:r w:rsidR="007F3E8B">
        <w:t>Carstairs</w:t>
      </w:r>
      <w:proofErr w:type="spellEnd"/>
      <w:r w:rsidR="005502D4">
        <w:t xml:space="preserve"> index</w:t>
      </w:r>
      <w:r w:rsidR="007F3E8B">
        <w:t xml:space="preserve">). </w:t>
      </w:r>
      <w:r w:rsidR="009F66DC">
        <w:t xml:space="preserve">In considering these findings, it is important to remember that identifying excess mortality in Glasgow relative to the rest of Scotland may be challenging, given that Scotland already exhibits an excess in relation to other areas. </w:t>
      </w:r>
      <w:r w:rsidR="007F3E8B">
        <w:t xml:space="preserve">Higher rates of acute sickness, potential psychiatric morbidity and long standing illness </w:t>
      </w:r>
      <w:r w:rsidR="00AF26A8">
        <w:t>(</w:t>
      </w:r>
      <w:r w:rsidR="007F3E8B">
        <w:t>in men</w:t>
      </w:r>
      <w:r w:rsidR="00AF26A8">
        <w:t>)</w:t>
      </w:r>
      <w:r w:rsidR="007F3E8B">
        <w:t xml:space="preserve"> also remain</w:t>
      </w:r>
      <w:r w:rsidR="00651E9F">
        <w:t>ed</w:t>
      </w:r>
      <w:r w:rsidR="007F3E8B">
        <w:t xml:space="preserve"> after adjustment for socioeconomic factors</w:t>
      </w:r>
      <w:r w:rsidR="00651E9F">
        <w:t xml:space="preserve"> in this study as did some b</w:t>
      </w:r>
      <w:r w:rsidR="007F3E8B">
        <w:t>ehavioural factors, such as poor diet (low green vegetable consumption) in men.  Higher rates of excess alcohol co</w:t>
      </w:r>
      <w:r w:rsidR="00651E9F">
        <w:t xml:space="preserve">nsumption and binge drinking were </w:t>
      </w:r>
      <w:r w:rsidR="007F3E8B">
        <w:t>found in both deprived and non-deprived areas</w:t>
      </w:r>
      <w:r w:rsidR="001053C3">
        <w:t xml:space="preserve"> of Glasgow</w:t>
      </w:r>
      <w:r w:rsidR="007F3E8B">
        <w:t xml:space="preserve"> compared with the rest of Scotland even after adjustment for age, survey year and socioeconomic status. </w:t>
      </w:r>
      <w:r w:rsidR="00CA5F1A">
        <w:t>Interestingly</w:t>
      </w:r>
      <w:r w:rsidR="00651E9F">
        <w:t xml:space="preserve">, </w:t>
      </w:r>
      <w:r w:rsidR="00AF26A8">
        <w:t xml:space="preserve">differences in </w:t>
      </w:r>
      <w:r w:rsidR="00CA5F1A">
        <w:t xml:space="preserve">some </w:t>
      </w:r>
      <w:r w:rsidR="00651E9F">
        <w:t xml:space="preserve">other </w:t>
      </w:r>
      <w:r w:rsidR="001053C3">
        <w:t xml:space="preserve">behavioural </w:t>
      </w:r>
      <w:r w:rsidR="00651E9F">
        <w:t xml:space="preserve">factors, such as </w:t>
      </w:r>
      <w:r w:rsidR="007F3E8B">
        <w:t xml:space="preserve">smoking and </w:t>
      </w:r>
      <w:r w:rsidR="00651E9F">
        <w:t xml:space="preserve">using </w:t>
      </w:r>
      <w:r w:rsidR="007F3E8B">
        <w:t xml:space="preserve">additional salt </w:t>
      </w:r>
      <w:r w:rsidR="00651E9F">
        <w:t>(</w:t>
      </w:r>
      <w:r w:rsidR="007F3E8B">
        <w:t>in men</w:t>
      </w:r>
      <w:r w:rsidR="00651E9F">
        <w:t>)</w:t>
      </w:r>
      <w:r w:rsidR="007F3E8B">
        <w:t xml:space="preserve"> </w:t>
      </w:r>
      <w:r w:rsidR="00AE66EF">
        <w:t xml:space="preserve">did </w:t>
      </w:r>
      <w:r w:rsidR="007F3E8B">
        <w:t xml:space="preserve">appear to be explained by socioeconomic </w:t>
      </w:r>
      <w:r w:rsidR="00AF26A8">
        <w:t>status</w:t>
      </w:r>
      <w:r w:rsidR="007F3E8B">
        <w:t>.</w:t>
      </w:r>
      <w:r w:rsidR="00AC7233" w:rsidRPr="00AC7233">
        <w:rPr>
          <w:vertAlign w:val="superscript"/>
        </w:rPr>
        <w:t>11</w:t>
      </w:r>
    </w:p>
    <w:p w14:paraId="54036878" w14:textId="48B74AEC" w:rsidR="007F3E8B" w:rsidRDefault="00155C6E" w:rsidP="00390A6F">
      <w:pPr>
        <w:spacing w:line="480" w:lineRule="auto"/>
      </w:pPr>
      <w:r>
        <w:lastRenderedPageBreak/>
        <w:t>In 2008</w:t>
      </w:r>
      <w:r w:rsidR="00AC7233" w:rsidRPr="00744811">
        <w:t xml:space="preserve"> </w:t>
      </w:r>
      <w:r w:rsidR="00744811">
        <w:t>Gray et al</w:t>
      </w:r>
      <w:r w:rsidR="00AC7233" w:rsidRPr="00744811">
        <w:t xml:space="preserve"> </w:t>
      </w:r>
      <w:r w:rsidR="001A7928">
        <w:t xml:space="preserve">reported </w:t>
      </w:r>
      <w:r>
        <w:t xml:space="preserve">a similar study, but with comparison of Glasgow broadened to include a variety of </w:t>
      </w:r>
      <w:r w:rsidR="00744811">
        <w:t xml:space="preserve">European countries </w:t>
      </w:r>
      <w:r>
        <w:t>and regions</w:t>
      </w:r>
      <w:r w:rsidR="00221DA5">
        <w:t xml:space="preserve"> (total n=101,923, of whom 1267 were </w:t>
      </w:r>
      <w:r w:rsidR="00E81C95">
        <w:t xml:space="preserve">participants of the 2003 Scottish Health Survey </w:t>
      </w:r>
      <w:r w:rsidR="00BF2D96">
        <w:t>resident in G</w:t>
      </w:r>
      <w:r w:rsidR="00221DA5">
        <w:t>reater Glasgow)</w:t>
      </w:r>
      <w:r w:rsidR="007F3E8B">
        <w:t xml:space="preserve">. </w:t>
      </w:r>
      <w:r w:rsidR="001A7928">
        <w:t>Again, t</w:t>
      </w:r>
      <w:r w:rsidR="007F3E8B">
        <w:t>he research question of interest was the degree to which socioeconomic factors (</w:t>
      </w:r>
      <w:r w:rsidR="001A7928">
        <w:t xml:space="preserve">this time </w:t>
      </w:r>
      <w:r w:rsidR="007F3E8B">
        <w:t>using occupation</w:t>
      </w:r>
      <w:r w:rsidR="007B4621">
        <w:t>al</w:t>
      </w:r>
      <w:r w:rsidR="007F3E8B">
        <w:t xml:space="preserve"> status and education</w:t>
      </w:r>
      <w:r w:rsidR="007B4621">
        <w:t>al</w:t>
      </w:r>
      <w:r w:rsidR="007F3E8B">
        <w:t xml:space="preserve"> attainment as </w:t>
      </w:r>
      <w:r w:rsidR="001A7928">
        <w:t>more internationally-</w:t>
      </w:r>
      <w:r w:rsidR="007F3E8B">
        <w:t>comparable measures) explained differences in health behaviours and outcome</w:t>
      </w:r>
      <w:r w:rsidR="00F51D5F">
        <w:t>s. The authors f</w:t>
      </w:r>
      <w:r>
        <w:t>ound</w:t>
      </w:r>
      <w:r w:rsidR="00F51D5F">
        <w:t xml:space="preserve"> </w:t>
      </w:r>
      <w:r w:rsidR="007F3E8B">
        <w:t xml:space="preserve">that Greater Glasgow had a comparable socioeconomic profile in terms of occupation-based social class </w:t>
      </w:r>
      <w:r w:rsidR="00F51D5F">
        <w:t xml:space="preserve">to many of its European counterparts, </w:t>
      </w:r>
      <w:r w:rsidR="007F3E8B">
        <w:t xml:space="preserve">though conceded </w:t>
      </w:r>
      <w:r w:rsidR="00F51D5F">
        <w:t xml:space="preserve">there were </w:t>
      </w:r>
      <w:r w:rsidR="007F3E8B">
        <w:t xml:space="preserve">some differences in </w:t>
      </w:r>
      <w:r w:rsidR="00F51D5F">
        <w:t xml:space="preserve">profile in terms of </w:t>
      </w:r>
      <w:r w:rsidR="007F3E8B">
        <w:t>education status (with a higher proportion with no qualifications</w:t>
      </w:r>
      <w:r w:rsidR="00F51D5F">
        <w:t xml:space="preserve"> in Glasgow</w:t>
      </w:r>
      <w:r w:rsidR="007F3E8B">
        <w:t>). After adjustment for age, social class and education qualification, binge drinking, smoking (in both men and women), obesity, diabetes, self-reported poor health, acute sickness, long standing illness and psychological morbidity tended to all be higher in Glasgow than in other regions, though the picture was slightly mixed (</w:t>
      </w:r>
      <w:r w:rsidR="00F51D5F">
        <w:t xml:space="preserve">with </w:t>
      </w:r>
      <w:r w:rsidR="007F3E8B">
        <w:t xml:space="preserve">some similarities with other areas for certain behaviours and outcomes). </w:t>
      </w:r>
      <w:r w:rsidR="00BA00D7">
        <w:t>In this study t</w:t>
      </w:r>
      <w:r w:rsidR="007F3E8B">
        <w:t xml:space="preserve">hey </w:t>
      </w:r>
      <w:r w:rsidR="00BA00D7">
        <w:t xml:space="preserve">also </w:t>
      </w:r>
      <w:r w:rsidR="007F3E8B">
        <w:t xml:space="preserve">concluded that </w:t>
      </w:r>
      <w:r w:rsidR="00BA00D7">
        <w:t>the</w:t>
      </w:r>
      <w:r w:rsidR="00F51D5F">
        <w:t xml:space="preserve"> variations</w:t>
      </w:r>
      <w:r w:rsidR="007F3E8B">
        <w:t xml:space="preserve"> </w:t>
      </w:r>
      <w:r w:rsidR="00BA00D7">
        <w:t xml:space="preserve">they had observed </w:t>
      </w:r>
      <w:r w:rsidR="007F3E8B">
        <w:t xml:space="preserve">could not be explained </w:t>
      </w:r>
      <w:r w:rsidR="00F51D5F">
        <w:t xml:space="preserve">solely </w:t>
      </w:r>
      <w:r w:rsidR="007F3E8B">
        <w:t>by socio-economic deprivation.</w:t>
      </w:r>
      <w:r w:rsidR="00AC7233" w:rsidRPr="00744811">
        <w:rPr>
          <w:vertAlign w:val="superscript"/>
        </w:rPr>
        <w:t>12</w:t>
      </w:r>
    </w:p>
    <w:p w14:paraId="0A51C200" w14:textId="129DDD7F" w:rsidR="007F3E8B" w:rsidRDefault="000971F3" w:rsidP="0041471C">
      <w:pPr>
        <w:spacing w:line="480" w:lineRule="auto"/>
      </w:pPr>
      <w:r>
        <w:t xml:space="preserve">In </w:t>
      </w:r>
      <w:r w:rsidR="00AB2E05">
        <w:t>200</w:t>
      </w:r>
      <w:r>
        <w:t xml:space="preserve">9, Gray and Leyland </w:t>
      </w:r>
      <w:r w:rsidR="008D2DFB">
        <w:t xml:space="preserve">then </w:t>
      </w:r>
      <w:r w:rsidR="0018794F">
        <w:t>published</w:t>
      </w:r>
      <w:r>
        <w:t xml:space="preserve"> </w:t>
      </w:r>
      <w:r w:rsidR="008D2DFB">
        <w:t>a</w:t>
      </w:r>
      <w:r>
        <w:t xml:space="preserve"> study looking specifically a</w:t>
      </w:r>
      <w:r w:rsidR="00BF0293">
        <w:t>t</w:t>
      </w:r>
      <w:r>
        <w:t xml:space="preserve"> variations in smoking behaviour. </w:t>
      </w:r>
      <w:r w:rsidR="0018794F">
        <w:t>U</w:t>
      </w:r>
      <w:r w:rsidR="007F3E8B">
        <w:t xml:space="preserve">sing data from </w:t>
      </w:r>
      <w:r>
        <w:t>th</w:t>
      </w:r>
      <w:r w:rsidR="008D2DFB">
        <w:t>re</w:t>
      </w:r>
      <w:r>
        <w:t>e</w:t>
      </w:r>
      <w:r w:rsidR="007F3E8B">
        <w:t xml:space="preserve"> Scottish Health Surveys</w:t>
      </w:r>
      <w:r>
        <w:t xml:space="preserve"> </w:t>
      </w:r>
      <w:r w:rsidR="008D2DFB">
        <w:t>again</w:t>
      </w:r>
      <w:r>
        <w:t xml:space="preserve"> </w:t>
      </w:r>
      <w:r w:rsidR="008D2DFB">
        <w:t>(</w:t>
      </w:r>
      <w:r>
        <w:t>1995, 1998 and 2003</w:t>
      </w:r>
      <w:r w:rsidR="00E02863">
        <w:t>, total n=25,127</w:t>
      </w:r>
      <w:r w:rsidR="008D2DFB">
        <w:t>)</w:t>
      </w:r>
      <w:r w:rsidR="007F3E8B">
        <w:t xml:space="preserve">, </w:t>
      </w:r>
      <w:r>
        <w:t>they</w:t>
      </w:r>
      <w:r w:rsidR="007F3E8B">
        <w:t xml:space="preserve"> compared smoking behaviour between Greater Glasgow and the rest of Scotland.  For both men and women, the likelihood of smoking was considerably higher in Glasgow than in the rest of Scotland (odds ratios </w:t>
      </w:r>
      <w:r w:rsidR="007F3E8B" w:rsidRPr="00E14A9A">
        <w:t xml:space="preserve">1.30, (95% CI = 1.08-1.56) and 1.43 </w:t>
      </w:r>
      <w:r w:rsidR="007F3E8B">
        <w:t xml:space="preserve">(95% </w:t>
      </w:r>
      <w:r w:rsidR="007F3E8B" w:rsidRPr="00E14A9A">
        <w:t>CI = 1.22-1.68)</w:t>
      </w:r>
      <w:r w:rsidR="007F3E8B">
        <w:t xml:space="preserve"> respectively). </w:t>
      </w:r>
      <w:r w:rsidR="00101352">
        <w:t>Crucially, t</w:t>
      </w:r>
      <w:r w:rsidR="007F3E8B">
        <w:t xml:space="preserve">he </w:t>
      </w:r>
      <w:r w:rsidR="00D56E67">
        <w:t xml:space="preserve">detailed </w:t>
      </w:r>
      <w:r w:rsidR="007F3E8B">
        <w:t>nature of the</w:t>
      </w:r>
      <w:r w:rsidR="00604D2D">
        <w:t>se</w:t>
      </w:r>
      <w:r w:rsidR="007F3E8B">
        <w:t xml:space="preserve"> surveys </w:t>
      </w:r>
      <w:r w:rsidR="00D56E67">
        <w:t xml:space="preserve">had </w:t>
      </w:r>
      <w:r w:rsidR="007F3E8B">
        <w:t>allowed for four measures of socioeconomic status</w:t>
      </w:r>
      <w:r w:rsidR="00D56E67">
        <w:t xml:space="preserve"> to be considered (including both individual and area measures)</w:t>
      </w:r>
      <w:r w:rsidR="007F3E8B">
        <w:t xml:space="preserve">: </w:t>
      </w:r>
      <w:r w:rsidR="00D56E67">
        <w:t xml:space="preserve">the </w:t>
      </w:r>
      <w:proofErr w:type="spellStart"/>
      <w:r w:rsidR="007F3E8B">
        <w:t>Carstairs</w:t>
      </w:r>
      <w:proofErr w:type="spellEnd"/>
      <w:r w:rsidR="007F3E8B">
        <w:t xml:space="preserve"> index, occupation-based social class, educational attainment an</w:t>
      </w:r>
      <w:r w:rsidR="00D56E67">
        <w:t xml:space="preserve">d economic activity. </w:t>
      </w:r>
      <w:r w:rsidR="00BA4C18">
        <w:t>W</w:t>
      </w:r>
      <w:r w:rsidR="00604D2D">
        <w:t>ith this</w:t>
      </w:r>
      <w:r w:rsidR="007F3E8B">
        <w:t xml:space="preserve"> richer definition of social class than could be attained in other studies </w:t>
      </w:r>
      <w:r w:rsidR="00D56E67">
        <w:t>using</w:t>
      </w:r>
      <w:r w:rsidR="007F3E8B">
        <w:t xml:space="preserve"> fewer measures</w:t>
      </w:r>
      <w:r w:rsidR="00604D2D">
        <w:t xml:space="preserve">, they were able to demonstrate that higher rates of smoking in </w:t>
      </w:r>
      <w:r w:rsidR="00604D2D">
        <w:lastRenderedPageBreak/>
        <w:t>Greater Glasgow were attributable to the social pattern of smoking and lower socioeconomic status, with</w:t>
      </w:r>
      <w:r w:rsidR="00604D2D" w:rsidRPr="00604D2D">
        <w:t xml:space="preserve"> associations attenuated to statistical non-significance after adjustment</w:t>
      </w:r>
      <w:r w:rsidR="006F0362">
        <w:t xml:space="preserve"> (Table 1)</w:t>
      </w:r>
      <w:r w:rsidR="007F3E8B">
        <w:t>.</w:t>
      </w:r>
      <w:r w:rsidR="00744811" w:rsidRPr="00744811">
        <w:rPr>
          <w:vertAlign w:val="superscript"/>
        </w:rPr>
        <w:t>14</w:t>
      </w:r>
      <w:r w:rsidR="0041471C">
        <w:rPr>
          <w:vertAlign w:val="superscript"/>
        </w:rPr>
        <w:t xml:space="preserve"> </w:t>
      </w:r>
      <w:r w:rsidR="0041471C">
        <w:t>This is a</w:t>
      </w:r>
      <w:r w:rsidR="0041471C" w:rsidRPr="0041471C">
        <w:t>n important finding, perhaps demonstrating that other measures of deprivation suffer a flooring effect</w:t>
      </w:r>
      <w:r w:rsidR="00CE3983">
        <w:t xml:space="preserve"> i.e. that these deprivation measures have a lower limit to the data values they can specify</w:t>
      </w:r>
      <w:r w:rsidR="0041471C">
        <w:t xml:space="preserve">. </w:t>
      </w:r>
      <w:r w:rsidR="00AB2E05">
        <w:t>At a very similar time, they reported on a further analysis</w:t>
      </w:r>
      <w:r w:rsidR="00A4636F">
        <w:t xml:space="preserve"> (</w:t>
      </w:r>
      <w:r w:rsidR="00AB2E05">
        <w:t xml:space="preserve">also </w:t>
      </w:r>
      <w:r w:rsidR="00A4636F">
        <w:t xml:space="preserve">using the same three </w:t>
      </w:r>
      <w:r w:rsidR="00C1765D">
        <w:t>Scottish Health S</w:t>
      </w:r>
      <w:r w:rsidR="00A4636F">
        <w:t xml:space="preserve">urveys) </w:t>
      </w:r>
      <w:r w:rsidR="00AB2E05">
        <w:t>that compared</w:t>
      </w:r>
      <w:r w:rsidR="007F3E8B">
        <w:t xml:space="preserve"> dietary habits </w:t>
      </w:r>
      <w:r w:rsidR="00A4636F">
        <w:t>in</w:t>
      </w:r>
      <w:r w:rsidR="007F3E8B">
        <w:t xml:space="preserve"> Glasgow </w:t>
      </w:r>
      <w:r w:rsidR="00A4636F">
        <w:t>with those in</w:t>
      </w:r>
      <w:r w:rsidR="007F3E8B">
        <w:t xml:space="preserve"> the rest of Scotland. They found that certain dietary habits (such as l</w:t>
      </w:r>
      <w:r w:rsidR="007F3E8B" w:rsidRPr="005827ED">
        <w:t>ower consumption of high-fibre bread and potatoes/pasta/rice in Glasgow</w:t>
      </w:r>
      <w:r w:rsidR="007F3E8B">
        <w:t xml:space="preserve">) </w:t>
      </w:r>
      <w:r w:rsidR="007F3E8B" w:rsidRPr="005827ED">
        <w:t>w</w:t>
      </w:r>
      <w:r w:rsidR="007F3E8B">
        <w:t>ere</w:t>
      </w:r>
      <w:r w:rsidR="007F3E8B" w:rsidRPr="005827ED">
        <w:t xml:space="preserve"> </w:t>
      </w:r>
      <w:r w:rsidR="00CE1837">
        <w:t xml:space="preserve">also </w:t>
      </w:r>
      <w:r w:rsidR="007F3E8B" w:rsidRPr="005827ED">
        <w:t>explained by socio-economic factors</w:t>
      </w:r>
      <w:r w:rsidR="00CE1837">
        <w:t>. O</w:t>
      </w:r>
      <w:r w:rsidR="007F3E8B">
        <w:t>ther</w:t>
      </w:r>
      <w:r w:rsidR="00BA4C18">
        <w:t xml:space="preserve"> factors</w:t>
      </w:r>
      <w:r w:rsidR="007F3E8B">
        <w:t xml:space="preserve"> (such as </w:t>
      </w:r>
      <w:r w:rsidR="007F3E8B" w:rsidRPr="005827ED">
        <w:t>hi</w:t>
      </w:r>
      <w:r w:rsidR="007F3E8B">
        <w:t xml:space="preserve">gher butter and salt consumption in </w:t>
      </w:r>
      <w:r w:rsidR="007F3E8B" w:rsidRPr="005827ED">
        <w:t>women</w:t>
      </w:r>
      <w:r w:rsidR="007F3E8B">
        <w:t>)</w:t>
      </w:r>
      <w:r w:rsidR="00CE1837">
        <w:t>, however,</w:t>
      </w:r>
      <w:r w:rsidR="007F3E8B">
        <w:t xml:space="preserve"> were not</w:t>
      </w:r>
      <w:r w:rsidR="00CE1837">
        <w:t xml:space="preserve">, </w:t>
      </w:r>
      <w:r w:rsidR="0033130B">
        <w:t xml:space="preserve">which </w:t>
      </w:r>
      <w:r w:rsidR="00CE1837">
        <w:t>hint</w:t>
      </w:r>
      <w:r w:rsidR="0033130B">
        <w:t>s</w:t>
      </w:r>
      <w:r w:rsidR="00CE1837">
        <w:t xml:space="preserve"> once again at the complexity of such relationships and their measurement</w:t>
      </w:r>
      <w:r w:rsidR="007F3E8B">
        <w:t>. They concluded that much of the tendency of people in Glasgow to have a poorer diet was explained by socioeconomic factors</w:t>
      </w:r>
      <w:r w:rsidR="00BC3A8B">
        <w:t>, although acknowledged the limitations of the study, particularly the use of self-completed questionnaires to assess diet</w:t>
      </w:r>
      <w:r w:rsidR="00DA2980">
        <w:t xml:space="preserve"> and differential non-response rates by social class</w:t>
      </w:r>
      <w:r w:rsidR="006F0362">
        <w:t xml:space="preserve"> (Table 1)</w:t>
      </w:r>
      <w:r w:rsidR="007F3E8B">
        <w:t>.</w:t>
      </w:r>
      <w:r w:rsidR="00676688" w:rsidRPr="00676688">
        <w:rPr>
          <w:vertAlign w:val="superscript"/>
        </w:rPr>
        <w:t>15</w:t>
      </w:r>
    </w:p>
    <w:p w14:paraId="18D1061E" w14:textId="08830C78" w:rsidR="007F3E8B" w:rsidRDefault="00AB2E05" w:rsidP="00C110E8">
      <w:pPr>
        <w:spacing w:line="480" w:lineRule="auto"/>
      </w:pPr>
      <w:r>
        <w:t>In 2009, Walsh et al compar</w:t>
      </w:r>
      <w:r w:rsidR="00621BC8">
        <w:t>ed</w:t>
      </w:r>
      <w:r>
        <w:t xml:space="preserve"> mortality trends in Scotland with </w:t>
      </w:r>
      <w:r w:rsidR="000F7D2E">
        <w:t xml:space="preserve">ten </w:t>
      </w:r>
      <w:r>
        <w:t>other post-industrial regions of Europe</w:t>
      </w:r>
      <w:r w:rsidR="000F7D2E">
        <w:t xml:space="preserve"> </w:t>
      </w:r>
      <w:r w:rsidR="00741D50">
        <w:t>(</w:t>
      </w:r>
      <w:r w:rsidR="000F7D2E">
        <w:t>using a variety of different data sources</w:t>
      </w:r>
      <w:r w:rsidR="00741D50">
        <w:t xml:space="preserve"> depending on the region)</w:t>
      </w:r>
      <w:r>
        <w:t xml:space="preserve">. </w:t>
      </w:r>
      <w:r w:rsidR="004F4AC8">
        <w:t xml:space="preserve">This was an important study given the proposal that </w:t>
      </w:r>
      <w:r w:rsidR="004F4AC8" w:rsidRPr="004F4AC8">
        <w:t xml:space="preserve">deprivation, driven by the underlying effects of deindustrialisation, </w:t>
      </w:r>
      <w:r w:rsidR="004F4AC8">
        <w:t>may have been</w:t>
      </w:r>
      <w:r w:rsidR="004F4AC8" w:rsidRPr="004F4AC8">
        <w:t xml:space="preserve"> the main drivers of poor health in Scotland</w:t>
      </w:r>
      <w:r w:rsidR="004F4AC8">
        <w:t>.</w:t>
      </w:r>
      <w:r w:rsidR="004F4AC8" w:rsidRPr="004F4AC8">
        <w:t xml:space="preserve"> </w:t>
      </w:r>
      <w:r>
        <w:t xml:space="preserve">They found that </w:t>
      </w:r>
      <w:r w:rsidRPr="00AB2E05">
        <w:t xml:space="preserve">mortality trends </w:t>
      </w:r>
      <w:r>
        <w:t xml:space="preserve">in West Central Scotland </w:t>
      </w:r>
      <w:r w:rsidRPr="00AB2E05">
        <w:t>compare</w:t>
      </w:r>
      <w:r>
        <w:t>d</w:t>
      </w:r>
      <w:r w:rsidRPr="00AB2E05">
        <w:t xml:space="preserve"> badly with other, similar, pos</w:t>
      </w:r>
      <w:r>
        <w:t>t-industrial regions of Europe (</w:t>
      </w:r>
      <w:r w:rsidRPr="00AB2E05">
        <w:t xml:space="preserve">including </w:t>
      </w:r>
      <w:r>
        <w:t>some</w:t>
      </w:r>
      <w:r w:rsidRPr="00AB2E05">
        <w:t xml:space="preserve"> Eastern Europe</w:t>
      </w:r>
      <w:r>
        <w:t xml:space="preserve">an regions with high levels of </w:t>
      </w:r>
      <w:r w:rsidRPr="00AB2E05">
        <w:t>poverty</w:t>
      </w:r>
      <w:r w:rsidR="000F7D2E">
        <w:t>)</w:t>
      </w:r>
      <w:r w:rsidRPr="00AB2E05">
        <w:t>.</w:t>
      </w:r>
      <w:r w:rsidR="008A764E">
        <w:t xml:space="preserve"> They</w:t>
      </w:r>
      <w:r w:rsidR="002B0384">
        <w:t xml:space="preserve"> therefore</w:t>
      </w:r>
      <w:r w:rsidR="008A764E">
        <w:t xml:space="preserve"> challenged the notion that post-industrial decline alone could be implicated</w:t>
      </w:r>
      <w:r w:rsidR="006F0362">
        <w:t xml:space="preserve"> (Table 1)</w:t>
      </w:r>
      <w:r w:rsidR="008A764E">
        <w:t>.</w:t>
      </w:r>
      <w:r w:rsidR="008A764E" w:rsidRPr="008A764E">
        <w:rPr>
          <w:vertAlign w:val="superscript"/>
        </w:rPr>
        <w:t>10</w:t>
      </w:r>
      <w:r w:rsidR="00621BC8">
        <w:t xml:space="preserve"> Subsequent to this</w:t>
      </w:r>
      <w:r>
        <w:t xml:space="preserve">, in </w:t>
      </w:r>
      <w:r w:rsidR="007F3E8B">
        <w:t xml:space="preserve">a study comparing mortality (using standardised mortality ratios (SMRs)) by levels of income deprivation at small area level in Glasgow </w:t>
      </w:r>
      <w:r w:rsidR="009A7AA6">
        <w:t xml:space="preserve">(350 merged data zones with average 750 people per data zone) </w:t>
      </w:r>
      <w:r w:rsidR="007F3E8B">
        <w:t>with the same data for Liverpool and Manchester</w:t>
      </w:r>
      <w:r w:rsidR="009A7AA6">
        <w:t xml:space="preserve"> (291 and 259 Lower Super Output Areas (LSOA) respectively with average </w:t>
      </w:r>
      <w:r w:rsidR="009A7AA6">
        <w:lastRenderedPageBreak/>
        <w:t xml:space="preserve">1500 people per LSOA) </w:t>
      </w:r>
      <w:r w:rsidR="007F3E8B">
        <w:t xml:space="preserve">, </w:t>
      </w:r>
      <w:r w:rsidR="00D034CD">
        <w:t>they</w:t>
      </w:r>
      <w:r w:rsidR="007F3E8B">
        <w:t xml:space="preserve"> identified that Glasgow’s mortality rates, particularly premature mortality, were significantly higher than those of Liverpool and </w:t>
      </w:r>
      <w:r>
        <w:t>Manchester</w:t>
      </w:r>
      <w:r w:rsidR="007F3E8B">
        <w:t xml:space="preserve"> even after adjusting for income deprivation. They identified that a high proportion of the excess premature mortality in Glasgow was related to alcohol and drugs</w:t>
      </w:r>
      <w:r w:rsidR="00C110E8">
        <w:t xml:space="preserve">, and </w:t>
      </w:r>
      <w:r w:rsidR="007F3E8B">
        <w:t>conclude</w:t>
      </w:r>
      <w:r>
        <w:t>d</w:t>
      </w:r>
      <w:r w:rsidR="007F3E8B">
        <w:t xml:space="preserve"> that</w:t>
      </w:r>
      <w:r w:rsidR="00C110E8">
        <w:t>, if</w:t>
      </w:r>
      <w:r w:rsidR="007F3E8B">
        <w:t xml:space="preserve"> deprivation </w:t>
      </w:r>
      <w:r>
        <w:t xml:space="preserve">alone </w:t>
      </w:r>
      <w:r w:rsidR="007F3E8B">
        <w:t>does not completely explain the increased mortality experience of Glasgow</w:t>
      </w:r>
      <w:r w:rsidR="00C110E8">
        <w:t>, other explanations such as the possibility of an ‘extreme’ behavioural risk profile in Glasgow should be explored</w:t>
      </w:r>
      <w:r w:rsidR="006F0362">
        <w:t xml:space="preserve"> (Table 1)</w:t>
      </w:r>
      <w:r w:rsidR="007F3E8B">
        <w:t>.</w:t>
      </w:r>
      <w:r w:rsidR="0009008A">
        <w:rPr>
          <w:vertAlign w:val="superscript"/>
        </w:rPr>
        <w:t>9</w:t>
      </w:r>
    </w:p>
    <w:p w14:paraId="30DEC2A2" w14:textId="197C4E40" w:rsidR="0009008A" w:rsidRDefault="002B0384" w:rsidP="002B0384">
      <w:pPr>
        <w:spacing w:line="480" w:lineRule="auto"/>
      </w:pPr>
      <w:r>
        <w:t>Taken together</w:t>
      </w:r>
      <w:r w:rsidR="0009008A">
        <w:t>, these studies created a mixed picture of the relationship between deprivation, health behaviours and health outcomes in Glasgow compared to other areas</w:t>
      </w:r>
      <w:r w:rsidR="00D034CD">
        <w:t xml:space="preserve"> and began to reveal that the underlying explanation was unlikely to be straightforward</w:t>
      </w:r>
      <w:r w:rsidR="0009008A">
        <w:t>. The later studies seemed to suggest that more complete measures of socio-economic status went further in being able to explain some of the observed variation</w:t>
      </w:r>
      <w:r>
        <w:t>, raising the possibility that simpler measures lacked the breadth or granularity to be able to discriminate true variation</w:t>
      </w:r>
      <w:r w:rsidR="00D034CD">
        <w:t>, particular</w:t>
      </w:r>
      <w:r w:rsidR="005409CE">
        <w:t>ly when also assessing the influence of complex variables such as diet</w:t>
      </w:r>
      <w:r w:rsidR="0009008A">
        <w:t>. A review of the 2010 Walsh paper written by the second author</w:t>
      </w:r>
      <w:r w:rsidR="00FE7DC5">
        <w:t xml:space="preserve"> (SG)</w:t>
      </w:r>
      <w:r>
        <w:t xml:space="preserve"> picked up on this point</w:t>
      </w:r>
      <w:r w:rsidR="0009008A">
        <w:t>, suggest</w:t>
      </w:r>
      <w:r>
        <w:t>ing</w:t>
      </w:r>
      <w:r w:rsidR="0009008A">
        <w:t xml:space="preserve"> that existing measures of deprivation may not be comprehensive enough to pick up variation at extremes, such as might be present in Glasgow. It also suggested that other</w:t>
      </w:r>
      <w:r w:rsidR="00EA4047">
        <w:t>, potentially more ‘hidden’ (and certainly challenging to measure)</w:t>
      </w:r>
      <w:r w:rsidR="0009008A">
        <w:t xml:space="preserve"> factors, such as sectarianism, might play a hidden part in explaining some of the differences.</w:t>
      </w:r>
      <w:r w:rsidR="0009008A" w:rsidRPr="0009008A">
        <w:rPr>
          <w:vertAlign w:val="superscript"/>
        </w:rPr>
        <w:t>1</w:t>
      </w:r>
      <w:r w:rsidR="0009008A">
        <w:rPr>
          <w:vertAlign w:val="superscript"/>
        </w:rPr>
        <w:t>6</w:t>
      </w:r>
    </w:p>
    <w:p w14:paraId="4699EA1D" w14:textId="1E197ED6" w:rsidR="007F3E8B" w:rsidRDefault="009F30D2" w:rsidP="00F05587">
      <w:pPr>
        <w:spacing w:line="480" w:lineRule="auto"/>
      </w:pPr>
      <w:r>
        <w:t>To investigate this f</w:t>
      </w:r>
      <w:r w:rsidR="007F3E8B">
        <w:t>urther</w:t>
      </w:r>
      <w:r>
        <w:t>, a study</w:t>
      </w:r>
      <w:r w:rsidR="007F3E8B">
        <w:t xml:space="preserve"> </w:t>
      </w:r>
      <w:r w:rsidR="00F05587">
        <w:t xml:space="preserve">using 2008 and 2009 Scottish Health Survey data </w:t>
      </w:r>
      <w:r w:rsidR="0079333C">
        <w:t xml:space="preserve">(n=13,996 adults of whom 3242 were resident in Greater Glasgow) </w:t>
      </w:r>
      <w:r w:rsidR="007F3E8B">
        <w:t xml:space="preserve">was conducted </w:t>
      </w:r>
      <w:r>
        <w:t xml:space="preserve">for the Scottish Government </w:t>
      </w:r>
      <w:r w:rsidR="007F3E8B">
        <w:t xml:space="preserve">to update and extend the studies </w:t>
      </w:r>
      <w:r>
        <w:t xml:space="preserve">that had </w:t>
      </w:r>
      <w:r w:rsidR="007F3E8B">
        <w:t>us</w:t>
      </w:r>
      <w:r>
        <w:t>ed</w:t>
      </w:r>
      <w:r w:rsidR="007F3E8B">
        <w:t xml:space="preserve"> the 1995, 1998 and 2003</w:t>
      </w:r>
      <w:r w:rsidRPr="009F30D2">
        <w:t xml:space="preserve"> </w:t>
      </w:r>
      <w:r w:rsidRPr="00C17675">
        <w:t>Scottish Health Survey</w:t>
      </w:r>
      <w:r>
        <w:t>s</w:t>
      </w:r>
      <w:r w:rsidR="00C568F3">
        <w:t>.</w:t>
      </w:r>
      <w:r w:rsidR="00F05587">
        <w:t xml:space="preserve"> Among its extensive findings, this showed</w:t>
      </w:r>
      <w:r w:rsidR="007F3E8B">
        <w:t xml:space="preserve"> that, when area and individual-level measures of socio-economic status were combined (area socio-economic status using the Scottish Index of Multiple Deprivation, individual socio-economic status using income-related </w:t>
      </w:r>
      <w:r w:rsidR="007F3E8B">
        <w:lastRenderedPageBreak/>
        <w:t>benefits, National Statistics Socio-economic Classification (a measure of occupational status), economic activity (</w:t>
      </w:r>
      <w:proofErr w:type="spellStart"/>
      <w:r w:rsidR="007F3E8B">
        <w:t>eg</w:t>
      </w:r>
      <w:proofErr w:type="spellEnd"/>
      <w:r w:rsidR="007F3E8B">
        <w:t xml:space="preserve"> in paid employment), educational attainment, housing tenure and marital status) socio-economic status explained most of the differences in health behaviours and outcomes. However, there were a couple of important exceptions: heart attack (doctor diagnosed) and anxiety that were not explained by socio-economic differences. </w:t>
      </w:r>
      <w:r w:rsidR="00C568F3">
        <w:rPr>
          <w:vertAlign w:val="superscript"/>
        </w:rPr>
        <w:t>1</w:t>
      </w:r>
      <w:r w:rsidR="0009008A">
        <w:rPr>
          <w:vertAlign w:val="superscript"/>
        </w:rPr>
        <w:t>7</w:t>
      </w:r>
    </w:p>
    <w:p w14:paraId="78836BF3" w14:textId="44F726C1" w:rsidR="006A4CC0" w:rsidRDefault="006A4CC0" w:rsidP="006A4CC0">
      <w:pPr>
        <w:spacing w:line="480" w:lineRule="auto"/>
      </w:pPr>
      <w:r>
        <w:t xml:space="preserve">Although this study seems to have clarified a great deal by using even more detailed definitions of socio-economic status, questions still remained. In the meantime, other groups had been studying a variety of other potential explanatory factors such as ethnicity and migration effects. </w:t>
      </w:r>
    </w:p>
    <w:p w14:paraId="5D58EBE1" w14:textId="58969B12" w:rsidR="00693984" w:rsidRPr="006A4CC0" w:rsidRDefault="006A4CC0" w:rsidP="006A4CC0">
      <w:pPr>
        <w:spacing w:line="480" w:lineRule="auto"/>
      </w:pPr>
      <w:r>
        <w:t xml:space="preserve"> </w:t>
      </w:r>
    </w:p>
    <w:p w14:paraId="24304E4F" w14:textId="6C38E292" w:rsidR="00693984" w:rsidRPr="00693984" w:rsidRDefault="00693984" w:rsidP="007F3E8B">
      <w:pPr>
        <w:spacing w:line="480" w:lineRule="auto"/>
        <w:rPr>
          <w:b/>
          <w:bCs/>
        </w:rPr>
      </w:pPr>
      <w:r w:rsidRPr="00693984">
        <w:rPr>
          <w:b/>
          <w:bCs/>
        </w:rPr>
        <w:t>Ethnicity and migration</w:t>
      </w:r>
    </w:p>
    <w:p w14:paraId="721AAC34" w14:textId="0BA64FB8" w:rsidR="006A4CC0" w:rsidRDefault="006A4CC0" w:rsidP="006A4CC0">
      <w:pPr>
        <w:spacing w:line="480" w:lineRule="auto"/>
      </w:pPr>
      <w:proofErr w:type="spellStart"/>
      <w:r>
        <w:t>Fischbacher</w:t>
      </w:r>
      <w:proofErr w:type="spellEnd"/>
      <w:r>
        <w:t xml:space="preserve"> et al </w:t>
      </w:r>
      <w:r w:rsidR="008F3AC5">
        <w:t>used</w:t>
      </w:r>
      <w:r w:rsidR="007F3E8B">
        <w:t xml:space="preserve"> mortality data</w:t>
      </w:r>
      <w:r w:rsidR="007F3E8B" w:rsidRPr="004A5773">
        <w:t xml:space="preserve"> </w:t>
      </w:r>
      <w:r w:rsidR="00ED5CA6">
        <w:t xml:space="preserve">from </w:t>
      </w:r>
      <w:r w:rsidR="0030244B" w:rsidRPr="0030244B">
        <w:t>362,029 deaths</w:t>
      </w:r>
      <w:r w:rsidR="00ED5CA6">
        <w:t xml:space="preserve"> in Scotland</w:t>
      </w:r>
      <w:r w:rsidR="0030244B">
        <w:t xml:space="preserve"> </w:t>
      </w:r>
      <w:r>
        <w:t xml:space="preserve">to examine whether </w:t>
      </w:r>
      <w:r w:rsidR="007F3E8B">
        <w:t xml:space="preserve">country of birth </w:t>
      </w:r>
      <w:r>
        <w:t>was linked to differences in mortality experience. They</w:t>
      </w:r>
      <w:r w:rsidR="007F3E8B">
        <w:t xml:space="preserve"> identified only small excess cardiovascular mortality among people born in India, Pakistan, Bangladesh and Ireland compared to people born in Scotland, but significantly greater mortality differences among South Asians when compared with residents of England and Wales</w:t>
      </w:r>
      <w:r w:rsidR="00377DD9">
        <w:t xml:space="preserve"> (Table 1)</w:t>
      </w:r>
      <w:r w:rsidR="007F3E8B">
        <w:t>.</w:t>
      </w:r>
      <w:r w:rsidR="00257B4C" w:rsidRPr="00257B4C">
        <w:rPr>
          <w:vertAlign w:val="superscript"/>
        </w:rPr>
        <w:t>1</w:t>
      </w:r>
      <w:r w:rsidR="0009008A">
        <w:rPr>
          <w:vertAlign w:val="superscript"/>
        </w:rPr>
        <w:t>8</w:t>
      </w:r>
      <w:r w:rsidR="00D51A0A">
        <w:rPr>
          <w:vertAlign w:val="superscript"/>
        </w:rPr>
        <w:t xml:space="preserve"> </w:t>
      </w:r>
      <w:r>
        <w:t>Their findings highlighted the differences in mortality between Scotland and England and Wales for people of non-Scottish birth, but did not suggest that ethnicity alone would explain</w:t>
      </w:r>
      <w:r w:rsidR="002B4EB4">
        <w:t xml:space="preserve"> these differences.</w:t>
      </w:r>
      <w:r>
        <w:t xml:space="preserve">. </w:t>
      </w:r>
    </w:p>
    <w:p w14:paraId="335F11E6" w14:textId="064CFB59" w:rsidR="007F3E8B" w:rsidRDefault="003F6561" w:rsidP="006A4CC0">
      <w:pPr>
        <w:spacing w:line="480" w:lineRule="auto"/>
      </w:pPr>
      <w:r>
        <w:t>Following this</w:t>
      </w:r>
      <w:r w:rsidR="00257B4C">
        <w:t>,</w:t>
      </w:r>
      <w:r>
        <w:t xml:space="preserve"> in 2010,</w:t>
      </w:r>
      <w:r w:rsidR="00257B4C">
        <w:t xml:space="preserve"> u</w:t>
      </w:r>
      <w:r w:rsidR="007F3E8B">
        <w:t xml:space="preserve">sing mortality data from the England and Wales Office for National Statistics and the General Register Office for Scotland along with census data, </w:t>
      </w:r>
      <w:proofErr w:type="spellStart"/>
      <w:r w:rsidR="007F3E8B">
        <w:t>Popham</w:t>
      </w:r>
      <w:proofErr w:type="spellEnd"/>
      <w:r w:rsidR="007F3E8B">
        <w:t xml:space="preserve"> et al compared mortality differences between Scotland and England and Wales according to country of birth and country of residence. They found that, for people living in Scotland</w:t>
      </w:r>
      <w:r w:rsidR="002426D6">
        <w:t xml:space="preserve"> (n=3.3 million)</w:t>
      </w:r>
      <w:r w:rsidR="007F3E8B">
        <w:t xml:space="preserve">, risk of death was higher for those born in Scotland </w:t>
      </w:r>
      <w:r w:rsidR="002426D6">
        <w:t xml:space="preserve">(n=3.0 million) </w:t>
      </w:r>
      <w:r w:rsidR="007F3E8B">
        <w:t>than those born in England and Wales</w:t>
      </w:r>
      <w:r w:rsidR="002426D6">
        <w:t xml:space="preserve"> (n=332,255</w:t>
      </w:r>
      <w:proofErr w:type="gramStart"/>
      <w:r w:rsidR="002426D6">
        <w:t xml:space="preserve">) </w:t>
      </w:r>
      <w:r w:rsidR="007F3E8B">
        <w:t>.</w:t>
      </w:r>
      <w:proofErr w:type="gramEnd"/>
      <w:r w:rsidR="007F3E8B">
        <w:t xml:space="preserve"> </w:t>
      </w:r>
      <w:r w:rsidR="006A4CC0">
        <w:t>F</w:t>
      </w:r>
      <w:r w:rsidR="007F3E8B">
        <w:t>or people living in England and Wales</w:t>
      </w:r>
      <w:r w:rsidR="002426D6">
        <w:t xml:space="preserve"> (n=32 million)</w:t>
      </w:r>
      <w:r w:rsidR="007F3E8B">
        <w:t xml:space="preserve">, those born in Scotland </w:t>
      </w:r>
      <w:r w:rsidR="002426D6">
        <w:t xml:space="preserve">(n=719,199) </w:t>
      </w:r>
      <w:r w:rsidR="007F3E8B">
        <w:t>had a higher mortality rate than those born in England and Wales</w:t>
      </w:r>
      <w:r w:rsidR="002426D6">
        <w:t xml:space="preserve"> </w:t>
      </w:r>
      <w:r w:rsidR="002426D6">
        <w:lastRenderedPageBreak/>
        <w:t xml:space="preserve">(n=31.2 </w:t>
      </w:r>
      <w:proofErr w:type="spellStart"/>
      <w:r w:rsidR="002426D6">
        <w:t>milion</w:t>
      </w:r>
      <w:proofErr w:type="spellEnd"/>
      <w:r w:rsidR="002426D6">
        <w:t>)</w:t>
      </w:r>
      <w:r w:rsidR="007F3E8B">
        <w:t>. They conclude</w:t>
      </w:r>
      <w:r w:rsidR="008C5A2A">
        <w:t>d</w:t>
      </w:r>
      <w:r w:rsidR="007F3E8B">
        <w:t xml:space="preserve"> that country of birth may be </w:t>
      </w:r>
      <w:r>
        <w:t xml:space="preserve">a </w:t>
      </w:r>
      <w:r w:rsidR="007F3E8B">
        <w:t xml:space="preserve">more important </w:t>
      </w:r>
      <w:r>
        <w:t xml:space="preserve">determinant of </w:t>
      </w:r>
      <w:r w:rsidR="00871E8D">
        <w:t>Scotland’s adverse outcomes</w:t>
      </w:r>
      <w:r>
        <w:t xml:space="preserve"> </w:t>
      </w:r>
      <w:r w:rsidR="007F3E8B">
        <w:t>than country of residence and suggest that early life factors may therefore be important in determining excess Scottish mortality</w:t>
      </w:r>
      <w:r w:rsidR="00377DD9">
        <w:t xml:space="preserve"> (Table 1)</w:t>
      </w:r>
      <w:r w:rsidR="007F3E8B">
        <w:t>.</w:t>
      </w:r>
      <w:r w:rsidR="00257B4C" w:rsidRPr="00257B4C">
        <w:rPr>
          <w:vertAlign w:val="superscript"/>
        </w:rPr>
        <w:t>1</w:t>
      </w:r>
      <w:r w:rsidR="0009008A">
        <w:rPr>
          <w:vertAlign w:val="superscript"/>
        </w:rPr>
        <w:t>9</w:t>
      </w:r>
    </w:p>
    <w:p w14:paraId="0C67BE7E" w14:textId="52532CF8" w:rsidR="00FF12C0" w:rsidRDefault="003F6561" w:rsidP="00DE0A6F">
      <w:pPr>
        <w:spacing w:line="480" w:lineRule="auto"/>
      </w:pPr>
      <w:r>
        <w:t xml:space="preserve">In 2011, focusing more on </w:t>
      </w:r>
      <w:r w:rsidR="00F05334">
        <w:t>Glasgow’s excess mortality</w:t>
      </w:r>
      <w:r>
        <w:t xml:space="preserve">, </w:t>
      </w:r>
      <w:proofErr w:type="spellStart"/>
      <w:r w:rsidR="00FF12C0" w:rsidRPr="00257B4C">
        <w:t>Popham</w:t>
      </w:r>
      <w:proofErr w:type="spellEnd"/>
      <w:r w:rsidR="00257B4C" w:rsidRPr="00257B4C">
        <w:t xml:space="preserve"> et al</w:t>
      </w:r>
      <w:r w:rsidR="00FF12C0" w:rsidRPr="00257B4C">
        <w:t xml:space="preserve"> </w:t>
      </w:r>
      <w:r w:rsidR="00257B4C">
        <w:t>c</w:t>
      </w:r>
      <w:r w:rsidR="00FF12C0">
        <w:t>onduct</w:t>
      </w:r>
      <w:r w:rsidR="00257B4C">
        <w:t>ed</w:t>
      </w:r>
      <w:r w:rsidR="00FF12C0">
        <w:t xml:space="preserve"> an</w:t>
      </w:r>
      <w:r>
        <w:t>other</w:t>
      </w:r>
      <w:r w:rsidR="00FF12C0">
        <w:t xml:space="preserve"> interesting analysis of data from the Scottish Longitudinal Study (an anonymous representative sample of the Scottish population </w:t>
      </w:r>
      <w:r w:rsidR="00046256">
        <w:t>(n=</w:t>
      </w:r>
      <w:r w:rsidR="00046256" w:rsidRPr="00046256">
        <w:t>137,073</w:t>
      </w:r>
      <w:r w:rsidR="00046256">
        <w:t xml:space="preserve">) </w:t>
      </w:r>
      <w:r w:rsidR="00FF12C0">
        <w:t xml:space="preserve">linking 1991 and 2001 census records with health records and other events data), </w:t>
      </w:r>
      <w:r w:rsidR="007B5B7A">
        <w:t>in which they</w:t>
      </w:r>
      <w:r w:rsidR="00FF12C0">
        <w:t xml:space="preserve"> explored whether the excess mortality rate in Glasgow compared with the rest of Scotland (not fully explained by socio-economic status) could be explained by selective migration. Selective migration is a net movement of people who are better off and healthier away from areas that are relatively more deprived. </w:t>
      </w:r>
      <w:r w:rsidR="00171047">
        <w:t>They compared migration from one area to another (from 1991 to 2001) between three areas: Glasgow, the next three largest Scottish cities (Edinburgh, Aberdeen and Dundee) and the rest of Scotland.</w:t>
      </w:r>
      <w:r w:rsidR="007D3A7F">
        <w:t xml:space="preserve"> The</w:t>
      </w:r>
      <w:r w:rsidR="00DE0A6F">
        <w:t>ir outcome of interest was</w:t>
      </w:r>
      <w:r w:rsidR="007D3A7F">
        <w:t xml:space="preserve"> </w:t>
      </w:r>
      <w:r w:rsidR="00DE0A6F">
        <w:t xml:space="preserve">age and sex </w:t>
      </w:r>
      <w:r w:rsidR="007D3A7F">
        <w:t>standardised mortality rates</w:t>
      </w:r>
      <w:r w:rsidR="00DE0A6F">
        <w:t>. They</w:t>
      </w:r>
      <w:r w:rsidR="007D3A7F">
        <w:t xml:space="preserve"> found that, although Glasgow lost a significant proportion of its population between 1991 and 2001 (which was more than the other three cities), this migration difference did not</w:t>
      </w:r>
      <w:r w:rsidR="00DE0A6F">
        <w:t xml:space="preserve"> seem to </w:t>
      </w:r>
      <w:r w:rsidR="007D3A7F">
        <w:t>account for differences in mortality rates between the areas</w:t>
      </w:r>
      <w:r w:rsidR="00377DD9">
        <w:t xml:space="preserve"> (Table 1)</w:t>
      </w:r>
      <w:r w:rsidR="007D3A7F">
        <w:t>.</w:t>
      </w:r>
      <w:r w:rsidR="0009008A">
        <w:rPr>
          <w:vertAlign w:val="superscript"/>
        </w:rPr>
        <w:t>20</w:t>
      </w:r>
    </w:p>
    <w:p w14:paraId="3B5F43D2" w14:textId="77777777" w:rsidR="00FF12C0" w:rsidRDefault="00FF12C0" w:rsidP="00CA0B20">
      <w:pPr>
        <w:spacing w:line="480" w:lineRule="auto"/>
      </w:pPr>
    </w:p>
    <w:p w14:paraId="34CA4487" w14:textId="297E8196" w:rsidR="00F53E3C" w:rsidRPr="00302B02" w:rsidRDefault="00302B02" w:rsidP="00CA0B20">
      <w:pPr>
        <w:spacing w:line="480" w:lineRule="auto"/>
        <w:rPr>
          <w:b/>
          <w:bCs/>
        </w:rPr>
      </w:pPr>
      <w:r w:rsidRPr="00302B02">
        <w:rPr>
          <w:b/>
          <w:bCs/>
        </w:rPr>
        <w:t>Current thinking</w:t>
      </w:r>
    </w:p>
    <w:p w14:paraId="57EFB1EA" w14:textId="13A7ACAE" w:rsidR="009F2530" w:rsidRPr="000C1906" w:rsidRDefault="00E04DB1" w:rsidP="00267EFC">
      <w:pPr>
        <w:spacing w:line="480" w:lineRule="auto"/>
      </w:pPr>
      <w:r>
        <w:t>Given the complexity of the problem, and the seeming lack of a single simple solution, in 2011 t</w:t>
      </w:r>
      <w:r w:rsidR="00317626">
        <w:t xml:space="preserve">he Glasgow Centre for Population Health </w:t>
      </w:r>
      <w:r w:rsidR="002F7B86">
        <w:t xml:space="preserve">(GCPH) </w:t>
      </w:r>
      <w:r>
        <w:t>published a</w:t>
      </w:r>
      <w:r w:rsidR="00317626">
        <w:t xml:space="preserve">n extensive </w:t>
      </w:r>
      <w:r>
        <w:t xml:space="preserve">literature </w:t>
      </w:r>
      <w:r w:rsidR="00317626">
        <w:t xml:space="preserve">review </w:t>
      </w:r>
      <w:r>
        <w:t xml:space="preserve">that tried to capture all of the different </w:t>
      </w:r>
      <w:r w:rsidR="00F1227C">
        <w:t>hypotheses</w:t>
      </w:r>
      <w:r w:rsidR="00317626">
        <w:t xml:space="preserve"> that ha</w:t>
      </w:r>
      <w:r>
        <w:t>d</w:t>
      </w:r>
      <w:r w:rsidR="00317626">
        <w:t xml:space="preserve"> </w:t>
      </w:r>
      <w:r>
        <w:t xml:space="preserve">been </w:t>
      </w:r>
      <w:r w:rsidR="00F1227C">
        <w:t>put forwar</w:t>
      </w:r>
      <w:r>
        <w:t xml:space="preserve">d </w:t>
      </w:r>
      <w:r w:rsidR="00BE08A3">
        <w:t>to date t</w:t>
      </w:r>
      <w:r w:rsidR="00317626">
        <w:t xml:space="preserve">o explain </w:t>
      </w:r>
      <w:r w:rsidR="00BE08A3">
        <w:t>Scotland’s</w:t>
      </w:r>
      <w:r w:rsidR="00317626">
        <w:t xml:space="preserve"> </w:t>
      </w:r>
      <w:r w:rsidR="0001482D">
        <w:t xml:space="preserve">(and Glasgow’s) </w:t>
      </w:r>
      <w:r w:rsidR="00317626">
        <w:t xml:space="preserve">excess mortality. </w:t>
      </w:r>
      <w:r w:rsidR="004315E2">
        <w:t>The</w:t>
      </w:r>
      <w:r w:rsidR="00BE08A3">
        <w:t xml:space="preserve"> review</w:t>
      </w:r>
      <w:r w:rsidR="004315E2">
        <w:t xml:space="preserve"> </w:t>
      </w:r>
      <w:r>
        <w:t xml:space="preserve">used Bradford Hill </w:t>
      </w:r>
      <w:r w:rsidR="008F2A37">
        <w:t xml:space="preserve">viewpoints </w:t>
      </w:r>
      <w:r>
        <w:t>o</w:t>
      </w:r>
      <w:r w:rsidR="008F2A37">
        <w:t>n</w:t>
      </w:r>
      <w:r>
        <w:t xml:space="preserve"> causality to try and </w:t>
      </w:r>
      <w:r w:rsidR="002D6CBE">
        <w:t>evaluate how well each theory explained the mortality trends</w:t>
      </w:r>
      <w:r w:rsidR="00E2032C">
        <w:t xml:space="preserve"> (see Box 1)</w:t>
      </w:r>
      <w:r w:rsidR="002D6CBE">
        <w:t>.</w:t>
      </w:r>
      <w:r w:rsidR="00F84339" w:rsidRPr="00F84339">
        <w:rPr>
          <w:vertAlign w:val="superscript"/>
        </w:rPr>
        <w:t>2</w:t>
      </w:r>
      <w:r w:rsidR="0009008A">
        <w:rPr>
          <w:vertAlign w:val="superscript"/>
        </w:rPr>
        <w:t>1</w:t>
      </w:r>
      <w:r w:rsidR="002D6CBE" w:rsidRPr="002D6CBE">
        <w:t xml:space="preserve">  </w:t>
      </w:r>
      <w:r w:rsidR="002D6CBE">
        <w:t xml:space="preserve">They synthesised the theories into seventeen separate potential mechanisms (see </w:t>
      </w:r>
      <w:r w:rsidR="00E2032C">
        <w:t>B</w:t>
      </w:r>
      <w:r w:rsidR="002D6CBE">
        <w:t>ox</w:t>
      </w:r>
      <w:r w:rsidR="00E2032C">
        <w:t xml:space="preserve"> 2</w:t>
      </w:r>
      <w:r w:rsidR="002D6CBE">
        <w:t>)</w:t>
      </w:r>
      <w:r w:rsidR="00BE08A3">
        <w:t xml:space="preserve"> and identified outstanding research questions for each</w:t>
      </w:r>
      <w:r w:rsidR="002D6CBE">
        <w:t>.</w:t>
      </w:r>
      <w:r w:rsidR="002D6CBE">
        <w:rPr>
          <w:vertAlign w:val="superscript"/>
        </w:rPr>
        <w:t xml:space="preserve"> </w:t>
      </w:r>
      <w:r w:rsidR="0065473A">
        <w:rPr>
          <w:vertAlign w:val="superscript"/>
        </w:rPr>
        <w:t>22</w:t>
      </w:r>
      <w:r w:rsidR="00267EFC">
        <w:t xml:space="preserve"> </w:t>
      </w:r>
      <w:r w:rsidR="00130265">
        <w:t xml:space="preserve">This review provided a comprehensive </w:t>
      </w:r>
      <w:r w:rsidR="00130265">
        <w:lastRenderedPageBreak/>
        <w:t xml:space="preserve">summary of the literature and a critical review of the strength of evidence for each hypothesis. Its </w:t>
      </w:r>
      <w:r w:rsidR="00217877">
        <w:t xml:space="preserve">findings and </w:t>
      </w:r>
      <w:r w:rsidR="00130265">
        <w:t>recommendations for future research form a very useful starting point for investigators interested in this area.</w:t>
      </w:r>
      <w:r w:rsidR="00A648E4">
        <w:t xml:space="preserve"> The authors </w:t>
      </w:r>
      <w:r w:rsidR="00EE1184">
        <w:t>suggested</w:t>
      </w:r>
      <w:r w:rsidR="00267EFC">
        <w:t xml:space="preserve"> </w:t>
      </w:r>
      <w:r w:rsidR="00A648E4">
        <w:t xml:space="preserve">that each of the hypotheses identified may </w:t>
      </w:r>
      <w:r w:rsidR="00217877">
        <w:t>form</w:t>
      </w:r>
      <w:r w:rsidR="00A648E4">
        <w:t xml:space="preserve"> part of the explanation for Scotland’s mortality pattern</w:t>
      </w:r>
      <w:r w:rsidR="00394946">
        <w:t xml:space="preserve"> </w:t>
      </w:r>
      <w:r w:rsidR="00DB6C12">
        <w:t>but that some, such as inequ</w:t>
      </w:r>
      <w:r w:rsidR="00217877">
        <w:t>alities and health behaviours, we</w:t>
      </w:r>
      <w:r w:rsidR="00DB6C12">
        <w:t xml:space="preserve">re likely to </w:t>
      </w:r>
      <w:r w:rsidR="0077556B">
        <w:t>constitute</w:t>
      </w:r>
      <w:r w:rsidR="00DB6C12">
        <w:t xml:space="preserve"> a greater component of the causal pathway than others </w:t>
      </w:r>
      <w:r w:rsidR="00394946">
        <w:t>(s</w:t>
      </w:r>
      <w:r w:rsidR="00A648E4">
        <w:t xml:space="preserve">ee Figure </w:t>
      </w:r>
      <w:r w:rsidR="00394946">
        <w:t>1</w:t>
      </w:r>
      <w:r w:rsidR="00475834">
        <w:t xml:space="preserve"> and Figure 2</w:t>
      </w:r>
      <w:r w:rsidR="00394946">
        <w:t>)</w:t>
      </w:r>
      <w:r w:rsidR="00D07C3D">
        <w:t xml:space="preserve">. They </w:t>
      </w:r>
      <w:r w:rsidR="00267EFC">
        <w:t>concluded</w:t>
      </w:r>
      <w:r w:rsidR="00D07C3D">
        <w:t xml:space="preserve"> that no single </w:t>
      </w:r>
      <w:r w:rsidR="001E2289">
        <w:t>‘</w:t>
      </w:r>
      <w:r w:rsidR="00D07C3D">
        <w:t>cause</w:t>
      </w:r>
      <w:r w:rsidR="001E2289">
        <w:t>’</w:t>
      </w:r>
      <w:r w:rsidR="00D07C3D">
        <w:t xml:space="preserve"> </w:t>
      </w:r>
      <w:r w:rsidR="0028013A">
        <w:t>wa</w:t>
      </w:r>
      <w:r w:rsidR="00D07C3D">
        <w:t xml:space="preserve">s likely </w:t>
      </w:r>
      <w:r w:rsidR="00267EFC">
        <w:t xml:space="preserve">to </w:t>
      </w:r>
      <w:r w:rsidR="0028013A">
        <w:t xml:space="preserve">fully </w:t>
      </w:r>
      <w:r w:rsidR="00267EFC">
        <w:t xml:space="preserve">explain the phenomenon </w:t>
      </w:r>
      <w:r w:rsidR="00D07C3D">
        <w:t xml:space="preserve">but </w:t>
      </w:r>
      <w:r w:rsidR="00267EFC">
        <w:t xml:space="preserve">that </w:t>
      </w:r>
      <w:r w:rsidR="00D07C3D">
        <w:t xml:space="preserve">the strongest </w:t>
      </w:r>
      <w:r w:rsidR="0028013A">
        <w:t xml:space="preserve">individual </w:t>
      </w:r>
      <w:r w:rsidR="00D07C3D">
        <w:t xml:space="preserve">candidates </w:t>
      </w:r>
      <w:r w:rsidR="0028013A">
        <w:t>we</w:t>
      </w:r>
      <w:r w:rsidR="00D07C3D">
        <w:t xml:space="preserve">re negative health behaviours linked to cultural </w:t>
      </w:r>
      <w:r w:rsidR="00267EFC">
        <w:t>context</w:t>
      </w:r>
      <w:r w:rsidR="00D07C3D">
        <w:t>.</w:t>
      </w:r>
      <w:r w:rsidR="00D07C3D" w:rsidRPr="00D07C3D">
        <w:rPr>
          <w:vertAlign w:val="superscript"/>
        </w:rPr>
        <w:t>22</w:t>
      </w:r>
      <w:r w:rsidR="00267EFC">
        <w:t xml:space="preserve"> </w:t>
      </w:r>
      <w:r w:rsidR="00D07C3D">
        <w:t>They comment</w:t>
      </w:r>
      <w:r w:rsidR="00DB6C12">
        <w:t>ed</w:t>
      </w:r>
      <w:r w:rsidR="00D07C3D">
        <w:t xml:space="preserve"> that the divergence in mortality experience from European counterparts predominantly occurred from 1950 onwards. They </w:t>
      </w:r>
      <w:r w:rsidR="009A03A3">
        <w:t xml:space="preserve">also </w:t>
      </w:r>
      <w:r w:rsidR="00D07C3D">
        <w:t>group</w:t>
      </w:r>
      <w:r w:rsidR="009A03A3">
        <w:t>ed possible explanatory factors</w:t>
      </w:r>
      <w:r w:rsidR="00D07C3D">
        <w:t xml:space="preserve"> into ‘downstream’ (such a</w:t>
      </w:r>
      <w:r w:rsidR="00464DB8">
        <w:t>s greater exposure to negative h</w:t>
      </w:r>
      <w:r w:rsidR="00D07C3D">
        <w:t xml:space="preserve">ealth </w:t>
      </w:r>
      <w:r w:rsidR="00464DB8">
        <w:t>behaviours), ‘midstream’ (such as some of the cultural factors) and ‘upstream’ (such as poverty and unemployment) with greater or lesser degrees of likelihood</w:t>
      </w:r>
      <w:r w:rsidR="00C13114">
        <w:t xml:space="preserve"> (according to Bradford-Hill)</w:t>
      </w:r>
      <w:r w:rsidR="00464DB8">
        <w:t>.</w:t>
      </w:r>
      <w:r w:rsidR="00464DB8" w:rsidRPr="00464DB8">
        <w:rPr>
          <w:vertAlign w:val="superscript"/>
        </w:rPr>
        <w:t>22</w:t>
      </w:r>
      <w:r w:rsidR="000C1906">
        <w:t xml:space="preserve"> </w:t>
      </w:r>
    </w:p>
    <w:p w14:paraId="08C2864E" w14:textId="71A4391A" w:rsidR="00F205AB" w:rsidRDefault="0059271D" w:rsidP="001E2289">
      <w:pPr>
        <w:spacing w:line="480" w:lineRule="auto"/>
      </w:pPr>
      <w:r w:rsidRPr="001E2289">
        <w:t>In considering the GCPH review, it is worth remembering that</w:t>
      </w:r>
      <w:r w:rsidR="001E2289" w:rsidRPr="001E2289">
        <w:t>,</w:t>
      </w:r>
      <w:r w:rsidRPr="001E2289">
        <w:t xml:space="preserve"> though widely used in this way, the use of Bradford-Hill ‘criteria’ as a checklist for evaluating whether a reported association might be causal, has been criticised in the past, particularly by Rothman</w:t>
      </w:r>
      <w:r w:rsidR="001E2289" w:rsidRPr="001E2289">
        <w:t>, who felt that the Bradford - Hill ‘criteria’ do not clearly distinguish causal from non-causal relations</w:t>
      </w:r>
      <w:r w:rsidR="001E2289">
        <w:t xml:space="preserve"> (hence the term ‘viewpoints’ used here, rather than ‘criteria’)</w:t>
      </w:r>
      <w:r w:rsidRPr="001E2289">
        <w:t>.</w:t>
      </w:r>
      <w:r w:rsidRPr="001E2289">
        <w:rPr>
          <w:vertAlign w:val="superscript"/>
        </w:rPr>
        <w:t>23</w:t>
      </w:r>
      <w:r w:rsidR="001E2289">
        <w:t xml:space="preserve"> </w:t>
      </w:r>
      <w:r w:rsidR="002F7AA0">
        <w:t>In the GCPH review, t</w:t>
      </w:r>
      <w:r w:rsidR="001E2289">
        <w:t>hey d</w:t>
      </w:r>
      <w:r w:rsidR="002F7AA0">
        <w:t>id</w:t>
      </w:r>
      <w:r w:rsidR="001E2289">
        <w:t>, however, provide a useful framework within which to consider the different hypotheses and may help to tease out where ongoing uncertainties remain</w:t>
      </w:r>
      <w:r w:rsidR="004D2A48">
        <w:t xml:space="preserve"> and the </w:t>
      </w:r>
      <w:r w:rsidR="004D2A48" w:rsidRPr="004D2A48">
        <w:t xml:space="preserve">authors </w:t>
      </w:r>
      <w:r w:rsidR="004D2A48">
        <w:t>recogn</w:t>
      </w:r>
      <w:r w:rsidR="004D2A48" w:rsidRPr="004D2A48">
        <w:t>ised that their conclusions were hindered by a lack of empirical data for many of the hypotheses that were considered</w:t>
      </w:r>
      <w:r w:rsidR="004D2A48">
        <w:t>.</w:t>
      </w:r>
    </w:p>
    <w:p w14:paraId="0CD52181" w14:textId="77777777" w:rsidR="00F205AB" w:rsidRDefault="00F205AB">
      <w:r>
        <w:br w:type="page"/>
      </w:r>
    </w:p>
    <w:p w14:paraId="2C977374" w14:textId="77777777" w:rsidR="002D6CBE" w:rsidRDefault="002D6CBE" w:rsidP="001E2289">
      <w:pPr>
        <w:spacing w:line="480" w:lineRule="auto"/>
      </w:pPr>
    </w:p>
    <w:p w14:paraId="271A31FE" w14:textId="694A4F3F" w:rsidR="002D6CBE" w:rsidRDefault="00E2032C" w:rsidP="00CA0B20">
      <w:pPr>
        <w:spacing w:line="480" w:lineRule="auto"/>
      </w:pPr>
      <w:r>
        <w:rPr>
          <w:noProof/>
        </w:rPr>
        <mc:AlternateContent>
          <mc:Choice Requires="wps">
            <w:drawing>
              <wp:anchor distT="0" distB="0" distL="114300" distR="114300" simplePos="0" relativeHeight="251661312" behindDoc="0" locked="0" layoutInCell="1" allowOverlap="1" wp14:anchorId="62CF0B49" wp14:editId="2BD5E546">
                <wp:simplePos x="0" y="0"/>
                <wp:positionH relativeFrom="column">
                  <wp:posOffset>356779</wp:posOffset>
                </wp:positionH>
                <wp:positionV relativeFrom="paragraph">
                  <wp:posOffset>15135</wp:posOffset>
                </wp:positionV>
                <wp:extent cx="3757295" cy="2257425"/>
                <wp:effectExtent l="0" t="0" r="146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2257425"/>
                        </a:xfrm>
                        <a:prstGeom prst="rect">
                          <a:avLst/>
                        </a:prstGeom>
                        <a:solidFill>
                          <a:srgbClr val="FFFFFF"/>
                        </a:solidFill>
                        <a:ln w="9525">
                          <a:solidFill>
                            <a:srgbClr val="000000"/>
                          </a:solidFill>
                          <a:miter lim="800000"/>
                          <a:headEnd/>
                          <a:tailEnd/>
                        </a:ln>
                      </wps:spPr>
                      <wps:txbx>
                        <w:txbxContent>
                          <w:p w14:paraId="5B281E16" w14:textId="139DA5BB" w:rsidR="00EB6F25" w:rsidRPr="00F70FA3" w:rsidRDefault="00EB6F25" w:rsidP="00E2032C">
                            <w:pPr>
                              <w:rPr>
                                <w:b/>
                                <w:bCs/>
                              </w:rPr>
                            </w:pPr>
                            <w:r w:rsidRPr="00F70FA3">
                              <w:rPr>
                                <w:b/>
                                <w:bCs/>
                              </w:rPr>
                              <w:t xml:space="preserve">Box 1. Bradford Hill </w:t>
                            </w:r>
                            <w:r>
                              <w:rPr>
                                <w:b/>
                                <w:bCs/>
                              </w:rPr>
                              <w:t>viewpoints on</w:t>
                            </w:r>
                            <w:r w:rsidRPr="00F70FA3">
                              <w:rPr>
                                <w:b/>
                                <w:bCs/>
                              </w:rPr>
                              <w:t xml:space="preserve"> causality</w:t>
                            </w:r>
                          </w:p>
                          <w:p w14:paraId="1E3826D9" w14:textId="77777777" w:rsidR="00EB6F25" w:rsidRDefault="00EB6F25" w:rsidP="00E2032C"/>
                          <w:p w14:paraId="5A37DDC1" w14:textId="22B1DE8B" w:rsidR="00EB6F25" w:rsidRDefault="00EB6F25" w:rsidP="00E2032C">
                            <w:pPr>
                              <w:pStyle w:val="ListParagraph"/>
                              <w:numPr>
                                <w:ilvl w:val="0"/>
                                <w:numId w:val="4"/>
                              </w:numPr>
                            </w:pPr>
                            <w:r w:rsidRPr="00E2032C">
                              <w:t>Strength of association</w:t>
                            </w:r>
                          </w:p>
                          <w:p w14:paraId="1CB34534" w14:textId="5A7FB47B" w:rsidR="00EB6F25" w:rsidRDefault="00EB6F25" w:rsidP="00E2032C">
                            <w:pPr>
                              <w:pStyle w:val="ListParagraph"/>
                              <w:numPr>
                                <w:ilvl w:val="0"/>
                                <w:numId w:val="4"/>
                              </w:numPr>
                            </w:pPr>
                            <w:r>
                              <w:t>Consistency</w:t>
                            </w:r>
                          </w:p>
                          <w:p w14:paraId="2472930A" w14:textId="4080D25F" w:rsidR="00EB6F25" w:rsidRDefault="00EB6F25" w:rsidP="00E2032C">
                            <w:pPr>
                              <w:pStyle w:val="ListParagraph"/>
                              <w:numPr>
                                <w:ilvl w:val="0"/>
                                <w:numId w:val="4"/>
                              </w:numPr>
                            </w:pPr>
                            <w:r>
                              <w:t>Specificity</w:t>
                            </w:r>
                          </w:p>
                          <w:p w14:paraId="703BC852" w14:textId="682D6550" w:rsidR="00EB6F25" w:rsidRDefault="00EB6F25" w:rsidP="00E2032C">
                            <w:pPr>
                              <w:pStyle w:val="ListParagraph"/>
                              <w:numPr>
                                <w:ilvl w:val="0"/>
                                <w:numId w:val="4"/>
                              </w:numPr>
                            </w:pPr>
                            <w:r>
                              <w:t>Temporality</w:t>
                            </w:r>
                          </w:p>
                          <w:p w14:paraId="29136599" w14:textId="4FE05B8D" w:rsidR="00EB6F25" w:rsidRDefault="00EB6F25" w:rsidP="00E2032C">
                            <w:pPr>
                              <w:pStyle w:val="ListParagraph"/>
                              <w:numPr>
                                <w:ilvl w:val="0"/>
                                <w:numId w:val="4"/>
                              </w:numPr>
                            </w:pPr>
                            <w:r>
                              <w:t>Biological gradient</w:t>
                            </w:r>
                          </w:p>
                          <w:p w14:paraId="309499E3" w14:textId="42308BC7" w:rsidR="00EB6F25" w:rsidRDefault="00EB6F25" w:rsidP="00E2032C">
                            <w:pPr>
                              <w:pStyle w:val="ListParagraph"/>
                              <w:numPr>
                                <w:ilvl w:val="0"/>
                                <w:numId w:val="4"/>
                              </w:numPr>
                            </w:pPr>
                            <w:r>
                              <w:t>Plausibility</w:t>
                            </w:r>
                          </w:p>
                          <w:p w14:paraId="6D251200" w14:textId="508C2368" w:rsidR="00EB6F25" w:rsidRDefault="00EB6F25" w:rsidP="00E2032C">
                            <w:pPr>
                              <w:pStyle w:val="ListParagraph"/>
                              <w:numPr>
                                <w:ilvl w:val="0"/>
                                <w:numId w:val="4"/>
                              </w:numPr>
                            </w:pPr>
                            <w:r>
                              <w:t>Coherence</w:t>
                            </w:r>
                          </w:p>
                          <w:p w14:paraId="5B6F1BD8" w14:textId="7D41B9E5" w:rsidR="00EB6F25" w:rsidRDefault="00EB6F25" w:rsidP="00E2032C">
                            <w:pPr>
                              <w:pStyle w:val="ListParagraph"/>
                              <w:numPr>
                                <w:ilvl w:val="0"/>
                                <w:numId w:val="4"/>
                              </w:numPr>
                            </w:pPr>
                            <w:r>
                              <w:t>Experiment</w:t>
                            </w:r>
                          </w:p>
                          <w:p w14:paraId="2B3722E0" w14:textId="5D85942E" w:rsidR="00EB6F25" w:rsidRDefault="00EB6F25" w:rsidP="00E2032C">
                            <w:pPr>
                              <w:pStyle w:val="ListParagraph"/>
                              <w:numPr>
                                <w:ilvl w:val="0"/>
                                <w:numId w:val="4"/>
                              </w:numPr>
                            </w:pPr>
                            <w:r>
                              <w:t>Analogy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28.1pt;margin-top:1.2pt;width:295.85pt;height:177.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">
                <v:textbox style="mso-fit-shape-to-text:t">
                  <w:txbxContent>
                    <w:p w14:paraId="5B281E16" w14:textId="139DA5BB" w:rsidR="00EB6F25" w:rsidRPr="00F70FA3" w:rsidRDefault="00EB6F25" w:rsidP="00E2032C">
                      <w:pPr>
                        <w:rPr>
                          <w:b/>
                          <w:bCs/>
                        </w:rPr>
                      </w:pPr>
                      <w:r w:rsidRPr="00F70FA3">
                        <w:rPr>
                          <w:b/>
                          <w:bCs/>
                        </w:rPr>
                        <w:t xml:space="preserve">Box 1. Bradford Hill </w:t>
                      </w:r>
                      <w:r>
                        <w:rPr>
                          <w:b/>
                          <w:bCs/>
                        </w:rPr>
                        <w:t>viewpoints on</w:t>
                      </w:r>
                      <w:r w:rsidRPr="00F70FA3">
                        <w:rPr>
                          <w:b/>
                          <w:bCs/>
                        </w:rPr>
                        <w:t xml:space="preserve"> causality</w:t>
                      </w:r>
                    </w:p>
                    <w:p w14:paraId="1E3826D9" w14:textId="77777777" w:rsidR="00EB6F25" w:rsidRDefault="00EB6F25" w:rsidP="00E2032C"/>
                    <w:p w14:paraId="5A37DDC1" w14:textId="22B1DE8B" w:rsidR="00EB6F25" w:rsidRDefault="00EB6F25" w:rsidP="00E2032C">
                      <w:pPr>
                        <w:pStyle w:val="ListParagraph"/>
                        <w:numPr>
                          <w:ilvl w:val="0"/>
                          <w:numId w:val="4"/>
                        </w:numPr>
                      </w:pPr>
                      <w:r w:rsidRPr="00E2032C">
                        <w:t>Strength of association</w:t>
                      </w:r>
                    </w:p>
                    <w:p w14:paraId="1CB34534" w14:textId="5A7FB47B" w:rsidR="00EB6F25" w:rsidRDefault="00EB6F25" w:rsidP="00E2032C">
                      <w:pPr>
                        <w:pStyle w:val="ListParagraph"/>
                        <w:numPr>
                          <w:ilvl w:val="0"/>
                          <w:numId w:val="4"/>
                        </w:numPr>
                      </w:pPr>
                      <w:r>
                        <w:t>Consistency</w:t>
                      </w:r>
                    </w:p>
                    <w:p w14:paraId="2472930A" w14:textId="4080D25F" w:rsidR="00EB6F25" w:rsidRDefault="00EB6F25" w:rsidP="00E2032C">
                      <w:pPr>
                        <w:pStyle w:val="ListParagraph"/>
                        <w:numPr>
                          <w:ilvl w:val="0"/>
                          <w:numId w:val="4"/>
                        </w:numPr>
                      </w:pPr>
                      <w:r>
                        <w:t>Specificity</w:t>
                      </w:r>
                    </w:p>
                    <w:p w14:paraId="703BC852" w14:textId="682D6550" w:rsidR="00EB6F25" w:rsidRDefault="00EB6F25" w:rsidP="00E2032C">
                      <w:pPr>
                        <w:pStyle w:val="ListParagraph"/>
                        <w:numPr>
                          <w:ilvl w:val="0"/>
                          <w:numId w:val="4"/>
                        </w:numPr>
                      </w:pPr>
                      <w:r>
                        <w:t>Temporality</w:t>
                      </w:r>
                    </w:p>
                    <w:p w14:paraId="29136599" w14:textId="4FE05B8D" w:rsidR="00EB6F25" w:rsidRDefault="00EB6F25" w:rsidP="00E2032C">
                      <w:pPr>
                        <w:pStyle w:val="ListParagraph"/>
                        <w:numPr>
                          <w:ilvl w:val="0"/>
                          <w:numId w:val="4"/>
                        </w:numPr>
                      </w:pPr>
                      <w:r>
                        <w:t>Biological gradient</w:t>
                      </w:r>
                    </w:p>
                    <w:p w14:paraId="309499E3" w14:textId="42308BC7" w:rsidR="00EB6F25" w:rsidRDefault="00EB6F25" w:rsidP="00E2032C">
                      <w:pPr>
                        <w:pStyle w:val="ListParagraph"/>
                        <w:numPr>
                          <w:ilvl w:val="0"/>
                          <w:numId w:val="4"/>
                        </w:numPr>
                      </w:pPr>
                      <w:r>
                        <w:t>Plausibility</w:t>
                      </w:r>
                    </w:p>
                    <w:p w14:paraId="6D251200" w14:textId="508C2368" w:rsidR="00EB6F25" w:rsidRDefault="00EB6F25" w:rsidP="00E2032C">
                      <w:pPr>
                        <w:pStyle w:val="ListParagraph"/>
                        <w:numPr>
                          <w:ilvl w:val="0"/>
                          <w:numId w:val="4"/>
                        </w:numPr>
                      </w:pPr>
                      <w:r>
                        <w:t>Coherence</w:t>
                      </w:r>
                    </w:p>
                    <w:p w14:paraId="5B6F1BD8" w14:textId="7D41B9E5" w:rsidR="00EB6F25" w:rsidRDefault="00EB6F25" w:rsidP="00E2032C">
                      <w:pPr>
                        <w:pStyle w:val="ListParagraph"/>
                        <w:numPr>
                          <w:ilvl w:val="0"/>
                          <w:numId w:val="4"/>
                        </w:numPr>
                      </w:pPr>
                      <w:r>
                        <w:t>Experiment</w:t>
                      </w:r>
                    </w:p>
                    <w:p w14:paraId="2B3722E0" w14:textId="5D85942E" w:rsidR="00EB6F25" w:rsidRDefault="00EB6F25" w:rsidP="00E2032C">
                      <w:pPr>
                        <w:pStyle w:val="ListParagraph"/>
                        <w:numPr>
                          <w:ilvl w:val="0"/>
                          <w:numId w:val="4"/>
                        </w:numPr>
                      </w:pPr>
                      <w:r>
                        <w:t>Analogy</w:t>
                      </w:r>
                    </w:p>
                  </w:txbxContent>
                </v:textbox>
              </v:shape>
            </w:pict>
          </mc:Fallback>
        </mc:AlternateContent>
      </w:r>
    </w:p>
    <w:p w14:paraId="32FC9C24" w14:textId="51C12B1D" w:rsidR="002D6CBE" w:rsidRDefault="002D6CBE" w:rsidP="00CA0B20">
      <w:pPr>
        <w:spacing w:line="480" w:lineRule="auto"/>
      </w:pPr>
    </w:p>
    <w:p w14:paraId="1FFED3C4" w14:textId="77777777" w:rsidR="002D6CBE" w:rsidRDefault="002D6CBE" w:rsidP="00CA0B20">
      <w:pPr>
        <w:spacing w:line="480" w:lineRule="auto"/>
      </w:pPr>
    </w:p>
    <w:p w14:paraId="0E0ED302" w14:textId="7FE52033" w:rsidR="002D6CBE" w:rsidRDefault="002D6CBE" w:rsidP="00CA0B20">
      <w:pPr>
        <w:spacing w:line="480" w:lineRule="auto"/>
      </w:pPr>
    </w:p>
    <w:p w14:paraId="69C1AE2B" w14:textId="77777777" w:rsidR="002D6CBE" w:rsidRDefault="002D6CBE" w:rsidP="00CA0B20">
      <w:pPr>
        <w:spacing w:line="480" w:lineRule="auto"/>
      </w:pPr>
    </w:p>
    <w:p w14:paraId="46439B89" w14:textId="77777777" w:rsidR="002D6CBE" w:rsidRDefault="002D6CBE" w:rsidP="00CA0B20">
      <w:pPr>
        <w:spacing w:line="480" w:lineRule="auto"/>
      </w:pPr>
    </w:p>
    <w:p w14:paraId="2AB2B089" w14:textId="77777777" w:rsidR="002D6CBE" w:rsidRDefault="002D6CBE" w:rsidP="00CA0B20">
      <w:pPr>
        <w:spacing w:line="480" w:lineRule="auto"/>
      </w:pPr>
    </w:p>
    <w:p w14:paraId="242B427A" w14:textId="141136DF" w:rsidR="002D6CBE" w:rsidRDefault="00E2032C" w:rsidP="00CA0B20">
      <w:pPr>
        <w:spacing w:line="480" w:lineRule="auto"/>
      </w:pPr>
      <w:r>
        <w:rPr>
          <w:noProof/>
        </w:rPr>
        <mc:AlternateContent>
          <mc:Choice Requires="wps">
            <w:drawing>
              <wp:anchor distT="0" distB="0" distL="114300" distR="114300" simplePos="0" relativeHeight="251659264" behindDoc="0" locked="0" layoutInCell="1" allowOverlap="1" wp14:anchorId="258F43F3" wp14:editId="533FB0AB">
                <wp:simplePos x="0" y="0"/>
                <wp:positionH relativeFrom="column">
                  <wp:posOffset>360476</wp:posOffset>
                </wp:positionH>
                <wp:positionV relativeFrom="paragraph">
                  <wp:posOffset>81783</wp:posOffset>
                </wp:positionV>
                <wp:extent cx="3753270" cy="4022725"/>
                <wp:effectExtent l="0" t="0" r="1905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270" cy="4022725"/>
                        </a:xfrm>
                        <a:prstGeom prst="rect">
                          <a:avLst/>
                        </a:prstGeom>
                        <a:solidFill>
                          <a:srgbClr val="FFFFFF"/>
                        </a:solidFill>
                        <a:ln w="9525">
                          <a:solidFill>
                            <a:srgbClr val="000000"/>
                          </a:solidFill>
                          <a:miter lim="800000"/>
                          <a:headEnd/>
                          <a:tailEnd/>
                        </a:ln>
                      </wps:spPr>
                      <wps:txbx>
                        <w:txbxContent>
                          <w:p w14:paraId="27527D63" w14:textId="6338D56A" w:rsidR="00EB6F25" w:rsidRDefault="00EB6F25" w:rsidP="002D6CBE">
                            <w:r w:rsidRPr="00F70FA3">
                              <w:rPr>
                                <w:b/>
                                <w:bCs/>
                              </w:rPr>
                              <w:t>Box 2: Hypotheses with the potential to explain / partially explain the Scottish effect identified in the GCPH review</w:t>
                            </w:r>
                            <w:r w:rsidRPr="002D6CBE">
                              <w:rPr>
                                <w:vertAlign w:val="superscript"/>
                              </w:rPr>
                              <w:t>22</w:t>
                            </w:r>
                          </w:p>
                          <w:p w14:paraId="47C96760" w14:textId="77777777" w:rsidR="00EB6F25" w:rsidRDefault="00EB6F25" w:rsidP="002D6CBE"/>
                          <w:p w14:paraId="22A10D91" w14:textId="77777777" w:rsidR="00EB6F25" w:rsidRDefault="00EB6F25" w:rsidP="002D6CBE">
                            <w:r>
                              <w:t>1.</w:t>
                            </w:r>
                            <w:r>
                              <w:tab/>
                              <w:t>Deprivation</w:t>
                            </w:r>
                          </w:p>
                          <w:p w14:paraId="17923BE9" w14:textId="77777777" w:rsidR="00EB6F25" w:rsidRDefault="00EB6F25" w:rsidP="002D6CBE">
                            <w:r>
                              <w:t>2.</w:t>
                            </w:r>
                            <w:r>
                              <w:tab/>
                              <w:t xml:space="preserve">Migration </w:t>
                            </w:r>
                          </w:p>
                          <w:p w14:paraId="60111104" w14:textId="77777777" w:rsidR="00EB6F25" w:rsidRDefault="00EB6F25" w:rsidP="002D6CBE">
                            <w:r>
                              <w:t>3.</w:t>
                            </w:r>
                            <w:r>
                              <w:tab/>
                              <w:t>Genetic differences</w:t>
                            </w:r>
                          </w:p>
                          <w:p w14:paraId="09C6A936" w14:textId="77777777" w:rsidR="00EB6F25" w:rsidRDefault="00EB6F25" w:rsidP="002D6CBE">
                            <w:r>
                              <w:t>4.</w:t>
                            </w:r>
                            <w:r>
                              <w:tab/>
                              <w:t>Health behaviours</w:t>
                            </w:r>
                          </w:p>
                          <w:p w14:paraId="25563F88" w14:textId="77777777" w:rsidR="00EB6F25" w:rsidRDefault="00EB6F25" w:rsidP="002D6CBE">
                            <w:r>
                              <w:t>5.</w:t>
                            </w:r>
                            <w:r>
                              <w:tab/>
                              <w:t>Individual values</w:t>
                            </w:r>
                          </w:p>
                          <w:p w14:paraId="78CFFFBF" w14:textId="77777777" w:rsidR="00EB6F25" w:rsidRDefault="00EB6F25" w:rsidP="002D6CBE">
                            <w:r>
                              <w:t>6.</w:t>
                            </w:r>
                            <w:r>
                              <w:tab/>
                              <w:t>Different culture of substance misuse</w:t>
                            </w:r>
                          </w:p>
                          <w:p w14:paraId="5E933D31" w14:textId="77777777" w:rsidR="00EB6F25" w:rsidRDefault="00EB6F25" w:rsidP="002D6CBE">
                            <w:r>
                              <w:t>7.</w:t>
                            </w:r>
                            <w:r>
                              <w:tab/>
                              <w:t>Culture of boundlessness and alienation</w:t>
                            </w:r>
                          </w:p>
                          <w:p w14:paraId="519F75EA" w14:textId="77777777" w:rsidR="00EB6F25" w:rsidRDefault="00EB6F25" w:rsidP="002D6CBE">
                            <w:r>
                              <w:t>8.</w:t>
                            </w:r>
                            <w:r>
                              <w:tab/>
                              <w:t>Family, gender relations and parenting differences</w:t>
                            </w:r>
                          </w:p>
                          <w:p w14:paraId="6D7B682C" w14:textId="77777777" w:rsidR="00EB6F25" w:rsidRDefault="00EB6F25" w:rsidP="002D6CBE">
                            <w:r>
                              <w:t>9.</w:t>
                            </w:r>
                            <w:r>
                              <w:tab/>
                              <w:t xml:space="preserve">Lower ‘social capital’ </w:t>
                            </w:r>
                          </w:p>
                          <w:p w14:paraId="32585BD8" w14:textId="77777777" w:rsidR="00EB6F25" w:rsidRDefault="00EB6F25" w:rsidP="002D6CBE">
                            <w:r>
                              <w:t>10.</w:t>
                            </w:r>
                            <w:r>
                              <w:tab/>
                              <w:t>Sectarianism</w:t>
                            </w:r>
                          </w:p>
                          <w:p w14:paraId="02C82AB0" w14:textId="77777777" w:rsidR="00EB6F25" w:rsidRDefault="00EB6F25" w:rsidP="002D6CBE">
                            <w:r>
                              <w:t>11.</w:t>
                            </w:r>
                            <w:r>
                              <w:tab/>
                              <w:t>Culture of limited social mobility</w:t>
                            </w:r>
                          </w:p>
                          <w:p w14:paraId="541A64C6" w14:textId="77777777" w:rsidR="00EB6F25" w:rsidRDefault="00EB6F25" w:rsidP="002D6CBE">
                            <w:r>
                              <w:t>12.</w:t>
                            </w:r>
                            <w:r>
                              <w:tab/>
                              <w:t>Health service supply and demand</w:t>
                            </w:r>
                          </w:p>
                          <w:p w14:paraId="1398DAAC" w14:textId="77777777" w:rsidR="00EB6F25" w:rsidRDefault="00EB6F25" w:rsidP="002D6CBE">
                            <w:r>
                              <w:t>13.</w:t>
                            </w:r>
                            <w:r>
                              <w:tab/>
                              <w:t>Deprivation concentration ‘area effects’</w:t>
                            </w:r>
                          </w:p>
                          <w:p w14:paraId="6A09C1B0" w14:textId="77777777" w:rsidR="00EB6F25" w:rsidRDefault="00EB6F25" w:rsidP="002D6CBE">
                            <w:r>
                              <w:t>14.</w:t>
                            </w:r>
                            <w:r>
                              <w:tab/>
                              <w:t>Greater inequalities</w:t>
                            </w:r>
                          </w:p>
                          <w:p w14:paraId="1358688A" w14:textId="77777777" w:rsidR="00EB6F25" w:rsidRDefault="00EB6F25" w:rsidP="002D6CBE">
                            <w:r>
                              <w:t>15.</w:t>
                            </w:r>
                            <w:r>
                              <w:tab/>
                              <w:t>Deindustrialisation</w:t>
                            </w:r>
                          </w:p>
                          <w:p w14:paraId="41AF2351" w14:textId="77777777" w:rsidR="00EB6F25" w:rsidRDefault="00EB6F25" w:rsidP="002D6CBE">
                            <w:r>
                              <w:t>16.</w:t>
                            </w:r>
                            <w:r>
                              <w:tab/>
                              <w:t>Political attack</w:t>
                            </w:r>
                          </w:p>
                          <w:p w14:paraId="1BC5C9B5" w14:textId="2ECF3FEF" w:rsidR="00EB6F25" w:rsidRDefault="00EB6F25" w:rsidP="002D6CBE">
                            <w:r>
                              <w:t>17.</w:t>
                            </w:r>
                            <w:r>
                              <w:tab/>
                              <w:t>Climatic differences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id="_x0000_s1027" type="#_x0000_t202" style="position:absolute;margin-left:28.4pt;margin-top:6.45pt;width:295.55pt;height:316.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">
                <v:textbox style="mso-fit-shape-to-text:t">
                  <w:txbxContent>
                    <w:p w14:paraId="27527D63" w14:textId="6338D56A" w:rsidR="00EB6F25" w:rsidRDefault="00EB6F25" w:rsidP="002D6CBE">
                      <w:r w:rsidRPr="00F70FA3">
                        <w:rPr>
                          <w:b/>
                          <w:bCs/>
                        </w:rPr>
                        <w:t>Box 2: Hypotheses with the potential to explain / partially explain the Scottish effect identified in the GCPH review</w:t>
                      </w:r>
                      <w:r w:rsidRPr="002D6CBE">
                        <w:rPr>
                          <w:vertAlign w:val="superscript"/>
                        </w:rPr>
                        <w:t>22</w:t>
                      </w:r>
                    </w:p>
                    <w:p w14:paraId="47C96760" w14:textId="77777777" w:rsidR="00EB6F25" w:rsidRDefault="00EB6F25" w:rsidP="002D6CBE"/>
                    <w:p w14:paraId="22A10D91" w14:textId="77777777" w:rsidR="00EB6F25" w:rsidRDefault="00EB6F25" w:rsidP="002D6CBE">
                      <w:r>
                        <w:t>1.</w:t>
                      </w:r>
                      <w:r>
                        <w:tab/>
                        <w:t>Deprivation</w:t>
                      </w:r>
                    </w:p>
                    <w:p w14:paraId="17923BE9" w14:textId="77777777" w:rsidR="00EB6F25" w:rsidRDefault="00EB6F25" w:rsidP="002D6CBE">
                      <w:r>
                        <w:t>2.</w:t>
                      </w:r>
                      <w:r>
                        <w:tab/>
                        <w:t xml:space="preserve">Migration </w:t>
                      </w:r>
                    </w:p>
                    <w:p w14:paraId="60111104" w14:textId="77777777" w:rsidR="00EB6F25" w:rsidRDefault="00EB6F25" w:rsidP="002D6CBE">
                      <w:r>
                        <w:t>3.</w:t>
                      </w:r>
                      <w:r>
                        <w:tab/>
                        <w:t>Genetic differences</w:t>
                      </w:r>
                    </w:p>
                    <w:p w14:paraId="09C6A936" w14:textId="77777777" w:rsidR="00EB6F25" w:rsidRDefault="00EB6F25" w:rsidP="002D6CBE">
                      <w:r>
                        <w:t>4.</w:t>
                      </w:r>
                      <w:r>
                        <w:tab/>
                        <w:t>Health behaviours</w:t>
                      </w:r>
                    </w:p>
                    <w:p w14:paraId="25563F88" w14:textId="77777777" w:rsidR="00EB6F25" w:rsidRDefault="00EB6F25" w:rsidP="002D6CBE">
                      <w:r>
                        <w:t>5.</w:t>
                      </w:r>
                      <w:r>
                        <w:tab/>
                        <w:t>Individual values</w:t>
                      </w:r>
                    </w:p>
                    <w:p w14:paraId="78CFFFBF" w14:textId="77777777" w:rsidR="00EB6F25" w:rsidRDefault="00EB6F25" w:rsidP="002D6CBE">
                      <w:r>
                        <w:t>6.</w:t>
                      </w:r>
                      <w:r>
                        <w:tab/>
                        <w:t>Different culture of substance misuse</w:t>
                      </w:r>
                    </w:p>
                    <w:p w14:paraId="5E933D31" w14:textId="77777777" w:rsidR="00EB6F25" w:rsidRDefault="00EB6F25" w:rsidP="002D6CBE">
                      <w:r>
                        <w:t>7.</w:t>
                      </w:r>
                      <w:r>
                        <w:tab/>
                        <w:t>Culture of boundlessness and alienation</w:t>
                      </w:r>
                    </w:p>
                    <w:p w14:paraId="519F75EA" w14:textId="77777777" w:rsidR="00EB6F25" w:rsidRDefault="00EB6F25" w:rsidP="002D6CBE">
                      <w:r>
                        <w:t>8.</w:t>
                      </w:r>
                      <w:r>
                        <w:tab/>
                        <w:t>Family, gender relations and parenting differences</w:t>
                      </w:r>
                    </w:p>
                    <w:p w14:paraId="6D7B682C" w14:textId="77777777" w:rsidR="00EB6F25" w:rsidRDefault="00EB6F25" w:rsidP="002D6CBE">
                      <w:r>
                        <w:t>9.</w:t>
                      </w:r>
                      <w:r>
                        <w:tab/>
                        <w:t xml:space="preserve">Lower ‘social capital’ </w:t>
                      </w:r>
                    </w:p>
                    <w:p w14:paraId="32585BD8" w14:textId="77777777" w:rsidR="00EB6F25" w:rsidRDefault="00EB6F25" w:rsidP="002D6CBE">
                      <w:r>
                        <w:t>10.</w:t>
                      </w:r>
                      <w:r>
                        <w:tab/>
                        <w:t>Sectarianism</w:t>
                      </w:r>
                    </w:p>
                    <w:p w14:paraId="02C82AB0" w14:textId="77777777" w:rsidR="00EB6F25" w:rsidRDefault="00EB6F25" w:rsidP="002D6CBE">
                      <w:r>
                        <w:t>11.</w:t>
                      </w:r>
                      <w:r>
                        <w:tab/>
                        <w:t>Culture of limited social mobility</w:t>
                      </w:r>
                    </w:p>
                    <w:p w14:paraId="541A64C6" w14:textId="77777777" w:rsidR="00EB6F25" w:rsidRDefault="00EB6F25" w:rsidP="002D6CBE">
                      <w:r>
                        <w:t>12.</w:t>
                      </w:r>
                      <w:r>
                        <w:tab/>
                        <w:t>Health service supply and demand</w:t>
                      </w:r>
                    </w:p>
                    <w:p w14:paraId="1398DAAC" w14:textId="77777777" w:rsidR="00EB6F25" w:rsidRDefault="00EB6F25" w:rsidP="002D6CBE">
                      <w:r>
                        <w:t>13.</w:t>
                      </w:r>
                      <w:r>
                        <w:tab/>
                        <w:t>Deprivation concentration ‘area effects’</w:t>
                      </w:r>
                    </w:p>
                    <w:p w14:paraId="6A09C1B0" w14:textId="77777777" w:rsidR="00EB6F25" w:rsidRDefault="00EB6F25" w:rsidP="002D6CBE">
                      <w:r>
                        <w:t>14.</w:t>
                      </w:r>
                      <w:r>
                        <w:tab/>
                        <w:t>Greater inequalities</w:t>
                      </w:r>
                    </w:p>
                    <w:p w14:paraId="1358688A" w14:textId="77777777" w:rsidR="00EB6F25" w:rsidRDefault="00EB6F25" w:rsidP="002D6CBE">
                      <w:r>
                        <w:t>15.</w:t>
                      </w:r>
                      <w:r>
                        <w:tab/>
                        <w:t>Deindustrialisation</w:t>
                      </w:r>
                    </w:p>
                    <w:p w14:paraId="41AF2351" w14:textId="77777777" w:rsidR="00EB6F25" w:rsidRDefault="00EB6F25" w:rsidP="002D6CBE">
                      <w:r>
                        <w:t>16.</w:t>
                      </w:r>
                      <w:r>
                        <w:tab/>
                        <w:t>Political attack</w:t>
                      </w:r>
                    </w:p>
                    <w:p w14:paraId="1BC5C9B5" w14:textId="2ECF3FEF" w:rsidR="00EB6F25" w:rsidRDefault="00EB6F25" w:rsidP="002D6CBE">
                      <w:r>
                        <w:t>17.</w:t>
                      </w:r>
                      <w:r>
                        <w:tab/>
                        <w:t>Climatic differences</w:t>
                      </w:r>
                    </w:p>
                  </w:txbxContent>
                </v:textbox>
              </v:shape>
            </w:pict>
          </mc:Fallback>
        </mc:AlternateContent>
      </w:r>
    </w:p>
    <w:p w14:paraId="0A7CDD90" w14:textId="77777777" w:rsidR="004F3C91" w:rsidRDefault="004F3C91">
      <w:pPr>
        <w:rPr>
          <w:b/>
        </w:rPr>
      </w:pPr>
      <w:r>
        <w:rPr>
          <w:b/>
        </w:rPr>
        <w:br w:type="page"/>
      </w:r>
    </w:p>
    <w:p w14:paraId="28084E26" w14:textId="21EBB2F4" w:rsidR="00E2032C" w:rsidRDefault="00A648E4" w:rsidP="00394946">
      <w:pPr>
        <w:spacing w:line="480" w:lineRule="auto"/>
      </w:pPr>
      <w:r w:rsidRPr="00D07C3D">
        <w:rPr>
          <w:b/>
        </w:rPr>
        <w:lastRenderedPageBreak/>
        <w:t>Figure</w:t>
      </w:r>
      <w:r w:rsidR="000C1906">
        <w:rPr>
          <w:b/>
        </w:rPr>
        <w:t xml:space="preserve"> 1</w:t>
      </w:r>
      <w:r>
        <w:t xml:space="preserve">: </w:t>
      </w:r>
      <w:r w:rsidRPr="00F70FA3">
        <w:rPr>
          <w:b/>
          <w:bCs/>
        </w:rPr>
        <w:t xml:space="preserve">The number of Bradford-Hill </w:t>
      </w:r>
      <w:r w:rsidR="008F2A37">
        <w:rPr>
          <w:b/>
          <w:bCs/>
        </w:rPr>
        <w:t>viewpoints</w:t>
      </w:r>
      <w:r w:rsidRPr="00F70FA3">
        <w:rPr>
          <w:b/>
          <w:bCs/>
        </w:rPr>
        <w:t xml:space="preserve"> met by each hypothesis for the divergence of the Scottish mortality pattern from the rest of Europe in the middle of the 20th Century</w:t>
      </w:r>
      <w:r>
        <w:t xml:space="preserve"> (reproduced </w:t>
      </w:r>
      <w:r w:rsidR="000C1906">
        <w:t xml:space="preserve">with </w:t>
      </w:r>
      <w:r w:rsidR="00394946">
        <w:t xml:space="preserve">kind </w:t>
      </w:r>
      <w:r w:rsidR="000C1906">
        <w:t xml:space="preserve">permission </w:t>
      </w:r>
      <w:r w:rsidR="00394946">
        <w:t>of the authors</w:t>
      </w:r>
      <w:r>
        <w:t>)</w:t>
      </w:r>
      <w:r w:rsidRPr="00A648E4">
        <w:t>.</w:t>
      </w:r>
      <w:r w:rsidRPr="00A648E4">
        <w:rPr>
          <w:vertAlign w:val="superscript"/>
        </w:rPr>
        <w:t>22</w:t>
      </w:r>
    </w:p>
    <w:p w14:paraId="61AAC52B" w14:textId="058E8008" w:rsidR="00E2032C" w:rsidRDefault="00E2032C" w:rsidP="00CA0B20">
      <w:pPr>
        <w:spacing w:line="480" w:lineRule="auto"/>
      </w:pPr>
    </w:p>
    <w:p w14:paraId="221BDBA5" w14:textId="73B28F9A" w:rsidR="00475834" w:rsidRDefault="004E24F4" w:rsidP="00475834">
      <w:pPr>
        <w:spacing w:line="480" w:lineRule="auto"/>
      </w:pPr>
      <w:r w:rsidRPr="004E24F4">
        <w:rPr>
          <w:b/>
          <w:bCs/>
        </w:rPr>
        <w:t>Figure 2.</w:t>
      </w:r>
      <w:r>
        <w:t xml:space="preserve"> </w:t>
      </w:r>
      <w:r w:rsidRPr="00F70FA3">
        <w:rPr>
          <w:b/>
          <w:bCs/>
        </w:rPr>
        <w:t xml:space="preserve">The number of Bradford-Hill </w:t>
      </w:r>
      <w:r w:rsidR="008F2A37">
        <w:rPr>
          <w:b/>
          <w:bCs/>
        </w:rPr>
        <w:t>viewpoints</w:t>
      </w:r>
      <w:r w:rsidRPr="00F70FA3">
        <w:rPr>
          <w:b/>
          <w:bCs/>
        </w:rPr>
        <w:t xml:space="preserve"> met by each hypothesis </w:t>
      </w:r>
      <w:r w:rsidR="006B17BE">
        <w:rPr>
          <w:b/>
          <w:bCs/>
        </w:rPr>
        <w:t>as explanatory factors in Scotland and Glasgow’s excess mortality</w:t>
      </w:r>
      <w:r w:rsidR="00475834">
        <w:t xml:space="preserve"> (reproduced with kind permission of the authors)</w:t>
      </w:r>
      <w:r w:rsidR="00475834" w:rsidRPr="00A648E4">
        <w:t>.</w:t>
      </w:r>
      <w:r w:rsidR="00475834" w:rsidRPr="00A648E4">
        <w:rPr>
          <w:vertAlign w:val="superscript"/>
        </w:rPr>
        <w:t>22</w:t>
      </w:r>
    </w:p>
    <w:p w14:paraId="102C59FA" w14:textId="46D26E2D" w:rsidR="00E2032C" w:rsidRDefault="00E2032C" w:rsidP="00CA0B20">
      <w:pPr>
        <w:spacing w:line="480" w:lineRule="auto"/>
      </w:pPr>
    </w:p>
    <w:p w14:paraId="1F9EBBC2" w14:textId="1886E00C" w:rsidR="001D6503" w:rsidRDefault="00A4780E" w:rsidP="00751F77">
      <w:pPr>
        <w:spacing w:line="480" w:lineRule="auto"/>
      </w:pPr>
      <w:r>
        <w:t xml:space="preserve">Of the hypotheses shown in Figure 2, </w:t>
      </w:r>
      <w:r w:rsidR="00751F77">
        <w:t>t</w:t>
      </w:r>
      <w:r w:rsidR="001D6503">
        <w:t>he most striking is</w:t>
      </w:r>
      <w:r w:rsidR="00D57EC2">
        <w:t xml:space="preserve"> perhaps</w:t>
      </w:r>
      <w:r w:rsidR="001D6503">
        <w:t xml:space="preserve"> ‘Political attack’. This has been described as the </w:t>
      </w:r>
      <w:r w:rsidR="009C660B">
        <w:t xml:space="preserve">adverse </w:t>
      </w:r>
      <w:r w:rsidR="001D6503">
        <w:t>neo-liberal influence on the organised working class implemented by the post-1979 UK Conservative governments.</w:t>
      </w:r>
      <w:r w:rsidR="001D6503" w:rsidRPr="006775A1">
        <w:rPr>
          <w:vertAlign w:val="superscript"/>
        </w:rPr>
        <w:t>2</w:t>
      </w:r>
      <w:r w:rsidR="0034614E">
        <w:rPr>
          <w:vertAlign w:val="superscript"/>
        </w:rPr>
        <w:t>4</w:t>
      </w:r>
      <w:r w:rsidR="001D6503">
        <w:t xml:space="preserve"> </w:t>
      </w:r>
      <w:r>
        <w:t>While difficult to immedi</w:t>
      </w:r>
      <w:r w:rsidR="002826B3">
        <w:t>a</w:t>
      </w:r>
      <w:r>
        <w:t xml:space="preserve">tely understand the connection with health outcomes, </w:t>
      </w:r>
      <w:r w:rsidR="008E556D">
        <w:t>it has been argued that the effects of political forces on social inequalities</w:t>
      </w:r>
      <w:r w:rsidR="00685A98">
        <w:t>, for example, are</w:t>
      </w:r>
      <w:r w:rsidR="008E556D">
        <w:t xml:space="preserve"> often underestimated and have a </w:t>
      </w:r>
      <w:r w:rsidR="00421226">
        <w:t>significant</w:t>
      </w:r>
      <w:r w:rsidR="008E556D">
        <w:t xml:space="preserve"> effect on health. </w:t>
      </w:r>
      <w:r w:rsidR="008E556D" w:rsidRPr="00922CE9">
        <w:rPr>
          <w:vertAlign w:val="superscript"/>
        </w:rPr>
        <w:t>25</w:t>
      </w:r>
      <w:r w:rsidR="008E556D">
        <w:t xml:space="preserve"> T</w:t>
      </w:r>
      <w:r>
        <w:t xml:space="preserve">here is no doubt that </w:t>
      </w:r>
      <w:r w:rsidR="008E556D">
        <w:t>political influence was</w:t>
      </w:r>
      <w:r w:rsidR="001D6503">
        <w:t xml:space="preserve"> closely linked to </w:t>
      </w:r>
      <w:r>
        <w:t>the</w:t>
      </w:r>
      <w:r w:rsidR="001D6503">
        <w:t xml:space="preserve"> profound degree of </w:t>
      </w:r>
      <w:r w:rsidR="009C660B">
        <w:t>deindustrialisation</w:t>
      </w:r>
      <w:r w:rsidR="001D6503">
        <w:t xml:space="preserve"> occurring in the region</w:t>
      </w:r>
      <w:r w:rsidR="006775A1">
        <w:t xml:space="preserve"> in the late 1970s and early 1980s; the same time that Glasgow</w:t>
      </w:r>
      <w:r w:rsidR="00B40365">
        <w:t>’s excess mortality</w:t>
      </w:r>
      <w:r w:rsidR="006775A1">
        <w:t xml:space="preserve"> was starting to emerge</w:t>
      </w:r>
      <w:r w:rsidR="001D6503">
        <w:t>.</w:t>
      </w:r>
      <w:r w:rsidR="00723659" w:rsidRPr="006775A1">
        <w:rPr>
          <w:vertAlign w:val="superscript"/>
        </w:rPr>
        <w:t>2</w:t>
      </w:r>
      <w:r w:rsidR="00723659">
        <w:rPr>
          <w:vertAlign w:val="superscript"/>
        </w:rPr>
        <w:t>6</w:t>
      </w:r>
      <w:r w:rsidR="00723659">
        <w:t xml:space="preserve"> </w:t>
      </w:r>
      <w:r w:rsidR="009C660B">
        <w:t>Rapid loss of employment with associated increase in poverty and reduction in council housing was particularly intense in Glasgow</w:t>
      </w:r>
      <w:r>
        <w:t xml:space="preserve"> and such change may well have had profound effects on health, both in the short term and reaching far into the future as successive generations are </w:t>
      </w:r>
      <w:r w:rsidR="00BF1331">
        <w:t>affected by the legacy of that period</w:t>
      </w:r>
      <w:r>
        <w:t xml:space="preserve"> across their lifetime. </w:t>
      </w:r>
      <w:r w:rsidR="009C660B" w:rsidRPr="009C660B">
        <w:rPr>
          <w:vertAlign w:val="superscript"/>
        </w:rPr>
        <w:t>24</w:t>
      </w:r>
    </w:p>
    <w:p w14:paraId="57808163" w14:textId="10F06CAD" w:rsidR="00DD2803" w:rsidRDefault="000776C0" w:rsidP="0034614E">
      <w:pPr>
        <w:spacing w:line="480" w:lineRule="auto"/>
      </w:pPr>
      <w:r w:rsidRPr="000776C0">
        <w:t>Since th</w:t>
      </w:r>
      <w:r w:rsidR="00E51484">
        <w:t>e GCPH</w:t>
      </w:r>
      <w:r w:rsidRPr="000776C0">
        <w:t xml:space="preserve"> review, </w:t>
      </w:r>
      <w:r w:rsidR="00EB2F0A">
        <w:t>other theories of interest have emerged in this field</w:t>
      </w:r>
      <w:r w:rsidR="00973A8C">
        <w:t xml:space="preserve"> such as the importance of neighbourhood context</w:t>
      </w:r>
      <w:r w:rsidR="00EB2F0A">
        <w:t xml:space="preserve">. </w:t>
      </w:r>
      <w:r w:rsidR="00AD1683">
        <w:t>R</w:t>
      </w:r>
      <w:r w:rsidR="00DD2803" w:rsidRPr="00DD2803">
        <w:t>esearch questions identified in the GCPH review (such as ‘Is there a difference in the geographical patterning of deprivation between Glasgow, Scotland and other populations – either now, or in the past, and is this associated with mortality patterns?)</w:t>
      </w:r>
      <w:r w:rsidR="00DD2803">
        <w:t xml:space="preserve"> have led to some innovative research in subsequent years</w:t>
      </w:r>
      <w:r w:rsidR="00DD2803" w:rsidRPr="00DD2803">
        <w:t>.</w:t>
      </w:r>
      <w:r w:rsidR="00DD2803" w:rsidRPr="00DD2803">
        <w:rPr>
          <w:vertAlign w:val="superscript"/>
        </w:rPr>
        <w:t>22</w:t>
      </w:r>
      <w:r w:rsidR="00DD2803">
        <w:t xml:space="preserve"> </w:t>
      </w:r>
      <w:r w:rsidR="00EB2F0A">
        <w:t>W</w:t>
      </w:r>
      <w:r w:rsidRPr="000776C0">
        <w:t xml:space="preserve">ork </w:t>
      </w:r>
      <w:r>
        <w:lastRenderedPageBreak/>
        <w:t xml:space="preserve">assimilated </w:t>
      </w:r>
      <w:r w:rsidRPr="000776C0">
        <w:t xml:space="preserve">by </w:t>
      </w:r>
      <w:r w:rsidR="00F53E3C" w:rsidRPr="000776C0">
        <w:t>Chandola</w:t>
      </w:r>
      <w:r w:rsidRPr="000776C0">
        <w:t xml:space="preserve"> </w:t>
      </w:r>
      <w:r w:rsidR="00973A8C">
        <w:t xml:space="preserve">from a symposium in 2011 </w:t>
      </w:r>
      <w:r w:rsidR="00EB2F0A">
        <w:t xml:space="preserve">included </w:t>
      </w:r>
      <w:r w:rsidRPr="000776C0">
        <w:t>examin</w:t>
      </w:r>
      <w:r w:rsidR="00EB2F0A">
        <w:t xml:space="preserve">ation of the effects of </w:t>
      </w:r>
      <w:r w:rsidR="00F53E3C" w:rsidRPr="000776C0">
        <w:t xml:space="preserve">variation in </w:t>
      </w:r>
      <w:r w:rsidRPr="000776C0">
        <w:t xml:space="preserve">the </w:t>
      </w:r>
      <w:r w:rsidR="00F53E3C" w:rsidRPr="000776C0">
        <w:t>sp</w:t>
      </w:r>
      <w:r w:rsidRPr="000776C0">
        <w:t>a</w:t>
      </w:r>
      <w:r w:rsidR="001A59D8">
        <w:t>t</w:t>
      </w:r>
      <w:r w:rsidR="00F53E3C" w:rsidRPr="000776C0">
        <w:t>ial distribution of urban populations</w:t>
      </w:r>
      <w:r w:rsidR="00973A8C" w:rsidRPr="00973A8C">
        <w:t xml:space="preserve"> </w:t>
      </w:r>
      <w:r w:rsidR="00F53E3C" w:rsidRPr="000776C0">
        <w:t xml:space="preserve">and </w:t>
      </w:r>
      <w:r w:rsidR="00EB2F0A">
        <w:t>their</w:t>
      </w:r>
      <w:r w:rsidRPr="000776C0">
        <w:t xml:space="preserve"> </w:t>
      </w:r>
      <w:r w:rsidR="00F53E3C" w:rsidRPr="000776C0">
        <w:t>link to health outcomes</w:t>
      </w:r>
      <w:r w:rsidRPr="000776C0">
        <w:t>.</w:t>
      </w:r>
      <w:r w:rsidR="00973A8C" w:rsidRPr="00973A8C">
        <w:rPr>
          <w:vertAlign w:val="superscript"/>
        </w:rPr>
        <w:t>2</w:t>
      </w:r>
      <w:r w:rsidR="009F6B15">
        <w:rPr>
          <w:vertAlign w:val="superscript"/>
        </w:rPr>
        <w:t>7</w:t>
      </w:r>
      <w:r>
        <w:t xml:space="preserve"> </w:t>
      </w:r>
      <w:r w:rsidR="00102656">
        <w:t>Livingston</w:t>
      </w:r>
      <w:r w:rsidR="00973A8C">
        <w:t xml:space="preserve"> presented a study at this symposium</w:t>
      </w:r>
      <w:r w:rsidR="00F53E3C">
        <w:t xml:space="preserve"> </w:t>
      </w:r>
      <w:r w:rsidR="00973A8C">
        <w:t xml:space="preserve">comparing Glasgow with Liverpool and Manchester, </w:t>
      </w:r>
      <w:r w:rsidR="00F53E3C">
        <w:t>look</w:t>
      </w:r>
      <w:r w:rsidR="00973A8C">
        <w:t>ed</w:t>
      </w:r>
      <w:r w:rsidR="00F53E3C">
        <w:t xml:space="preserve"> at contextual data at the neighbourhood level (as well as deprivation) </w:t>
      </w:r>
      <w:r w:rsidR="00973A8C">
        <w:t xml:space="preserve">to </w:t>
      </w:r>
      <w:r w:rsidR="00F53E3C">
        <w:t>show differences in the way in which depriv</w:t>
      </w:r>
      <w:r w:rsidR="00102656">
        <w:t xml:space="preserve">ed neighbourhoods were arranged; </w:t>
      </w:r>
      <w:r w:rsidR="00973A8C">
        <w:t xml:space="preserve">either </w:t>
      </w:r>
      <w:r w:rsidR="00102656">
        <w:t>c</w:t>
      </w:r>
      <w:r w:rsidR="00F53E3C">
        <w:t xml:space="preserve">lustered around the city centre as in Liverpool and Manchester, or spread, as in Glasgow. </w:t>
      </w:r>
      <w:r w:rsidR="00973A8C">
        <w:t xml:space="preserve">He concluded </w:t>
      </w:r>
      <w:r w:rsidR="00102656">
        <w:t xml:space="preserve">that </w:t>
      </w:r>
      <w:r w:rsidR="00F53E3C">
        <w:t xml:space="preserve">the </w:t>
      </w:r>
      <w:r w:rsidR="00102656">
        <w:t>‘</w:t>
      </w:r>
      <w:r w:rsidR="00F53E3C">
        <w:t xml:space="preserve">surrounding deprivation of a neighbourhood’ </w:t>
      </w:r>
      <w:r w:rsidR="00102656">
        <w:t xml:space="preserve">has an impact </w:t>
      </w:r>
      <w:r w:rsidR="00F53E3C">
        <w:t>on mortality</w:t>
      </w:r>
      <w:r w:rsidR="00102656">
        <w:t xml:space="preserve"> within a neighbourhood</w:t>
      </w:r>
      <w:r w:rsidR="00F53E3C">
        <w:t>.</w:t>
      </w:r>
      <w:r w:rsidR="00102656" w:rsidRPr="00102656">
        <w:rPr>
          <w:vertAlign w:val="superscript"/>
        </w:rPr>
        <w:t>2</w:t>
      </w:r>
      <w:r w:rsidR="009F6B15">
        <w:rPr>
          <w:vertAlign w:val="superscript"/>
        </w:rPr>
        <w:t>7</w:t>
      </w:r>
      <w:r w:rsidR="00F53E3C">
        <w:t xml:space="preserve"> </w:t>
      </w:r>
      <w:r w:rsidR="005F0220">
        <w:t>However, in a subsequent paper with more detailed analyses of this potential effect, despite the more dispersed pattern of deprivation in Glasgow, Livingston and Lee conclude that patterning was not a major contributor to mortality in Glasgow as a similar effect is seen in Liverpool which has a different spatial distribution of deprivation.</w:t>
      </w:r>
      <w:r w:rsidR="00F717B4" w:rsidRPr="00F717B4">
        <w:rPr>
          <w:vertAlign w:val="superscript"/>
        </w:rPr>
        <w:t>2</w:t>
      </w:r>
      <w:r w:rsidR="009F6B15">
        <w:rPr>
          <w:vertAlign w:val="superscript"/>
        </w:rPr>
        <w:t>8</w:t>
      </w:r>
      <w:r w:rsidR="00F717B4">
        <w:t xml:space="preserve"> </w:t>
      </w:r>
      <w:r w:rsidR="00F53E3C">
        <w:t xml:space="preserve">This </w:t>
      </w:r>
      <w:r w:rsidR="00F717B4">
        <w:t xml:space="preserve">does, however, still </w:t>
      </w:r>
      <w:r w:rsidR="00F53E3C">
        <w:t>suggest</w:t>
      </w:r>
      <w:r w:rsidR="00102656">
        <w:t xml:space="preserve"> a greater degree of complexity to the impact of deprivation than would be detected by</w:t>
      </w:r>
      <w:r w:rsidR="00F95E2E">
        <w:t>, for example,</w:t>
      </w:r>
      <w:r w:rsidR="00102656">
        <w:t xml:space="preserve"> measuring area</w:t>
      </w:r>
      <w:r w:rsidR="00F53E3C">
        <w:t xml:space="preserve"> </w:t>
      </w:r>
      <w:r w:rsidR="00102656">
        <w:t>deprivation alone</w:t>
      </w:r>
      <w:r w:rsidR="00973A8C">
        <w:t>. It is an example of how, in trying to fully explain Glasgow</w:t>
      </w:r>
      <w:r w:rsidR="00B40365">
        <w:t>’s excess mortality</w:t>
      </w:r>
      <w:r w:rsidR="00973A8C">
        <w:t>,</w:t>
      </w:r>
      <w:r w:rsidR="00102656">
        <w:t xml:space="preserve"> consideration may need to be given to</w:t>
      </w:r>
      <w:r w:rsidR="00F53E3C">
        <w:t xml:space="preserve"> </w:t>
      </w:r>
      <w:r w:rsidR="00973A8C">
        <w:t>much more difficult</w:t>
      </w:r>
      <w:r w:rsidR="00222BDE">
        <w:t>-</w:t>
      </w:r>
      <w:r w:rsidR="00973A8C">
        <w:t>to</w:t>
      </w:r>
      <w:r w:rsidR="00222BDE">
        <w:t>-</w:t>
      </w:r>
      <w:r w:rsidR="00973A8C">
        <w:t xml:space="preserve">measure </w:t>
      </w:r>
      <w:r w:rsidR="00F53E3C">
        <w:t>issues</w:t>
      </w:r>
      <w:r w:rsidR="00973A8C">
        <w:t>,</w:t>
      </w:r>
      <w:r w:rsidR="00F53E3C">
        <w:t xml:space="preserve"> such as the way in which cities are constructed and change over time</w:t>
      </w:r>
      <w:r w:rsidR="00973A8C">
        <w:t>,</w:t>
      </w:r>
      <w:r w:rsidR="00F53E3C">
        <w:t xml:space="preserve"> and the relation</w:t>
      </w:r>
      <w:r w:rsidR="00222BDE">
        <w:t>ship between this and</w:t>
      </w:r>
      <w:r w:rsidR="00F53E3C">
        <w:t xml:space="preserve"> health</w:t>
      </w:r>
      <w:r w:rsidR="00AF6432">
        <w:t xml:space="preserve"> outcomes</w:t>
      </w:r>
      <w:r w:rsidR="00F84339">
        <w:t>.</w:t>
      </w:r>
      <w:r w:rsidR="00F53E3C">
        <w:t xml:space="preserve"> </w:t>
      </w:r>
      <w:r w:rsidR="00F717B4">
        <w:t>A</w:t>
      </w:r>
      <w:r w:rsidR="00DD2803">
        <w:t xml:space="preserve"> more recent study </w:t>
      </w:r>
      <w:r w:rsidR="00F717B4">
        <w:t xml:space="preserve">by </w:t>
      </w:r>
      <w:proofErr w:type="spellStart"/>
      <w:r w:rsidR="00F717B4">
        <w:t>Taulbut</w:t>
      </w:r>
      <w:proofErr w:type="spellEnd"/>
      <w:r w:rsidR="00F717B4">
        <w:t xml:space="preserve"> et al, for example, </w:t>
      </w:r>
      <w:r w:rsidR="00DD2803">
        <w:t xml:space="preserve">examined </w:t>
      </w:r>
      <w:r w:rsidR="004C7114">
        <w:t>sub-regional</w:t>
      </w:r>
      <w:r w:rsidR="00DD2803">
        <w:t xml:space="preserve"> spatial inequalities </w:t>
      </w:r>
      <w:r w:rsidR="004C1B40">
        <w:t>in 160 districts with</w:t>
      </w:r>
      <w:r w:rsidR="00DD2803">
        <w:t xml:space="preserve">in </w:t>
      </w:r>
      <w:r w:rsidR="004C1B40">
        <w:t xml:space="preserve">selected </w:t>
      </w:r>
      <w:r w:rsidR="00DD2803">
        <w:t xml:space="preserve">similarly deindustrialised European regions </w:t>
      </w:r>
      <w:r w:rsidR="00A47D4F">
        <w:t xml:space="preserve">(of which 22 were in West Central Scotland) </w:t>
      </w:r>
      <w:r w:rsidR="00DD2803">
        <w:t xml:space="preserve">and showed different patterns of life expectancy, with larger intraregional difference in life expectancy </w:t>
      </w:r>
      <w:r w:rsidR="004C7114">
        <w:t>seen in West Central Scotland</w:t>
      </w:r>
      <w:r w:rsidR="00F717B4">
        <w:t>, suggesting that there may yet be more to explore in this area</w:t>
      </w:r>
      <w:r w:rsidR="004C7114">
        <w:t>.</w:t>
      </w:r>
      <w:r w:rsidR="004C7114" w:rsidRPr="003D06B9">
        <w:rPr>
          <w:vertAlign w:val="superscript"/>
        </w:rPr>
        <w:t>2</w:t>
      </w:r>
      <w:r w:rsidR="00EE1B51">
        <w:rPr>
          <w:vertAlign w:val="superscript"/>
        </w:rPr>
        <w:t>9</w:t>
      </w:r>
    </w:p>
    <w:p w14:paraId="4B93B464" w14:textId="2CC77EB7" w:rsidR="00C219E7" w:rsidRDefault="004B5DF8" w:rsidP="00D57EC2">
      <w:pPr>
        <w:spacing w:line="480" w:lineRule="auto"/>
      </w:pPr>
      <w:r>
        <w:t xml:space="preserve">Other more recent studies arising from the research questions identified in the GCPH review has included work on vitamin D deficiency, sectarianism, childhood and early years influences, </w:t>
      </w:r>
      <w:r w:rsidR="006646D0">
        <w:t xml:space="preserve">and </w:t>
      </w:r>
      <w:r>
        <w:t xml:space="preserve">sense of cohesion </w:t>
      </w:r>
      <w:r w:rsidR="006646D0">
        <w:t>(</w:t>
      </w:r>
      <w:r>
        <w:t xml:space="preserve">and </w:t>
      </w:r>
      <w:r w:rsidR="006646D0">
        <w:t xml:space="preserve">there is ongoing work on the role of </w:t>
      </w:r>
      <w:r>
        <w:t>social capital</w:t>
      </w:r>
      <w:r w:rsidR="006646D0">
        <w:t>)</w:t>
      </w:r>
      <w:r>
        <w:t>.</w:t>
      </w:r>
      <w:r w:rsidR="00B6163F">
        <w:t xml:space="preserve"> Among these are </w:t>
      </w:r>
      <w:r w:rsidR="00E07BAC">
        <w:t xml:space="preserve">a systematic review and meta-analysis of studies investigating the link between low </w:t>
      </w:r>
      <w:r w:rsidR="00E07BAC">
        <w:lastRenderedPageBreak/>
        <w:t xml:space="preserve">vitamin D and premature mortality, </w:t>
      </w:r>
      <w:r w:rsidR="00B6163F">
        <w:t xml:space="preserve">in which </w:t>
      </w:r>
      <w:r w:rsidR="00E07BAC">
        <w:t>Rush et al identified that low vitamin D was associated with an increased all-cause mortality risk (hazard ratio 1.19, 95%CI 1.12-1.27) in adjusted models and recommended the need for further research in this area.</w:t>
      </w:r>
      <w:r w:rsidR="008E41D9">
        <w:rPr>
          <w:vertAlign w:val="superscript"/>
        </w:rPr>
        <w:t>30</w:t>
      </w:r>
      <w:r w:rsidR="00B6163F">
        <w:t xml:space="preserve"> </w:t>
      </w:r>
      <w:r w:rsidR="00E04D93">
        <w:t>Graham and colleagues compared Glasgow with Belfast – a similar post-industrial city with a stronger history of sectarianism</w:t>
      </w:r>
      <w:r w:rsidR="008718EA">
        <w:t>. They concluded that, with this stronger history, if sectarianism were an important factor in explaining excess mortality in Glasgow, it is likely that similar findings would be seen in Belfast.</w:t>
      </w:r>
      <w:r w:rsidR="008718EA" w:rsidRPr="00922CE9">
        <w:rPr>
          <w:vertAlign w:val="superscript"/>
        </w:rPr>
        <w:t>3</w:t>
      </w:r>
      <w:r w:rsidR="008E41D9">
        <w:rPr>
          <w:vertAlign w:val="superscript"/>
        </w:rPr>
        <w:t>1</w:t>
      </w:r>
      <w:r w:rsidR="00B6163F">
        <w:t xml:space="preserve"> </w:t>
      </w:r>
      <w:proofErr w:type="spellStart"/>
      <w:r w:rsidR="00C52B24">
        <w:t>Taulbut</w:t>
      </w:r>
      <w:proofErr w:type="spellEnd"/>
      <w:r w:rsidR="00C52B24">
        <w:t xml:space="preserve"> et al studied two British birth cohorts looking for evidence of a link between adverse childhood experience and mortality. They concluded that there was no evidence for an increased risk of adverse childhood events in Scotland compared with England (and specifically between Glasgow and the Clyde Valley and Merseyside and Greater Manchester), this reducing the likelihood of such adverse  events being linked to excess mortality.</w:t>
      </w:r>
      <w:r w:rsidR="00C219E7" w:rsidRPr="00922CE9">
        <w:rPr>
          <w:vertAlign w:val="superscript"/>
        </w:rPr>
        <w:t>3</w:t>
      </w:r>
      <w:r w:rsidR="008E41D9">
        <w:rPr>
          <w:vertAlign w:val="superscript"/>
        </w:rPr>
        <w:t>2</w:t>
      </w:r>
      <w:r w:rsidR="00B6163F">
        <w:t xml:space="preserve"> </w:t>
      </w:r>
      <w:r w:rsidR="002D1865">
        <w:t>Walsh et al applied a ‘sense of cohesion’ measure to a representative sample of adults in Glasgow, Liverpool and Manchester and identified that sense of cohesion was higher in Glasgow, making it an unlikely candidate to explain Glasgow’s excess mortality.</w:t>
      </w:r>
      <w:r w:rsidR="002D1865" w:rsidRPr="00922CE9">
        <w:rPr>
          <w:vertAlign w:val="superscript"/>
        </w:rPr>
        <w:t>3</w:t>
      </w:r>
      <w:r w:rsidR="009E5346">
        <w:rPr>
          <w:vertAlign w:val="superscript"/>
        </w:rPr>
        <w:t>3</w:t>
      </w:r>
    </w:p>
    <w:p w14:paraId="1BA1BCA6" w14:textId="77777777" w:rsidR="00C52B24" w:rsidRDefault="00C52B24" w:rsidP="00D57EC2">
      <w:pPr>
        <w:spacing w:line="480" w:lineRule="auto"/>
      </w:pPr>
    </w:p>
    <w:p w14:paraId="2CF59590" w14:textId="77777777" w:rsidR="005D153D" w:rsidRDefault="005D153D" w:rsidP="00D57EC2">
      <w:pPr>
        <w:spacing w:line="480" w:lineRule="auto"/>
      </w:pPr>
    </w:p>
    <w:p w14:paraId="33271727" w14:textId="170E4F0C" w:rsidR="00393D46" w:rsidRPr="00393D46" w:rsidRDefault="00393D46" w:rsidP="00D57EC2">
      <w:pPr>
        <w:spacing w:line="480" w:lineRule="auto"/>
        <w:rPr>
          <w:b/>
        </w:rPr>
      </w:pPr>
      <w:r w:rsidRPr="00393D46">
        <w:rPr>
          <w:b/>
        </w:rPr>
        <w:t>Glasgow</w:t>
      </w:r>
      <w:r w:rsidR="00B40365">
        <w:rPr>
          <w:b/>
        </w:rPr>
        <w:t xml:space="preserve">’s excess mortality </w:t>
      </w:r>
      <w:r w:rsidRPr="00393D46">
        <w:rPr>
          <w:b/>
        </w:rPr>
        <w:t>in the context of determinants of health</w:t>
      </w:r>
    </w:p>
    <w:p w14:paraId="339FBDFE" w14:textId="32590082" w:rsidR="00F7782B" w:rsidRPr="00922CE9" w:rsidRDefault="00F83DE1" w:rsidP="0034614E">
      <w:pPr>
        <w:spacing w:line="480" w:lineRule="auto"/>
      </w:pPr>
      <w:r w:rsidRPr="00142BA7">
        <w:t>S</w:t>
      </w:r>
      <w:r w:rsidR="00EE051A" w:rsidRPr="00142BA7">
        <w:t xml:space="preserve">eminal work by Dahlgren and Whitehead in </w:t>
      </w:r>
      <w:r w:rsidR="00243EE1" w:rsidRPr="00142BA7">
        <w:t xml:space="preserve">1991 </w:t>
      </w:r>
      <w:r w:rsidR="00EE051A" w:rsidRPr="00142BA7">
        <w:t xml:space="preserve">described a model of </w:t>
      </w:r>
      <w:r w:rsidRPr="00142BA7">
        <w:t>determinants of</w:t>
      </w:r>
      <w:r w:rsidR="00EE051A" w:rsidRPr="00142BA7">
        <w:t xml:space="preserve"> health</w:t>
      </w:r>
      <w:r w:rsidRPr="00142BA7">
        <w:t xml:space="preserve"> that included ‘general socio-economic, cultural and environmental conditions’ as an outer layer influencing the material and social conditions in which people live (education, work environment, health services and so on),</w:t>
      </w:r>
      <w:r w:rsidR="007870A6">
        <w:t xml:space="preserve"> which in turn influences</w:t>
      </w:r>
      <w:r w:rsidRPr="00142BA7">
        <w:t xml:space="preserve"> social and community networks and individual lifestyle factors.</w:t>
      </w:r>
      <w:r w:rsidR="00592C2A">
        <w:rPr>
          <w:vertAlign w:val="superscript"/>
        </w:rPr>
        <w:t>3</w:t>
      </w:r>
      <w:r w:rsidR="00F61D53">
        <w:rPr>
          <w:vertAlign w:val="superscript"/>
        </w:rPr>
        <w:t>4</w:t>
      </w:r>
      <w:r w:rsidR="00350181">
        <w:t xml:space="preserve"> </w:t>
      </w:r>
      <w:r w:rsidR="00350181" w:rsidRPr="00350181">
        <w:t>They recognised that ‘the age, sex and genetic make-up of each individual also plays a part, of course, but these are fixed factors over which we have little control</w:t>
      </w:r>
      <w:r w:rsidR="00740050">
        <w:t>’</w:t>
      </w:r>
      <w:r w:rsidR="00350181" w:rsidRPr="00350181">
        <w:t>.</w:t>
      </w:r>
      <w:r w:rsidR="00592C2A">
        <w:rPr>
          <w:vertAlign w:val="superscript"/>
        </w:rPr>
        <w:t>3</w:t>
      </w:r>
      <w:r w:rsidR="00F61D53">
        <w:rPr>
          <w:vertAlign w:val="superscript"/>
        </w:rPr>
        <w:t>4</w:t>
      </w:r>
      <w:r w:rsidR="000C1906">
        <w:t xml:space="preserve"> </w:t>
      </w:r>
      <w:r w:rsidR="00267EFC">
        <w:t xml:space="preserve">As with the ‘downstream’, ‘midstream’ and ‘upstream’ factors </w:t>
      </w:r>
      <w:r w:rsidR="00740050">
        <w:t xml:space="preserve">described </w:t>
      </w:r>
      <w:r w:rsidR="00267EFC">
        <w:t>in the GCPH review, t</w:t>
      </w:r>
      <w:r w:rsidR="000C1906">
        <w:t xml:space="preserve">he hypotheses that have been explored in attempts to explain </w:t>
      </w:r>
      <w:r w:rsidR="000C1906">
        <w:lastRenderedPageBreak/>
        <w:t>Glasgow</w:t>
      </w:r>
      <w:r w:rsidR="00CB3C43">
        <w:t>’s excess mortality</w:t>
      </w:r>
      <w:r w:rsidR="000C1906">
        <w:t xml:space="preserve"> in Box 2 </w:t>
      </w:r>
      <w:r w:rsidR="00740050">
        <w:t>may</w:t>
      </w:r>
      <w:r w:rsidR="000C1906">
        <w:t xml:space="preserve"> be </w:t>
      </w:r>
      <w:r w:rsidR="00740050">
        <w:t xml:space="preserve">usefully </w:t>
      </w:r>
      <w:r w:rsidR="00267EFC">
        <w:t>consider</w:t>
      </w:r>
      <w:r w:rsidR="000C1906">
        <w:t xml:space="preserve">ed in </w:t>
      </w:r>
      <w:r w:rsidR="00D13E85">
        <w:t>the context of the</w:t>
      </w:r>
      <w:r w:rsidR="000C1906">
        <w:t xml:space="preserve"> Dahlgren and Whitehead model</w:t>
      </w:r>
      <w:r w:rsidR="00E71B23">
        <w:t>.</w:t>
      </w:r>
      <w:r w:rsidR="00112E3B">
        <w:t xml:space="preserve"> </w:t>
      </w:r>
      <w:r w:rsidR="00740050">
        <w:t>Moreover, t</w:t>
      </w:r>
      <w:r w:rsidR="00112E3B">
        <w:t>he hypotheses summarised in the GCPH review c</w:t>
      </w:r>
      <w:r w:rsidR="00740050">
        <w:t>ould be thought of as</w:t>
      </w:r>
      <w:r w:rsidR="00112E3B">
        <w:t xml:space="preserve"> apply</w:t>
      </w:r>
      <w:r w:rsidR="00740050">
        <w:t>ing at various levels</w:t>
      </w:r>
      <w:r w:rsidR="00C57478">
        <w:t xml:space="preserve">. For example, ‘a different culture of substance abuse’ may </w:t>
      </w:r>
      <w:r w:rsidR="00B620E8">
        <w:t xml:space="preserve">be considered to have influence on </w:t>
      </w:r>
      <w:r w:rsidR="00C57478">
        <w:t>‘g</w:t>
      </w:r>
      <w:r w:rsidR="00C57478" w:rsidRPr="00112E3B">
        <w:t>eneral socio-economic, cultural and environmental conditions</w:t>
      </w:r>
      <w:r w:rsidR="00C57478">
        <w:t xml:space="preserve">’, perhaps </w:t>
      </w:r>
      <w:r w:rsidR="00B620E8">
        <w:t>affecting</w:t>
      </w:r>
      <w:r w:rsidR="00C57478">
        <w:t xml:space="preserve"> societal opinions and actions at the macro level</w:t>
      </w:r>
      <w:r w:rsidR="00B620E8">
        <w:t xml:space="preserve"> (and thereby impacting a wide range of attitudes, policy and funding decisions for example)</w:t>
      </w:r>
      <w:r w:rsidR="00C57478">
        <w:t xml:space="preserve">, but also at the level of ‘individual lifestyle factors’ affecting personal behaviour (see Table </w:t>
      </w:r>
      <w:r w:rsidR="00A018B8">
        <w:t>2</w:t>
      </w:r>
      <w:r w:rsidR="00C57478">
        <w:t>). C</w:t>
      </w:r>
      <w:r w:rsidR="00112E3B">
        <w:t>onsidering both concepts in tandem may help to identify unexplored areas</w:t>
      </w:r>
      <w:r w:rsidR="00881D4E">
        <w:t xml:space="preserve"> in the investigation of cause</w:t>
      </w:r>
      <w:r w:rsidR="00C57478">
        <w:t>, as shown in the table.</w:t>
      </w:r>
      <w:r w:rsidR="00112E3B">
        <w:t xml:space="preserve"> </w:t>
      </w:r>
      <w:r w:rsidR="00F25C0B">
        <w:t xml:space="preserve"> </w:t>
      </w:r>
      <w:r w:rsidR="009D7F7D">
        <w:t>A</w:t>
      </w:r>
      <w:r w:rsidR="0067068C">
        <w:t>lthough beyond the remit of this paper to describe in detail, a</w:t>
      </w:r>
      <w:r w:rsidR="009D7F7D">
        <w:t xml:space="preserve">n area that, to our knowledge, is </w:t>
      </w:r>
      <w:r w:rsidR="00F205AB">
        <w:t>underexplored</w:t>
      </w:r>
      <w:r w:rsidR="009D7F7D">
        <w:t xml:space="preserve"> as </w:t>
      </w:r>
      <w:r w:rsidR="00F205AB">
        <w:t>a</w:t>
      </w:r>
      <w:r w:rsidR="009D7F7D">
        <w:t xml:space="preserve"> potential explanatory factor </w:t>
      </w:r>
      <w:r w:rsidR="00AC6F00">
        <w:t xml:space="preserve">in Scotland </w:t>
      </w:r>
      <w:r w:rsidR="009D7F7D">
        <w:t>is epigenetics</w:t>
      </w:r>
      <w:r w:rsidR="0067068C">
        <w:t>.</w:t>
      </w:r>
      <w:r w:rsidR="009D7F7D">
        <w:t xml:space="preserve"> </w:t>
      </w:r>
      <w:r w:rsidR="0067068C">
        <w:t>R</w:t>
      </w:r>
      <w:r w:rsidR="009D7F7D">
        <w:t xml:space="preserve">apid developments in the field </w:t>
      </w:r>
      <w:r w:rsidR="0067068C">
        <w:t xml:space="preserve">are </w:t>
      </w:r>
      <w:r w:rsidR="009D7F7D">
        <w:t>identifying potentially important links between smoking, DNA methylation and cardiovascular disease, for example</w:t>
      </w:r>
      <w:r w:rsidR="0067068C">
        <w:t xml:space="preserve">, and merit further investigation given the degree of </w:t>
      </w:r>
      <w:r w:rsidR="00ED745A">
        <w:t>unexplained excess mortality</w:t>
      </w:r>
      <w:r w:rsidR="009D7F7D">
        <w:t>.</w:t>
      </w:r>
      <w:r w:rsidR="00CC3B6F" w:rsidRPr="00F205AB">
        <w:rPr>
          <w:vertAlign w:val="superscript"/>
        </w:rPr>
        <w:t>3</w:t>
      </w:r>
      <w:r w:rsidR="00B22B5E">
        <w:rPr>
          <w:vertAlign w:val="superscript"/>
        </w:rPr>
        <w:t>5</w:t>
      </w:r>
      <w:r w:rsidR="00ED745A">
        <w:t xml:space="preserve"> </w:t>
      </w:r>
      <w:r w:rsidR="002F6ED0">
        <w:t>Findings from the 239 people in the ‘P</w:t>
      </w:r>
      <w:r w:rsidR="002F6ED0" w:rsidRPr="002F6ED0">
        <w:t xml:space="preserve">sycho- logical, social and biological determinants of ill health </w:t>
      </w:r>
      <w:r w:rsidR="002F6ED0">
        <w:t>(</w:t>
      </w:r>
      <w:proofErr w:type="spellStart"/>
      <w:r w:rsidR="002F6ED0">
        <w:t>pSoBid</w:t>
      </w:r>
      <w:proofErr w:type="spellEnd"/>
      <w:r w:rsidR="002F6ED0">
        <w:t xml:space="preserve">)’ cohort in </w:t>
      </w:r>
      <w:r w:rsidR="00DB6BEB">
        <w:t>Glasgow</w:t>
      </w:r>
      <w:r w:rsidR="002F6ED0">
        <w:t xml:space="preserve"> identified associations between DNA methylation and socioeconomic status and lifestyle factors.</w:t>
      </w:r>
      <w:r w:rsidR="002F6ED0" w:rsidRPr="002F6ED0">
        <w:rPr>
          <w:vertAlign w:val="superscript"/>
        </w:rPr>
        <w:t>36</w:t>
      </w:r>
      <w:r w:rsidR="002F6ED0">
        <w:t xml:space="preserve"> </w:t>
      </w:r>
      <w:r w:rsidR="00F25C0B">
        <w:t xml:space="preserve">An important recent study </w:t>
      </w:r>
      <w:r w:rsidR="002F241E">
        <w:t xml:space="preserve">is </w:t>
      </w:r>
      <w:r w:rsidR="00DB0800">
        <w:t xml:space="preserve">that </w:t>
      </w:r>
      <w:r w:rsidR="002F241E">
        <w:t xml:space="preserve">by </w:t>
      </w:r>
      <w:r w:rsidR="002F241E" w:rsidRPr="005D153D">
        <w:t xml:space="preserve">McCartney et al (2015) </w:t>
      </w:r>
      <w:r w:rsidR="002F241E">
        <w:t xml:space="preserve">which </w:t>
      </w:r>
      <w:r w:rsidR="00592C2A">
        <w:t>examin</w:t>
      </w:r>
      <w:r w:rsidR="00DB0800">
        <w:t>ed</w:t>
      </w:r>
      <w:r w:rsidR="00592C2A">
        <w:t xml:space="preserve"> mortality differences between </w:t>
      </w:r>
      <w:r w:rsidR="00DB0800">
        <w:t xml:space="preserve">Scotland and England by pooling 18 </w:t>
      </w:r>
      <w:r w:rsidR="002F241E">
        <w:t>nationally representative observational studies</w:t>
      </w:r>
      <w:r w:rsidR="00606251">
        <w:t xml:space="preserve"> (total n=222,829)</w:t>
      </w:r>
      <w:r w:rsidR="002F241E">
        <w:t>. They</w:t>
      </w:r>
      <w:r w:rsidR="00F25C0B" w:rsidRPr="005D153D">
        <w:t xml:space="preserve"> showed that </w:t>
      </w:r>
      <w:r w:rsidR="002F241E">
        <w:t xml:space="preserve">only a quarter of the excess mortality in Scotland could be explained by factors such as </w:t>
      </w:r>
      <w:r w:rsidR="00F25C0B" w:rsidRPr="005D153D">
        <w:t>socio-economic status</w:t>
      </w:r>
      <w:r w:rsidR="002F241E">
        <w:t xml:space="preserve"> and </w:t>
      </w:r>
      <w:r w:rsidR="00F25C0B" w:rsidRPr="005D153D">
        <w:t>differences in health behaviours</w:t>
      </w:r>
      <w:r w:rsidR="00F25C0B">
        <w:t>.</w:t>
      </w:r>
      <w:r w:rsidR="00CB39D9" w:rsidRPr="00922CE9">
        <w:rPr>
          <w:vertAlign w:val="superscript"/>
        </w:rPr>
        <w:t>3</w:t>
      </w:r>
      <w:r w:rsidR="00F57D32">
        <w:rPr>
          <w:vertAlign w:val="superscript"/>
        </w:rPr>
        <w:t>7</w:t>
      </w:r>
      <w:r w:rsidR="00242F9B">
        <w:t xml:space="preserve"> </w:t>
      </w:r>
      <w:r w:rsidR="00B624E9">
        <w:t>This may tempt some to adopt</w:t>
      </w:r>
      <w:r w:rsidR="00242F9B">
        <w:t xml:space="preserve"> </w:t>
      </w:r>
      <w:r w:rsidR="00CF47FD">
        <w:t xml:space="preserve">a </w:t>
      </w:r>
      <w:r w:rsidR="00AE5B7D">
        <w:t xml:space="preserve">somewhat </w:t>
      </w:r>
      <w:r w:rsidR="00CF47FD">
        <w:t>fatalistic view</w:t>
      </w:r>
      <w:r w:rsidR="0043209E">
        <w:t xml:space="preserve"> of Scotland and Glasgow’s excess mortality</w:t>
      </w:r>
      <w:r w:rsidR="00034FD5">
        <w:t xml:space="preserve"> if it gives the impression that ‘little can be done about it’</w:t>
      </w:r>
      <w:r w:rsidR="0043209E">
        <w:t>.</w:t>
      </w:r>
      <w:r w:rsidR="00B624E9">
        <w:t xml:space="preserve"> </w:t>
      </w:r>
      <w:r w:rsidR="0043209E">
        <w:t>W</w:t>
      </w:r>
      <w:r w:rsidR="00B624E9">
        <w:t>e would argue</w:t>
      </w:r>
      <w:r w:rsidR="00034FD5">
        <w:t>, however,</w:t>
      </w:r>
      <w:r w:rsidR="00B624E9">
        <w:t xml:space="preserve"> that </w:t>
      </w:r>
      <w:r w:rsidR="00CF47FD">
        <w:t xml:space="preserve">it strengthens the </w:t>
      </w:r>
      <w:r w:rsidR="00213FB9">
        <w:t>argument</w:t>
      </w:r>
      <w:r w:rsidR="00B624E9">
        <w:t>,</w:t>
      </w:r>
      <w:r w:rsidR="00CF47FD">
        <w:t xml:space="preserve"> </w:t>
      </w:r>
      <w:r w:rsidR="00B624E9">
        <w:t xml:space="preserve">not only </w:t>
      </w:r>
      <w:r w:rsidR="00CF47FD">
        <w:t xml:space="preserve">for further exploration of </w:t>
      </w:r>
      <w:r w:rsidR="008170A8">
        <w:t>causality</w:t>
      </w:r>
      <w:r w:rsidR="00B624E9">
        <w:t xml:space="preserve">, but </w:t>
      </w:r>
      <w:r w:rsidR="00E505F1">
        <w:t>for</w:t>
      </w:r>
      <w:r w:rsidR="00B624E9">
        <w:t xml:space="preserve"> adopt</w:t>
      </w:r>
      <w:r w:rsidR="00E505F1">
        <w:t>ing</w:t>
      </w:r>
      <w:r w:rsidR="00B624E9">
        <w:t xml:space="preserve"> a proactive approach </w:t>
      </w:r>
      <w:r w:rsidR="008170A8">
        <w:t xml:space="preserve">in </w:t>
      </w:r>
      <w:r w:rsidR="00F357A1">
        <w:t>P</w:t>
      </w:r>
      <w:r w:rsidR="008170A8">
        <w:t xml:space="preserve">ublic </w:t>
      </w:r>
      <w:r w:rsidR="00F357A1">
        <w:t>H</w:t>
      </w:r>
      <w:r w:rsidR="008170A8">
        <w:t xml:space="preserve">ealth terms, </w:t>
      </w:r>
      <w:r w:rsidR="00B624E9">
        <w:t xml:space="preserve">as it </w:t>
      </w:r>
      <w:r w:rsidR="00CF47FD">
        <w:t xml:space="preserve">underlines </w:t>
      </w:r>
      <w:r w:rsidR="00242F9B">
        <w:t>that there is still much that can be done</w:t>
      </w:r>
      <w:r w:rsidR="008170A8">
        <w:t>. Their</w:t>
      </w:r>
      <w:r w:rsidR="00242F9B">
        <w:t xml:space="preserve"> </w:t>
      </w:r>
      <w:r w:rsidR="008170A8">
        <w:t>finding</w:t>
      </w:r>
      <w:r w:rsidR="00242F9B">
        <w:t xml:space="preserve">, for </w:t>
      </w:r>
      <w:r w:rsidR="00242F9B" w:rsidRPr="00196140">
        <w:t>example</w:t>
      </w:r>
      <w:r w:rsidR="008170A8" w:rsidRPr="00196140">
        <w:t>,</w:t>
      </w:r>
      <w:r w:rsidR="00242F9B" w:rsidRPr="00196140">
        <w:t xml:space="preserve"> that alcohol-related mortality is much higher in Scotland, even after adjustment for age, sex and socio-</w:t>
      </w:r>
      <w:r w:rsidR="00242F9B" w:rsidRPr="00196140">
        <w:lastRenderedPageBreak/>
        <w:t>economic factors (HR 4.64 (95%CI 3.55-6.05)</w:t>
      </w:r>
      <w:r w:rsidR="00F7782B" w:rsidRPr="00196140">
        <w:t xml:space="preserve"> </w:t>
      </w:r>
      <w:r w:rsidR="008170A8" w:rsidRPr="00196140">
        <w:t xml:space="preserve">demonstrates the vital, ongoing role for </w:t>
      </w:r>
      <w:r w:rsidR="00F357A1" w:rsidRPr="00196140">
        <w:t>Public H</w:t>
      </w:r>
      <w:r w:rsidR="008170A8" w:rsidRPr="00196140">
        <w:t>ealth in Scotland in a</w:t>
      </w:r>
      <w:r w:rsidR="00F7782B" w:rsidRPr="00196140">
        <w:t>ddressing cultural and behavioural change around substance.</w:t>
      </w:r>
      <w:r w:rsidR="008170A8" w:rsidRPr="00196140">
        <w:rPr>
          <w:vertAlign w:val="superscript"/>
        </w:rPr>
        <w:t>3</w:t>
      </w:r>
      <w:r w:rsidR="00F57D32" w:rsidRPr="00196140">
        <w:rPr>
          <w:vertAlign w:val="superscript"/>
        </w:rPr>
        <w:t>7</w:t>
      </w:r>
      <w:r w:rsidR="00F7782B">
        <w:rPr>
          <w:color w:val="FF0000"/>
        </w:rPr>
        <w:t xml:space="preserve"> </w:t>
      </w:r>
    </w:p>
    <w:p w14:paraId="3CE9210E" w14:textId="7DB23156" w:rsidR="00E71B23" w:rsidRDefault="00881D4E" w:rsidP="0034614E">
      <w:pPr>
        <w:spacing w:line="480" w:lineRule="auto"/>
      </w:pPr>
      <w:r>
        <w:t>Key to the further exploration of this idea</w:t>
      </w:r>
      <w:r w:rsidR="001366F4">
        <w:t xml:space="preserve">, however, is the </w:t>
      </w:r>
      <w:r>
        <w:t>need to un</w:t>
      </w:r>
      <w:r w:rsidR="001366F4">
        <w:t>derstand</w:t>
      </w:r>
      <w:r w:rsidR="00C57478">
        <w:t xml:space="preserve">, </w:t>
      </w:r>
      <w:r>
        <w:t xml:space="preserve">as </w:t>
      </w:r>
      <w:r w:rsidR="00C57478">
        <w:t>recognised by Dahlgren and Whitehead,</w:t>
      </w:r>
      <w:r w:rsidR="001366F4">
        <w:t xml:space="preserve"> that no ‘level’ of determinant exists in isolation, but that there is interplay between the levels</w:t>
      </w:r>
      <w:r w:rsidR="00DE0AAA">
        <w:t>. I</w:t>
      </w:r>
      <w:r w:rsidR="001366F4">
        <w:t xml:space="preserve">t may be </w:t>
      </w:r>
      <w:r w:rsidR="00DE0AAA">
        <w:t xml:space="preserve">that differences in </w:t>
      </w:r>
      <w:r w:rsidR="001366F4">
        <w:t xml:space="preserve">the extent and </w:t>
      </w:r>
      <w:r w:rsidR="00DE0AAA">
        <w:t xml:space="preserve">nature of </w:t>
      </w:r>
      <w:r w:rsidR="001366F4">
        <w:t xml:space="preserve">the interactions </w:t>
      </w:r>
      <w:r w:rsidR="00DE0AAA">
        <w:t>between these levels in Glasgow for many determinants of health, when compared to other cities, is</w:t>
      </w:r>
      <w:r w:rsidR="001366F4">
        <w:t xml:space="preserve"> as important as the </w:t>
      </w:r>
      <w:r w:rsidR="00DE0AAA">
        <w:t xml:space="preserve">impact of the </w:t>
      </w:r>
      <w:r w:rsidR="001366F4">
        <w:t>individual determinants themselves.</w:t>
      </w:r>
      <w:r w:rsidR="00E544F5">
        <w:rPr>
          <w:vertAlign w:val="superscript"/>
        </w:rPr>
        <w:t>3</w:t>
      </w:r>
      <w:r w:rsidR="002655D5">
        <w:rPr>
          <w:vertAlign w:val="superscript"/>
        </w:rPr>
        <w:t>4</w:t>
      </w:r>
    </w:p>
    <w:p w14:paraId="75590798" w14:textId="77777777" w:rsidR="00112E3B" w:rsidRDefault="00112E3B">
      <w:pPr>
        <w:rPr>
          <w:b/>
          <w:bCs/>
        </w:rPr>
      </w:pPr>
      <w:r>
        <w:rPr>
          <w:b/>
          <w:bCs/>
        </w:rPr>
        <w:br w:type="page"/>
      </w:r>
    </w:p>
    <w:p w14:paraId="6DE79ECB" w14:textId="6332AC76" w:rsidR="00E71B23" w:rsidRPr="009D3C9D" w:rsidRDefault="009D3C9D" w:rsidP="00CA0B20">
      <w:pPr>
        <w:spacing w:line="480" w:lineRule="auto"/>
        <w:rPr>
          <w:b/>
          <w:bCs/>
        </w:rPr>
      </w:pPr>
      <w:r w:rsidRPr="009D3C9D">
        <w:rPr>
          <w:b/>
          <w:bCs/>
        </w:rPr>
        <w:lastRenderedPageBreak/>
        <w:t>The challenges of measurement</w:t>
      </w:r>
    </w:p>
    <w:p w14:paraId="3A4FF72F" w14:textId="4F260A8D" w:rsidR="00CB4793" w:rsidRDefault="00CC190F" w:rsidP="0034614E">
      <w:pPr>
        <w:spacing w:line="480" w:lineRule="auto"/>
      </w:pPr>
      <w:r>
        <w:t xml:space="preserve">Any review of this topic would be incomplete without some consideration of the difficulties encountered in measuring many of the factors under consideration. </w:t>
      </w:r>
      <w:r w:rsidR="009D3C9D">
        <w:t>M</w:t>
      </w:r>
      <w:r w:rsidR="007870A6">
        <w:t xml:space="preserve">easurement of </w:t>
      </w:r>
      <w:r w:rsidR="009D3C9D">
        <w:t xml:space="preserve">almost </w:t>
      </w:r>
      <w:r w:rsidR="007870A6">
        <w:t xml:space="preserve">any </w:t>
      </w:r>
      <w:r w:rsidR="009D3C9D">
        <w:t xml:space="preserve">determinant in </w:t>
      </w:r>
      <w:r w:rsidR="00AE698B">
        <w:t xml:space="preserve">the </w:t>
      </w:r>
      <w:r w:rsidR="009D3C9D">
        <w:t>Dahlgren and Whitehead model in</w:t>
      </w:r>
      <w:r w:rsidR="007870A6">
        <w:t xml:space="preserve"> order to derive its </w:t>
      </w:r>
      <w:proofErr w:type="gramStart"/>
      <w:r w:rsidR="007870A6">
        <w:t>attributable</w:t>
      </w:r>
      <w:proofErr w:type="gramEnd"/>
      <w:r w:rsidR="00E71B23">
        <w:t xml:space="preserve"> risk</w:t>
      </w:r>
      <w:r w:rsidR="007870A6">
        <w:t xml:space="preserve">, </w:t>
      </w:r>
      <w:r>
        <w:t>for example</w:t>
      </w:r>
      <w:r w:rsidR="007870A6">
        <w:t xml:space="preserve">, </w:t>
      </w:r>
      <w:r w:rsidR="009D3C9D">
        <w:t>presents</w:t>
      </w:r>
      <w:r w:rsidR="007870A6">
        <w:t xml:space="preserve"> significant challenges</w:t>
      </w:r>
      <w:r>
        <w:t>. If</w:t>
      </w:r>
      <w:r w:rsidR="00745802">
        <w:t xml:space="preserve"> consider</w:t>
      </w:r>
      <w:r>
        <w:t>ation is then given to th</w:t>
      </w:r>
      <w:r w:rsidR="00745802">
        <w:t xml:space="preserve">e measurement of the interactions between </w:t>
      </w:r>
      <w:r>
        <w:t>determinants, the problem is even greater</w:t>
      </w:r>
      <w:r w:rsidR="007870A6">
        <w:t xml:space="preserve">.  </w:t>
      </w:r>
      <w:r w:rsidR="00561B3F">
        <w:t>To take deprivation as an</w:t>
      </w:r>
      <w:r w:rsidR="007870A6">
        <w:t xml:space="preserve"> example</w:t>
      </w:r>
      <w:r w:rsidR="00561B3F">
        <w:t>;</w:t>
      </w:r>
      <w:r w:rsidR="007870A6">
        <w:t xml:space="preserve"> </w:t>
      </w:r>
      <w:r w:rsidR="00EE051A" w:rsidRPr="0094356F">
        <w:t>Grundy and</w:t>
      </w:r>
      <w:r w:rsidR="007870A6" w:rsidRPr="0094356F">
        <w:t xml:space="preserve"> Holt</w:t>
      </w:r>
      <w:r w:rsidR="00EE051A" w:rsidRPr="0094356F">
        <w:t xml:space="preserve"> </w:t>
      </w:r>
      <w:r w:rsidR="007870A6" w:rsidRPr="0094356F">
        <w:t>d</w:t>
      </w:r>
      <w:r w:rsidR="00EE051A" w:rsidRPr="0094356F">
        <w:t>escribed the complexities around accurate measurement of socio-economic status, particularly among older people.</w:t>
      </w:r>
      <w:r w:rsidR="0034614E">
        <w:rPr>
          <w:vertAlign w:val="superscript"/>
        </w:rPr>
        <w:t>3</w:t>
      </w:r>
      <w:r w:rsidR="00F57D32">
        <w:rPr>
          <w:vertAlign w:val="superscript"/>
        </w:rPr>
        <w:t>8</w:t>
      </w:r>
      <w:r w:rsidR="00FE01F1">
        <w:t xml:space="preserve"> They raise</w:t>
      </w:r>
      <w:r w:rsidR="00215CD0">
        <w:t>d</w:t>
      </w:r>
      <w:r w:rsidR="00FE01F1">
        <w:t xml:space="preserve"> i</w:t>
      </w:r>
      <w:r w:rsidR="007A1277">
        <w:t xml:space="preserve">ssues such as the logistic </w:t>
      </w:r>
      <w:r w:rsidR="001366F4">
        <w:t>difficulti</w:t>
      </w:r>
      <w:r w:rsidR="007A1277">
        <w:t>es of collecting information on household income, the relevance of past occupation (among retired people) to current socioeconomic status, and the lack of applicability of household measures to older people living in institutions.</w:t>
      </w:r>
      <w:r w:rsidR="0034614E">
        <w:rPr>
          <w:vertAlign w:val="superscript"/>
        </w:rPr>
        <w:t>3</w:t>
      </w:r>
      <w:r w:rsidR="00F57D32">
        <w:rPr>
          <w:vertAlign w:val="superscript"/>
        </w:rPr>
        <w:t>8</w:t>
      </w:r>
      <w:r w:rsidR="00FE01F1">
        <w:t xml:space="preserve"> </w:t>
      </w:r>
      <w:r w:rsidR="00624F17">
        <w:t>Measuring th</w:t>
      </w:r>
      <w:r w:rsidR="00FE01F1">
        <w:t xml:space="preserve">e impact of an ‘individual’ determinant such as socioeconomic status </w:t>
      </w:r>
      <w:r w:rsidR="00215CD0">
        <w:t xml:space="preserve">is </w:t>
      </w:r>
      <w:r w:rsidR="00FE01F1">
        <w:t xml:space="preserve">therefore </w:t>
      </w:r>
      <w:r>
        <w:t>fraught with challenges. To fully understand socioeconomic status</w:t>
      </w:r>
      <w:r w:rsidR="009D2580">
        <w:t>, a lifecourse approach may be more applicable</w:t>
      </w:r>
      <w:r>
        <w:t xml:space="preserve"> (</w:t>
      </w:r>
      <w:r w:rsidR="00C336D7">
        <w:t>though</w:t>
      </w:r>
      <w:r>
        <w:t xml:space="preserve"> even more complex to measure)</w:t>
      </w:r>
      <w:r w:rsidR="00FE01F1">
        <w:t>.</w:t>
      </w:r>
      <w:r w:rsidR="00EE3B5D">
        <w:rPr>
          <w:vertAlign w:val="superscript"/>
        </w:rPr>
        <w:t>3</w:t>
      </w:r>
      <w:r w:rsidR="00F57D32">
        <w:rPr>
          <w:vertAlign w:val="superscript"/>
        </w:rPr>
        <w:t>9</w:t>
      </w:r>
      <w:r w:rsidR="00FE01F1">
        <w:t xml:space="preserve"> </w:t>
      </w:r>
    </w:p>
    <w:p w14:paraId="02B492B5" w14:textId="6E817A73" w:rsidR="00CB4793" w:rsidRDefault="00CC190F" w:rsidP="0034614E">
      <w:pPr>
        <w:spacing w:line="480" w:lineRule="auto"/>
      </w:pPr>
      <w:r>
        <w:t>In Glasgow, it is</w:t>
      </w:r>
      <w:r w:rsidR="00EE3B5D">
        <w:t xml:space="preserve"> </w:t>
      </w:r>
      <w:r w:rsidR="00CB4793">
        <w:t xml:space="preserve">also </w:t>
      </w:r>
      <w:r w:rsidR="00EE3B5D">
        <w:t xml:space="preserve">of vital importance to consider historical events </w:t>
      </w:r>
      <w:r w:rsidR="00F91992">
        <w:t xml:space="preserve">in </w:t>
      </w:r>
      <w:r w:rsidR="00CB4793">
        <w:t xml:space="preserve">terms of both </w:t>
      </w:r>
      <w:r w:rsidR="00F91992">
        <w:t>societ</w:t>
      </w:r>
      <w:r w:rsidR="00CB4793">
        <w:t>al-level events</w:t>
      </w:r>
      <w:r w:rsidR="00F91992">
        <w:t xml:space="preserve"> </w:t>
      </w:r>
      <w:r w:rsidR="009217B3">
        <w:t xml:space="preserve">(such as deindustrialisation) </w:t>
      </w:r>
      <w:r w:rsidR="00EE3B5D">
        <w:t>a</w:t>
      </w:r>
      <w:r w:rsidR="00F91992">
        <w:t xml:space="preserve">s well </w:t>
      </w:r>
      <w:r w:rsidR="00C336D7">
        <w:t xml:space="preserve">as </w:t>
      </w:r>
      <w:r w:rsidR="00F91992">
        <w:t>individual</w:t>
      </w:r>
      <w:r w:rsidR="00CB4793">
        <w:t>-level</w:t>
      </w:r>
      <w:r w:rsidR="00F91992">
        <w:t xml:space="preserve"> </w:t>
      </w:r>
      <w:r w:rsidR="00C336D7">
        <w:t xml:space="preserve">/ personal history </w:t>
      </w:r>
      <w:r w:rsidR="00F91992">
        <w:t>(such as drug use in childhood) a</w:t>
      </w:r>
      <w:r w:rsidR="00EE3B5D">
        <w:t xml:space="preserve">nd their impact </w:t>
      </w:r>
      <w:r w:rsidR="009217B3">
        <w:t xml:space="preserve">not only on society, but </w:t>
      </w:r>
      <w:r w:rsidR="00EE3B5D">
        <w:t xml:space="preserve">on </w:t>
      </w:r>
      <w:r w:rsidR="009217B3">
        <w:t>individuals across their lifecourse.</w:t>
      </w:r>
      <w:r w:rsidR="00400A15" w:rsidRPr="00400A15">
        <w:rPr>
          <w:vertAlign w:val="superscript"/>
        </w:rPr>
        <w:t>10</w:t>
      </w:r>
      <w:r w:rsidR="009217B3">
        <w:t xml:space="preserve"> </w:t>
      </w:r>
      <w:r w:rsidR="005C0763">
        <w:t xml:space="preserve">This approach is in keeping with opinion </w:t>
      </w:r>
      <w:r w:rsidR="00F91992">
        <w:t xml:space="preserve">expressed by Donnelly </w:t>
      </w:r>
      <w:r w:rsidR="005C0763">
        <w:t>that it is important to consider adverse childhood experience and its health</w:t>
      </w:r>
      <w:r w:rsidR="006A5716">
        <w:t>-da</w:t>
      </w:r>
      <w:r w:rsidR="005C0763">
        <w:t>maging sequelae.</w:t>
      </w:r>
      <w:r w:rsidR="00F57D32">
        <w:rPr>
          <w:vertAlign w:val="superscript"/>
        </w:rPr>
        <w:t>40</w:t>
      </w:r>
      <w:r w:rsidR="00CB4793">
        <w:t xml:space="preserve"> Measuring such things and their effect in order to incorporate them into a causal pathway may not be achievable</w:t>
      </w:r>
      <w:r w:rsidR="00941A05">
        <w:t xml:space="preserve">, and is certainly very difficult to do in the context of </w:t>
      </w:r>
      <w:r w:rsidR="00C336D7">
        <w:t xml:space="preserve">the kind of cross-sectional </w:t>
      </w:r>
      <w:r w:rsidR="00941A05">
        <w:t>survey</w:t>
      </w:r>
      <w:r w:rsidR="00C336D7">
        <w:t xml:space="preserve"> from which many of </w:t>
      </w:r>
      <w:r w:rsidR="003A3D24">
        <w:t xml:space="preserve">the associations with </w:t>
      </w:r>
      <w:r w:rsidR="00C336D7">
        <w:t>Glasgow</w:t>
      </w:r>
      <w:r w:rsidR="003A3D24">
        <w:t>’s excess mortality</w:t>
      </w:r>
      <w:r w:rsidR="00C336D7">
        <w:t xml:space="preserve"> have been described</w:t>
      </w:r>
      <w:r w:rsidR="00CB4793">
        <w:t xml:space="preserve">. </w:t>
      </w:r>
    </w:p>
    <w:p w14:paraId="5369546D" w14:textId="57603953" w:rsidR="00301848" w:rsidRDefault="00CB4793" w:rsidP="0034614E">
      <w:pPr>
        <w:spacing w:line="480" w:lineRule="auto"/>
      </w:pPr>
      <w:r>
        <w:t xml:space="preserve">However, their measurement may not be the most important consideration in </w:t>
      </w:r>
      <w:r w:rsidR="006370FC">
        <w:t>P</w:t>
      </w:r>
      <w:r>
        <w:t xml:space="preserve">ublic </w:t>
      </w:r>
      <w:r w:rsidR="006370FC">
        <w:t>H</w:t>
      </w:r>
      <w:r>
        <w:t xml:space="preserve">ealth terms. </w:t>
      </w:r>
      <w:r w:rsidR="005D2EE3">
        <w:t>In contrast to the other studies discussed here, a</w:t>
      </w:r>
      <w:r w:rsidR="009217B3">
        <w:t xml:space="preserve"> recent study by Levin </w:t>
      </w:r>
      <w:r w:rsidR="005D2EE3">
        <w:t xml:space="preserve">using data from </w:t>
      </w:r>
      <w:r w:rsidR="005D2EE3">
        <w:lastRenderedPageBreak/>
        <w:t xml:space="preserve">the cross sectional </w:t>
      </w:r>
      <w:r w:rsidR="005D2EE3" w:rsidRPr="005D2EE3">
        <w:t xml:space="preserve">2006 Health Behaviour in School-Aged Children </w:t>
      </w:r>
      <w:r w:rsidR="005D2EE3">
        <w:t xml:space="preserve">survey </w:t>
      </w:r>
      <w:r w:rsidR="009217B3">
        <w:t xml:space="preserve">has shown that mental wellbeing among adolescents </w:t>
      </w:r>
      <w:r w:rsidR="005D2EE3">
        <w:t>wa</w:t>
      </w:r>
      <w:r w:rsidR="009217B3" w:rsidRPr="009217B3">
        <w:t>s better in Glasgow compared with the rest of Scotland</w:t>
      </w:r>
      <w:r w:rsidR="009217B3">
        <w:t>.</w:t>
      </w:r>
      <w:r w:rsidR="001C2C23">
        <w:rPr>
          <w:vertAlign w:val="superscript"/>
        </w:rPr>
        <w:t>4</w:t>
      </w:r>
      <w:r w:rsidR="003F4416">
        <w:rPr>
          <w:vertAlign w:val="superscript"/>
        </w:rPr>
        <w:t>1</w:t>
      </w:r>
      <w:r w:rsidR="009217B3">
        <w:rPr>
          <w:color w:val="FF0000"/>
        </w:rPr>
        <w:t xml:space="preserve"> </w:t>
      </w:r>
      <w:r w:rsidR="009217B3">
        <w:t xml:space="preserve">This suggests that the </w:t>
      </w:r>
      <w:r w:rsidR="002D1750">
        <w:t xml:space="preserve">future </w:t>
      </w:r>
      <w:r w:rsidR="009217B3">
        <w:t>lifecourse experience of current young Glaswegians has the potential to be very different from that of their forebears.</w:t>
      </w:r>
      <w:r w:rsidR="00483DAC">
        <w:t xml:space="preserve"> It is also therefore true, that </w:t>
      </w:r>
      <w:r w:rsidR="006370FC">
        <w:t xml:space="preserve">Public Health </w:t>
      </w:r>
      <w:r w:rsidR="00483DAC">
        <w:t xml:space="preserve">efforts to change the Glasgow effect </w:t>
      </w:r>
      <w:r w:rsidR="00E359E7">
        <w:t>will</w:t>
      </w:r>
      <w:r w:rsidR="00483DAC">
        <w:t xml:space="preserve"> take time to be</w:t>
      </w:r>
      <w:r w:rsidR="00E359E7">
        <w:t>come evident</w:t>
      </w:r>
      <w:r w:rsidR="00483DAC">
        <w:t xml:space="preserve"> (and to measure), though there is evidence of progress seen in interventions such as those reducing the levels of dental caries.</w:t>
      </w:r>
      <w:r w:rsidR="00E544F5">
        <w:rPr>
          <w:vertAlign w:val="superscript"/>
        </w:rPr>
        <w:t>4</w:t>
      </w:r>
      <w:r w:rsidR="003F4416">
        <w:rPr>
          <w:vertAlign w:val="superscript"/>
        </w:rPr>
        <w:t>2</w:t>
      </w:r>
      <w:r w:rsidR="00AF497F">
        <w:rPr>
          <w:color w:val="FF0000"/>
        </w:rPr>
        <w:t xml:space="preserve"> </w:t>
      </w:r>
      <w:r w:rsidR="00AF497F">
        <w:t>Observable changes in later outcomes, including mortality, are likely to take considerably longer.</w:t>
      </w:r>
      <w:r w:rsidR="00E544F5">
        <w:rPr>
          <w:vertAlign w:val="superscript"/>
        </w:rPr>
        <w:t>4</w:t>
      </w:r>
      <w:r w:rsidR="003F4416">
        <w:rPr>
          <w:vertAlign w:val="superscript"/>
        </w:rPr>
        <w:t>3</w:t>
      </w:r>
      <w:r w:rsidR="00AF497F">
        <w:t xml:space="preserve"> </w:t>
      </w:r>
      <w:r w:rsidR="005919D6">
        <w:t xml:space="preserve">A particular focus is likely to be needed for younger people. </w:t>
      </w:r>
      <w:r w:rsidR="009A02A2" w:rsidRPr="00196140">
        <w:t>There is good evidence</w:t>
      </w:r>
      <w:r w:rsidR="00DD6DD4" w:rsidRPr="00196140">
        <w:t xml:space="preserve"> from a study of the 31,648 suicides in England and Scotland between 2001 and 2006</w:t>
      </w:r>
      <w:r w:rsidR="009A02A2" w:rsidRPr="00196140">
        <w:t xml:space="preserve">, for example, </w:t>
      </w:r>
      <w:r w:rsidR="007E34AE" w:rsidRPr="00196140">
        <w:t xml:space="preserve">that </w:t>
      </w:r>
      <w:r w:rsidR="009A02A2" w:rsidRPr="00196140">
        <w:t>the rate of suicide</w:t>
      </w:r>
      <w:r w:rsidR="005919D6" w:rsidRPr="00196140">
        <w:t>, par</w:t>
      </w:r>
      <w:r w:rsidR="009A02A2" w:rsidRPr="00196140">
        <w:t xml:space="preserve">ticularly among young people, has been considerably higher </w:t>
      </w:r>
      <w:r w:rsidR="007E34AE" w:rsidRPr="00196140">
        <w:t xml:space="preserve">in Scotland </w:t>
      </w:r>
      <w:r w:rsidR="009A02A2" w:rsidRPr="00196140">
        <w:t xml:space="preserve">than </w:t>
      </w:r>
      <w:r w:rsidR="00762694" w:rsidRPr="00196140">
        <w:t xml:space="preserve">in </w:t>
      </w:r>
      <w:r w:rsidR="009A02A2" w:rsidRPr="00196140">
        <w:t>England (rate ratio 1.79 (95%Ci 1.62-1.98)).</w:t>
      </w:r>
      <w:proofErr w:type="gramStart"/>
      <w:r w:rsidR="009A02A2" w:rsidRPr="00196140">
        <w:rPr>
          <w:vertAlign w:val="superscript"/>
        </w:rPr>
        <w:t>4</w:t>
      </w:r>
      <w:r w:rsidR="003F4416" w:rsidRPr="00196140">
        <w:rPr>
          <w:vertAlign w:val="superscript"/>
        </w:rPr>
        <w:t>4</w:t>
      </w:r>
      <w:r w:rsidR="009A02A2" w:rsidRPr="00196140">
        <w:t xml:space="preserve">  </w:t>
      </w:r>
      <w:r w:rsidR="00762694" w:rsidRPr="00196140">
        <w:t>Similarly</w:t>
      </w:r>
      <w:proofErr w:type="gramEnd"/>
      <w:r w:rsidR="009A02A2" w:rsidRPr="00196140">
        <w:t xml:space="preserve">, </w:t>
      </w:r>
      <w:r w:rsidR="00D00098" w:rsidRPr="00196140">
        <w:t xml:space="preserve">although numbers may be small in absolute terms, the contribution of drug use to Scotland’s excess mortality among young people, is important because of its high mortality risk. </w:t>
      </w:r>
      <w:r w:rsidR="00E46BF1" w:rsidRPr="00196140">
        <w:t xml:space="preserve">In a cohort study of 1033 drug users across Scotland, </w:t>
      </w:r>
      <w:r w:rsidR="00D00098" w:rsidRPr="00196140">
        <w:t>Bloor et al estimated that</w:t>
      </w:r>
      <w:r w:rsidR="005919D6" w:rsidRPr="00196140">
        <w:t>, among people aged 15-54,</w:t>
      </w:r>
      <w:r w:rsidR="00D00098" w:rsidRPr="00196140">
        <w:t xml:space="preserve"> </w:t>
      </w:r>
      <w:r w:rsidR="005919D6" w:rsidRPr="00196140">
        <w:t>drug use may account for 32% (95% CI 22.3-43.0%) of Scotland’s excess mortality.</w:t>
      </w:r>
      <w:r w:rsidR="005919D6" w:rsidRPr="00196140">
        <w:rPr>
          <w:vertAlign w:val="superscript"/>
        </w:rPr>
        <w:t>4</w:t>
      </w:r>
      <w:r w:rsidR="003F4416" w:rsidRPr="00196140">
        <w:rPr>
          <w:vertAlign w:val="superscript"/>
        </w:rPr>
        <w:t>5</w:t>
      </w:r>
      <w:r w:rsidR="009F6203">
        <w:rPr>
          <w:color w:val="FF0000"/>
        </w:rPr>
        <w:t xml:space="preserve"> </w:t>
      </w:r>
      <w:r w:rsidR="00301848">
        <w:t xml:space="preserve">This reinforces the point </w:t>
      </w:r>
      <w:r w:rsidR="004D0E1B">
        <w:t xml:space="preserve">made </w:t>
      </w:r>
      <w:r w:rsidR="00301848">
        <w:t>above about the on-going</w:t>
      </w:r>
      <w:r w:rsidR="00CB3C43">
        <w:t xml:space="preserve"> need for P</w:t>
      </w:r>
      <w:r w:rsidR="00301848">
        <w:t xml:space="preserve">ublic </w:t>
      </w:r>
      <w:r w:rsidR="00CB3C43">
        <w:t>H</w:t>
      </w:r>
      <w:r w:rsidR="00301848">
        <w:t xml:space="preserve">ealth (and societal) action in these areas. </w:t>
      </w:r>
    </w:p>
    <w:p w14:paraId="7DB0EF6D" w14:textId="636F1EB0" w:rsidR="002C1002" w:rsidRPr="00AF497F" w:rsidRDefault="002C1002" w:rsidP="0034614E">
      <w:pPr>
        <w:spacing w:line="480" w:lineRule="auto"/>
        <w:rPr>
          <w:color w:val="FF0000"/>
        </w:rPr>
      </w:pPr>
      <w:r w:rsidRPr="002C1002">
        <w:t xml:space="preserve">Similarly, the </w:t>
      </w:r>
      <w:r w:rsidR="00604977">
        <w:t>measurement</w:t>
      </w:r>
      <w:r w:rsidRPr="002C1002">
        <w:t xml:space="preserve"> of </w:t>
      </w:r>
      <w:r w:rsidR="00215CD0">
        <w:t>other individual</w:t>
      </w:r>
      <w:r w:rsidRPr="002C1002">
        <w:t xml:space="preserve"> determinant</w:t>
      </w:r>
      <w:r w:rsidR="00215CD0">
        <w:t>s</w:t>
      </w:r>
      <w:r w:rsidRPr="002C1002">
        <w:t xml:space="preserve"> such as ‘ethnicity’ will include layers of complexity</w:t>
      </w:r>
      <w:r w:rsidR="006370FC">
        <w:t xml:space="preserve"> that are yet unexplored</w:t>
      </w:r>
      <w:r w:rsidR="00215CD0">
        <w:t>. Heterogeneity within ethnic groups</w:t>
      </w:r>
      <w:r w:rsidR="006370FC">
        <w:t>, for example,</w:t>
      </w:r>
      <w:r w:rsidRPr="002C1002">
        <w:t xml:space="preserve"> </w:t>
      </w:r>
      <w:r w:rsidR="00215CD0">
        <w:t>may</w:t>
      </w:r>
      <w:r w:rsidRPr="002C1002">
        <w:t xml:space="preserve"> </w:t>
      </w:r>
      <w:r w:rsidR="00215CD0">
        <w:t>lead to differential</w:t>
      </w:r>
      <w:r w:rsidRPr="002C1002">
        <w:t xml:space="preserve"> impact on </w:t>
      </w:r>
      <w:r w:rsidR="00215CD0">
        <w:t xml:space="preserve">health-related behaviour and </w:t>
      </w:r>
      <w:r w:rsidRPr="002C1002">
        <w:t>outcomes such as cardiovascular mortality.</w:t>
      </w:r>
      <w:r w:rsidR="00E544F5">
        <w:rPr>
          <w:vertAlign w:val="superscript"/>
        </w:rPr>
        <w:t>4</w:t>
      </w:r>
      <w:r w:rsidR="003F4416">
        <w:rPr>
          <w:vertAlign w:val="superscript"/>
        </w:rPr>
        <w:t>6</w:t>
      </w:r>
    </w:p>
    <w:p w14:paraId="5185C5BF" w14:textId="59E2ED4E" w:rsidR="00F53E3C" w:rsidRDefault="00B945C2" w:rsidP="0034614E">
      <w:pPr>
        <w:spacing w:line="480" w:lineRule="auto"/>
      </w:pPr>
      <w:r>
        <w:t>Further u</w:t>
      </w:r>
      <w:r w:rsidR="00EE051A" w:rsidRPr="001366F4">
        <w:t xml:space="preserve">nravelling the </w:t>
      </w:r>
      <w:r w:rsidR="00B04517">
        <w:t xml:space="preserve">web of </w:t>
      </w:r>
      <w:r w:rsidR="00EE051A" w:rsidRPr="001366F4">
        <w:t>complexit</w:t>
      </w:r>
      <w:r w:rsidR="00B04517">
        <w:t>y around</w:t>
      </w:r>
      <w:r w:rsidR="00EE051A" w:rsidRPr="001366F4">
        <w:t xml:space="preserve"> Glasgow</w:t>
      </w:r>
      <w:r w:rsidR="009F6203">
        <w:t>’s excess mortality</w:t>
      </w:r>
      <w:r w:rsidR="00EE051A" w:rsidRPr="001366F4">
        <w:t xml:space="preserve"> may </w:t>
      </w:r>
      <w:r w:rsidR="00A95C74">
        <w:t xml:space="preserve">therefore </w:t>
      </w:r>
      <w:r w:rsidR="00EE051A" w:rsidRPr="001366F4">
        <w:t>include</w:t>
      </w:r>
      <w:r w:rsidR="001366F4">
        <w:t xml:space="preserve"> not only</w:t>
      </w:r>
      <w:r w:rsidR="00EE051A" w:rsidRPr="001366F4">
        <w:t xml:space="preserve"> the need to consider the interplay of </w:t>
      </w:r>
      <w:r>
        <w:t>determinants</w:t>
      </w:r>
      <w:r w:rsidR="00EE051A" w:rsidRPr="001366F4">
        <w:t xml:space="preserve"> in the Dahlgren and Whitehead model, </w:t>
      </w:r>
      <w:r w:rsidR="002C1002">
        <w:t>but</w:t>
      </w:r>
      <w:r w:rsidR="00EE051A" w:rsidRPr="001366F4">
        <w:t xml:space="preserve"> also address the </w:t>
      </w:r>
      <w:r>
        <w:t>methodological issues around their measurement</w:t>
      </w:r>
      <w:r w:rsidR="00B04517">
        <w:t xml:space="preserve">, </w:t>
      </w:r>
      <w:r w:rsidR="002B7C31">
        <w:t>assess their relative influence</w:t>
      </w:r>
      <w:r w:rsidR="00A95C74">
        <w:t xml:space="preserve">, </w:t>
      </w:r>
      <w:r w:rsidR="00B04517">
        <w:t>and</w:t>
      </w:r>
      <w:r w:rsidR="00A95C74">
        <w:t xml:space="preserve"> mak</w:t>
      </w:r>
      <w:r w:rsidR="00B04517">
        <w:t>e</w:t>
      </w:r>
      <w:r w:rsidR="00A95C74">
        <w:t xml:space="preserve"> adequate allowance for a lifecourse perspective</w:t>
      </w:r>
      <w:r>
        <w:t>.</w:t>
      </w:r>
      <w:r w:rsidR="001569FD">
        <w:t xml:space="preserve"> </w:t>
      </w:r>
      <w:r w:rsidR="00B04517">
        <w:t xml:space="preserve">The </w:t>
      </w:r>
      <w:r w:rsidR="00B04517">
        <w:lastRenderedPageBreak/>
        <w:t xml:space="preserve">effort required in this challenging task is, however, of great importance. </w:t>
      </w:r>
      <w:r w:rsidR="007F41DD">
        <w:t>An updated synthesis report is due to be produced by the GCPH in 2015</w:t>
      </w:r>
      <w:r w:rsidR="00F01F74">
        <w:t xml:space="preserve"> and will no doubt address many of these complex issues</w:t>
      </w:r>
      <w:r w:rsidR="007F41DD">
        <w:t>.</w:t>
      </w:r>
      <w:r w:rsidR="00132C20" w:rsidRPr="00922CE9">
        <w:rPr>
          <w:vertAlign w:val="superscript"/>
        </w:rPr>
        <w:t>4</w:t>
      </w:r>
      <w:r w:rsidR="003F4416">
        <w:rPr>
          <w:vertAlign w:val="superscript"/>
        </w:rPr>
        <w:t>7</w:t>
      </w:r>
      <w:r w:rsidR="007F41DD">
        <w:t xml:space="preserve"> </w:t>
      </w:r>
      <w:r w:rsidR="001569FD">
        <w:t xml:space="preserve">As Gavine and colleagues point out, continuing to understand the factors contributing to the </w:t>
      </w:r>
      <w:r w:rsidR="003C4BBB">
        <w:t>‘</w:t>
      </w:r>
      <w:r w:rsidR="001569FD">
        <w:t>Glasgow effect</w:t>
      </w:r>
      <w:r w:rsidR="003C4BBB">
        <w:t>’</w:t>
      </w:r>
      <w:r w:rsidR="001569FD">
        <w:t xml:space="preserve"> is </w:t>
      </w:r>
      <w:r w:rsidR="00B04517">
        <w:t>necessary</w:t>
      </w:r>
      <w:r w:rsidR="003407CA">
        <w:t xml:space="preserve"> to </w:t>
      </w:r>
      <w:r w:rsidR="00B04517">
        <w:t xml:space="preserve">accurately inform </w:t>
      </w:r>
      <w:r w:rsidR="003407CA">
        <w:t xml:space="preserve">Public Health endeavours to improve the health </w:t>
      </w:r>
      <w:r w:rsidR="0011683A">
        <w:t>outcomes</w:t>
      </w:r>
      <w:r w:rsidR="003407CA">
        <w:t xml:space="preserve"> and reduce health inequalities</w:t>
      </w:r>
      <w:r w:rsidR="0011683A">
        <w:t xml:space="preserve"> in Scotland</w:t>
      </w:r>
      <w:r w:rsidR="003407CA">
        <w:t>; it should not</w:t>
      </w:r>
      <w:r w:rsidR="001569FD">
        <w:t xml:space="preserve"> slip into common parlance as an explanation in its own right.</w:t>
      </w:r>
      <w:r w:rsidR="00C4010E">
        <w:rPr>
          <w:vertAlign w:val="superscript"/>
        </w:rPr>
        <w:t>4</w:t>
      </w:r>
      <w:r w:rsidR="003F4416">
        <w:rPr>
          <w:vertAlign w:val="superscript"/>
        </w:rPr>
        <w:t>8</w:t>
      </w:r>
    </w:p>
    <w:p w14:paraId="50D13100" w14:textId="77777777" w:rsidR="001569FD" w:rsidRPr="001366F4" w:rsidRDefault="001569FD" w:rsidP="00B945C2">
      <w:pPr>
        <w:spacing w:line="480" w:lineRule="auto"/>
      </w:pPr>
    </w:p>
    <w:p w14:paraId="39FBCDE9" w14:textId="77777777" w:rsidR="007D5AAA" w:rsidRPr="00545FAB" w:rsidRDefault="007D5AAA" w:rsidP="00CA0B20">
      <w:pPr>
        <w:spacing w:line="480" w:lineRule="auto"/>
        <w:rPr>
          <w:color w:val="FF0000"/>
        </w:rPr>
      </w:pPr>
    </w:p>
    <w:p w14:paraId="21EE467E" w14:textId="12AAFC2E" w:rsidR="007027E1" w:rsidRPr="007027E1" w:rsidRDefault="004115B8" w:rsidP="00CA0B20">
      <w:pPr>
        <w:spacing w:line="480" w:lineRule="auto"/>
        <w:rPr>
          <w:b/>
          <w:bCs/>
        </w:rPr>
      </w:pPr>
      <w:r>
        <w:rPr>
          <w:b/>
          <w:bCs/>
        </w:rPr>
        <w:t>Conclusion</w:t>
      </w:r>
    </w:p>
    <w:p w14:paraId="12EAB77F" w14:textId="0AFCF4B7" w:rsidR="00A84533" w:rsidRDefault="00157B9C" w:rsidP="00157B9C">
      <w:pPr>
        <w:spacing w:line="480" w:lineRule="auto"/>
      </w:pPr>
      <w:r>
        <w:t>A</w:t>
      </w:r>
      <w:r w:rsidR="00225C84">
        <w:t xml:space="preserve"> </w:t>
      </w:r>
      <w:r>
        <w:t>comprehensive</w:t>
      </w:r>
      <w:r w:rsidR="00225C84">
        <w:t xml:space="preserve"> explanation of </w:t>
      </w:r>
      <w:r w:rsidR="004115B8">
        <w:t>Glasgow</w:t>
      </w:r>
      <w:r w:rsidR="009F6203">
        <w:t>’s excess mortality</w:t>
      </w:r>
      <w:r>
        <w:t xml:space="preserve"> remains elusive but is likely to lie in a complex and difficult-to-measure interplay of health determinants</w:t>
      </w:r>
      <w:r w:rsidR="00017E47">
        <w:t xml:space="preserve"> acting through the life course</w:t>
      </w:r>
      <w:r>
        <w:t>.</w:t>
      </w:r>
      <w:r w:rsidR="00225C84">
        <w:t xml:space="preserve"> </w:t>
      </w:r>
      <w:r>
        <w:t>It is</w:t>
      </w:r>
      <w:r w:rsidR="004115B8">
        <w:t xml:space="preserve"> an important example of the complexity that frequently </w:t>
      </w:r>
      <w:r>
        <w:t>lies behind health variations within and between</w:t>
      </w:r>
      <w:r w:rsidR="004115B8">
        <w:t xml:space="preserve"> populations. </w:t>
      </w:r>
      <w:r w:rsidR="00985EA0">
        <w:t xml:space="preserve">The </w:t>
      </w:r>
      <w:r>
        <w:t>research</w:t>
      </w:r>
      <w:r w:rsidR="00985EA0">
        <w:t xml:space="preserve"> to date </w:t>
      </w:r>
      <w:r w:rsidR="004F3107">
        <w:t>serve</w:t>
      </w:r>
      <w:r>
        <w:t>s</w:t>
      </w:r>
      <w:r w:rsidR="004F3107">
        <w:t xml:space="preserve"> as an exemplar to</w:t>
      </w:r>
      <w:r w:rsidR="00985EA0">
        <w:t xml:space="preserve"> usefully </w:t>
      </w:r>
      <w:r w:rsidR="004115B8">
        <w:t>inform the critical evaluation of</w:t>
      </w:r>
      <w:r w:rsidR="004F3107">
        <w:t xml:space="preserve"> studies</w:t>
      </w:r>
      <w:r w:rsidR="004115B8">
        <w:t xml:space="preserve"> </w:t>
      </w:r>
      <w:r w:rsidR="004F3107">
        <w:t>investigating</w:t>
      </w:r>
      <w:r w:rsidR="00985EA0">
        <w:t xml:space="preserve"> </w:t>
      </w:r>
      <w:r w:rsidR="004F3107">
        <w:t>morbidity and mortality</w:t>
      </w:r>
      <w:r w:rsidR="00985EA0">
        <w:t xml:space="preserve"> variations in other countries and regions</w:t>
      </w:r>
      <w:r w:rsidR="00A351FF">
        <w:t xml:space="preserve"> and the methodology of future study design in this area</w:t>
      </w:r>
      <w:r w:rsidR="00985EA0">
        <w:t>.</w:t>
      </w:r>
      <w:r w:rsidR="00AD271B">
        <w:t xml:space="preserve"> Ongoing efforts to unravel its complexity are needed.</w:t>
      </w:r>
    </w:p>
    <w:p w14:paraId="17588C18" w14:textId="19AB9DCC" w:rsidR="002B5C22" w:rsidRDefault="002B5C22">
      <w:pPr>
        <w:rPr>
          <w:b/>
          <w:bCs/>
        </w:rPr>
      </w:pPr>
    </w:p>
    <w:p w14:paraId="263886F7" w14:textId="77777777" w:rsidR="00EB4CEF" w:rsidRDefault="00EB4CEF" w:rsidP="004F3107">
      <w:pPr>
        <w:spacing w:line="480" w:lineRule="auto"/>
        <w:rPr>
          <w:b/>
          <w:bCs/>
        </w:rPr>
      </w:pPr>
    </w:p>
    <w:p w14:paraId="619E6BE0" w14:textId="77777777" w:rsidR="00EB4CEF" w:rsidRDefault="00EB4CEF" w:rsidP="004F3107">
      <w:pPr>
        <w:spacing w:line="480" w:lineRule="auto"/>
        <w:rPr>
          <w:b/>
          <w:bCs/>
        </w:rPr>
      </w:pPr>
    </w:p>
    <w:p w14:paraId="159D486B" w14:textId="77777777" w:rsidR="00EB4CEF" w:rsidRDefault="00EB4CEF" w:rsidP="004F3107">
      <w:pPr>
        <w:spacing w:line="480" w:lineRule="auto"/>
        <w:rPr>
          <w:b/>
          <w:bCs/>
        </w:rPr>
      </w:pPr>
    </w:p>
    <w:p w14:paraId="1CF6D223" w14:textId="3FB4D4E8" w:rsidR="007338CD" w:rsidRPr="004F3107" w:rsidRDefault="007338CD" w:rsidP="004F3107">
      <w:pPr>
        <w:spacing w:line="480" w:lineRule="auto"/>
        <w:rPr>
          <w:b/>
          <w:bCs/>
        </w:rPr>
      </w:pPr>
      <w:r w:rsidRPr="004F3107">
        <w:rPr>
          <w:b/>
          <w:bCs/>
        </w:rPr>
        <w:t>Acknowledgements</w:t>
      </w:r>
    </w:p>
    <w:p w14:paraId="6D99C2CC" w14:textId="77777777" w:rsidR="00303E42" w:rsidRDefault="007338CD" w:rsidP="004F3107">
      <w:pPr>
        <w:spacing w:line="480" w:lineRule="auto"/>
      </w:pPr>
      <w:r>
        <w:t>We are</w:t>
      </w:r>
      <w:r w:rsidR="004F3107">
        <w:t xml:space="preserve"> very </w:t>
      </w:r>
      <w:r>
        <w:t>grateful to David Walsh</w:t>
      </w:r>
      <w:r w:rsidR="000B6C1E">
        <w:t>,</w:t>
      </w:r>
      <w:r>
        <w:t xml:space="preserve"> Gerry McCartney</w:t>
      </w:r>
      <w:r w:rsidR="000B6C1E">
        <w:t>, Anna Gavine</w:t>
      </w:r>
      <w:r>
        <w:t xml:space="preserve"> </w:t>
      </w:r>
      <w:r w:rsidR="000B6C1E">
        <w:t xml:space="preserve">and Peter Donnelly </w:t>
      </w:r>
      <w:r>
        <w:t>for their assistance with the background to this article</w:t>
      </w:r>
      <w:r w:rsidR="004F3107">
        <w:t>.</w:t>
      </w:r>
    </w:p>
    <w:p w14:paraId="3CF75F93" w14:textId="77777777" w:rsidR="00303E42" w:rsidRDefault="00303E42" w:rsidP="004F3107">
      <w:pPr>
        <w:spacing w:line="480" w:lineRule="auto"/>
      </w:pPr>
    </w:p>
    <w:p w14:paraId="791A642A" w14:textId="77777777" w:rsidR="00303E42" w:rsidRDefault="00303E42" w:rsidP="004F3107">
      <w:pPr>
        <w:spacing w:line="480" w:lineRule="auto"/>
      </w:pPr>
      <w:r>
        <w:t>Disclosures</w:t>
      </w:r>
    </w:p>
    <w:p w14:paraId="2B054772" w14:textId="7B9AA9D5" w:rsidR="00473CA0" w:rsidRDefault="00303E42" w:rsidP="004F3107">
      <w:pPr>
        <w:spacing w:line="480" w:lineRule="auto"/>
      </w:pPr>
      <w:r>
        <w:lastRenderedPageBreak/>
        <w:t>The authors declare that they have no conflicts of interest</w:t>
      </w:r>
      <w:r w:rsidR="00473CA0">
        <w:br w:type="page"/>
      </w:r>
    </w:p>
    <w:p w14:paraId="43A99702" w14:textId="77777777" w:rsidR="00B3496D" w:rsidRPr="00B3496D" w:rsidRDefault="00B3496D" w:rsidP="00B3496D">
      <w:pPr>
        <w:spacing w:line="480" w:lineRule="auto"/>
        <w:rPr>
          <w:rFonts w:ascii="Calibri" w:eastAsia="SimSun" w:hAnsi="Calibri" w:cs="Arial"/>
          <w:b/>
        </w:rPr>
      </w:pPr>
      <w:r w:rsidRPr="00B3496D">
        <w:rPr>
          <w:rFonts w:ascii="Calibri" w:eastAsia="SimSun" w:hAnsi="Calibri" w:cs="Arial"/>
          <w:b/>
        </w:rPr>
        <w:lastRenderedPageBreak/>
        <w:t>References</w:t>
      </w:r>
    </w:p>
    <w:p w14:paraId="5C1307DC" w14:textId="77777777" w:rsidR="00B3496D" w:rsidRPr="00B3496D" w:rsidRDefault="00B3496D" w:rsidP="00B3496D">
      <w:pPr>
        <w:numPr>
          <w:ilvl w:val="0"/>
          <w:numId w:val="1"/>
        </w:numPr>
        <w:spacing w:line="480" w:lineRule="auto"/>
        <w:contextualSpacing/>
        <w:rPr>
          <w:rFonts w:ascii="Calibri" w:eastAsia="SimSun" w:hAnsi="Calibri" w:cs="Arial"/>
        </w:rPr>
      </w:pPr>
      <w:r w:rsidRPr="00B3496D">
        <w:rPr>
          <w:rFonts w:ascii="Calibri" w:eastAsia="SimSun" w:hAnsi="Calibri" w:cs="Arial"/>
        </w:rPr>
        <w:t xml:space="preserve">World Health Organisation Centre for Health Development. Hidden cities: unmasking and overcoming health inequities in urban settings. WHO, Geneva, 2010. Available from: </w:t>
      </w:r>
      <w:hyperlink r:id="rId11" w:history="1">
        <w:r w:rsidRPr="00B3496D">
          <w:rPr>
            <w:rFonts w:ascii="Calibri" w:eastAsia="SimSun" w:hAnsi="Calibri" w:cs="Arial"/>
            <w:color w:val="0000FF"/>
            <w:u w:val="single"/>
          </w:rPr>
          <w:t>http://www.who.int/kobe_centre/publications/hidden_cities2010/en/</w:t>
        </w:r>
      </w:hyperlink>
      <w:r w:rsidRPr="00B3496D">
        <w:rPr>
          <w:rFonts w:ascii="Calibri" w:eastAsia="SimSun" w:hAnsi="Calibri" w:cs="Arial"/>
        </w:rPr>
        <w:t>. Accessed February 24</w:t>
      </w:r>
      <w:r w:rsidRPr="00B3496D">
        <w:rPr>
          <w:rFonts w:ascii="Calibri" w:eastAsia="SimSun" w:hAnsi="Calibri" w:cs="Arial"/>
          <w:vertAlign w:val="superscript"/>
        </w:rPr>
        <w:t>th</w:t>
      </w:r>
      <w:r w:rsidRPr="00B3496D">
        <w:rPr>
          <w:rFonts w:ascii="Calibri" w:eastAsia="SimSun" w:hAnsi="Calibri" w:cs="Arial"/>
        </w:rPr>
        <w:t xml:space="preserve"> 2015</w:t>
      </w:r>
    </w:p>
    <w:p w14:paraId="61215E7C" w14:textId="77777777" w:rsidR="00B3496D" w:rsidRPr="00B3496D" w:rsidRDefault="00B3496D" w:rsidP="00B3496D">
      <w:pPr>
        <w:numPr>
          <w:ilvl w:val="0"/>
          <w:numId w:val="1"/>
        </w:numPr>
        <w:spacing w:line="480" w:lineRule="auto"/>
        <w:contextualSpacing/>
        <w:rPr>
          <w:rFonts w:ascii="Calibri" w:eastAsia="SimSun" w:hAnsi="Calibri" w:cs="Arial"/>
        </w:rPr>
      </w:pPr>
      <w:r w:rsidRPr="00B3496D">
        <w:rPr>
          <w:rFonts w:ascii="Calibri" w:eastAsia="SimSun" w:hAnsi="Calibri" w:cs="Arial"/>
        </w:rPr>
        <w:t xml:space="preserve">Europe’s demographic future: facts and figures on challenges and opportunities. European Commission, Luxembourg, 2007. Available from: </w:t>
      </w:r>
      <w:hyperlink r:id="rId12" w:history="1">
        <w:r w:rsidRPr="00B3496D">
          <w:rPr>
            <w:rFonts w:ascii="Calibri" w:eastAsia="SimSun" w:hAnsi="Calibri" w:cs="Arial"/>
            <w:color w:val="0000FF"/>
            <w:u w:val="single"/>
          </w:rPr>
          <w:t>http://ec.europa.eu/social/main.jsp?catId=502&amp;furtherPubs=yes&amp;langId=en&amp;pubId=78&amp;type=2</w:t>
        </w:r>
      </w:hyperlink>
      <w:r w:rsidRPr="00B3496D">
        <w:rPr>
          <w:rFonts w:ascii="Calibri" w:eastAsia="SimSun" w:hAnsi="Calibri" w:cs="Arial"/>
        </w:rPr>
        <w:t>. Accessed February 24</w:t>
      </w:r>
      <w:r w:rsidRPr="00B3496D">
        <w:rPr>
          <w:rFonts w:ascii="Calibri" w:eastAsia="SimSun" w:hAnsi="Calibri" w:cs="Arial"/>
          <w:vertAlign w:val="superscript"/>
        </w:rPr>
        <w:t>th</w:t>
      </w:r>
      <w:r w:rsidRPr="00B3496D">
        <w:rPr>
          <w:rFonts w:ascii="Calibri" w:eastAsia="SimSun" w:hAnsi="Calibri" w:cs="Arial"/>
        </w:rPr>
        <w:t xml:space="preserve"> 2015</w:t>
      </w:r>
    </w:p>
    <w:p w14:paraId="58329389"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 xml:space="preserve">Leon DA, Morton S, </w:t>
      </w:r>
      <w:proofErr w:type="spellStart"/>
      <w:r w:rsidRPr="00B3496D">
        <w:rPr>
          <w:rFonts w:ascii="Calibri" w:eastAsia="SimSun" w:hAnsi="Calibri" w:cs="Arial"/>
          <w:lang w:val="en-US"/>
        </w:rPr>
        <w:t>Cannegieter</w:t>
      </w:r>
      <w:proofErr w:type="spellEnd"/>
      <w:r w:rsidRPr="00B3496D">
        <w:rPr>
          <w:rFonts w:ascii="Calibri" w:eastAsia="SimSun" w:hAnsi="Calibri" w:cs="Arial"/>
          <w:lang w:val="en-US"/>
        </w:rPr>
        <w:t xml:space="preserve"> S, McKee M. Understanding the Health of Scotland’s Population in an International Context; A review of current approaches, knowledge and recommendations for new research directions. London School of Hygiene and Tropical Medicine, London, 2003. Available from:</w:t>
      </w:r>
      <w:r w:rsidRPr="00B3496D">
        <w:rPr>
          <w:rFonts w:ascii="Cambria" w:eastAsia="MS Mincho" w:hAnsi="Cambria" w:cs="Arial"/>
        </w:rPr>
        <w:t xml:space="preserve"> </w:t>
      </w:r>
      <w:hyperlink r:id="rId13" w:history="1">
        <w:r w:rsidRPr="00B3496D">
          <w:rPr>
            <w:rFonts w:ascii="Calibri" w:eastAsia="SimSun" w:hAnsi="Calibri" w:cs="Arial"/>
            <w:color w:val="0000FF"/>
            <w:u w:val="single"/>
            <w:lang w:val="en-US"/>
          </w:rPr>
          <w:t>http://www.google.co.uk/url?sa=t&amp;rct=j&amp;q=&amp;esrc=s&amp;source=web&amp;cd=1&amp;ved=0CCMQFjAA&amp;url=http%3A%2F%2Fwww.scotpho.org.uk%2Fdownloads%2Fscotphoreports%2Fscotpho061107_leonreport.doc&amp;ei=4HrsVNSgDJHTaL2qguAC&amp;usg=AFQjCNEezJlEDp5Ueita0rSYbo_TAd4KNQ&amp;bvm=bv.86475890,d.d2s</w:t>
        </w:r>
      </w:hyperlink>
      <w:r w:rsidRPr="00B3496D">
        <w:rPr>
          <w:rFonts w:ascii="Calibri" w:eastAsia="SimSun" w:hAnsi="Calibri" w:cs="Arial"/>
          <w:lang w:val="en-US"/>
        </w:rPr>
        <w:t>. Accessed February 24</w:t>
      </w:r>
      <w:r w:rsidRPr="00B3496D">
        <w:rPr>
          <w:rFonts w:ascii="Calibri" w:eastAsia="SimSun" w:hAnsi="Calibri" w:cs="Arial"/>
          <w:vertAlign w:val="superscript"/>
          <w:lang w:val="en-US"/>
        </w:rPr>
        <w:t>th</w:t>
      </w:r>
      <w:r w:rsidRPr="00B3496D">
        <w:rPr>
          <w:rFonts w:ascii="Calibri" w:eastAsia="SimSun" w:hAnsi="Calibri" w:cs="Arial"/>
          <w:lang w:val="en-US"/>
        </w:rPr>
        <w:t xml:space="preserve"> 2015</w:t>
      </w:r>
    </w:p>
    <w:p w14:paraId="2752DC77"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proofErr w:type="spellStart"/>
      <w:r w:rsidRPr="00B3496D">
        <w:rPr>
          <w:rFonts w:ascii="Calibri" w:eastAsia="SimSun" w:hAnsi="Calibri" w:cs="Arial"/>
          <w:lang w:val="en-US"/>
        </w:rPr>
        <w:t>Carstairs</w:t>
      </w:r>
      <w:proofErr w:type="spellEnd"/>
      <w:r w:rsidRPr="00B3496D">
        <w:rPr>
          <w:rFonts w:ascii="Calibri" w:eastAsia="SimSun" w:hAnsi="Calibri" w:cs="Arial"/>
          <w:lang w:val="en-US"/>
        </w:rPr>
        <w:t xml:space="preserve"> V, Morris R. Deprivation: explaining differences in mortality between Scotland and England and Wales. </w:t>
      </w:r>
      <w:r w:rsidRPr="00B3496D">
        <w:rPr>
          <w:rFonts w:ascii="Calibri" w:eastAsia="SimSun" w:hAnsi="Calibri" w:cs="Arial"/>
          <w:i/>
          <w:lang w:val="en-US"/>
        </w:rPr>
        <w:t>BMJ</w:t>
      </w:r>
      <w:r w:rsidRPr="00B3496D">
        <w:rPr>
          <w:rFonts w:ascii="Calibri" w:eastAsia="SimSun" w:hAnsi="Calibri" w:cs="Arial"/>
          <w:lang w:val="en-US"/>
        </w:rPr>
        <w:t>. 1989</w:t>
      </w:r>
      <w:proofErr w:type="gramStart"/>
      <w:r w:rsidRPr="00B3496D">
        <w:rPr>
          <w:rFonts w:ascii="Calibri" w:eastAsia="SimSun" w:hAnsi="Calibri" w:cs="Arial"/>
          <w:lang w:val="en-US"/>
        </w:rPr>
        <w:t>;299</w:t>
      </w:r>
      <w:proofErr w:type="gramEnd"/>
      <w:r w:rsidRPr="00B3496D">
        <w:rPr>
          <w:rFonts w:ascii="Calibri" w:eastAsia="SimSun" w:hAnsi="Calibri" w:cs="Arial"/>
          <w:lang w:val="en-US"/>
        </w:rPr>
        <w:t>(6704):886-9.</w:t>
      </w:r>
    </w:p>
    <w:p w14:paraId="30E09813"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Scottish Council Foundation, Healthy Public Policy Network. The Scottish Effect? Edinburgh: Scottish Council Foundation, 1998.</w:t>
      </w:r>
    </w:p>
    <w:p w14:paraId="3336D863"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proofErr w:type="spellStart"/>
      <w:r w:rsidRPr="00891752">
        <w:rPr>
          <w:rFonts w:ascii="Calibri" w:eastAsia="SimSun" w:hAnsi="Calibri" w:cs="Arial"/>
          <w:lang w:val="fr-FR"/>
        </w:rPr>
        <w:t>Hanlon</w:t>
      </w:r>
      <w:proofErr w:type="spellEnd"/>
      <w:r w:rsidRPr="00891752">
        <w:rPr>
          <w:rFonts w:ascii="Calibri" w:eastAsia="SimSun" w:hAnsi="Calibri" w:cs="Arial"/>
          <w:lang w:val="fr-FR"/>
        </w:rPr>
        <w:t xml:space="preserve"> P, Walsh D, Buchanan D, et al. </w:t>
      </w:r>
      <w:r w:rsidRPr="00B3496D">
        <w:rPr>
          <w:rFonts w:ascii="Calibri" w:eastAsia="SimSun" w:hAnsi="Calibri" w:cs="Arial"/>
          <w:lang w:val="en-US"/>
        </w:rPr>
        <w:t>Chasing the Scottish Effect;</w:t>
      </w:r>
      <w:r w:rsidRPr="00B3496D">
        <w:rPr>
          <w:rFonts w:ascii="Calibri" w:eastAsia="SimSun" w:hAnsi="Calibri" w:cs="Arial"/>
        </w:rPr>
        <w:t xml:space="preserve"> </w:t>
      </w:r>
      <w:r w:rsidRPr="00B3496D">
        <w:rPr>
          <w:rFonts w:ascii="Calibri" w:eastAsia="SimSun" w:hAnsi="Calibri" w:cs="Arial"/>
          <w:lang w:val="en-US"/>
        </w:rPr>
        <w:t>Why Scotland needs a step-change in health if it is to catch up with the rest of Europe. Public Health Institute of Scotland, Glasgow, 2001.</w:t>
      </w:r>
    </w:p>
    <w:p w14:paraId="5A180C61" w14:textId="77777777" w:rsidR="00B3496D" w:rsidRPr="00B3496D" w:rsidRDefault="0090032B"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hyperlink r:id="rId14" w:history="1">
        <w:r w:rsidR="00B3496D" w:rsidRPr="00B3496D">
          <w:rPr>
            <w:rFonts w:ascii="Calibri" w:eastAsia="SimSun" w:hAnsi="Calibri" w:cs="Arial"/>
            <w:lang w:val="en-US"/>
          </w:rPr>
          <w:t>Gray L</w:t>
        </w:r>
      </w:hyperlink>
      <w:r w:rsidR="00B3496D" w:rsidRPr="00B3496D">
        <w:rPr>
          <w:rFonts w:ascii="Calibri" w:eastAsia="SimSun" w:hAnsi="Calibri" w:cs="Arial"/>
          <w:lang w:val="en-US"/>
        </w:rPr>
        <w:t xml:space="preserve">, </w:t>
      </w:r>
      <w:hyperlink r:id="rId15" w:history="1">
        <w:r w:rsidR="00B3496D" w:rsidRPr="00B3496D">
          <w:rPr>
            <w:rFonts w:ascii="Calibri" w:eastAsia="SimSun" w:hAnsi="Calibri" w:cs="Arial"/>
            <w:lang w:val="en-US"/>
          </w:rPr>
          <w:t>Merlo J</w:t>
        </w:r>
      </w:hyperlink>
      <w:r w:rsidR="00B3496D" w:rsidRPr="00B3496D">
        <w:rPr>
          <w:rFonts w:ascii="Calibri" w:eastAsia="SimSun" w:hAnsi="Calibri" w:cs="Arial"/>
          <w:lang w:val="en-US"/>
        </w:rPr>
        <w:t xml:space="preserve">, </w:t>
      </w:r>
      <w:hyperlink r:id="rId16" w:history="1">
        <w:r w:rsidR="00B3496D" w:rsidRPr="00B3496D">
          <w:rPr>
            <w:rFonts w:ascii="Calibri" w:eastAsia="SimSun" w:hAnsi="Calibri" w:cs="Arial"/>
            <w:lang w:val="en-US"/>
          </w:rPr>
          <w:t>Mindell J</w:t>
        </w:r>
      </w:hyperlink>
      <w:r w:rsidR="00B3496D" w:rsidRPr="00B3496D">
        <w:rPr>
          <w:rFonts w:ascii="Calibri" w:eastAsia="SimSun" w:hAnsi="Calibri" w:cs="Arial"/>
          <w:lang w:val="en-US"/>
        </w:rPr>
        <w:t xml:space="preserve">, </w:t>
      </w:r>
      <w:r w:rsidR="00B3496D" w:rsidRPr="00B3496D">
        <w:rPr>
          <w:rFonts w:ascii="Calibri" w:eastAsia="MS Mincho" w:hAnsi="Calibri" w:cs="Arial"/>
        </w:rPr>
        <w:t>et al.</w:t>
      </w:r>
      <w:r w:rsidR="00B3496D" w:rsidRPr="00B3496D">
        <w:rPr>
          <w:rFonts w:ascii="Calibri" w:eastAsia="SimSun" w:hAnsi="Calibri" w:cs="Arial"/>
          <w:bCs/>
          <w:lang w:val="en-US"/>
        </w:rPr>
        <w:t xml:space="preserve"> International differences in self-reported health </w:t>
      </w:r>
      <w:r w:rsidR="00B3496D" w:rsidRPr="00B3496D">
        <w:rPr>
          <w:rFonts w:ascii="Calibri" w:eastAsia="SimSun" w:hAnsi="Calibri" w:cs="Arial"/>
          <w:bCs/>
          <w:lang w:val="en-US"/>
        </w:rPr>
        <w:lastRenderedPageBreak/>
        <w:t>measures in 33 major metropolitan areas in Europe.</w:t>
      </w:r>
      <w:r w:rsidR="00B3496D" w:rsidRPr="00B3496D">
        <w:rPr>
          <w:rFonts w:ascii="Calibri" w:eastAsia="SimSun" w:hAnsi="Calibri" w:cs="Arial"/>
          <w:lang w:val="en-US"/>
        </w:rPr>
        <w:t xml:space="preserve"> </w:t>
      </w:r>
      <w:proofErr w:type="spellStart"/>
      <w:r w:rsidR="00B3496D" w:rsidRPr="00B3496D">
        <w:rPr>
          <w:rFonts w:ascii="Calibri" w:eastAsia="SimSun" w:hAnsi="Calibri" w:cs="Arial"/>
          <w:i/>
          <w:lang w:val="en-US"/>
        </w:rPr>
        <w:t>Eur</w:t>
      </w:r>
      <w:proofErr w:type="spellEnd"/>
      <w:r w:rsidR="00B3496D" w:rsidRPr="00B3496D">
        <w:rPr>
          <w:rFonts w:ascii="Calibri" w:eastAsia="SimSun" w:hAnsi="Calibri" w:cs="Arial"/>
          <w:i/>
          <w:lang w:val="en-US"/>
        </w:rPr>
        <w:t xml:space="preserve"> J Public Health</w:t>
      </w:r>
      <w:r w:rsidR="00B3496D" w:rsidRPr="00B3496D">
        <w:rPr>
          <w:rFonts w:ascii="Calibri" w:eastAsia="SimSun" w:hAnsi="Calibri" w:cs="Arial"/>
          <w:lang w:val="en-US"/>
        </w:rPr>
        <w:t>. 2012</w:t>
      </w:r>
      <w:proofErr w:type="gramStart"/>
      <w:r w:rsidR="00B3496D" w:rsidRPr="00B3496D">
        <w:rPr>
          <w:rFonts w:ascii="Calibri" w:eastAsia="SimSun" w:hAnsi="Calibri" w:cs="Arial"/>
          <w:lang w:val="en-US"/>
        </w:rPr>
        <w:t>;22</w:t>
      </w:r>
      <w:proofErr w:type="gramEnd"/>
      <w:r w:rsidR="00B3496D" w:rsidRPr="00B3496D">
        <w:rPr>
          <w:rFonts w:ascii="Calibri" w:eastAsia="SimSun" w:hAnsi="Calibri" w:cs="Arial"/>
          <w:lang w:val="en-US"/>
        </w:rPr>
        <w:t xml:space="preserve">(1):40-47. </w:t>
      </w:r>
    </w:p>
    <w:p w14:paraId="679FCAD7"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 xml:space="preserve">Hanlon P, </w:t>
      </w:r>
      <w:proofErr w:type="spellStart"/>
      <w:r w:rsidRPr="00B3496D">
        <w:rPr>
          <w:rFonts w:ascii="Calibri" w:eastAsia="SimSun" w:hAnsi="Calibri" w:cs="Arial"/>
          <w:lang w:val="en-US"/>
        </w:rPr>
        <w:t>Lawder</w:t>
      </w:r>
      <w:proofErr w:type="spellEnd"/>
      <w:r w:rsidRPr="00B3496D">
        <w:rPr>
          <w:rFonts w:ascii="Calibri" w:eastAsia="SimSun" w:hAnsi="Calibri" w:cs="Arial"/>
          <w:lang w:val="en-US"/>
        </w:rPr>
        <w:t xml:space="preserve"> RS, Buchanan D, et al. Why is mortality higher in Scotland than in England and Wales? Decreasing influence of socioeconomic deprivation between 1981 and 2001 supports the existence of a 'Scottish Effect'. </w:t>
      </w:r>
      <w:r w:rsidRPr="00B3496D">
        <w:rPr>
          <w:rFonts w:ascii="Calibri" w:eastAsia="SimSun" w:hAnsi="Calibri" w:cs="Arial"/>
          <w:i/>
          <w:lang w:val="en-US"/>
        </w:rPr>
        <w:t>J Public Health</w:t>
      </w:r>
      <w:r w:rsidRPr="00B3496D">
        <w:rPr>
          <w:rFonts w:ascii="Calibri" w:eastAsia="SimSun" w:hAnsi="Calibri" w:cs="Arial"/>
          <w:lang w:val="en-US"/>
        </w:rPr>
        <w:t xml:space="preserve"> 2005</w:t>
      </w:r>
      <w:proofErr w:type="gramStart"/>
      <w:r w:rsidRPr="00B3496D">
        <w:rPr>
          <w:rFonts w:ascii="Calibri" w:eastAsia="SimSun" w:hAnsi="Calibri" w:cs="Arial"/>
          <w:lang w:val="en-US"/>
        </w:rPr>
        <w:t>;27</w:t>
      </w:r>
      <w:proofErr w:type="gramEnd"/>
      <w:r w:rsidRPr="00B3496D">
        <w:rPr>
          <w:rFonts w:ascii="Calibri" w:eastAsia="SimSun" w:hAnsi="Calibri" w:cs="Arial"/>
          <w:lang w:val="en-US"/>
        </w:rPr>
        <w:t>(2):199-204.</w:t>
      </w:r>
    </w:p>
    <w:p w14:paraId="78357FA1"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 xml:space="preserve">Walsh D, </w:t>
      </w:r>
      <w:proofErr w:type="spellStart"/>
      <w:r w:rsidRPr="00B3496D">
        <w:rPr>
          <w:rFonts w:ascii="Calibri" w:eastAsia="SimSun" w:hAnsi="Calibri" w:cs="Arial"/>
          <w:lang w:val="en-US"/>
        </w:rPr>
        <w:t>Bendel</w:t>
      </w:r>
      <w:proofErr w:type="spellEnd"/>
      <w:r w:rsidRPr="00B3496D">
        <w:rPr>
          <w:rFonts w:ascii="Calibri" w:eastAsia="SimSun" w:hAnsi="Calibri" w:cs="Arial"/>
          <w:lang w:val="en-US"/>
        </w:rPr>
        <w:t xml:space="preserve"> N, Jones R, Hanlon P. It's not 'just deprivation': why do equally deprived UK cities experience different health outcomes? </w:t>
      </w:r>
      <w:r w:rsidRPr="00B3496D">
        <w:rPr>
          <w:rFonts w:ascii="Calibri" w:eastAsia="SimSun" w:hAnsi="Calibri" w:cs="Arial"/>
          <w:i/>
          <w:lang w:val="en-US"/>
        </w:rPr>
        <w:t>Public Health</w:t>
      </w:r>
      <w:r w:rsidRPr="00B3496D">
        <w:rPr>
          <w:rFonts w:ascii="Calibri" w:eastAsia="SimSun" w:hAnsi="Calibri" w:cs="Arial"/>
          <w:lang w:val="en-US"/>
        </w:rPr>
        <w:t>. 2010</w:t>
      </w:r>
      <w:proofErr w:type="gramStart"/>
      <w:r w:rsidRPr="00B3496D">
        <w:rPr>
          <w:rFonts w:ascii="Calibri" w:eastAsia="SimSun" w:hAnsi="Calibri" w:cs="Arial"/>
          <w:lang w:val="en-US"/>
        </w:rPr>
        <w:t>;124</w:t>
      </w:r>
      <w:proofErr w:type="gramEnd"/>
      <w:r w:rsidRPr="00B3496D">
        <w:rPr>
          <w:rFonts w:ascii="Calibri" w:eastAsia="SimSun" w:hAnsi="Calibri" w:cs="Arial"/>
          <w:lang w:val="en-US"/>
        </w:rPr>
        <w:t xml:space="preserve">(9):487-495. </w:t>
      </w:r>
    </w:p>
    <w:p w14:paraId="376E4869"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 xml:space="preserve">Walsh D, </w:t>
      </w:r>
      <w:proofErr w:type="spellStart"/>
      <w:r w:rsidRPr="00B3496D">
        <w:rPr>
          <w:rFonts w:ascii="Calibri" w:eastAsia="SimSun" w:hAnsi="Calibri" w:cs="Arial"/>
          <w:lang w:val="en-US"/>
        </w:rPr>
        <w:t>Taulbut</w:t>
      </w:r>
      <w:proofErr w:type="spellEnd"/>
      <w:r w:rsidRPr="00B3496D">
        <w:rPr>
          <w:rFonts w:ascii="Calibri" w:eastAsia="SimSun" w:hAnsi="Calibri" w:cs="Arial"/>
          <w:lang w:val="en-US"/>
        </w:rPr>
        <w:t xml:space="preserve"> M, Hanlon P. The aftershock of deindustrialization-trends in mortality in Scotland and other parts of post-industrial Europe. </w:t>
      </w:r>
      <w:proofErr w:type="spellStart"/>
      <w:r w:rsidRPr="00B3496D">
        <w:rPr>
          <w:rFonts w:ascii="Calibri" w:eastAsia="SimSun" w:hAnsi="Calibri" w:cs="Arial"/>
          <w:i/>
          <w:lang w:val="en-US"/>
        </w:rPr>
        <w:t>Eur</w:t>
      </w:r>
      <w:proofErr w:type="spellEnd"/>
      <w:r w:rsidRPr="00B3496D">
        <w:rPr>
          <w:rFonts w:ascii="Calibri" w:eastAsia="SimSun" w:hAnsi="Calibri" w:cs="Arial"/>
          <w:i/>
          <w:lang w:val="en-US"/>
        </w:rPr>
        <w:t xml:space="preserve"> J Public Health</w:t>
      </w:r>
      <w:r w:rsidRPr="00B3496D">
        <w:rPr>
          <w:rFonts w:ascii="Calibri" w:eastAsia="SimSun" w:hAnsi="Calibri" w:cs="Arial"/>
          <w:lang w:val="en-US"/>
        </w:rPr>
        <w:t>. 2010</w:t>
      </w:r>
      <w:proofErr w:type="gramStart"/>
      <w:r w:rsidRPr="00B3496D">
        <w:rPr>
          <w:rFonts w:ascii="Calibri" w:eastAsia="SimSun" w:hAnsi="Calibri" w:cs="Arial"/>
          <w:lang w:val="en-US"/>
        </w:rPr>
        <w:t>;20</w:t>
      </w:r>
      <w:proofErr w:type="gramEnd"/>
      <w:r w:rsidRPr="00B3496D">
        <w:rPr>
          <w:rFonts w:ascii="Calibri" w:eastAsia="SimSun" w:hAnsi="Calibri" w:cs="Arial"/>
          <w:lang w:val="en-US"/>
        </w:rPr>
        <w:t>(1):58-64.</w:t>
      </w:r>
    </w:p>
    <w:p w14:paraId="1CDCC6FA"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Gray L. Comparisons of health-related behaviours and health measures between Glasgow and the rest of Scotland. Glasgow Centre for Population Health, Briefing Paper 7, Glasgow, 2007.</w:t>
      </w:r>
    </w:p>
    <w:p w14:paraId="5CCA2EB3"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SimSun" w:hAnsi="Calibri" w:cs="Arial"/>
          <w:lang w:val="en-US"/>
        </w:rPr>
      </w:pPr>
      <w:r w:rsidRPr="00B3496D">
        <w:rPr>
          <w:rFonts w:ascii="Calibri" w:eastAsia="SimSun" w:hAnsi="Calibri" w:cs="Arial"/>
          <w:lang w:val="en-US"/>
        </w:rPr>
        <w:t>Gray L. Comparisons of health-related behaviours and health measures in Greater Glasgow with other regional areas in Europe. Glasgow Centre for Population Health, Glasgow, 2008.</w:t>
      </w:r>
    </w:p>
    <w:p w14:paraId="536E669D"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MS Mincho" w:hAnsi="Calibri" w:cs="Times New Roman"/>
          <w:lang w:eastAsia="ja-JP"/>
        </w:rPr>
      </w:pPr>
      <w:proofErr w:type="spellStart"/>
      <w:r w:rsidRPr="00B3496D">
        <w:rPr>
          <w:rFonts w:ascii="Calibri" w:eastAsia="SimSun" w:hAnsi="Calibri" w:cs="Arial"/>
          <w:lang w:val="en-US"/>
        </w:rPr>
        <w:t>Carstairs</w:t>
      </w:r>
      <w:proofErr w:type="spellEnd"/>
      <w:r w:rsidRPr="00B3496D">
        <w:rPr>
          <w:rFonts w:ascii="Calibri" w:eastAsia="SimSun" w:hAnsi="Calibri" w:cs="Arial"/>
          <w:lang w:val="en-US"/>
        </w:rPr>
        <w:t xml:space="preserve"> V, Morris R. Deprivation and Health in Scotland. </w:t>
      </w:r>
      <w:r w:rsidRPr="00B3496D">
        <w:rPr>
          <w:rFonts w:ascii="Calibri" w:eastAsia="SimSun" w:hAnsi="Calibri" w:cs="Arial"/>
          <w:i/>
          <w:lang w:val="en-US"/>
        </w:rPr>
        <w:t>Health Bull (</w:t>
      </w:r>
      <w:proofErr w:type="spellStart"/>
      <w:r w:rsidRPr="00B3496D">
        <w:rPr>
          <w:rFonts w:ascii="Calibri" w:eastAsia="SimSun" w:hAnsi="Calibri" w:cs="Arial"/>
          <w:i/>
          <w:lang w:val="en-US"/>
        </w:rPr>
        <w:t>Edinb</w:t>
      </w:r>
      <w:proofErr w:type="spellEnd"/>
      <w:r w:rsidRPr="00B3496D">
        <w:rPr>
          <w:rFonts w:ascii="Calibri" w:eastAsia="SimSun" w:hAnsi="Calibri" w:cs="Arial"/>
          <w:i/>
          <w:lang w:val="en-US"/>
        </w:rPr>
        <w:t>)</w:t>
      </w:r>
      <w:r w:rsidRPr="00B3496D">
        <w:rPr>
          <w:rFonts w:ascii="Calibri" w:eastAsia="SimSun" w:hAnsi="Calibri" w:cs="Arial"/>
          <w:lang w:val="en-US"/>
        </w:rPr>
        <w:t>. 1990</w:t>
      </w:r>
      <w:proofErr w:type="gramStart"/>
      <w:r w:rsidRPr="00B3496D">
        <w:rPr>
          <w:rFonts w:ascii="Calibri" w:eastAsia="SimSun" w:hAnsi="Calibri" w:cs="Arial"/>
          <w:lang w:val="en-US"/>
        </w:rPr>
        <w:t>;48</w:t>
      </w:r>
      <w:proofErr w:type="gramEnd"/>
      <w:r w:rsidRPr="00B3496D">
        <w:rPr>
          <w:rFonts w:ascii="Calibri" w:eastAsia="SimSun" w:hAnsi="Calibri" w:cs="Arial"/>
          <w:lang w:val="en-US"/>
        </w:rPr>
        <w:t xml:space="preserve">(4):162-175. </w:t>
      </w:r>
    </w:p>
    <w:p w14:paraId="4D6369DA"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Gray L, Leyland AH. Is the "Glasgow effect" of cigarette smoking explained by socio-economic status</w:t>
      </w:r>
      <w:proofErr w:type="gramStart"/>
      <w:r w:rsidRPr="00B3496D">
        <w:rPr>
          <w:rFonts w:ascii="Calibri" w:eastAsia="MS Mincho" w:hAnsi="Calibri" w:cs="Times New Roman"/>
          <w:lang w:eastAsia="ja-JP"/>
        </w:rPr>
        <w:t>?:</w:t>
      </w:r>
      <w:proofErr w:type="gramEnd"/>
      <w:r w:rsidRPr="00B3496D">
        <w:rPr>
          <w:rFonts w:ascii="Calibri" w:eastAsia="MS Mincho" w:hAnsi="Calibri" w:cs="Times New Roman"/>
          <w:lang w:eastAsia="ja-JP"/>
        </w:rPr>
        <w:t xml:space="preserve"> a multilevel analysis. </w:t>
      </w:r>
      <w:r w:rsidRPr="00B3496D">
        <w:rPr>
          <w:rFonts w:ascii="Calibri" w:eastAsia="MS Mincho" w:hAnsi="Calibri" w:cs="Times New Roman"/>
          <w:i/>
          <w:lang w:eastAsia="ja-JP"/>
        </w:rPr>
        <w:t>BMC Public Health</w:t>
      </w:r>
      <w:r w:rsidRPr="00B3496D">
        <w:rPr>
          <w:rFonts w:ascii="Calibri" w:eastAsia="MS Mincho" w:hAnsi="Calibri" w:cs="Times New Roman"/>
          <w:lang w:eastAsia="ja-JP"/>
        </w:rPr>
        <w:t>. 2009</w:t>
      </w:r>
      <w:proofErr w:type="gramStart"/>
      <w:r w:rsidRPr="00B3496D">
        <w:rPr>
          <w:rFonts w:ascii="Calibri" w:eastAsia="MS Mincho" w:hAnsi="Calibri" w:cs="Times New Roman"/>
          <w:lang w:eastAsia="ja-JP"/>
        </w:rPr>
        <w:t>;9:245</w:t>
      </w:r>
      <w:proofErr w:type="gramEnd"/>
      <w:r w:rsidRPr="00B3496D">
        <w:rPr>
          <w:rFonts w:ascii="Calibri" w:eastAsia="MS Mincho" w:hAnsi="Calibri" w:cs="Times New Roman"/>
          <w:lang w:eastAsia="ja-JP"/>
        </w:rPr>
        <w:t xml:space="preserve">. </w:t>
      </w:r>
    </w:p>
    <w:p w14:paraId="79E0C1B5"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Gray L, Leyland AH. A multilevel analysis of diet and socio-economic status in Scotland: investigating the 'Glasgow effect'. </w:t>
      </w:r>
      <w:r w:rsidRPr="00B3496D">
        <w:rPr>
          <w:rFonts w:ascii="Calibri" w:eastAsia="MS Mincho" w:hAnsi="Calibri" w:cs="Times New Roman"/>
          <w:i/>
          <w:lang w:eastAsia="ja-JP"/>
        </w:rPr>
        <w:t xml:space="preserve">Public Health </w:t>
      </w:r>
      <w:proofErr w:type="spellStart"/>
      <w:r w:rsidRPr="00B3496D">
        <w:rPr>
          <w:rFonts w:ascii="Calibri" w:eastAsia="MS Mincho" w:hAnsi="Calibri" w:cs="Times New Roman"/>
          <w:i/>
          <w:lang w:eastAsia="ja-JP"/>
        </w:rPr>
        <w:t>Nutr</w:t>
      </w:r>
      <w:proofErr w:type="spellEnd"/>
      <w:r w:rsidRPr="00B3496D">
        <w:rPr>
          <w:rFonts w:ascii="Calibri" w:eastAsia="MS Mincho" w:hAnsi="Calibri" w:cs="Times New Roman"/>
          <w:lang w:eastAsia="ja-JP"/>
        </w:rPr>
        <w:t>. 2009</w:t>
      </w:r>
      <w:proofErr w:type="gramStart"/>
      <w:r w:rsidRPr="00B3496D">
        <w:rPr>
          <w:rFonts w:ascii="Calibri" w:eastAsia="MS Mincho" w:hAnsi="Calibri" w:cs="Times New Roman"/>
          <w:lang w:eastAsia="ja-JP"/>
        </w:rPr>
        <w:t>;12</w:t>
      </w:r>
      <w:proofErr w:type="gramEnd"/>
      <w:r w:rsidRPr="00B3496D">
        <w:rPr>
          <w:rFonts w:ascii="Calibri" w:eastAsia="MS Mincho" w:hAnsi="Calibri" w:cs="Times New Roman"/>
          <w:lang w:eastAsia="ja-JP"/>
        </w:rPr>
        <w:t xml:space="preserve">(9):1351-8. </w:t>
      </w:r>
    </w:p>
    <w:p w14:paraId="3E744413" w14:textId="77777777" w:rsidR="00B3496D" w:rsidRPr="00B3496D" w:rsidRDefault="00B3496D" w:rsidP="00B3496D">
      <w:pPr>
        <w:widowControl w:val="0"/>
        <w:numPr>
          <w:ilvl w:val="0"/>
          <w:numId w:val="1"/>
        </w:numPr>
        <w:autoSpaceDE w:val="0"/>
        <w:autoSpaceDN w:val="0"/>
        <w:adjustRightInd w:val="0"/>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George S. It’s not just deprivation – or is it? </w:t>
      </w:r>
      <w:r w:rsidRPr="00B3496D">
        <w:rPr>
          <w:rFonts w:ascii="Calibri" w:eastAsia="MS Mincho" w:hAnsi="Calibri" w:cs="Times New Roman"/>
          <w:i/>
          <w:lang w:eastAsia="ja-JP"/>
        </w:rPr>
        <w:t>Public Health</w:t>
      </w:r>
      <w:r w:rsidRPr="00B3496D">
        <w:rPr>
          <w:rFonts w:ascii="Calibri" w:eastAsia="MS Mincho" w:hAnsi="Calibri" w:cs="Times New Roman"/>
          <w:lang w:eastAsia="ja-JP"/>
        </w:rPr>
        <w:t>. 2010; 124(9):496-497</w:t>
      </w:r>
    </w:p>
    <w:p w14:paraId="0D64688B"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lastRenderedPageBreak/>
        <w:t xml:space="preserve">The Scottish Health Survey Topic Report: The Glasgow Effect, </w:t>
      </w:r>
      <w:proofErr w:type="gramStart"/>
      <w:r w:rsidRPr="00B3496D">
        <w:rPr>
          <w:rFonts w:ascii="Calibri" w:eastAsia="MS Mincho" w:hAnsi="Calibri" w:cs="Times New Roman"/>
          <w:lang w:eastAsia="ja-JP"/>
        </w:rPr>
        <w:t>The</w:t>
      </w:r>
      <w:proofErr w:type="gramEnd"/>
      <w:r w:rsidRPr="00B3496D">
        <w:rPr>
          <w:rFonts w:ascii="Calibri" w:eastAsia="MS Mincho" w:hAnsi="Calibri" w:cs="Times New Roman"/>
          <w:lang w:eastAsia="ja-JP"/>
        </w:rPr>
        <w:t xml:space="preserve"> Scottish Government, Edinburgh, 2010. Available from: </w:t>
      </w:r>
      <w:hyperlink r:id="rId17" w:history="1">
        <w:r w:rsidRPr="00B3496D">
          <w:rPr>
            <w:rFonts w:ascii="Calibri" w:eastAsia="MS Mincho" w:hAnsi="Calibri" w:cs="Times New Roman"/>
            <w:color w:val="0000FF"/>
            <w:u w:val="single"/>
            <w:lang w:eastAsia="ja-JP"/>
          </w:rPr>
          <w:t>http://www.scotland.gov.uk/Publications/2010/11/10110338/0</w:t>
        </w:r>
      </w:hyperlink>
      <w:r w:rsidRPr="00B3496D">
        <w:rPr>
          <w:rFonts w:ascii="Calibri" w:eastAsia="MS Mincho" w:hAnsi="Calibri" w:cs="Times New Roman"/>
          <w:lang w:eastAsia="ja-JP"/>
        </w:rPr>
        <w:t>. Accessed February 24</w:t>
      </w:r>
      <w:r w:rsidRPr="00B3496D">
        <w:rPr>
          <w:rFonts w:ascii="Calibri" w:eastAsia="MS Mincho" w:hAnsi="Calibri" w:cs="Times New Roman"/>
          <w:vertAlign w:val="superscript"/>
          <w:lang w:eastAsia="ja-JP"/>
        </w:rPr>
        <w:t>th</w:t>
      </w:r>
      <w:r w:rsidRPr="00B3496D">
        <w:rPr>
          <w:rFonts w:ascii="Calibri" w:eastAsia="MS Mincho" w:hAnsi="Calibri" w:cs="Times New Roman"/>
          <w:lang w:eastAsia="ja-JP"/>
        </w:rPr>
        <w:t xml:space="preserve"> 2015.</w:t>
      </w:r>
    </w:p>
    <w:p w14:paraId="600B5597"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r w:rsidRPr="00891752">
        <w:rPr>
          <w:rFonts w:ascii="Calibri" w:eastAsia="MS Mincho" w:hAnsi="Calibri" w:cs="Times New Roman"/>
          <w:lang w:val="de-DE" w:eastAsia="ja-JP"/>
        </w:rPr>
        <w:t xml:space="preserve">Fischbacher CM, Steiner M, Bhopal R, et al. </w:t>
      </w:r>
      <w:r w:rsidRPr="00B3496D">
        <w:rPr>
          <w:rFonts w:ascii="Calibri" w:eastAsia="MS Mincho" w:hAnsi="Calibri" w:cs="Times New Roman"/>
          <w:lang w:eastAsia="ja-JP"/>
        </w:rPr>
        <w:t xml:space="preserve">Variations in all cause and cardiovascular mortality by country of birth in Scotland, 1997-2003. </w:t>
      </w:r>
      <w:r w:rsidRPr="00B3496D">
        <w:rPr>
          <w:rFonts w:ascii="Calibri" w:eastAsia="MS Mincho" w:hAnsi="Calibri" w:cs="Times New Roman"/>
          <w:i/>
          <w:lang w:eastAsia="ja-JP"/>
        </w:rPr>
        <w:t>Scott Med J</w:t>
      </w:r>
      <w:r w:rsidRPr="00B3496D">
        <w:rPr>
          <w:rFonts w:ascii="Calibri" w:eastAsia="MS Mincho" w:hAnsi="Calibri" w:cs="Times New Roman"/>
          <w:lang w:eastAsia="ja-JP"/>
        </w:rPr>
        <w:t>. 2007</w:t>
      </w:r>
      <w:proofErr w:type="gramStart"/>
      <w:r w:rsidRPr="00B3496D">
        <w:rPr>
          <w:rFonts w:ascii="Calibri" w:eastAsia="MS Mincho" w:hAnsi="Calibri" w:cs="Times New Roman"/>
          <w:lang w:eastAsia="ja-JP"/>
        </w:rPr>
        <w:t>;52</w:t>
      </w:r>
      <w:proofErr w:type="gramEnd"/>
      <w:r w:rsidRPr="00B3496D">
        <w:rPr>
          <w:rFonts w:ascii="Calibri" w:eastAsia="MS Mincho" w:hAnsi="Calibri" w:cs="Times New Roman"/>
          <w:lang w:eastAsia="ja-JP"/>
        </w:rPr>
        <w:t>(4):5-10.</w:t>
      </w:r>
      <w:r w:rsidRPr="00B3496D">
        <w:rPr>
          <w:rFonts w:ascii="Calibri" w:eastAsia="MS Mincho" w:hAnsi="Calibri" w:cs="Times New Roman"/>
          <w:sz w:val="24"/>
          <w:szCs w:val="24"/>
          <w:lang w:eastAsia="ja-JP"/>
        </w:rPr>
        <w:t xml:space="preserve"> </w:t>
      </w:r>
    </w:p>
    <w:p w14:paraId="2DDF6B6E"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proofErr w:type="spellStart"/>
      <w:r w:rsidRPr="00B3496D">
        <w:rPr>
          <w:rFonts w:ascii="Calibri" w:eastAsia="MS Mincho" w:hAnsi="Calibri" w:cs="Times New Roman"/>
          <w:lang w:eastAsia="ja-JP"/>
        </w:rPr>
        <w:t>Popham</w:t>
      </w:r>
      <w:proofErr w:type="spellEnd"/>
      <w:r w:rsidRPr="00B3496D">
        <w:rPr>
          <w:rFonts w:ascii="Calibri" w:eastAsia="MS Mincho" w:hAnsi="Calibri" w:cs="Times New Roman"/>
          <w:lang w:eastAsia="ja-JP"/>
        </w:rPr>
        <w:t xml:space="preserve"> F, Boyle PJ, Norman P. The Scottish excess in mortality compared to the English and Welsh. Is it a country of residence or country of birth excess? </w:t>
      </w:r>
      <w:r w:rsidRPr="00B3496D">
        <w:rPr>
          <w:rFonts w:ascii="Calibri" w:eastAsia="MS Mincho" w:hAnsi="Calibri" w:cs="Times New Roman"/>
          <w:i/>
          <w:lang w:eastAsia="ja-JP"/>
        </w:rPr>
        <w:t>Health Place</w:t>
      </w:r>
      <w:r w:rsidRPr="00B3496D">
        <w:rPr>
          <w:rFonts w:ascii="Calibri" w:eastAsia="MS Mincho" w:hAnsi="Calibri" w:cs="Times New Roman"/>
          <w:lang w:eastAsia="ja-JP"/>
        </w:rPr>
        <w:t>. 2010</w:t>
      </w:r>
      <w:proofErr w:type="gramStart"/>
      <w:r w:rsidRPr="00B3496D">
        <w:rPr>
          <w:rFonts w:ascii="Calibri" w:eastAsia="MS Mincho" w:hAnsi="Calibri" w:cs="Times New Roman"/>
          <w:lang w:eastAsia="ja-JP"/>
        </w:rPr>
        <w:t>;16</w:t>
      </w:r>
      <w:proofErr w:type="gramEnd"/>
      <w:r w:rsidRPr="00B3496D">
        <w:rPr>
          <w:rFonts w:ascii="Calibri" w:eastAsia="MS Mincho" w:hAnsi="Calibri" w:cs="Times New Roman"/>
          <w:lang w:eastAsia="ja-JP"/>
        </w:rPr>
        <w:t xml:space="preserve">(4):759-62. </w:t>
      </w:r>
    </w:p>
    <w:p w14:paraId="6F29322D"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proofErr w:type="spellStart"/>
      <w:r w:rsidRPr="00B3496D">
        <w:rPr>
          <w:rFonts w:ascii="Calibri" w:eastAsia="MS Mincho" w:hAnsi="Calibri" w:cs="Times New Roman"/>
          <w:lang w:eastAsia="ja-JP"/>
        </w:rPr>
        <w:t>Popham</w:t>
      </w:r>
      <w:proofErr w:type="spellEnd"/>
      <w:r w:rsidRPr="00B3496D">
        <w:rPr>
          <w:rFonts w:ascii="Calibri" w:eastAsia="MS Mincho" w:hAnsi="Calibri" w:cs="Times New Roman"/>
          <w:lang w:eastAsia="ja-JP"/>
        </w:rPr>
        <w:t xml:space="preserve"> F, Boyle PJ, O'Reilly D, Leyland AH. Selective internal migration. Does it explain Glasgow's worsening mortality record? </w:t>
      </w:r>
      <w:r w:rsidRPr="00B3496D">
        <w:rPr>
          <w:rFonts w:ascii="Calibri" w:eastAsia="MS Mincho" w:hAnsi="Calibri" w:cs="Times New Roman"/>
          <w:i/>
          <w:lang w:eastAsia="ja-JP"/>
        </w:rPr>
        <w:t>Health Place</w:t>
      </w:r>
      <w:r w:rsidRPr="00B3496D">
        <w:rPr>
          <w:rFonts w:ascii="Calibri" w:eastAsia="MS Mincho" w:hAnsi="Calibri" w:cs="Times New Roman"/>
          <w:lang w:eastAsia="ja-JP"/>
        </w:rPr>
        <w:t>. 2011</w:t>
      </w:r>
      <w:proofErr w:type="gramStart"/>
      <w:r w:rsidRPr="00B3496D">
        <w:rPr>
          <w:rFonts w:ascii="Calibri" w:eastAsia="MS Mincho" w:hAnsi="Calibri" w:cs="Times New Roman"/>
          <w:lang w:eastAsia="ja-JP"/>
        </w:rPr>
        <w:t>;17</w:t>
      </w:r>
      <w:proofErr w:type="gramEnd"/>
      <w:r w:rsidRPr="00B3496D">
        <w:rPr>
          <w:rFonts w:ascii="Calibri" w:eastAsia="MS Mincho" w:hAnsi="Calibri" w:cs="Times New Roman"/>
          <w:lang w:eastAsia="ja-JP"/>
        </w:rPr>
        <w:t xml:space="preserve">(6):1212-7. </w:t>
      </w:r>
    </w:p>
    <w:p w14:paraId="1A76D2AC"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Hill A. The environment and disease: association or causation? </w:t>
      </w:r>
      <w:proofErr w:type="spellStart"/>
      <w:r w:rsidRPr="00B3496D">
        <w:rPr>
          <w:rFonts w:ascii="Calibri" w:eastAsia="MS Mincho" w:hAnsi="Calibri" w:cs="Times New Roman"/>
          <w:i/>
          <w:lang w:eastAsia="ja-JP"/>
        </w:rPr>
        <w:t>Proc</w:t>
      </w:r>
      <w:proofErr w:type="spellEnd"/>
      <w:r w:rsidRPr="00B3496D">
        <w:rPr>
          <w:rFonts w:ascii="Calibri" w:eastAsia="MS Mincho" w:hAnsi="Calibri" w:cs="Times New Roman"/>
          <w:i/>
          <w:lang w:eastAsia="ja-JP"/>
        </w:rPr>
        <w:t xml:space="preserve"> R </w:t>
      </w:r>
      <w:proofErr w:type="spellStart"/>
      <w:r w:rsidRPr="00B3496D">
        <w:rPr>
          <w:rFonts w:ascii="Calibri" w:eastAsia="MS Mincho" w:hAnsi="Calibri" w:cs="Times New Roman"/>
          <w:i/>
          <w:lang w:eastAsia="ja-JP"/>
        </w:rPr>
        <w:t>Soc</w:t>
      </w:r>
      <w:proofErr w:type="spellEnd"/>
      <w:r w:rsidRPr="00B3496D">
        <w:rPr>
          <w:rFonts w:ascii="Calibri" w:eastAsia="MS Mincho" w:hAnsi="Calibri" w:cs="Times New Roman"/>
          <w:i/>
          <w:lang w:eastAsia="ja-JP"/>
        </w:rPr>
        <w:t xml:space="preserve"> Med</w:t>
      </w:r>
      <w:r w:rsidRPr="00B3496D">
        <w:rPr>
          <w:rFonts w:ascii="Calibri" w:eastAsia="MS Mincho" w:hAnsi="Calibri" w:cs="Times New Roman"/>
          <w:lang w:eastAsia="ja-JP"/>
        </w:rPr>
        <w:t xml:space="preserve"> .1965;58:295-300</w:t>
      </w:r>
    </w:p>
    <w:p w14:paraId="5B7CE0BB"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McCartney G, Collins C, Walsh D, Batty D. Accounting for Scotland’s excess mortality: towards a synthesis. Glasgow Centre for Population Health, Glasgow, 2011.</w:t>
      </w:r>
      <w:r w:rsidRPr="00B3496D">
        <w:rPr>
          <w:rFonts w:ascii="Calibri" w:eastAsia="MS Mincho" w:hAnsi="Calibri" w:cs="Times New Roman"/>
          <w:sz w:val="24"/>
          <w:szCs w:val="24"/>
          <w:lang w:eastAsia="ja-JP"/>
        </w:rPr>
        <w:t xml:space="preserve"> </w:t>
      </w:r>
    </w:p>
    <w:p w14:paraId="60C65460"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Rothman KJ. Modern Epidemiology. Boston (MA): Little, Brown &amp; Company, 1986. </w:t>
      </w:r>
      <w:proofErr w:type="gramStart"/>
      <w:r w:rsidRPr="00B3496D">
        <w:rPr>
          <w:rFonts w:ascii="Calibri" w:eastAsia="MS Mincho" w:hAnsi="Calibri" w:cs="Times New Roman"/>
          <w:lang w:eastAsia="ja-JP"/>
        </w:rPr>
        <w:t>p7-28</w:t>
      </w:r>
      <w:proofErr w:type="gramEnd"/>
      <w:r w:rsidRPr="00B3496D">
        <w:rPr>
          <w:rFonts w:ascii="Calibri" w:eastAsia="MS Mincho" w:hAnsi="Calibri" w:cs="Times New Roman"/>
          <w:lang w:eastAsia="ja-JP"/>
        </w:rPr>
        <w:t>.</w:t>
      </w:r>
    </w:p>
    <w:p w14:paraId="339FDD0A" w14:textId="77777777" w:rsidR="00B3496D" w:rsidRDefault="00B3496D" w:rsidP="00B3496D">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Collins C, McCartney G. The impact of neoliberal "political attack" on health: the case of the "Scottish effect". </w:t>
      </w:r>
      <w:proofErr w:type="spellStart"/>
      <w:r w:rsidRPr="00B3496D">
        <w:rPr>
          <w:rFonts w:ascii="Calibri" w:eastAsia="MS Mincho" w:hAnsi="Calibri" w:cs="Times New Roman"/>
          <w:i/>
          <w:lang w:eastAsia="ja-JP"/>
        </w:rPr>
        <w:t>Int</w:t>
      </w:r>
      <w:proofErr w:type="spellEnd"/>
      <w:r w:rsidRPr="00B3496D">
        <w:rPr>
          <w:rFonts w:ascii="Calibri" w:eastAsia="MS Mincho" w:hAnsi="Calibri" w:cs="Times New Roman"/>
          <w:i/>
          <w:lang w:eastAsia="ja-JP"/>
        </w:rPr>
        <w:t xml:space="preserve"> J Health Serv.</w:t>
      </w:r>
      <w:r w:rsidRPr="00B3496D">
        <w:rPr>
          <w:rFonts w:ascii="Calibri" w:eastAsia="MS Mincho" w:hAnsi="Calibri" w:cs="Times New Roman"/>
          <w:lang w:eastAsia="ja-JP"/>
        </w:rPr>
        <w:t xml:space="preserve"> 2011</w:t>
      </w:r>
      <w:proofErr w:type="gramStart"/>
      <w:r w:rsidRPr="00B3496D">
        <w:rPr>
          <w:rFonts w:ascii="Calibri" w:eastAsia="MS Mincho" w:hAnsi="Calibri" w:cs="Times New Roman"/>
          <w:lang w:eastAsia="ja-JP"/>
        </w:rPr>
        <w:t>;41</w:t>
      </w:r>
      <w:proofErr w:type="gramEnd"/>
      <w:r w:rsidRPr="00B3496D">
        <w:rPr>
          <w:rFonts w:ascii="Calibri" w:eastAsia="MS Mincho" w:hAnsi="Calibri" w:cs="Times New Roman"/>
          <w:lang w:eastAsia="ja-JP"/>
        </w:rPr>
        <w:t>(3):501-23.</w:t>
      </w:r>
    </w:p>
    <w:p w14:paraId="5656871D" w14:textId="77777777" w:rsidR="00E22B9B" w:rsidRPr="00E22B9B" w:rsidRDefault="00E22B9B" w:rsidP="00E22B9B">
      <w:pPr>
        <w:pStyle w:val="ListParagraph"/>
        <w:numPr>
          <w:ilvl w:val="0"/>
          <w:numId w:val="1"/>
        </w:numPr>
        <w:spacing w:line="480" w:lineRule="auto"/>
      </w:pPr>
      <w:r w:rsidRPr="00E22B9B">
        <w:t xml:space="preserve">Navarro V, Shi L. The political context of social inequalities and health. </w:t>
      </w:r>
      <w:proofErr w:type="spellStart"/>
      <w:r w:rsidRPr="00E22B9B">
        <w:rPr>
          <w:i/>
        </w:rPr>
        <w:t>Soc</w:t>
      </w:r>
      <w:proofErr w:type="spellEnd"/>
      <w:r w:rsidRPr="00E22B9B">
        <w:rPr>
          <w:i/>
        </w:rPr>
        <w:t xml:space="preserve"> </w:t>
      </w:r>
      <w:proofErr w:type="spellStart"/>
      <w:r w:rsidRPr="00E22B9B">
        <w:rPr>
          <w:i/>
        </w:rPr>
        <w:t>Sci</w:t>
      </w:r>
      <w:proofErr w:type="spellEnd"/>
      <w:r w:rsidRPr="00E22B9B">
        <w:rPr>
          <w:i/>
        </w:rPr>
        <w:t xml:space="preserve"> Med</w:t>
      </w:r>
      <w:r w:rsidRPr="00E22B9B">
        <w:t>. 2001 Feb</w:t>
      </w:r>
      <w:proofErr w:type="gramStart"/>
      <w:r w:rsidRPr="00E22B9B">
        <w:t>;52</w:t>
      </w:r>
      <w:proofErr w:type="gramEnd"/>
      <w:r w:rsidRPr="00E22B9B">
        <w:t>(3):481-91.</w:t>
      </w:r>
    </w:p>
    <w:p w14:paraId="16EF8D45"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Walsh D, </w:t>
      </w:r>
      <w:proofErr w:type="spellStart"/>
      <w:r w:rsidRPr="00B3496D">
        <w:rPr>
          <w:rFonts w:ascii="Calibri" w:eastAsia="MS Mincho" w:hAnsi="Calibri" w:cs="Times New Roman"/>
          <w:lang w:eastAsia="ja-JP"/>
        </w:rPr>
        <w:t>Taulbut</w:t>
      </w:r>
      <w:proofErr w:type="spellEnd"/>
      <w:r w:rsidRPr="00B3496D">
        <w:rPr>
          <w:rFonts w:ascii="Calibri" w:eastAsia="MS Mincho" w:hAnsi="Calibri" w:cs="Times New Roman"/>
          <w:lang w:eastAsia="ja-JP"/>
        </w:rPr>
        <w:t>, M, Hanlon, P. The Aftershock of Deindustrialisation: Trends</w:t>
      </w:r>
    </w:p>
    <w:p w14:paraId="7F0B5239" w14:textId="77777777" w:rsidR="00B3496D" w:rsidRPr="00B3496D" w:rsidRDefault="00B3496D" w:rsidP="00B3496D">
      <w:pPr>
        <w:spacing w:line="480" w:lineRule="auto"/>
        <w:ind w:left="720"/>
        <w:contextualSpacing/>
        <w:rPr>
          <w:rFonts w:ascii="Calibri" w:eastAsia="MS Mincho" w:hAnsi="Calibri" w:cs="Times New Roman"/>
          <w:lang w:eastAsia="ja-JP"/>
        </w:rPr>
      </w:pPr>
      <w:proofErr w:type="gramStart"/>
      <w:r w:rsidRPr="00B3496D">
        <w:rPr>
          <w:rFonts w:ascii="Calibri" w:eastAsia="MS Mincho" w:hAnsi="Calibri" w:cs="Times New Roman"/>
          <w:lang w:eastAsia="ja-JP"/>
        </w:rPr>
        <w:t>in</w:t>
      </w:r>
      <w:proofErr w:type="gramEnd"/>
      <w:r w:rsidRPr="00B3496D">
        <w:rPr>
          <w:rFonts w:ascii="Calibri" w:eastAsia="MS Mincho" w:hAnsi="Calibri" w:cs="Times New Roman"/>
          <w:lang w:eastAsia="ja-JP"/>
        </w:rPr>
        <w:t xml:space="preserve"> Mortality in Scotland and Other Parts of Post-Industrial Europe. Glasgow Centre</w:t>
      </w:r>
    </w:p>
    <w:p w14:paraId="705E63D1" w14:textId="77777777" w:rsidR="00B3496D" w:rsidRPr="00B3496D" w:rsidRDefault="00B3496D" w:rsidP="00B3496D">
      <w:pPr>
        <w:spacing w:line="480" w:lineRule="auto"/>
        <w:ind w:left="720"/>
        <w:contextualSpacing/>
        <w:rPr>
          <w:rFonts w:ascii="Calibri" w:eastAsia="MS Mincho" w:hAnsi="Calibri" w:cs="Times New Roman"/>
          <w:lang w:eastAsia="ja-JP"/>
        </w:rPr>
      </w:pPr>
      <w:proofErr w:type="gramStart"/>
      <w:r w:rsidRPr="00B3496D">
        <w:rPr>
          <w:rFonts w:ascii="Calibri" w:eastAsia="MS Mincho" w:hAnsi="Calibri" w:cs="Times New Roman"/>
          <w:lang w:eastAsia="ja-JP"/>
        </w:rPr>
        <w:t>for</w:t>
      </w:r>
      <w:proofErr w:type="gramEnd"/>
      <w:r w:rsidRPr="00B3496D">
        <w:rPr>
          <w:rFonts w:ascii="Calibri" w:eastAsia="MS Mincho" w:hAnsi="Calibri" w:cs="Times New Roman"/>
          <w:lang w:eastAsia="ja-JP"/>
        </w:rPr>
        <w:t xml:space="preserve"> Population Health, Glasgow, 2008.</w:t>
      </w:r>
    </w:p>
    <w:p w14:paraId="702846BA" w14:textId="77777777" w:rsidR="00B3496D" w:rsidRPr="00B3496D" w:rsidRDefault="00B3496D" w:rsidP="00B3496D">
      <w:pPr>
        <w:numPr>
          <w:ilvl w:val="0"/>
          <w:numId w:val="1"/>
        </w:numPr>
        <w:spacing w:line="480" w:lineRule="auto"/>
        <w:contextualSpacing/>
        <w:rPr>
          <w:rFonts w:ascii="Calibri" w:eastAsia="MS Mincho" w:hAnsi="Calibri" w:cs="Times New Roman"/>
          <w:lang w:eastAsia="ja-JP"/>
        </w:rPr>
      </w:pPr>
      <w:proofErr w:type="spellStart"/>
      <w:r w:rsidRPr="00B3496D">
        <w:rPr>
          <w:rFonts w:ascii="Calibri" w:eastAsia="MS Mincho" w:hAnsi="Calibri" w:cs="Times New Roman"/>
          <w:lang w:eastAsia="ja-JP"/>
        </w:rPr>
        <w:lastRenderedPageBreak/>
        <w:t>Chandola</w:t>
      </w:r>
      <w:proofErr w:type="spellEnd"/>
      <w:r w:rsidRPr="00B3496D">
        <w:rPr>
          <w:rFonts w:ascii="Calibri" w:eastAsia="MS Mincho" w:hAnsi="Calibri" w:cs="Times New Roman"/>
          <w:lang w:eastAsia="ja-JP"/>
        </w:rPr>
        <w:t xml:space="preserve"> T. Spatial and social determinants of urban health in low-, middle- and high-income countries. </w:t>
      </w:r>
      <w:r w:rsidRPr="00B3496D">
        <w:rPr>
          <w:rFonts w:ascii="Calibri" w:eastAsia="MS Mincho" w:hAnsi="Calibri" w:cs="Times New Roman"/>
          <w:i/>
          <w:lang w:eastAsia="ja-JP"/>
        </w:rPr>
        <w:t>Public Health</w:t>
      </w:r>
      <w:r w:rsidRPr="00B3496D">
        <w:rPr>
          <w:rFonts w:ascii="Calibri" w:eastAsia="MS Mincho" w:hAnsi="Calibri" w:cs="Times New Roman"/>
          <w:lang w:eastAsia="ja-JP"/>
        </w:rPr>
        <w:t>. 2012</w:t>
      </w:r>
      <w:proofErr w:type="gramStart"/>
      <w:r w:rsidRPr="00B3496D">
        <w:rPr>
          <w:rFonts w:ascii="Calibri" w:eastAsia="MS Mincho" w:hAnsi="Calibri" w:cs="Times New Roman"/>
          <w:lang w:eastAsia="ja-JP"/>
        </w:rPr>
        <w:t>;126</w:t>
      </w:r>
      <w:proofErr w:type="gramEnd"/>
      <w:r w:rsidRPr="00B3496D">
        <w:rPr>
          <w:rFonts w:ascii="Calibri" w:eastAsia="MS Mincho" w:hAnsi="Calibri" w:cs="Times New Roman"/>
          <w:lang w:eastAsia="ja-JP"/>
        </w:rPr>
        <w:t xml:space="preserve">(3):259-61. </w:t>
      </w:r>
    </w:p>
    <w:p w14:paraId="542E4CDF" w14:textId="77777777" w:rsidR="00B3496D" w:rsidRPr="00B3496D" w:rsidRDefault="0090032B" w:rsidP="00B3496D">
      <w:pPr>
        <w:numPr>
          <w:ilvl w:val="0"/>
          <w:numId w:val="1"/>
        </w:numPr>
        <w:spacing w:line="480" w:lineRule="auto"/>
        <w:contextualSpacing/>
        <w:rPr>
          <w:rFonts w:ascii="Calibri" w:eastAsia="MS Mincho" w:hAnsi="Calibri" w:cs="Times New Roman"/>
          <w:lang w:eastAsia="ja-JP"/>
        </w:rPr>
      </w:pPr>
      <w:hyperlink r:id="rId18" w:history="1">
        <w:r w:rsidR="00B3496D" w:rsidRPr="00B3496D">
          <w:rPr>
            <w:rFonts w:ascii="Calibri" w:eastAsia="MS Mincho" w:hAnsi="Calibri" w:cs="Arial"/>
            <w:lang w:val="en-US"/>
          </w:rPr>
          <w:t>Livingston M</w:t>
        </w:r>
      </w:hyperlink>
      <w:r w:rsidR="00B3496D" w:rsidRPr="00B3496D">
        <w:rPr>
          <w:rFonts w:ascii="Calibri" w:eastAsia="MS Mincho" w:hAnsi="Calibri" w:cs="Arial"/>
          <w:lang w:val="en-US"/>
        </w:rPr>
        <w:t xml:space="preserve">, </w:t>
      </w:r>
      <w:hyperlink r:id="rId19" w:history="1">
        <w:r w:rsidR="00B3496D" w:rsidRPr="00B3496D">
          <w:rPr>
            <w:rFonts w:ascii="Calibri" w:eastAsia="MS Mincho" w:hAnsi="Calibri" w:cs="Arial"/>
            <w:lang w:val="en-US"/>
          </w:rPr>
          <w:t>Lee D</w:t>
        </w:r>
      </w:hyperlink>
      <w:r w:rsidR="00B3496D" w:rsidRPr="00B3496D">
        <w:rPr>
          <w:rFonts w:ascii="Calibri" w:eastAsia="MS Mincho" w:hAnsi="Calibri" w:cs="Arial"/>
          <w:lang w:val="en-US"/>
        </w:rPr>
        <w:t>.</w:t>
      </w:r>
      <w:r w:rsidR="00B3496D" w:rsidRPr="00B3496D">
        <w:rPr>
          <w:rFonts w:ascii="Calibri" w:eastAsia="MS Mincho" w:hAnsi="Calibri" w:cs="Arial"/>
          <w:bCs/>
          <w:lang w:val="en-US"/>
        </w:rPr>
        <w:t xml:space="preserve"> "The Glasgow effect?"- </w:t>
      </w:r>
      <w:proofErr w:type="gramStart"/>
      <w:r w:rsidR="00B3496D" w:rsidRPr="00B3496D">
        <w:rPr>
          <w:rFonts w:ascii="Calibri" w:eastAsia="MS Mincho" w:hAnsi="Calibri" w:cs="Arial"/>
          <w:bCs/>
          <w:lang w:val="en-US"/>
        </w:rPr>
        <w:t>the</w:t>
      </w:r>
      <w:proofErr w:type="gramEnd"/>
      <w:r w:rsidR="00B3496D" w:rsidRPr="00B3496D">
        <w:rPr>
          <w:rFonts w:ascii="Calibri" w:eastAsia="MS Mincho" w:hAnsi="Calibri" w:cs="Arial"/>
          <w:bCs/>
          <w:lang w:val="en-US"/>
        </w:rPr>
        <w:t xml:space="preserve"> result of the geographical patterning of deprived areas?</w:t>
      </w:r>
      <w:r w:rsidR="00B3496D" w:rsidRPr="00B3496D">
        <w:rPr>
          <w:rFonts w:ascii="Calibri" w:eastAsia="MS Mincho" w:hAnsi="Calibri" w:cs="Arial"/>
          <w:lang w:val="en-US"/>
        </w:rPr>
        <w:t xml:space="preserve"> </w:t>
      </w:r>
      <w:r w:rsidR="00B3496D" w:rsidRPr="00B3496D">
        <w:rPr>
          <w:rFonts w:ascii="Calibri" w:eastAsia="MS Mincho" w:hAnsi="Calibri" w:cs="Arial"/>
          <w:i/>
          <w:lang w:val="en-US"/>
        </w:rPr>
        <w:t>Health Place</w:t>
      </w:r>
      <w:r w:rsidR="00B3496D" w:rsidRPr="00B3496D">
        <w:rPr>
          <w:rFonts w:ascii="Calibri" w:eastAsia="MS Mincho" w:hAnsi="Calibri" w:cs="Arial"/>
          <w:lang w:val="en-US"/>
        </w:rPr>
        <w:t>. 2014</w:t>
      </w:r>
      <w:proofErr w:type="gramStart"/>
      <w:r w:rsidR="00B3496D" w:rsidRPr="00B3496D">
        <w:rPr>
          <w:rFonts w:ascii="Calibri" w:eastAsia="MS Mincho" w:hAnsi="Calibri" w:cs="Arial"/>
          <w:lang w:val="en-US"/>
        </w:rPr>
        <w:t>;29:1</w:t>
      </w:r>
      <w:proofErr w:type="gramEnd"/>
      <w:r w:rsidR="00B3496D" w:rsidRPr="00B3496D">
        <w:rPr>
          <w:rFonts w:ascii="Calibri" w:eastAsia="MS Mincho" w:hAnsi="Calibri" w:cs="Arial"/>
          <w:lang w:val="en-US"/>
        </w:rPr>
        <w:t xml:space="preserve">-9. </w:t>
      </w:r>
    </w:p>
    <w:p w14:paraId="40E618EA" w14:textId="572C49D3" w:rsidR="00CC3B6F" w:rsidRPr="00CC3B6F" w:rsidRDefault="00B3496D" w:rsidP="00CC3B6F">
      <w:pPr>
        <w:numPr>
          <w:ilvl w:val="0"/>
          <w:numId w:val="1"/>
        </w:numPr>
        <w:spacing w:line="480" w:lineRule="auto"/>
        <w:contextualSpacing/>
        <w:rPr>
          <w:rFonts w:ascii="Calibri" w:eastAsia="MS Mincho" w:hAnsi="Calibri" w:cs="Times New Roman"/>
          <w:lang w:eastAsia="ja-JP"/>
        </w:rPr>
      </w:pPr>
      <w:proofErr w:type="spellStart"/>
      <w:r w:rsidRPr="00B3496D">
        <w:rPr>
          <w:rFonts w:ascii="Calibri" w:eastAsia="MS Mincho" w:hAnsi="Calibri" w:cs="Times New Roman"/>
          <w:lang w:eastAsia="ja-JP"/>
        </w:rPr>
        <w:t>Taulbut</w:t>
      </w:r>
      <w:proofErr w:type="spellEnd"/>
      <w:r w:rsidRPr="00B3496D">
        <w:rPr>
          <w:rFonts w:ascii="Calibri" w:eastAsia="MS Mincho" w:hAnsi="Calibri" w:cs="Times New Roman"/>
          <w:lang w:eastAsia="ja-JP"/>
        </w:rPr>
        <w:t xml:space="preserve"> M, Walsh D, McCartney G, et al. Spatial inequalities in life expectancy within </w:t>
      </w:r>
      <w:proofErr w:type="spellStart"/>
      <w:r w:rsidRPr="00B3496D">
        <w:rPr>
          <w:rFonts w:ascii="Calibri" w:eastAsia="MS Mincho" w:hAnsi="Calibri" w:cs="Times New Roman"/>
          <w:lang w:eastAsia="ja-JP"/>
        </w:rPr>
        <w:t>postindustrial</w:t>
      </w:r>
      <w:proofErr w:type="spellEnd"/>
      <w:r w:rsidRPr="00B3496D">
        <w:rPr>
          <w:rFonts w:ascii="Calibri" w:eastAsia="MS Mincho" w:hAnsi="Calibri" w:cs="Times New Roman"/>
          <w:lang w:eastAsia="ja-JP"/>
        </w:rPr>
        <w:t xml:space="preserve"> regions of Europe: a cross-sectional observational study. </w:t>
      </w:r>
      <w:r w:rsidRPr="00B3496D">
        <w:rPr>
          <w:rFonts w:ascii="Calibri" w:eastAsia="MS Mincho" w:hAnsi="Calibri" w:cs="Times New Roman"/>
          <w:i/>
          <w:lang w:eastAsia="ja-JP"/>
        </w:rPr>
        <w:t>BMJ Open</w:t>
      </w:r>
      <w:r w:rsidRPr="00B3496D">
        <w:rPr>
          <w:rFonts w:ascii="Calibri" w:eastAsia="MS Mincho" w:hAnsi="Calibri" w:cs="Times New Roman"/>
          <w:lang w:eastAsia="ja-JP"/>
        </w:rPr>
        <w:t>. 2014</w:t>
      </w:r>
      <w:proofErr w:type="gramStart"/>
      <w:r w:rsidRPr="00B3496D">
        <w:rPr>
          <w:rFonts w:ascii="Calibri" w:eastAsia="MS Mincho" w:hAnsi="Calibri" w:cs="Times New Roman"/>
          <w:lang w:eastAsia="ja-JP"/>
        </w:rPr>
        <w:t>;4</w:t>
      </w:r>
      <w:proofErr w:type="gramEnd"/>
      <w:r w:rsidRPr="00B3496D">
        <w:rPr>
          <w:rFonts w:ascii="Calibri" w:eastAsia="MS Mincho" w:hAnsi="Calibri" w:cs="Times New Roman"/>
          <w:lang w:eastAsia="ja-JP"/>
        </w:rPr>
        <w:t xml:space="preserve">(6):e004711. </w:t>
      </w:r>
    </w:p>
    <w:p w14:paraId="50517B88" w14:textId="5E796E92" w:rsidR="00B27F2C" w:rsidRPr="00017D86" w:rsidRDefault="0090032B" w:rsidP="00B27F2C">
      <w:pPr>
        <w:numPr>
          <w:ilvl w:val="0"/>
          <w:numId w:val="1"/>
        </w:numPr>
        <w:spacing w:line="480" w:lineRule="auto"/>
        <w:contextualSpacing/>
        <w:rPr>
          <w:rFonts w:eastAsia="MS Mincho" w:cs="Times New Roman"/>
          <w:lang w:eastAsia="ja-JP"/>
        </w:rPr>
      </w:pPr>
      <w:hyperlink r:id="rId20" w:history="1">
        <w:r w:rsidR="00B27F2C" w:rsidRPr="00017D86">
          <w:rPr>
            <w:rFonts w:cs="Arial"/>
            <w:color w:val="262626"/>
            <w:lang w:val="en-US" w:eastAsia="ja-JP"/>
          </w:rPr>
          <w:t>Rush L</w:t>
        </w:r>
      </w:hyperlink>
      <w:r w:rsidR="00B27F2C" w:rsidRPr="00017D86">
        <w:rPr>
          <w:rFonts w:cs="Arial"/>
          <w:lang w:val="en-US" w:eastAsia="ja-JP"/>
        </w:rPr>
        <w:t xml:space="preserve">, </w:t>
      </w:r>
      <w:hyperlink r:id="rId21" w:history="1">
        <w:r w:rsidR="00B27F2C" w:rsidRPr="00017D86">
          <w:rPr>
            <w:rFonts w:cs="Arial"/>
            <w:color w:val="262626"/>
            <w:lang w:val="en-US" w:eastAsia="ja-JP"/>
          </w:rPr>
          <w:t>McCartney G</w:t>
        </w:r>
      </w:hyperlink>
      <w:r w:rsidR="00B27F2C" w:rsidRPr="00017D86">
        <w:rPr>
          <w:rFonts w:cs="Arial"/>
          <w:lang w:val="en-US" w:eastAsia="ja-JP"/>
        </w:rPr>
        <w:t xml:space="preserve">, </w:t>
      </w:r>
      <w:hyperlink r:id="rId22" w:history="1">
        <w:r w:rsidR="00B27F2C" w:rsidRPr="00017D86">
          <w:rPr>
            <w:rFonts w:cs="Arial"/>
            <w:color w:val="262626"/>
            <w:lang w:val="en-US" w:eastAsia="ja-JP"/>
          </w:rPr>
          <w:t>Walsh D</w:t>
        </w:r>
      </w:hyperlink>
      <w:r w:rsidR="00B27F2C" w:rsidRPr="00017D86">
        <w:rPr>
          <w:rFonts w:cs="Arial"/>
          <w:lang w:val="en-US" w:eastAsia="ja-JP"/>
        </w:rPr>
        <w:t xml:space="preserve">, </w:t>
      </w:r>
      <w:hyperlink r:id="rId23" w:history="1">
        <w:r w:rsidR="00B27F2C" w:rsidRPr="00017D86">
          <w:rPr>
            <w:rFonts w:cs="Arial"/>
            <w:color w:val="262626"/>
            <w:lang w:val="en-US" w:eastAsia="ja-JP"/>
          </w:rPr>
          <w:t>MacKay D</w:t>
        </w:r>
      </w:hyperlink>
      <w:r w:rsidR="00B27F2C" w:rsidRPr="00017D86">
        <w:rPr>
          <w:rFonts w:cs="Arial"/>
          <w:lang w:val="en-US" w:eastAsia="ja-JP"/>
        </w:rPr>
        <w:t>.</w:t>
      </w:r>
      <w:r w:rsidR="00B27F2C" w:rsidRPr="00017D86">
        <w:rPr>
          <w:rFonts w:cs="Arial"/>
          <w:color w:val="262626"/>
          <w:lang w:val="en-US" w:eastAsia="ja-JP"/>
        </w:rPr>
        <w:t xml:space="preserve"> </w:t>
      </w:r>
      <w:r w:rsidR="00B27F2C" w:rsidRPr="00017D86">
        <w:rPr>
          <w:rFonts w:cs="Arial"/>
          <w:bCs/>
          <w:lang w:val="en-US" w:eastAsia="ja-JP"/>
        </w:rPr>
        <w:t xml:space="preserve">Vitamin D and subsequent all-age and premature mortality: a systematic review. </w:t>
      </w:r>
      <w:r w:rsidR="00B27F2C" w:rsidRPr="00017D86">
        <w:rPr>
          <w:rFonts w:cs="Arial"/>
          <w:i/>
          <w:color w:val="262626"/>
          <w:lang w:val="en-US" w:eastAsia="ja-JP"/>
        </w:rPr>
        <w:t>BMC Public Health</w:t>
      </w:r>
      <w:r w:rsidR="00B27F2C" w:rsidRPr="00017D86">
        <w:rPr>
          <w:rFonts w:cs="Arial"/>
          <w:color w:val="262626"/>
          <w:lang w:val="en-US" w:eastAsia="ja-JP"/>
        </w:rPr>
        <w:t>.</w:t>
      </w:r>
      <w:r w:rsidR="00B27F2C" w:rsidRPr="00017D86">
        <w:rPr>
          <w:rFonts w:cs="Arial"/>
          <w:lang w:val="en-US" w:eastAsia="ja-JP"/>
        </w:rPr>
        <w:t xml:space="preserve"> 2013</w:t>
      </w:r>
      <w:proofErr w:type="gramStart"/>
      <w:r w:rsidR="00B27F2C" w:rsidRPr="00017D86">
        <w:rPr>
          <w:rFonts w:cs="Arial"/>
          <w:lang w:val="en-US" w:eastAsia="ja-JP"/>
        </w:rPr>
        <w:t>;13:679</w:t>
      </w:r>
      <w:proofErr w:type="gramEnd"/>
      <w:r w:rsidR="00B27F2C" w:rsidRPr="00017D86">
        <w:rPr>
          <w:rFonts w:cs="Arial"/>
          <w:lang w:val="en-US" w:eastAsia="ja-JP"/>
        </w:rPr>
        <w:t xml:space="preserve">. </w:t>
      </w:r>
      <w:proofErr w:type="spellStart"/>
      <w:proofErr w:type="gramStart"/>
      <w:r w:rsidR="00B27F2C" w:rsidRPr="00017D86">
        <w:rPr>
          <w:rFonts w:cs="Arial"/>
          <w:lang w:val="en-US" w:eastAsia="ja-JP"/>
        </w:rPr>
        <w:t>doi</w:t>
      </w:r>
      <w:proofErr w:type="spellEnd"/>
      <w:proofErr w:type="gramEnd"/>
      <w:r w:rsidR="00B27F2C" w:rsidRPr="00017D86">
        <w:rPr>
          <w:rFonts w:cs="Arial"/>
          <w:lang w:val="en-US" w:eastAsia="ja-JP"/>
        </w:rPr>
        <w:t>: 10.1186/1471-2458-13-679.</w:t>
      </w:r>
    </w:p>
    <w:p w14:paraId="575D73A5" w14:textId="7BA3A72E" w:rsidR="00017D86" w:rsidRPr="00017D86" w:rsidRDefault="00017D86" w:rsidP="00017D86">
      <w:pPr>
        <w:numPr>
          <w:ilvl w:val="0"/>
          <w:numId w:val="1"/>
        </w:numPr>
        <w:spacing w:line="480" w:lineRule="auto"/>
        <w:contextualSpacing/>
        <w:rPr>
          <w:rFonts w:eastAsia="MS Mincho" w:cs="Times New Roman"/>
          <w:lang w:eastAsia="ja-JP"/>
        </w:rPr>
      </w:pPr>
      <w:r w:rsidRPr="00017D86">
        <w:t xml:space="preserve">Graham P, Walsh D, McCartney G. Shipyards and sectarianism: how do mortality and deprivation compare in Glasgow and Belfast? </w:t>
      </w:r>
      <w:r w:rsidRPr="00017D86">
        <w:rPr>
          <w:i/>
        </w:rPr>
        <w:t>Public Health</w:t>
      </w:r>
      <w:r w:rsidRPr="00017D86">
        <w:t>. 2012</w:t>
      </w:r>
      <w:proofErr w:type="gramStart"/>
      <w:r w:rsidRPr="00017D86">
        <w:t>;126</w:t>
      </w:r>
      <w:proofErr w:type="gramEnd"/>
      <w:r w:rsidRPr="00017D86">
        <w:t xml:space="preserve">(5):378-85. </w:t>
      </w:r>
      <w:proofErr w:type="spellStart"/>
      <w:proofErr w:type="gramStart"/>
      <w:r w:rsidRPr="00017D86">
        <w:t>doi</w:t>
      </w:r>
      <w:proofErr w:type="spellEnd"/>
      <w:proofErr w:type="gramEnd"/>
      <w:r w:rsidRPr="00017D86">
        <w:t xml:space="preserve">: 10.1016/j.puhe.2012.01.018. </w:t>
      </w:r>
    </w:p>
    <w:p w14:paraId="372A6D4A" w14:textId="77777777" w:rsidR="00017D86" w:rsidRPr="00017D86" w:rsidRDefault="00017D86" w:rsidP="00017D86">
      <w:pPr>
        <w:pStyle w:val="ListParagraph"/>
        <w:numPr>
          <w:ilvl w:val="0"/>
          <w:numId w:val="1"/>
        </w:numPr>
        <w:spacing w:line="480" w:lineRule="auto"/>
        <w:rPr>
          <w:lang w:eastAsia="ja-JP"/>
        </w:rPr>
      </w:pPr>
      <w:proofErr w:type="spellStart"/>
      <w:r w:rsidRPr="00017D86">
        <w:rPr>
          <w:lang w:eastAsia="ja-JP"/>
        </w:rPr>
        <w:t>Taulbut</w:t>
      </w:r>
      <w:proofErr w:type="spellEnd"/>
      <w:r w:rsidRPr="00017D86">
        <w:rPr>
          <w:lang w:eastAsia="ja-JP"/>
        </w:rPr>
        <w:t xml:space="preserve"> M, Walsh D, O'Dowd J. Comparing early years and childhood experiences and outcomes in Scotland, England and three city-regions: a plausible explanation for Scottish 'excess' mortality? </w:t>
      </w:r>
      <w:r w:rsidRPr="00017D86">
        <w:rPr>
          <w:i/>
          <w:lang w:eastAsia="ja-JP"/>
        </w:rPr>
        <w:t xml:space="preserve">BMC </w:t>
      </w:r>
      <w:proofErr w:type="spellStart"/>
      <w:r w:rsidRPr="00017D86">
        <w:rPr>
          <w:i/>
          <w:lang w:eastAsia="ja-JP"/>
        </w:rPr>
        <w:t>Pediatr</w:t>
      </w:r>
      <w:proofErr w:type="spellEnd"/>
      <w:r w:rsidRPr="00017D86">
        <w:rPr>
          <w:lang w:eastAsia="ja-JP"/>
        </w:rPr>
        <w:t>. 2014</w:t>
      </w:r>
      <w:proofErr w:type="gramStart"/>
      <w:r w:rsidRPr="00017D86">
        <w:rPr>
          <w:lang w:eastAsia="ja-JP"/>
        </w:rPr>
        <w:t>;14:259</w:t>
      </w:r>
      <w:proofErr w:type="gramEnd"/>
      <w:r w:rsidRPr="00017D86">
        <w:rPr>
          <w:lang w:eastAsia="ja-JP"/>
        </w:rPr>
        <w:t xml:space="preserve">. </w:t>
      </w:r>
      <w:proofErr w:type="spellStart"/>
      <w:proofErr w:type="gramStart"/>
      <w:r w:rsidRPr="00017D86">
        <w:rPr>
          <w:lang w:eastAsia="ja-JP"/>
        </w:rPr>
        <w:t>doi</w:t>
      </w:r>
      <w:proofErr w:type="spellEnd"/>
      <w:proofErr w:type="gramEnd"/>
      <w:r w:rsidRPr="00017D86">
        <w:rPr>
          <w:lang w:eastAsia="ja-JP"/>
        </w:rPr>
        <w:t>: 10.1186/1471-2431-14-259.</w:t>
      </w:r>
    </w:p>
    <w:p w14:paraId="71AF7C62" w14:textId="77777777" w:rsidR="00017D86" w:rsidRPr="00017D86" w:rsidRDefault="00017D86" w:rsidP="00017D86">
      <w:pPr>
        <w:pStyle w:val="ListParagraph"/>
        <w:numPr>
          <w:ilvl w:val="0"/>
          <w:numId w:val="1"/>
        </w:numPr>
        <w:spacing w:line="480" w:lineRule="auto"/>
      </w:pPr>
      <w:r w:rsidRPr="00017D86">
        <w:t xml:space="preserve">Walsh D, McCartney G, McCullough S, Buchanan D, Jones R. Comparing </w:t>
      </w:r>
      <w:proofErr w:type="spellStart"/>
      <w:r w:rsidRPr="00017D86">
        <w:t>Antonovsky's</w:t>
      </w:r>
      <w:proofErr w:type="spellEnd"/>
      <w:r w:rsidRPr="00017D86">
        <w:t xml:space="preserve"> sense of coherence scale across three UK post-industrial cities. </w:t>
      </w:r>
      <w:r w:rsidRPr="00017D86">
        <w:rPr>
          <w:i/>
        </w:rPr>
        <w:t>BMJ Open</w:t>
      </w:r>
      <w:r w:rsidRPr="00017D86">
        <w:t>. 2014</w:t>
      </w:r>
      <w:proofErr w:type="gramStart"/>
      <w:r w:rsidRPr="00017D86">
        <w:t>;4</w:t>
      </w:r>
      <w:proofErr w:type="gramEnd"/>
      <w:r w:rsidRPr="00017D86">
        <w:t xml:space="preserve">(11):e005792. </w:t>
      </w:r>
      <w:proofErr w:type="spellStart"/>
      <w:proofErr w:type="gramStart"/>
      <w:r w:rsidRPr="00017D86">
        <w:t>doi</w:t>
      </w:r>
      <w:proofErr w:type="spellEnd"/>
      <w:proofErr w:type="gramEnd"/>
      <w:r w:rsidRPr="00017D86">
        <w:t>: 10.1136/bmjopen-2014-005792.</w:t>
      </w:r>
    </w:p>
    <w:p w14:paraId="570AB484" w14:textId="77777777" w:rsidR="00B3496D" w:rsidRPr="00183000" w:rsidRDefault="00B3496D" w:rsidP="00B3496D">
      <w:pPr>
        <w:numPr>
          <w:ilvl w:val="0"/>
          <w:numId w:val="1"/>
        </w:numPr>
        <w:spacing w:line="480" w:lineRule="auto"/>
        <w:contextualSpacing/>
        <w:rPr>
          <w:rFonts w:eastAsia="MS Mincho" w:cs="Times New Roman"/>
          <w:lang w:eastAsia="ja-JP"/>
        </w:rPr>
      </w:pPr>
      <w:r w:rsidRPr="00B3496D">
        <w:rPr>
          <w:rFonts w:ascii="Calibri" w:eastAsia="MS Mincho" w:hAnsi="Calibri" w:cs="Times New Roman"/>
          <w:lang w:eastAsia="ja-JP"/>
        </w:rPr>
        <w:t>Dahlgren G, Whitehead M. Policies and Strategies to Promote Social Equity in Health. Stockholm, Institute of Futures Studies, 1991</w:t>
      </w:r>
    </w:p>
    <w:p w14:paraId="252384AB" w14:textId="2E03E128" w:rsidR="00183000" w:rsidRPr="00183000" w:rsidRDefault="0090032B" w:rsidP="00183000">
      <w:pPr>
        <w:numPr>
          <w:ilvl w:val="0"/>
          <w:numId w:val="1"/>
        </w:numPr>
        <w:spacing w:line="480" w:lineRule="auto"/>
        <w:contextualSpacing/>
        <w:rPr>
          <w:rFonts w:eastAsia="MS Mincho" w:cs="Times New Roman"/>
          <w:lang w:eastAsia="ja-JP"/>
        </w:rPr>
      </w:pPr>
      <w:hyperlink r:id="rId24" w:history="1">
        <w:proofErr w:type="spellStart"/>
        <w:r w:rsidR="00183000" w:rsidRPr="00183000">
          <w:rPr>
            <w:rFonts w:cs="Arial"/>
            <w:color w:val="262626"/>
            <w:lang w:val="en-US"/>
          </w:rPr>
          <w:t>Breitling</w:t>
        </w:r>
        <w:proofErr w:type="spellEnd"/>
        <w:r w:rsidR="00183000" w:rsidRPr="00183000">
          <w:rPr>
            <w:rFonts w:cs="Arial"/>
            <w:color w:val="262626"/>
            <w:lang w:val="en-US"/>
          </w:rPr>
          <w:t xml:space="preserve"> LP</w:t>
        </w:r>
      </w:hyperlink>
      <w:r w:rsidR="00183000">
        <w:rPr>
          <w:rFonts w:cs="Arial"/>
          <w:bCs/>
          <w:lang w:val="en-US"/>
        </w:rPr>
        <w:t>.</w:t>
      </w:r>
      <w:r w:rsidR="00183000" w:rsidRPr="00183000">
        <w:t xml:space="preserve"> </w:t>
      </w:r>
      <w:r w:rsidR="00183000" w:rsidRPr="00183000">
        <w:rPr>
          <w:rFonts w:cs="Arial"/>
          <w:bCs/>
          <w:lang w:val="en-US"/>
        </w:rPr>
        <w:t>Current genetics and epigenetics of smoking/tobacco-related cardiovascular disease.</w:t>
      </w:r>
      <w:r w:rsidR="00183000" w:rsidRPr="00183000">
        <w:t xml:space="preserve"> </w:t>
      </w:r>
      <w:proofErr w:type="spellStart"/>
      <w:r w:rsidR="00183000" w:rsidRPr="00183000">
        <w:rPr>
          <w:rFonts w:cs="Arial"/>
          <w:bCs/>
          <w:lang w:val="en-US"/>
        </w:rPr>
        <w:t>Arterioscler</w:t>
      </w:r>
      <w:proofErr w:type="spellEnd"/>
      <w:r w:rsidR="00183000" w:rsidRPr="00183000">
        <w:rPr>
          <w:rFonts w:cs="Arial"/>
          <w:bCs/>
          <w:lang w:val="en-US"/>
        </w:rPr>
        <w:t xml:space="preserve"> </w:t>
      </w:r>
      <w:proofErr w:type="spellStart"/>
      <w:r w:rsidR="00183000" w:rsidRPr="00183000">
        <w:rPr>
          <w:rFonts w:cs="Arial"/>
          <w:bCs/>
          <w:lang w:val="en-US"/>
        </w:rPr>
        <w:t>Thromb</w:t>
      </w:r>
      <w:proofErr w:type="spellEnd"/>
      <w:r w:rsidR="00183000" w:rsidRPr="00183000">
        <w:rPr>
          <w:rFonts w:cs="Arial"/>
          <w:bCs/>
          <w:lang w:val="en-US"/>
        </w:rPr>
        <w:t xml:space="preserve"> </w:t>
      </w:r>
      <w:proofErr w:type="spellStart"/>
      <w:r w:rsidR="00183000" w:rsidRPr="00183000">
        <w:rPr>
          <w:rFonts w:cs="Arial"/>
          <w:bCs/>
          <w:lang w:val="en-US"/>
        </w:rPr>
        <w:t>Vasc</w:t>
      </w:r>
      <w:proofErr w:type="spellEnd"/>
      <w:r w:rsidR="00183000" w:rsidRPr="00183000">
        <w:rPr>
          <w:rFonts w:cs="Arial"/>
          <w:bCs/>
          <w:lang w:val="en-US"/>
        </w:rPr>
        <w:t xml:space="preserve"> Biol. 2013</w:t>
      </w:r>
      <w:proofErr w:type="gramStart"/>
      <w:r w:rsidR="00183000" w:rsidRPr="00183000">
        <w:rPr>
          <w:rFonts w:cs="Arial"/>
          <w:bCs/>
          <w:lang w:val="en-US"/>
        </w:rPr>
        <w:t>;33:1468</w:t>
      </w:r>
      <w:proofErr w:type="gramEnd"/>
      <w:r w:rsidR="00183000" w:rsidRPr="00183000">
        <w:rPr>
          <w:rFonts w:cs="Arial"/>
          <w:bCs/>
          <w:lang w:val="en-US"/>
        </w:rPr>
        <w:t>-</w:t>
      </w:r>
      <w:r w:rsidR="00183000">
        <w:rPr>
          <w:rFonts w:cs="Arial"/>
          <w:bCs/>
          <w:lang w:val="en-US"/>
        </w:rPr>
        <w:t>14</w:t>
      </w:r>
      <w:r w:rsidR="00183000" w:rsidRPr="00183000">
        <w:rPr>
          <w:rFonts w:cs="Arial"/>
          <w:bCs/>
          <w:lang w:val="en-US"/>
        </w:rPr>
        <w:t xml:space="preserve">72. </w:t>
      </w:r>
    </w:p>
    <w:p w14:paraId="4531EC35" w14:textId="77777777" w:rsidR="00246E90" w:rsidRPr="00246E90" w:rsidRDefault="00246E90" w:rsidP="00246E90">
      <w:pPr>
        <w:pStyle w:val="ListParagraph"/>
        <w:numPr>
          <w:ilvl w:val="0"/>
          <w:numId w:val="1"/>
        </w:numPr>
        <w:spacing w:line="480" w:lineRule="auto"/>
      </w:pPr>
      <w:r w:rsidRPr="00246E90">
        <w:t xml:space="preserve">McGuinness D, </w:t>
      </w:r>
      <w:proofErr w:type="spellStart"/>
      <w:r w:rsidRPr="00246E90">
        <w:t>McGlynn</w:t>
      </w:r>
      <w:proofErr w:type="spellEnd"/>
      <w:r w:rsidRPr="00246E90">
        <w:t xml:space="preserve"> LM, Johnson PC, </w:t>
      </w:r>
      <w:proofErr w:type="spellStart"/>
      <w:r w:rsidRPr="00246E90">
        <w:t>MacIntyre</w:t>
      </w:r>
      <w:proofErr w:type="spellEnd"/>
      <w:r w:rsidRPr="00246E90">
        <w:t xml:space="preserve"> A, Batty GD, Burns H, Cavanagh J, Deans KA, Ford I, </w:t>
      </w:r>
      <w:proofErr w:type="spellStart"/>
      <w:r w:rsidRPr="00246E90">
        <w:t>McConnachie</w:t>
      </w:r>
      <w:proofErr w:type="spellEnd"/>
      <w:r w:rsidRPr="00246E90">
        <w:t xml:space="preserve"> A, </w:t>
      </w:r>
      <w:proofErr w:type="spellStart"/>
      <w:r w:rsidRPr="00246E90">
        <w:t>McGinty</w:t>
      </w:r>
      <w:proofErr w:type="spellEnd"/>
      <w:r w:rsidRPr="00246E90">
        <w:t xml:space="preserve"> A, McLean JS, Millar K, Packard CJ, </w:t>
      </w:r>
      <w:proofErr w:type="spellStart"/>
      <w:r w:rsidRPr="00246E90">
        <w:t>Sattar</w:t>
      </w:r>
      <w:proofErr w:type="spellEnd"/>
      <w:r w:rsidRPr="00246E90">
        <w:t xml:space="preserve"> </w:t>
      </w:r>
      <w:r w:rsidRPr="00246E90">
        <w:lastRenderedPageBreak/>
        <w:t xml:space="preserve">NA, </w:t>
      </w:r>
      <w:proofErr w:type="spellStart"/>
      <w:r w:rsidRPr="00246E90">
        <w:t>Tannahill</w:t>
      </w:r>
      <w:proofErr w:type="spellEnd"/>
      <w:r w:rsidRPr="00246E90">
        <w:t xml:space="preserve"> C, </w:t>
      </w:r>
      <w:proofErr w:type="spellStart"/>
      <w:r w:rsidRPr="00246E90">
        <w:t>Velupillai</w:t>
      </w:r>
      <w:proofErr w:type="spellEnd"/>
      <w:r w:rsidRPr="00246E90">
        <w:t xml:space="preserve"> YN, </w:t>
      </w:r>
      <w:proofErr w:type="spellStart"/>
      <w:r w:rsidRPr="00246E90">
        <w:t>Shiels</w:t>
      </w:r>
      <w:proofErr w:type="spellEnd"/>
      <w:r w:rsidRPr="00246E90">
        <w:t xml:space="preserve"> PG. Socio-economic status is associated with epigenetic differences in the </w:t>
      </w:r>
      <w:proofErr w:type="spellStart"/>
      <w:r w:rsidRPr="00246E90">
        <w:t>pSoBid</w:t>
      </w:r>
      <w:proofErr w:type="spellEnd"/>
      <w:r w:rsidRPr="00246E90">
        <w:t xml:space="preserve"> cohort. </w:t>
      </w:r>
      <w:proofErr w:type="spellStart"/>
      <w:r w:rsidRPr="00246E90">
        <w:rPr>
          <w:i/>
        </w:rPr>
        <w:t>Int</w:t>
      </w:r>
      <w:proofErr w:type="spellEnd"/>
      <w:r w:rsidRPr="00246E90">
        <w:rPr>
          <w:i/>
        </w:rPr>
        <w:t xml:space="preserve"> J </w:t>
      </w:r>
      <w:proofErr w:type="spellStart"/>
      <w:r w:rsidRPr="00246E90">
        <w:rPr>
          <w:i/>
        </w:rPr>
        <w:t>Epidemiol</w:t>
      </w:r>
      <w:proofErr w:type="spellEnd"/>
      <w:r w:rsidRPr="00246E90">
        <w:t>. 2012</w:t>
      </w:r>
      <w:proofErr w:type="gramStart"/>
      <w:r w:rsidRPr="00246E90">
        <w:t>;41</w:t>
      </w:r>
      <w:proofErr w:type="gramEnd"/>
      <w:r w:rsidRPr="00246E90">
        <w:t xml:space="preserve">(1):151-160. </w:t>
      </w:r>
    </w:p>
    <w:p w14:paraId="76884B05" w14:textId="77777777" w:rsidR="00B27F2C" w:rsidRPr="00B27F2C" w:rsidRDefault="00B27F2C" w:rsidP="00B27F2C">
      <w:pPr>
        <w:pStyle w:val="ListParagraph"/>
        <w:numPr>
          <w:ilvl w:val="0"/>
          <w:numId w:val="1"/>
        </w:numPr>
        <w:spacing w:line="480" w:lineRule="auto"/>
      </w:pPr>
      <w:r w:rsidRPr="00B27F2C">
        <w:t xml:space="preserve">McCartney G, Russ TC, Walsh D, </w:t>
      </w:r>
      <w:proofErr w:type="spellStart"/>
      <w:r w:rsidRPr="00B27F2C">
        <w:t>Lewsey</w:t>
      </w:r>
      <w:proofErr w:type="spellEnd"/>
      <w:r w:rsidRPr="00B27F2C">
        <w:t xml:space="preserve"> J, Smith M, Smith GD, </w:t>
      </w:r>
      <w:proofErr w:type="spellStart"/>
      <w:r w:rsidRPr="00B27F2C">
        <w:t>Stamatakis</w:t>
      </w:r>
      <w:proofErr w:type="spellEnd"/>
      <w:r w:rsidRPr="00B27F2C">
        <w:t xml:space="preserve"> E, Batty GD. Explaining the excess mortality in Scotland compared with England: pooling of 18 cohort studies. </w:t>
      </w:r>
      <w:r w:rsidRPr="00B27F2C">
        <w:rPr>
          <w:i/>
        </w:rPr>
        <w:t xml:space="preserve">J </w:t>
      </w:r>
      <w:proofErr w:type="spellStart"/>
      <w:r w:rsidRPr="00B27F2C">
        <w:rPr>
          <w:i/>
        </w:rPr>
        <w:t>Epidemiol</w:t>
      </w:r>
      <w:proofErr w:type="spellEnd"/>
      <w:r w:rsidRPr="00B27F2C">
        <w:rPr>
          <w:i/>
        </w:rPr>
        <w:t xml:space="preserve"> Community Health.</w:t>
      </w:r>
      <w:r w:rsidRPr="00B27F2C">
        <w:t xml:space="preserve"> 2015</w:t>
      </w:r>
      <w:proofErr w:type="gramStart"/>
      <w:r w:rsidRPr="00B27F2C">
        <w:t>;69</w:t>
      </w:r>
      <w:proofErr w:type="gramEnd"/>
      <w:r w:rsidRPr="00B27F2C">
        <w:t xml:space="preserve">(1):20-27. </w:t>
      </w:r>
    </w:p>
    <w:p w14:paraId="50BC17ED" w14:textId="77777777" w:rsidR="00B3496D" w:rsidRPr="00B3496D" w:rsidRDefault="00B3496D" w:rsidP="00183000">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Grundy E, Holt G. The socioeconomic status of older adults: how should we measure it in studies of health inequalities? </w:t>
      </w:r>
      <w:r w:rsidRPr="00B3496D">
        <w:rPr>
          <w:rFonts w:ascii="Calibri" w:eastAsia="MS Mincho" w:hAnsi="Calibri" w:cs="Times New Roman"/>
          <w:i/>
          <w:lang w:eastAsia="ja-JP"/>
        </w:rPr>
        <w:t xml:space="preserve">J </w:t>
      </w:r>
      <w:proofErr w:type="spellStart"/>
      <w:r w:rsidRPr="00B3496D">
        <w:rPr>
          <w:rFonts w:ascii="Calibri" w:eastAsia="MS Mincho" w:hAnsi="Calibri" w:cs="Times New Roman"/>
          <w:i/>
          <w:lang w:eastAsia="ja-JP"/>
        </w:rPr>
        <w:t>Epidemiol</w:t>
      </w:r>
      <w:proofErr w:type="spellEnd"/>
      <w:r w:rsidRPr="00B3496D">
        <w:rPr>
          <w:rFonts w:ascii="Calibri" w:eastAsia="MS Mincho" w:hAnsi="Calibri" w:cs="Times New Roman"/>
          <w:i/>
          <w:lang w:eastAsia="ja-JP"/>
        </w:rPr>
        <w:t xml:space="preserve"> Community Health</w:t>
      </w:r>
      <w:r w:rsidRPr="00B3496D">
        <w:rPr>
          <w:rFonts w:ascii="Calibri" w:eastAsia="MS Mincho" w:hAnsi="Calibri" w:cs="Times New Roman"/>
          <w:lang w:eastAsia="ja-JP"/>
        </w:rPr>
        <w:t xml:space="preserve"> .2001; 55: 895–904.</w:t>
      </w:r>
    </w:p>
    <w:p w14:paraId="5AEEAF1F" w14:textId="77777777" w:rsidR="00B3496D" w:rsidRPr="00B3496D" w:rsidRDefault="00B3496D" w:rsidP="00183000">
      <w:pPr>
        <w:numPr>
          <w:ilvl w:val="0"/>
          <w:numId w:val="1"/>
        </w:numPr>
        <w:spacing w:line="480" w:lineRule="auto"/>
        <w:contextualSpacing/>
        <w:rPr>
          <w:rFonts w:ascii="Calibri" w:eastAsia="MS Mincho" w:hAnsi="Calibri" w:cs="Times New Roman"/>
          <w:lang w:eastAsia="ja-JP"/>
        </w:rPr>
      </w:pPr>
      <w:proofErr w:type="spellStart"/>
      <w:r w:rsidRPr="00B3496D">
        <w:rPr>
          <w:rFonts w:ascii="Calibri" w:eastAsia="MS Mincho" w:hAnsi="Calibri" w:cs="Times New Roman"/>
          <w:lang w:eastAsia="ja-JP"/>
        </w:rPr>
        <w:t>Chittleborough</w:t>
      </w:r>
      <w:proofErr w:type="spellEnd"/>
      <w:r w:rsidRPr="00B3496D">
        <w:rPr>
          <w:rFonts w:ascii="Calibri" w:eastAsia="MS Mincho" w:hAnsi="Calibri" w:cs="Times New Roman"/>
          <w:lang w:eastAsia="ja-JP"/>
        </w:rPr>
        <w:t xml:space="preserve"> CR, Baum FE, Taylor AW, Hiller JE. </w:t>
      </w:r>
      <w:r w:rsidRPr="00B3496D">
        <w:rPr>
          <w:rFonts w:ascii="Calibri" w:eastAsia="MS Mincho" w:hAnsi="Calibri" w:cs="Times New Roman" w:hint="eastAsia"/>
          <w:lang w:eastAsia="ja-JP"/>
        </w:rPr>
        <w:t>A life</w:t>
      </w:r>
      <w:r w:rsidRPr="00B3496D">
        <w:rPr>
          <w:rFonts w:ascii="Calibri" w:eastAsia="MS Mincho" w:hAnsi="Calibri" w:cs="Times New Roman" w:hint="eastAsia"/>
          <w:lang w:eastAsia="ja-JP"/>
        </w:rPr>
        <w:t>‐</w:t>
      </w:r>
      <w:r w:rsidRPr="00B3496D">
        <w:rPr>
          <w:rFonts w:ascii="Calibri" w:eastAsia="MS Mincho" w:hAnsi="Calibri" w:cs="Times New Roman" w:hint="eastAsia"/>
          <w:lang w:eastAsia="ja-JP"/>
        </w:rPr>
        <w:t>course approach to measuring socioeconomic position in population health surveillance systems</w:t>
      </w:r>
      <w:r w:rsidRPr="00B3496D">
        <w:rPr>
          <w:rFonts w:ascii="Calibri" w:eastAsia="MS Mincho" w:hAnsi="Calibri" w:cs="Times New Roman"/>
          <w:lang w:eastAsia="ja-JP"/>
        </w:rPr>
        <w:t xml:space="preserve">. </w:t>
      </w:r>
      <w:r w:rsidRPr="00B3496D">
        <w:rPr>
          <w:rFonts w:ascii="Calibri" w:eastAsia="MS Mincho" w:hAnsi="Calibri" w:cs="Times New Roman"/>
          <w:i/>
          <w:lang w:eastAsia="ja-JP"/>
        </w:rPr>
        <w:t xml:space="preserve">J </w:t>
      </w:r>
      <w:proofErr w:type="spellStart"/>
      <w:r w:rsidRPr="00B3496D">
        <w:rPr>
          <w:rFonts w:ascii="Calibri" w:eastAsia="MS Mincho" w:hAnsi="Calibri" w:cs="Times New Roman"/>
          <w:i/>
          <w:lang w:eastAsia="ja-JP"/>
        </w:rPr>
        <w:t>Epidemiol</w:t>
      </w:r>
      <w:proofErr w:type="spellEnd"/>
      <w:r w:rsidRPr="00B3496D">
        <w:rPr>
          <w:rFonts w:ascii="Calibri" w:eastAsia="MS Mincho" w:hAnsi="Calibri" w:cs="Times New Roman"/>
          <w:i/>
          <w:lang w:eastAsia="ja-JP"/>
        </w:rPr>
        <w:t xml:space="preserve"> Community Health</w:t>
      </w:r>
      <w:r w:rsidRPr="00B3496D">
        <w:rPr>
          <w:rFonts w:ascii="Calibri" w:eastAsia="MS Mincho" w:hAnsi="Calibri" w:cs="Times New Roman"/>
          <w:lang w:eastAsia="ja-JP"/>
        </w:rPr>
        <w:t>. 2006; 60(11): 981–992.</w:t>
      </w:r>
    </w:p>
    <w:p w14:paraId="11C111CE" w14:textId="77777777" w:rsidR="00B3496D" w:rsidRPr="00B3496D" w:rsidRDefault="00B3496D" w:rsidP="00183000">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Donnelly PD. Explaining the Glasgow effect: could adverse childhood experiences play a role? </w:t>
      </w:r>
      <w:r w:rsidRPr="00B3496D">
        <w:rPr>
          <w:rFonts w:ascii="Calibri" w:eastAsia="MS Mincho" w:hAnsi="Calibri" w:cs="Times New Roman"/>
          <w:i/>
          <w:lang w:eastAsia="ja-JP"/>
        </w:rPr>
        <w:t>Public Health</w:t>
      </w:r>
      <w:r w:rsidRPr="00B3496D">
        <w:rPr>
          <w:rFonts w:ascii="Calibri" w:eastAsia="MS Mincho" w:hAnsi="Calibri" w:cs="Times New Roman"/>
          <w:lang w:eastAsia="ja-JP"/>
        </w:rPr>
        <w:t>. 2010</w:t>
      </w:r>
      <w:proofErr w:type="gramStart"/>
      <w:r w:rsidRPr="00B3496D">
        <w:rPr>
          <w:rFonts w:ascii="Calibri" w:eastAsia="MS Mincho" w:hAnsi="Calibri" w:cs="Times New Roman"/>
          <w:lang w:eastAsia="ja-JP"/>
        </w:rPr>
        <w:t>;124:498</w:t>
      </w:r>
      <w:proofErr w:type="gramEnd"/>
      <w:r w:rsidRPr="00B3496D">
        <w:rPr>
          <w:rFonts w:ascii="Calibri" w:eastAsia="MS Mincho" w:hAnsi="Calibri" w:cs="Times New Roman"/>
          <w:lang w:eastAsia="ja-JP"/>
        </w:rPr>
        <w:t>-499.</w:t>
      </w:r>
    </w:p>
    <w:p w14:paraId="36D4C1A3" w14:textId="77777777" w:rsidR="00B3496D" w:rsidRPr="00B3496D" w:rsidRDefault="0090032B" w:rsidP="00183000">
      <w:pPr>
        <w:numPr>
          <w:ilvl w:val="0"/>
          <w:numId w:val="1"/>
        </w:numPr>
        <w:spacing w:line="480" w:lineRule="auto"/>
        <w:contextualSpacing/>
        <w:rPr>
          <w:rFonts w:ascii="Calibri" w:eastAsia="MS Mincho" w:hAnsi="Calibri" w:cs="Times New Roman"/>
          <w:lang w:eastAsia="ja-JP"/>
        </w:rPr>
      </w:pPr>
      <w:hyperlink r:id="rId25" w:history="1">
        <w:r w:rsidR="00B3496D" w:rsidRPr="00B3496D">
          <w:rPr>
            <w:rFonts w:ascii="Calibri" w:eastAsia="MS Mincho" w:hAnsi="Calibri" w:cs="Arial"/>
            <w:color w:val="262626"/>
            <w:lang w:val="en-US" w:eastAsia="ja-JP"/>
          </w:rPr>
          <w:t>Levin KA</w:t>
        </w:r>
      </w:hyperlink>
      <w:r w:rsidR="00B3496D" w:rsidRPr="00B3496D">
        <w:rPr>
          <w:rFonts w:ascii="Calibri" w:eastAsia="MS Mincho" w:hAnsi="Calibri" w:cs="Arial"/>
          <w:lang w:val="en-US" w:eastAsia="ja-JP"/>
        </w:rPr>
        <w:t>.</w:t>
      </w:r>
      <w:r w:rsidR="00B3496D" w:rsidRPr="00B3496D">
        <w:rPr>
          <w:rFonts w:ascii="Calibri" w:eastAsia="MS Mincho" w:hAnsi="Calibri" w:cs="Times New Roman"/>
          <w:lang w:eastAsia="ja-JP"/>
        </w:rPr>
        <w:t xml:space="preserve"> </w:t>
      </w:r>
      <w:r w:rsidR="00B3496D" w:rsidRPr="00B3496D">
        <w:rPr>
          <w:rFonts w:ascii="Calibri" w:eastAsia="MS Mincho" w:hAnsi="Calibri" w:cs="Arial"/>
          <w:bCs/>
          <w:lang w:val="en-US" w:eastAsia="ja-JP"/>
        </w:rPr>
        <w:t>Glasgow smiles better: an examination of adolescent mental well-being and the 'Glasgow effect'.</w:t>
      </w:r>
      <w:r w:rsidR="00B3496D" w:rsidRPr="00B3496D">
        <w:rPr>
          <w:rFonts w:ascii="Calibri" w:eastAsia="MS Mincho" w:hAnsi="Calibri" w:cs="Arial"/>
          <w:color w:val="262626"/>
          <w:lang w:val="en-US" w:eastAsia="ja-JP"/>
        </w:rPr>
        <w:t xml:space="preserve"> </w:t>
      </w:r>
      <w:r w:rsidR="00B3496D" w:rsidRPr="00B3496D">
        <w:rPr>
          <w:rFonts w:ascii="Calibri" w:eastAsia="MS Mincho" w:hAnsi="Calibri" w:cs="Arial"/>
          <w:i/>
          <w:color w:val="262626"/>
          <w:lang w:val="en-US" w:eastAsia="ja-JP"/>
        </w:rPr>
        <w:t>Public Health</w:t>
      </w:r>
      <w:r w:rsidR="00B3496D" w:rsidRPr="00B3496D">
        <w:rPr>
          <w:rFonts w:ascii="Calibri" w:eastAsia="MS Mincho" w:hAnsi="Calibri" w:cs="Arial"/>
          <w:color w:val="262626"/>
          <w:lang w:val="en-US" w:eastAsia="ja-JP"/>
        </w:rPr>
        <w:t>.</w:t>
      </w:r>
      <w:r w:rsidR="00B3496D" w:rsidRPr="00B3496D">
        <w:rPr>
          <w:rFonts w:ascii="Calibri" w:eastAsia="MS Mincho" w:hAnsi="Calibri" w:cs="Arial"/>
          <w:lang w:val="en-US" w:eastAsia="ja-JP"/>
        </w:rPr>
        <w:t xml:space="preserve"> 2012</w:t>
      </w:r>
      <w:proofErr w:type="gramStart"/>
      <w:r w:rsidR="00B3496D" w:rsidRPr="00B3496D">
        <w:rPr>
          <w:rFonts w:ascii="Calibri" w:eastAsia="MS Mincho" w:hAnsi="Calibri" w:cs="Arial"/>
          <w:lang w:val="en-US" w:eastAsia="ja-JP"/>
        </w:rPr>
        <w:t>;126</w:t>
      </w:r>
      <w:proofErr w:type="gramEnd"/>
      <w:r w:rsidR="00B3496D" w:rsidRPr="00B3496D">
        <w:rPr>
          <w:rFonts w:ascii="Calibri" w:eastAsia="MS Mincho" w:hAnsi="Calibri" w:cs="Arial"/>
          <w:lang w:val="en-US" w:eastAsia="ja-JP"/>
        </w:rPr>
        <w:t>(2):96-103.</w:t>
      </w:r>
    </w:p>
    <w:p w14:paraId="1B154DBA" w14:textId="77777777" w:rsidR="00B3496D" w:rsidRPr="00B3496D" w:rsidRDefault="0090032B" w:rsidP="00183000">
      <w:pPr>
        <w:numPr>
          <w:ilvl w:val="0"/>
          <w:numId w:val="1"/>
        </w:numPr>
        <w:spacing w:line="480" w:lineRule="auto"/>
        <w:contextualSpacing/>
        <w:rPr>
          <w:rFonts w:ascii="Calibri" w:eastAsia="MS Mincho" w:hAnsi="Calibri" w:cs="Times New Roman"/>
          <w:lang w:eastAsia="ja-JP"/>
        </w:rPr>
      </w:pPr>
      <w:hyperlink r:id="rId26" w:history="1">
        <w:r w:rsidR="00B3496D" w:rsidRPr="00B3496D">
          <w:rPr>
            <w:rFonts w:ascii="Calibri" w:eastAsia="MS Mincho" w:hAnsi="Calibri" w:cs="Arial"/>
            <w:color w:val="262626"/>
            <w:lang w:val="en-US" w:eastAsia="ja-JP"/>
          </w:rPr>
          <w:t>McMahon AD</w:t>
        </w:r>
      </w:hyperlink>
      <w:r w:rsidR="00B3496D" w:rsidRPr="00B3496D">
        <w:rPr>
          <w:rFonts w:ascii="Calibri" w:eastAsia="MS Mincho" w:hAnsi="Calibri" w:cs="Arial"/>
          <w:lang w:val="en-US" w:eastAsia="ja-JP"/>
        </w:rPr>
        <w:t xml:space="preserve">, </w:t>
      </w:r>
      <w:hyperlink r:id="rId27" w:history="1">
        <w:r w:rsidR="00B3496D" w:rsidRPr="00B3496D">
          <w:rPr>
            <w:rFonts w:ascii="Calibri" w:eastAsia="MS Mincho" w:hAnsi="Calibri" w:cs="Arial"/>
            <w:color w:val="262626"/>
            <w:lang w:val="en-US" w:eastAsia="ja-JP"/>
          </w:rPr>
          <w:t>Blair Y</w:t>
        </w:r>
      </w:hyperlink>
      <w:r w:rsidR="00B3496D" w:rsidRPr="00B3496D">
        <w:rPr>
          <w:rFonts w:ascii="Calibri" w:eastAsia="MS Mincho" w:hAnsi="Calibri" w:cs="Arial"/>
          <w:lang w:val="en-US" w:eastAsia="ja-JP"/>
        </w:rPr>
        <w:t xml:space="preserve">, </w:t>
      </w:r>
      <w:hyperlink r:id="rId28" w:history="1">
        <w:r w:rsidR="00B3496D" w:rsidRPr="00B3496D">
          <w:rPr>
            <w:rFonts w:ascii="Calibri" w:eastAsia="MS Mincho" w:hAnsi="Calibri" w:cs="Arial"/>
            <w:color w:val="262626"/>
            <w:lang w:val="en-US" w:eastAsia="ja-JP"/>
          </w:rPr>
          <w:t>McCall DR</w:t>
        </w:r>
      </w:hyperlink>
      <w:r w:rsidR="00B3496D" w:rsidRPr="00B3496D">
        <w:rPr>
          <w:rFonts w:ascii="Calibri" w:eastAsia="MS Mincho" w:hAnsi="Calibri" w:cs="Arial"/>
          <w:lang w:val="en-US" w:eastAsia="ja-JP"/>
        </w:rPr>
        <w:t xml:space="preserve">, </w:t>
      </w:r>
      <w:hyperlink r:id="rId29" w:history="1">
        <w:r w:rsidR="00B3496D" w:rsidRPr="00B3496D">
          <w:rPr>
            <w:rFonts w:ascii="Calibri" w:eastAsia="MS Mincho" w:hAnsi="Calibri" w:cs="Arial"/>
            <w:color w:val="262626"/>
            <w:lang w:val="en-US" w:eastAsia="ja-JP"/>
          </w:rPr>
          <w:t>Macpherson LM</w:t>
        </w:r>
      </w:hyperlink>
      <w:r w:rsidR="00B3496D" w:rsidRPr="00B3496D">
        <w:rPr>
          <w:rFonts w:ascii="Calibri" w:eastAsia="MS Mincho" w:hAnsi="Calibri" w:cs="Arial"/>
          <w:lang w:val="en-US" w:eastAsia="ja-JP"/>
        </w:rPr>
        <w:t>.</w:t>
      </w:r>
      <w:r w:rsidR="00B3496D" w:rsidRPr="00B3496D">
        <w:rPr>
          <w:rFonts w:ascii="Calibri" w:eastAsia="MS Mincho" w:hAnsi="Calibri" w:cs="Times New Roman"/>
          <w:lang w:eastAsia="ja-JP"/>
        </w:rPr>
        <w:t xml:space="preserve"> </w:t>
      </w:r>
      <w:r w:rsidR="00B3496D" w:rsidRPr="00B3496D">
        <w:rPr>
          <w:rFonts w:ascii="Calibri" w:eastAsia="MS Mincho" w:hAnsi="Calibri" w:cs="Arial"/>
          <w:bCs/>
          <w:lang w:val="en-US" w:eastAsia="ja-JP"/>
        </w:rPr>
        <w:t>Reductions in dental decay in 3-year old children in Greater Glasgow and Clyde: repeated population inspection studies over four years.</w:t>
      </w:r>
      <w:r w:rsidR="00B3496D" w:rsidRPr="00B3496D">
        <w:rPr>
          <w:rFonts w:ascii="Calibri" w:eastAsia="MS Mincho" w:hAnsi="Calibri" w:cs="Arial"/>
          <w:color w:val="262626"/>
          <w:lang w:val="en-US" w:eastAsia="ja-JP"/>
        </w:rPr>
        <w:t xml:space="preserve"> </w:t>
      </w:r>
      <w:r w:rsidR="00B3496D" w:rsidRPr="00B3496D">
        <w:rPr>
          <w:rFonts w:ascii="Calibri" w:eastAsia="MS Mincho" w:hAnsi="Calibri" w:cs="Arial"/>
          <w:i/>
          <w:color w:val="262626"/>
          <w:lang w:val="en-US" w:eastAsia="ja-JP"/>
        </w:rPr>
        <w:t>BMC Oral Health</w:t>
      </w:r>
      <w:r w:rsidR="00B3496D" w:rsidRPr="00B3496D">
        <w:rPr>
          <w:rFonts w:ascii="Calibri" w:eastAsia="MS Mincho" w:hAnsi="Calibri" w:cs="Arial"/>
          <w:color w:val="262626"/>
          <w:lang w:val="en-US" w:eastAsia="ja-JP"/>
        </w:rPr>
        <w:t>.</w:t>
      </w:r>
      <w:r w:rsidR="00B3496D" w:rsidRPr="00B3496D">
        <w:rPr>
          <w:rFonts w:ascii="Calibri" w:eastAsia="MS Mincho" w:hAnsi="Calibri" w:cs="Arial"/>
          <w:lang w:val="en-US" w:eastAsia="ja-JP"/>
        </w:rPr>
        <w:t xml:space="preserve"> 2011</w:t>
      </w:r>
      <w:proofErr w:type="gramStart"/>
      <w:r w:rsidR="00B3496D" w:rsidRPr="00B3496D">
        <w:rPr>
          <w:rFonts w:ascii="Calibri" w:eastAsia="MS Mincho" w:hAnsi="Calibri" w:cs="Arial"/>
          <w:lang w:val="en-US" w:eastAsia="ja-JP"/>
        </w:rPr>
        <w:t>;11:29</w:t>
      </w:r>
      <w:proofErr w:type="gramEnd"/>
      <w:r w:rsidR="00B3496D" w:rsidRPr="00B3496D">
        <w:rPr>
          <w:rFonts w:ascii="Calibri" w:eastAsia="MS Mincho" w:hAnsi="Calibri" w:cs="Arial"/>
          <w:lang w:val="en-US" w:eastAsia="ja-JP"/>
        </w:rPr>
        <w:t>..</w:t>
      </w:r>
    </w:p>
    <w:p w14:paraId="1B53A54D" w14:textId="77777777" w:rsidR="00B3496D" w:rsidRPr="00B3496D" w:rsidRDefault="00B3496D" w:rsidP="00183000">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t xml:space="preserve">Reid M. Behind the "Glasgow effect". </w:t>
      </w:r>
      <w:r w:rsidRPr="00B3496D">
        <w:rPr>
          <w:rFonts w:ascii="Calibri" w:eastAsia="MS Mincho" w:hAnsi="Calibri" w:cs="Times New Roman"/>
          <w:i/>
          <w:lang w:eastAsia="ja-JP"/>
        </w:rPr>
        <w:t>Bulletin of the World Health Organization</w:t>
      </w:r>
      <w:r w:rsidRPr="00B3496D">
        <w:rPr>
          <w:rFonts w:ascii="Calibri" w:eastAsia="MS Mincho" w:hAnsi="Calibri" w:cs="Times New Roman"/>
          <w:lang w:eastAsia="ja-JP"/>
        </w:rPr>
        <w:t>. 2011</w:t>
      </w:r>
      <w:proofErr w:type="gramStart"/>
      <w:r w:rsidRPr="00B3496D">
        <w:rPr>
          <w:rFonts w:ascii="Calibri" w:eastAsia="MS Mincho" w:hAnsi="Calibri" w:cs="Times New Roman"/>
          <w:lang w:eastAsia="ja-JP"/>
        </w:rPr>
        <w:t>;89:706</w:t>
      </w:r>
      <w:proofErr w:type="gramEnd"/>
      <w:r w:rsidRPr="00B3496D">
        <w:rPr>
          <w:rFonts w:ascii="Calibri" w:eastAsia="MS Mincho" w:hAnsi="Calibri" w:cs="Times New Roman"/>
          <w:lang w:eastAsia="ja-JP"/>
        </w:rPr>
        <w:t>-707.</w:t>
      </w:r>
    </w:p>
    <w:p w14:paraId="3E814388" w14:textId="77777777" w:rsidR="007C2B21" w:rsidRPr="007C2B21" w:rsidRDefault="007C2B21" w:rsidP="007C2B21">
      <w:pPr>
        <w:pStyle w:val="ListParagraph"/>
        <w:numPr>
          <w:ilvl w:val="0"/>
          <w:numId w:val="1"/>
        </w:numPr>
        <w:spacing w:line="480" w:lineRule="auto"/>
      </w:pPr>
      <w:proofErr w:type="spellStart"/>
      <w:r w:rsidRPr="007C2B21">
        <w:t>Mok</w:t>
      </w:r>
      <w:proofErr w:type="spellEnd"/>
      <w:r w:rsidRPr="007C2B21">
        <w:t xml:space="preserve"> PL, Leyland AH, </w:t>
      </w:r>
      <w:proofErr w:type="spellStart"/>
      <w:r w:rsidRPr="007C2B21">
        <w:t>Kapur</w:t>
      </w:r>
      <w:proofErr w:type="spellEnd"/>
      <w:r w:rsidRPr="007C2B21">
        <w:t xml:space="preserve"> N, </w:t>
      </w:r>
      <w:proofErr w:type="spellStart"/>
      <w:r w:rsidRPr="007C2B21">
        <w:t>Windfuhr</w:t>
      </w:r>
      <w:proofErr w:type="spellEnd"/>
      <w:r w:rsidRPr="007C2B21">
        <w:t xml:space="preserve"> K, Appleby L, Platt S, Webb RT. Why does Scotland have a higher suicide rate than England? An area-level investigation of health and social factors. </w:t>
      </w:r>
      <w:r w:rsidRPr="007C2B21">
        <w:rPr>
          <w:i/>
        </w:rPr>
        <w:t xml:space="preserve">J </w:t>
      </w:r>
      <w:proofErr w:type="spellStart"/>
      <w:r w:rsidRPr="007C2B21">
        <w:rPr>
          <w:i/>
        </w:rPr>
        <w:t>Epidemiol</w:t>
      </w:r>
      <w:proofErr w:type="spellEnd"/>
      <w:r w:rsidRPr="007C2B21">
        <w:rPr>
          <w:i/>
        </w:rPr>
        <w:t xml:space="preserve"> Community Health</w:t>
      </w:r>
      <w:r w:rsidRPr="007C2B21">
        <w:t>. 2013</w:t>
      </w:r>
      <w:proofErr w:type="gramStart"/>
      <w:r w:rsidRPr="007C2B21">
        <w:t>;67</w:t>
      </w:r>
      <w:proofErr w:type="gramEnd"/>
      <w:r w:rsidRPr="007C2B21">
        <w:t xml:space="preserve">(1):63-70. </w:t>
      </w:r>
    </w:p>
    <w:p w14:paraId="6401CB01" w14:textId="77777777" w:rsidR="007C2B21" w:rsidRPr="007C2B21" w:rsidRDefault="007C2B21" w:rsidP="007C2B21">
      <w:pPr>
        <w:numPr>
          <w:ilvl w:val="0"/>
          <w:numId w:val="1"/>
        </w:numPr>
        <w:spacing w:line="480" w:lineRule="auto"/>
        <w:contextualSpacing/>
        <w:rPr>
          <w:rFonts w:eastAsia="MS Mincho" w:cs="Times New Roman"/>
          <w:lang w:eastAsia="ja-JP"/>
        </w:rPr>
      </w:pPr>
      <w:r w:rsidRPr="007C2B21">
        <w:t xml:space="preserve">Bloor M, Gannon M, Hay G, Jackson G, Leyland AH, </w:t>
      </w:r>
      <w:proofErr w:type="spellStart"/>
      <w:r w:rsidRPr="007C2B21">
        <w:t>McKeganey</w:t>
      </w:r>
      <w:proofErr w:type="spellEnd"/>
      <w:r w:rsidRPr="007C2B21">
        <w:t xml:space="preserve"> N. Contribution of problem drug users' deaths to excess mortality in Scotland: secondary analysis of cohort study. </w:t>
      </w:r>
      <w:r w:rsidRPr="007C2B21">
        <w:rPr>
          <w:i/>
        </w:rPr>
        <w:t>BMJ</w:t>
      </w:r>
      <w:r w:rsidRPr="007C2B21">
        <w:t>. 2008 ;337:a478</w:t>
      </w:r>
    </w:p>
    <w:p w14:paraId="72F92E72" w14:textId="33D5DA07" w:rsidR="00B3496D" w:rsidRPr="00B3496D" w:rsidRDefault="00B3496D" w:rsidP="007C2B21">
      <w:pPr>
        <w:numPr>
          <w:ilvl w:val="0"/>
          <w:numId w:val="1"/>
        </w:numPr>
        <w:spacing w:line="480" w:lineRule="auto"/>
        <w:contextualSpacing/>
        <w:rPr>
          <w:rFonts w:ascii="Calibri" w:eastAsia="MS Mincho" w:hAnsi="Calibri" w:cs="Times New Roman"/>
          <w:lang w:eastAsia="ja-JP"/>
        </w:rPr>
      </w:pPr>
      <w:r w:rsidRPr="00B3496D">
        <w:rPr>
          <w:rFonts w:ascii="Calibri" w:eastAsia="MS Mincho" w:hAnsi="Calibri" w:cs="Times New Roman"/>
          <w:lang w:eastAsia="ja-JP"/>
        </w:rPr>
        <w:lastRenderedPageBreak/>
        <w:t xml:space="preserve">Bhopal RS. Heterogeneity among Indians, Pakistanis, and Bangladeshis is key to racial inequities. </w:t>
      </w:r>
      <w:r w:rsidRPr="00B3496D">
        <w:rPr>
          <w:rFonts w:ascii="Calibri" w:eastAsia="MS Mincho" w:hAnsi="Calibri" w:cs="Times New Roman"/>
          <w:i/>
          <w:lang w:eastAsia="ja-JP"/>
        </w:rPr>
        <w:t>BMJ</w:t>
      </w:r>
      <w:r w:rsidRPr="00B3496D">
        <w:rPr>
          <w:rFonts w:ascii="Calibri" w:eastAsia="MS Mincho" w:hAnsi="Calibri" w:cs="Times New Roman"/>
          <w:lang w:eastAsia="ja-JP"/>
        </w:rPr>
        <w:t>. 2002</w:t>
      </w:r>
      <w:proofErr w:type="gramStart"/>
      <w:r w:rsidRPr="00B3496D">
        <w:rPr>
          <w:rFonts w:ascii="Calibri" w:eastAsia="MS Mincho" w:hAnsi="Calibri" w:cs="Times New Roman"/>
          <w:lang w:eastAsia="ja-JP"/>
        </w:rPr>
        <w:t>;325</w:t>
      </w:r>
      <w:proofErr w:type="gramEnd"/>
      <w:r w:rsidRPr="00B3496D">
        <w:rPr>
          <w:rFonts w:ascii="Calibri" w:eastAsia="MS Mincho" w:hAnsi="Calibri" w:cs="Times New Roman"/>
          <w:lang w:eastAsia="ja-JP"/>
        </w:rPr>
        <w:t>(7369):903.</w:t>
      </w:r>
    </w:p>
    <w:p w14:paraId="7B1E3A35" w14:textId="77777777" w:rsidR="00132C20" w:rsidRDefault="00132C20" w:rsidP="00132C20">
      <w:pPr>
        <w:numPr>
          <w:ilvl w:val="0"/>
          <w:numId w:val="1"/>
        </w:numPr>
        <w:spacing w:line="480" w:lineRule="auto"/>
        <w:contextualSpacing/>
        <w:rPr>
          <w:rFonts w:ascii="Calibri" w:eastAsia="MS Mincho" w:hAnsi="Calibri" w:cs="Times New Roman"/>
          <w:lang w:eastAsia="ja-JP"/>
        </w:rPr>
      </w:pPr>
      <w:r>
        <w:rPr>
          <w:rFonts w:ascii="Calibri" w:eastAsia="MS Mincho" w:hAnsi="Calibri" w:cs="Times New Roman"/>
          <w:lang w:eastAsia="ja-JP"/>
        </w:rPr>
        <w:t>Glasgow Centre for Population Health; work themes.</w:t>
      </w:r>
    </w:p>
    <w:p w14:paraId="51AC0D1F" w14:textId="77777777" w:rsidR="00132C20" w:rsidRDefault="00132C20" w:rsidP="00132C20">
      <w:pPr>
        <w:spacing w:line="480" w:lineRule="auto"/>
        <w:ind w:left="720"/>
        <w:contextualSpacing/>
        <w:rPr>
          <w:rFonts w:ascii="Calibri" w:eastAsia="MS Mincho" w:hAnsi="Calibri" w:cs="Times New Roman"/>
          <w:lang w:eastAsia="ja-JP"/>
        </w:rPr>
      </w:pPr>
      <w:r>
        <w:rPr>
          <w:rFonts w:ascii="Calibri" w:eastAsia="MS Mincho" w:hAnsi="Calibri" w:cs="Times New Roman"/>
          <w:lang w:eastAsia="ja-JP"/>
        </w:rPr>
        <w:t xml:space="preserve">Available from: </w:t>
      </w:r>
      <w:hyperlink r:id="rId30" w:history="1">
        <w:r w:rsidRPr="00914B3A">
          <w:rPr>
            <w:rStyle w:val="Hyperlink"/>
            <w:rFonts w:ascii="Calibri" w:eastAsia="MS Mincho" w:hAnsi="Calibri" w:cs="Times New Roman"/>
            <w:lang w:eastAsia="ja-JP"/>
          </w:rPr>
          <w:t>http://www.gcph.co.uk/work_themes/synthesis_what_have_we_learned</w:t>
        </w:r>
      </w:hyperlink>
      <w:r>
        <w:rPr>
          <w:rFonts w:ascii="Calibri" w:eastAsia="MS Mincho" w:hAnsi="Calibri" w:cs="Times New Roman"/>
          <w:lang w:eastAsia="ja-JP"/>
        </w:rPr>
        <w:t xml:space="preserve"> Accessed March 25th 2015.</w:t>
      </w:r>
    </w:p>
    <w:p w14:paraId="5C77C373" w14:textId="77777777" w:rsidR="00B3496D" w:rsidRPr="00B3496D" w:rsidRDefault="00B3496D" w:rsidP="00183000">
      <w:pPr>
        <w:numPr>
          <w:ilvl w:val="0"/>
          <w:numId w:val="1"/>
        </w:numPr>
        <w:spacing w:line="480" w:lineRule="auto"/>
        <w:contextualSpacing/>
        <w:rPr>
          <w:rFonts w:ascii="Calibri" w:eastAsia="MS Mincho" w:hAnsi="Calibri" w:cs="Times New Roman"/>
          <w:lang w:eastAsia="ja-JP"/>
        </w:rPr>
      </w:pPr>
      <w:proofErr w:type="spellStart"/>
      <w:r w:rsidRPr="00B3496D">
        <w:rPr>
          <w:rFonts w:ascii="Calibri" w:eastAsia="MS Mincho" w:hAnsi="Calibri" w:cs="Times New Roman"/>
          <w:lang w:eastAsia="ja-JP"/>
        </w:rPr>
        <w:t>Gavine</w:t>
      </w:r>
      <w:proofErr w:type="spellEnd"/>
      <w:r w:rsidRPr="00B3496D">
        <w:rPr>
          <w:rFonts w:ascii="Calibri" w:eastAsia="MS Mincho" w:hAnsi="Calibri" w:cs="Times New Roman"/>
          <w:lang w:eastAsia="ja-JP"/>
        </w:rPr>
        <w:t xml:space="preserve"> AJ, Williams DJ, Shearer MC, Donnelly PD. The Glasgow effect: useful construct or epidemiological dead end? </w:t>
      </w:r>
      <w:r w:rsidRPr="00B3496D">
        <w:rPr>
          <w:rFonts w:ascii="Calibri" w:eastAsia="MS Mincho" w:hAnsi="Calibri" w:cs="Times New Roman"/>
          <w:i/>
          <w:lang w:eastAsia="ja-JP"/>
        </w:rPr>
        <w:t>Public Health</w:t>
      </w:r>
      <w:r w:rsidRPr="00B3496D">
        <w:rPr>
          <w:rFonts w:ascii="Calibri" w:eastAsia="MS Mincho" w:hAnsi="Calibri" w:cs="Times New Roman"/>
          <w:lang w:eastAsia="ja-JP"/>
        </w:rPr>
        <w:t>. 2011</w:t>
      </w:r>
      <w:proofErr w:type="gramStart"/>
      <w:r w:rsidRPr="00B3496D">
        <w:rPr>
          <w:rFonts w:ascii="Calibri" w:eastAsia="MS Mincho" w:hAnsi="Calibri" w:cs="Times New Roman"/>
          <w:lang w:eastAsia="ja-JP"/>
        </w:rPr>
        <w:t>;125</w:t>
      </w:r>
      <w:proofErr w:type="gramEnd"/>
      <w:r w:rsidRPr="00B3496D">
        <w:rPr>
          <w:rFonts w:ascii="Calibri" w:eastAsia="MS Mincho" w:hAnsi="Calibri" w:cs="Times New Roman"/>
          <w:lang w:eastAsia="ja-JP"/>
        </w:rPr>
        <w:t xml:space="preserve">(8):561-562. </w:t>
      </w:r>
    </w:p>
    <w:p w14:paraId="41A5047E" w14:textId="77777777" w:rsidR="00A018B8" w:rsidRDefault="00A018B8">
      <w:pPr>
        <w:rPr>
          <w:b/>
          <w:bCs/>
        </w:rPr>
      </w:pPr>
      <w:r>
        <w:rPr>
          <w:b/>
          <w:bCs/>
        </w:rPr>
        <w:br w:type="page"/>
      </w:r>
    </w:p>
    <w:p w14:paraId="3D82934B" w14:textId="77777777" w:rsidR="00A018B8" w:rsidRDefault="00A018B8" w:rsidP="00A018B8">
      <w:pPr>
        <w:rPr>
          <w:b/>
        </w:rPr>
        <w:sectPr w:rsidR="00A018B8" w:rsidSect="00837AD1">
          <w:footerReference w:type="default" r:id="rId31"/>
          <w:pgSz w:w="11906" w:h="16838"/>
          <w:pgMar w:top="1701" w:right="1701" w:bottom="1701" w:left="1701" w:header="709" w:footer="709" w:gutter="0"/>
          <w:cols w:space="708"/>
          <w:docGrid w:linePitch="360"/>
        </w:sectPr>
      </w:pPr>
    </w:p>
    <w:p w14:paraId="0AE568D0" w14:textId="77777777" w:rsidR="00C6616F" w:rsidRDefault="00C6616F" w:rsidP="00C6616F">
      <w:pPr>
        <w:spacing w:line="240" w:lineRule="auto"/>
        <w:rPr>
          <w:rFonts w:ascii="Calibri" w:eastAsia="MS Mincho" w:hAnsi="Calibri" w:cs="Arial"/>
          <w:b/>
          <w:sz w:val="24"/>
          <w:szCs w:val="24"/>
          <w:lang w:eastAsia="ja-JP"/>
        </w:rPr>
      </w:pPr>
      <w:r>
        <w:rPr>
          <w:rFonts w:ascii="Calibri" w:eastAsia="MS Mincho" w:hAnsi="Calibri" w:cs="Arial"/>
          <w:b/>
          <w:sz w:val="24"/>
          <w:szCs w:val="24"/>
          <w:lang w:eastAsia="ja-JP"/>
        </w:rPr>
        <w:lastRenderedPageBreak/>
        <w:t>New Table 1:</w:t>
      </w:r>
    </w:p>
    <w:p w14:paraId="01EAB1B4" w14:textId="77777777" w:rsidR="00C6616F" w:rsidRDefault="00C6616F" w:rsidP="00C6616F">
      <w:pPr>
        <w:spacing w:line="240" w:lineRule="auto"/>
        <w:rPr>
          <w:rFonts w:ascii="Calibri" w:eastAsia="MS Mincho" w:hAnsi="Calibri" w:cs="Arial"/>
          <w:b/>
          <w:sz w:val="24"/>
          <w:szCs w:val="24"/>
          <w:lang w:eastAsia="ja-JP"/>
        </w:rPr>
      </w:pPr>
    </w:p>
    <w:p w14:paraId="4162BE1B" w14:textId="1DF2AD2F" w:rsidR="00C6616F" w:rsidRPr="00C6616F" w:rsidRDefault="00C6616F" w:rsidP="00C6616F">
      <w:pPr>
        <w:spacing w:line="240" w:lineRule="auto"/>
        <w:rPr>
          <w:rFonts w:ascii="Calibri" w:eastAsia="MS Mincho" w:hAnsi="Calibri" w:cs="Arial"/>
          <w:b/>
          <w:lang w:eastAsia="ja-JP"/>
        </w:rPr>
      </w:pPr>
      <w:r w:rsidRPr="00C6616F">
        <w:rPr>
          <w:rFonts w:ascii="Calibri" w:eastAsia="MS Mincho" w:hAnsi="Calibri" w:cs="Arial"/>
          <w:b/>
          <w:lang w:eastAsia="ja-JP"/>
        </w:rPr>
        <w:t>Table 1. Summary of selected studies of health outcomes in Scotland and their main findings</w:t>
      </w:r>
    </w:p>
    <w:p w14:paraId="0423E821" w14:textId="77777777" w:rsidR="00C6616F" w:rsidRPr="00C6616F" w:rsidRDefault="00C6616F" w:rsidP="00C6616F">
      <w:pPr>
        <w:spacing w:line="240" w:lineRule="auto"/>
        <w:rPr>
          <w:rFonts w:ascii="Calibri" w:eastAsia="MS Mincho" w:hAnsi="Calibri" w:cs="Arial"/>
          <w:sz w:val="24"/>
          <w:szCs w:val="24"/>
          <w:lang w:eastAsia="ja-JP"/>
        </w:rPr>
      </w:pPr>
    </w:p>
    <w:tbl>
      <w:tblPr>
        <w:tblStyle w:val="TableGrid1"/>
        <w:tblW w:w="0" w:type="auto"/>
        <w:tblLook w:val="04A0" w:firstRow="1" w:lastRow="0" w:firstColumn="1" w:lastColumn="0" w:noHBand="0" w:noVBand="1"/>
      </w:tblPr>
      <w:tblGrid>
        <w:gridCol w:w="1347"/>
        <w:gridCol w:w="698"/>
        <w:gridCol w:w="1312"/>
        <w:gridCol w:w="1309"/>
        <w:gridCol w:w="1524"/>
        <w:gridCol w:w="1204"/>
        <w:gridCol w:w="6258"/>
      </w:tblGrid>
      <w:tr w:rsidR="00C6616F" w:rsidRPr="00C6616F" w14:paraId="7C8E1460" w14:textId="77777777" w:rsidTr="009F66DC">
        <w:tc>
          <w:tcPr>
            <w:tcW w:w="1239" w:type="dxa"/>
          </w:tcPr>
          <w:p w14:paraId="708CF70D" w14:textId="77777777" w:rsidR="00C6616F" w:rsidRPr="00C6616F" w:rsidRDefault="00C6616F" w:rsidP="00C6616F">
            <w:pPr>
              <w:rPr>
                <w:rFonts w:ascii="Calibri" w:eastAsia="MS Mincho" w:hAnsi="Calibri" w:cs="Arial"/>
                <w:b/>
              </w:rPr>
            </w:pPr>
            <w:r w:rsidRPr="00C6616F">
              <w:rPr>
                <w:rFonts w:ascii="Calibri" w:eastAsia="MS Mincho" w:hAnsi="Calibri" w:cs="Arial"/>
                <w:b/>
              </w:rPr>
              <w:t>Study</w:t>
            </w:r>
          </w:p>
        </w:tc>
        <w:tc>
          <w:tcPr>
            <w:tcW w:w="704" w:type="dxa"/>
          </w:tcPr>
          <w:p w14:paraId="6AEEAF59" w14:textId="77777777" w:rsidR="00C6616F" w:rsidRPr="00C6616F" w:rsidRDefault="00C6616F" w:rsidP="00C6616F">
            <w:pPr>
              <w:rPr>
                <w:rFonts w:ascii="Calibri" w:eastAsia="MS Mincho" w:hAnsi="Calibri" w:cs="Arial"/>
                <w:b/>
              </w:rPr>
            </w:pPr>
            <w:r w:rsidRPr="00C6616F">
              <w:rPr>
                <w:rFonts w:ascii="Calibri" w:eastAsia="MS Mincho" w:hAnsi="Calibri" w:cs="Arial"/>
                <w:b/>
              </w:rPr>
              <w:t>Year</w:t>
            </w:r>
          </w:p>
        </w:tc>
        <w:tc>
          <w:tcPr>
            <w:tcW w:w="1312" w:type="dxa"/>
          </w:tcPr>
          <w:p w14:paraId="61C9CC76" w14:textId="77777777" w:rsidR="00C6616F" w:rsidRPr="00C6616F" w:rsidRDefault="00C6616F" w:rsidP="00C6616F">
            <w:pPr>
              <w:rPr>
                <w:rFonts w:ascii="Calibri" w:eastAsia="MS Mincho" w:hAnsi="Calibri" w:cs="Arial"/>
                <w:b/>
              </w:rPr>
            </w:pPr>
            <w:r w:rsidRPr="00C6616F">
              <w:rPr>
                <w:rFonts w:ascii="Calibri" w:eastAsia="MS Mincho" w:hAnsi="Calibri" w:cs="Arial"/>
                <w:b/>
              </w:rPr>
              <w:t>Geographical area of interest</w:t>
            </w:r>
          </w:p>
        </w:tc>
        <w:tc>
          <w:tcPr>
            <w:tcW w:w="1309" w:type="dxa"/>
          </w:tcPr>
          <w:p w14:paraId="15B5B0B3" w14:textId="77777777" w:rsidR="00C6616F" w:rsidRPr="00C6616F" w:rsidRDefault="00C6616F" w:rsidP="00C6616F">
            <w:pPr>
              <w:rPr>
                <w:rFonts w:ascii="Calibri" w:eastAsia="MS Mincho" w:hAnsi="Calibri" w:cs="Arial"/>
                <w:b/>
              </w:rPr>
            </w:pPr>
            <w:r w:rsidRPr="00C6616F">
              <w:rPr>
                <w:rFonts w:ascii="Calibri" w:eastAsia="MS Mincho" w:hAnsi="Calibri" w:cs="Arial"/>
                <w:b/>
              </w:rPr>
              <w:t>Comparator area</w:t>
            </w:r>
          </w:p>
        </w:tc>
        <w:tc>
          <w:tcPr>
            <w:tcW w:w="1524" w:type="dxa"/>
          </w:tcPr>
          <w:p w14:paraId="764870BB" w14:textId="77777777" w:rsidR="00C6616F" w:rsidRPr="00C6616F" w:rsidRDefault="00C6616F" w:rsidP="00C6616F">
            <w:pPr>
              <w:rPr>
                <w:rFonts w:ascii="Calibri" w:eastAsia="MS Mincho" w:hAnsi="Calibri" w:cs="Arial"/>
                <w:b/>
              </w:rPr>
            </w:pPr>
            <w:r w:rsidRPr="00C6616F">
              <w:rPr>
                <w:rFonts w:ascii="Calibri" w:eastAsia="MS Mincho" w:hAnsi="Calibri" w:cs="Arial"/>
                <w:b/>
              </w:rPr>
              <w:t>Characteristic / exposure</w:t>
            </w:r>
          </w:p>
        </w:tc>
        <w:tc>
          <w:tcPr>
            <w:tcW w:w="1135" w:type="dxa"/>
          </w:tcPr>
          <w:p w14:paraId="5419AE7E" w14:textId="77777777" w:rsidR="00C6616F" w:rsidRPr="00C6616F" w:rsidRDefault="00C6616F" w:rsidP="00C6616F">
            <w:pPr>
              <w:rPr>
                <w:rFonts w:ascii="Calibri" w:eastAsia="MS Mincho" w:hAnsi="Calibri" w:cs="Arial"/>
                <w:b/>
              </w:rPr>
            </w:pPr>
            <w:r w:rsidRPr="00C6616F">
              <w:rPr>
                <w:rFonts w:ascii="Calibri" w:eastAsia="MS Mincho" w:hAnsi="Calibri" w:cs="Arial"/>
                <w:b/>
              </w:rPr>
              <w:t>Outcome</w:t>
            </w:r>
          </w:p>
        </w:tc>
        <w:tc>
          <w:tcPr>
            <w:tcW w:w="6673" w:type="dxa"/>
          </w:tcPr>
          <w:p w14:paraId="7847FBA6" w14:textId="77777777" w:rsidR="00C6616F" w:rsidRPr="00C6616F" w:rsidRDefault="00C6616F" w:rsidP="00C6616F">
            <w:pPr>
              <w:rPr>
                <w:rFonts w:ascii="Calibri" w:eastAsia="MS Mincho" w:hAnsi="Calibri" w:cs="Arial"/>
                <w:b/>
              </w:rPr>
            </w:pPr>
            <w:r w:rsidRPr="00C6616F">
              <w:rPr>
                <w:rFonts w:ascii="Calibri" w:eastAsia="MS Mincho" w:hAnsi="Calibri" w:cs="Arial"/>
                <w:b/>
              </w:rPr>
              <w:t>Main finding and effect size (where available)</w:t>
            </w:r>
          </w:p>
        </w:tc>
      </w:tr>
      <w:tr w:rsidR="00C6616F" w:rsidRPr="00C6616F" w14:paraId="2A9A9B66" w14:textId="77777777" w:rsidTr="009F66DC">
        <w:tc>
          <w:tcPr>
            <w:tcW w:w="1239" w:type="dxa"/>
          </w:tcPr>
          <w:p w14:paraId="71B0977D" w14:textId="77777777" w:rsidR="00C6616F" w:rsidRPr="00C6616F" w:rsidRDefault="00C6616F" w:rsidP="00C6616F">
            <w:pPr>
              <w:rPr>
                <w:rFonts w:ascii="Calibri" w:eastAsia="MS Mincho" w:hAnsi="Calibri" w:cs="Arial"/>
              </w:rPr>
            </w:pPr>
            <w:r w:rsidRPr="00C6616F">
              <w:rPr>
                <w:rFonts w:ascii="Calibri" w:eastAsia="MS Mincho" w:hAnsi="Calibri" w:cs="Arial"/>
              </w:rPr>
              <w:t>Carstairs</w:t>
            </w:r>
            <w:r w:rsidRPr="00C6616F">
              <w:rPr>
                <w:rFonts w:ascii="Calibri" w:eastAsia="MS Mincho" w:hAnsi="Calibri" w:cs="Arial"/>
                <w:vertAlign w:val="superscript"/>
              </w:rPr>
              <w:t>4</w:t>
            </w:r>
          </w:p>
        </w:tc>
        <w:tc>
          <w:tcPr>
            <w:tcW w:w="704" w:type="dxa"/>
          </w:tcPr>
          <w:p w14:paraId="1EB096EA" w14:textId="77777777" w:rsidR="00C6616F" w:rsidRPr="00C6616F" w:rsidRDefault="00C6616F" w:rsidP="00C6616F">
            <w:pPr>
              <w:rPr>
                <w:rFonts w:ascii="Calibri" w:eastAsia="MS Mincho" w:hAnsi="Calibri" w:cs="Arial"/>
              </w:rPr>
            </w:pPr>
            <w:r w:rsidRPr="00C6616F">
              <w:rPr>
                <w:rFonts w:ascii="Calibri" w:eastAsia="MS Mincho" w:hAnsi="Calibri" w:cs="Arial"/>
              </w:rPr>
              <w:t>1989</w:t>
            </w:r>
          </w:p>
        </w:tc>
        <w:tc>
          <w:tcPr>
            <w:tcW w:w="1312" w:type="dxa"/>
          </w:tcPr>
          <w:p w14:paraId="779A5643" w14:textId="77777777" w:rsidR="00C6616F" w:rsidRPr="00C6616F" w:rsidRDefault="00C6616F" w:rsidP="00C6616F">
            <w:pPr>
              <w:rPr>
                <w:rFonts w:ascii="Calibri" w:eastAsia="MS Mincho" w:hAnsi="Calibri" w:cs="Arial"/>
              </w:rPr>
            </w:pPr>
            <w:r w:rsidRPr="00C6616F">
              <w:rPr>
                <w:rFonts w:ascii="Calibri" w:eastAsia="MS Mincho" w:hAnsi="Calibri" w:cs="Arial"/>
              </w:rPr>
              <w:t>Scotland</w:t>
            </w:r>
          </w:p>
        </w:tc>
        <w:tc>
          <w:tcPr>
            <w:tcW w:w="1309" w:type="dxa"/>
          </w:tcPr>
          <w:p w14:paraId="76EC3E93" w14:textId="77777777" w:rsidR="00C6616F" w:rsidRPr="00C6616F" w:rsidRDefault="00C6616F" w:rsidP="00C6616F">
            <w:pPr>
              <w:rPr>
                <w:rFonts w:ascii="Calibri" w:eastAsia="MS Mincho" w:hAnsi="Calibri" w:cs="Arial"/>
              </w:rPr>
            </w:pPr>
            <w:r w:rsidRPr="00C6616F">
              <w:rPr>
                <w:rFonts w:ascii="Calibri" w:eastAsia="MS Mincho" w:hAnsi="Calibri" w:cs="Arial"/>
              </w:rPr>
              <w:t>England and Wales</w:t>
            </w:r>
          </w:p>
        </w:tc>
        <w:tc>
          <w:tcPr>
            <w:tcW w:w="1524" w:type="dxa"/>
          </w:tcPr>
          <w:p w14:paraId="60297F84" w14:textId="77777777" w:rsidR="00C6616F" w:rsidRPr="00C6616F" w:rsidRDefault="00C6616F" w:rsidP="00C6616F">
            <w:pPr>
              <w:rPr>
                <w:rFonts w:ascii="Calibri" w:eastAsia="MS Mincho" w:hAnsi="Calibri" w:cs="Arial"/>
              </w:rPr>
            </w:pPr>
            <w:r w:rsidRPr="00C6616F">
              <w:rPr>
                <w:rFonts w:ascii="Calibri" w:eastAsia="MS Mincho" w:hAnsi="Calibri" w:cs="Arial"/>
              </w:rPr>
              <w:t>Socioeconomic status</w:t>
            </w:r>
          </w:p>
        </w:tc>
        <w:tc>
          <w:tcPr>
            <w:tcW w:w="1135" w:type="dxa"/>
          </w:tcPr>
          <w:p w14:paraId="330DDD5F"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tc>
        <w:tc>
          <w:tcPr>
            <w:tcW w:w="6673" w:type="dxa"/>
          </w:tcPr>
          <w:p w14:paraId="35F24700" w14:textId="77777777" w:rsidR="00C6616F" w:rsidRPr="00C6616F" w:rsidRDefault="00C6616F" w:rsidP="00C6616F">
            <w:pPr>
              <w:rPr>
                <w:rFonts w:ascii="Calibri" w:eastAsia="MS Mincho" w:hAnsi="Calibri" w:cs="Arial"/>
              </w:rPr>
            </w:pPr>
            <w:r w:rsidRPr="00C6616F">
              <w:rPr>
                <w:rFonts w:ascii="Calibri" w:eastAsia="MS Mincho" w:hAnsi="Calibri" w:cs="Arial"/>
              </w:rPr>
              <w:t>Scotland is more deprived than England and Wales and part of Scotland’s excess mortality may be explained by deprivation. Excess mortality is seen in all social classes, but greatest in people living in the poorest areas.</w:t>
            </w:r>
          </w:p>
        </w:tc>
      </w:tr>
      <w:tr w:rsidR="00C6616F" w:rsidRPr="00C6616F" w14:paraId="3CCED5D4" w14:textId="77777777" w:rsidTr="009F66DC">
        <w:tc>
          <w:tcPr>
            <w:tcW w:w="1239" w:type="dxa"/>
          </w:tcPr>
          <w:p w14:paraId="08486E13" w14:textId="77777777" w:rsidR="00C6616F" w:rsidRPr="00C6616F" w:rsidRDefault="00C6616F" w:rsidP="00C6616F">
            <w:pPr>
              <w:rPr>
                <w:rFonts w:ascii="Calibri" w:eastAsia="MS Mincho" w:hAnsi="Calibri" w:cs="Arial"/>
              </w:rPr>
            </w:pPr>
            <w:r w:rsidRPr="00C6616F">
              <w:rPr>
                <w:rFonts w:ascii="Calibri" w:eastAsia="MS Mincho" w:hAnsi="Calibri" w:cs="Arial"/>
              </w:rPr>
              <w:t>Hanlon</w:t>
            </w:r>
            <w:r w:rsidRPr="00C6616F">
              <w:rPr>
                <w:rFonts w:ascii="Calibri" w:eastAsia="MS Mincho" w:hAnsi="Calibri" w:cs="Arial"/>
                <w:vertAlign w:val="superscript"/>
              </w:rPr>
              <w:t>8</w:t>
            </w:r>
          </w:p>
        </w:tc>
        <w:tc>
          <w:tcPr>
            <w:tcW w:w="704" w:type="dxa"/>
          </w:tcPr>
          <w:p w14:paraId="5DB39675" w14:textId="77777777" w:rsidR="00C6616F" w:rsidRPr="00C6616F" w:rsidRDefault="00C6616F" w:rsidP="00C6616F">
            <w:pPr>
              <w:rPr>
                <w:rFonts w:ascii="Calibri" w:eastAsia="MS Mincho" w:hAnsi="Calibri" w:cs="Arial"/>
              </w:rPr>
            </w:pPr>
            <w:r w:rsidRPr="00C6616F">
              <w:rPr>
                <w:rFonts w:ascii="Calibri" w:eastAsia="MS Mincho" w:hAnsi="Calibri" w:cs="Arial"/>
              </w:rPr>
              <w:t>2005</w:t>
            </w:r>
          </w:p>
        </w:tc>
        <w:tc>
          <w:tcPr>
            <w:tcW w:w="1312" w:type="dxa"/>
          </w:tcPr>
          <w:p w14:paraId="4D9FF240" w14:textId="77777777" w:rsidR="00C6616F" w:rsidRPr="00C6616F" w:rsidRDefault="00C6616F" w:rsidP="00C6616F">
            <w:pPr>
              <w:rPr>
                <w:rFonts w:ascii="Calibri" w:eastAsia="MS Mincho" w:hAnsi="Calibri" w:cs="Arial"/>
              </w:rPr>
            </w:pPr>
            <w:r w:rsidRPr="00C6616F">
              <w:rPr>
                <w:rFonts w:ascii="Calibri" w:eastAsia="MS Mincho" w:hAnsi="Calibri" w:cs="Arial"/>
              </w:rPr>
              <w:t>Scotland</w:t>
            </w:r>
          </w:p>
        </w:tc>
        <w:tc>
          <w:tcPr>
            <w:tcW w:w="1309" w:type="dxa"/>
          </w:tcPr>
          <w:p w14:paraId="0C1D62BC" w14:textId="77777777" w:rsidR="00C6616F" w:rsidRPr="00C6616F" w:rsidRDefault="00C6616F" w:rsidP="00C6616F">
            <w:pPr>
              <w:rPr>
                <w:rFonts w:ascii="Calibri" w:eastAsia="MS Mincho" w:hAnsi="Calibri" w:cs="Arial"/>
              </w:rPr>
            </w:pPr>
            <w:r w:rsidRPr="00C6616F">
              <w:rPr>
                <w:rFonts w:ascii="Calibri" w:eastAsia="MS Mincho" w:hAnsi="Calibri" w:cs="Arial"/>
              </w:rPr>
              <w:t>England and Wales</w:t>
            </w:r>
          </w:p>
        </w:tc>
        <w:tc>
          <w:tcPr>
            <w:tcW w:w="1524" w:type="dxa"/>
          </w:tcPr>
          <w:p w14:paraId="5E6185D6" w14:textId="77777777" w:rsidR="00C6616F" w:rsidRPr="00C6616F" w:rsidRDefault="00C6616F" w:rsidP="00C6616F">
            <w:pPr>
              <w:rPr>
                <w:rFonts w:ascii="Calibri" w:eastAsia="MS Mincho" w:hAnsi="Calibri" w:cs="Arial"/>
              </w:rPr>
            </w:pPr>
            <w:r w:rsidRPr="00C6616F">
              <w:rPr>
                <w:rFonts w:ascii="Calibri" w:eastAsia="MS Mincho" w:hAnsi="Calibri" w:cs="Arial"/>
              </w:rPr>
              <w:t>Socioeconomic status</w:t>
            </w:r>
          </w:p>
        </w:tc>
        <w:tc>
          <w:tcPr>
            <w:tcW w:w="1135" w:type="dxa"/>
          </w:tcPr>
          <w:p w14:paraId="5E583DC7"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tc>
        <w:tc>
          <w:tcPr>
            <w:tcW w:w="6673" w:type="dxa"/>
          </w:tcPr>
          <w:p w14:paraId="7A46EFBA" w14:textId="77777777" w:rsidR="00C6616F" w:rsidRPr="00C6616F" w:rsidRDefault="00C6616F" w:rsidP="00C6616F">
            <w:pPr>
              <w:rPr>
                <w:rFonts w:ascii="Calibri" w:eastAsia="MS Mincho" w:hAnsi="Calibri" w:cs="Arial"/>
              </w:rPr>
            </w:pPr>
            <w:r w:rsidRPr="00C6616F">
              <w:rPr>
                <w:rFonts w:ascii="Calibri" w:eastAsia="MS Mincho" w:hAnsi="Calibri" w:cs="Arial"/>
              </w:rPr>
              <w:t>Scotland’s excess mortality is increasing over time and deprivation explains less of it over time.</w:t>
            </w:r>
          </w:p>
          <w:p w14:paraId="0E67BD1E" w14:textId="77777777" w:rsidR="00C6616F" w:rsidRPr="00C6616F" w:rsidRDefault="00C6616F" w:rsidP="00C6616F">
            <w:pPr>
              <w:rPr>
                <w:rFonts w:ascii="Calibri" w:eastAsia="MS Mincho" w:hAnsi="Calibri" w:cs="Arial"/>
              </w:rPr>
            </w:pPr>
            <w:r w:rsidRPr="00C6616F">
              <w:rPr>
                <w:rFonts w:ascii="Calibri" w:eastAsia="MS Mincho" w:hAnsi="Calibri" w:cs="Arial"/>
              </w:rPr>
              <w:t>Scotland to England and Wales ratio of mortality rates, directly standardised for age, sex and deprivation, increased from 104.7% in 1981 to 108.0% in 2001.</w:t>
            </w:r>
          </w:p>
        </w:tc>
      </w:tr>
      <w:tr w:rsidR="00C6616F" w:rsidRPr="00C6616F" w14:paraId="1F4F4DC7" w14:textId="77777777" w:rsidTr="009F66DC">
        <w:tc>
          <w:tcPr>
            <w:tcW w:w="1239" w:type="dxa"/>
          </w:tcPr>
          <w:p w14:paraId="65EE0D1D" w14:textId="77777777" w:rsidR="00C6616F" w:rsidRPr="00C6616F" w:rsidRDefault="00C6616F" w:rsidP="00C6616F">
            <w:pPr>
              <w:rPr>
                <w:rFonts w:ascii="Calibri" w:eastAsia="MS Mincho" w:hAnsi="Calibri" w:cs="Arial"/>
              </w:rPr>
            </w:pPr>
            <w:r w:rsidRPr="00C6616F">
              <w:rPr>
                <w:rFonts w:ascii="Calibri" w:eastAsia="MS Mincho" w:hAnsi="Calibri" w:cs="Arial"/>
              </w:rPr>
              <w:t>Fischbacher</w:t>
            </w:r>
            <w:r w:rsidRPr="00C6616F">
              <w:rPr>
                <w:rFonts w:ascii="Calibri" w:eastAsia="MS Mincho" w:hAnsi="Calibri" w:cs="Arial"/>
                <w:vertAlign w:val="superscript"/>
              </w:rPr>
              <w:t>18</w:t>
            </w:r>
          </w:p>
        </w:tc>
        <w:tc>
          <w:tcPr>
            <w:tcW w:w="704" w:type="dxa"/>
          </w:tcPr>
          <w:p w14:paraId="787A0F56" w14:textId="77777777" w:rsidR="00C6616F" w:rsidRPr="00C6616F" w:rsidRDefault="00C6616F" w:rsidP="00C6616F">
            <w:pPr>
              <w:rPr>
                <w:rFonts w:ascii="Calibri" w:eastAsia="MS Mincho" w:hAnsi="Calibri" w:cs="Arial"/>
              </w:rPr>
            </w:pPr>
            <w:r w:rsidRPr="00C6616F">
              <w:rPr>
                <w:rFonts w:ascii="Calibri" w:eastAsia="MS Mincho" w:hAnsi="Calibri" w:cs="Arial"/>
              </w:rPr>
              <w:t>2007</w:t>
            </w:r>
          </w:p>
        </w:tc>
        <w:tc>
          <w:tcPr>
            <w:tcW w:w="1312" w:type="dxa"/>
          </w:tcPr>
          <w:p w14:paraId="7DAB5578" w14:textId="77777777" w:rsidR="00C6616F" w:rsidRPr="00C6616F" w:rsidRDefault="00C6616F" w:rsidP="00C6616F">
            <w:pPr>
              <w:rPr>
                <w:rFonts w:ascii="Calibri" w:eastAsia="MS Mincho" w:hAnsi="Calibri" w:cs="Arial"/>
              </w:rPr>
            </w:pPr>
            <w:r w:rsidRPr="00C6616F">
              <w:rPr>
                <w:rFonts w:ascii="Calibri" w:eastAsia="MS Mincho" w:hAnsi="Calibri" w:cs="Arial"/>
              </w:rPr>
              <w:t>Scotland</w:t>
            </w:r>
          </w:p>
        </w:tc>
        <w:tc>
          <w:tcPr>
            <w:tcW w:w="1309" w:type="dxa"/>
          </w:tcPr>
          <w:p w14:paraId="30FAC6EB" w14:textId="77777777" w:rsidR="00C6616F" w:rsidRPr="00C6616F" w:rsidRDefault="00C6616F" w:rsidP="00C6616F">
            <w:pPr>
              <w:rPr>
                <w:rFonts w:ascii="Calibri" w:eastAsia="MS Mincho" w:hAnsi="Calibri" w:cs="Arial"/>
              </w:rPr>
            </w:pPr>
            <w:r w:rsidRPr="00C6616F">
              <w:rPr>
                <w:rFonts w:ascii="Calibri" w:eastAsia="MS Mincho" w:hAnsi="Calibri" w:cs="Arial"/>
              </w:rPr>
              <w:t>England and Wales</w:t>
            </w:r>
          </w:p>
        </w:tc>
        <w:tc>
          <w:tcPr>
            <w:tcW w:w="1524" w:type="dxa"/>
          </w:tcPr>
          <w:p w14:paraId="1FADF59F" w14:textId="77777777" w:rsidR="00C6616F" w:rsidRPr="00C6616F" w:rsidRDefault="00C6616F" w:rsidP="00C6616F">
            <w:pPr>
              <w:rPr>
                <w:rFonts w:ascii="Calibri" w:eastAsia="MS Mincho" w:hAnsi="Calibri" w:cs="Arial"/>
              </w:rPr>
            </w:pPr>
            <w:r w:rsidRPr="00C6616F">
              <w:rPr>
                <w:rFonts w:ascii="Calibri" w:eastAsia="MS Mincho" w:hAnsi="Calibri" w:cs="Arial"/>
              </w:rPr>
              <w:t>Country of birth</w:t>
            </w:r>
          </w:p>
        </w:tc>
        <w:tc>
          <w:tcPr>
            <w:tcW w:w="1135" w:type="dxa"/>
          </w:tcPr>
          <w:p w14:paraId="6FB49CD7"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tc>
        <w:tc>
          <w:tcPr>
            <w:tcW w:w="6673" w:type="dxa"/>
          </w:tcPr>
          <w:p w14:paraId="7EF1DA44" w14:textId="77777777" w:rsidR="00C6616F" w:rsidRPr="00C6616F" w:rsidRDefault="00C6616F" w:rsidP="00C6616F">
            <w:pPr>
              <w:rPr>
                <w:rFonts w:ascii="Calibri" w:eastAsia="MS Mincho" w:hAnsi="Calibri" w:cs="Arial"/>
              </w:rPr>
            </w:pPr>
            <w:r w:rsidRPr="00C6616F">
              <w:rPr>
                <w:rFonts w:ascii="Calibri" w:eastAsia="MS Mincho" w:hAnsi="Calibri" w:cs="Arial"/>
              </w:rPr>
              <w:t>In Scotland, compared to people born in Scotland, those born in other parts of the UK had lower all-cause mortality (SMR 80.1 (95% CI 77-83) compared to SMR 100 in Scotland). In England and Wales, those born in Scotland had higher all-cause mortality (SMR 127.8 (95% CI 126-129) compared to SMR 100 in E&amp;W).</w:t>
            </w:r>
          </w:p>
        </w:tc>
      </w:tr>
      <w:tr w:rsidR="006C2D73" w:rsidRPr="00C6616F" w14:paraId="4AC74299" w14:textId="77777777" w:rsidTr="009F66DC">
        <w:tc>
          <w:tcPr>
            <w:tcW w:w="1239" w:type="dxa"/>
          </w:tcPr>
          <w:p w14:paraId="79BA48EA" w14:textId="13469E02" w:rsidR="006C2D73" w:rsidRPr="00C6616F" w:rsidRDefault="006C2D73" w:rsidP="006C2D73">
            <w:pPr>
              <w:rPr>
                <w:rFonts w:ascii="Calibri" w:eastAsia="MS Mincho" w:hAnsi="Calibri" w:cs="Arial"/>
              </w:rPr>
            </w:pPr>
            <w:r>
              <w:rPr>
                <w:rFonts w:ascii="Calibri" w:eastAsia="MS Mincho" w:hAnsi="Calibri" w:cs="Arial"/>
              </w:rPr>
              <w:t>Bloor</w:t>
            </w:r>
            <w:r w:rsidR="009D3200" w:rsidRPr="009D3200">
              <w:rPr>
                <w:rFonts w:ascii="Calibri" w:eastAsia="MS Mincho" w:hAnsi="Calibri" w:cs="Arial"/>
                <w:vertAlign w:val="superscript"/>
              </w:rPr>
              <w:t>45</w:t>
            </w:r>
          </w:p>
        </w:tc>
        <w:tc>
          <w:tcPr>
            <w:tcW w:w="704" w:type="dxa"/>
          </w:tcPr>
          <w:p w14:paraId="7A8C285A" w14:textId="553DD024" w:rsidR="006C2D73" w:rsidRPr="00C6616F" w:rsidRDefault="006C2D73" w:rsidP="00C6616F">
            <w:pPr>
              <w:rPr>
                <w:rFonts w:ascii="Calibri" w:eastAsia="MS Mincho" w:hAnsi="Calibri" w:cs="Arial"/>
              </w:rPr>
            </w:pPr>
            <w:r>
              <w:rPr>
                <w:rFonts w:ascii="Calibri" w:eastAsia="MS Mincho" w:hAnsi="Calibri" w:cs="Arial"/>
              </w:rPr>
              <w:t>2008</w:t>
            </w:r>
          </w:p>
        </w:tc>
        <w:tc>
          <w:tcPr>
            <w:tcW w:w="1312" w:type="dxa"/>
          </w:tcPr>
          <w:p w14:paraId="6DF4F276" w14:textId="3F66D416" w:rsidR="006C2D73" w:rsidRPr="00C6616F" w:rsidRDefault="006C2D73" w:rsidP="00C6616F">
            <w:pPr>
              <w:rPr>
                <w:rFonts w:ascii="Calibri" w:eastAsia="MS Mincho" w:hAnsi="Calibri" w:cs="Arial"/>
              </w:rPr>
            </w:pPr>
            <w:r>
              <w:rPr>
                <w:rFonts w:ascii="Calibri" w:eastAsia="MS Mincho" w:hAnsi="Calibri" w:cs="Arial"/>
              </w:rPr>
              <w:t xml:space="preserve">Scotland </w:t>
            </w:r>
          </w:p>
        </w:tc>
        <w:tc>
          <w:tcPr>
            <w:tcW w:w="1309" w:type="dxa"/>
          </w:tcPr>
          <w:p w14:paraId="69069D1D" w14:textId="66E3361E" w:rsidR="006C2D73" w:rsidRPr="00C6616F" w:rsidRDefault="006C2D73" w:rsidP="00C6616F">
            <w:pPr>
              <w:rPr>
                <w:rFonts w:ascii="Calibri" w:eastAsia="MS Mincho" w:hAnsi="Calibri" w:cs="Arial"/>
              </w:rPr>
            </w:pPr>
            <w:r>
              <w:rPr>
                <w:rFonts w:ascii="Calibri" w:eastAsia="MS Mincho" w:hAnsi="Calibri" w:cs="Arial"/>
              </w:rPr>
              <w:t>England</w:t>
            </w:r>
          </w:p>
        </w:tc>
        <w:tc>
          <w:tcPr>
            <w:tcW w:w="1524" w:type="dxa"/>
          </w:tcPr>
          <w:p w14:paraId="3DC6524D" w14:textId="35A00CD8" w:rsidR="006C2D73" w:rsidRPr="00C6616F" w:rsidRDefault="006C2D73" w:rsidP="00C6616F">
            <w:pPr>
              <w:rPr>
                <w:rFonts w:ascii="Calibri" w:eastAsia="MS Mincho" w:hAnsi="Calibri" w:cs="Arial"/>
              </w:rPr>
            </w:pPr>
            <w:r>
              <w:rPr>
                <w:rFonts w:ascii="Calibri" w:eastAsia="MS Mincho" w:hAnsi="Calibri" w:cs="Arial"/>
              </w:rPr>
              <w:t>Drugs</w:t>
            </w:r>
          </w:p>
        </w:tc>
        <w:tc>
          <w:tcPr>
            <w:tcW w:w="1135" w:type="dxa"/>
          </w:tcPr>
          <w:p w14:paraId="7C503BF8" w14:textId="58197C2E" w:rsidR="006C2D73" w:rsidRPr="00C6616F" w:rsidRDefault="006C2D73" w:rsidP="00C6616F">
            <w:pPr>
              <w:rPr>
                <w:rFonts w:ascii="Calibri" w:eastAsia="MS Mincho" w:hAnsi="Calibri" w:cs="Arial"/>
              </w:rPr>
            </w:pPr>
            <w:r>
              <w:rPr>
                <w:rFonts w:ascii="Calibri" w:eastAsia="MS Mincho" w:hAnsi="Calibri" w:cs="Arial"/>
              </w:rPr>
              <w:t>Mortality</w:t>
            </w:r>
          </w:p>
        </w:tc>
        <w:tc>
          <w:tcPr>
            <w:tcW w:w="6673" w:type="dxa"/>
          </w:tcPr>
          <w:p w14:paraId="2D199DCB" w14:textId="1BE07264" w:rsidR="006C2D73" w:rsidRPr="00C6616F" w:rsidRDefault="006C2D73" w:rsidP="00707237">
            <w:pPr>
              <w:rPr>
                <w:rFonts w:ascii="Calibri" w:eastAsia="MS Mincho" w:hAnsi="Calibri" w:cs="Arial"/>
              </w:rPr>
            </w:pPr>
            <w:r>
              <w:rPr>
                <w:rFonts w:ascii="Calibri" w:eastAsia="MS Mincho" w:hAnsi="Calibri" w:cs="Arial"/>
              </w:rPr>
              <w:t>T</w:t>
            </w:r>
            <w:r w:rsidRPr="006C2D73">
              <w:rPr>
                <w:rFonts w:ascii="Calibri" w:eastAsia="MS Mincho" w:hAnsi="Calibri" w:cs="Arial"/>
              </w:rPr>
              <w:t xml:space="preserve">he contribution of deaths in drug users to national death rates </w:t>
            </w:r>
            <w:r w:rsidR="00707237">
              <w:rPr>
                <w:rFonts w:ascii="Calibri" w:eastAsia="MS Mincho" w:hAnsi="Calibri" w:cs="Arial"/>
              </w:rPr>
              <w:t>was estimated as an</w:t>
            </w:r>
            <w:r w:rsidRPr="006C2D73">
              <w:rPr>
                <w:rFonts w:ascii="Calibri" w:eastAsia="MS Mincho" w:hAnsi="Calibri" w:cs="Arial"/>
              </w:rPr>
              <w:t xml:space="preserve"> </w:t>
            </w:r>
            <w:proofErr w:type="gramStart"/>
            <w:r w:rsidRPr="006C2D73">
              <w:rPr>
                <w:rFonts w:ascii="Calibri" w:eastAsia="MS Mincho" w:hAnsi="Calibri" w:cs="Arial"/>
              </w:rPr>
              <w:t>attributable</w:t>
            </w:r>
            <w:proofErr w:type="gramEnd"/>
            <w:r w:rsidRPr="006C2D73">
              <w:rPr>
                <w:rFonts w:ascii="Calibri" w:eastAsia="MS Mincho" w:hAnsi="Calibri" w:cs="Arial"/>
              </w:rPr>
              <w:t xml:space="preserve"> risk fraction for Scotland </w:t>
            </w:r>
            <w:r w:rsidR="00707237">
              <w:rPr>
                <w:rFonts w:ascii="Calibri" w:eastAsia="MS Mincho" w:hAnsi="Calibri" w:cs="Arial"/>
              </w:rPr>
              <w:t>of</w:t>
            </w:r>
            <w:r w:rsidRPr="006C2D73">
              <w:rPr>
                <w:rFonts w:ascii="Calibri" w:eastAsia="MS Mincho" w:hAnsi="Calibri" w:cs="Arial"/>
              </w:rPr>
              <w:t xml:space="preserve"> 17.3% (</w:t>
            </w:r>
            <w:r w:rsidR="00707237">
              <w:rPr>
                <w:rFonts w:ascii="Calibri" w:eastAsia="MS Mincho" w:hAnsi="Calibri" w:cs="Arial"/>
              </w:rPr>
              <w:t xml:space="preserve">95%CI </w:t>
            </w:r>
            <w:r w:rsidRPr="006C2D73">
              <w:rPr>
                <w:rFonts w:ascii="Calibri" w:eastAsia="MS Mincho" w:hAnsi="Calibri" w:cs="Arial"/>
              </w:rPr>
              <w:t xml:space="preserve">12.3% to 22.8%) and England </w:t>
            </w:r>
            <w:r w:rsidR="00707237">
              <w:rPr>
                <w:rFonts w:ascii="Calibri" w:eastAsia="MS Mincho" w:hAnsi="Calibri" w:cs="Arial"/>
              </w:rPr>
              <w:t>of</w:t>
            </w:r>
            <w:r w:rsidRPr="006C2D73">
              <w:rPr>
                <w:rFonts w:ascii="Calibri" w:eastAsia="MS Mincho" w:hAnsi="Calibri" w:cs="Arial"/>
              </w:rPr>
              <w:t xml:space="preserve"> 11.1% (</w:t>
            </w:r>
            <w:r w:rsidR="00707237">
              <w:rPr>
                <w:rFonts w:ascii="Calibri" w:eastAsia="MS Mincho" w:hAnsi="Calibri" w:cs="Arial"/>
              </w:rPr>
              <w:t xml:space="preserve">95%CI </w:t>
            </w:r>
            <w:r w:rsidRPr="006C2D73">
              <w:rPr>
                <w:rFonts w:ascii="Calibri" w:eastAsia="MS Mincho" w:hAnsi="Calibri" w:cs="Arial"/>
              </w:rPr>
              <w:t>7.8% to 14.8%)</w:t>
            </w:r>
            <w:r w:rsidR="00C415B0">
              <w:rPr>
                <w:rFonts w:ascii="Calibri" w:eastAsia="MS Mincho" w:hAnsi="Calibri" w:cs="Arial"/>
              </w:rPr>
              <w:t xml:space="preserve">. Estimated that </w:t>
            </w:r>
            <w:r w:rsidR="00C415B0" w:rsidRPr="00C415B0">
              <w:rPr>
                <w:rFonts w:ascii="Calibri" w:eastAsia="MS Mincho" w:hAnsi="Calibri" w:cs="Arial"/>
              </w:rPr>
              <w:t>32.0% (</w:t>
            </w:r>
            <w:r w:rsidR="00C415B0">
              <w:rPr>
                <w:rFonts w:ascii="Calibri" w:eastAsia="MS Mincho" w:hAnsi="Calibri" w:cs="Arial"/>
              </w:rPr>
              <w:t xml:space="preserve">95%CI </w:t>
            </w:r>
            <w:r w:rsidR="00C415B0" w:rsidRPr="00C415B0">
              <w:rPr>
                <w:rFonts w:ascii="Calibri" w:eastAsia="MS Mincho" w:hAnsi="Calibri" w:cs="Arial"/>
              </w:rPr>
              <w:t xml:space="preserve">22.3% to 43.0%) of the excess mortality in </w:t>
            </w:r>
            <w:r w:rsidR="00C415B0">
              <w:rPr>
                <w:rFonts w:ascii="Calibri" w:eastAsia="MS Mincho" w:hAnsi="Calibri" w:cs="Arial"/>
              </w:rPr>
              <w:t xml:space="preserve">people aged 15-54 in </w:t>
            </w:r>
            <w:r w:rsidR="00C415B0" w:rsidRPr="00C415B0">
              <w:rPr>
                <w:rFonts w:ascii="Calibri" w:eastAsia="MS Mincho" w:hAnsi="Calibri" w:cs="Arial"/>
              </w:rPr>
              <w:t>Scotland is due to drug use.</w:t>
            </w:r>
          </w:p>
        </w:tc>
      </w:tr>
      <w:tr w:rsidR="00C6616F" w:rsidRPr="00C6616F" w14:paraId="09CE4245" w14:textId="77777777" w:rsidTr="009F66DC">
        <w:tc>
          <w:tcPr>
            <w:tcW w:w="1239" w:type="dxa"/>
          </w:tcPr>
          <w:p w14:paraId="40679480" w14:textId="77777777" w:rsidR="00C6616F" w:rsidRPr="00C6616F" w:rsidRDefault="00C6616F" w:rsidP="00C6616F">
            <w:pPr>
              <w:rPr>
                <w:rFonts w:ascii="Calibri" w:eastAsia="MS Mincho" w:hAnsi="Calibri" w:cs="Arial"/>
              </w:rPr>
            </w:pPr>
            <w:r w:rsidRPr="00C6616F">
              <w:rPr>
                <w:rFonts w:ascii="Calibri" w:eastAsia="MS Mincho" w:hAnsi="Calibri" w:cs="Arial"/>
              </w:rPr>
              <w:t>Gray</w:t>
            </w:r>
            <w:r w:rsidRPr="00C6616F">
              <w:rPr>
                <w:rFonts w:ascii="Calibri" w:eastAsia="MS Mincho" w:hAnsi="Calibri" w:cs="Arial"/>
                <w:vertAlign w:val="superscript"/>
              </w:rPr>
              <w:t>11,15</w:t>
            </w:r>
          </w:p>
        </w:tc>
        <w:tc>
          <w:tcPr>
            <w:tcW w:w="704" w:type="dxa"/>
          </w:tcPr>
          <w:p w14:paraId="60B8B7BB" w14:textId="77777777" w:rsidR="00C6616F" w:rsidRPr="00C6616F" w:rsidRDefault="00C6616F" w:rsidP="00C6616F">
            <w:pPr>
              <w:rPr>
                <w:rFonts w:ascii="Calibri" w:eastAsia="MS Mincho" w:hAnsi="Calibri" w:cs="Arial"/>
              </w:rPr>
            </w:pPr>
            <w:r w:rsidRPr="00C6616F">
              <w:rPr>
                <w:rFonts w:ascii="Calibri" w:eastAsia="MS Mincho" w:hAnsi="Calibri" w:cs="Arial"/>
              </w:rPr>
              <w:t>2009</w:t>
            </w:r>
          </w:p>
        </w:tc>
        <w:tc>
          <w:tcPr>
            <w:tcW w:w="1312" w:type="dxa"/>
          </w:tcPr>
          <w:p w14:paraId="296D7AD8" w14:textId="77777777" w:rsidR="00C6616F" w:rsidRPr="00C6616F" w:rsidRDefault="00C6616F" w:rsidP="00C6616F">
            <w:pPr>
              <w:rPr>
                <w:rFonts w:ascii="Calibri" w:eastAsia="MS Mincho" w:hAnsi="Calibri" w:cs="Arial"/>
              </w:rPr>
            </w:pPr>
            <w:r w:rsidRPr="00C6616F">
              <w:rPr>
                <w:rFonts w:ascii="Calibri" w:eastAsia="MS Mincho" w:hAnsi="Calibri" w:cs="Arial"/>
              </w:rPr>
              <w:t>Glasgow</w:t>
            </w:r>
          </w:p>
        </w:tc>
        <w:tc>
          <w:tcPr>
            <w:tcW w:w="1309" w:type="dxa"/>
          </w:tcPr>
          <w:p w14:paraId="680E783F" w14:textId="77777777" w:rsidR="00C6616F" w:rsidRPr="00C6616F" w:rsidRDefault="00C6616F" w:rsidP="00C6616F">
            <w:pPr>
              <w:rPr>
                <w:rFonts w:ascii="Calibri" w:eastAsia="MS Mincho" w:hAnsi="Calibri" w:cs="Arial"/>
              </w:rPr>
            </w:pPr>
            <w:r w:rsidRPr="00C6616F">
              <w:rPr>
                <w:rFonts w:ascii="Calibri" w:eastAsia="MS Mincho" w:hAnsi="Calibri" w:cs="Arial"/>
              </w:rPr>
              <w:t>Rest of Scotland</w:t>
            </w:r>
          </w:p>
        </w:tc>
        <w:tc>
          <w:tcPr>
            <w:tcW w:w="1524" w:type="dxa"/>
          </w:tcPr>
          <w:p w14:paraId="0E28098B" w14:textId="77777777" w:rsidR="00C6616F" w:rsidRPr="00C6616F" w:rsidRDefault="00C6616F" w:rsidP="00C6616F">
            <w:pPr>
              <w:rPr>
                <w:rFonts w:ascii="Calibri" w:eastAsia="MS Mincho" w:hAnsi="Calibri" w:cs="Arial"/>
              </w:rPr>
            </w:pPr>
            <w:r w:rsidRPr="00C6616F">
              <w:rPr>
                <w:rFonts w:ascii="Calibri" w:eastAsia="MS Mincho" w:hAnsi="Calibri" w:cs="Arial"/>
              </w:rPr>
              <w:t>Socioeconomic status</w:t>
            </w:r>
          </w:p>
        </w:tc>
        <w:tc>
          <w:tcPr>
            <w:tcW w:w="1135" w:type="dxa"/>
          </w:tcPr>
          <w:p w14:paraId="3102C841" w14:textId="77777777" w:rsidR="00C6616F" w:rsidRPr="00C6616F" w:rsidRDefault="00C6616F" w:rsidP="00C6616F">
            <w:pPr>
              <w:rPr>
                <w:rFonts w:ascii="Calibri" w:eastAsia="MS Mincho" w:hAnsi="Calibri" w:cs="Arial"/>
              </w:rPr>
            </w:pPr>
            <w:r w:rsidRPr="00C6616F">
              <w:rPr>
                <w:rFonts w:ascii="Calibri" w:eastAsia="MS Mincho" w:hAnsi="Calibri" w:cs="Arial"/>
              </w:rPr>
              <w:t>Diet</w:t>
            </w:r>
          </w:p>
        </w:tc>
        <w:tc>
          <w:tcPr>
            <w:tcW w:w="6673" w:type="dxa"/>
          </w:tcPr>
          <w:p w14:paraId="52C92647" w14:textId="77777777" w:rsidR="00C6616F" w:rsidRPr="00C6616F" w:rsidRDefault="00C6616F" w:rsidP="00C6616F">
            <w:pPr>
              <w:rPr>
                <w:rFonts w:ascii="Calibri" w:eastAsia="MS Mincho" w:hAnsi="Calibri" w:cs="Arial"/>
              </w:rPr>
            </w:pPr>
            <w:r w:rsidRPr="00C6616F">
              <w:rPr>
                <w:rFonts w:ascii="Calibri" w:eastAsia="MS Mincho" w:hAnsi="Calibri" w:cs="Arial"/>
              </w:rPr>
              <w:t>Greater Glasgow area had unfavourable dietary profile, but not all explained by differences in socioeconomic status. E.g. lower consumption of high fibre bread in men (OR 0.74 (95%CI 0.62-0.88) age and survey year adjusted) in Glasgow compared with the rest of Scotland attenuated to (OR 0.88 (95%CI 0.74-1.05) with the addition of adjustment for socioeconomic status</w:t>
            </w:r>
          </w:p>
        </w:tc>
      </w:tr>
      <w:tr w:rsidR="00C6616F" w:rsidRPr="00C6616F" w14:paraId="2C8ED094" w14:textId="77777777" w:rsidTr="009F66DC">
        <w:tc>
          <w:tcPr>
            <w:tcW w:w="1239" w:type="dxa"/>
          </w:tcPr>
          <w:p w14:paraId="48D107B0" w14:textId="77777777" w:rsidR="00C6616F" w:rsidRPr="00C6616F" w:rsidRDefault="00C6616F" w:rsidP="00C6616F">
            <w:pPr>
              <w:rPr>
                <w:rFonts w:ascii="Calibri" w:eastAsia="MS Mincho" w:hAnsi="Calibri" w:cs="Arial"/>
              </w:rPr>
            </w:pPr>
            <w:r w:rsidRPr="00C6616F">
              <w:rPr>
                <w:rFonts w:ascii="Calibri" w:eastAsia="MS Mincho" w:hAnsi="Calibri" w:cs="Arial"/>
              </w:rPr>
              <w:t>Gray</w:t>
            </w:r>
            <w:r w:rsidRPr="00C6616F">
              <w:rPr>
                <w:rFonts w:ascii="Calibri" w:eastAsia="MS Mincho" w:hAnsi="Calibri" w:cs="Arial"/>
                <w:vertAlign w:val="superscript"/>
              </w:rPr>
              <w:t>14</w:t>
            </w:r>
          </w:p>
        </w:tc>
        <w:tc>
          <w:tcPr>
            <w:tcW w:w="704" w:type="dxa"/>
          </w:tcPr>
          <w:p w14:paraId="1620D4BD" w14:textId="77777777" w:rsidR="00C6616F" w:rsidRPr="00C6616F" w:rsidRDefault="00C6616F" w:rsidP="00C6616F">
            <w:pPr>
              <w:rPr>
                <w:rFonts w:ascii="Calibri" w:eastAsia="MS Mincho" w:hAnsi="Calibri" w:cs="Arial"/>
              </w:rPr>
            </w:pPr>
            <w:r w:rsidRPr="00C6616F">
              <w:rPr>
                <w:rFonts w:ascii="Calibri" w:eastAsia="MS Mincho" w:hAnsi="Calibri" w:cs="Arial"/>
              </w:rPr>
              <w:t>2009</w:t>
            </w:r>
          </w:p>
        </w:tc>
        <w:tc>
          <w:tcPr>
            <w:tcW w:w="1312" w:type="dxa"/>
          </w:tcPr>
          <w:p w14:paraId="048E1C6C" w14:textId="77777777" w:rsidR="00C6616F" w:rsidRPr="00C6616F" w:rsidRDefault="00C6616F" w:rsidP="00C6616F">
            <w:pPr>
              <w:rPr>
                <w:rFonts w:ascii="Calibri" w:eastAsia="MS Mincho" w:hAnsi="Calibri" w:cs="Arial"/>
              </w:rPr>
            </w:pPr>
            <w:r w:rsidRPr="00C6616F">
              <w:rPr>
                <w:rFonts w:ascii="Calibri" w:eastAsia="MS Mincho" w:hAnsi="Calibri" w:cs="Arial"/>
              </w:rPr>
              <w:t>Glasgow</w:t>
            </w:r>
          </w:p>
        </w:tc>
        <w:tc>
          <w:tcPr>
            <w:tcW w:w="1309" w:type="dxa"/>
          </w:tcPr>
          <w:p w14:paraId="5AE512D4" w14:textId="77777777" w:rsidR="00C6616F" w:rsidRPr="00C6616F" w:rsidRDefault="00C6616F" w:rsidP="00C6616F">
            <w:pPr>
              <w:rPr>
                <w:rFonts w:ascii="Calibri" w:eastAsia="MS Mincho" w:hAnsi="Calibri" w:cs="Arial"/>
              </w:rPr>
            </w:pPr>
            <w:r w:rsidRPr="00C6616F">
              <w:rPr>
                <w:rFonts w:ascii="Calibri" w:eastAsia="MS Mincho" w:hAnsi="Calibri" w:cs="Arial"/>
              </w:rPr>
              <w:t>Rest of Scotland</w:t>
            </w:r>
          </w:p>
        </w:tc>
        <w:tc>
          <w:tcPr>
            <w:tcW w:w="1524" w:type="dxa"/>
          </w:tcPr>
          <w:p w14:paraId="211046AE" w14:textId="77777777" w:rsidR="00C6616F" w:rsidRPr="00C6616F" w:rsidRDefault="00C6616F" w:rsidP="00C6616F">
            <w:pPr>
              <w:rPr>
                <w:rFonts w:ascii="Calibri" w:eastAsia="MS Mincho" w:hAnsi="Calibri" w:cs="Arial"/>
              </w:rPr>
            </w:pPr>
            <w:r w:rsidRPr="00C6616F">
              <w:rPr>
                <w:rFonts w:ascii="Calibri" w:eastAsia="MS Mincho" w:hAnsi="Calibri" w:cs="Arial"/>
              </w:rPr>
              <w:t>Socioeconomic status</w:t>
            </w:r>
          </w:p>
        </w:tc>
        <w:tc>
          <w:tcPr>
            <w:tcW w:w="1135" w:type="dxa"/>
          </w:tcPr>
          <w:p w14:paraId="087437C3" w14:textId="77777777" w:rsidR="00C6616F" w:rsidRPr="00C6616F" w:rsidRDefault="00C6616F" w:rsidP="00C6616F">
            <w:pPr>
              <w:rPr>
                <w:rFonts w:ascii="Calibri" w:eastAsia="MS Mincho" w:hAnsi="Calibri" w:cs="Arial"/>
              </w:rPr>
            </w:pPr>
            <w:r w:rsidRPr="00C6616F">
              <w:rPr>
                <w:rFonts w:ascii="Calibri" w:eastAsia="MS Mincho" w:hAnsi="Calibri" w:cs="Arial"/>
              </w:rPr>
              <w:t>Smoking</w:t>
            </w:r>
          </w:p>
        </w:tc>
        <w:tc>
          <w:tcPr>
            <w:tcW w:w="6673" w:type="dxa"/>
          </w:tcPr>
          <w:p w14:paraId="6D8BF04E" w14:textId="77777777" w:rsidR="00C6616F" w:rsidRPr="00C6616F" w:rsidRDefault="00C6616F" w:rsidP="00C6616F">
            <w:pPr>
              <w:rPr>
                <w:rFonts w:ascii="Calibri" w:eastAsia="MS Mincho" w:hAnsi="Calibri" w:cs="Arial"/>
              </w:rPr>
            </w:pPr>
            <w:r w:rsidRPr="00C6616F">
              <w:rPr>
                <w:rFonts w:ascii="Calibri" w:eastAsia="MS Mincho" w:hAnsi="Calibri" w:cs="Arial"/>
              </w:rPr>
              <w:t xml:space="preserve">Men living in Glasgow more likely to smoke than men living in the rest of Scotland (OR 1.3 (95%CI 1.08-1.57) age and survey year adjusted). This </w:t>
            </w:r>
            <w:r w:rsidRPr="00C6616F">
              <w:rPr>
                <w:rFonts w:ascii="Calibri" w:eastAsia="MS Mincho" w:hAnsi="Calibri" w:cs="Arial"/>
              </w:rPr>
              <w:lastRenderedPageBreak/>
              <w:t>was attenuated to non-significance after additional adjustment for socioeconomic status (OR 0.92 (95%Ci 0.78-1.09))</w:t>
            </w:r>
          </w:p>
        </w:tc>
      </w:tr>
      <w:tr w:rsidR="00C6616F" w:rsidRPr="00C6616F" w14:paraId="6FCD782D" w14:textId="77777777" w:rsidTr="009F66DC">
        <w:tc>
          <w:tcPr>
            <w:tcW w:w="1239" w:type="dxa"/>
          </w:tcPr>
          <w:p w14:paraId="7DE49B7F" w14:textId="77777777" w:rsidR="00C6616F" w:rsidRPr="00C6616F" w:rsidRDefault="00C6616F" w:rsidP="00C6616F">
            <w:pPr>
              <w:rPr>
                <w:rFonts w:ascii="Calibri" w:eastAsia="MS Mincho" w:hAnsi="Calibri" w:cs="Arial"/>
              </w:rPr>
            </w:pPr>
            <w:r w:rsidRPr="00C6616F">
              <w:rPr>
                <w:rFonts w:ascii="Calibri" w:eastAsia="MS Mincho" w:hAnsi="Calibri" w:cs="Arial"/>
              </w:rPr>
              <w:lastRenderedPageBreak/>
              <w:t>Walsh</w:t>
            </w:r>
            <w:r w:rsidRPr="00C6616F">
              <w:rPr>
                <w:rFonts w:ascii="Calibri" w:eastAsia="MS Mincho" w:hAnsi="Calibri" w:cs="Arial"/>
                <w:vertAlign w:val="superscript"/>
              </w:rPr>
              <w:t>10</w:t>
            </w:r>
          </w:p>
        </w:tc>
        <w:tc>
          <w:tcPr>
            <w:tcW w:w="704" w:type="dxa"/>
          </w:tcPr>
          <w:p w14:paraId="462E6041" w14:textId="77777777" w:rsidR="00C6616F" w:rsidRPr="00C6616F" w:rsidRDefault="00C6616F" w:rsidP="00C6616F">
            <w:pPr>
              <w:rPr>
                <w:rFonts w:ascii="Calibri" w:eastAsia="MS Mincho" w:hAnsi="Calibri" w:cs="Arial"/>
              </w:rPr>
            </w:pPr>
            <w:r w:rsidRPr="00C6616F">
              <w:rPr>
                <w:rFonts w:ascii="Calibri" w:eastAsia="MS Mincho" w:hAnsi="Calibri" w:cs="Arial"/>
              </w:rPr>
              <w:t>2009</w:t>
            </w:r>
          </w:p>
        </w:tc>
        <w:tc>
          <w:tcPr>
            <w:tcW w:w="1312" w:type="dxa"/>
          </w:tcPr>
          <w:p w14:paraId="7C2F8709" w14:textId="77777777" w:rsidR="00C6616F" w:rsidRPr="00C6616F" w:rsidRDefault="00C6616F" w:rsidP="00C6616F">
            <w:pPr>
              <w:rPr>
                <w:rFonts w:ascii="Calibri" w:eastAsia="MS Mincho" w:hAnsi="Calibri" w:cs="Arial"/>
              </w:rPr>
            </w:pPr>
            <w:r w:rsidRPr="00C6616F">
              <w:rPr>
                <w:rFonts w:ascii="Calibri" w:eastAsia="MS Mincho" w:hAnsi="Calibri" w:cs="Arial"/>
              </w:rPr>
              <w:t>West Central Scotland</w:t>
            </w:r>
          </w:p>
        </w:tc>
        <w:tc>
          <w:tcPr>
            <w:tcW w:w="1309" w:type="dxa"/>
          </w:tcPr>
          <w:p w14:paraId="465C53EA" w14:textId="77777777" w:rsidR="00C6616F" w:rsidRPr="00C6616F" w:rsidRDefault="00C6616F" w:rsidP="00C6616F">
            <w:pPr>
              <w:rPr>
                <w:rFonts w:ascii="Calibri" w:eastAsia="MS Mincho" w:hAnsi="Calibri" w:cs="Arial"/>
              </w:rPr>
            </w:pPr>
            <w:r w:rsidRPr="00C6616F">
              <w:rPr>
                <w:rFonts w:ascii="Calibri" w:eastAsia="MS Mincho" w:hAnsi="Calibri" w:cs="Arial"/>
              </w:rPr>
              <w:t>Ten comparable post-industrialised regions of Europe</w:t>
            </w:r>
          </w:p>
        </w:tc>
        <w:tc>
          <w:tcPr>
            <w:tcW w:w="1524" w:type="dxa"/>
          </w:tcPr>
          <w:p w14:paraId="5F0C045C" w14:textId="77777777" w:rsidR="00C6616F" w:rsidRPr="00C6616F" w:rsidRDefault="00C6616F" w:rsidP="00C6616F">
            <w:pPr>
              <w:rPr>
                <w:rFonts w:ascii="Calibri" w:eastAsia="MS Mincho" w:hAnsi="Calibri" w:cs="Arial"/>
              </w:rPr>
            </w:pPr>
            <w:r w:rsidRPr="00C6616F">
              <w:rPr>
                <w:rFonts w:ascii="Calibri" w:eastAsia="MS Mincho" w:hAnsi="Calibri" w:cs="Arial"/>
              </w:rPr>
              <w:t>De-industrialisation</w:t>
            </w:r>
          </w:p>
        </w:tc>
        <w:tc>
          <w:tcPr>
            <w:tcW w:w="1135" w:type="dxa"/>
          </w:tcPr>
          <w:p w14:paraId="6B101AC8" w14:textId="77777777" w:rsidR="00C6616F" w:rsidRPr="00C6616F" w:rsidRDefault="00C6616F" w:rsidP="00C6616F">
            <w:pPr>
              <w:rPr>
                <w:rFonts w:ascii="Calibri" w:eastAsia="MS Mincho" w:hAnsi="Calibri" w:cs="Arial"/>
              </w:rPr>
            </w:pPr>
            <w:r w:rsidRPr="00C6616F">
              <w:rPr>
                <w:rFonts w:ascii="Calibri" w:eastAsia="MS Mincho" w:hAnsi="Calibri" w:cs="Arial"/>
              </w:rPr>
              <w:t>Life expectancy</w:t>
            </w:r>
          </w:p>
          <w:p w14:paraId="63E050EE" w14:textId="77777777" w:rsidR="00C6616F" w:rsidRPr="00C6616F" w:rsidRDefault="00C6616F" w:rsidP="00C6616F">
            <w:pPr>
              <w:rPr>
                <w:rFonts w:ascii="Calibri" w:eastAsia="MS Mincho" w:hAnsi="Calibri" w:cs="Arial"/>
              </w:rPr>
            </w:pPr>
          </w:p>
          <w:p w14:paraId="2F8DB86B"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p w14:paraId="6AE8A14F" w14:textId="77777777" w:rsidR="00C6616F" w:rsidRPr="00C6616F" w:rsidRDefault="00C6616F" w:rsidP="00C6616F">
            <w:pPr>
              <w:rPr>
                <w:rFonts w:ascii="Calibri" w:eastAsia="MS Mincho" w:hAnsi="Calibri" w:cs="Arial"/>
              </w:rPr>
            </w:pPr>
          </w:p>
        </w:tc>
        <w:tc>
          <w:tcPr>
            <w:tcW w:w="6673" w:type="dxa"/>
          </w:tcPr>
          <w:p w14:paraId="798135A1" w14:textId="77777777" w:rsidR="00C6616F" w:rsidRPr="00C6616F" w:rsidRDefault="00C6616F" w:rsidP="00C6616F">
            <w:pPr>
              <w:rPr>
                <w:rFonts w:ascii="Calibri" w:eastAsia="MS Mincho" w:hAnsi="Calibri" w:cs="Arial"/>
              </w:rPr>
            </w:pPr>
            <w:r w:rsidRPr="00C6616F">
              <w:rPr>
                <w:rFonts w:ascii="Calibri" w:eastAsia="MS Mincho" w:hAnsi="Calibri" w:cs="Arial"/>
              </w:rPr>
              <w:t>Life expectancy improving at slower rate in West Central Scotland than most of the ten comparable European regions.</w:t>
            </w:r>
          </w:p>
          <w:p w14:paraId="6CF34AE9" w14:textId="77777777" w:rsidR="00C6616F" w:rsidRPr="00C6616F" w:rsidRDefault="00C6616F" w:rsidP="00C6616F">
            <w:pPr>
              <w:rPr>
                <w:rFonts w:ascii="Calibri" w:eastAsia="MS Mincho" w:hAnsi="Calibri" w:cs="Arial"/>
              </w:rPr>
            </w:pPr>
          </w:p>
          <w:p w14:paraId="4C8DBC5D" w14:textId="77777777" w:rsidR="00C6616F" w:rsidRPr="00C6616F" w:rsidRDefault="00C6616F" w:rsidP="00C6616F">
            <w:pPr>
              <w:rPr>
                <w:rFonts w:ascii="Calibri" w:eastAsia="MS Mincho" w:hAnsi="Calibri" w:cs="Arial"/>
              </w:rPr>
            </w:pPr>
            <w:r w:rsidRPr="00C6616F">
              <w:rPr>
                <w:rFonts w:ascii="Calibri" w:eastAsia="MS Mincho" w:hAnsi="Calibri" w:cs="Arial"/>
              </w:rPr>
              <w:t>All cause mortality rate is higher in West Central Scotland and improving at a slower rate than comparable European areas.</w:t>
            </w:r>
          </w:p>
          <w:p w14:paraId="74800F07" w14:textId="77777777" w:rsidR="00C6616F" w:rsidRPr="00C6616F" w:rsidRDefault="00C6616F" w:rsidP="00C6616F">
            <w:pPr>
              <w:rPr>
                <w:rFonts w:ascii="Calibri" w:eastAsia="MS Mincho" w:hAnsi="Calibri" w:cs="Arial"/>
              </w:rPr>
            </w:pPr>
            <w:r w:rsidRPr="00C6616F">
              <w:rPr>
                <w:rFonts w:ascii="Calibri" w:eastAsia="MS Mincho" w:hAnsi="Calibri" w:cs="Arial"/>
              </w:rPr>
              <w:t>Chronic liver disease and cirrhosis mortality rising much faster in West Central Scotland</w:t>
            </w:r>
          </w:p>
        </w:tc>
      </w:tr>
      <w:tr w:rsidR="00C6616F" w:rsidRPr="00C6616F" w14:paraId="2105B3F8" w14:textId="77777777" w:rsidTr="009F66DC">
        <w:tc>
          <w:tcPr>
            <w:tcW w:w="1239" w:type="dxa"/>
          </w:tcPr>
          <w:p w14:paraId="38884145" w14:textId="77777777" w:rsidR="00C6616F" w:rsidRPr="00C6616F" w:rsidRDefault="00C6616F" w:rsidP="00C6616F">
            <w:pPr>
              <w:rPr>
                <w:rFonts w:ascii="Calibri" w:eastAsia="MS Mincho" w:hAnsi="Calibri" w:cs="Arial"/>
              </w:rPr>
            </w:pPr>
            <w:r w:rsidRPr="00C6616F">
              <w:rPr>
                <w:rFonts w:ascii="Calibri" w:eastAsia="MS Mincho" w:hAnsi="Calibri" w:cs="Arial"/>
              </w:rPr>
              <w:t>Walsh</w:t>
            </w:r>
            <w:r w:rsidRPr="00C6616F">
              <w:rPr>
                <w:rFonts w:ascii="Calibri" w:eastAsia="MS Mincho" w:hAnsi="Calibri" w:cs="Arial"/>
                <w:vertAlign w:val="superscript"/>
              </w:rPr>
              <w:t>9</w:t>
            </w:r>
          </w:p>
        </w:tc>
        <w:tc>
          <w:tcPr>
            <w:tcW w:w="704" w:type="dxa"/>
          </w:tcPr>
          <w:p w14:paraId="5E3CD5B2" w14:textId="77777777" w:rsidR="00C6616F" w:rsidRPr="00C6616F" w:rsidRDefault="00C6616F" w:rsidP="00C6616F">
            <w:pPr>
              <w:rPr>
                <w:rFonts w:ascii="Calibri" w:eastAsia="MS Mincho" w:hAnsi="Calibri" w:cs="Arial"/>
              </w:rPr>
            </w:pPr>
            <w:r w:rsidRPr="00C6616F">
              <w:rPr>
                <w:rFonts w:ascii="Calibri" w:eastAsia="MS Mincho" w:hAnsi="Calibri" w:cs="Arial"/>
              </w:rPr>
              <w:t>2010</w:t>
            </w:r>
          </w:p>
        </w:tc>
        <w:tc>
          <w:tcPr>
            <w:tcW w:w="1312" w:type="dxa"/>
          </w:tcPr>
          <w:p w14:paraId="5EDF0180" w14:textId="77777777" w:rsidR="00C6616F" w:rsidRPr="00C6616F" w:rsidRDefault="00C6616F" w:rsidP="00C6616F">
            <w:pPr>
              <w:rPr>
                <w:rFonts w:ascii="Calibri" w:eastAsia="MS Mincho" w:hAnsi="Calibri" w:cs="Arial"/>
              </w:rPr>
            </w:pPr>
            <w:r w:rsidRPr="00C6616F">
              <w:rPr>
                <w:rFonts w:ascii="Calibri" w:eastAsia="MS Mincho" w:hAnsi="Calibri" w:cs="Arial"/>
              </w:rPr>
              <w:t>Glasgow</w:t>
            </w:r>
          </w:p>
        </w:tc>
        <w:tc>
          <w:tcPr>
            <w:tcW w:w="1309" w:type="dxa"/>
          </w:tcPr>
          <w:p w14:paraId="2C4984A9" w14:textId="77777777" w:rsidR="00C6616F" w:rsidRPr="00C6616F" w:rsidRDefault="00C6616F" w:rsidP="00C6616F">
            <w:pPr>
              <w:rPr>
                <w:rFonts w:ascii="Calibri" w:eastAsia="MS Mincho" w:hAnsi="Calibri" w:cs="Arial"/>
              </w:rPr>
            </w:pPr>
            <w:r w:rsidRPr="00C6616F">
              <w:rPr>
                <w:rFonts w:ascii="Calibri" w:eastAsia="MS Mincho" w:hAnsi="Calibri" w:cs="Arial"/>
              </w:rPr>
              <w:t>Manchester and Liverpool</w:t>
            </w:r>
          </w:p>
        </w:tc>
        <w:tc>
          <w:tcPr>
            <w:tcW w:w="1524" w:type="dxa"/>
          </w:tcPr>
          <w:p w14:paraId="1B731639" w14:textId="77777777" w:rsidR="00C6616F" w:rsidRPr="00C6616F" w:rsidRDefault="00C6616F" w:rsidP="00C6616F">
            <w:pPr>
              <w:rPr>
                <w:rFonts w:ascii="Calibri" w:eastAsia="MS Mincho" w:hAnsi="Calibri" w:cs="Arial"/>
              </w:rPr>
            </w:pPr>
            <w:r w:rsidRPr="00C6616F">
              <w:rPr>
                <w:rFonts w:ascii="Calibri" w:eastAsia="MS Mincho" w:hAnsi="Calibri" w:cs="Arial"/>
              </w:rPr>
              <w:t>Income deprivation</w:t>
            </w:r>
          </w:p>
        </w:tc>
        <w:tc>
          <w:tcPr>
            <w:tcW w:w="1135" w:type="dxa"/>
          </w:tcPr>
          <w:p w14:paraId="29283F7B"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tc>
        <w:tc>
          <w:tcPr>
            <w:tcW w:w="6673" w:type="dxa"/>
          </w:tcPr>
          <w:p w14:paraId="0818230F" w14:textId="77777777" w:rsidR="00C6616F" w:rsidRPr="00C6616F" w:rsidRDefault="00C6616F" w:rsidP="00C6616F">
            <w:pPr>
              <w:rPr>
                <w:rFonts w:ascii="Calibri" w:eastAsia="MS Mincho" w:hAnsi="Calibri" w:cs="Arial"/>
              </w:rPr>
            </w:pPr>
            <w:r w:rsidRPr="00C6616F">
              <w:rPr>
                <w:rFonts w:ascii="Calibri" w:eastAsia="MS Mincho" w:hAnsi="Calibri" w:cs="Arial"/>
              </w:rPr>
              <w:t xml:space="preserve">All-cause mortality higher in Glasgow than Manchester and Liverpool despite very similar deprivation profile (SMR 114.4 (95%Ci 113.2=115.5)). Excess mortality seen in all </w:t>
            </w:r>
            <w:proofErr w:type="spellStart"/>
            <w:r w:rsidRPr="00C6616F">
              <w:rPr>
                <w:rFonts w:ascii="Calibri" w:eastAsia="MS Mincho" w:hAnsi="Calibri" w:cs="Arial"/>
              </w:rPr>
              <w:t>deciles</w:t>
            </w:r>
            <w:proofErr w:type="spellEnd"/>
            <w:r w:rsidRPr="00C6616F">
              <w:rPr>
                <w:rFonts w:ascii="Calibri" w:eastAsia="MS Mincho" w:hAnsi="Calibri" w:cs="Arial"/>
              </w:rPr>
              <w:t xml:space="preserve"> of deprivation.</w:t>
            </w:r>
          </w:p>
        </w:tc>
      </w:tr>
      <w:tr w:rsidR="00C6616F" w:rsidRPr="00C6616F" w14:paraId="4966264A" w14:textId="77777777" w:rsidTr="009F66DC">
        <w:tc>
          <w:tcPr>
            <w:tcW w:w="1239" w:type="dxa"/>
          </w:tcPr>
          <w:p w14:paraId="72D5E970" w14:textId="77777777" w:rsidR="00C6616F" w:rsidRPr="00C6616F" w:rsidRDefault="00C6616F" w:rsidP="00C6616F">
            <w:pPr>
              <w:rPr>
                <w:rFonts w:ascii="Calibri" w:eastAsia="MS Mincho" w:hAnsi="Calibri" w:cs="Arial"/>
              </w:rPr>
            </w:pPr>
            <w:r w:rsidRPr="00C6616F">
              <w:rPr>
                <w:rFonts w:ascii="Calibri" w:eastAsia="MS Mincho" w:hAnsi="Calibri" w:cs="Arial"/>
              </w:rPr>
              <w:t>Popham</w:t>
            </w:r>
            <w:r w:rsidRPr="00C6616F">
              <w:rPr>
                <w:rFonts w:ascii="Calibri" w:eastAsia="MS Mincho" w:hAnsi="Calibri" w:cs="Arial"/>
                <w:vertAlign w:val="superscript"/>
              </w:rPr>
              <w:t>19</w:t>
            </w:r>
          </w:p>
        </w:tc>
        <w:tc>
          <w:tcPr>
            <w:tcW w:w="704" w:type="dxa"/>
          </w:tcPr>
          <w:p w14:paraId="13695E4F" w14:textId="77777777" w:rsidR="00C6616F" w:rsidRPr="00C6616F" w:rsidRDefault="00C6616F" w:rsidP="00C6616F">
            <w:pPr>
              <w:rPr>
                <w:rFonts w:ascii="Calibri" w:eastAsia="MS Mincho" w:hAnsi="Calibri" w:cs="Arial"/>
              </w:rPr>
            </w:pPr>
            <w:r w:rsidRPr="00C6616F">
              <w:rPr>
                <w:rFonts w:ascii="Calibri" w:eastAsia="MS Mincho" w:hAnsi="Calibri" w:cs="Arial"/>
              </w:rPr>
              <w:t>2010</w:t>
            </w:r>
          </w:p>
        </w:tc>
        <w:tc>
          <w:tcPr>
            <w:tcW w:w="1312" w:type="dxa"/>
          </w:tcPr>
          <w:p w14:paraId="4C53B079" w14:textId="77777777" w:rsidR="00C6616F" w:rsidRPr="00C6616F" w:rsidRDefault="00C6616F" w:rsidP="00C6616F">
            <w:pPr>
              <w:rPr>
                <w:rFonts w:ascii="Calibri" w:eastAsia="MS Mincho" w:hAnsi="Calibri" w:cs="Arial"/>
              </w:rPr>
            </w:pPr>
            <w:r w:rsidRPr="00C6616F">
              <w:rPr>
                <w:rFonts w:ascii="Calibri" w:eastAsia="MS Mincho" w:hAnsi="Calibri" w:cs="Arial"/>
              </w:rPr>
              <w:t>Scotland</w:t>
            </w:r>
          </w:p>
        </w:tc>
        <w:tc>
          <w:tcPr>
            <w:tcW w:w="1309" w:type="dxa"/>
          </w:tcPr>
          <w:p w14:paraId="41A5FF81" w14:textId="77777777" w:rsidR="00C6616F" w:rsidRPr="00C6616F" w:rsidRDefault="00C6616F" w:rsidP="00C6616F">
            <w:pPr>
              <w:rPr>
                <w:rFonts w:ascii="Calibri" w:eastAsia="MS Mincho" w:hAnsi="Calibri" w:cs="Arial"/>
              </w:rPr>
            </w:pPr>
            <w:r w:rsidRPr="00C6616F">
              <w:rPr>
                <w:rFonts w:ascii="Calibri" w:eastAsia="MS Mincho" w:hAnsi="Calibri" w:cs="Arial"/>
              </w:rPr>
              <w:t>England and Wales</w:t>
            </w:r>
          </w:p>
        </w:tc>
        <w:tc>
          <w:tcPr>
            <w:tcW w:w="1524" w:type="dxa"/>
          </w:tcPr>
          <w:p w14:paraId="1847C0C5" w14:textId="77777777" w:rsidR="00C6616F" w:rsidRPr="00C6616F" w:rsidRDefault="00C6616F" w:rsidP="00C6616F">
            <w:pPr>
              <w:rPr>
                <w:rFonts w:ascii="Calibri" w:eastAsia="MS Mincho" w:hAnsi="Calibri" w:cs="Arial"/>
              </w:rPr>
            </w:pPr>
            <w:r w:rsidRPr="00C6616F">
              <w:rPr>
                <w:rFonts w:ascii="Calibri" w:eastAsia="MS Mincho" w:hAnsi="Calibri" w:cs="Arial"/>
              </w:rPr>
              <w:t>Country of birth</w:t>
            </w:r>
          </w:p>
        </w:tc>
        <w:tc>
          <w:tcPr>
            <w:tcW w:w="1135" w:type="dxa"/>
          </w:tcPr>
          <w:p w14:paraId="13BB154B"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tc>
        <w:tc>
          <w:tcPr>
            <w:tcW w:w="6673" w:type="dxa"/>
          </w:tcPr>
          <w:p w14:paraId="0B2C9BEA" w14:textId="77777777" w:rsidR="00C6616F" w:rsidRPr="00C6616F" w:rsidRDefault="00C6616F" w:rsidP="00C6616F">
            <w:pPr>
              <w:rPr>
                <w:rFonts w:ascii="Calibri" w:eastAsia="MS Mincho" w:hAnsi="Calibri" w:cs="Arial"/>
              </w:rPr>
            </w:pPr>
            <w:r w:rsidRPr="00C6616F">
              <w:rPr>
                <w:rFonts w:ascii="Calibri" w:eastAsia="MS Mincho" w:hAnsi="Calibri" w:cs="Arial"/>
              </w:rPr>
              <w:t>Age and sex adjusted relative risk of death 1.2 (95% CI 1.12-1.29) for people born in Scotland and living in Scotland, and 1.15 (95% CI1.07-1.22) for people born in Scotland and living in England and Wales compared with people born in England and Wales and living in England and Wales.</w:t>
            </w:r>
          </w:p>
        </w:tc>
      </w:tr>
      <w:tr w:rsidR="00C6616F" w:rsidRPr="00C6616F" w14:paraId="53283E6D" w14:textId="77777777" w:rsidTr="009F66DC">
        <w:tc>
          <w:tcPr>
            <w:tcW w:w="1239" w:type="dxa"/>
          </w:tcPr>
          <w:p w14:paraId="6ED7CD41" w14:textId="77777777" w:rsidR="00C6616F" w:rsidRPr="00C6616F" w:rsidRDefault="00C6616F" w:rsidP="00C6616F">
            <w:pPr>
              <w:rPr>
                <w:rFonts w:ascii="Calibri" w:eastAsia="MS Mincho" w:hAnsi="Calibri" w:cs="Arial"/>
              </w:rPr>
            </w:pPr>
            <w:r w:rsidRPr="00C6616F">
              <w:rPr>
                <w:rFonts w:ascii="Calibri" w:eastAsia="MS Mincho" w:hAnsi="Calibri" w:cs="Arial"/>
              </w:rPr>
              <w:t>Popham</w:t>
            </w:r>
            <w:r w:rsidRPr="00C6616F">
              <w:rPr>
                <w:rFonts w:ascii="Calibri" w:eastAsia="MS Mincho" w:hAnsi="Calibri" w:cs="Arial"/>
                <w:vertAlign w:val="superscript"/>
              </w:rPr>
              <w:t>20</w:t>
            </w:r>
          </w:p>
        </w:tc>
        <w:tc>
          <w:tcPr>
            <w:tcW w:w="704" w:type="dxa"/>
          </w:tcPr>
          <w:p w14:paraId="67EA37CA" w14:textId="77777777" w:rsidR="00C6616F" w:rsidRPr="00C6616F" w:rsidRDefault="00C6616F" w:rsidP="00C6616F">
            <w:pPr>
              <w:rPr>
                <w:rFonts w:ascii="Calibri" w:eastAsia="MS Mincho" w:hAnsi="Calibri" w:cs="Arial"/>
              </w:rPr>
            </w:pPr>
            <w:r w:rsidRPr="00C6616F">
              <w:rPr>
                <w:rFonts w:ascii="Calibri" w:eastAsia="MS Mincho" w:hAnsi="Calibri" w:cs="Arial"/>
              </w:rPr>
              <w:t>2011</w:t>
            </w:r>
          </w:p>
        </w:tc>
        <w:tc>
          <w:tcPr>
            <w:tcW w:w="1312" w:type="dxa"/>
          </w:tcPr>
          <w:p w14:paraId="1F6B1FEB" w14:textId="77777777" w:rsidR="00C6616F" w:rsidRPr="00C6616F" w:rsidRDefault="00C6616F" w:rsidP="00C6616F">
            <w:pPr>
              <w:rPr>
                <w:rFonts w:ascii="Calibri" w:eastAsia="MS Mincho" w:hAnsi="Calibri" w:cs="Arial"/>
              </w:rPr>
            </w:pPr>
            <w:r w:rsidRPr="00C6616F">
              <w:rPr>
                <w:rFonts w:ascii="Calibri" w:eastAsia="MS Mincho" w:hAnsi="Calibri" w:cs="Arial"/>
              </w:rPr>
              <w:t>Glasgow</w:t>
            </w:r>
          </w:p>
        </w:tc>
        <w:tc>
          <w:tcPr>
            <w:tcW w:w="1309" w:type="dxa"/>
          </w:tcPr>
          <w:p w14:paraId="6BB4448C" w14:textId="77777777" w:rsidR="00C6616F" w:rsidRPr="00C6616F" w:rsidRDefault="00C6616F" w:rsidP="00C6616F">
            <w:pPr>
              <w:rPr>
                <w:rFonts w:ascii="Calibri" w:eastAsia="MS Mincho" w:hAnsi="Calibri" w:cs="Arial"/>
              </w:rPr>
            </w:pPr>
            <w:r w:rsidRPr="00C6616F">
              <w:rPr>
                <w:rFonts w:ascii="Calibri" w:eastAsia="MS Mincho" w:hAnsi="Calibri" w:cs="Arial"/>
              </w:rPr>
              <w:t>Three other Scottish cities (Edinburgh, Aberdeen, Dundee) and the rest of Scotland</w:t>
            </w:r>
          </w:p>
        </w:tc>
        <w:tc>
          <w:tcPr>
            <w:tcW w:w="1524" w:type="dxa"/>
          </w:tcPr>
          <w:p w14:paraId="7DB6A851" w14:textId="77777777" w:rsidR="00C6616F" w:rsidRPr="00C6616F" w:rsidRDefault="00C6616F" w:rsidP="00C6616F">
            <w:pPr>
              <w:rPr>
                <w:rFonts w:ascii="Calibri" w:eastAsia="MS Mincho" w:hAnsi="Calibri" w:cs="Arial"/>
              </w:rPr>
            </w:pPr>
            <w:r w:rsidRPr="00C6616F">
              <w:rPr>
                <w:rFonts w:ascii="Calibri" w:eastAsia="MS Mincho" w:hAnsi="Calibri" w:cs="Arial"/>
              </w:rPr>
              <w:t>Internal migration</w:t>
            </w:r>
          </w:p>
        </w:tc>
        <w:tc>
          <w:tcPr>
            <w:tcW w:w="1135" w:type="dxa"/>
          </w:tcPr>
          <w:p w14:paraId="63641632" w14:textId="77777777" w:rsidR="00C6616F" w:rsidRPr="00C6616F" w:rsidRDefault="00C6616F" w:rsidP="00C6616F">
            <w:pPr>
              <w:rPr>
                <w:rFonts w:ascii="Calibri" w:eastAsia="MS Mincho" w:hAnsi="Calibri" w:cs="Arial"/>
              </w:rPr>
            </w:pPr>
            <w:r w:rsidRPr="00C6616F">
              <w:rPr>
                <w:rFonts w:ascii="Calibri" w:eastAsia="MS Mincho" w:hAnsi="Calibri" w:cs="Arial"/>
              </w:rPr>
              <w:t>Mortality</w:t>
            </w:r>
          </w:p>
        </w:tc>
        <w:tc>
          <w:tcPr>
            <w:tcW w:w="6673" w:type="dxa"/>
          </w:tcPr>
          <w:p w14:paraId="11B4763A" w14:textId="77777777" w:rsidR="00C6616F" w:rsidRPr="00C6616F" w:rsidRDefault="00C6616F" w:rsidP="00C6616F">
            <w:pPr>
              <w:rPr>
                <w:rFonts w:ascii="Calibri" w:eastAsia="MS Mincho" w:hAnsi="Calibri" w:cs="Arial"/>
              </w:rPr>
            </w:pPr>
            <w:r w:rsidRPr="00C6616F">
              <w:rPr>
                <w:rFonts w:ascii="Calibri" w:eastAsia="MS Mincho" w:hAnsi="Calibri" w:cs="Arial"/>
              </w:rPr>
              <w:t>Relative age sex standardised mortality rate between Glasgow and the other three cities was 1.53 and between Glasgow and the rest of Scotland was 1.42 (no CIs given). Adjusting for area of migration did not affect these mortality differences.</w:t>
            </w:r>
          </w:p>
        </w:tc>
      </w:tr>
      <w:tr w:rsidR="00AC6F00" w:rsidRPr="00C6616F" w14:paraId="2D40415E" w14:textId="77777777" w:rsidTr="009F66DC">
        <w:tc>
          <w:tcPr>
            <w:tcW w:w="1239" w:type="dxa"/>
          </w:tcPr>
          <w:p w14:paraId="476B4B49" w14:textId="78107EC1" w:rsidR="00AC6F00" w:rsidRPr="0028470C" w:rsidRDefault="009D3200" w:rsidP="009D3200">
            <w:pPr>
              <w:rPr>
                <w:rFonts w:ascii="Calibri" w:eastAsia="MS Mincho" w:hAnsi="Calibri" w:cs="Arial"/>
                <w:vertAlign w:val="superscript"/>
              </w:rPr>
            </w:pPr>
            <w:r>
              <w:rPr>
                <w:rFonts w:ascii="Calibri" w:eastAsia="MS Mincho" w:hAnsi="Calibri" w:cs="Arial"/>
              </w:rPr>
              <w:t>McGuinness</w:t>
            </w:r>
            <w:r w:rsidR="0028470C">
              <w:rPr>
                <w:rFonts w:ascii="Calibri" w:eastAsia="MS Mincho" w:hAnsi="Calibri" w:cs="Arial"/>
                <w:vertAlign w:val="superscript"/>
              </w:rPr>
              <w:t>36</w:t>
            </w:r>
          </w:p>
        </w:tc>
        <w:tc>
          <w:tcPr>
            <w:tcW w:w="704" w:type="dxa"/>
          </w:tcPr>
          <w:p w14:paraId="7A3410B3" w14:textId="3D544545" w:rsidR="00AC6F00" w:rsidRPr="00C6616F" w:rsidRDefault="00447B5C" w:rsidP="00C6616F">
            <w:pPr>
              <w:rPr>
                <w:rFonts w:ascii="Calibri" w:eastAsia="MS Mincho" w:hAnsi="Calibri" w:cs="Arial"/>
              </w:rPr>
            </w:pPr>
            <w:r>
              <w:rPr>
                <w:rFonts w:ascii="Calibri" w:eastAsia="MS Mincho" w:hAnsi="Calibri" w:cs="Arial"/>
              </w:rPr>
              <w:t>2012</w:t>
            </w:r>
          </w:p>
        </w:tc>
        <w:tc>
          <w:tcPr>
            <w:tcW w:w="1312" w:type="dxa"/>
          </w:tcPr>
          <w:p w14:paraId="3A71936C" w14:textId="7F41C12E" w:rsidR="00AC6F00" w:rsidRPr="00C6616F" w:rsidRDefault="00447B5C" w:rsidP="00C6616F">
            <w:pPr>
              <w:rPr>
                <w:rFonts w:ascii="Calibri" w:eastAsia="MS Mincho" w:hAnsi="Calibri" w:cs="Arial"/>
              </w:rPr>
            </w:pPr>
            <w:r>
              <w:rPr>
                <w:rFonts w:ascii="Calibri" w:eastAsia="MS Mincho" w:hAnsi="Calibri" w:cs="Arial"/>
              </w:rPr>
              <w:t>Glasgow (more deprived areas)</w:t>
            </w:r>
          </w:p>
        </w:tc>
        <w:tc>
          <w:tcPr>
            <w:tcW w:w="1309" w:type="dxa"/>
          </w:tcPr>
          <w:p w14:paraId="32315B65" w14:textId="327AF7F5" w:rsidR="00AC6F00" w:rsidRPr="00C6616F" w:rsidRDefault="00447B5C" w:rsidP="00447B5C">
            <w:pPr>
              <w:rPr>
                <w:rFonts w:ascii="Calibri" w:eastAsia="MS Mincho" w:hAnsi="Calibri" w:cs="Arial"/>
              </w:rPr>
            </w:pPr>
            <w:r>
              <w:rPr>
                <w:rFonts w:ascii="Calibri" w:eastAsia="MS Mincho" w:hAnsi="Calibri" w:cs="Arial"/>
              </w:rPr>
              <w:t>Glasgow (less deprived areas)</w:t>
            </w:r>
          </w:p>
        </w:tc>
        <w:tc>
          <w:tcPr>
            <w:tcW w:w="1524" w:type="dxa"/>
          </w:tcPr>
          <w:p w14:paraId="2A8BFE45" w14:textId="4E0324C5" w:rsidR="00AC6F00" w:rsidRPr="00C6616F" w:rsidRDefault="005C44F6" w:rsidP="00C6616F">
            <w:pPr>
              <w:rPr>
                <w:rFonts w:ascii="Calibri" w:eastAsia="MS Mincho" w:hAnsi="Calibri" w:cs="Arial"/>
              </w:rPr>
            </w:pPr>
            <w:r>
              <w:rPr>
                <w:rFonts w:ascii="Calibri" w:eastAsia="MS Mincho" w:hAnsi="Calibri" w:cs="Arial"/>
              </w:rPr>
              <w:t>Epigenetics</w:t>
            </w:r>
          </w:p>
        </w:tc>
        <w:tc>
          <w:tcPr>
            <w:tcW w:w="1135" w:type="dxa"/>
          </w:tcPr>
          <w:p w14:paraId="57A668F8" w14:textId="0870CE71" w:rsidR="00AC6F00" w:rsidRPr="00C6616F" w:rsidRDefault="005C44F6" w:rsidP="00C6616F">
            <w:pPr>
              <w:rPr>
                <w:rFonts w:ascii="Calibri" w:eastAsia="MS Mincho" w:hAnsi="Calibri" w:cs="Arial"/>
              </w:rPr>
            </w:pPr>
            <w:r>
              <w:rPr>
                <w:rFonts w:ascii="Calibri" w:eastAsia="MS Mincho" w:hAnsi="Calibri" w:cs="Arial"/>
              </w:rPr>
              <w:t>DNA methylation</w:t>
            </w:r>
          </w:p>
        </w:tc>
        <w:tc>
          <w:tcPr>
            <w:tcW w:w="6673" w:type="dxa"/>
          </w:tcPr>
          <w:p w14:paraId="2615CC02" w14:textId="53601773" w:rsidR="00AC6F00" w:rsidRPr="00C6616F" w:rsidRDefault="006B7CC8" w:rsidP="00C6616F">
            <w:pPr>
              <w:rPr>
                <w:rFonts w:ascii="Calibri" w:eastAsia="MS Mincho" w:hAnsi="Calibri" w:cs="Arial"/>
              </w:rPr>
            </w:pPr>
            <w:r>
              <w:rPr>
                <w:rFonts w:ascii="Calibri" w:eastAsia="MS Mincho" w:hAnsi="Calibri" w:cs="Arial"/>
              </w:rPr>
              <w:t>Global DNA methylation content was 17% (95%CI 4-29%) lower in most deprived vs. least deprived group.</w:t>
            </w:r>
          </w:p>
        </w:tc>
      </w:tr>
      <w:tr w:rsidR="009D3200" w:rsidRPr="00C6616F" w14:paraId="598E5F1D" w14:textId="77777777" w:rsidTr="009F66DC">
        <w:tc>
          <w:tcPr>
            <w:tcW w:w="1239" w:type="dxa"/>
          </w:tcPr>
          <w:p w14:paraId="11985A4B" w14:textId="18F0B059" w:rsidR="009D3200" w:rsidRPr="00F84764" w:rsidRDefault="00EB6F25" w:rsidP="00EB6F25">
            <w:pPr>
              <w:rPr>
                <w:rFonts w:ascii="Calibri" w:eastAsia="MS Mincho" w:hAnsi="Calibri" w:cs="Arial"/>
                <w:vertAlign w:val="superscript"/>
              </w:rPr>
            </w:pPr>
            <w:r>
              <w:rPr>
                <w:rFonts w:ascii="Calibri" w:eastAsia="MS Mincho" w:hAnsi="Calibri" w:cs="Arial"/>
              </w:rPr>
              <w:t>Mok</w:t>
            </w:r>
            <w:r w:rsidR="00F84764">
              <w:rPr>
                <w:rFonts w:ascii="Calibri" w:eastAsia="MS Mincho" w:hAnsi="Calibri" w:cs="Arial"/>
                <w:vertAlign w:val="superscript"/>
              </w:rPr>
              <w:t>44</w:t>
            </w:r>
          </w:p>
        </w:tc>
        <w:tc>
          <w:tcPr>
            <w:tcW w:w="704" w:type="dxa"/>
          </w:tcPr>
          <w:p w14:paraId="1CCCB3BC" w14:textId="19647268" w:rsidR="009D3200" w:rsidRPr="00C6616F" w:rsidRDefault="00EB6F25" w:rsidP="00C6616F">
            <w:pPr>
              <w:rPr>
                <w:rFonts w:ascii="Calibri" w:eastAsia="MS Mincho" w:hAnsi="Calibri" w:cs="Arial"/>
              </w:rPr>
            </w:pPr>
            <w:r>
              <w:rPr>
                <w:rFonts w:ascii="Calibri" w:eastAsia="MS Mincho" w:hAnsi="Calibri" w:cs="Arial"/>
              </w:rPr>
              <w:t>2012</w:t>
            </w:r>
          </w:p>
        </w:tc>
        <w:tc>
          <w:tcPr>
            <w:tcW w:w="1312" w:type="dxa"/>
          </w:tcPr>
          <w:p w14:paraId="7417E785" w14:textId="3D85CEC2" w:rsidR="009D3200" w:rsidRPr="00C6616F" w:rsidRDefault="00EB6F25" w:rsidP="00C6616F">
            <w:pPr>
              <w:rPr>
                <w:rFonts w:ascii="Calibri" w:eastAsia="MS Mincho" w:hAnsi="Calibri" w:cs="Arial"/>
              </w:rPr>
            </w:pPr>
            <w:r>
              <w:rPr>
                <w:rFonts w:ascii="Calibri" w:eastAsia="MS Mincho" w:hAnsi="Calibri" w:cs="Arial"/>
              </w:rPr>
              <w:t>Scotland</w:t>
            </w:r>
          </w:p>
        </w:tc>
        <w:tc>
          <w:tcPr>
            <w:tcW w:w="1309" w:type="dxa"/>
          </w:tcPr>
          <w:p w14:paraId="5419CA4F" w14:textId="5159AD2F" w:rsidR="009D3200" w:rsidRPr="00C6616F" w:rsidRDefault="00EB6F25" w:rsidP="00C6616F">
            <w:pPr>
              <w:rPr>
                <w:rFonts w:ascii="Calibri" w:eastAsia="MS Mincho" w:hAnsi="Calibri" w:cs="Arial"/>
              </w:rPr>
            </w:pPr>
            <w:r>
              <w:rPr>
                <w:rFonts w:ascii="Calibri" w:eastAsia="MS Mincho" w:hAnsi="Calibri" w:cs="Arial"/>
              </w:rPr>
              <w:t>England</w:t>
            </w:r>
          </w:p>
        </w:tc>
        <w:tc>
          <w:tcPr>
            <w:tcW w:w="1524" w:type="dxa"/>
          </w:tcPr>
          <w:p w14:paraId="7C730F3D" w14:textId="7855D390" w:rsidR="009D3200" w:rsidRPr="00C6616F" w:rsidRDefault="00EB6F25" w:rsidP="00C6616F">
            <w:pPr>
              <w:rPr>
                <w:rFonts w:ascii="Calibri" w:eastAsia="MS Mincho" w:hAnsi="Calibri" w:cs="Arial"/>
              </w:rPr>
            </w:pPr>
            <w:r>
              <w:rPr>
                <w:rFonts w:ascii="Calibri" w:eastAsia="MS Mincho" w:hAnsi="Calibri" w:cs="Arial"/>
              </w:rPr>
              <w:t>Suicide</w:t>
            </w:r>
          </w:p>
        </w:tc>
        <w:tc>
          <w:tcPr>
            <w:tcW w:w="1135" w:type="dxa"/>
          </w:tcPr>
          <w:p w14:paraId="651C8F7E" w14:textId="65402BA3" w:rsidR="009D3200" w:rsidRPr="00C6616F" w:rsidRDefault="00EB6F25" w:rsidP="00C6616F">
            <w:pPr>
              <w:rPr>
                <w:rFonts w:ascii="Calibri" w:eastAsia="MS Mincho" w:hAnsi="Calibri" w:cs="Arial"/>
              </w:rPr>
            </w:pPr>
            <w:r>
              <w:rPr>
                <w:rFonts w:ascii="Calibri" w:eastAsia="MS Mincho" w:hAnsi="Calibri" w:cs="Arial"/>
              </w:rPr>
              <w:t>Mortality</w:t>
            </w:r>
          </w:p>
        </w:tc>
        <w:tc>
          <w:tcPr>
            <w:tcW w:w="6673" w:type="dxa"/>
          </w:tcPr>
          <w:p w14:paraId="13B9CA30" w14:textId="775E1639" w:rsidR="009D3200" w:rsidRPr="00C6616F" w:rsidRDefault="008A12F6" w:rsidP="00887B1B">
            <w:pPr>
              <w:rPr>
                <w:rFonts w:ascii="Calibri" w:eastAsia="MS Mincho" w:hAnsi="Calibri" w:cs="Arial"/>
              </w:rPr>
            </w:pPr>
            <w:r>
              <w:rPr>
                <w:rFonts w:ascii="Calibri" w:eastAsia="MS Mincho" w:hAnsi="Calibri" w:cs="Arial"/>
              </w:rPr>
              <w:t xml:space="preserve">Suicide rate ratio </w:t>
            </w:r>
            <w:r w:rsidR="00887B1B">
              <w:rPr>
                <w:rFonts w:ascii="Calibri" w:eastAsia="MS Mincho" w:hAnsi="Calibri" w:cs="Arial"/>
              </w:rPr>
              <w:t xml:space="preserve">for </w:t>
            </w:r>
            <w:r>
              <w:rPr>
                <w:rFonts w:ascii="Calibri" w:eastAsia="MS Mincho" w:hAnsi="Calibri" w:cs="Arial"/>
              </w:rPr>
              <w:t>Scotland</w:t>
            </w:r>
            <w:r w:rsidR="00887B1B">
              <w:rPr>
                <w:rFonts w:ascii="Calibri" w:eastAsia="MS Mincho" w:hAnsi="Calibri" w:cs="Arial"/>
              </w:rPr>
              <w:t xml:space="preserve"> vs.</w:t>
            </w:r>
            <w:r>
              <w:rPr>
                <w:rFonts w:ascii="Calibri" w:eastAsia="MS Mincho" w:hAnsi="Calibri" w:cs="Arial"/>
              </w:rPr>
              <w:t xml:space="preserve"> England </w:t>
            </w:r>
            <w:r w:rsidR="00887B1B">
              <w:rPr>
                <w:rFonts w:ascii="Calibri" w:eastAsia="MS Mincho" w:hAnsi="Calibri" w:cs="Arial"/>
              </w:rPr>
              <w:t xml:space="preserve">between 2001 and 2006 </w:t>
            </w:r>
            <w:r>
              <w:rPr>
                <w:rFonts w:ascii="Calibri" w:eastAsia="MS Mincho" w:hAnsi="Calibri" w:cs="Arial"/>
              </w:rPr>
              <w:t>was 1.79 (95%Ci 1.62-1.98)</w:t>
            </w:r>
            <w:r w:rsidR="00A819AB">
              <w:rPr>
                <w:rFonts w:ascii="Calibri" w:eastAsia="MS Mincho" w:hAnsi="Calibri" w:cs="Arial"/>
              </w:rPr>
              <w:t>. In men aged 15-44, the ratio was 2.06 (95%CI1.81-2.35)</w:t>
            </w:r>
          </w:p>
        </w:tc>
      </w:tr>
      <w:tr w:rsidR="009D3200" w:rsidRPr="00C6616F" w14:paraId="762A16CF" w14:textId="77777777" w:rsidTr="009F66DC">
        <w:tc>
          <w:tcPr>
            <w:tcW w:w="1239" w:type="dxa"/>
          </w:tcPr>
          <w:p w14:paraId="06EABE4A" w14:textId="6793C780" w:rsidR="009D3200" w:rsidRPr="00F84764" w:rsidRDefault="00E5120E" w:rsidP="009D3200">
            <w:pPr>
              <w:rPr>
                <w:rFonts w:ascii="Calibri" w:eastAsia="MS Mincho" w:hAnsi="Calibri" w:cs="Arial"/>
                <w:vertAlign w:val="superscript"/>
              </w:rPr>
            </w:pPr>
            <w:r>
              <w:rPr>
                <w:rFonts w:ascii="Calibri" w:eastAsia="MS Mincho" w:hAnsi="Calibri" w:cs="Arial"/>
              </w:rPr>
              <w:t>McCartney</w:t>
            </w:r>
            <w:r w:rsidR="00F84764">
              <w:rPr>
                <w:rFonts w:ascii="Calibri" w:eastAsia="MS Mincho" w:hAnsi="Calibri" w:cs="Arial"/>
                <w:vertAlign w:val="superscript"/>
              </w:rPr>
              <w:t>37</w:t>
            </w:r>
          </w:p>
        </w:tc>
        <w:tc>
          <w:tcPr>
            <w:tcW w:w="704" w:type="dxa"/>
          </w:tcPr>
          <w:p w14:paraId="7692E27D" w14:textId="613F29A0" w:rsidR="009D3200" w:rsidRPr="00C6616F" w:rsidRDefault="00E5120E" w:rsidP="00C6616F">
            <w:pPr>
              <w:rPr>
                <w:rFonts w:ascii="Calibri" w:eastAsia="MS Mincho" w:hAnsi="Calibri" w:cs="Arial"/>
              </w:rPr>
            </w:pPr>
            <w:r>
              <w:rPr>
                <w:rFonts w:ascii="Calibri" w:eastAsia="MS Mincho" w:hAnsi="Calibri" w:cs="Arial"/>
              </w:rPr>
              <w:t>2015</w:t>
            </w:r>
          </w:p>
        </w:tc>
        <w:tc>
          <w:tcPr>
            <w:tcW w:w="1312" w:type="dxa"/>
          </w:tcPr>
          <w:p w14:paraId="7C07CBCB" w14:textId="4F2CBE6F" w:rsidR="009D3200" w:rsidRPr="00C6616F" w:rsidRDefault="00E5120E" w:rsidP="00C6616F">
            <w:pPr>
              <w:rPr>
                <w:rFonts w:ascii="Calibri" w:eastAsia="MS Mincho" w:hAnsi="Calibri" w:cs="Arial"/>
              </w:rPr>
            </w:pPr>
            <w:r>
              <w:rPr>
                <w:rFonts w:ascii="Calibri" w:eastAsia="MS Mincho" w:hAnsi="Calibri" w:cs="Arial"/>
              </w:rPr>
              <w:t>Scotland</w:t>
            </w:r>
          </w:p>
        </w:tc>
        <w:tc>
          <w:tcPr>
            <w:tcW w:w="1309" w:type="dxa"/>
          </w:tcPr>
          <w:p w14:paraId="52222AA6" w14:textId="029283F7" w:rsidR="009D3200" w:rsidRPr="00C6616F" w:rsidRDefault="00E5120E" w:rsidP="00C6616F">
            <w:pPr>
              <w:rPr>
                <w:rFonts w:ascii="Calibri" w:eastAsia="MS Mincho" w:hAnsi="Calibri" w:cs="Arial"/>
              </w:rPr>
            </w:pPr>
            <w:r>
              <w:rPr>
                <w:rFonts w:ascii="Calibri" w:eastAsia="MS Mincho" w:hAnsi="Calibri" w:cs="Arial"/>
              </w:rPr>
              <w:t>England</w:t>
            </w:r>
          </w:p>
        </w:tc>
        <w:tc>
          <w:tcPr>
            <w:tcW w:w="1524" w:type="dxa"/>
          </w:tcPr>
          <w:p w14:paraId="03CAFE8C" w14:textId="49DD53D3" w:rsidR="009D3200" w:rsidRPr="00C6616F" w:rsidRDefault="00E5120E" w:rsidP="00C6616F">
            <w:pPr>
              <w:rPr>
                <w:rFonts w:ascii="Calibri" w:eastAsia="MS Mincho" w:hAnsi="Calibri" w:cs="Arial"/>
              </w:rPr>
            </w:pPr>
            <w:r>
              <w:rPr>
                <w:rFonts w:ascii="Calibri" w:eastAsia="MS Mincho" w:hAnsi="Calibri" w:cs="Arial"/>
              </w:rPr>
              <w:t xml:space="preserve">Socioeconomic and behavioural </w:t>
            </w:r>
            <w:r>
              <w:rPr>
                <w:rFonts w:ascii="Calibri" w:eastAsia="MS Mincho" w:hAnsi="Calibri" w:cs="Arial"/>
              </w:rPr>
              <w:lastRenderedPageBreak/>
              <w:t>characteristics</w:t>
            </w:r>
          </w:p>
        </w:tc>
        <w:tc>
          <w:tcPr>
            <w:tcW w:w="1135" w:type="dxa"/>
          </w:tcPr>
          <w:p w14:paraId="1D93E4FA" w14:textId="4AE5AF3A" w:rsidR="009D3200" w:rsidRPr="00C6616F" w:rsidRDefault="00E5120E" w:rsidP="00C6616F">
            <w:pPr>
              <w:rPr>
                <w:rFonts w:ascii="Calibri" w:eastAsia="MS Mincho" w:hAnsi="Calibri" w:cs="Arial"/>
              </w:rPr>
            </w:pPr>
            <w:r>
              <w:rPr>
                <w:rFonts w:ascii="Calibri" w:eastAsia="MS Mincho" w:hAnsi="Calibri" w:cs="Arial"/>
              </w:rPr>
              <w:lastRenderedPageBreak/>
              <w:t>Mortality</w:t>
            </w:r>
          </w:p>
        </w:tc>
        <w:tc>
          <w:tcPr>
            <w:tcW w:w="6673" w:type="dxa"/>
          </w:tcPr>
          <w:p w14:paraId="4DC4136D" w14:textId="40A55CA8" w:rsidR="009D3200" w:rsidRPr="00C6616F" w:rsidRDefault="00E5120E" w:rsidP="004F2176">
            <w:pPr>
              <w:rPr>
                <w:rFonts w:ascii="Calibri" w:eastAsia="MS Mincho" w:hAnsi="Calibri" w:cs="Arial"/>
              </w:rPr>
            </w:pPr>
            <w:r>
              <w:rPr>
                <w:rFonts w:ascii="Calibri" w:eastAsia="MS Mincho" w:hAnsi="Calibri" w:cs="Arial"/>
              </w:rPr>
              <w:t>Hazard ratio for all-cause mortality Scotland vs. England was 1.40 (95%Ci 1.34-1.47)</w:t>
            </w:r>
            <w:r w:rsidR="004F2176">
              <w:rPr>
                <w:rFonts w:ascii="Calibri" w:eastAsia="MS Mincho" w:hAnsi="Calibri" w:cs="Arial"/>
              </w:rPr>
              <w:t>, attenuated to 1.29 (95%CI1.23-1.36) after adjustment for socioeconomic and behavioural characteristics.</w:t>
            </w:r>
            <w:r w:rsidR="00D725D5">
              <w:rPr>
                <w:rFonts w:ascii="Calibri" w:eastAsia="MS Mincho" w:hAnsi="Calibri" w:cs="Arial"/>
              </w:rPr>
              <w:t xml:space="preserve"> Excess mortality was </w:t>
            </w:r>
            <w:r w:rsidR="00D725D5">
              <w:rPr>
                <w:rFonts w:ascii="Calibri" w:eastAsia="MS Mincho" w:hAnsi="Calibri" w:cs="Arial"/>
              </w:rPr>
              <w:lastRenderedPageBreak/>
              <w:t>greatest among young adults and observed across all social classes (though greater in the unskilled)</w:t>
            </w:r>
            <w:r w:rsidR="00F10EF3">
              <w:rPr>
                <w:rFonts w:ascii="Calibri" w:eastAsia="MS Mincho" w:hAnsi="Calibri" w:cs="Arial"/>
              </w:rPr>
              <w:t>. The excess was observed for a wide variety of causes of death including cancer, ischaemic heart disease and stroke.</w:t>
            </w:r>
          </w:p>
        </w:tc>
      </w:tr>
    </w:tbl>
    <w:p w14:paraId="49EFADA5" w14:textId="77777777" w:rsidR="00C6616F" w:rsidRPr="00C6616F" w:rsidRDefault="00C6616F" w:rsidP="00C6616F">
      <w:pPr>
        <w:spacing w:line="240" w:lineRule="auto"/>
        <w:rPr>
          <w:rFonts w:ascii="Calibri" w:eastAsia="MS Mincho" w:hAnsi="Calibri" w:cs="Arial"/>
          <w:sz w:val="20"/>
          <w:szCs w:val="20"/>
          <w:lang w:eastAsia="ja-JP"/>
        </w:rPr>
      </w:pPr>
      <w:r w:rsidRPr="00C6616F">
        <w:rPr>
          <w:rFonts w:ascii="Calibri" w:eastAsia="MS Mincho" w:hAnsi="Calibri" w:cs="Arial"/>
          <w:sz w:val="20"/>
          <w:szCs w:val="20"/>
          <w:lang w:eastAsia="ja-JP"/>
        </w:rPr>
        <w:lastRenderedPageBreak/>
        <w:t>Footnote: CI = confidence interval</w:t>
      </w:r>
    </w:p>
    <w:p w14:paraId="05293704" w14:textId="4275BCE5" w:rsidR="00F205AB" w:rsidRDefault="00F205AB">
      <w:pPr>
        <w:rPr>
          <w:b/>
          <w:bCs/>
        </w:rPr>
      </w:pPr>
    </w:p>
    <w:p w14:paraId="66973488" w14:textId="77777777" w:rsidR="00A018B8" w:rsidRDefault="00A018B8" w:rsidP="00503C9D">
      <w:pPr>
        <w:spacing w:line="480" w:lineRule="auto"/>
        <w:rPr>
          <w:b/>
          <w:bCs/>
        </w:rPr>
        <w:sectPr w:rsidR="00A018B8" w:rsidSect="00A018B8">
          <w:pgSz w:w="16838" w:h="11906" w:orient="landscape"/>
          <w:pgMar w:top="1701" w:right="1701" w:bottom="1701" w:left="1701" w:header="709" w:footer="709" w:gutter="0"/>
          <w:cols w:space="708"/>
          <w:docGrid w:linePitch="360"/>
        </w:sectPr>
      </w:pPr>
    </w:p>
    <w:p w14:paraId="268B52E3" w14:textId="5B495239" w:rsidR="00503C9D" w:rsidRPr="00112E3B" w:rsidRDefault="00503C9D" w:rsidP="00503C9D">
      <w:pPr>
        <w:spacing w:line="480" w:lineRule="auto"/>
        <w:rPr>
          <w:b/>
          <w:bCs/>
        </w:rPr>
      </w:pPr>
      <w:r w:rsidRPr="00112E3B">
        <w:rPr>
          <w:b/>
          <w:bCs/>
        </w:rPr>
        <w:lastRenderedPageBreak/>
        <w:t xml:space="preserve">Table </w:t>
      </w:r>
      <w:r w:rsidR="00A018B8">
        <w:rPr>
          <w:b/>
          <w:bCs/>
        </w:rPr>
        <w:t>2</w:t>
      </w:r>
      <w:r w:rsidRPr="00112E3B">
        <w:rPr>
          <w:b/>
          <w:bCs/>
        </w:rPr>
        <w:t xml:space="preserve">. </w:t>
      </w:r>
      <w:r>
        <w:rPr>
          <w:b/>
          <w:bCs/>
        </w:rPr>
        <w:t>Potential l</w:t>
      </w:r>
      <w:r w:rsidRPr="00112E3B">
        <w:rPr>
          <w:b/>
          <w:bCs/>
        </w:rPr>
        <w:t>inks between Dahlgren and Whitehead determinants and GCPH review hypotheses with some suggested areas of future potential exploration.</w:t>
      </w:r>
    </w:p>
    <w:p w14:paraId="49F79BDE" w14:textId="77777777" w:rsidR="00503C9D" w:rsidRPr="00112E3B" w:rsidRDefault="00503C9D" w:rsidP="00503C9D"/>
    <w:p w14:paraId="3B235F7A" w14:textId="77777777" w:rsidR="00503C9D" w:rsidRPr="00112E3B" w:rsidRDefault="00503C9D" w:rsidP="00503C9D"/>
    <w:tbl>
      <w:tblPr>
        <w:tblStyle w:val="TableGrid"/>
        <w:tblW w:w="0" w:type="auto"/>
        <w:tblLook w:val="04A0" w:firstRow="1" w:lastRow="0" w:firstColumn="1" w:lastColumn="0" w:noHBand="0" w:noVBand="1"/>
      </w:tblPr>
      <w:tblGrid>
        <w:gridCol w:w="2720"/>
        <w:gridCol w:w="3057"/>
        <w:gridCol w:w="2943"/>
      </w:tblGrid>
      <w:tr w:rsidR="00503C9D" w:rsidRPr="00112E3B" w14:paraId="66D34C9B" w14:textId="77777777" w:rsidTr="00503C9D">
        <w:tc>
          <w:tcPr>
            <w:tcW w:w="3080" w:type="dxa"/>
          </w:tcPr>
          <w:p w14:paraId="57129E44" w14:textId="77777777" w:rsidR="00503C9D" w:rsidRPr="00112E3B" w:rsidRDefault="00503C9D" w:rsidP="00503C9D">
            <w:pPr>
              <w:rPr>
                <w:b/>
                <w:bCs/>
              </w:rPr>
            </w:pPr>
            <w:r w:rsidRPr="00112E3B">
              <w:rPr>
                <w:b/>
                <w:bCs/>
              </w:rPr>
              <w:t>Dahlgren and Whitehead determinants</w:t>
            </w:r>
          </w:p>
        </w:tc>
        <w:tc>
          <w:tcPr>
            <w:tcW w:w="3081" w:type="dxa"/>
          </w:tcPr>
          <w:p w14:paraId="004E7378" w14:textId="77777777" w:rsidR="00503C9D" w:rsidRPr="00112E3B" w:rsidRDefault="00503C9D" w:rsidP="00503C9D">
            <w:pPr>
              <w:rPr>
                <w:b/>
                <w:bCs/>
              </w:rPr>
            </w:pPr>
            <w:r w:rsidRPr="00112E3B">
              <w:rPr>
                <w:b/>
                <w:bCs/>
              </w:rPr>
              <w:t xml:space="preserve">GCPH </w:t>
            </w:r>
            <w:r>
              <w:rPr>
                <w:b/>
                <w:bCs/>
              </w:rPr>
              <w:t xml:space="preserve">review </w:t>
            </w:r>
            <w:r w:rsidRPr="00112E3B">
              <w:rPr>
                <w:b/>
                <w:bCs/>
              </w:rPr>
              <w:t>hypotheses</w:t>
            </w:r>
          </w:p>
        </w:tc>
        <w:tc>
          <w:tcPr>
            <w:tcW w:w="3081" w:type="dxa"/>
          </w:tcPr>
          <w:p w14:paraId="5CB0711F" w14:textId="77777777" w:rsidR="00503C9D" w:rsidRPr="00112E3B" w:rsidRDefault="00503C9D" w:rsidP="00503C9D">
            <w:pPr>
              <w:rPr>
                <w:b/>
                <w:bCs/>
              </w:rPr>
            </w:pPr>
            <w:r w:rsidRPr="00112E3B">
              <w:rPr>
                <w:b/>
                <w:bCs/>
              </w:rPr>
              <w:t xml:space="preserve">Potentially under-explored areas that may impact health outcomes </w:t>
            </w:r>
          </w:p>
          <w:p w14:paraId="77F0AABF" w14:textId="77777777" w:rsidR="00503C9D" w:rsidRPr="00112E3B" w:rsidRDefault="00503C9D" w:rsidP="00503C9D">
            <w:pPr>
              <w:rPr>
                <w:b/>
                <w:bCs/>
              </w:rPr>
            </w:pPr>
          </w:p>
        </w:tc>
      </w:tr>
      <w:tr w:rsidR="00503C9D" w:rsidRPr="00112E3B" w14:paraId="52DCFF62" w14:textId="77777777" w:rsidTr="00503C9D">
        <w:tc>
          <w:tcPr>
            <w:tcW w:w="3080" w:type="dxa"/>
          </w:tcPr>
          <w:p w14:paraId="532ED3D0" w14:textId="77777777" w:rsidR="00503C9D" w:rsidRPr="00112E3B" w:rsidRDefault="00503C9D" w:rsidP="00503C9D">
            <w:r w:rsidRPr="00112E3B">
              <w:t>General socio-economic, cultural and environmental conditions</w:t>
            </w:r>
          </w:p>
        </w:tc>
        <w:tc>
          <w:tcPr>
            <w:tcW w:w="3081" w:type="dxa"/>
          </w:tcPr>
          <w:p w14:paraId="4680B5EB" w14:textId="77777777" w:rsidR="00503C9D" w:rsidRPr="00112E3B" w:rsidRDefault="00503C9D" w:rsidP="00503C9D">
            <w:pPr>
              <w:numPr>
                <w:ilvl w:val="0"/>
                <w:numId w:val="5"/>
              </w:numPr>
              <w:contextualSpacing/>
            </w:pPr>
            <w:r w:rsidRPr="00112E3B">
              <w:t>Culture of boundlessness and alienation</w:t>
            </w:r>
          </w:p>
          <w:p w14:paraId="52CFCCAA" w14:textId="77777777" w:rsidR="00503C9D" w:rsidRPr="00112E3B" w:rsidRDefault="00503C9D" w:rsidP="00503C9D">
            <w:pPr>
              <w:numPr>
                <w:ilvl w:val="0"/>
                <w:numId w:val="5"/>
              </w:numPr>
              <w:contextualSpacing/>
            </w:pPr>
            <w:r w:rsidRPr="00112E3B">
              <w:t>Culture of limited social mobility</w:t>
            </w:r>
          </w:p>
          <w:p w14:paraId="08EB7CDD" w14:textId="77777777" w:rsidR="00503C9D" w:rsidRPr="00112E3B" w:rsidRDefault="00503C9D" w:rsidP="00503C9D">
            <w:pPr>
              <w:numPr>
                <w:ilvl w:val="0"/>
                <w:numId w:val="5"/>
              </w:numPr>
              <w:contextualSpacing/>
            </w:pPr>
            <w:r w:rsidRPr="00112E3B">
              <w:t>Sectarianism</w:t>
            </w:r>
          </w:p>
          <w:p w14:paraId="4D21DB5D" w14:textId="77777777" w:rsidR="00503C9D" w:rsidRPr="00112E3B" w:rsidRDefault="00503C9D" w:rsidP="00503C9D">
            <w:pPr>
              <w:numPr>
                <w:ilvl w:val="0"/>
                <w:numId w:val="5"/>
              </w:numPr>
              <w:contextualSpacing/>
            </w:pPr>
            <w:r w:rsidRPr="00112E3B">
              <w:t>Greater inequalities</w:t>
            </w:r>
          </w:p>
          <w:p w14:paraId="26E957A7" w14:textId="77777777" w:rsidR="00503C9D" w:rsidRPr="00112E3B" w:rsidRDefault="00503C9D" w:rsidP="00503C9D">
            <w:pPr>
              <w:numPr>
                <w:ilvl w:val="0"/>
                <w:numId w:val="5"/>
              </w:numPr>
              <w:contextualSpacing/>
            </w:pPr>
            <w:r w:rsidRPr="00112E3B">
              <w:t>Deindustrialisation</w:t>
            </w:r>
          </w:p>
          <w:p w14:paraId="60D4657A" w14:textId="77777777" w:rsidR="00503C9D" w:rsidRPr="00112E3B" w:rsidRDefault="00503C9D" w:rsidP="00503C9D">
            <w:pPr>
              <w:numPr>
                <w:ilvl w:val="0"/>
                <w:numId w:val="5"/>
              </w:numPr>
              <w:contextualSpacing/>
            </w:pPr>
            <w:r w:rsidRPr="00112E3B">
              <w:t>Political attack</w:t>
            </w:r>
          </w:p>
          <w:p w14:paraId="4F45E1EB" w14:textId="77777777" w:rsidR="00503C9D" w:rsidRPr="00112E3B" w:rsidRDefault="00503C9D" w:rsidP="00503C9D">
            <w:pPr>
              <w:numPr>
                <w:ilvl w:val="0"/>
                <w:numId w:val="5"/>
              </w:numPr>
              <w:contextualSpacing/>
            </w:pPr>
            <w:r w:rsidRPr="00112E3B">
              <w:t>Climatic differences</w:t>
            </w:r>
          </w:p>
          <w:p w14:paraId="46F8E417" w14:textId="77777777" w:rsidR="00503C9D" w:rsidRPr="00112E3B" w:rsidRDefault="00503C9D" w:rsidP="00503C9D">
            <w:pPr>
              <w:numPr>
                <w:ilvl w:val="0"/>
                <w:numId w:val="5"/>
              </w:numPr>
              <w:contextualSpacing/>
            </w:pPr>
            <w:r w:rsidRPr="00112E3B">
              <w:t>Different culture of substance misuse</w:t>
            </w:r>
          </w:p>
        </w:tc>
        <w:tc>
          <w:tcPr>
            <w:tcW w:w="3081" w:type="dxa"/>
          </w:tcPr>
          <w:p w14:paraId="55531986" w14:textId="77777777" w:rsidR="00503C9D" w:rsidRPr="00112E3B" w:rsidRDefault="00503C9D" w:rsidP="00F205AB">
            <w:pPr>
              <w:numPr>
                <w:ilvl w:val="0"/>
                <w:numId w:val="5"/>
              </w:numPr>
              <w:contextualSpacing/>
            </w:pPr>
            <w:r w:rsidRPr="00112E3B">
              <w:t>Education provision, structure and opportunity</w:t>
            </w:r>
          </w:p>
          <w:p w14:paraId="70071B58" w14:textId="77777777" w:rsidR="00503C9D" w:rsidRDefault="00503C9D" w:rsidP="00F205AB">
            <w:pPr>
              <w:numPr>
                <w:ilvl w:val="0"/>
                <w:numId w:val="5"/>
              </w:numPr>
              <w:contextualSpacing/>
            </w:pPr>
            <w:r w:rsidRPr="00112E3B">
              <w:t>Culture of nihilism and cynicism</w:t>
            </w:r>
          </w:p>
          <w:p w14:paraId="5BB0EDDC" w14:textId="77777777" w:rsidR="00503C9D" w:rsidRDefault="00503C9D" w:rsidP="00F205AB">
            <w:pPr>
              <w:numPr>
                <w:ilvl w:val="0"/>
                <w:numId w:val="5"/>
              </w:numPr>
              <w:contextualSpacing/>
            </w:pPr>
            <w:r>
              <w:t>Conflict</w:t>
            </w:r>
          </w:p>
          <w:p w14:paraId="723A20B3" w14:textId="77777777" w:rsidR="00F205AB" w:rsidRPr="00112E3B" w:rsidRDefault="00F205AB" w:rsidP="00F205AB">
            <w:pPr>
              <w:numPr>
                <w:ilvl w:val="0"/>
                <w:numId w:val="5"/>
              </w:numPr>
              <w:contextualSpacing/>
            </w:pPr>
            <w:r>
              <w:t>Epigenetics</w:t>
            </w:r>
          </w:p>
          <w:p w14:paraId="7AE304C0" w14:textId="77777777" w:rsidR="00F205AB" w:rsidRPr="00112E3B" w:rsidRDefault="00F205AB" w:rsidP="00F205AB">
            <w:pPr>
              <w:ind w:left="720"/>
              <w:contextualSpacing/>
            </w:pPr>
          </w:p>
          <w:p w14:paraId="2DA20A88" w14:textId="77777777" w:rsidR="00503C9D" w:rsidRPr="00112E3B" w:rsidRDefault="00503C9D" w:rsidP="00503C9D">
            <w:pPr>
              <w:ind w:left="720"/>
              <w:contextualSpacing/>
            </w:pPr>
          </w:p>
          <w:p w14:paraId="3C7AD5AE" w14:textId="77777777" w:rsidR="00503C9D" w:rsidRPr="00112E3B" w:rsidRDefault="00503C9D" w:rsidP="00503C9D">
            <w:pPr>
              <w:ind w:left="720"/>
              <w:contextualSpacing/>
            </w:pPr>
            <w:r w:rsidRPr="00112E3B">
              <w:t xml:space="preserve"> </w:t>
            </w:r>
          </w:p>
          <w:p w14:paraId="4F64389F" w14:textId="77777777" w:rsidR="00503C9D" w:rsidRPr="00112E3B" w:rsidRDefault="00503C9D" w:rsidP="00503C9D">
            <w:pPr>
              <w:ind w:left="720"/>
              <w:contextualSpacing/>
            </w:pPr>
          </w:p>
        </w:tc>
      </w:tr>
      <w:tr w:rsidR="00503C9D" w:rsidRPr="00112E3B" w14:paraId="74417DDF" w14:textId="77777777" w:rsidTr="00503C9D">
        <w:tc>
          <w:tcPr>
            <w:tcW w:w="3080" w:type="dxa"/>
          </w:tcPr>
          <w:p w14:paraId="033E215B" w14:textId="77777777" w:rsidR="00503C9D" w:rsidRPr="00112E3B" w:rsidRDefault="00503C9D" w:rsidP="00503C9D">
            <w:r w:rsidRPr="00112E3B">
              <w:t>Living and working conditions</w:t>
            </w:r>
          </w:p>
        </w:tc>
        <w:tc>
          <w:tcPr>
            <w:tcW w:w="3081" w:type="dxa"/>
          </w:tcPr>
          <w:p w14:paraId="01924FDE" w14:textId="77777777" w:rsidR="00503C9D" w:rsidRPr="00112E3B" w:rsidRDefault="00503C9D" w:rsidP="00503C9D">
            <w:pPr>
              <w:numPr>
                <w:ilvl w:val="0"/>
                <w:numId w:val="6"/>
              </w:numPr>
              <w:contextualSpacing/>
            </w:pPr>
            <w:r w:rsidRPr="00112E3B">
              <w:t>Deprivation</w:t>
            </w:r>
          </w:p>
          <w:p w14:paraId="650EA6C7" w14:textId="77777777" w:rsidR="00503C9D" w:rsidRPr="00112E3B" w:rsidRDefault="00503C9D" w:rsidP="00503C9D">
            <w:pPr>
              <w:numPr>
                <w:ilvl w:val="0"/>
                <w:numId w:val="6"/>
              </w:numPr>
              <w:contextualSpacing/>
            </w:pPr>
            <w:r w:rsidRPr="00112E3B">
              <w:t>Health service supply and demand</w:t>
            </w:r>
          </w:p>
          <w:p w14:paraId="7E211ACB" w14:textId="77777777" w:rsidR="00503C9D" w:rsidRPr="00112E3B" w:rsidRDefault="00503C9D" w:rsidP="00503C9D">
            <w:pPr>
              <w:numPr>
                <w:ilvl w:val="0"/>
                <w:numId w:val="6"/>
              </w:numPr>
              <w:contextualSpacing/>
            </w:pPr>
            <w:r w:rsidRPr="00112E3B">
              <w:t>Deprivation concentration ‘area effects’</w:t>
            </w:r>
          </w:p>
          <w:p w14:paraId="570DCA2B" w14:textId="77777777" w:rsidR="00503C9D" w:rsidRPr="00112E3B" w:rsidRDefault="00503C9D" w:rsidP="00503C9D">
            <w:pPr>
              <w:numPr>
                <w:ilvl w:val="0"/>
                <w:numId w:val="6"/>
              </w:numPr>
              <w:contextualSpacing/>
            </w:pPr>
            <w:r w:rsidRPr="00112E3B">
              <w:t>Deindustrialisation</w:t>
            </w:r>
          </w:p>
        </w:tc>
        <w:tc>
          <w:tcPr>
            <w:tcW w:w="3081" w:type="dxa"/>
          </w:tcPr>
          <w:p w14:paraId="4711A72B" w14:textId="77777777" w:rsidR="00503C9D" w:rsidRPr="00112E3B" w:rsidRDefault="00503C9D" w:rsidP="00503C9D">
            <w:pPr>
              <w:numPr>
                <w:ilvl w:val="0"/>
                <w:numId w:val="6"/>
              </w:numPr>
              <w:contextualSpacing/>
            </w:pPr>
            <w:r w:rsidRPr="00112E3B">
              <w:t>Community safety</w:t>
            </w:r>
          </w:p>
          <w:p w14:paraId="0B46E468" w14:textId="77777777" w:rsidR="00503C9D" w:rsidRPr="00112E3B" w:rsidRDefault="00503C9D" w:rsidP="00503C9D">
            <w:pPr>
              <w:numPr>
                <w:ilvl w:val="0"/>
                <w:numId w:val="6"/>
              </w:numPr>
              <w:contextualSpacing/>
            </w:pPr>
            <w:r w:rsidRPr="00112E3B">
              <w:t>Access to opportunities for physical activity</w:t>
            </w:r>
          </w:p>
          <w:p w14:paraId="39B51DB5" w14:textId="77777777" w:rsidR="00503C9D" w:rsidRPr="00112E3B" w:rsidRDefault="00503C9D" w:rsidP="00503C9D">
            <w:pPr>
              <w:numPr>
                <w:ilvl w:val="0"/>
                <w:numId w:val="6"/>
              </w:numPr>
              <w:contextualSpacing/>
            </w:pPr>
            <w:r w:rsidRPr="00112E3B">
              <w:t>Employment</w:t>
            </w:r>
          </w:p>
        </w:tc>
      </w:tr>
      <w:tr w:rsidR="00503C9D" w:rsidRPr="00112E3B" w14:paraId="0E2780A1" w14:textId="77777777" w:rsidTr="00503C9D">
        <w:tc>
          <w:tcPr>
            <w:tcW w:w="3080" w:type="dxa"/>
          </w:tcPr>
          <w:p w14:paraId="0F86BB0B" w14:textId="77777777" w:rsidR="00503C9D" w:rsidRPr="00112E3B" w:rsidRDefault="00503C9D" w:rsidP="00503C9D">
            <w:r w:rsidRPr="00112E3B">
              <w:t>Social and community networks</w:t>
            </w:r>
          </w:p>
        </w:tc>
        <w:tc>
          <w:tcPr>
            <w:tcW w:w="3081" w:type="dxa"/>
          </w:tcPr>
          <w:p w14:paraId="3EC23F2E" w14:textId="77777777" w:rsidR="00503C9D" w:rsidRPr="00112E3B" w:rsidRDefault="00503C9D" w:rsidP="00503C9D">
            <w:pPr>
              <w:numPr>
                <w:ilvl w:val="0"/>
                <w:numId w:val="7"/>
              </w:numPr>
              <w:contextualSpacing/>
            </w:pPr>
            <w:r w:rsidRPr="00112E3B">
              <w:t>Family, gender relations and parenting differences</w:t>
            </w:r>
          </w:p>
          <w:p w14:paraId="3CFEABAA" w14:textId="77777777" w:rsidR="00503C9D" w:rsidRPr="00112E3B" w:rsidRDefault="00503C9D" w:rsidP="00503C9D">
            <w:pPr>
              <w:numPr>
                <w:ilvl w:val="0"/>
                <w:numId w:val="7"/>
              </w:numPr>
              <w:contextualSpacing/>
            </w:pPr>
            <w:r w:rsidRPr="00112E3B">
              <w:t>Migration</w:t>
            </w:r>
          </w:p>
          <w:p w14:paraId="110C7E70" w14:textId="77777777" w:rsidR="00503C9D" w:rsidRPr="00112E3B" w:rsidRDefault="00503C9D" w:rsidP="00503C9D">
            <w:pPr>
              <w:numPr>
                <w:ilvl w:val="0"/>
                <w:numId w:val="7"/>
              </w:numPr>
              <w:contextualSpacing/>
            </w:pPr>
            <w:r w:rsidRPr="00112E3B">
              <w:t>Lower ‘social capital’</w:t>
            </w:r>
          </w:p>
        </w:tc>
        <w:tc>
          <w:tcPr>
            <w:tcW w:w="3081" w:type="dxa"/>
          </w:tcPr>
          <w:p w14:paraId="275B54D2" w14:textId="77777777" w:rsidR="00503C9D" w:rsidRPr="00112E3B" w:rsidRDefault="00503C9D" w:rsidP="00503C9D">
            <w:pPr>
              <w:numPr>
                <w:ilvl w:val="0"/>
                <w:numId w:val="7"/>
              </w:numPr>
              <w:contextualSpacing/>
            </w:pPr>
            <w:r w:rsidRPr="00112E3B">
              <w:t>Perceived community safety</w:t>
            </w:r>
          </w:p>
          <w:p w14:paraId="75D1D6B9" w14:textId="77777777" w:rsidR="00503C9D" w:rsidRPr="00112E3B" w:rsidRDefault="00503C9D" w:rsidP="00503C9D">
            <w:pPr>
              <w:numPr>
                <w:ilvl w:val="0"/>
                <w:numId w:val="7"/>
              </w:numPr>
              <w:contextualSpacing/>
            </w:pPr>
            <w:r w:rsidRPr="00112E3B">
              <w:t>Perceived value to society</w:t>
            </w:r>
          </w:p>
        </w:tc>
      </w:tr>
      <w:tr w:rsidR="00503C9D" w:rsidRPr="00112E3B" w14:paraId="33E74C9C" w14:textId="77777777" w:rsidTr="00503C9D">
        <w:tc>
          <w:tcPr>
            <w:tcW w:w="3080" w:type="dxa"/>
          </w:tcPr>
          <w:p w14:paraId="1C7E5910" w14:textId="77777777" w:rsidR="00503C9D" w:rsidRPr="00112E3B" w:rsidRDefault="00503C9D" w:rsidP="00503C9D">
            <w:r w:rsidRPr="00112E3B">
              <w:t>Individual lifestyle factors</w:t>
            </w:r>
          </w:p>
        </w:tc>
        <w:tc>
          <w:tcPr>
            <w:tcW w:w="3081" w:type="dxa"/>
          </w:tcPr>
          <w:p w14:paraId="362B739C" w14:textId="77777777" w:rsidR="00503C9D" w:rsidRPr="00112E3B" w:rsidRDefault="00503C9D" w:rsidP="00503C9D">
            <w:pPr>
              <w:numPr>
                <w:ilvl w:val="0"/>
                <w:numId w:val="8"/>
              </w:numPr>
              <w:contextualSpacing/>
            </w:pPr>
            <w:r w:rsidRPr="00112E3B">
              <w:t>Health behaviours</w:t>
            </w:r>
          </w:p>
          <w:p w14:paraId="3BFEF560" w14:textId="77777777" w:rsidR="00503C9D" w:rsidRPr="00112E3B" w:rsidRDefault="00503C9D" w:rsidP="00503C9D">
            <w:pPr>
              <w:numPr>
                <w:ilvl w:val="0"/>
                <w:numId w:val="8"/>
              </w:numPr>
              <w:contextualSpacing/>
            </w:pPr>
            <w:r w:rsidRPr="00112E3B">
              <w:t>Different culture of substance misuse</w:t>
            </w:r>
          </w:p>
          <w:p w14:paraId="3F182536" w14:textId="77777777" w:rsidR="00503C9D" w:rsidRPr="00112E3B" w:rsidRDefault="00503C9D" w:rsidP="00503C9D">
            <w:pPr>
              <w:numPr>
                <w:ilvl w:val="0"/>
                <w:numId w:val="8"/>
              </w:numPr>
              <w:contextualSpacing/>
            </w:pPr>
            <w:r w:rsidRPr="00112E3B">
              <w:t>Individual values</w:t>
            </w:r>
          </w:p>
        </w:tc>
        <w:tc>
          <w:tcPr>
            <w:tcW w:w="3081" w:type="dxa"/>
          </w:tcPr>
          <w:p w14:paraId="1C587172" w14:textId="77777777" w:rsidR="00503C9D" w:rsidRPr="00112E3B" w:rsidRDefault="00503C9D" w:rsidP="00F205AB">
            <w:pPr>
              <w:numPr>
                <w:ilvl w:val="0"/>
                <w:numId w:val="8"/>
              </w:numPr>
              <w:contextualSpacing/>
            </w:pPr>
            <w:r w:rsidRPr="00112E3B">
              <w:t>Health literacy</w:t>
            </w:r>
          </w:p>
          <w:p w14:paraId="0804DA50" w14:textId="77777777" w:rsidR="00503C9D" w:rsidRPr="00112E3B" w:rsidRDefault="00503C9D" w:rsidP="00F205AB">
            <w:pPr>
              <w:numPr>
                <w:ilvl w:val="0"/>
                <w:numId w:val="8"/>
              </w:numPr>
              <w:contextualSpacing/>
            </w:pPr>
            <w:r w:rsidRPr="00112E3B">
              <w:t>Psychological resilience and mental health</w:t>
            </w:r>
          </w:p>
          <w:p w14:paraId="3D37F5DF" w14:textId="77777777" w:rsidR="00503C9D" w:rsidRPr="00112E3B" w:rsidRDefault="00503C9D" w:rsidP="00F205AB">
            <w:pPr>
              <w:numPr>
                <w:ilvl w:val="0"/>
                <w:numId w:val="8"/>
              </w:numPr>
              <w:contextualSpacing/>
            </w:pPr>
            <w:r w:rsidRPr="00112E3B">
              <w:t>Spiritual wellbeing</w:t>
            </w:r>
          </w:p>
          <w:p w14:paraId="26E03871" w14:textId="77777777" w:rsidR="00503C9D" w:rsidRDefault="00503C9D" w:rsidP="00F205AB">
            <w:pPr>
              <w:numPr>
                <w:ilvl w:val="0"/>
                <w:numId w:val="8"/>
              </w:numPr>
              <w:contextualSpacing/>
            </w:pPr>
            <w:r w:rsidRPr="00112E3B">
              <w:t>Lifecourse effects</w:t>
            </w:r>
          </w:p>
          <w:p w14:paraId="5F527F1A" w14:textId="77777777" w:rsidR="00F205AB" w:rsidRPr="00112E3B" w:rsidRDefault="00F205AB" w:rsidP="00F205AB">
            <w:pPr>
              <w:numPr>
                <w:ilvl w:val="0"/>
                <w:numId w:val="8"/>
              </w:numPr>
              <w:contextualSpacing/>
            </w:pPr>
            <w:r>
              <w:t>Epigenetics</w:t>
            </w:r>
          </w:p>
          <w:p w14:paraId="7443925A" w14:textId="77777777" w:rsidR="00F205AB" w:rsidRPr="00112E3B" w:rsidRDefault="00F205AB" w:rsidP="00F205AB">
            <w:pPr>
              <w:ind w:left="720"/>
              <w:contextualSpacing/>
            </w:pPr>
          </w:p>
          <w:p w14:paraId="02E20505" w14:textId="77777777" w:rsidR="00503C9D" w:rsidRPr="00112E3B" w:rsidRDefault="00503C9D" w:rsidP="00503C9D">
            <w:pPr>
              <w:ind w:left="720"/>
              <w:contextualSpacing/>
            </w:pPr>
          </w:p>
        </w:tc>
      </w:tr>
      <w:tr w:rsidR="00503C9D" w:rsidRPr="00112E3B" w14:paraId="34BE3AFF" w14:textId="77777777" w:rsidTr="00503C9D">
        <w:tc>
          <w:tcPr>
            <w:tcW w:w="3080" w:type="dxa"/>
          </w:tcPr>
          <w:p w14:paraId="4B72D491" w14:textId="77777777" w:rsidR="00503C9D" w:rsidRPr="00112E3B" w:rsidRDefault="00503C9D" w:rsidP="00503C9D">
            <w:r w:rsidRPr="00112E3B">
              <w:t>Age, sex and constitutional factors</w:t>
            </w:r>
          </w:p>
        </w:tc>
        <w:tc>
          <w:tcPr>
            <w:tcW w:w="3081" w:type="dxa"/>
          </w:tcPr>
          <w:p w14:paraId="0F518BA1" w14:textId="77777777" w:rsidR="00503C9D" w:rsidRPr="00112E3B" w:rsidRDefault="00503C9D" w:rsidP="00503C9D">
            <w:pPr>
              <w:numPr>
                <w:ilvl w:val="0"/>
                <w:numId w:val="9"/>
              </w:numPr>
              <w:contextualSpacing/>
            </w:pPr>
            <w:r w:rsidRPr="00112E3B">
              <w:t>Genetic differences</w:t>
            </w:r>
          </w:p>
        </w:tc>
        <w:tc>
          <w:tcPr>
            <w:tcW w:w="3081" w:type="dxa"/>
          </w:tcPr>
          <w:p w14:paraId="466667DE" w14:textId="77777777" w:rsidR="00503C9D" w:rsidRPr="00112E3B" w:rsidRDefault="00503C9D" w:rsidP="00503C9D">
            <w:pPr>
              <w:numPr>
                <w:ilvl w:val="0"/>
                <w:numId w:val="9"/>
              </w:numPr>
              <w:contextualSpacing/>
            </w:pPr>
            <w:r w:rsidRPr="00112E3B">
              <w:t>Ethnicity</w:t>
            </w:r>
          </w:p>
          <w:p w14:paraId="61AB9B52" w14:textId="77777777" w:rsidR="00503C9D" w:rsidRDefault="00503C9D" w:rsidP="00503C9D">
            <w:pPr>
              <w:numPr>
                <w:ilvl w:val="0"/>
                <w:numId w:val="9"/>
              </w:numPr>
              <w:contextualSpacing/>
            </w:pPr>
            <w:r w:rsidRPr="00112E3B">
              <w:t>Lifecourse effects</w:t>
            </w:r>
          </w:p>
          <w:p w14:paraId="677306D6" w14:textId="42DA29B1" w:rsidR="00F205AB" w:rsidRPr="00112E3B" w:rsidRDefault="00F205AB" w:rsidP="00503C9D">
            <w:pPr>
              <w:numPr>
                <w:ilvl w:val="0"/>
                <w:numId w:val="9"/>
              </w:numPr>
              <w:contextualSpacing/>
            </w:pPr>
            <w:r>
              <w:t>Epigenetics</w:t>
            </w:r>
          </w:p>
          <w:p w14:paraId="0F72734E" w14:textId="77777777" w:rsidR="00503C9D" w:rsidRPr="00112E3B" w:rsidRDefault="00503C9D" w:rsidP="00503C9D">
            <w:pPr>
              <w:ind w:left="720"/>
              <w:contextualSpacing/>
            </w:pPr>
          </w:p>
        </w:tc>
      </w:tr>
    </w:tbl>
    <w:p w14:paraId="00EA234E" w14:textId="77777777" w:rsidR="00503C9D" w:rsidRDefault="00503C9D" w:rsidP="00503C9D">
      <w:pPr>
        <w:spacing w:line="480" w:lineRule="auto"/>
      </w:pPr>
    </w:p>
    <w:p w14:paraId="31591292" w14:textId="77777777" w:rsidR="00503C9D" w:rsidRDefault="00503C9D" w:rsidP="00503C9D">
      <w:pPr>
        <w:spacing w:line="480" w:lineRule="auto"/>
      </w:pPr>
    </w:p>
    <w:p w14:paraId="0999E90F" w14:textId="1C5C180E" w:rsidR="003119A2" w:rsidRPr="003119A2" w:rsidRDefault="003119A2" w:rsidP="003119A2">
      <w:pPr>
        <w:spacing w:line="480" w:lineRule="auto"/>
        <w:ind w:left="720"/>
        <w:contextualSpacing/>
        <w:rPr>
          <w:rFonts w:ascii="Calibri" w:eastAsia="MS Mincho" w:hAnsi="Calibri" w:cs="Times New Roman"/>
          <w:lang w:eastAsia="ja-JP"/>
        </w:rPr>
      </w:pPr>
    </w:p>
    <w:p w14:paraId="13972652" w14:textId="77777777" w:rsidR="00B37973" w:rsidRDefault="00B37973" w:rsidP="000B15FC">
      <w:pPr>
        <w:spacing w:line="480" w:lineRule="auto"/>
      </w:pPr>
    </w:p>
    <w:sectPr w:rsidR="00B37973" w:rsidSect="00A018B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628C5" w14:textId="77777777" w:rsidR="00EB6F25" w:rsidRDefault="00EB6F25" w:rsidP="00A51575">
      <w:pPr>
        <w:spacing w:line="240" w:lineRule="auto"/>
      </w:pPr>
      <w:r>
        <w:separator/>
      </w:r>
    </w:p>
  </w:endnote>
  <w:endnote w:type="continuationSeparator" w:id="0">
    <w:p w14:paraId="48B4F81B" w14:textId="77777777" w:rsidR="00EB6F25" w:rsidRDefault="00EB6F25" w:rsidP="00A51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66315"/>
      <w:docPartObj>
        <w:docPartGallery w:val="Page Numbers (Bottom of Page)"/>
        <w:docPartUnique/>
      </w:docPartObj>
    </w:sdtPr>
    <w:sdtEndPr>
      <w:rPr>
        <w:noProof/>
      </w:rPr>
    </w:sdtEndPr>
    <w:sdtContent>
      <w:p w14:paraId="046A5913" w14:textId="77777777" w:rsidR="00EB6F25" w:rsidRDefault="00EB6F25">
        <w:pPr>
          <w:pStyle w:val="Footer"/>
          <w:jc w:val="right"/>
        </w:pPr>
        <w:r>
          <w:fldChar w:fldCharType="begin"/>
        </w:r>
        <w:r>
          <w:instrText xml:space="preserve"> PAGE   \* MERGEFORMAT </w:instrText>
        </w:r>
        <w:r>
          <w:fldChar w:fldCharType="separate"/>
        </w:r>
        <w:r w:rsidR="0090032B">
          <w:rPr>
            <w:noProof/>
          </w:rPr>
          <w:t>1</w:t>
        </w:r>
        <w:r>
          <w:rPr>
            <w:noProof/>
          </w:rPr>
          <w:fldChar w:fldCharType="end"/>
        </w:r>
      </w:p>
    </w:sdtContent>
  </w:sdt>
  <w:p w14:paraId="7EE7E32C" w14:textId="77777777" w:rsidR="00EB6F25" w:rsidRDefault="00EB6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00AA4" w14:textId="77777777" w:rsidR="00EB6F25" w:rsidRDefault="00EB6F25" w:rsidP="00A51575">
      <w:pPr>
        <w:spacing w:line="240" w:lineRule="auto"/>
      </w:pPr>
      <w:r>
        <w:separator/>
      </w:r>
    </w:p>
  </w:footnote>
  <w:footnote w:type="continuationSeparator" w:id="0">
    <w:p w14:paraId="289A1CCE" w14:textId="77777777" w:rsidR="00EB6F25" w:rsidRDefault="00EB6F25" w:rsidP="00A515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6971"/>
    <w:multiLevelType w:val="hybridMultilevel"/>
    <w:tmpl w:val="2F76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4128D"/>
    <w:multiLevelType w:val="hybridMultilevel"/>
    <w:tmpl w:val="8C3C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CF4B97"/>
    <w:multiLevelType w:val="hybridMultilevel"/>
    <w:tmpl w:val="BA16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164AB"/>
    <w:multiLevelType w:val="hybridMultilevel"/>
    <w:tmpl w:val="E268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BE5A59"/>
    <w:multiLevelType w:val="hybridMultilevel"/>
    <w:tmpl w:val="B7BE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677ED"/>
    <w:multiLevelType w:val="hybridMultilevel"/>
    <w:tmpl w:val="595C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8F338B"/>
    <w:multiLevelType w:val="hybridMultilevel"/>
    <w:tmpl w:val="6264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750F11"/>
    <w:multiLevelType w:val="hybridMultilevel"/>
    <w:tmpl w:val="E682C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A4F5C"/>
    <w:multiLevelType w:val="hybridMultilevel"/>
    <w:tmpl w:val="4BD4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C4A3A"/>
    <w:multiLevelType w:val="hybridMultilevel"/>
    <w:tmpl w:val="09B4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9158DC"/>
    <w:multiLevelType w:val="hybridMultilevel"/>
    <w:tmpl w:val="924C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0"/>
  </w:num>
  <w:num w:numId="5">
    <w:abstractNumId w:val="1"/>
  </w:num>
  <w:num w:numId="6">
    <w:abstractNumId w:val="9"/>
  </w:num>
  <w:num w:numId="7">
    <w:abstractNumId w:val="5"/>
  </w:num>
  <w:num w:numId="8">
    <w:abstractNumId w:val="3"/>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12"/>
    <w:rsid w:val="000079B9"/>
    <w:rsid w:val="00007BEB"/>
    <w:rsid w:val="00013166"/>
    <w:rsid w:val="0001482D"/>
    <w:rsid w:val="00017D86"/>
    <w:rsid w:val="00017E47"/>
    <w:rsid w:val="00023327"/>
    <w:rsid w:val="000320B1"/>
    <w:rsid w:val="00034F6A"/>
    <w:rsid w:val="00034FD5"/>
    <w:rsid w:val="00037F93"/>
    <w:rsid w:val="00046256"/>
    <w:rsid w:val="00046921"/>
    <w:rsid w:val="00047800"/>
    <w:rsid w:val="00052AD6"/>
    <w:rsid w:val="00052F2C"/>
    <w:rsid w:val="000718C9"/>
    <w:rsid w:val="00073B18"/>
    <w:rsid w:val="00076450"/>
    <w:rsid w:val="000776C0"/>
    <w:rsid w:val="0009008A"/>
    <w:rsid w:val="000919C5"/>
    <w:rsid w:val="00093BA2"/>
    <w:rsid w:val="000971F3"/>
    <w:rsid w:val="000975FB"/>
    <w:rsid w:val="000A7586"/>
    <w:rsid w:val="000B15FC"/>
    <w:rsid w:val="000B6C1E"/>
    <w:rsid w:val="000C1906"/>
    <w:rsid w:val="000D3844"/>
    <w:rsid w:val="000D4154"/>
    <w:rsid w:val="000E0C7E"/>
    <w:rsid w:val="000E2AA6"/>
    <w:rsid w:val="000F7240"/>
    <w:rsid w:val="000F7D2E"/>
    <w:rsid w:val="00101352"/>
    <w:rsid w:val="00102656"/>
    <w:rsid w:val="001053C3"/>
    <w:rsid w:val="00112E3B"/>
    <w:rsid w:val="0011683A"/>
    <w:rsid w:val="00130265"/>
    <w:rsid w:val="00132C20"/>
    <w:rsid w:val="001366F4"/>
    <w:rsid w:val="00142BA7"/>
    <w:rsid w:val="00146354"/>
    <w:rsid w:val="001516D9"/>
    <w:rsid w:val="00152B90"/>
    <w:rsid w:val="00155C6E"/>
    <w:rsid w:val="001569FD"/>
    <w:rsid w:val="00157B9C"/>
    <w:rsid w:val="00164F94"/>
    <w:rsid w:val="00171047"/>
    <w:rsid w:val="001763C7"/>
    <w:rsid w:val="001801EC"/>
    <w:rsid w:val="00183000"/>
    <w:rsid w:val="0018794F"/>
    <w:rsid w:val="0019332B"/>
    <w:rsid w:val="00196140"/>
    <w:rsid w:val="001A118E"/>
    <w:rsid w:val="001A59D8"/>
    <w:rsid w:val="001A7928"/>
    <w:rsid w:val="001B171E"/>
    <w:rsid w:val="001B39C0"/>
    <w:rsid w:val="001B53F9"/>
    <w:rsid w:val="001C0FEE"/>
    <w:rsid w:val="001C2C23"/>
    <w:rsid w:val="001D41BC"/>
    <w:rsid w:val="001D4AC8"/>
    <w:rsid w:val="001D6503"/>
    <w:rsid w:val="001E1F20"/>
    <w:rsid w:val="001E2289"/>
    <w:rsid w:val="001E4D80"/>
    <w:rsid w:val="00204A7A"/>
    <w:rsid w:val="00213FB9"/>
    <w:rsid w:val="0021420A"/>
    <w:rsid w:val="00215CD0"/>
    <w:rsid w:val="00217877"/>
    <w:rsid w:val="00221DA5"/>
    <w:rsid w:val="00222BDE"/>
    <w:rsid w:val="00225C84"/>
    <w:rsid w:val="00237570"/>
    <w:rsid w:val="0023776A"/>
    <w:rsid w:val="002426D6"/>
    <w:rsid w:val="00242F9B"/>
    <w:rsid w:val="00243EE1"/>
    <w:rsid w:val="00244928"/>
    <w:rsid w:val="002467E4"/>
    <w:rsid w:val="00246E90"/>
    <w:rsid w:val="00257B4C"/>
    <w:rsid w:val="00260861"/>
    <w:rsid w:val="002655D5"/>
    <w:rsid w:val="00267EFC"/>
    <w:rsid w:val="0028013A"/>
    <w:rsid w:val="0028257C"/>
    <w:rsid w:val="002826B3"/>
    <w:rsid w:val="00282D3B"/>
    <w:rsid w:val="0028470C"/>
    <w:rsid w:val="00290C84"/>
    <w:rsid w:val="00291971"/>
    <w:rsid w:val="00291EBC"/>
    <w:rsid w:val="002974DF"/>
    <w:rsid w:val="002A0840"/>
    <w:rsid w:val="002B0384"/>
    <w:rsid w:val="002B4EB4"/>
    <w:rsid w:val="002B5C22"/>
    <w:rsid w:val="002B7C31"/>
    <w:rsid w:val="002C1002"/>
    <w:rsid w:val="002C3D97"/>
    <w:rsid w:val="002C4F7D"/>
    <w:rsid w:val="002C7A5D"/>
    <w:rsid w:val="002D1750"/>
    <w:rsid w:val="002D1865"/>
    <w:rsid w:val="002D18A6"/>
    <w:rsid w:val="002D6775"/>
    <w:rsid w:val="002D6CBE"/>
    <w:rsid w:val="002E0D29"/>
    <w:rsid w:val="002E30D9"/>
    <w:rsid w:val="002E3CD7"/>
    <w:rsid w:val="002F241E"/>
    <w:rsid w:val="002F2AC6"/>
    <w:rsid w:val="002F6ED0"/>
    <w:rsid w:val="002F7AA0"/>
    <w:rsid w:val="002F7B86"/>
    <w:rsid w:val="00301848"/>
    <w:rsid w:val="0030244B"/>
    <w:rsid w:val="00302B02"/>
    <w:rsid w:val="00303E42"/>
    <w:rsid w:val="00304C61"/>
    <w:rsid w:val="003119A2"/>
    <w:rsid w:val="00317626"/>
    <w:rsid w:val="0032164B"/>
    <w:rsid w:val="003220C3"/>
    <w:rsid w:val="003255E1"/>
    <w:rsid w:val="0033130B"/>
    <w:rsid w:val="003407CA"/>
    <w:rsid w:val="0034614E"/>
    <w:rsid w:val="00350181"/>
    <w:rsid w:val="00351F23"/>
    <w:rsid w:val="00371A58"/>
    <w:rsid w:val="00377DD9"/>
    <w:rsid w:val="00390A6F"/>
    <w:rsid w:val="00393D46"/>
    <w:rsid w:val="00394946"/>
    <w:rsid w:val="00395A8A"/>
    <w:rsid w:val="003A3D24"/>
    <w:rsid w:val="003C0901"/>
    <w:rsid w:val="003C2EC1"/>
    <w:rsid w:val="003C4BBB"/>
    <w:rsid w:val="003C4E95"/>
    <w:rsid w:val="003C6581"/>
    <w:rsid w:val="003D06B9"/>
    <w:rsid w:val="003D4615"/>
    <w:rsid w:val="003D495B"/>
    <w:rsid w:val="003E36F0"/>
    <w:rsid w:val="003F00F0"/>
    <w:rsid w:val="003F4416"/>
    <w:rsid w:val="003F5F86"/>
    <w:rsid w:val="003F6561"/>
    <w:rsid w:val="00400A15"/>
    <w:rsid w:val="00401405"/>
    <w:rsid w:val="004075DA"/>
    <w:rsid w:val="004115B8"/>
    <w:rsid w:val="0041471C"/>
    <w:rsid w:val="00414F66"/>
    <w:rsid w:val="00421226"/>
    <w:rsid w:val="00423C94"/>
    <w:rsid w:val="004303D4"/>
    <w:rsid w:val="00430CD3"/>
    <w:rsid w:val="004315E2"/>
    <w:rsid w:val="0043209E"/>
    <w:rsid w:val="00446C18"/>
    <w:rsid w:val="00447B5C"/>
    <w:rsid w:val="00452918"/>
    <w:rsid w:val="00464DB8"/>
    <w:rsid w:val="00465F99"/>
    <w:rsid w:val="00471EB0"/>
    <w:rsid w:val="00473CA0"/>
    <w:rsid w:val="004742E8"/>
    <w:rsid w:val="004751C0"/>
    <w:rsid w:val="00475834"/>
    <w:rsid w:val="00483DAC"/>
    <w:rsid w:val="004A5773"/>
    <w:rsid w:val="004A6152"/>
    <w:rsid w:val="004B5DF8"/>
    <w:rsid w:val="004B6D79"/>
    <w:rsid w:val="004C1B40"/>
    <w:rsid w:val="004C7114"/>
    <w:rsid w:val="004D0E1B"/>
    <w:rsid w:val="004D26BE"/>
    <w:rsid w:val="004D2A48"/>
    <w:rsid w:val="004D3308"/>
    <w:rsid w:val="004D572D"/>
    <w:rsid w:val="004D5E5F"/>
    <w:rsid w:val="004E24F4"/>
    <w:rsid w:val="004F205D"/>
    <w:rsid w:val="004F2176"/>
    <w:rsid w:val="004F3107"/>
    <w:rsid w:val="004F3C91"/>
    <w:rsid w:val="004F4AC8"/>
    <w:rsid w:val="00501BB6"/>
    <w:rsid w:val="00502BF6"/>
    <w:rsid w:val="005034F9"/>
    <w:rsid w:val="00503C9D"/>
    <w:rsid w:val="00512BAB"/>
    <w:rsid w:val="00515A35"/>
    <w:rsid w:val="00523EB3"/>
    <w:rsid w:val="00527990"/>
    <w:rsid w:val="00531F91"/>
    <w:rsid w:val="00533D12"/>
    <w:rsid w:val="005409CE"/>
    <w:rsid w:val="00545FAB"/>
    <w:rsid w:val="005502D4"/>
    <w:rsid w:val="00561B3F"/>
    <w:rsid w:val="0056240C"/>
    <w:rsid w:val="005636F3"/>
    <w:rsid w:val="0056419D"/>
    <w:rsid w:val="005827ED"/>
    <w:rsid w:val="00586167"/>
    <w:rsid w:val="005919D6"/>
    <w:rsid w:val="00591AD5"/>
    <w:rsid w:val="0059271D"/>
    <w:rsid w:val="00592C2A"/>
    <w:rsid w:val="005A1D18"/>
    <w:rsid w:val="005A74AB"/>
    <w:rsid w:val="005C0763"/>
    <w:rsid w:val="005C44F6"/>
    <w:rsid w:val="005D153D"/>
    <w:rsid w:val="005D2EE3"/>
    <w:rsid w:val="005D456C"/>
    <w:rsid w:val="005E0C6C"/>
    <w:rsid w:val="005F0220"/>
    <w:rsid w:val="005F4F5F"/>
    <w:rsid w:val="00604977"/>
    <w:rsid w:val="00604D2D"/>
    <w:rsid w:val="00606251"/>
    <w:rsid w:val="006154E1"/>
    <w:rsid w:val="00621BC8"/>
    <w:rsid w:val="00622AAA"/>
    <w:rsid w:val="00624F17"/>
    <w:rsid w:val="006269EF"/>
    <w:rsid w:val="006305FB"/>
    <w:rsid w:val="006370FC"/>
    <w:rsid w:val="0063710B"/>
    <w:rsid w:val="00651E9F"/>
    <w:rsid w:val="0065473A"/>
    <w:rsid w:val="00654E91"/>
    <w:rsid w:val="00655F85"/>
    <w:rsid w:val="006637BF"/>
    <w:rsid w:val="006646D0"/>
    <w:rsid w:val="0067068C"/>
    <w:rsid w:val="00676688"/>
    <w:rsid w:val="006775A1"/>
    <w:rsid w:val="00680F37"/>
    <w:rsid w:val="00682B6E"/>
    <w:rsid w:val="00685A98"/>
    <w:rsid w:val="00687D9B"/>
    <w:rsid w:val="00693984"/>
    <w:rsid w:val="00694770"/>
    <w:rsid w:val="006A1AB1"/>
    <w:rsid w:val="006A4CC0"/>
    <w:rsid w:val="006A5716"/>
    <w:rsid w:val="006A692A"/>
    <w:rsid w:val="006B17BE"/>
    <w:rsid w:val="006B7CC8"/>
    <w:rsid w:val="006C2D73"/>
    <w:rsid w:val="006D4085"/>
    <w:rsid w:val="006F0362"/>
    <w:rsid w:val="006F730E"/>
    <w:rsid w:val="007027E1"/>
    <w:rsid w:val="00707237"/>
    <w:rsid w:val="00723659"/>
    <w:rsid w:val="007316BE"/>
    <w:rsid w:val="007338CD"/>
    <w:rsid w:val="00736960"/>
    <w:rsid w:val="00740050"/>
    <w:rsid w:val="00741D50"/>
    <w:rsid w:val="00744811"/>
    <w:rsid w:val="00745802"/>
    <w:rsid w:val="00751F77"/>
    <w:rsid w:val="00757EBA"/>
    <w:rsid w:val="00762694"/>
    <w:rsid w:val="00764DE1"/>
    <w:rsid w:val="0077556B"/>
    <w:rsid w:val="00785E4A"/>
    <w:rsid w:val="007870A6"/>
    <w:rsid w:val="0079333C"/>
    <w:rsid w:val="00794C9D"/>
    <w:rsid w:val="007A1277"/>
    <w:rsid w:val="007A1BEB"/>
    <w:rsid w:val="007B2D58"/>
    <w:rsid w:val="007B4621"/>
    <w:rsid w:val="007B5B7A"/>
    <w:rsid w:val="007B7077"/>
    <w:rsid w:val="007C2B21"/>
    <w:rsid w:val="007D3A7F"/>
    <w:rsid w:val="007D5AAA"/>
    <w:rsid w:val="007D6E91"/>
    <w:rsid w:val="007E34AE"/>
    <w:rsid w:val="007F3D12"/>
    <w:rsid w:val="007F3E8B"/>
    <w:rsid w:val="007F41DD"/>
    <w:rsid w:val="00801046"/>
    <w:rsid w:val="00806BF6"/>
    <w:rsid w:val="008170A8"/>
    <w:rsid w:val="00820DEB"/>
    <w:rsid w:val="00820E0A"/>
    <w:rsid w:val="008366A1"/>
    <w:rsid w:val="00837AD1"/>
    <w:rsid w:val="00844A0F"/>
    <w:rsid w:val="00847153"/>
    <w:rsid w:val="00855F1C"/>
    <w:rsid w:val="008718EA"/>
    <w:rsid w:val="00871E8D"/>
    <w:rsid w:val="00874E4E"/>
    <w:rsid w:val="00881D4E"/>
    <w:rsid w:val="008850CB"/>
    <w:rsid w:val="00886987"/>
    <w:rsid w:val="00887B1B"/>
    <w:rsid w:val="00891752"/>
    <w:rsid w:val="00894FD8"/>
    <w:rsid w:val="008A12F6"/>
    <w:rsid w:val="008A6286"/>
    <w:rsid w:val="008A764E"/>
    <w:rsid w:val="008B03A8"/>
    <w:rsid w:val="008B10BF"/>
    <w:rsid w:val="008B4A6B"/>
    <w:rsid w:val="008B6C1E"/>
    <w:rsid w:val="008C139E"/>
    <w:rsid w:val="008C5A2A"/>
    <w:rsid w:val="008D2DFB"/>
    <w:rsid w:val="008D7411"/>
    <w:rsid w:val="008E41D9"/>
    <w:rsid w:val="008E556D"/>
    <w:rsid w:val="008F2A37"/>
    <w:rsid w:val="008F32A8"/>
    <w:rsid w:val="008F333C"/>
    <w:rsid w:val="008F3A39"/>
    <w:rsid w:val="008F3AC5"/>
    <w:rsid w:val="0090032B"/>
    <w:rsid w:val="00915D5F"/>
    <w:rsid w:val="009217B3"/>
    <w:rsid w:val="00922CE9"/>
    <w:rsid w:val="0093499F"/>
    <w:rsid w:val="00937A1E"/>
    <w:rsid w:val="00937CFF"/>
    <w:rsid w:val="00941A05"/>
    <w:rsid w:val="0094356F"/>
    <w:rsid w:val="009469C6"/>
    <w:rsid w:val="00953D24"/>
    <w:rsid w:val="009578CC"/>
    <w:rsid w:val="00961B9C"/>
    <w:rsid w:val="009662D9"/>
    <w:rsid w:val="00973A8C"/>
    <w:rsid w:val="009824F1"/>
    <w:rsid w:val="00985EA0"/>
    <w:rsid w:val="00986F2A"/>
    <w:rsid w:val="00990E01"/>
    <w:rsid w:val="0099484D"/>
    <w:rsid w:val="009A02A2"/>
    <w:rsid w:val="009A03A3"/>
    <w:rsid w:val="009A271B"/>
    <w:rsid w:val="009A53D2"/>
    <w:rsid w:val="009A7AA6"/>
    <w:rsid w:val="009B0FD2"/>
    <w:rsid w:val="009B4214"/>
    <w:rsid w:val="009C09D8"/>
    <w:rsid w:val="009C2DAD"/>
    <w:rsid w:val="009C620D"/>
    <w:rsid w:val="009C660B"/>
    <w:rsid w:val="009D2580"/>
    <w:rsid w:val="009D27D9"/>
    <w:rsid w:val="009D3200"/>
    <w:rsid w:val="009D3C9D"/>
    <w:rsid w:val="009D781E"/>
    <w:rsid w:val="009D7F7D"/>
    <w:rsid w:val="009E3D5A"/>
    <w:rsid w:val="009E5346"/>
    <w:rsid w:val="009F16CF"/>
    <w:rsid w:val="009F2530"/>
    <w:rsid w:val="009F30D2"/>
    <w:rsid w:val="009F6203"/>
    <w:rsid w:val="009F66DC"/>
    <w:rsid w:val="009F6B15"/>
    <w:rsid w:val="00A018B8"/>
    <w:rsid w:val="00A351FF"/>
    <w:rsid w:val="00A36FA9"/>
    <w:rsid w:val="00A431C6"/>
    <w:rsid w:val="00A43541"/>
    <w:rsid w:val="00A4636F"/>
    <w:rsid w:val="00A4780E"/>
    <w:rsid w:val="00A47D4F"/>
    <w:rsid w:val="00A51575"/>
    <w:rsid w:val="00A536B3"/>
    <w:rsid w:val="00A550FD"/>
    <w:rsid w:val="00A55570"/>
    <w:rsid w:val="00A624CD"/>
    <w:rsid w:val="00A648E4"/>
    <w:rsid w:val="00A669FC"/>
    <w:rsid w:val="00A776DE"/>
    <w:rsid w:val="00A819AB"/>
    <w:rsid w:val="00A84533"/>
    <w:rsid w:val="00A95C74"/>
    <w:rsid w:val="00A966C5"/>
    <w:rsid w:val="00AA0D07"/>
    <w:rsid w:val="00AB2E05"/>
    <w:rsid w:val="00AC6F00"/>
    <w:rsid w:val="00AC7233"/>
    <w:rsid w:val="00AD1683"/>
    <w:rsid w:val="00AD18CA"/>
    <w:rsid w:val="00AD271B"/>
    <w:rsid w:val="00AD4C71"/>
    <w:rsid w:val="00AD5B10"/>
    <w:rsid w:val="00AD6DD3"/>
    <w:rsid w:val="00AE5847"/>
    <w:rsid w:val="00AE5A8C"/>
    <w:rsid w:val="00AE5B7D"/>
    <w:rsid w:val="00AE66EF"/>
    <w:rsid w:val="00AE698B"/>
    <w:rsid w:val="00AF26A8"/>
    <w:rsid w:val="00AF497F"/>
    <w:rsid w:val="00AF6432"/>
    <w:rsid w:val="00AF7F47"/>
    <w:rsid w:val="00B03573"/>
    <w:rsid w:val="00B04517"/>
    <w:rsid w:val="00B22B5E"/>
    <w:rsid w:val="00B24C9E"/>
    <w:rsid w:val="00B27055"/>
    <w:rsid w:val="00B27F2C"/>
    <w:rsid w:val="00B3496D"/>
    <w:rsid w:val="00B35318"/>
    <w:rsid w:val="00B37973"/>
    <w:rsid w:val="00B40365"/>
    <w:rsid w:val="00B535B8"/>
    <w:rsid w:val="00B54015"/>
    <w:rsid w:val="00B6163F"/>
    <w:rsid w:val="00B620E8"/>
    <w:rsid w:val="00B624E9"/>
    <w:rsid w:val="00B6522F"/>
    <w:rsid w:val="00B73D32"/>
    <w:rsid w:val="00B81D10"/>
    <w:rsid w:val="00B945C2"/>
    <w:rsid w:val="00BA00D7"/>
    <w:rsid w:val="00BA07FE"/>
    <w:rsid w:val="00BA4C18"/>
    <w:rsid w:val="00BB404B"/>
    <w:rsid w:val="00BC3A8B"/>
    <w:rsid w:val="00BD2F82"/>
    <w:rsid w:val="00BE08A3"/>
    <w:rsid w:val="00BE5BA0"/>
    <w:rsid w:val="00BE6BA3"/>
    <w:rsid w:val="00BF0293"/>
    <w:rsid w:val="00BF1331"/>
    <w:rsid w:val="00BF2D96"/>
    <w:rsid w:val="00BF454F"/>
    <w:rsid w:val="00C065F3"/>
    <w:rsid w:val="00C07736"/>
    <w:rsid w:val="00C110E8"/>
    <w:rsid w:val="00C13114"/>
    <w:rsid w:val="00C1765D"/>
    <w:rsid w:val="00C17675"/>
    <w:rsid w:val="00C219E7"/>
    <w:rsid w:val="00C25E41"/>
    <w:rsid w:val="00C3209D"/>
    <w:rsid w:val="00C32770"/>
    <w:rsid w:val="00C336D7"/>
    <w:rsid w:val="00C33EDF"/>
    <w:rsid w:val="00C4010E"/>
    <w:rsid w:val="00C415B0"/>
    <w:rsid w:val="00C51B6E"/>
    <w:rsid w:val="00C52B24"/>
    <w:rsid w:val="00C5617E"/>
    <w:rsid w:val="00C568F3"/>
    <w:rsid w:val="00C57478"/>
    <w:rsid w:val="00C65601"/>
    <w:rsid w:val="00C6616F"/>
    <w:rsid w:val="00C67FC6"/>
    <w:rsid w:val="00C71DC3"/>
    <w:rsid w:val="00C737CC"/>
    <w:rsid w:val="00C74A47"/>
    <w:rsid w:val="00C7546C"/>
    <w:rsid w:val="00C77836"/>
    <w:rsid w:val="00C91C3A"/>
    <w:rsid w:val="00C939D1"/>
    <w:rsid w:val="00C94A53"/>
    <w:rsid w:val="00CA0B20"/>
    <w:rsid w:val="00CA3577"/>
    <w:rsid w:val="00CA3D32"/>
    <w:rsid w:val="00CA5F1A"/>
    <w:rsid w:val="00CA7399"/>
    <w:rsid w:val="00CB39D9"/>
    <w:rsid w:val="00CB3C43"/>
    <w:rsid w:val="00CB4793"/>
    <w:rsid w:val="00CB6FDD"/>
    <w:rsid w:val="00CC190F"/>
    <w:rsid w:val="00CC2BE9"/>
    <w:rsid w:val="00CC3B6F"/>
    <w:rsid w:val="00CC4C4F"/>
    <w:rsid w:val="00CD144E"/>
    <w:rsid w:val="00CE1837"/>
    <w:rsid w:val="00CE3983"/>
    <w:rsid w:val="00CF47FD"/>
    <w:rsid w:val="00D00098"/>
    <w:rsid w:val="00D01565"/>
    <w:rsid w:val="00D01C34"/>
    <w:rsid w:val="00D02056"/>
    <w:rsid w:val="00D034CD"/>
    <w:rsid w:val="00D05DC9"/>
    <w:rsid w:val="00D07C3D"/>
    <w:rsid w:val="00D13E85"/>
    <w:rsid w:val="00D1683F"/>
    <w:rsid w:val="00D21CCB"/>
    <w:rsid w:val="00D369FC"/>
    <w:rsid w:val="00D46ADF"/>
    <w:rsid w:val="00D51A0A"/>
    <w:rsid w:val="00D52594"/>
    <w:rsid w:val="00D56E67"/>
    <w:rsid w:val="00D57EC2"/>
    <w:rsid w:val="00D633EC"/>
    <w:rsid w:val="00D679FD"/>
    <w:rsid w:val="00D7079A"/>
    <w:rsid w:val="00D725D5"/>
    <w:rsid w:val="00D8215C"/>
    <w:rsid w:val="00D84E26"/>
    <w:rsid w:val="00D8506F"/>
    <w:rsid w:val="00DA2980"/>
    <w:rsid w:val="00DB0800"/>
    <w:rsid w:val="00DB1DC5"/>
    <w:rsid w:val="00DB30C5"/>
    <w:rsid w:val="00DB6BEB"/>
    <w:rsid w:val="00DB6C12"/>
    <w:rsid w:val="00DB7BCE"/>
    <w:rsid w:val="00DC0BFD"/>
    <w:rsid w:val="00DD2803"/>
    <w:rsid w:val="00DD46C0"/>
    <w:rsid w:val="00DD6DD4"/>
    <w:rsid w:val="00DE0A6F"/>
    <w:rsid w:val="00DE0AAA"/>
    <w:rsid w:val="00DE66B4"/>
    <w:rsid w:val="00E02863"/>
    <w:rsid w:val="00E04D93"/>
    <w:rsid w:val="00E04DB1"/>
    <w:rsid w:val="00E07A96"/>
    <w:rsid w:val="00E07BAC"/>
    <w:rsid w:val="00E11EF9"/>
    <w:rsid w:val="00E13843"/>
    <w:rsid w:val="00E14A9A"/>
    <w:rsid w:val="00E164B6"/>
    <w:rsid w:val="00E17883"/>
    <w:rsid w:val="00E2032C"/>
    <w:rsid w:val="00E22671"/>
    <w:rsid w:val="00E22B9B"/>
    <w:rsid w:val="00E31BD5"/>
    <w:rsid w:val="00E359E7"/>
    <w:rsid w:val="00E43849"/>
    <w:rsid w:val="00E46BF1"/>
    <w:rsid w:val="00E46EB2"/>
    <w:rsid w:val="00E505F1"/>
    <w:rsid w:val="00E5120E"/>
    <w:rsid w:val="00E51484"/>
    <w:rsid w:val="00E544F5"/>
    <w:rsid w:val="00E54EAB"/>
    <w:rsid w:val="00E61330"/>
    <w:rsid w:val="00E71B23"/>
    <w:rsid w:val="00E74E43"/>
    <w:rsid w:val="00E81C95"/>
    <w:rsid w:val="00E96C9F"/>
    <w:rsid w:val="00EA4047"/>
    <w:rsid w:val="00EB2F0A"/>
    <w:rsid w:val="00EB4CEF"/>
    <w:rsid w:val="00EB6F25"/>
    <w:rsid w:val="00EC7B34"/>
    <w:rsid w:val="00ED5CA6"/>
    <w:rsid w:val="00ED5F38"/>
    <w:rsid w:val="00ED708A"/>
    <w:rsid w:val="00ED745A"/>
    <w:rsid w:val="00ED7CBC"/>
    <w:rsid w:val="00EE051A"/>
    <w:rsid w:val="00EE1184"/>
    <w:rsid w:val="00EE125C"/>
    <w:rsid w:val="00EE1B51"/>
    <w:rsid w:val="00EE3B5D"/>
    <w:rsid w:val="00EE4762"/>
    <w:rsid w:val="00EF098D"/>
    <w:rsid w:val="00EF2DD0"/>
    <w:rsid w:val="00EF2F87"/>
    <w:rsid w:val="00EF6B25"/>
    <w:rsid w:val="00F0074E"/>
    <w:rsid w:val="00F01F74"/>
    <w:rsid w:val="00F05334"/>
    <w:rsid w:val="00F05587"/>
    <w:rsid w:val="00F065B5"/>
    <w:rsid w:val="00F10EF3"/>
    <w:rsid w:val="00F1227C"/>
    <w:rsid w:val="00F205AB"/>
    <w:rsid w:val="00F25C0B"/>
    <w:rsid w:val="00F27AC8"/>
    <w:rsid w:val="00F357A1"/>
    <w:rsid w:val="00F44DEE"/>
    <w:rsid w:val="00F469EF"/>
    <w:rsid w:val="00F512B8"/>
    <w:rsid w:val="00F51D5F"/>
    <w:rsid w:val="00F53E3C"/>
    <w:rsid w:val="00F57D32"/>
    <w:rsid w:val="00F61D53"/>
    <w:rsid w:val="00F642B0"/>
    <w:rsid w:val="00F65269"/>
    <w:rsid w:val="00F70FA3"/>
    <w:rsid w:val="00F717B4"/>
    <w:rsid w:val="00F7654C"/>
    <w:rsid w:val="00F7782B"/>
    <w:rsid w:val="00F83DE1"/>
    <w:rsid w:val="00F84339"/>
    <w:rsid w:val="00F84764"/>
    <w:rsid w:val="00F87012"/>
    <w:rsid w:val="00F878E0"/>
    <w:rsid w:val="00F91992"/>
    <w:rsid w:val="00F95E2E"/>
    <w:rsid w:val="00FA331C"/>
    <w:rsid w:val="00FA497A"/>
    <w:rsid w:val="00FA619D"/>
    <w:rsid w:val="00FC0F3A"/>
    <w:rsid w:val="00FC1D71"/>
    <w:rsid w:val="00FD20AB"/>
    <w:rsid w:val="00FE01F1"/>
    <w:rsid w:val="00FE134F"/>
    <w:rsid w:val="00FE7DC5"/>
    <w:rsid w:val="00FF12C0"/>
    <w:rsid w:val="00FF26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2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077"/>
    <w:rPr>
      <w:color w:val="0000FF" w:themeColor="hyperlink"/>
      <w:u w:val="single"/>
    </w:rPr>
  </w:style>
  <w:style w:type="paragraph" w:styleId="Header">
    <w:name w:val="header"/>
    <w:basedOn w:val="Normal"/>
    <w:link w:val="HeaderChar"/>
    <w:uiPriority w:val="99"/>
    <w:unhideWhenUsed/>
    <w:rsid w:val="00A51575"/>
    <w:pPr>
      <w:tabs>
        <w:tab w:val="center" w:pos="4513"/>
        <w:tab w:val="right" w:pos="9026"/>
      </w:tabs>
      <w:spacing w:line="240" w:lineRule="auto"/>
    </w:pPr>
  </w:style>
  <w:style w:type="character" w:customStyle="1" w:styleId="HeaderChar">
    <w:name w:val="Header Char"/>
    <w:basedOn w:val="DefaultParagraphFont"/>
    <w:link w:val="Header"/>
    <w:uiPriority w:val="99"/>
    <w:rsid w:val="00A51575"/>
  </w:style>
  <w:style w:type="paragraph" w:styleId="Footer">
    <w:name w:val="footer"/>
    <w:basedOn w:val="Normal"/>
    <w:link w:val="FooterChar"/>
    <w:uiPriority w:val="99"/>
    <w:unhideWhenUsed/>
    <w:rsid w:val="00A51575"/>
    <w:pPr>
      <w:tabs>
        <w:tab w:val="center" w:pos="4513"/>
        <w:tab w:val="right" w:pos="9026"/>
      </w:tabs>
      <w:spacing w:line="240" w:lineRule="auto"/>
    </w:pPr>
  </w:style>
  <w:style w:type="character" w:customStyle="1" w:styleId="FooterChar">
    <w:name w:val="Footer Char"/>
    <w:basedOn w:val="DefaultParagraphFont"/>
    <w:link w:val="Footer"/>
    <w:uiPriority w:val="99"/>
    <w:rsid w:val="00A51575"/>
  </w:style>
  <w:style w:type="paragraph" w:styleId="ListParagraph">
    <w:name w:val="List Paragraph"/>
    <w:basedOn w:val="Normal"/>
    <w:uiPriority w:val="34"/>
    <w:qFormat/>
    <w:rsid w:val="00E46EB2"/>
    <w:pPr>
      <w:ind w:left="720"/>
      <w:contextualSpacing/>
    </w:pPr>
  </w:style>
  <w:style w:type="character" w:styleId="CommentReference">
    <w:name w:val="annotation reference"/>
    <w:basedOn w:val="DefaultParagraphFont"/>
    <w:uiPriority w:val="99"/>
    <w:semiHidden/>
    <w:unhideWhenUsed/>
    <w:rsid w:val="002B0384"/>
    <w:rPr>
      <w:sz w:val="16"/>
      <w:szCs w:val="16"/>
    </w:rPr>
  </w:style>
  <w:style w:type="paragraph" w:styleId="CommentText">
    <w:name w:val="annotation text"/>
    <w:basedOn w:val="Normal"/>
    <w:link w:val="CommentTextChar"/>
    <w:uiPriority w:val="99"/>
    <w:semiHidden/>
    <w:unhideWhenUsed/>
    <w:rsid w:val="002B0384"/>
    <w:pPr>
      <w:spacing w:line="240" w:lineRule="auto"/>
    </w:pPr>
    <w:rPr>
      <w:sz w:val="20"/>
      <w:szCs w:val="20"/>
    </w:rPr>
  </w:style>
  <w:style w:type="character" w:customStyle="1" w:styleId="CommentTextChar">
    <w:name w:val="Comment Text Char"/>
    <w:basedOn w:val="DefaultParagraphFont"/>
    <w:link w:val="CommentText"/>
    <w:uiPriority w:val="99"/>
    <w:semiHidden/>
    <w:rsid w:val="002B0384"/>
    <w:rPr>
      <w:sz w:val="20"/>
      <w:szCs w:val="20"/>
    </w:rPr>
  </w:style>
  <w:style w:type="paragraph" w:styleId="CommentSubject">
    <w:name w:val="annotation subject"/>
    <w:basedOn w:val="CommentText"/>
    <w:next w:val="CommentText"/>
    <w:link w:val="CommentSubjectChar"/>
    <w:uiPriority w:val="99"/>
    <w:semiHidden/>
    <w:unhideWhenUsed/>
    <w:rsid w:val="002B0384"/>
    <w:rPr>
      <w:b/>
      <w:bCs/>
    </w:rPr>
  </w:style>
  <w:style w:type="character" w:customStyle="1" w:styleId="CommentSubjectChar">
    <w:name w:val="Comment Subject Char"/>
    <w:basedOn w:val="CommentTextChar"/>
    <w:link w:val="CommentSubject"/>
    <w:uiPriority w:val="99"/>
    <w:semiHidden/>
    <w:rsid w:val="002B0384"/>
    <w:rPr>
      <w:b/>
      <w:bCs/>
      <w:sz w:val="20"/>
      <w:szCs w:val="20"/>
    </w:rPr>
  </w:style>
  <w:style w:type="paragraph" w:styleId="BalloonText">
    <w:name w:val="Balloon Text"/>
    <w:basedOn w:val="Normal"/>
    <w:link w:val="BalloonTextChar"/>
    <w:uiPriority w:val="99"/>
    <w:semiHidden/>
    <w:unhideWhenUsed/>
    <w:rsid w:val="002B03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384"/>
    <w:rPr>
      <w:rFonts w:ascii="Tahoma" w:hAnsi="Tahoma" w:cs="Tahoma"/>
      <w:sz w:val="16"/>
      <w:szCs w:val="16"/>
    </w:rPr>
  </w:style>
  <w:style w:type="table" w:styleId="TableGrid">
    <w:name w:val="Table Grid"/>
    <w:basedOn w:val="TableNormal"/>
    <w:uiPriority w:val="59"/>
    <w:rsid w:val="00112E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616F"/>
    <w:pPr>
      <w:spacing w:line="240" w:lineRule="auto"/>
    </w:pPr>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077"/>
    <w:rPr>
      <w:color w:val="0000FF" w:themeColor="hyperlink"/>
      <w:u w:val="single"/>
    </w:rPr>
  </w:style>
  <w:style w:type="paragraph" w:styleId="Header">
    <w:name w:val="header"/>
    <w:basedOn w:val="Normal"/>
    <w:link w:val="HeaderChar"/>
    <w:uiPriority w:val="99"/>
    <w:unhideWhenUsed/>
    <w:rsid w:val="00A51575"/>
    <w:pPr>
      <w:tabs>
        <w:tab w:val="center" w:pos="4513"/>
        <w:tab w:val="right" w:pos="9026"/>
      </w:tabs>
      <w:spacing w:line="240" w:lineRule="auto"/>
    </w:pPr>
  </w:style>
  <w:style w:type="character" w:customStyle="1" w:styleId="HeaderChar">
    <w:name w:val="Header Char"/>
    <w:basedOn w:val="DefaultParagraphFont"/>
    <w:link w:val="Header"/>
    <w:uiPriority w:val="99"/>
    <w:rsid w:val="00A51575"/>
  </w:style>
  <w:style w:type="paragraph" w:styleId="Footer">
    <w:name w:val="footer"/>
    <w:basedOn w:val="Normal"/>
    <w:link w:val="FooterChar"/>
    <w:uiPriority w:val="99"/>
    <w:unhideWhenUsed/>
    <w:rsid w:val="00A51575"/>
    <w:pPr>
      <w:tabs>
        <w:tab w:val="center" w:pos="4513"/>
        <w:tab w:val="right" w:pos="9026"/>
      </w:tabs>
      <w:spacing w:line="240" w:lineRule="auto"/>
    </w:pPr>
  </w:style>
  <w:style w:type="character" w:customStyle="1" w:styleId="FooterChar">
    <w:name w:val="Footer Char"/>
    <w:basedOn w:val="DefaultParagraphFont"/>
    <w:link w:val="Footer"/>
    <w:uiPriority w:val="99"/>
    <w:rsid w:val="00A51575"/>
  </w:style>
  <w:style w:type="paragraph" w:styleId="ListParagraph">
    <w:name w:val="List Paragraph"/>
    <w:basedOn w:val="Normal"/>
    <w:uiPriority w:val="34"/>
    <w:qFormat/>
    <w:rsid w:val="00E46EB2"/>
    <w:pPr>
      <w:ind w:left="720"/>
      <w:contextualSpacing/>
    </w:pPr>
  </w:style>
  <w:style w:type="character" w:styleId="CommentReference">
    <w:name w:val="annotation reference"/>
    <w:basedOn w:val="DefaultParagraphFont"/>
    <w:uiPriority w:val="99"/>
    <w:semiHidden/>
    <w:unhideWhenUsed/>
    <w:rsid w:val="002B0384"/>
    <w:rPr>
      <w:sz w:val="16"/>
      <w:szCs w:val="16"/>
    </w:rPr>
  </w:style>
  <w:style w:type="paragraph" w:styleId="CommentText">
    <w:name w:val="annotation text"/>
    <w:basedOn w:val="Normal"/>
    <w:link w:val="CommentTextChar"/>
    <w:uiPriority w:val="99"/>
    <w:semiHidden/>
    <w:unhideWhenUsed/>
    <w:rsid w:val="002B0384"/>
    <w:pPr>
      <w:spacing w:line="240" w:lineRule="auto"/>
    </w:pPr>
    <w:rPr>
      <w:sz w:val="20"/>
      <w:szCs w:val="20"/>
    </w:rPr>
  </w:style>
  <w:style w:type="character" w:customStyle="1" w:styleId="CommentTextChar">
    <w:name w:val="Comment Text Char"/>
    <w:basedOn w:val="DefaultParagraphFont"/>
    <w:link w:val="CommentText"/>
    <w:uiPriority w:val="99"/>
    <w:semiHidden/>
    <w:rsid w:val="002B0384"/>
    <w:rPr>
      <w:sz w:val="20"/>
      <w:szCs w:val="20"/>
    </w:rPr>
  </w:style>
  <w:style w:type="paragraph" w:styleId="CommentSubject">
    <w:name w:val="annotation subject"/>
    <w:basedOn w:val="CommentText"/>
    <w:next w:val="CommentText"/>
    <w:link w:val="CommentSubjectChar"/>
    <w:uiPriority w:val="99"/>
    <w:semiHidden/>
    <w:unhideWhenUsed/>
    <w:rsid w:val="002B0384"/>
    <w:rPr>
      <w:b/>
      <w:bCs/>
    </w:rPr>
  </w:style>
  <w:style w:type="character" w:customStyle="1" w:styleId="CommentSubjectChar">
    <w:name w:val="Comment Subject Char"/>
    <w:basedOn w:val="CommentTextChar"/>
    <w:link w:val="CommentSubject"/>
    <w:uiPriority w:val="99"/>
    <w:semiHidden/>
    <w:rsid w:val="002B0384"/>
    <w:rPr>
      <w:b/>
      <w:bCs/>
      <w:sz w:val="20"/>
      <w:szCs w:val="20"/>
    </w:rPr>
  </w:style>
  <w:style w:type="paragraph" w:styleId="BalloonText">
    <w:name w:val="Balloon Text"/>
    <w:basedOn w:val="Normal"/>
    <w:link w:val="BalloonTextChar"/>
    <w:uiPriority w:val="99"/>
    <w:semiHidden/>
    <w:unhideWhenUsed/>
    <w:rsid w:val="002B03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384"/>
    <w:rPr>
      <w:rFonts w:ascii="Tahoma" w:hAnsi="Tahoma" w:cs="Tahoma"/>
      <w:sz w:val="16"/>
      <w:szCs w:val="16"/>
    </w:rPr>
  </w:style>
  <w:style w:type="table" w:styleId="TableGrid">
    <w:name w:val="Table Grid"/>
    <w:basedOn w:val="TableNormal"/>
    <w:uiPriority w:val="59"/>
    <w:rsid w:val="00112E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616F"/>
    <w:pPr>
      <w:spacing w:line="240" w:lineRule="auto"/>
    </w:pPr>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9780">
      <w:bodyDiv w:val="1"/>
      <w:marLeft w:val="0"/>
      <w:marRight w:val="0"/>
      <w:marTop w:val="0"/>
      <w:marBottom w:val="0"/>
      <w:divBdr>
        <w:top w:val="none" w:sz="0" w:space="0" w:color="auto"/>
        <w:left w:val="none" w:sz="0" w:space="0" w:color="auto"/>
        <w:bottom w:val="none" w:sz="0" w:space="0" w:color="auto"/>
        <w:right w:val="none" w:sz="0" w:space="0" w:color="auto"/>
      </w:divBdr>
    </w:div>
    <w:div w:id="456222480">
      <w:bodyDiv w:val="1"/>
      <w:marLeft w:val="0"/>
      <w:marRight w:val="0"/>
      <w:marTop w:val="0"/>
      <w:marBottom w:val="0"/>
      <w:divBdr>
        <w:top w:val="none" w:sz="0" w:space="0" w:color="auto"/>
        <w:left w:val="none" w:sz="0" w:space="0" w:color="auto"/>
        <w:bottom w:val="none" w:sz="0" w:space="0" w:color="auto"/>
        <w:right w:val="none" w:sz="0" w:space="0" w:color="auto"/>
      </w:divBdr>
    </w:div>
    <w:div w:id="473372991">
      <w:bodyDiv w:val="1"/>
      <w:marLeft w:val="0"/>
      <w:marRight w:val="0"/>
      <w:marTop w:val="0"/>
      <w:marBottom w:val="0"/>
      <w:divBdr>
        <w:top w:val="none" w:sz="0" w:space="0" w:color="auto"/>
        <w:left w:val="none" w:sz="0" w:space="0" w:color="auto"/>
        <w:bottom w:val="none" w:sz="0" w:space="0" w:color="auto"/>
        <w:right w:val="none" w:sz="0" w:space="0" w:color="auto"/>
      </w:divBdr>
    </w:div>
    <w:div w:id="638728030">
      <w:bodyDiv w:val="1"/>
      <w:marLeft w:val="0"/>
      <w:marRight w:val="0"/>
      <w:marTop w:val="0"/>
      <w:marBottom w:val="0"/>
      <w:divBdr>
        <w:top w:val="none" w:sz="0" w:space="0" w:color="auto"/>
        <w:left w:val="none" w:sz="0" w:space="0" w:color="auto"/>
        <w:bottom w:val="none" w:sz="0" w:space="0" w:color="auto"/>
        <w:right w:val="none" w:sz="0" w:space="0" w:color="auto"/>
      </w:divBdr>
    </w:div>
    <w:div w:id="1043672689">
      <w:bodyDiv w:val="1"/>
      <w:marLeft w:val="0"/>
      <w:marRight w:val="0"/>
      <w:marTop w:val="0"/>
      <w:marBottom w:val="0"/>
      <w:divBdr>
        <w:top w:val="none" w:sz="0" w:space="0" w:color="auto"/>
        <w:left w:val="none" w:sz="0" w:space="0" w:color="auto"/>
        <w:bottom w:val="none" w:sz="0" w:space="0" w:color="auto"/>
        <w:right w:val="none" w:sz="0" w:space="0" w:color="auto"/>
      </w:divBdr>
    </w:div>
    <w:div w:id="1284190238">
      <w:bodyDiv w:val="1"/>
      <w:marLeft w:val="0"/>
      <w:marRight w:val="0"/>
      <w:marTop w:val="0"/>
      <w:marBottom w:val="0"/>
      <w:divBdr>
        <w:top w:val="none" w:sz="0" w:space="0" w:color="auto"/>
        <w:left w:val="none" w:sz="0" w:space="0" w:color="auto"/>
        <w:bottom w:val="none" w:sz="0" w:space="0" w:color="auto"/>
        <w:right w:val="none" w:sz="0" w:space="0" w:color="auto"/>
      </w:divBdr>
    </w:div>
    <w:div w:id="1550259863">
      <w:bodyDiv w:val="1"/>
      <w:marLeft w:val="0"/>
      <w:marRight w:val="0"/>
      <w:marTop w:val="0"/>
      <w:marBottom w:val="0"/>
      <w:divBdr>
        <w:top w:val="none" w:sz="0" w:space="0" w:color="auto"/>
        <w:left w:val="none" w:sz="0" w:space="0" w:color="auto"/>
        <w:bottom w:val="none" w:sz="0" w:space="0" w:color="auto"/>
        <w:right w:val="none" w:sz="0" w:space="0" w:color="auto"/>
      </w:divBdr>
    </w:div>
    <w:div w:id="1734693951">
      <w:bodyDiv w:val="1"/>
      <w:marLeft w:val="0"/>
      <w:marRight w:val="0"/>
      <w:marTop w:val="0"/>
      <w:marBottom w:val="0"/>
      <w:divBdr>
        <w:top w:val="none" w:sz="0" w:space="0" w:color="auto"/>
        <w:left w:val="none" w:sz="0" w:space="0" w:color="auto"/>
        <w:bottom w:val="none" w:sz="0" w:space="0" w:color="auto"/>
        <w:right w:val="none" w:sz="0" w:space="0" w:color="auto"/>
      </w:divBdr>
    </w:div>
    <w:div w:id="1982034016">
      <w:bodyDiv w:val="1"/>
      <w:marLeft w:val="0"/>
      <w:marRight w:val="0"/>
      <w:marTop w:val="0"/>
      <w:marBottom w:val="0"/>
      <w:divBdr>
        <w:top w:val="none" w:sz="0" w:space="0" w:color="auto"/>
        <w:left w:val="none" w:sz="0" w:space="0" w:color="auto"/>
        <w:bottom w:val="none" w:sz="0" w:space="0" w:color="auto"/>
        <w:right w:val="none" w:sz="0" w:space="0" w:color="auto"/>
      </w:divBdr>
      <w:divsChild>
        <w:div w:id="1834492610">
          <w:marLeft w:val="0"/>
          <w:marRight w:val="0"/>
          <w:marTop w:val="0"/>
          <w:marBottom w:val="166"/>
          <w:divBdr>
            <w:top w:val="none" w:sz="0" w:space="0" w:color="auto"/>
            <w:left w:val="none" w:sz="0" w:space="0" w:color="auto"/>
            <w:bottom w:val="none" w:sz="0" w:space="0" w:color="auto"/>
            <w:right w:val="none" w:sz="0" w:space="0" w:color="auto"/>
          </w:divBdr>
          <w:divsChild>
            <w:div w:id="1351760182">
              <w:marLeft w:val="0"/>
              <w:marRight w:val="0"/>
              <w:marTop w:val="0"/>
              <w:marBottom w:val="0"/>
              <w:divBdr>
                <w:top w:val="none" w:sz="0" w:space="0" w:color="auto"/>
                <w:left w:val="none" w:sz="0" w:space="0" w:color="auto"/>
                <w:bottom w:val="none" w:sz="0" w:space="0" w:color="auto"/>
                <w:right w:val="none" w:sz="0" w:space="0" w:color="auto"/>
              </w:divBdr>
              <w:divsChild>
                <w:div w:id="1968466940">
                  <w:marLeft w:val="0"/>
                  <w:marRight w:val="0"/>
                  <w:marTop w:val="0"/>
                  <w:marBottom w:val="0"/>
                  <w:divBdr>
                    <w:top w:val="none" w:sz="0" w:space="0" w:color="auto"/>
                    <w:left w:val="none" w:sz="0" w:space="0" w:color="auto"/>
                    <w:bottom w:val="none" w:sz="0" w:space="0" w:color="auto"/>
                    <w:right w:val="none" w:sz="0" w:space="0" w:color="auto"/>
                  </w:divBdr>
                  <w:divsChild>
                    <w:div w:id="1051223994">
                      <w:marLeft w:val="0"/>
                      <w:marRight w:val="0"/>
                      <w:marTop w:val="0"/>
                      <w:marBottom w:val="0"/>
                      <w:divBdr>
                        <w:top w:val="none" w:sz="0" w:space="0" w:color="auto"/>
                        <w:left w:val="none" w:sz="0" w:space="0" w:color="auto"/>
                        <w:bottom w:val="none" w:sz="0" w:space="0" w:color="auto"/>
                        <w:right w:val="none" w:sz="0" w:space="0" w:color="auto"/>
                      </w:divBdr>
                      <w:divsChild>
                        <w:div w:id="1340039927">
                          <w:marLeft w:val="0"/>
                          <w:marRight w:val="0"/>
                          <w:marTop w:val="0"/>
                          <w:marBottom w:val="0"/>
                          <w:divBdr>
                            <w:top w:val="none" w:sz="0" w:space="0" w:color="auto"/>
                            <w:left w:val="none" w:sz="0" w:space="0" w:color="auto"/>
                            <w:bottom w:val="none" w:sz="0" w:space="0" w:color="auto"/>
                            <w:right w:val="none" w:sz="0" w:space="0" w:color="auto"/>
                          </w:divBdr>
                        </w:div>
                        <w:div w:id="8743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6436">
                  <w:marLeft w:val="0"/>
                  <w:marRight w:val="0"/>
                  <w:marTop w:val="0"/>
                  <w:marBottom w:val="0"/>
                  <w:divBdr>
                    <w:top w:val="none" w:sz="0" w:space="0" w:color="auto"/>
                    <w:left w:val="none" w:sz="0" w:space="0" w:color="auto"/>
                    <w:bottom w:val="none" w:sz="0" w:space="0" w:color="auto"/>
                    <w:right w:val="none" w:sz="0" w:space="0" w:color="auto"/>
                  </w:divBdr>
                  <w:divsChild>
                    <w:div w:id="11475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0865">
          <w:marLeft w:val="0"/>
          <w:marRight w:val="0"/>
          <w:marTop w:val="166"/>
          <w:marBottom w:val="166"/>
          <w:divBdr>
            <w:top w:val="none" w:sz="0" w:space="0" w:color="auto"/>
            <w:left w:val="none" w:sz="0" w:space="0" w:color="auto"/>
            <w:bottom w:val="none" w:sz="0" w:space="0" w:color="auto"/>
            <w:right w:val="none" w:sz="0" w:space="0" w:color="auto"/>
          </w:divBdr>
          <w:divsChild>
            <w:div w:id="21411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uk/url?sa=t&amp;rct=j&amp;q=&amp;esrc=s&amp;source=web&amp;cd=1&amp;ved=0CCMQFjAA&amp;url=http%3A%2F%2Fwww.scotpho.org.uk%2Fdownloads%2Fscotphoreports%2Fscotpho061107_leonreport.doc&amp;ei=4HrsVNSgDJHTaL2qguAC&amp;usg=AFQjCNEezJlEDp5Ueita0rSYbo_TAd4KNQ&amp;bvm=bv.86475890,d.d2s" TargetMode="External"/><Relationship Id="rId18" Type="http://schemas.openxmlformats.org/officeDocument/2006/relationships/hyperlink" Target="http://www.ncbi.nlm.nih.gov/pubmed/?term=Livingston%20M%5BAuthor%5D&amp;cauthor=true&amp;cauthor_uid=24930027" TargetMode="External"/><Relationship Id="rId26" Type="http://schemas.openxmlformats.org/officeDocument/2006/relationships/hyperlink" Target="http://www.ncbi.nlm.nih.gov/pubmed/?term=McMahon%20AD%5BAuthor%5D&amp;cauthor=true&amp;cauthor_uid=22035133" TargetMode="External"/><Relationship Id="rId3" Type="http://schemas.openxmlformats.org/officeDocument/2006/relationships/styles" Target="styles.xml"/><Relationship Id="rId21" Type="http://schemas.openxmlformats.org/officeDocument/2006/relationships/hyperlink" Target="http://www.ncbi.nlm.nih.gov/pubmed/?term=McCartney%20G%5BAuthor%5D&amp;cauthor=true&amp;cauthor_uid=23883271" TargetMode="External"/><Relationship Id="rId7" Type="http://schemas.openxmlformats.org/officeDocument/2006/relationships/footnotes" Target="footnotes.xml"/><Relationship Id="rId12" Type="http://schemas.openxmlformats.org/officeDocument/2006/relationships/hyperlink" Target="http://ec.europa.eu/social/main.jsp?catId=502&amp;furtherPubs=yes&amp;langId=en&amp;pubId=78&amp;type=2" TargetMode="External"/><Relationship Id="rId17" Type="http://schemas.openxmlformats.org/officeDocument/2006/relationships/hyperlink" Target="http://www.scotland.gov.uk/Publications/2010/11/10110338/0" TargetMode="External"/><Relationship Id="rId25" Type="http://schemas.openxmlformats.org/officeDocument/2006/relationships/hyperlink" Target="http://www.ncbi.nlm.nih.gov/pubmed/?term=Levin%20KA%5BAuthor%5D&amp;cauthor=true&amp;cauthor_uid=2219238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Mindell%20J%5BAuthor%5D&amp;cauthor=true&amp;cauthor_uid=21148178" TargetMode="External"/><Relationship Id="rId20" Type="http://schemas.openxmlformats.org/officeDocument/2006/relationships/hyperlink" Target="http://www.ncbi.nlm.nih.gov/pubmed/?term=Rush%20L%5BAuthor%5D&amp;cauthor=true&amp;cauthor_uid=23883271" TargetMode="External"/><Relationship Id="rId29" Type="http://schemas.openxmlformats.org/officeDocument/2006/relationships/hyperlink" Target="http://www.ncbi.nlm.nih.gov/pubmed/?term=Macpherson%20LM%5BAuthor%5D&amp;cauthor=true&amp;cauthor_uid=220351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kobe_centre/publications/hidden_cities2010/en/" TargetMode="External"/><Relationship Id="rId24" Type="http://schemas.openxmlformats.org/officeDocument/2006/relationships/hyperlink" Target="http://www.ncbi.nlm.nih.gov/pubmed/?term=Breitling%20LP%5BAuthor%5D&amp;cauthor=true&amp;cauthor_uid=2364049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cbi.nlm.nih.gov/pubmed/?term=Merlo%20J%5BAuthor%5D&amp;cauthor=true&amp;cauthor_uid=21148178" TargetMode="External"/><Relationship Id="rId23" Type="http://schemas.openxmlformats.org/officeDocument/2006/relationships/hyperlink" Target="http://www.ncbi.nlm.nih.gov/pubmed/?term=MacKay%20D%5BAuthor%5D&amp;cauthor=true&amp;cauthor_uid=23883271" TargetMode="External"/><Relationship Id="rId28" Type="http://schemas.openxmlformats.org/officeDocument/2006/relationships/hyperlink" Target="http://www.ncbi.nlm.nih.gov/pubmed/?term=McCall%20DR%5BAuthor%5D&amp;cauthor=true&amp;cauthor_uid=22035133" TargetMode="External"/><Relationship Id="rId10" Type="http://schemas.openxmlformats.org/officeDocument/2006/relationships/hyperlink" Target="mailto:pluto@soton.ac.uk" TargetMode="External"/><Relationship Id="rId19" Type="http://schemas.openxmlformats.org/officeDocument/2006/relationships/hyperlink" Target="http://www.ncbi.nlm.nih.gov/pubmed/?term=Lee%20D%5BAuthor%5D&amp;cauthor=true&amp;cauthor_uid=24930027"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fraser@soton.ac.uk" TargetMode="External"/><Relationship Id="rId14" Type="http://schemas.openxmlformats.org/officeDocument/2006/relationships/hyperlink" Target="http://www.ncbi.nlm.nih.gov/pubmed/?term=Gray%20L%5BAuthor%5D&amp;cauthor=true&amp;cauthor_uid=21148178" TargetMode="External"/><Relationship Id="rId22" Type="http://schemas.openxmlformats.org/officeDocument/2006/relationships/hyperlink" Target="http://www.ncbi.nlm.nih.gov/pubmed/?term=Walsh%20D%5BAuthor%5D&amp;cauthor=true&amp;cauthor_uid=23883271" TargetMode="External"/><Relationship Id="rId27" Type="http://schemas.openxmlformats.org/officeDocument/2006/relationships/hyperlink" Target="http://www.ncbi.nlm.nih.gov/pubmed/?term=Blair%20Y%5BAuthor%5D&amp;cauthor=true&amp;cauthor_uid=22035133" TargetMode="External"/><Relationship Id="rId30" Type="http://schemas.openxmlformats.org/officeDocument/2006/relationships/hyperlink" Target="http://www.gcph.co.uk/work_themes/synthesis_what_have_we_lea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D42C-473D-458C-B21F-E37DC7BF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8034</Words>
  <Characters>45800</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dc:creator>
  <cp:lastModifiedBy>de Montfalcon</cp:lastModifiedBy>
  <cp:revision>2</cp:revision>
  <dcterms:created xsi:type="dcterms:W3CDTF">2015-06-23T09:37:00Z</dcterms:created>
  <dcterms:modified xsi:type="dcterms:W3CDTF">2015-06-23T09:37:00Z</dcterms:modified>
</cp:coreProperties>
</file>