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A2" w:rsidRDefault="00E43166" w:rsidP="00D23537">
      <w:pPr>
        <w:spacing w:line="480" w:lineRule="auto"/>
      </w:pPr>
      <w:r>
        <w:t>BMJ Open paper – SDO KE Project</w:t>
      </w:r>
    </w:p>
    <w:p w:rsidR="0090291F" w:rsidRDefault="00016929" w:rsidP="00D23537">
      <w:pPr>
        <w:spacing w:line="480" w:lineRule="auto"/>
      </w:pPr>
      <w:r>
        <w:t>What do external consultants from private and not-for-profit companies offer healthcare commissioners?</w:t>
      </w:r>
      <w:r w:rsidR="00E43166">
        <w:t xml:space="preserve"> A qualitative study</w:t>
      </w:r>
      <w:r w:rsidR="0045625E">
        <w:t xml:space="preserve"> </w:t>
      </w:r>
      <w:r w:rsidR="003E08CF">
        <w:t>of knowledge exchange</w:t>
      </w:r>
    </w:p>
    <w:p w:rsidR="00016929" w:rsidRDefault="00016929" w:rsidP="00D23537">
      <w:pPr>
        <w:spacing w:line="480" w:lineRule="auto"/>
      </w:pPr>
    </w:p>
    <w:p w:rsidR="00E43166" w:rsidRDefault="0090291F" w:rsidP="00D23537">
      <w:pPr>
        <w:spacing w:line="480" w:lineRule="auto"/>
      </w:pPr>
      <w:r>
        <w:t>*</w:t>
      </w:r>
      <w:r w:rsidR="00E43166">
        <w:t xml:space="preserve">Lesley Wye, Research Fellow, School of Social and Community Medicine, University of Bristol, </w:t>
      </w:r>
      <w:proofErr w:type="spellStart"/>
      <w:r w:rsidR="00E43166">
        <w:t>Canynge</w:t>
      </w:r>
      <w:proofErr w:type="spellEnd"/>
      <w:r w:rsidR="00E43166">
        <w:t xml:space="preserve"> Hall, 39 Whatley Road, Bristol UK BS8 2PS </w:t>
      </w:r>
      <w:hyperlink r:id="rId6" w:history="1">
        <w:r w:rsidR="00E43166" w:rsidRPr="00F231F4">
          <w:rPr>
            <w:rStyle w:val="Hyperlink"/>
          </w:rPr>
          <w:t>Lesley.wye@bristol.ac.uk</w:t>
        </w:r>
      </w:hyperlink>
      <w:r w:rsidR="00E43166">
        <w:t>, 0117 955 6322</w:t>
      </w:r>
    </w:p>
    <w:p w:rsidR="00E43166" w:rsidRDefault="00E43166" w:rsidP="00D23537">
      <w:pPr>
        <w:spacing w:line="480" w:lineRule="auto"/>
      </w:pPr>
      <w:proofErr w:type="spellStart"/>
      <w:r>
        <w:t>Emer</w:t>
      </w:r>
      <w:proofErr w:type="spellEnd"/>
      <w:r>
        <w:t xml:space="preserve"> </w:t>
      </w:r>
      <w:proofErr w:type="spellStart"/>
      <w:r>
        <w:t>Brangan</w:t>
      </w:r>
      <w:proofErr w:type="spellEnd"/>
      <w:r>
        <w:t>, School of Social and Community Medicine, University of Bristol, Bristol UK</w:t>
      </w:r>
    </w:p>
    <w:p w:rsidR="00E43166" w:rsidRDefault="00E43166" w:rsidP="00D23537">
      <w:pPr>
        <w:spacing w:line="480" w:lineRule="auto"/>
      </w:pPr>
      <w:r>
        <w:t>Ailsa Cameron, School of Policy Studies, University of Bristol, Bristol UK</w:t>
      </w:r>
    </w:p>
    <w:p w:rsidR="00E43166" w:rsidRDefault="00E43166" w:rsidP="00D23537">
      <w:pPr>
        <w:spacing w:line="480" w:lineRule="auto"/>
      </w:pPr>
      <w:r>
        <w:t xml:space="preserve">John </w:t>
      </w:r>
      <w:proofErr w:type="spellStart"/>
      <w:r>
        <w:t>Gabbay</w:t>
      </w:r>
      <w:proofErr w:type="spellEnd"/>
      <w:r>
        <w:t xml:space="preserve">, </w:t>
      </w:r>
      <w:r w:rsidR="00016929">
        <w:t xml:space="preserve">Emeritus Professor, </w:t>
      </w:r>
      <w:r w:rsidR="004305E3">
        <w:t xml:space="preserve">Wessex Institute for Health Research and Development, </w:t>
      </w:r>
      <w:r>
        <w:t>University of Southampton, Southampton UK</w:t>
      </w:r>
    </w:p>
    <w:p w:rsidR="00E43166" w:rsidRDefault="00E43166" w:rsidP="00D23537">
      <w:pPr>
        <w:spacing w:line="480" w:lineRule="auto"/>
      </w:pPr>
      <w:r>
        <w:t xml:space="preserve">Jonathan </w:t>
      </w:r>
      <w:r w:rsidR="00C40B9C">
        <w:t xml:space="preserve">H. </w:t>
      </w:r>
      <w:r>
        <w:t xml:space="preserve">Klein, </w:t>
      </w:r>
      <w:r w:rsidR="00016929">
        <w:t xml:space="preserve">Southampton Business School, </w:t>
      </w:r>
      <w:r>
        <w:t>University of Southampton, Southampton UK</w:t>
      </w:r>
    </w:p>
    <w:p w:rsidR="002E441B" w:rsidRDefault="002E441B" w:rsidP="00D23537">
      <w:pPr>
        <w:spacing w:line="480" w:lineRule="auto"/>
      </w:pPr>
      <w:r>
        <w:t xml:space="preserve">Rachel </w:t>
      </w:r>
      <w:proofErr w:type="spellStart"/>
      <w:r>
        <w:t>Anthwal</w:t>
      </w:r>
      <w:proofErr w:type="spellEnd"/>
      <w:r>
        <w:t>, Programme Manager, South West Commissioning Support Unit, Bristol, UK</w:t>
      </w:r>
    </w:p>
    <w:p w:rsidR="00E43166" w:rsidRDefault="00E43166" w:rsidP="00D23537">
      <w:pPr>
        <w:spacing w:line="480" w:lineRule="auto"/>
      </w:pPr>
      <w:r>
        <w:t xml:space="preserve">Catherine Pope, </w:t>
      </w:r>
      <w:r w:rsidR="0045625E">
        <w:t>Faculty of Health Sciences</w:t>
      </w:r>
      <w:r>
        <w:t>, Southampton UK</w:t>
      </w:r>
    </w:p>
    <w:p w:rsidR="0090291F" w:rsidRDefault="0090291F" w:rsidP="00D23537">
      <w:pPr>
        <w:spacing w:line="480" w:lineRule="auto"/>
      </w:pPr>
      <w:r>
        <w:t>*Corresponding author</w:t>
      </w:r>
    </w:p>
    <w:p w:rsidR="0090291F" w:rsidRDefault="0090291F" w:rsidP="00D23537">
      <w:pPr>
        <w:spacing w:line="480" w:lineRule="auto"/>
        <w:rPr>
          <w:rFonts w:eastAsia="Times New Roman" w:cs="Arial"/>
          <w:color w:val="333333"/>
          <w:sz w:val="29"/>
          <w:szCs w:val="29"/>
          <w:lang w:eastAsia="en-GB"/>
        </w:rPr>
      </w:pPr>
    </w:p>
    <w:p w:rsidR="00E43166" w:rsidRDefault="00E43166" w:rsidP="00D23537">
      <w:pPr>
        <w:spacing w:line="480" w:lineRule="auto"/>
        <w:rPr>
          <w:lang w:eastAsia="en-GB"/>
        </w:rPr>
      </w:pPr>
      <w:r>
        <w:rPr>
          <w:lang w:eastAsia="en-GB"/>
        </w:rPr>
        <w:t>5 key words:</w:t>
      </w:r>
      <w:r w:rsidR="0045625E">
        <w:rPr>
          <w:lang w:eastAsia="en-GB"/>
        </w:rPr>
        <w:t xml:space="preserve"> knowledge exchange, external provider, private</w:t>
      </w:r>
      <w:r w:rsidR="004305E3">
        <w:rPr>
          <w:lang w:eastAsia="en-GB"/>
        </w:rPr>
        <w:t xml:space="preserve"> sector</w:t>
      </w:r>
      <w:r w:rsidR="0045625E">
        <w:rPr>
          <w:lang w:eastAsia="en-GB"/>
        </w:rPr>
        <w:t>, commissioning</w:t>
      </w:r>
    </w:p>
    <w:p w:rsidR="003734B3" w:rsidRDefault="00A91A22" w:rsidP="00D23537">
      <w:pPr>
        <w:spacing w:line="480" w:lineRule="auto"/>
        <w:rPr>
          <w:b/>
        </w:rPr>
      </w:pPr>
      <w:r>
        <w:rPr>
          <w:b/>
        </w:rPr>
        <w:lastRenderedPageBreak/>
        <w:t xml:space="preserve">ABSTRACT </w:t>
      </w:r>
    </w:p>
    <w:p w:rsidR="00FD184D" w:rsidRDefault="002822CB" w:rsidP="00D23537">
      <w:pPr>
        <w:spacing w:line="480" w:lineRule="auto"/>
      </w:pPr>
      <w:r>
        <w:t xml:space="preserve">Objectives: </w:t>
      </w:r>
      <w:r w:rsidR="00FD184D">
        <w:t xml:space="preserve">The use of external </w:t>
      </w:r>
      <w:r w:rsidR="00A23406">
        <w:t>consultants from</w:t>
      </w:r>
      <w:r w:rsidR="00FD184D">
        <w:t xml:space="preserve"> </w:t>
      </w:r>
      <w:r w:rsidR="003E08CF">
        <w:t>private</w:t>
      </w:r>
      <w:r w:rsidR="00FD184D">
        <w:t xml:space="preserve"> and not-for-profit providers </w:t>
      </w:r>
      <w:r w:rsidR="00291236">
        <w:t xml:space="preserve">in the NHS </w:t>
      </w:r>
      <w:r w:rsidR="00FD184D">
        <w:t xml:space="preserve">is </w:t>
      </w:r>
      <w:r w:rsidR="003E08CF">
        <w:t>intended to improve the quality of commissioning</w:t>
      </w:r>
      <w:r w:rsidR="00DF5E13">
        <w:t xml:space="preserve">. The aim of this study was to </w:t>
      </w:r>
      <w:r>
        <w:t xml:space="preserve">learn about </w:t>
      </w:r>
      <w:r w:rsidR="00A23406">
        <w:t xml:space="preserve">the support offered to </w:t>
      </w:r>
      <w:r w:rsidR="00291236">
        <w:t>healthcare commissioners</w:t>
      </w:r>
      <w:r w:rsidR="00DF5E13">
        <w:t xml:space="preserve">, how external </w:t>
      </w:r>
      <w:r w:rsidR="003E08CF">
        <w:t>consultants</w:t>
      </w:r>
      <w:r w:rsidR="00DF5E13">
        <w:t xml:space="preserve"> and</w:t>
      </w:r>
      <w:r w:rsidR="00336BDA">
        <w:t xml:space="preserve"> their clients work together and </w:t>
      </w:r>
      <w:r w:rsidR="00DF5E13">
        <w:t>the</w:t>
      </w:r>
      <w:r w:rsidR="00291236">
        <w:t xml:space="preserve"> </w:t>
      </w:r>
      <w:r w:rsidR="00A23406">
        <w:t xml:space="preserve">perceived </w:t>
      </w:r>
      <w:r w:rsidR="00291236">
        <w:t>impact</w:t>
      </w:r>
      <w:r w:rsidR="00016929">
        <w:t xml:space="preserve"> </w:t>
      </w:r>
      <w:r w:rsidR="00D876A6">
        <w:t>on the quality of commissioning</w:t>
      </w:r>
      <w:r w:rsidR="00DF5E13">
        <w:t>.</w:t>
      </w:r>
    </w:p>
    <w:p w:rsidR="002822CB" w:rsidRDefault="002822CB" w:rsidP="00336BDA">
      <w:pPr>
        <w:autoSpaceDE w:val="0"/>
        <w:autoSpaceDN w:val="0"/>
        <w:adjustRightInd w:val="0"/>
        <w:spacing w:after="120" w:line="480" w:lineRule="auto"/>
        <w:rPr>
          <w:rFonts w:cs="Arial"/>
          <w:szCs w:val="24"/>
        </w:rPr>
      </w:pPr>
      <w:r>
        <w:rPr>
          <w:rFonts w:cs="Arial"/>
          <w:szCs w:val="24"/>
        </w:rPr>
        <w:t>Setting: NHS commissioning organisations and private and not-for-profit providers</w:t>
      </w:r>
    </w:p>
    <w:p w:rsidR="002822CB" w:rsidRDefault="002822CB" w:rsidP="00336BDA">
      <w:pPr>
        <w:autoSpaceDE w:val="0"/>
        <w:autoSpaceDN w:val="0"/>
        <w:adjustRightInd w:val="0"/>
        <w:spacing w:after="120" w:line="480" w:lineRule="auto"/>
        <w:rPr>
          <w:rFonts w:cs="Arial"/>
          <w:szCs w:val="24"/>
        </w:rPr>
      </w:pPr>
      <w:r>
        <w:rPr>
          <w:rFonts w:cs="Arial"/>
          <w:szCs w:val="24"/>
        </w:rPr>
        <w:t xml:space="preserve">Design: </w:t>
      </w:r>
      <w:r w:rsidR="00016929">
        <w:rPr>
          <w:rFonts w:cs="Arial"/>
          <w:szCs w:val="24"/>
        </w:rPr>
        <w:t>mixed methods</w:t>
      </w:r>
      <w:r>
        <w:rPr>
          <w:rFonts w:cs="Arial"/>
          <w:szCs w:val="24"/>
        </w:rPr>
        <w:t xml:space="preserve"> case study of eight cases</w:t>
      </w:r>
    </w:p>
    <w:p w:rsidR="002822CB" w:rsidRDefault="002822CB" w:rsidP="00336BDA">
      <w:pPr>
        <w:autoSpaceDE w:val="0"/>
        <w:autoSpaceDN w:val="0"/>
        <w:adjustRightInd w:val="0"/>
        <w:spacing w:after="120" w:line="480" w:lineRule="auto"/>
      </w:pPr>
      <w:r>
        <w:rPr>
          <w:rFonts w:cs="Arial"/>
          <w:szCs w:val="24"/>
        </w:rPr>
        <w:t xml:space="preserve">Data collection: </w:t>
      </w:r>
      <w:r w:rsidR="00336BDA">
        <w:rPr>
          <w:rFonts w:cs="Arial"/>
          <w:szCs w:val="24"/>
        </w:rPr>
        <w:t xml:space="preserve">92 interviews with external </w:t>
      </w:r>
      <w:r w:rsidR="0060407C">
        <w:rPr>
          <w:rFonts w:cs="Arial"/>
          <w:szCs w:val="24"/>
        </w:rPr>
        <w:t>consultants</w:t>
      </w:r>
      <w:r w:rsidR="00336BDA">
        <w:rPr>
          <w:rFonts w:cs="Arial"/>
          <w:szCs w:val="24"/>
        </w:rPr>
        <w:t xml:space="preserve"> (n=36), their clients (n=47) and others (n=9)</w:t>
      </w:r>
      <w:r>
        <w:rPr>
          <w:rFonts w:cs="Arial"/>
          <w:szCs w:val="24"/>
        </w:rPr>
        <w:t xml:space="preserve">. Observation of </w:t>
      </w:r>
      <w:r w:rsidR="00336BDA">
        <w:rPr>
          <w:rFonts w:cs="Arial"/>
          <w:szCs w:val="24"/>
        </w:rPr>
        <w:t>25 training events and meetings</w:t>
      </w:r>
      <w:r>
        <w:rPr>
          <w:rFonts w:cs="Arial"/>
          <w:szCs w:val="24"/>
        </w:rPr>
        <w:t xml:space="preserve">. Documentation e.g. </w:t>
      </w:r>
      <w:r w:rsidR="00336BDA">
        <w:t>meeting minutes</w:t>
      </w:r>
      <w:r w:rsidR="00B108C3">
        <w:t xml:space="preserve"> and</w:t>
      </w:r>
      <w:r w:rsidR="00336BDA">
        <w:t xml:space="preserve"> reports.</w:t>
      </w:r>
    </w:p>
    <w:p w:rsidR="00336BDA" w:rsidRDefault="002822CB" w:rsidP="00336BDA">
      <w:pPr>
        <w:autoSpaceDE w:val="0"/>
        <w:autoSpaceDN w:val="0"/>
        <w:adjustRightInd w:val="0"/>
        <w:spacing w:after="120" w:line="480" w:lineRule="auto"/>
      </w:pPr>
      <w:r>
        <w:t>Analysis: C</w:t>
      </w:r>
      <w:r w:rsidR="00336BDA">
        <w:t>onstant comparison</w:t>
      </w:r>
      <w:r>
        <w:t>. D</w:t>
      </w:r>
      <w:r w:rsidR="00336BDA">
        <w:t xml:space="preserve">ata were </w:t>
      </w:r>
      <w:r w:rsidR="0045625E">
        <w:t xml:space="preserve">coded, summarised and </w:t>
      </w:r>
      <w:r w:rsidR="00336BDA">
        <w:t xml:space="preserve">analysed </w:t>
      </w:r>
      <w:r w:rsidR="0045625E">
        <w:t xml:space="preserve">by the research team </w:t>
      </w:r>
      <w:r w:rsidR="003734B3">
        <w:t xml:space="preserve">with </w:t>
      </w:r>
      <w:r w:rsidR="00336BDA">
        <w:t xml:space="preserve">a coding framework </w:t>
      </w:r>
      <w:r w:rsidR="0045625E">
        <w:t>to facilitate cross case comparison</w:t>
      </w:r>
      <w:r w:rsidR="00336BDA">
        <w:t xml:space="preserve">. </w:t>
      </w:r>
    </w:p>
    <w:p w:rsidR="00FF3B5A" w:rsidRDefault="00A91A22" w:rsidP="00D23537">
      <w:pPr>
        <w:spacing w:line="480" w:lineRule="auto"/>
      </w:pPr>
      <w:r>
        <w:t>Results</w:t>
      </w:r>
      <w:r w:rsidR="002822CB">
        <w:t xml:space="preserve">: </w:t>
      </w:r>
      <w:r w:rsidR="006A03B5">
        <w:t>In the four contracts presented here, e</w:t>
      </w:r>
      <w:r w:rsidR="00B108C3">
        <w:t xml:space="preserve">xternal </w:t>
      </w:r>
      <w:r w:rsidR="00F161A7">
        <w:t>providers</w:t>
      </w:r>
      <w:r w:rsidR="00B81DF1">
        <w:t xml:space="preserve"> </w:t>
      </w:r>
      <w:bookmarkStart w:id="0" w:name="_GoBack"/>
      <w:bookmarkEnd w:id="0"/>
      <w:r w:rsidR="00B108C3">
        <w:t>offered technical solutions (e.g. software tools), outsourcing</w:t>
      </w:r>
      <w:r w:rsidR="003734B3">
        <w:t xml:space="preserve"> and expertise</w:t>
      </w:r>
      <w:r w:rsidR="00B108C3">
        <w:t xml:space="preserve"> includ</w:t>
      </w:r>
      <w:r w:rsidR="003734B3">
        <w:t>ing</w:t>
      </w:r>
      <w:r w:rsidR="00B108C3">
        <w:t xml:space="preserve"> project management, </w:t>
      </w:r>
      <w:r w:rsidR="00B82ED0">
        <w:t xml:space="preserve">data interpretation </w:t>
      </w:r>
      <w:r w:rsidR="00B108C3">
        <w:t>and brokering relationships with experts</w:t>
      </w:r>
      <w:r w:rsidR="001A1956">
        <w:t xml:space="preserve">. </w:t>
      </w:r>
      <w:r w:rsidR="00D876A6">
        <w:t xml:space="preserve">In assessing perceived impact on quality of commissioning, two contracts </w:t>
      </w:r>
      <w:r w:rsidR="002C6A78">
        <w:t>had</w:t>
      </w:r>
      <w:r w:rsidR="00881EA5">
        <w:t xml:space="preserve"> limited value, </w:t>
      </w:r>
      <w:r w:rsidR="00D876A6">
        <w:t xml:space="preserve">one </w:t>
      </w:r>
      <w:r w:rsidR="002C6A78">
        <w:t xml:space="preserve">had </w:t>
      </w:r>
      <w:r w:rsidR="00D876A6">
        <w:t xml:space="preserve">short term </w:t>
      </w:r>
      <w:r w:rsidR="002C6A78">
        <w:t xml:space="preserve">benefits </w:t>
      </w:r>
      <w:r w:rsidR="00D876A6">
        <w:t xml:space="preserve">and one provided short and longer term benefits.  </w:t>
      </w:r>
      <w:r w:rsidR="00881EA5">
        <w:t>C</w:t>
      </w:r>
      <w:r w:rsidR="00BF1282">
        <w:t xml:space="preserve">ontracts </w:t>
      </w:r>
      <w:r w:rsidR="00851CE6">
        <w:t xml:space="preserve">with </w:t>
      </w:r>
      <w:r w:rsidR="00BF1282">
        <w:t>commissioners actively learning, embedding and applying new skills</w:t>
      </w:r>
      <w:r w:rsidR="001E1579">
        <w:t xml:space="preserve"> </w:t>
      </w:r>
      <w:r w:rsidR="00851CE6">
        <w:t xml:space="preserve">were </w:t>
      </w:r>
      <w:r w:rsidR="002073CD">
        <w:t xml:space="preserve">more </w:t>
      </w:r>
      <w:r w:rsidR="001E1579">
        <w:t>valued</w:t>
      </w:r>
      <w:r w:rsidR="00A23406">
        <w:t xml:space="preserve">. </w:t>
      </w:r>
      <w:r w:rsidR="00851CE6">
        <w:t>Other elements of success were</w:t>
      </w:r>
      <w:r w:rsidR="003734B3">
        <w:t>:</w:t>
      </w:r>
      <w:r w:rsidR="00851CE6">
        <w:t xml:space="preserve"> (</w:t>
      </w:r>
      <w:proofErr w:type="spellStart"/>
      <w:r w:rsidR="00851CE6">
        <w:t>i</w:t>
      </w:r>
      <w:proofErr w:type="spellEnd"/>
      <w:r w:rsidR="00851CE6">
        <w:t>) addressing</w:t>
      </w:r>
      <w:r w:rsidR="00232C5E">
        <w:t xml:space="preserve"> c</w:t>
      </w:r>
      <w:r w:rsidR="00FF3B5A">
        <w:t xml:space="preserve">learly agreed </w:t>
      </w:r>
      <w:r w:rsidR="00A23406">
        <w:t>prob</w:t>
      </w:r>
      <w:r w:rsidR="00FF3B5A">
        <w:t>lem</w:t>
      </w:r>
      <w:r w:rsidR="00A23406">
        <w:t>s</w:t>
      </w:r>
      <w:r w:rsidR="00FF3B5A">
        <w:t xml:space="preserve"> of relevance </w:t>
      </w:r>
      <w:r w:rsidR="00A23406">
        <w:t xml:space="preserve">to managerial </w:t>
      </w:r>
      <w:r w:rsidR="00A23406" w:rsidRPr="003E08CF">
        <w:rPr>
          <w:u w:val="single"/>
        </w:rPr>
        <w:t>and</w:t>
      </w:r>
      <w:r w:rsidR="00A23406">
        <w:t xml:space="preserve"> operational staff</w:t>
      </w:r>
      <w:r w:rsidR="00851CE6">
        <w:t xml:space="preserve"> </w:t>
      </w:r>
      <w:r w:rsidR="003734B3">
        <w:t xml:space="preserve">(ii) solutions </w:t>
      </w:r>
      <w:r w:rsidR="00A23406">
        <w:t xml:space="preserve">co-produced at all </w:t>
      </w:r>
      <w:r w:rsidR="00BF1282">
        <w:t xml:space="preserve">organisational </w:t>
      </w:r>
      <w:r w:rsidR="00A23406">
        <w:t>levels</w:t>
      </w:r>
      <w:r w:rsidR="00B108C3">
        <w:t xml:space="preserve"> </w:t>
      </w:r>
      <w:r w:rsidR="00851CE6">
        <w:t>(ii</w:t>
      </w:r>
      <w:r w:rsidR="003734B3">
        <w:t>i</w:t>
      </w:r>
      <w:r w:rsidR="00851CE6">
        <w:t xml:space="preserve">) </w:t>
      </w:r>
      <w:r w:rsidR="00B108C3">
        <w:t xml:space="preserve">external </w:t>
      </w:r>
      <w:r w:rsidR="00E4643A">
        <w:t xml:space="preserve">consultants </w:t>
      </w:r>
      <w:r w:rsidR="00B108C3">
        <w:t>work</w:t>
      </w:r>
      <w:r w:rsidR="003734B3">
        <w:t>ing</w:t>
      </w:r>
      <w:r w:rsidR="00B108C3">
        <w:t xml:space="preserve"> directly with </w:t>
      </w:r>
      <w:r w:rsidR="003734B3">
        <w:t xml:space="preserve">clients </w:t>
      </w:r>
      <w:r w:rsidR="00B108C3">
        <w:t xml:space="preserve">to </w:t>
      </w:r>
      <w:r w:rsidR="001A1956">
        <w:t xml:space="preserve">interpret data outputs </w:t>
      </w:r>
      <w:r w:rsidR="003E08CF">
        <w:t>to</w:t>
      </w:r>
      <w:r w:rsidR="00FF3B5A">
        <w:t xml:space="preserve"> </w:t>
      </w:r>
      <w:r w:rsidR="003734B3">
        <w:t>inform</w:t>
      </w:r>
      <w:r w:rsidR="00B108C3">
        <w:t xml:space="preserve"> </w:t>
      </w:r>
      <w:r w:rsidR="00FF3B5A">
        <w:t xml:space="preserve">locally contextualised </w:t>
      </w:r>
      <w:r w:rsidR="003734B3">
        <w:t xml:space="preserve">commissioning </w:t>
      </w:r>
      <w:r w:rsidR="003E08CF">
        <w:t>strategies</w:t>
      </w:r>
      <w:r w:rsidR="00232C5E">
        <w:t xml:space="preserve">. </w:t>
      </w:r>
      <w:r w:rsidR="003E08CF">
        <w:lastRenderedPageBreak/>
        <w:t xml:space="preserve">Without explicit knowledge exchange strategies, outsourcing commissioning to external </w:t>
      </w:r>
      <w:proofErr w:type="gramStart"/>
      <w:r w:rsidR="00F161A7">
        <w:t xml:space="preserve">providers </w:t>
      </w:r>
      <w:r w:rsidR="00E4643A">
        <w:t xml:space="preserve"> </w:t>
      </w:r>
      <w:r w:rsidR="003E08CF">
        <w:t>result</w:t>
      </w:r>
      <w:r w:rsidR="001E1579">
        <w:t>ed</w:t>
      </w:r>
      <w:proofErr w:type="gramEnd"/>
      <w:r w:rsidR="003E08CF">
        <w:t xml:space="preserve"> in the NHS clients</w:t>
      </w:r>
      <w:r w:rsidR="001E1579">
        <w:t xml:space="preserve"> </w:t>
      </w:r>
      <w:r w:rsidR="007E4511">
        <w:t>becoming dependent</w:t>
      </w:r>
      <w:r w:rsidR="003E08CF">
        <w:t>.</w:t>
      </w:r>
    </w:p>
    <w:p w:rsidR="00A91A22" w:rsidRDefault="00A91A22" w:rsidP="00D23537">
      <w:pPr>
        <w:spacing w:line="480" w:lineRule="auto"/>
      </w:pPr>
      <w:r>
        <w:t xml:space="preserve">Conclusion </w:t>
      </w:r>
    </w:p>
    <w:p w:rsidR="00D97326" w:rsidRDefault="002C6A78" w:rsidP="00615D14">
      <w:pPr>
        <w:spacing w:line="480" w:lineRule="auto"/>
      </w:pPr>
      <w:r>
        <w:t xml:space="preserve">NHS </w:t>
      </w:r>
      <w:r w:rsidR="003734B3">
        <w:t xml:space="preserve">commissioning </w:t>
      </w:r>
      <w:r>
        <w:t>will be disadvantaged longer term</w:t>
      </w:r>
      <w:r w:rsidR="00915F59">
        <w:t xml:space="preserve"> if</w:t>
      </w:r>
      <w:r>
        <w:t xml:space="preserve"> </w:t>
      </w:r>
      <w:r w:rsidR="003734B3">
        <w:t>commissioners</w:t>
      </w:r>
      <w:r>
        <w:t xml:space="preserve"> </w:t>
      </w:r>
      <w:r w:rsidR="00915F59">
        <w:t xml:space="preserve">both </w:t>
      </w:r>
      <w:r>
        <w:t xml:space="preserve">fail to learn </w:t>
      </w:r>
      <w:r w:rsidR="00615D14">
        <w:t xml:space="preserve">in the short term </w:t>
      </w:r>
      <w:r>
        <w:t xml:space="preserve">from the knowledge of external </w:t>
      </w:r>
      <w:r w:rsidR="00F161A7">
        <w:t xml:space="preserve">providers </w:t>
      </w:r>
      <w:r>
        <w:t xml:space="preserve">and </w:t>
      </w:r>
      <w:r w:rsidR="00615D14">
        <w:t xml:space="preserve">in the longer term </w:t>
      </w:r>
      <w:r>
        <w:t xml:space="preserve">lose </w:t>
      </w:r>
      <w:r w:rsidR="003734B3">
        <w:t>local</w:t>
      </w:r>
      <w:r>
        <w:t xml:space="preserve"> skills.</w:t>
      </w:r>
      <w:r w:rsidR="003734B3">
        <w:t xml:space="preserve"> </w:t>
      </w:r>
      <w:r w:rsidR="00915F59">
        <w:t xml:space="preserve">Knowledge exchange mechanisms are a vital component of commissioning and should be embedded in external </w:t>
      </w:r>
      <w:r w:rsidR="00F161A7">
        <w:t xml:space="preserve">provider </w:t>
      </w:r>
      <w:r w:rsidR="00915F59">
        <w:t>contracts.</w:t>
      </w:r>
    </w:p>
    <w:p w:rsidR="006567A3" w:rsidRDefault="006567A3" w:rsidP="00D23537">
      <w:pPr>
        <w:spacing w:line="480" w:lineRule="auto"/>
      </w:pPr>
    </w:p>
    <w:p w:rsidR="00DD1372" w:rsidRDefault="006567A3" w:rsidP="00D23537">
      <w:pPr>
        <w:spacing w:line="480" w:lineRule="auto"/>
      </w:pPr>
      <w:r>
        <w:t>Word count: 5828</w:t>
      </w:r>
      <w:r w:rsidR="00DD1372">
        <w:br w:type="page"/>
      </w:r>
    </w:p>
    <w:p w:rsidR="00DD1372" w:rsidRDefault="00DD1372" w:rsidP="00D23537">
      <w:pPr>
        <w:spacing w:line="480" w:lineRule="auto"/>
        <w:rPr>
          <w:b/>
        </w:rPr>
      </w:pPr>
      <w:r>
        <w:rPr>
          <w:b/>
        </w:rPr>
        <w:lastRenderedPageBreak/>
        <w:t>STRENGTHS AND LIMITATIONS OF THIS STUDY</w:t>
      </w:r>
      <w:r w:rsidR="00CB0D11">
        <w:rPr>
          <w:b/>
        </w:rPr>
        <w:t xml:space="preserve"> (5 points in total)</w:t>
      </w:r>
    </w:p>
    <w:p w:rsidR="00BF1282" w:rsidRDefault="00BF1282" w:rsidP="00BF1282">
      <w:pPr>
        <w:pStyle w:val="ListParagraph"/>
        <w:numPr>
          <w:ilvl w:val="0"/>
          <w:numId w:val="11"/>
        </w:numPr>
        <w:spacing w:line="480" w:lineRule="auto"/>
      </w:pPr>
      <w:r>
        <w:t xml:space="preserve">This is the </w:t>
      </w:r>
      <w:r w:rsidR="007C5E9C">
        <w:t xml:space="preserve">largest </w:t>
      </w:r>
      <w:r w:rsidR="00DE718A">
        <w:t xml:space="preserve">study </w:t>
      </w:r>
      <w:r>
        <w:t xml:space="preserve">of </w:t>
      </w:r>
      <w:r w:rsidR="0045625E">
        <w:t xml:space="preserve">the </w:t>
      </w:r>
      <w:r>
        <w:t xml:space="preserve">use of external consultants to support healthcare commissioners </w:t>
      </w:r>
      <w:r w:rsidR="0059151C">
        <w:t xml:space="preserve">in England </w:t>
      </w:r>
      <w:r>
        <w:t>post-Health and Social Care Act 2012.</w:t>
      </w:r>
    </w:p>
    <w:p w:rsidR="0060407C" w:rsidRDefault="0060407C" w:rsidP="00BF1282">
      <w:pPr>
        <w:pStyle w:val="ListParagraph"/>
        <w:numPr>
          <w:ilvl w:val="0"/>
          <w:numId w:val="11"/>
        </w:numPr>
        <w:spacing w:line="480" w:lineRule="auto"/>
      </w:pPr>
      <w:r>
        <w:t>This study illuminates the potential benefits and challenges in using external expertise in commissioning.</w:t>
      </w:r>
    </w:p>
    <w:p w:rsidR="0060407C" w:rsidRDefault="004305E3" w:rsidP="00BF1282">
      <w:pPr>
        <w:pStyle w:val="ListParagraph"/>
        <w:numPr>
          <w:ilvl w:val="0"/>
          <w:numId w:val="11"/>
        </w:numPr>
        <w:spacing w:line="480" w:lineRule="auto"/>
      </w:pPr>
      <w:r>
        <w:t xml:space="preserve">Case study results can </w:t>
      </w:r>
      <w:r w:rsidR="006000C7">
        <w:t xml:space="preserve">offer </w:t>
      </w:r>
      <w:r w:rsidR="0060407C">
        <w:t>substantial, information rich accounts</w:t>
      </w:r>
      <w:r w:rsidR="006000C7">
        <w:t xml:space="preserve"> of the role of external </w:t>
      </w:r>
      <w:r w:rsidR="00F161A7">
        <w:t xml:space="preserve">consultants </w:t>
      </w:r>
      <w:r w:rsidR="006000C7">
        <w:t xml:space="preserve">and assess their perceived impact on commissioning decisions. But case studies cannot assess the actual impact on commissioning and </w:t>
      </w:r>
      <w:r w:rsidR="000D5E5E">
        <w:t>are</w:t>
      </w:r>
      <w:r w:rsidR="006000C7">
        <w:t xml:space="preserve"> not statistically </w:t>
      </w:r>
      <w:proofErr w:type="spellStart"/>
      <w:r w:rsidR="006000C7">
        <w:t>generalisable</w:t>
      </w:r>
      <w:proofErr w:type="spellEnd"/>
      <w:r w:rsidR="000D5E5E">
        <w:t>. However</w:t>
      </w:r>
      <w:r w:rsidR="006000C7">
        <w:t xml:space="preserve"> findings are transferable to similar settings.</w:t>
      </w:r>
    </w:p>
    <w:p w:rsidR="0060407C" w:rsidRDefault="00164692" w:rsidP="00BF1282">
      <w:pPr>
        <w:pStyle w:val="ListParagraph"/>
        <w:numPr>
          <w:ilvl w:val="0"/>
          <w:numId w:val="11"/>
        </w:numPr>
        <w:spacing w:line="480" w:lineRule="auto"/>
      </w:pPr>
      <w:r>
        <w:t xml:space="preserve">Perhaps because the </w:t>
      </w:r>
      <w:r w:rsidR="00456D23">
        <w:t xml:space="preserve">research </w:t>
      </w:r>
      <w:r>
        <w:t>team were overly associated with external consultants</w:t>
      </w:r>
      <w:r w:rsidR="007C1268">
        <w:t xml:space="preserve"> as this was the access point in fieldwork</w:t>
      </w:r>
      <w:r>
        <w:t>, we obtained fewer accounts from NHS clients.</w:t>
      </w:r>
      <w:r w:rsidR="00245FDF">
        <w:t xml:space="preserve"> Recruiting another not-fo</w:t>
      </w:r>
      <w:r w:rsidR="000A13B0">
        <w:t xml:space="preserve">r-profit </w:t>
      </w:r>
      <w:r w:rsidR="00F161A7">
        <w:t xml:space="preserve">agency </w:t>
      </w:r>
      <w:r w:rsidR="000A13B0">
        <w:t xml:space="preserve">would have </w:t>
      </w:r>
      <w:r w:rsidR="0045625E">
        <w:t xml:space="preserve">further augmented comparative analyses. </w:t>
      </w:r>
    </w:p>
    <w:p w:rsidR="00164692" w:rsidRDefault="00164692" w:rsidP="00BF1282">
      <w:pPr>
        <w:pStyle w:val="ListParagraph"/>
        <w:numPr>
          <w:ilvl w:val="0"/>
          <w:numId w:val="11"/>
        </w:numPr>
        <w:spacing w:line="480" w:lineRule="auto"/>
      </w:pPr>
      <w:r>
        <w:t>This stu</w:t>
      </w:r>
      <w:r w:rsidR="004305E3">
        <w:t xml:space="preserve">dy emphasises the importance of taking steps to improve </w:t>
      </w:r>
      <w:r>
        <w:t xml:space="preserve">knowledge exchange between external </w:t>
      </w:r>
      <w:r w:rsidR="00F161A7">
        <w:t xml:space="preserve">consultants </w:t>
      </w:r>
      <w:r>
        <w:t>and their NHS clients to gain the greatest benefit from these types of contracts.</w:t>
      </w:r>
    </w:p>
    <w:p w:rsidR="00A91A22" w:rsidRDefault="00A91A22" w:rsidP="00D23537">
      <w:pPr>
        <w:spacing w:line="480" w:lineRule="auto"/>
      </w:pPr>
      <w:r>
        <w:br w:type="page"/>
      </w:r>
    </w:p>
    <w:p w:rsidR="001B139B" w:rsidRPr="00DD1372" w:rsidRDefault="00A91A22" w:rsidP="00D23537">
      <w:pPr>
        <w:spacing w:line="480" w:lineRule="auto"/>
      </w:pPr>
      <w:r>
        <w:rPr>
          <w:b/>
        </w:rPr>
        <w:lastRenderedPageBreak/>
        <w:t>INTRODUCTION</w:t>
      </w:r>
    </w:p>
    <w:p w:rsidR="00512507" w:rsidRDefault="009F7150" w:rsidP="009C528F">
      <w:pPr>
        <w:spacing w:line="480" w:lineRule="auto"/>
      </w:pPr>
      <w:r>
        <w:t xml:space="preserve">Healthcare </w:t>
      </w:r>
      <w:r w:rsidR="009B1C26">
        <w:t xml:space="preserve">commissioners plan </w:t>
      </w:r>
      <w:r w:rsidR="00477DDE">
        <w:t xml:space="preserve">services </w:t>
      </w:r>
      <w:r w:rsidR="009B1C26">
        <w:t xml:space="preserve">and allocate funding to </w:t>
      </w:r>
      <w:r w:rsidR="00477DDE">
        <w:t xml:space="preserve">meet </w:t>
      </w:r>
      <w:r w:rsidR="009B1C26">
        <w:t>the needs of specific populations</w:t>
      </w:r>
      <w:r>
        <w:t xml:space="preserve"> in England</w:t>
      </w:r>
      <w:r w:rsidR="009B1C26">
        <w:t>.</w:t>
      </w:r>
      <w:r w:rsidR="00512507">
        <w:t xml:space="preserve"> Over two decades, commissioning (or ‘purchasing’ as it was </w:t>
      </w:r>
      <w:r w:rsidR="005D0790">
        <w:t>originally</w:t>
      </w:r>
      <w:r w:rsidR="00512507">
        <w:t xml:space="preserve"> known) has taken different organisational forms, including Health Authorities, Primary Care Groups, Primary Care Trusts (PCTs) and now Clinical Commissioning Groups (CCGs). </w:t>
      </w:r>
      <w:r w:rsidR="0045625E">
        <w:t>T</w:t>
      </w:r>
      <w:r w:rsidR="00834BBA">
        <w:t xml:space="preserve">here are </w:t>
      </w:r>
      <w:r w:rsidR="00512507" w:rsidRPr="00512507">
        <w:t xml:space="preserve">many definitions of ‘commissioning’ </w:t>
      </w:r>
      <w:hyperlink w:anchor="_ENREF_1" w:tooltip="Newman M, 2012 #1267" w:history="1">
        <w:r w:rsidR="00ED61F8" w:rsidRPr="00512507">
          <w:fldChar w:fldCharType="begin"/>
        </w:r>
        <w:r w:rsidR="00ED61F8">
          <w:instrText xml:space="preserve"> ADDIN EN.CITE &lt;EndNote&gt;&lt;Cite&gt;&lt;Author&gt;Newman M&lt;/Author&gt;&lt;Year&gt;2012&lt;/Year&gt;&lt;RecNum&gt;1267&lt;/RecNum&gt;&lt;DisplayText&gt;&lt;style face="superscript"&gt;1&lt;/style&gt;&lt;/DisplayText&gt;&lt;record&gt;&lt;rec-number&gt;1267&lt;/rec-number&gt;&lt;foreign-keys&gt;&lt;key app="EN" db-id="r2drx9tfh929f5edwpx5vwxqptr9twsart0z" timestamp="1393416197"&gt;1267&lt;/key&gt;&lt;/foreign-keys&gt;&lt;ref-type name="Report"&gt;27&lt;/ref-type&gt;&lt;contributors&gt;&lt;authors&gt;&lt;author&gt;Newman M,&lt;/author&gt;&lt;author&gt;Bangpan M,&lt;/author&gt;&lt;author&gt;Kalra N,&lt;/author&gt;&lt;author&gt;Mays N,&lt;/author&gt;&lt;author&gt;Kwan I,&lt;/author&gt;&lt;author&gt;Roberts T,&lt;/author&gt;&lt;/authors&gt;&lt;tertiary-authors&gt;&lt;author&gt;University of London&lt;/author&gt;&lt;/tertiary-authors&gt;&lt;/contributors&gt;&lt;titles&gt;&lt;title&gt;Commissioning in health, education and social care Models, research bibliography and in-depth review of joint commissioning between health and social care agencies&lt;/title&gt;&lt;/titles&gt;&lt;dates&gt;&lt;year&gt;2012&lt;/year&gt;&lt;/dates&gt;&lt;pub-location&gt;London&lt;/pub-location&gt;&lt;publisher&gt;EPPI Centre Institute of Education University of London&lt;/publisher&gt;&lt;urls&gt;&lt;/urls&gt;&lt;/record&gt;&lt;/Cite&gt;&lt;/EndNote&gt;</w:instrText>
        </w:r>
        <w:r w:rsidR="00ED61F8" w:rsidRPr="00512507">
          <w:fldChar w:fldCharType="separate"/>
        </w:r>
        <w:r w:rsidR="00ED61F8" w:rsidRPr="0006564A">
          <w:rPr>
            <w:noProof/>
            <w:vertAlign w:val="superscript"/>
          </w:rPr>
          <w:t>1</w:t>
        </w:r>
        <w:r w:rsidR="00ED61F8" w:rsidRPr="00512507">
          <w:fldChar w:fldCharType="end"/>
        </w:r>
      </w:hyperlink>
      <w:r w:rsidR="00512507" w:rsidRPr="00512507">
        <w:t xml:space="preserve">. An early, </w:t>
      </w:r>
      <w:r w:rsidR="007E4511">
        <w:t>simple conceptual framework by</w:t>
      </w:r>
      <w:r w:rsidR="00617A18">
        <w:t xml:space="preserve"> </w:t>
      </w:r>
      <w:proofErr w:type="spellStart"/>
      <w:r w:rsidR="00617A18">
        <w:rPr>
          <w:rFonts w:cs="Arial"/>
        </w:rPr>
        <w:t>Ø</w:t>
      </w:r>
      <w:r w:rsidR="00512507" w:rsidRPr="00512507">
        <w:t>vr</w:t>
      </w:r>
      <w:r w:rsidR="004305E3">
        <w:t>e</w:t>
      </w:r>
      <w:r w:rsidR="00512507" w:rsidRPr="00512507">
        <w:t>t</w:t>
      </w:r>
      <w:r w:rsidR="004305E3">
        <w:t>v</w:t>
      </w:r>
      <w:r w:rsidR="00512507" w:rsidRPr="00512507">
        <w:t>eit</w:t>
      </w:r>
      <w:proofErr w:type="spellEnd"/>
      <w:r w:rsidR="00512507" w:rsidRPr="00512507">
        <w:t xml:space="preserve"> et al us</w:t>
      </w:r>
      <w:r w:rsidR="00512507">
        <w:t>ed</w:t>
      </w:r>
      <w:r w:rsidR="00512507" w:rsidRPr="00512507">
        <w:t xml:space="preserve"> the Plan-Do-Study-Act model</w:t>
      </w:r>
      <w:r w:rsidR="00D63F37">
        <w:t xml:space="preserve"> to illustrate commissioning activities</w:t>
      </w:r>
      <w:r w:rsidR="00512507" w:rsidRPr="00512507">
        <w:t xml:space="preserve"> </w:t>
      </w:r>
      <w:hyperlink w:anchor="_ENREF_2" w:tooltip="Ovretveit J, 1995 #1266" w:history="1">
        <w:r w:rsidR="00ED61F8" w:rsidRPr="00512507">
          <w:fldChar w:fldCharType="begin"/>
        </w:r>
        <w:r w:rsidR="00ED61F8">
          <w:instrText xml:space="preserve"> ADDIN EN.CITE &lt;EndNote&gt;&lt;Cite&gt;&lt;Author&gt;J&lt;/Author&gt;&lt;Year&gt;1995&lt;/Year&gt;&lt;RecNum&gt;1266&lt;/RecNum&gt;&lt;DisplayText&gt;&lt;style face="superscript"&gt;2&lt;/style&gt;&lt;/DisplayText&gt;&lt;record&gt;&lt;rec-number&gt;1266&lt;/rec-number&gt;&lt;foreign-keys&gt;&lt;key app="EN" db-id="r2drx9tfh929f5edwpx5vwxqptr9twsart0z" timestamp="1393414027"&gt;1266&lt;/key&gt;&lt;/foreign-keys&gt;&lt;ref-type name="Book"&gt;6&lt;/ref-type&gt;&lt;contributors&gt;&lt;authors&gt;&lt;author&gt;Ovretveit J,&lt;/author&gt;&lt;/authors&gt;&lt;/contributors&gt;&lt;titles&gt;&lt;title&gt;Purchasing for health: A multi-disciplinary introduction to the theory and practice of commissioning&lt;/title&gt;&lt;/titles&gt;&lt;dates&gt;&lt;year&gt;1995&lt;/year&gt;&lt;/dates&gt;&lt;pub-location&gt;Buckingham&lt;/pub-location&gt;&lt;publisher&gt;Open University Press&lt;/publisher&gt;&lt;urls&gt;&lt;/urls&gt;&lt;/record&gt;&lt;/Cite&gt;&lt;/EndNote&gt;</w:instrText>
        </w:r>
        <w:r w:rsidR="00ED61F8" w:rsidRPr="00512507">
          <w:fldChar w:fldCharType="separate"/>
        </w:r>
        <w:r w:rsidR="00ED61F8" w:rsidRPr="0006564A">
          <w:rPr>
            <w:noProof/>
            <w:vertAlign w:val="superscript"/>
          </w:rPr>
          <w:t>2</w:t>
        </w:r>
        <w:r w:rsidR="00ED61F8" w:rsidRPr="00512507">
          <w:fldChar w:fldCharType="end"/>
        </w:r>
      </w:hyperlink>
      <w:r w:rsidR="00B82ED0">
        <w:t>.  T</w:t>
      </w:r>
      <w:r w:rsidR="00512507" w:rsidRPr="00512507">
        <w:t xml:space="preserve">he Department of Health </w:t>
      </w:r>
      <w:r w:rsidR="0045625E">
        <w:t xml:space="preserve">has </w:t>
      </w:r>
      <w:r w:rsidR="00512507" w:rsidRPr="00512507">
        <w:t xml:space="preserve">developed a more </w:t>
      </w:r>
      <w:r w:rsidR="00512507">
        <w:t xml:space="preserve">complicated </w:t>
      </w:r>
      <w:r w:rsidR="00512507" w:rsidRPr="00512507">
        <w:t xml:space="preserve">model </w:t>
      </w:r>
      <w:r w:rsidR="0045625E">
        <w:t xml:space="preserve">which </w:t>
      </w:r>
      <w:r w:rsidR="00512507" w:rsidRPr="00512507">
        <w:t>include</w:t>
      </w:r>
      <w:r w:rsidR="0045625E">
        <w:t>s</w:t>
      </w:r>
      <w:r w:rsidR="00512507" w:rsidRPr="00512507">
        <w:t xml:space="preserve"> assessin</w:t>
      </w:r>
      <w:r w:rsidR="004305E3">
        <w:t xml:space="preserve">g needs, designing services and </w:t>
      </w:r>
      <w:r w:rsidR="00512507" w:rsidRPr="00512507">
        <w:t>managing demand and performance</w:t>
      </w:r>
      <w:r w:rsidR="00512507">
        <w:t xml:space="preserve"> </w:t>
      </w:r>
      <w:hyperlink w:anchor="_ENREF_3" w:tooltip="Department of health, 2006 #1311" w:history="1">
        <w:r w:rsidR="00ED61F8">
          <w:fldChar w:fldCharType="begin"/>
        </w:r>
        <w:r w:rsidR="00ED61F8">
          <w:instrText xml:space="preserve"> ADDIN EN.CITE &lt;EndNote&gt;&lt;Cite&gt;&lt;Author&gt;Department of health&lt;/Author&gt;&lt;Year&gt;2006&lt;/Year&gt;&lt;RecNum&gt;1311&lt;/RecNum&gt;&lt;DisplayText&gt;&lt;style face="superscript"&gt;3&lt;/style&gt;&lt;/DisplayText&gt;&lt;record&gt;&lt;rec-number&gt;1311&lt;/rec-number&gt;&lt;foreign-keys&gt;&lt;key app="EN" db-id="r2drx9tfh929f5edwpx5vwxqptr9twsart0z" timestamp="1406652083"&gt;1311&lt;/key&gt;&lt;/foreign-keys&gt;&lt;ref-type name="Report"&gt;27&lt;/ref-type&gt;&lt;contributors&gt;&lt;authors&gt;&lt;author&gt;Department of health,&lt;/author&gt;&lt;/authors&gt;&lt;/contributors&gt;&lt;titles&gt;&lt;title&gt;Health Reform in England: update and commissioning framework&lt;/title&gt;&lt;/titles&gt;&lt;dates&gt;&lt;year&gt;2006&lt;/year&gt;&lt;/dates&gt;&lt;urls&gt;&lt;related-urls&gt;&lt;url&gt;historical web archive http://www.yhpho.org.uk/default.aspx?RID=10297 accessed 10/3/14&lt;/url&gt;&lt;/related-urls&gt;&lt;/urls&gt;&lt;/record&gt;&lt;/Cite&gt;&lt;/EndNote&gt;</w:instrText>
        </w:r>
        <w:r w:rsidR="00ED61F8">
          <w:fldChar w:fldCharType="separate"/>
        </w:r>
        <w:r w:rsidR="00ED61F8" w:rsidRPr="0006564A">
          <w:rPr>
            <w:noProof/>
            <w:vertAlign w:val="superscript"/>
          </w:rPr>
          <w:t>3</w:t>
        </w:r>
        <w:r w:rsidR="00ED61F8">
          <w:fldChar w:fldCharType="end"/>
        </w:r>
      </w:hyperlink>
      <w:r w:rsidR="00512507" w:rsidRPr="00512507">
        <w:t xml:space="preserve">. </w:t>
      </w:r>
      <w:r w:rsidR="00512507">
        <w:t>Gradually, commissioning has</w:t>
      </w:r>
      <w:r w:rsidR="00D63F37">
        <w:t xml:space="preserve"> become both more complex and</w:t>
      </w:r>
      <w:r w:rsidR="00512507">
        <w:t xml:space="preserve"> better understood. </w:t>
      </w:r>
    </w:p>
    <w:p w:rsidR="00512507" w:rsidRDefault="00512507" w:rsidP="009C528F">
      <w:pPr>
        <w:spacing w:line="480" w:lineRule="auto"/>
      </w:pPr>
    </w:p>
    <w:p w:rsidR="003A4267" w:rsidRDefault="00C86FDA" w:rsidP="009C528F">
      <w:pPr>
        <w:spacing w:line="480" w:lineRule="auto"/>
        <w:rPr>
          <w:rFonts w:eastAsia="Times New Roman" w:cs="Arial"/>
          <w:szCs w:val="24"/>
        </w:rPr>
      </w:pPr>
      <w:r>
        <w:t>A</w:t>
      </w:r>
      <w:r w:rsidR="00875AB9">
        <w:t xml:space="preserve"> growing body of evidence suggests that commissioning is “messy, fragmented and largely accomplished in meetings” </w:t>
      </w:r>
      <w:hyperlink w:anchor="_ENREF_4" w:tooltip="Checkland, 2011 #1262" w:history="1">
        <w:r w:rsidR="00ED61F8">
          <w:fldChar w:fldCharType="begin"/>
        </w:r>
        <w:r w:rsidR="00ED61F8">
          <w:instrText xml:space="preserve"> ADDIN EN.CITE &lt;EndNote&gt;&lt;Cite&gt;&lt;Author&gt;Checkland&lt;/Author&gt;&lt;Year&gt;2011&lt;/Year&gt;&lt;RecNum&gt;1262&lt;/RecNum&gt;&lt;DisplayText&gt;&lt;style face="superscript"&gt;4&lt;/style&gt;&lt;/DisplayText&gt;&lt;record&gt;&lt;rec-number&gt;1262&lt;/rec-number&gt;&lt;foreign-keys&gt;&lt;key app="EN" db-id="r2drx9tfh929f5edwpx5vwxqptr9twsart0z" timestamp="1392044540"&gt;1262&lt;/key&gt;&lt;/foreign-keys&gt;&lt;ref-type name="Report"&gt;27&lt;/ref-type&gt;&lt;contributors&gt;&lt;authors&gt;&lt;author&gt;Checkland, K.&lt;/author&gt;&lt;author&gt;Snow, S.&lt;/author&gt;&lt;author&gt;McDermott, I.&lt;/author&gt;&lt;author&gt;Harrison, S.&lt;/author&gt;&lt;author&gt;Coleman, A.&lt;/author&gt;&lt;/authors&gt;&lt;/contributors&gt;&lt;titles&gt;&lt;title&gt;Management practice in primary care organisations: the roles and behaviours of middle managers and GPs: Final report&lt;/title&gt;&lt;/titles&gt;&lt;dates&gt;&lt;year&gt;2011&lt;/year&gt;&lt;/dates&gt;&lt;publisher&gt;NIHR Service Delivery and Organisation Programme&lt;/publisher&gt;&lt;urls&gt;&lt;/urls&gt;&lt;/record&gt;&lt;/Cite&gt;&lt;/EndNote&gt;</w:instrText>
        </w:r>
        <w:r w:rsidR="00ED61F8">
          <w:fldChar w:fldCharType="separate"/>
        </w:r>
        <w:r w:rsidR="00ED61F8" w:rsidRPr="0006564A">
          <w:rPr>
            <w:noProof/>
            <w:vertAlign w:val="superscript"/>
          </w:rPr>
          <w:t>4</w:t>
        </w:r>
        <w:r w:rsidR="00ED61F8">
          <w:fldChar w:fldCharType="end"/>
        </w:r>
      </w:hyperlink>
      <w:r w:rsidR="00875AB9">
        <w:t xml:space="preserve"> with progress made through “bite sized pieces of work” </w:t>
      </w:r>
      <w:hyperlink w:anchor="_ENREF_5" w:tooltip="Smith, 2013 #1243" w:history="1">
        <w:r w:rsidR="00ED61F8">
          <w:fldChar w:fldCharType="begin"/>
        </w:r>
        <w:r w:rsidR="00ED61F8">
          <w:instrText xml:space="preserve"> ADDIN EN.CITE &lt;EndNote&gt;&lt;Cite&gt;&lt;Author&gt;Smith&lt;/Author&gt;&lt;Year&gt;2013&lt;/Year&gt;&lt;RecNum&gt;1243&lt;/RecNum&gt;&lt;DisplayText&gt;&lt;style face="superscript"&gt;5&lt;/style&gt;&lt;/DisplayText&gt;&lt;record&gt;&lt;rec-number&gt;1243&lt;/rec-number&gt;&lt;foreign-keys&gt;&lt;key app="EN" db-id="r2drx9tfh929f5edwpx5vwxqptr9twsart0z" timestamp="1378726602"&gt;1243&lt;/key&gt;&lt;/foreign-keys&gt;&lt;ref-type name="Report"&gt;27&lt;/ref-type&gt;&lt;contributors&gt;&lt;authors&gt;&lt;author&gt;Smith, J.&lt;/author&gt;&lt;author&gt;Shaw, S.&lt;/author&gt;&lt;author&gt;Porter, A.&lt;/author&gt;&lt;author&gt;Rosen, R.&lt;/author&gt;&lt;author&gt;Blunt, I.&lt;/author&gt;&lt;author&gt;Davies, A.&lt;/author&gt;&lt;author&gt;Eastmure, E.&lt;/author&gt;&lt;author&gt;Mays, N.&lt;/author&gt;&lt;/authors&gt;&lt;/contributors&gt;&lt;titles&gt;&lt;title&gt;Commissioning high quality care for people with long term conditions: An action research study&lt;/title&gt;&lt;/titles&gt;&lt;dates&gt;&lt;year&gt;2013&lt;/year&gt;&lt;/dates&gt;&lt;publisher&gt;NIHR Service Delivery and Organisation Programme&lt;/publisher&gt;&lt;urls&gt;&lt;/urls&gt;&lt;electronic-resource-num&gt;http://www.netscc.ac.uk/hsdr/projdetails.php?ref=08-1806-264&lt;/electronic-resource-num&gt;&lt;/record&gt;&lt;/Cite&gt;&lt;/EndNote&gt;</w:instrText>
        </w:r>
        <w:r w:rsidR="00ED61F8">
          <w:fldChar w:fldCharType="separate"/>
        </w:r>
        <w:r w:rsidR="00ED61F8" w:rsidRPr="0006564A">
          <w:rPr>
            <w:noProof/>
            <w:vertAlign w:val="superscript"/>
          </w:rPr>
          <w:t>5</w:t>
        </w:r>
        <w:r w:rsidR="00ED61F8">
          <w:fldChar w:fldCharType="end"/>
        </w:r>
      </w:hyperlink>
      <w:r w:rsidR="00875AB9">
        <w:t xml:space="preserve">. </w:t>
      </w:r>
      <w:r w:rsidR="00512507">
        <w:t>Moreover, c</w:t>
      </w:r>
      <w:r w:rsidR="009C528F">
        <w:t xml:space="preserve">ommissioning is </w:t>
      </w:r>
      <w:r w:rsidR="00FB08E7">
        <w:t xml:space="preserve">challenging and </w:t>
      </w:r>
      <w:r w:rsidR="009C528F">
        <w:t xml:space="preserve">difficult to do well, regardless of whether the healthcare system is English, European or American </w:t>
      </w:r>
      <w:hyperlink w:anchor="_ENREF_6" w:tooltip="Ham, 2008 #727" w:history="1">
        <w:r w:rsidR="00ED61F8">
          <w:fldChar w:fldCharType="begin"/>
        </w:r>
        <w:r w:rsidR="00ED61F8">
          <w:instrText xml:space="preserve"> ADDIN EN.CITE &lt;EndNote&gt;&lt;Cite&gt;&lt;Author&gt;Ham&lt;/Author&gt;&lt;Year&gt;2008&lt;/Year&gt;&lt;RecNum&gt;727&lt;/RecNum&gt;&lt;DisplayText&gt;&lt;style face="superscript"&gt;6&lt;/style&gt;&lt;/DisplayText&gt;&lt;record&gt;&lt;rec-number&gt;727&lt;/rec-number&gt;&lt;foreign-keys&gt;&lt;key app="EN" db-id="r2drx9tfh929f5edwpx5vwxqptr9twsart0z" timestamp="1354554137"&gt;727&lt;/key&gt;&lt;/foreign-keys&gt;&lt;ref-type name="Journal Article"&gt;17&lt;/ref-type&gt;&lt;contributors&gt;&lt;authors&gt;&lt;author&gt;Ham,C.&lt;/author&gt;&lt;/authors&gt;&lt;/contributors&gt;&lt;titles&gt;&lt;title&gt;&lt;style face="normal" font="AdvOT14b56dbe.B" size="100%"&gt;World class commissioning: a health policy chimera?&lt;/style&gt;&lt;/title&gt;&lt;secondary-title&gt;Journal of Health Services Research &amp;amp; Policy&lt;/secondary-title&gt;&lt;/titles&gt;&lt;periodical&gt;&lt;full-title&gt;Journal of Health Services Research &amp;amp; Policy&lt;/full-title&gt;&lt;/periodical&gt;&lt;pages&gt;116-121&lt;/pages&gt;&lt;volume&gt;13&lt;/volume&gt;&lt;number&gt;2&lt;/number&gt;&lt;reprint-edition&gt;Not in File&lt;/reprint-edition&gt;&lt;keywords&gt;&lt;keyword&gt;commissioning&lt;/keyword&gt;&lt;keyword&gt;decision making&lt;/keyword&gt;&lt;keyword&gt;policy&lt;/keyword&gt;&lt;/keywords&gt;&lt;dates&gt;&lt;year&gt;2008&lt;/year&gt;&lt;pub-dates&gt;&lt;date&gt;2008&lt;/date&gt;&lt;/pub-dates&gt;&lt;/dates&gt;&lt;label&gt;740&lt;/label&gt;&lt;urls&gt;&lt;/urls&gt;&lt;/record&gt;&lt;/Cite&gt;&lt;/EndNote&gt;</w:instrText>
        </w:r>
        <w:r w:rsidR="00ED61F8">
          <w:fldChar w:fldCharType="separate"/>
        </w:r>
        <w:r w:rsidR="00ED61F8" w:rsidRPr="0006564A">
          <w:rPr>
            <w:noProof/>
            <w:vertAlign w:val="superscript"/>
          </w:rPr>
          <w:t>6</w:t>
        </w:r>
        <w:r w:rsidR="00ED61F8">
          <w:fldChar w:fldCharType="end"/>
        </w:r>
      </w:hyperlink>
      <w:r w:rsidR="009C528F">
        <w:t xml:space="preserve">. </w:t>
      </w:r>
      <w:r w:rsidR="0059151C">
        <w:t>In 2007, World Class Commissioning</w:t>
      </w:r>
      <w:r w:rsidR="00A81108">
        <w:t xml:space="preserve"> was introduced</w:t>
      </w:r>
      <w:r w:rsidR="0059151C">
        <w:t xml:space="preserve"> </w:t>
      </w:r>
      <w:r w:rsidR="000D5E5E">
        <w:t xml:space="preserve">in the NHS </w:t>
      </w:r>
      <w:hyperlink w:anchor="_ENREF_7" w:tooltip="Department of Health, 2007 #729" w:history="1">
        <w:r w:rsidR="00ED61F8">
          <w:fldChar w:fldCharType="begin"/>
        </w:r>
        <w:r w:rsidR="00ED61F8">
          <w:instrText xml:space="preserve"> ADDIN EN.CITE &lt;EndNote&gt;&lt;Cite&gt;&lt;Author&gt;Health&lt;/Author&gt;&lt;Year&gt;2007&lt;/Year&gt;&lt;RecNum&gt;729&lt;/RecNum&gt;&lt;DisplayText&gt;&lt;style face="superscript"&gt;7&lt;/style&gt;&lt;/DisplayText&gt;&lt;record&gt;&lt;rec-number&gt;729&lt;/rec-number&gt;&lt;foreign-keys&gt;&lt;key app="EN" db-id="r2drx9tfh929f5edwpx5vwxqptr9twsart0z" timestamp="1354554137"&gt;729&lt;/key&gt;&lt;/foreign-keys&gt;&lt;ref-type name="Report"&gt;27&lt;/ref-type&gt;&lt;contributors&gt;&lt;authors&gt;&lt;author&gt;Department of Health,&lt;/author&gt;&lt;/authors&gt;&lt;/contributors&gt;&lt;titles&gt;&lt;title&gt;World Class Commissioning&lt;/title&gt;&lt;/titles&gt;&lt;keywords&gt;&lt;keyword&gt;commissioning&lt;/keyword&gt;&lt;/keywords&gt;&lt;dates&gt;&lt;year&gt;2007&lt;/year&gt;&lt;/dates&gt;&lt;pub-location&gt;London&lt;/pub-location&gt;&lt;publisher&gt;Department of Health&lt;/publisher&gt;&lt;label&gt;742&lt;/label&gt;&lt;urls&gt;&lt;related-urls&gt;&lt;url&gt;http://webarchive.nationalarchives.gov.uk/&lt;/url&gt;&lt;/related-urls&gt;&lt;/urls&gt;&lt;/record&gt;&lt;/Cite&gt;&lt;/EndNote&gt;</w:instrText>
        </w:r>
        <w:r w:rsidR="00ED61F8">
          <w:fldChar w:fldCharType="separate"/>
        </w:r>
        <w:r w:rsidR="00ED61F8" w:rsidRPr="0006564A">
          <w:rPr>
            <w:noProof/>
            <w:vertAlign w:val="superscript"/>
          </w:rPr>
          <w:t>7</w:t>
        </w:r>
        <w:r w:rsidR="00ED61F8">
          <w:fldChar w:fldCharType="end"/>
        </w:r>
      </w:hyperlink>
      <w:r w:rsidR="00A81108">
        <w:t xml:space="preserve"> along with</w:t>
      </w:r>
      <w:r w:rsidR="0055629F">
        <w:t xml:space="preserve"> </w:t>
      </w:r>
      <w:r w:rsidR="0059151C" w:rsidRPr="00802318">
        <w:t xml:space="preserve">FESC </w:t>
      </w:r>
      <w:r w:rsidR="0059151C" w:rsidRPr="00802318">
        <w:rPr>
          <w:lang w:val="en-US"/>
        </w:rPr>
        <w:t>(Framework for Procuring External Services for Commissioners)</w:t>
      </w:r>
      <w:r w:rsidR="0059151C" w:rsidRPr="00802318">
        <w:t xml:space="preserve"> </w:t>
      </w:r>
      <w:r w:rsidR="00A81108">
        <w:t xml:space="preserve">which </w:t>
      </w:r>
      <w:r w:rsidR="00D63F37">
        <w:t>authorise</w:t>
      </w:r>
      <w:r w:rsidR="00A81108">
        <w:t>d</w:t>
      </w:r>
      <w:r w:rsidR="00456D23">
        <w:t xml:space="preserve"> </w:t>
      </w:r>
      <w:r w:rsidR="008C63A9">
        <w:t>commercial providers</w:t>
      </w:r>
      <w:r w:rsidR="00D63F37">
        <w:t xml:space="preserve"> to</w:t>
      </w:r>
      <w:r w:rsidR="00456D23">
        <w:rPr>
          <w:rFonts w:eastAsia="Times New Roman" w:cs="Arial"/>
          <w:szCs w:val="24"/>
          <w:lang w:val="en-US"/>
        </w:rPr>
        <w:t xml:space="preserve"> </w:t>
      </w:r>
      <w:r w:rsidR="00B82ED0">
        <w:rPr>
          <w:rFonts w:eastAsia="Times New Roman" w:cs="Arial"/>
          <w:szCs w:val="24"/>
          <w:lang w:val="en-US"/>
        </w:rPr>
        <w:t>work with</w:t>
      </w:r>
      <w:r w:rsidR="00013B7C">
        <w:rPr>
          <w:rFonts w:eastAsia="Times New Roman" w:cs="Arial"/>
          <w:szCs w:val="24"/>
          <w:lang w:val="en-US"/>
        </w:rPr>
        <w:t xml:space="preserve"> </w:t>
      </w:r>
      <w:r w:rsidR="0059151C">
        <w:rPr>
          <w:rFonts w:eastAsia="Times New Roman" w:cs="Arial"/>
          <w:szCs w:val="24"/>
          <w:lang w:val="en-US"/>
        </w:rPr>
        <w:t>commission</w:t>
      </w:r>
      <w:r w:rsidR="00B82ED0">
        <w:rPr>
          <w:rFonts w:eastAsia="Times New Roman" w:cs="Arial"/>
          <w:szCs w:val="24"/>
          <w:lang w:val="en-US"/>
        </w:rPr>
        <w:t>ers</w:t>
      </w:r>
      <w:r w:rsidR="00DA342E">
        <w:rPr>
          <w:rFonts w:eastAsia="Times New Roman" w:cs="Arial"/>
          <w:szCs w:val="24"/>
          <w:lang w:val="en-US"/>
        </w:rPr>
        <w:t xml:space="preserve"> </w:t>
      </w:r>
      <w:hyperlink w:anchor="_ENREF_8" w:tooltip="Mooney, 2007 #962" w:history="1">
        <w:r w:rsidR="00ED61F8">
          <w:rPr>
            <w:rFonts w:eastAsia="Times New Roman" w:cs="Arial"/>
            <w:szCs w:val="24"/>
            <w:lang w:val="en-US"/>
          </w:rPr>
          <w:fldChar w:fldCharType="begin"/>
        </w:r>
        <w:r w:rsidR="00ED61F8">
          <w:rPr>
            <w:rFonts w:eastAsia="Times New Roman" w:cs="Arial"/>
            <w:szCs w:val="24"/>
            <w:lang w:val="en-US"/>
          </w:rPr>
          <w:instrText xml:space="preserve"> ADDIN EN.CITE &lt;EndNote&gt;&lt;Cite&gt;&lt;Author&gt;Mooney&lt;/Author&gt;&lt;Year&gt;2007&lt;/Year&gt;&lt;RecNum&gt;962&lt;/RecNum&gt;&lt;DisplayText&gt;&lt;style face="superscript"&gt;8&lt;/style&gt;&lt;/DisplayText&gt;&lt;record&gt;&lt;rec-number&gt;962&lt;/rec-number&gt;&lt;foreign-keys&gt;&lt;key app="EN" db-id="r2drx9tfh929f5edwpx5vwxqptr9twsart0z" timestamp="1354554141"&gt;962&lt;/key&gt;&lt;/foreign-keys&gt;&lt;ref-type name="Journal Article"&gt;17&lt;/ref-type&gt;&lt;contributors&gt;&lt;authors&gt;&lt;author&gt;Mooney,H.&lt;/author&gt;&lt;/authors&gt;&lt;/contributors&gt;&lt;titles&gt;&lt;title&gt;HSJ commissioning supplement: an in-depth look at FESC&lt;/title&gt;&lt;secondary-title&gt;Health Service Journal&lt;/secondary-title&gt;&lt;/titles&gt;&lt;periodical&gt;&lt;full-title&gt;Health Service Journal&lt;/full-title&gt;&lt;/periodical&gt;&lt;reprint-edition&gt;Not in File&lt;/reprint-edition&gt;&lt;keywords&gt;&lt;keyword&gt;commissioning&lt;/keyword&gt;&lt;/keywords&gt;&lt;dates&gt;&lt;year&gt;2007&lt;/year&gt;&lt;pub-dates&gt;&lt;date&gt;11/1/2007&lt;/date&gt;&lt;/pub-dates&gt;&lt;/dates&gt;&lt;label&gt;993&lt;/label&gt;&lt;urls&gt;&lt;/urls&gt;&lt;/record&gt;&lt;/Cite&gt;&lt;/EndNote&gt;</w:instrText>
        </w:r>
        <w:r w:rsidR="00ED61F8">
          <w:rPr>
            <w:rFonts w:eastAsia="Times New Roman" w:cs="Arial"/>
            <w:szCs w:val="24"/>
            <w:lang w:val="en-US"/>
          </w:rPr>
          <w:fldChar w:fldCharType="separate"/>
        </w:r>
        <w:r w:rsidR="00ED61F8" w:rsidRPr="0006564A">
          <w:rPr>
            <w:rFonts w:eastAsia="Times New Roman" w:cs="Arial"/>
            <w:noProof/>
            <w:szCs w:val="24"/>
            <w:vertAlign w:val="superscript"/>
            <w:lang w:val="en-US"/>
          </w:rPr>
          <w:t>8</w:t>
        </w:r>
        <w:r w:rsidR="00ED61F8">
          <w:rPr>
            <w:rFonts w:eastAsia="Times New Roman" w:cs="Arial"/>
            <w:szCs w:val="24"/>
            <w:lang w:val="en-US"/>
          </w:rPr>
          <w:fldChar w:fldCharType="end"/>
        </w:r>
      </w:hyperlink>
      <w:r w:rsidR="0059151C">
        <w:rPr>
          <w:rFonts w:eastAsia="Times New Roman" w:cs="Arial"/>
          <w:szCs w:val="24"/>
          <w:lang w:val="en-US"/>
        </w:rPr>
        <w:t>.</w:t>
      </w:r>
      <w:r w:rsidR="008C63A9">
        <w:rPr>
          <w:rFonts w:eastAsia="Times New Roman" w:cs="Arial"/>
          <w:szCs w:val="24"/>
          <w:lang w:val="en-US"/>
        </w:rPr>
        <w:t xml:space="preserve"> With the advent of the Coalition government</w:t>
      </w:r>
      <w:r>
        <w:rPr>
          <w:rFonts w:eastAsia="Times New Roman" w:cs="Arial"/>
          <w:szCs w:val="24"/>
          <w:lang w:val="en-US"/>
        </w:rPr>
        <w:t xml:space="preserve"> in 2010</w:t>
      </w:r>
      <w:r w:rsidR="008C63A9">
        <w:rPr>
          <w:rFonts w:eastAsia="Times New Roman" w:cs="Arial"/>
          <w:szCs w:val="24"/>
          <w:lang w:val="en-US"/>
        </w:rPr>
        <w:t xml:space="preserve">, FESC was dissolved but </w:t>
      </w:r>
      <w:r w:rsidR="00B82ED0">
        <w:rPr>
          <w:rFonts w:eastAsia="Times New Roman" w:cs="Arial"/>
          <w:szCs w:val="24"/>
          <w:lang w:val="en-US"/>
        </w:rPr>
        <w:t xml:space="preserve">the Lead Provider framework for </w:t>
      </w:r>
      <w:r w:rsidR="008C63A9">
        <w:rPr>
          <w:rFonts w:eastAsia="Times New Roman" w:cs="Arial"/>
          <w:szCs w:val="24"/>
          <w:lang w:val="en-US"/>
        </w:rPr>
        <w:t xml:space="preserve">commercial and other external providers such as </w:t>
      </w:r>
      <w:r w:rsidR="00D63F37">
        <w:rPr>
          <w:rFonts w:eastAsia="Times New Roman" w:cs="Arial"/>
          <w:szCs w:val="24"/>
          <w:lang w:val="en-US"/>
        </w:rPr>
        <w:t>c</w:t>
      </w:r>
      <w:r w:rsidR="008C63A9">
        <w:rPr>
          <w:rFonts w:eastAsia="Times New Roman" w:cs="Arial"/>
          <w:szCs w:val="24"/>
          <w:lang w:val="en-US"/>
        </w:rPr>
        <w:t xml:space="preserve">ommissioning </w:t>
      </w:r>
      <w:r w:rsidR="00D63F37">
        <w:rPr>
          <w:rFonts w:eastAsia="Times New Roman" w:cs="Arial"/>
          <w:szCs w:val="24"/>
          <w:lang w:val="en-US"/>
        </w:rPr>
        <w:t>s</w:t>
      </w:r>
      <w:r w:rsidR="008C63A9">
        <w:rPr>
          <w:rFonts w:eastAsia="Times New Roman" w:cs="Arial"/>
          <w:szCs w:val="24"/>
          <w:lang w:val="en-US"/>
        </w:rPr>
        <w:t xml:space="preserve">upport </w:t>
      </w:r>
      <w:r w:rsidR="00D63F37">
        <w:rPr>
          <w:rFonts w:eastAsia="Times New Roman" w:cs="Arial"/>
          <w:szCs w:val="24"/>
          <w:lang w:val="en-US"/>
        </w:rPr>
        <w:t>u</w:t>
      </w:r>
      <w:r w:rsidR="008C63A9">
        <w:rPr>
          <w:rFonts w:eastAsia="Times New Roman" w:cs="Arial"/>
          <w:szCs w:val="24"/>
          <w:lang w:val="en-US"/>
        </w:rPr>
        <w:t xml:space="preserve">nits </w:t>
      </w:r>
      <w:r w:rsidR="00B82ED0">
        <w:rPr>
          <w:rFonts w:eastAsia="Times New Roman" w:cs="Arial"/>
          <w:szCs w:val="24"/>
          <w:lang w:val="en-US"/>
        </w:rPr>
        <w:t xml:space="preserve">has taken its place </w:t>
      </w:r>
      <w:hyperlink w:anchor="_ENREF_9" w:tooltip="Welikala J, 6 August 2014 #1315" w:history="1">
        <w:r w:rsidR="00ED61F8">
          <w:rPr>
            <w:rFonts w:eastAsia="Times New Roman" w:cs="Arial"/>
            <w:szCs w:val="24"/>
            <w:lang w:val="en-US"/>
          </w:rPr>
          <w:fldChar w:fldCharType="begin"/>
        </w:r>
        <w:r w:rsidR="00ED61F8">
          <w:rPr>
            <w:rFonts w:eastAsia="Times New Roman" w:cs="Arial"/>
            <w:szCs w:val="24"/>
            <w:lang w:val="en-US"/>
          </w:rPr>
          <w:instrText xml:space="preserve"> ADDIN EN.CITE &lt;EndNote&gt;&lt;Cite&gt;&lt;Author&gt;Welikala J&lt;/Author&gt;&lt;Year&gt;6 August 2014&lt;/Year&gt;&lt;RecNum&gt;1315&lt;/RecNum&gt;&lt;DisplayText&gt;&lt;style face="superscript"&gt;9&lt;/style&gt;&lt;/DisplayText&gt;&lt;record&gt;&lt;rec-number&gt;1315&lt;/rec-number&gt;&lt;foreign-keys&gt;&lt;key app="EN" db-id="r2drx9tfh929f5edwpx5vwxqptr9twsart0z" timestamp="1408728410"&gt;1315&lt;/key&gt;&lt;/foreign-keys&gt;&lt;ref-type name="Journal Article"&gt;17&lt;/ref-type&gt;&lt;contributors&gt;&lt;authors&gt;&lt;author&gt;Welikala J,&lt;/author&gt;&lt;/authors&gt;&lt;/contributors&gt;&lt;titles&gt;&lt;title&gt;Private firms and local authorities in running to provide commissioning support&lt;/title&gt;&lt;secondary-title&gt;Health Service Journal&lt;/secondary-title&gt;&lt;/titles&gt;&lt;periodical&gt;&lt;full-title&gt;Health Service Journal&lt;/full-title&gt;&lt;/periodical&gt;&lt;dates&gt;&lt;year&gt;6 August 2014&lt;/year&gt;&lt;/dates&gt;&lt;urls&gt;&lt;/urls&gt;&lt;/record&gt;&lt;/Cite&gt;&lt;/EndNote&gt;</w:instrText>
        </w:r>
        <w:r w:rsidR="00ED61F8">
          <w:rPr>
            <w:rFonts w:eastAsia="Times New Roman" w:cs="Arial"/>
            <w:szCs w:val="24"/>
            <w:lang w:val="en-US"/>
          </w:rPr>
          <w:fldChar w:fldCharType="separate"/>
        </w:r>
        <w:r w:rsidR="00ED61F8" w:rsidRPr="0006564A">
          <w:rPr>
            <w:rFonts w:eastAsia="Times New Roman" w:cs="Arial"/>
            <w:noProof/>
            <w:szCs w:val="24"/>
            <w:vertAlign w:val="superscript"/>
            <w:lang w:val="en-US"/>
          </w:rPr>
          <w:t>9</w:t>
        </w:r>
        <w:r w:rsidR="00ED61F8">
          <w:rPr>
            <w:rFonts w:eastAsia="Times New Roman" w:cs="Arial"/>
            <w:szCs w:val="24"/>
            <w:lang w:val="en-US"/>
          </w:rPr>
          <w:fldChar w:fldCharType="end"/>
        </w:r>
      </w:hyperlink>
      <w:r w:rsidR="008C63A9">
        <w:rPr>
          <w:rFonts w:eastAsia="Times New Roman" w:cs="Arial"/>
          <w:szCs w:val="24"/>
          <w:lang w:val="en-US"/>
        </w:rPr>
        <w:t xml:space="preserve">. </w:t>
      </w:r>
      <w:r w:rsidR="00A81108">
        <w:rPr>
          <w:rFonts w:eastAsia="Times New Roman" w:cs="Arial"/>
          <w:szCs w:val="24"/>
          <w:lang w:val="en-US"/>
        </w:rPr>
        <w:t>The assumption with all t</w:t>
      </w:r>
      <w:r w:rsidR="003A4267" w:rsidRPr="003A4267">
        <w:rPr>
          <w:rFonts w:eastAsia="Times New Roman" w:cs="Arial"/>
          <w:szCs w:val="24"/>
          <w:lang w:val="en-US"/>
        </w:rPr>
        <w:t xml:space="preserve">hese initiatives is that use of external providers will </w:t>
      </w:r>
      <w:r w:rsidR="00C72329">
        <w:rPr>
          <w:rFonts w:eastAsia="Times New Roman" w:cs="Arial"/>
          <w:szCs w:val="24"/>
          <w:lang w:val="en-US"/>
        </w:rPr>
        <w:t xml:space="preserve">lead to higher quality </w:t>
      </w:r>
      <w:r w:rsidR="003A4267" w:rsidRPr="003A4267">
        <w:rPr>
          <w:rFonts w:eastAsia="Times New Roman" w:cs="Arial"/>
          <w:szCs w:val="24"/>
          <w:lang w:val="en-US"/>
        </w:rPr>
        <w:t xml:space="preserve">commissioning </w:t>
      </w:r>
      <w:r w:rsidR="003A4267" w:rsidRPr="003A4267">
        <w:rPr>
          <w:rFonts w:eastAsia="Times New Roman" w:cs="Arial"/>
          <w:szCs w:val="24"/>
          <w:lang w:val="en-US"/>
        </w:rPr>
        <w:fldChar w:fldCharType="begin"/>
      </w:r>
      <w:r w:rsidR="0006564A">
        <w:rPr>
          <w:rFonts w:eastAsia="Times New Roman" w:cs="Arial"/>
          <w:szCs w:val="24"/>
          <w:lang w:val="en-US"/>
        </w:rPr>
        <w:instrText xml:space="preserve"> ADDIN EN.CITE &lt;EndNote&gt;&lt;Cite&gt;&lt;Author&gt;Mooney&lt;/Author&gt;&lt;Year&gt;2007&lt;/Year&gt;&lt;RecNum&gt;962&lt;/RecNum&gt;&lt;DisplayText&gt;&lt;style face="superscript"&gt;8 10&lt;/style&gt;&lt;/DisplayText&gt;&lt;record&gt;&lt;rec-number&gt;962&lt;/rec-number&gt;&lt;foreign-keys&gt;&lt;key app="EN" db-id="r2drx9tfh929f5edwpx5vwxqptr9twsart0z" timestamp="1354554141"&gt;962&lt;/key&gt;&lt;/foreign-keys&gt;&lt;ref-type name="Journal Article"&gt;17&lt;/ref-type&gt;&lt;contributors&gt;&lt;authors&gt;&lt;author&gt;Mooney,H.&lt;/author&gt;&lt;/authors&gt;&lt;/contributors&gt;&lt;titles&gt;&lt;title&gt;HSJ commissioning supplement: an in-depth look at FESC&lt;/title&gt;&lt;secondary-title&gt;Health Service Journal&lt;/secondary-title&gt;&lt;/titles&gt;&lt;periodical&gt;&lt;full-title&gt;Health Service Journal&lt;/full-title&gt;&lt;/periodical&gt;&lt;reprint-edition&gt;Not in File&lt;/reprint-edition&gt;&lt;keywords&gt;&lt;keyword&gt;commissioning&lt;/keyword&gt;&lt;/keywords&gt;&lt;dates&gt;&lt;year&gt;2007&lt;/year&gt;&lt;pub-dates&gt;&lt;date&gt;11/1/2007&lt;/date&gt;&lt;/pub-dates&gt;&lt;/dates&gt;&lt;label&gt;993&lt;/label&gt;&lt;urls&gt;&lt;/urls&gt;&lt;/record&gt;&lt;/Cite&gt;&lt;Cite&gt;&lt;Author&gt;NHS England&lt;/Author&gt;&lt;Year&gt;2014&lt;/Year&gt;&lt;RecNum&gt;1279&lt;/RecNum&gt;&lt;record&gt;&lt;rec-number&gt;1279&lt;/rec-number&gt;&lt;foreign-keys&gt;&lt;key app="EN" db-id="r2drx9tfh929f5edwpx5vwxqptr9twsart0z" timestamp="1394623130"&gt;1279&lt;/key&gt;&lt;/foreign-keys&gt;&lt;ref-type name="Web Page"&gt;12&lt;/ref-type&gt;&lt;contributors&gt;&lt;authors&gt;&lt;author&gt;NHS England,&lt;/author&gt;&lt;/authors&gt;&lt;/contributors&gt;&lt;titles&gt;&lt;title&gt;Lead provider framework&lt;/title&gt;&lt;/titles&gt;&lt;number&gt;accessed 12 March 2014&lt;/number&gt;&lt;dates&gt;&lt;year&gt;2014&lt;/year&gt;&lt;/dates&gt;&lt;pub-location&gt;Redditch&lt;/pub-location&gt;&lt;publisher&gt;NHS England&lt;/publisher&gt;&lt;isbn&gt;http://www.england.nhs.uk/ourwork/commissioning/comm-supp/ld-prov-frwrk/&lt;/isbn&gt;&lt;urls&gt;&lt;related-urls&gt;&lt;url&gt;http://www.england.nhs.uk/ourwork/commissioning/comm-supp/ld-prov-frwrk/&lt;/url&gt;&lt;/related-urls&gt;&lt;/urls&gt;&lt;electronic-resource-num&gt;http://www.england.nhs.uk/ourwork/commissioning/comm-supp/ld-prov-frwrk/&lt;/electronic-resource-num&gt;&lt;/record&gt;&lt;/Cite&gt;&lt;/EndNote&gt;</w:instrText>
      </w:r>
      <w:r w:rsidR="003A4267" w:rsidRPr="003A4267">
        <w:rPr>
          <w:rFonts w:eastAsia="Times New Roman" w:cs="Arial"/>
          <w:szCs w:val="24"/>
          <w:lang w:val="en-US"/>
        </w:rPr>
        <w:fldChar w:fldCharType="separate"/>
      </w:r>
      <w:hyperlink w:anchor="_ENREF_8" w:tooltip="Mooney, 2007 #962" w:history="1">
        <w:r w:rsidR="00ED61F8" w:rsidRPr="0006564A">
          <w:rPr>
            <w:rFonts w:eastAsia="Times New Roman" w:cs="Arial"/>
            <w:noProof/>
            <w:szCs w:val="24"/>
            <w:vertAlign w:val="superscript"/>
            <w:lang w:val="en-US"/>
          </w:rPr>
          <w:t>8</w:t>
        </w:r>
      </w:hyperlink>
      <w:r w:rsidR="0006564A" w:rsidRPr="0006564A">
        <w:rPr>
          <w:rFonts w:eastAsia="Times New Roman" w:cs="Arial"/>
          <w:noProof/>
          <w:szCs w:val="24"/>
          <w:vertAlign w:val="superscript"/>
          <w:lang w:val="en-US"/>
        </w:rPr>
        <w:t xml:space="preserve"> </w:t>
      </w:r>
      <w:hyperlink w:anchor="_ENREF_10" w:tooltip="NHS England, 2014 #1279" w:history="1">
        <w:r w:rsidR="00ED61F8" w:rsidRPr="0006564A">
          <w:rPr>
            <w:rFonts w:eastAsia="Times New Roman" w:cs="Arial"/>
            <w:noProof/>
            <w:szCs w:val="24"/>
            <w:vertAlign w:val="superscript"/>
            <w:lang w:val="en-US"/>
          </w:rPr>
          <w:t>10</w:t>
        </w:r>
      </w:hyperlink>
      <w:r w:rsidR="003A4267" w:rsidRPr="003A4267">
        <w:rPr>
          <w:rFonts w:eastAsia="Times New Roman" w:cs="Arial"/>
          <w:szCs w:val="24"/>
          <w:lang w:val="en-US"/>
        </w:rPr>
        <w:fldChar w:fldCharType="end"/>
      </w:r>
      <w:r w:rsidR="003A4267" w:rsidRPr="003A4267">
        <w:rPr>
          <w:rFonts w:eastAsia="Times New Roman" w:cs="Arial"/>
          <w:szCs w:val="24"/>
          <w:lang w:val="en-US"/>
        </w:rPr>
        <w:t xml:space="preserve">. </w:t>
      </w:r>
      <w:r w:rsidR="003A4267" w:rsidRPr="003A4267">
        <w:rPr>
          <w:rFonts w:eastAsia="Times New Roman" w:cs="Arial"/>
          <w:szCs w:val="24"/>
        </w:rPr>
        <w:t xml:space="preserve">However, despite an estimated £308.5 million received by </w:t>
      </w:r>
      <w:r w:rsidR="00A81108">
        <w:rPr>
          <w:rFonts w:eastAsia="Times New Roman" w:cs="Arial"/>
          <w:szCs w:val="24"/>
        </w:rPr>
        <w:t xml:space="preserve">external </w:t>
      </w:r>
      <w:r w:rsidR="003A4267" w:rsidRPr="003A4267">
        <w:rPr>
          <w:rFonts w:eastAsia="Times New Roman" w:cs="Arial"/>
          <w:szCs w:val="24"/>
        </w:rPr>
        <w:t xml:space="preserve">management consultants from the NHS in 2007-2008 </w:t>
      </w:r>
      <w:hyperlink w:anchor="_ENREF_11" w:tooltip="House of Commons Select Committee, 2009 #1303" w:history="1">
        <w:r w:rsidR="00ED61F8" w:rsidRPr="003A4267">
          <w:rPr>
            <w:rFonts w:eastAsia="Times New Roman" w:cs="Arial"/>
            <w:szCs w:val="24"/>
          </w:rPr>
          <w:fldChar w:fldCharType="begin"/>
        </w:r>
        <w:r w:rsidR="00ED61F8">
          <w:rPr>
            <w:rFonts w:eastAsia="Times New Roman" w:cs="Arial"/>
            <w:szCs w:val="24"/>
          </w:rPr>
          <w:instrText xml:space="preserve"> ADDIN EN.CITE &lt;EndNote&gt;&lt;Cite&gt;&lt;Author&gt;House of Commons Select Committee&lt;/Author&gt;&lt;Year&gt;2009&lt;/Year&gt;&lt;RecNum&gt;1303&lt;/RecNum&gt;&lt;DisplayText&gt;&lt;style face="superscript"&gt;11&lt;/style&gt;&lt;/DisplayText&gt;&lt;record&gt;&lt;rec-number&gt;1303&lt;/rec-number&gt;&lt;foreign-keys&gt;&lt;key app="EN" db-id="r2drx9tfh929f5edwpx5vwxqptr9twsart0z" timestamp="1403880997"&gt;1303&lt;/key&gt;&lt;/foreign-keys&gt;&lt;ref-type name="Report"&gt;27&lt;/ref-type&gt;&lt;contributors&gt;&lt;authors&gt;&lt;author&gt;House of Commons Select Committee,&lt;/author&gt;&lt;/authors&gt;&lt;/contributors&gt;&lt;titles&gt;&lt;title&gt;The use of management consultants by the NHS and the Department of Health: Fifth report of the 2008-2009 session. &lt;/title&gt;&lt;/titles&gt;&lt;dates&gt;&lt;year&gt;2009&lt;/year&gt;&lt;/dates&gt;&lt;pub-location&gt;London&lt;/pub-location&gt;&lt;publisher&gt;The Stationery Office&lt;/publisher&gt;&lt;urls&gt;&lt;/urls&gt;&lt;/record&gt;&lt;/Cite&gt;&lt;/EndNote&gt;</w:instrText>
        </w:r>
        <w:r w:rsidR="00ED61F8" w:rsidRPr="003A4267">
          <w:rPr>
            <w:rFonts w:eastAsia="Times New Roman" w:cs="Arial"/>
            <w:szCs w:val="24"/>
          </w:rPr>
          <w:fldChar w:fldCharType="separate"/>
        </w:r>
        <w:r w:rsidR="00ED61F8" w:rsidRPr="0006564A">
          <w:rPr>
            <w:rFonts w:eastAsia="Times New Roman" w:cs="Arial"/>
            <w:noProof/>
            <w:szCs w:val="24"/>
            <w:vertAlign w:val="superscript"/>
          </w:rPr>
          <w:t>11</w:t>
        </w:r>
        <w:r w:rsidR="00ED61F8" w:rsidRPr="003A4267">
          <w:rPr>
            <w:rFonts w:eastAsia="Times New Roman" w:cs="Arial"/>
            <w:szCs w:val="24"/>
            <w:lang w:val="en-US"/>
          </w:rPr>
          <w:fldChar w:fldCharType="end"/>
        </w:r>
      </w:hyperlink>
      <w:r w:rsidR="003A4267" w:rsidRPr="003A4267">
        <w:rPr>
          <w:rFonts w:eastAsia="Times New Roman" w:cs="Arial"/>
          <w:szCs w:val="24"/>
        </w:rPr>
        <w:t xml:space="preserve">, there </w:t>
      </w:r>
      <w:r w:rsidR="00A81108">
        <w:rPr>
          <w:rFonts w:eastAsia="Times New Roman" w:cs="Arial"/>
          <w:szCs w:val="24"/>
        </w:rPr>
        <w:lastRenderedPageBreak/>
        <w:t>remains</w:t>
      </w:r>
      <w:r w:rsidR="003A4267" w:rsidRPr="003A4267">
        <w:rPr>
          <w:rFonts w:eastAsia="Times New Roman" w:cs="Arial"/>
          <w:szCs w:val="24"/>
        </w:rPr>
        <w:t xml:space="preserve"> scepticism</w:t>
      </w:r>
      <w:r w:rsidR="00A81108">
        <w:rPr>
          <w:rFonts w:eastAsia="Times New Roman" w:cs="Arial"/>
          <w:szCs w:val="24"/>
        </w:rPr>
        <w:t xml:space="preserve"> about the benefits of using these services</w:t>
      </w:r>
      <w:r w:rsidR="003A4267" w:rsidRPr="003A4267">
        <w:rPr>
          <w:rFonts w:eastAsia="Times New Roman" w:cs="Arial"/>
          <w:szCs w:val="24"/>
        </w:rPr>
        <w:t xml:space="preserve">. For example a </w:t>
      </w:r>
      <w:r w:rsidR="003A4267" w:rsidRPr="003A4267">
        <w:rPr>
          <w:rFonts w:eastAsia="Times New Roman" w:cs="Arial"/>
          <w:i/>
          <w:szCs w:val="24"/>
        </w:rPr>
        <w:t>Health Service Journal</w:t>
      </w:r>
      <w:r w:rsidR="003A4267" w:rsidRPr="003A4267">
        <w:rPr>
          <w:rFonts w:eastAsia="Times New Roman" w:cs="Arial"/>
          <w:szCs w:val="24"/>
        </w:rPr>
        <w:t xml:space="preserve"> survey of 93 senior commissioning directors found that nearly half thought that commercial consultants would make only a “little” difference </w:t>
      </w:r>
      <w:hyperlink w:anchor="_ENREF_8" w:tooltip="Mooney, 2007 #962" w:history="1">
        <w:r w:rsidR="00ED61F8" w:rsidRPr="003A4267">
          <w:rPr>
            <w:rFonts w:eastAsia="Times New Roman" w:cs="Arial"/>
            <w:szCs w:val="24"/>
          </w:rPr>
          <w:fldChar w:fldCharType="begin"/>
        </w:r>
        <w:r w:rsidR="00ED61F8">
          <w:rPr>
            <w:rFonts w:eastAsia="Times New Roman" w:cs="Arial"/>
            <w:szCs w:val="24"/>
          </w:rPr>
          <w:instrText xml:space="preserve"> ADDIN EN.CITE &lt;EndNote&gt;&lt;Cite&gt;&lt;Author&gt;Mooney&lt;/Author&gt;&lt;Year&gt;2007&lt;/Year&gt;&lt;RecNum&gt;962&lt;/RecNum&gt;&lt;DisplayText&gt;&lt;style face="superscript"&gt;8&lt;/style&gt;&lt;/DisplayText&gt;&lt;record&gt;&lt;rec-number&gt;962&lt;/rec-number&gt;&lt;foreign-keys&gt;&lt;key app="EN" db-id="r2drx9tfh929f5edwpx5vwxqptr9twsart0z" timestamp="1354554141"&gt;962&lt;/key&gt;&lt;/foreign-keys&gt;&lt;ref-type name="Journal Article"&gt;17&lt;/ref-type&gt;&lt;contributors&gt;&lt;authors&gt;&lt;author&gt;Mooney,H.&lt;/author&gt;&lt;/authors&gt;&lt;/contributors&gt;&lt;titles&gt;&lt;title&gt;HSJ commissioning supplement: an in-depth look at FESC&lt;/title&gt;&lt;secondary-title&gt;Health Service Journal&lt;/secondary-title&gt;&lt;/titles&gt;&lt;periodical&gt;&lt;full-title&gt;Health Service Journal&lt;/full-title&gt;&lt;/periodical&gt;&lt;reprint-edition&gt;Not in File&lt;/reprint-edition&gt;&lt;keywords&gt;&lt;keyword&gt;commissioning&lt;/keyword&gt;&lt;/keywords&gt;&lt;dates&gt;&lt;year&gt;2007&lt;/year&gt;&lt;pub-dates&gt;&lt;date&gt;11/1/2007&lt;/date&gt;&lt;/pub-dates&gt;&lt;/dates&gt;&lt;label&gt;993&lt;/label&gt;&lt;urls&gt;&lt;/urls&gt;&lt;/record&gt;&lt;/Cite&gt;&lt;/EndNote&gt;</w:instrText>
        </w:r>
        <w:r w:rsidR="00ED61F8" w:rsidRPr="003A4267">
          <w:rPr>
            <w:rFonts w:eastAsia="Times New Roman" w:cs="Arial"/>
            <w:szCs w:val="24"/>
          </w:rPr>
          <w:fldChar w:fldCharType="separate"/>
        </w:r>
        <w:r w:rsidR="00ED61F8" w:rsidRPr="0006564A">
          <w:rPr>
            <w:rFonts w:eastAsia="Times New Roman" w:cs="Arial"/>
            <w:noProof/>
            <w:szCs w:val="24"/>
            <w:vertAlign w:val="superscript"/>
          </w:rPr>
          <w:t>8</w:t>
        </w:r>
        <w:r w:rsidR="00ED61F8" w:rsidRPr="003A4267">
          <w:rPr>
            <w:rFonts w:eastAsia="Times New Roman" w:cs="Arial"/>
            <w:szCs w:val="24"/>
            <w:lang w:val="en-US"/>
          </w:rPr>
          <w:fldChar w:fldCharType="end"/>
        </w:r>
      </w:hyperlink>
      <w:r w:rsidR="003A4267" w:rsidRPr="003A4267">
        <w:rPr>
          <w:rFonts w:eastAsia="Times New Roman" w:cs="Arial"/>
          <w:szCs w:val="24"/>
        </w:rPr>
        <w:t>.</w:t>
      </w:r>
      <w:r w:rsidR="00D63F37">
        <w:rPr>
          <w:rFonts w:eastAsia="Times New Roman" w:cs="Arial"/>
          <w:szCs w:val="24"/>
        </w:rPr>
        <w:t xml:space="preserve"> </w:t>
      </w:r>
    </w:p>
    <w:p w:rsidR="00C72329" w:rsidRPr="00C72329" w:rsidRDefault="00C72329" w:rsidP="009C528F">
      <w:pPr>
        <w:spacing w:line="480" w:lineRule="auto"/>
        <w:rPr>
          <w:rFonts w:eastAsia="Times New Roman" w:cs="Arial"/>
          <w:szCs w:val="24"/>
        </w:rPr>
      </w:pPr>
    </w:p>
    <w:p w:rsidR="00717B10" w:rsidRDefault="00617A18" w:rsidP="00D23537">
      <w:pPr>
        <w:spacing w:line="480" w:lineRule="auto"/>
        <w:rPr>
          <w:rFonts w:eastAsia="Times New Roman" w:cs="Arial"/>
          <w:szCs w:val="24"/>
        </w:rPr>
      </w:pPr>
      <w:r>
        <w:rPr>
          <w:rFonts w:eastAsia="Times New Roman" w:cs="Arial"/>
          <w:szCs w:val="24"/>
        </w:rPr>
        <w:t xml:space="preserve">Nonetheless, </w:t>
      </w:r>
      <w:r w:rsidR="00C72329">
        <w:rPr>
          <w:rFonts w:eastAsia="Times New Roman" w:cs="Arial"/>
          <w:szCs w:val="24"/>
        </w:rPr>
        <w:t xml:space="preserve">the terrain for </w:t>
      </w:r>
      <w:r w:rsidR="00A81108">
        <w:rPr>
          <w:rFonts w:eastAsia="Times New Roman" w:cs="Arial"/>
          <w:szCs w:val="24"/>
        </w:rPr>
        <w:t xml:space="preserve">external provision in the NHS </w:t>
      </w:r>
      <w:r w:rsidR="00C72329">
        <w:rPr>
          <w:rFonts w:eastAsia="Times New Roman" w:cs="Arial"/>
          <w:szCs w:val="24"/>
        </w:rPr>
        <w:t xml:space="preserve">has become even more favourable. </w:t>
      </w:r>
      <w:r w:rsidR="003A4267" w:rsidRPr="003A4267">
        <w:rPr>
          <w:rFonts w:eastAsia="Times New Roman" w:cs="Arial"/>
          <w:szCs w:val="24"/>
        </w:rPr>
        <w:t xml:space="preserve">The White Paper </w:t>
      </w:r>
      <w:r w:rsidR="003A4267" w:rsidRPr="003A4267">
        <w:rPr>
          <w:rFonts w:eastAsia="Times New Roman" w:cs="Arial"/>
          <w:i/>
          <w:szCs w:val="24"/>
        </w:rPr>
        <w:t>Liberating the NHS</w:t>
      </w:r>
      <w:r w:rsidR="003A4267" w:rsidRPr="003A4267">
        <w:rPr>
          <w:rFonts w:eastAsia="Times New Roman" w:cs="Arial"/>
          <w:szCs w:val="24"/>
        </w:rPr>
        <w:t xml:space="preserve"> </w:t>
      </w:r>
      <w:hyperlink w:anchor="_ENREF_12" w:tooltip="Department of Health, 2010 #1017" w:history="1">
        <w:r w:rsidR="00ED61F8" w:rsidRPr="003A4267">
          <w:rPr>
            <w:rFonts w:eastAsia="Times New Roman" w:cs="Arial"/>
            <w:szCs w:val="24"/>
          </w:rPr>
          <w:fldChar w:fldCharType="begin"/>
        </w:r>
        <w:r w:rsidR="00ED61F8">
          <w:rPr>
            <w:rFonts w:eastAsia="Times New Roman" w:cs="Arial"/>
            <w:szCs w:val="24"/>
          </w:rPr>
          <w:instrText xml:space="preserve"> ADDIN EN.CITE &lt;EndNote&gt;&lt;Cite&gt;&lt;Author&gt;Department of Health&lt;/Author&gt;&lt;Year&gt;2010&lt;/Year&gt;&lt;RecNum&gt;1017&lt;/RecNum&gt;&lt;DisplayText&gt;&lt;style face="superscript"&gt;12&lt;/style&gt;&lt;/DisplayText&gt;&lt;record&gt;&lt;rec-number&gt;1017&lt;/rec-number&gt;&lt;foreign-keys&gt;&lt;key app="EN" db-id="r2drx9tfh929f5edwpx5vwxqptr9twsart0z" timestamp="1354554142"&gt;1017&lt;/key&gt;&lt;/foreign-keys&gt;&lt;ref-type name="Report"&gt;27&lt;/ref-type&gt;&lt;contributors&gt;&lt;authors&gt;&lt;author&gt;Department of Health,&lt;/author&gt;&lt;/authors&gt;&lt;tertiary-authors&gt;&lt;author&gt;Department of Health&lt;/author&gt;&lt;/tertiary-authors&gt;&lt;/contributors&gt;&lt;titles&gt;&lt;title&gt;Liberating the NHS&lt;/title&gt;&lt;/titles&gt;&lt;dates&gt;&lt;year&gt;2010&lt;/year&gt;&lt;/dates&gt;&lt;pub-location&gt;London&lt;/pub-location&gt;&lt;publisher&gt;Department of Health&lt;/publisher&gt;&lt;label&gt;1065&lt;/label&gt;&lt;urls&gt;&lt;related-urls&gt;&lt;url&gt;https://www.gov.uk/government/publications/liberating-the-nhs-white-paper&lt;/url&gt;&lt;/related-urls&gt;&lt;/urls&gt;&lt;/record&gt;&lt;/Cite&gt;&lt;/EndNote&gt;</w:instrText>
        </w:r>
        <w:r w:rsidR="00ED61F8" w:rsidRPr="003A4267">
          <w:rPr>
            <w:rFonts w:eastAsia="Times New Roman" w:cs="Arial"/>
            <w:szCs w:val="24"/>
          </w:rPr>
          <w:fldChar w:fldCharType="separate"/>
        </w:r>
        <w:r w:rsidR="00ED61F8" w:rsidRPr="0006564A">
          <w:rPr>
            <w:rFonts w:eastAsia="Times New Roman" w:cs="Arial"/>
            <w:noProof/>
            <w:szCs w:val="24"/>
            <w:vertAlign w:val="superscript"/>
          </w:rPr>
          <w:t>12</w:t>
        </w:r>
        <w:r w:rsidR="00ED61F8" w:rsidRPr="003A4267">
          <w:rPr>
            <w:rFonts w:eastAsia="Times New Roman" w:cs="Arial"/>
            <w:szCs w:val="24"/>
            <w:lang w:val="en-US"/>
          </w:rPr>
          <w:fldChar w:fldCharType="end"/>
        </w:r>
      </w:hyperlink>
      <w:r w:rsidR="003A4267" w:rsidRPr="003A4267">
        <w:rPr>
          <w:rFonts w:eastAsia="Times New Roman" w:cs="Arial"/>
          <w:szCs w:val="24"/>
        </w:rPr>
        <w:t xml:space="preserve"> and the Health and Social Care Act 2012 that followed were predicated on the assumption that “individual creativity and innovation is best supported by competition” </w:t>
      </w:r>
      <w:hyperlink w:anchor="_ENREF_13" w:tooltip="Langsley, 13 February 2012 #1313" w:history="1">
        <w:r w:rsidR="00ED61F8" w:rsidRPr="003A4267">
          <w:rPr>
            <w:rFonts w:eastAsia="Times New Roman" w:cs="Arial"/>
            <w:szCs w:val="24"/>
          </w:rPr>
          <w:fldChar w:fldCharType="begin"/>
        </w:r>
        <w:r w:rsidR="00ED61F8">
          <w:rPr>
            <w:rFonts w:eastAsia="Times New Roman" w:cs="Arial"/>
            <w:szCs w:val="24"/>
          </w:rPr>
          <w:instrText xml:space="preserve"> ADDIN EN.CITE &lt;EndNote&gt;&lt;Cite&gt;&lt;Author&gt;Langsley&lt;/Author&gt;&lt;Year&gt;13 February 2012&lt;/Year&gt;&lt;RecNum&gt;1313&lt;/RecNum&gt;&lt;DisplayText&gt;&lt;style face="superscript"&gt;13&lt;/style&gt;&lt;/DisplayText&gt;&lt;record&gt;&lt;rec-number&gt;1313&lt;/rec-number&gt;&lt;foreign-keys&gt;&lt;key app="EN" db-id="r2drx9tfh929f5edwpx5vwxqptr9twsart0z" timestamp="1406748108"&gt;1313&lt;/key&gt;&lt;/foreign-keys&gt;&lt;ref-type name="Journal Article"&gt;17&lt;/ref-type&gt;&lt;contributors&gt;&lt;authors&gt;&lt;author&gt;Langsley, A,&lt;/author&gt;&lt;/authors&gt;&lt;/contributors&gt;&lt;titles&gt;&lt;title&gt;Andrew Lansley: competition is critical for NHS reform&lt;/title&gt;&lt;secondary-title&gt;Health Service Journal&lt;/secondary-title&gt;&lt;/titles&gt;&lt;periodical&gt;&lt;full-title&gt;Health Service Journal&lt;/full-title&gt;&lt;/periodical&gt;&lt;dates&gt;&lt;year&gt;13 February 2012&lt;/year&gt;&lt;/dates&gt;&lt;urls&gt;&lt;/urls&gt;&lt;/record&gt;&lt;/Cite&gt;&lt;/EndNote&gt;</w:instrText>
        </w:r>
        <w:r w:rsidR="00ED61F8" w:rsidRPr="003A4267">
          <w:rPr>
            <w:rFonts w:eastAsia="Times New Roman" w:cs="Arial"/>
            <w:szCs w:val="24"/>
          </w:rPr>
          <w:fldChar w:fldCharType="separate"/>
        </w:r>
        <w:r w:rsidR="00ED61F8" w:rsidRPr="0006564A">
          <w:rPr>
            <w:rFonts w:eastAsia="Times New Roman" w:cs="Arial"/>
            <w:noProof/>
            <w:szCs w:val="24"/>
            <w:vertAlign w:val="superscript"/>
          </w:rPr>
          <w:t>13</w:t>
        </w:r>
        <w:r w:rsidR="00ED61F8" w:rsidRPr="003A4267">
          <w:rPr>
            <w:rFonts w:eastAsia="Times New Roman" w:cs="Arial"/>
            <w:szCs w:val="24"/>
            <w:lang w:val="en-US"/>
          </w:rPr>
          <w:fldChar w:fldCharType="end"/>
        </w:r>
      </w:hyperlink>
      <w:r w:rsidR="003A4267" w:rsidRPr="003A4267">
        <w:rPr>
          <w:rFonts w:eastAsia="Times New Roman" w:cs="Arial"/>
          <w:szCs w:val="24"/>
        </w:rPr>
        <w:t xml:space="preserve">. </w:t>
      </w:r>
      <w:r w:rsidR="00DE718A">
        <w:rPr>
          <w:rFonts w:eastAsia="Times New Roman" w:cs="Arial"/>
          <w:szCs w:val="24"/>
        </w:rPr>
        <w:t>C</w:t>
      </w:r>
      <w:r w:rsidR="003A4267" w:rsidRPr="003A4267">
        <w:rPr>
          <w:rFonts w:eastAsia="Times New Roman" w:cs="Arial"/>
          <w:szCs w:val="24"/>
        </w:rPr>
        <w:t>ompetition in healthcare services</w:t>
      </w:r>
      <w:r w:rsidR="00421DE8">
        <w:rPr>
          <w:rFonts w:eastAsia="Times New Roman" w:cs="Arial"/>
          <w:szCs w:val="24"/>
        </w:rPr>
        <w:t xml:space="preserve">, which does not necessarily imply </w:t>
      </w:r>
      <w:proofErr w:type="spellStart"/>
      <w:r w:rsidR="00421DE8">
        <w:rPr>
          <w:rFonts w:eastAsia="Times New Roman" w:cs="Arial"/>
          <w:szCs w:val="24"/>
        </w:rPr>
        <w:t>privitisation</w:t>
      </w:r>
      <w:proofErr w:type="spellEnd"/>
      <w:r w:rsidR="00421DE8">
        <w:rPr>
          <w:rFonts w:eastAsia="Times New Roman" w:cs="Arial"/>
          <w:szCs w:val="24"/>
        </w:rPr>
        <w:t>,</w:t>
      </w:r>
      <w:r w:rsidR="003A4267" w:rsidRPr="003A4267">
        <w:rPr>
          <w:rFonts w:eastAsia="Times New Roman" w:cs="Arial"/>
          <w:szCs w:val="24"/>
        </w:rPr>
        <w:t xml:space="preserve"> </w:t>
      </w:r>
      <w:r w:rsidR="004305E3">
        <w:rPr>
          <w:rFonts w:eastAsia="Times New Roman" w:cs="Arial"/>
          <w:szCs w:val="24"/>
        </w:rPr>
        <w:t xml:space="preserve">was intended lead </w:t>
      </w:r>
      <w:r w:rsidR="003A4267" w:rsidRPr="003A4267">
        <w:rPr>
          <w:rFonts w:eastAsia="Times New Roman" w:cs="Arial"/>
          <w:szCs w:val="24"/>
        </w:rPr>
        <w:t>to greater patient demand for innovative treatments</w:t>
      </w:r>
      <w:r w:rsidR="00421DE8">
        <w:rPr>
          <w:rFonts w:eastAsia="Times New Roman" w:cs="Arial"/>
          <w:szCs w:val="24"/>
        </w:rPr>
        <w:t xml:space="preserve">. </w:t>
      </w:r>
      <w:r w:rsidR="007C1268">
        <w:rPr>
          <w:rFonts w:eastAsia="Times New Roman" w:cs="Arial"/>
          <w:szCs w:val="24"/>
        </w:rPr>
        <w:t>The assumption was that t</w:t>
      </w:r>
      <w:r w:rsidR="00421DE8">
        <w:rPr>
          <w:rFonts w:eastAsia="Times New Roman" w:cs="Arial"/>
          <w:szCs w:val="24"/>
        </w:rPr>
        <w:t>his</w:t>
      </w:r>
      <w:r w:rsidR="003A4267" w:rsidRPr="003A4267">
        <w:rPr>
          <w:rFonts w:eastAsia="Times New Roman" w:cs="Arial"/>
          <w:szCs w:val="24"/>
        </w:rPr>
        <w:t xml:space="preserve">, in turn, would ensure that individuals live longer and healthier lives. </w:t>
      </w:r>
      <w:r w:rsidR="00DE718A">
        <w:rPr>
          <w:rFonts w:eastAsia="Times New Roman" w:cs="Arial"/>
          <w:szCs w:val="24"/>
        </w:rPr>
        <w:t>However,</w:t>
      </w:r>
      <w:r w:rsidR="00C353A5">
        <w:rPr>
          <w:rFonts w:eastAsia="Times New Roman" w:cs="Arial"/>
          <w:szCs w:val="24"/>
        </w:rPr>
        <w:t xml:space="preserve"> a recent </w:t>
      </w:r>
      <w:r w:rsidR="00C72329" w:rsidRPr="00C72329">
        <w:rPr>
          <w:rFonts w:eastAsia="Times New Roman" w:cs="Arial"/>
          <w:szCs w:val="24"/>
        </w:rPr>
        <w:t xml:space="preserve">editorial </w:t>
      </w:r>
      <w:r w:rsidR="00C353A5">
        <w:rPr>
          <w:rFonts w:eastAsia="Times New Roman" w:cs="Arial"/>
          <w:szCs w:val="24"/>
        </w:rPr>
        <w:t xml:space="preserve">on </w:t>
      </w:r>
      <w:r w:rsidR="00C72329" w:rsidRPr="00C72329">
        <w:rPr>
          <w:rFonts w:eastAsia="Times New Roman" w:cs="Arial"/>
          <w:szCs w:val="24"/>
        </w:rPr>
        <w:t>the impact of market based reforms concluded that current research “offer[s] remarkably similar conclusions about the limited potential of markets in health and social care to deliver aspirations for improvements in both the quality and cost of care”</w:t>
      </w:r>
      <w:hyperlink w:anchor="_ENREF_14" w:tooltip="Dickinson, 2012 #1309" w:history="1">
        <w:r w:rsidR="00ED61F8" w:rsidRPr="00C72329">
          <w:rPr>
            <w:rFonts w:eastAsia="Times New Roman" w:cs="Arial"/>
            <w:szCs w:val="24"/>
          </w:rPr>
          <w:fldChar w:fldCharType="begin"/>
        </w:r>
        <w:r w:rsidR="00ED61F8">
          <w:rPr>
            <w:rFonts w:eastAsia="Times New Roman" w:cs="Arial"/>
            <w:szCs w:val="24"/>
          </w:rPr>
          <w:instrText xml:space="preserve"> ADDIN EN.CITE &lt;EndNote&gt;&lt;Cite&gt;&lt;Author&gt;Dickinson&lt;/Author&gt;&lt;Year&gt;2012&lt;/Year&gt;&lt;RecNum&gt;1309&lt;/RecNum&gt;&lt;DisplayText&gt;&lt;style face="superscript"&gt;14&lt;/style&gt;&lt;/DisplayText&gt;&lt;record&gt;&lt;rec-number&gt;1309&lt;/rec-number&gt;&lt;foreign-keys&gt;&lt;key app="EN" db-id="r2drx9tfh929f5edwpx5vwxqptr9twsart0z" timestamp="1406647623"&gt;1309&lt;/key&gt;&lt;/foreign-keys&gt;&lt;ref-type name="Journal Article"&gt;17&lt;/ref-type&gt;&lt;contributors&gt;&lt;authors&gt;&lt;author&gt;Dickinson, H&lt;/author&gt;&lt;author&gt;Shaw S&lt;/author&gt;&lt;author&gt;Glasby, J&lt;/author&gt;&lt;author&gt;Smith J&lt;/author&gt;&lt;/authors&gt;&lt;/contributors&gt;&lt;titles&gt;&lt;title&gt;The limits of market-based reforms&lt;/title&gt;&lt;secondary-title&gt;BMC Health Services Research&lt;/secondary-title&gt;&lt;/titles&gt;&lt;periodical&gt;&lt;full-title&gt;BMC Health Services Research&lt;/full-title&gt;&lt;/periodical&gt;&lt;volume&gt;13 (supp 1)&lt;/volume&gt;&lt;dates&gt;&lt;year&gt;2012&lt;/year&gt;&lt;/dates&gt;&lt;urls&gt;&lt;related-urls&gt;&lt;url&gt;http://www.biomedcentral.com/bmchealthservres/supplements/13/S1&lt;/url&gt;&lt;/related-urls&gt;&lt;/urls&gt;&lt;/record&gt;&lt;/Cite&gt;&lt;/EndNote&gt;</w:instrText>
        </w:r>
        <w:r w:rsidR="00ED61F8" w:rsidRPr="00C72329">
          <w:rPr>
            <w:rFonts w:eastAsia="Times New Roman" w:cs="Arial"/>
            <w:szCs w:val="24"/>
          </w:rPr>
          <w:fldChar w:fldCharType="separate"/>
        </w:r>
        <w:r w:rsidR="00ED61F8" w:rsidRPr="0006564A">
          <w:rPr>
            <w:rFonts w:eastAsia="Times New Roman" w:cs="Arial"/>
            <w:noProof/>
            <w:szCs w:val="24"/>
            <w:vertAlign w:val="superscript"/>
          </w:rPr>
          <w:t>14</w:t>
        </w:r>
        <w:r w:rsidR="00ED61F8" w:rsidRPr="00C72329">
          <w:rPr>
            <w:rFonts w:eastAsia="Times New Roman" w:cs="Arial"/>
            <w:szCs w:val="24"/>
          </w:rPr>
          <w:fldChar w:fldCharType="end"/>
        </w:r>
      </w:hyperlink>
      <w:r w:rsidR="00C72329" w:rsidRPr="00C72329">
        <w:rPr>
          <w:rFonts w:eastAsia="Times New Roman" w:cs="Arial"/>
          <w:szCs w:val="24"/>
        </w:rPr>
        <w:t xml:space="preserve">. </w:t>
      </w:r>
      <w:r w:rsidR="00717B10">
        <w:rPr>
          <w:rFonts w:eastAsia="Times New Roman" w:cs="Arial"/>
          <w:szCs w:val="24"/>
        </w:rPr>
        <w:t>In contrast, preliminary findings from other studies featured in a recent Nuffield Trust report suggest cautionary optimism</w:t>
      </w:r>
      <w:hyperlink w:anchor="_ENREF_15" w:tooltip="Charlesworth A, 2013 #1314" w:history="1">
        <w:r w:rsidR="00ED61F8">
          <w:rPr>
            <w:rFonts w:eastAsia="Times New Roman" w:cs="Arial"/>
            <w:szCs w:val="24"/>
          </w:rPr>
          <w:fldChar w:fldCharType="begin"/>
        </w:r>
        <w:r w:rsidR="00ED61F8">
          <w:rPr>
            <w:rFonts w:eastAsia="Times New Roman" w:cs="Arial"/>
            <w:szCs w:val="24"/>
          </w:rPr>
          <w:instrText xml:space="preserve"> ADDIN EN.CITE &lt;EndNote&gt;&lt;Cite&gt;&lt;Author&gt;Charlesworth A&lt;/Author&gt;&lt;Year&gt;2013&lt;/Year&gt;&lt;RecNum&gt;1314&lt;/RecNum&gt;&lt;DisplayText&gt;&lt;style face="superscript"&gt;15&lt;/style&gt;&lt;/DisplayText&gt;&lt;record&gt;&lt;rec-number&gt;1314&lt;/rec-number&gt;&lt;foreign-keys&gt;&lt;key app="EN" db-id="r2drx9tfh929f5edwpx5vwxqptr9twsart0z" timestamp="1408726628"&gt;1314&lt;/key&gt;&lt;/foreign-keys&gt;&lt;ref-type name="Report"&gt;27&lt;/ref-type&gt;&lt;contributors&gt;&lt;authors&gt;&lt;author&gt;Charlesworth A,&lt;/author&gt;&lt;author&gt;Kelly E,&lt;/author&gt;&lt;/authors&gt;&lt;/contributors&gt;&lt;titles&gt;&lt;title&gt;Competition in UK health care: reflections from an expert workshop&lt;/title&gt;&lt;/titles&gt;&lt;dates&gt;&lt;year&gt;2013&lt;/year&gt;&lt;/dates&gt;&lt;pub-location&gt;London&lt;/pub-location&gt;&lt;publisher&gt;Nuffield Trust&lt;/publisher&gt;&lt;urls&gt;&lt;/urls&gt;&lt;/record&gt;&lt;/Cite&gt;&lt;/EndNote&gt;</w:instrText>
        </w:r>
        <w:r w:rsidR="00ED61F8">
          <w:rPr>
            <w:rFonts w:eastAsia="Times New Roman" w:cs="Arial"/>
            <w:szCs w:val="24"/>
          </w:rPr>
          <w:fldChar w:fldCharType="separate"/>
        </w:r>
        <w:r w:rsidR="00ED61F8" w:rsidRPr="0006564A">
          <w:rPr>
            <w:rFonts w:eastAsia="Times New Roman" w:cs="Arial"/>
            <w:noProof/>
            <w:szCs w:val="24"/>
            <w:vertAlign w:val="superscript"/>
          </w:rPr>
          <w:t>15</w:t>
        </w:r>
        <w:r w:rsidR="00ED61F8">
          <w:rPr>
            <w:rFonts w:eastAsia="Times New Roman" w:cs="Arial"/>
            <w:szCs w:val="24"/>
          </w:rPr>
          <w:fldChar w:fldCharType="end"/>
        </w:r>
      </w:hyperlink>
      <w:r w:rsidR="00717B10">
        <w:rPr>
          <w:rFonts w:eastAsia="Times New Roman" w:cs="Arial"/>
          <w:szCs w:val="24"/>
        </w:rPr>
        <w:t xml:space="preserve">. </w:t>
      </w:r>
    </w:p>
    <w:p w:rsidR="00717B10" w:rsidRDefault="00717B10" w:rsidP="00D23537">
      <w:pPr>
        <w:spacing w:line="480" w:lineRule="auto"/>
        <w:rPr>
          <w:rFonts w:eastAsia="Times New Roman" w:cs="Arial"/>
          <w:szCs w:val="24"/>
        </w:rPr>
      </w:pPr>
    </w:p>
    <w:p w:rsidR="00151F42" w:rsidRDefault="00717B10" w:rsidP="00D23537">
      <w:pPr>
        <w:spacing w:line="480" w:lineRule="auto"/>
      </w:pPr>
      <w:r>
        <w:rPr>
          <w:rFonts w:eastAsia="Times New Roman" w:cs="Arial"/>
          <w:szCs w:val="24"/>
        </w:rPr>
        <w:t>Despite the lack of clarity</w:t>
      </w:r>
      <w:r w:rsidR="00C72329" w:rsidRPr="00C72329">
        <w:rPr>
          <w:rFonts w:eastAsia="Times New Roman" w:cs="Arial"/>
          <w:szCs w:val="24"/>
        </w:rPr>
        <w:t xml:space="preserve">, </w:t>
      </w:r>
      <w:r w:rsidR="00C353A5">
        <w:rPr>
          <w:rFonts w:eastAsia="Times New Roman" w:cs="Arial"/>
          <w:szCs w:val="24"/>
        </w:rPr>
        <w:t xml:space="preserve">there continues to be a </w:t>
      </w:r>
      <w:r w:rsidR="00C72329" w:rsidRPr="00C72329">
        <w:rPr>
          <w:rFonts w:eastAsia="Times New Roman" w:cs="Arial"/>
          <w:szCs w:val="24"/>
        </w:rPr>
        <w:t xml:space="preserve">policy push </w:t>
      </w:r>
      <w:r w:rsidR="00421DE8">
        <w:rPr>
          <w:rFonts w:eastAsia="Times New Roman" w:cs="Arial"/>
          <w:szCs w:val="24"/>
        </w:rPr>
        <w:t xml:space="preserve">towards competition </w:t>
      </w:r>
      <w:r w:rsidR="00C353A5">
        <w:rPr>
          <w:rFonts w:eastAsia="Times New Roman" w:cs="Arial"/>
          <w:szCs w:val="24"/>
        </w:rPr>
        <w:t xml:space="preserve">in </w:t>
      </w:r>
      <w:r w:rsidR="00C72329" w:rsidRPr="00C72329">
        <w:rPr>
          <w:rFonts w:eastAsia="Times New Roman" w:cs="Arial"/>
          <w:szCs w:val="24"/>
        </w:rPr>
        <w:t>the NHS.</w:t>
      </w:r>
      <w:r w:rsidR="00C72329">
        <w:rPr>
          <w:rFonts w:eastAsia="Times New Roman" w:cs="Arial"/>
          <w:szCs w:val="24"/>
        </w:rPr>
        <w:t xml:space="preserve"> </w:t>
      </w:r>
      <w:r w:rsidR="003A4267" w:rsidRPr="003A4267">
        <w:rPr>
          <w:rFonts w:eastAsia="Times New Roman" w:cs="Arial"/>
          <w:szCs w:val="24"/>
        </w:rPr>
        <w:t xml:space="preserve">Although the primary focus of the </w:t>
      </w:r>
      <w:r w:rsidR="00DE718A">
        <w:rPr>
          <w:rFonts w:eastAsia="Times New Roman" w:cs="Arial"/>
          <w:szCs w:val="24"/>
        </w:rPr>
        <w:t xml:space="preserve">2012 </w:t>
      </w:r>
      <w:r w:rsidR="003A4267" w:rsidRPr="003A4267">
        <w:rPr>
          <w:rFonts w:eastAsia="Times New Roman" w:cs="Arial"/>
          <w:szCs w:val="24"/>
        </w:rPr>
        <w:t>Act may have been increasing competition amongst healthcare providers</w:t>
      </w:r>
      <w:r>
        <w:rPr>
          <w:rFonts w:eastAsia="Times New Roman" w:cs="Arial"/>
          <w:szCs w:val="24"/>
        </w:rPr>
        <w:t xml:space="preserve"> such as acute hospitals</w:t>
      </w:r>
      <w:r w:rsidR="003A4267" w:rsidRPr="003A4267">
        <w:rPr>
          <w:rFonts w:eastAsia="Times New Roman" w:cs="Arial"/>
          <w:szCs w:val="24"/>
        </w:rPr>
        <w:t xml:space="preserve">, commissioning has also been </w:t>
      </w:r>
      <w:r w:rsidR="004305E3">
        <w:rPr>
          <w:rFonts w:eastAsia="Times New Roman" w:cs="Arial"/>
          <w:szCs w:val="24"/>
        </w:rPr>
        <w:t>affected</w:t>
      </w:r>
      <w:r w:rsidR="003A4267" w:rsidRPr="003A4267">
        <w:rPr>
          <w:rFonts w:eastAsia="Times New Roman" w:cs="Arial"/>
          <w:szCs w:val="24"/>
        </w:rPr>
        <w:t xml:space="preserve">, creating a fragmented healthcare landscape with commercial companies, not-for-profit agencies, social enterprises, voluntary sector bodies, commissioning support units, freelance consultants and public health professionals, all vying to improve and influence commissioning by supplying commissioners with </w:t>
      </w:r>
      <w:r w:rsidR="003A4267" w:rsidRPr="003A4267">
        <w:rPr>
          <w:rFonts w:eastAsia="Times New Roman" w:cs="Arial"/>
          <w:szCs w:val="24"/>
        </w:rPr>
        <w:lastRenderedPageBreak/>
        <w:t>information, advice and support</w:t>
      </w:r>
      <w:r w:rsidR="00F161A7">
        <w:rPr>
          <w:rFonts w:eastAsia="Times New Roman" w:cs="Arial"/>
          <w:szCs w:val="24"/>
        </w:rPr>
        <w:t xml:space="preserve">. </w:t>
      </w:r>
      <w:r w:rsidR="007C1268">
        <w:rPr>
          <w:rFonts w:eastAsia="Times New Roman" w:cs="Arial"/>
          <w:szCs w:val="24"/>
        </w:rPr>
        <w:t>But s</w:t>
      </w:r>
      <w:r w:rsidR="00B722A0">
        <w:rPr>
          <w:rFonts w:eastAsia="Times New Roman" w:cs="Arial"/>
          <w:szCs w:val="24"/>
        </w:rPr>
        <w:t xml:space="preserve">ome of these new providers need substantial help themselves. </w:t>
      </w:r>
      <w:r w:rsidR="00F161A7">
        <w:rPr>
          <w:rFonts w:eastAsia="Times New Roman" w:cs="Arial"/>
          <w:szCs w:val="24"/>
        </w:rPr>
        <w:t xml:space="preserve">For </w:t>
      </w:r>
      <w:proofErr w:type="spellStart"/>
      <w:r w:rsidR="00F161A7">
        <w:rPr>
          <w:rFonts w:eastAsia="Times New Roman" w:cs="Arial"/>
          <w:szCs w:val="24"/>
        </w:rPr>
        <w:t>example,</w:t>
      </w:r>
      <w:r w:rsidR="0006564A">
        <w:t>the</w:t>
      </w:r>
      <w:proofErr w:type="spellEnd"/>
      <w:r w:rsidR="0006564A">
        <w:t xml:space="preserve"> Nuffield Trust published guidance for voluntary organisations interested in offering commissioning support</w:t>
      </w:r>
      <w:r w:rsidR="00B722A0">
        <w:t xml:space="preserve"> in November 2013</w:t>
      </w:r>
      <w:hyperlink w:anchor="_ENREF_16" w:tooltip="Holder, 2013 #1329" w:history="1">
        <w:r w:rsidR="00ED61F8">
          <w:fldChar w:fldCharType="begin"/>
        </w:r>
        <w:r w:rsidR="00ED61F8">
          <w:instrText xml:space="preserve"> ADDIN EN.CITE &lt;EndNote&gt;&lt;Cite&gt;&lt;Author&gt;Holder&lt;/Author&gt;&lt;Year&gt;2013&lt;/Year&gt;&lt;RecNum&gt;1329&lt;/RecNum&gt;&lt;DisplayText&gt;&lt;style face="superscript"&gt;16&lt;/style&gt;&lt;/DisplayText&gt;&lt;record&gt;&lt;rec-number&gt;1329&lt;/rec-number&gt;&lt;foreign-keys&gt;&lt;key app="EN" db-id="r2drx9tfh929f5edwpx5vwxqptr9twsart0z" timestamp="1414509159"&gt;1329&lt;/key&gt;&lt;/foreign-keys&gt;&lt;ref-type name="Report"&gt;27&lt;/ref-type&gt;&lt;contributors&gt;&lt;authors&gt;&lt;author&gt;Holder, H,&lt;/author&gt;&lt;/authors&gt;&lt;/contributors&gt;&lt;titles&gt;&lt;title&gt;Role of the voluntary sector in providing commissioning support &lt;/title&gt;&lt;/titles&gt;&lt;dates&gt;&lt;year&gt;2013&lt;/year&gt;&lt;/dates&gt;&lt;pub-location&gt;London&lt;/pub-location&gt;&lt;publisher&gt;Nuffield Trust&lt;/publisher&gt;&lt;urls&gt;&lt;related-urls&gt;&lt;url&gt;http://www.nuffieldtrust.org.uk/publications/role-voluntary-sector-providing-commissioning-support&lt;/url&gt;&lt;/related-urls&gt;&lt;/urls&gt;&lt;/record&gt;&lt;/Cite&gt;&lt;/EndNote&gt;</w:instrText>
        </w:r>
        <w:r w:rsidR="00ED61F8">
          <w:fldChar w:fldCharType="separate"/>
        </w:r>
        <w:r w:rsidR="00ED61F8" w:rsidRPr="0006564A">
          <w:rPr>
            <w:noProof/>
            <w:vertAlign w:val="superscript"/>
          </w:rPr>
          <w:t>16</w:t>
        </w:r>
        <w:r w:rsidR="00ED61F8">
          <w:fldChar w:fldCharType="end"/>
        </w:r>
      </w:hyperlink>
      <w:r w:rsidR="0006564A">
        <w:t>.</w:t>
      </w:r>
    </w:p>
    <w:p w:rsidR="00151F42" w:rsidRDefault="00151F42" w:rsidP="00D23537">
      <w:pPr>
        <w:spacing w:line="480" w:lineRule="auto"/>
      </w:pPr>
    </w:p>
    <w:p w:rsidR="009356CA" w:rsidRDefault="003D6ED1" w:rsidP="00D23537">
      <w:pPr>
        <w:spacing w:line="480" w:lineRule="auto"/>
      </w:pPr>
      <w:r>
        <w:t xml:space="preserve">A single case study of a collaboration between </w:t>
      </w:r>
      <w:r w:rsidR="00C56A15">
        <w:t xml:space="preserve">a </w:t>
      </w:r>
      <w:r>
        <w:t>commercial provider and commission</w:t>
      </w:r>
      <w:r w:rsidR="00717B10">
        <w:t>ing organisation</w:t>
      </w:r>
      <w:r>
        <w:t xml:space="preserve"> </w:t>
      </w:r>
      <w:r w:rsidR="00C353A5">
        <w:t xml:space="preserve">has been reported in the literature. It </w:t>
      </w:r>
      <w:r>
        <w:t xml:space="preserve">found “strong relationships” and “high levels of trust” between the commissioners, commercial provider and healthcare provider </w:t>
      </w:r>
      <w:hyperlink w:anchor="_ENREF_17" w:tooltip="Chambers, 2013 #1310" w:history="1">
        <w:r w:rsidR="00ED61F8">
          <w:fldChar w:fldCharType="begin"/>
        </w:r>
        <w:r w:rsidR="00ED61F8">
          <w:instrText xml:space="preserve"> ADDIN EN.CITE &lt;EndNote&gt;&lt;Cite&gt;&lt;Author&gt;Chambers&lt;/Author&gt;&lt;Year&gt;2013&lt;/Year&gt;&lt;RecNum&gt;1310&lt;/RecNum&gt;&lt;DisplayText&gt;&lt;style face="superscript"&gt;17&lt;/style&gt;&lt;/DisplayText&gt;&lt;record&gt;&lt;rec-number&gt;1310&lt;/rec-number&gt;&lt;foreign-keys&gt;&lt;key app="EN" db-id="r2drx9tfh929f5edwpx5vwxqptr9twsart0z" timestamp="1406648017"&gt;1310&lt;/key&gt;&lt;/foreign-keys&gt;&lt;ref-type name="Journal Article"&gt;17&lt;/ref-type&gt;&lt;contributors&gt;&lt;authors&gt;&lt;author&gt;Chambers, N,&lt;/author&gt;&lt;author&gt;Sheaff, R,&lt;/author&gt;&lt;author&gt;Mahon, A,&lt;/author&gt;&lt;author&gt;Byng, R,&lt;/author&gt;&lt;author&gt;Mannion, R,&lt;/author&gt;&lt;author&gt;Charles, C,&lt;/author&gt;&lt;author&gt;Exworthy, M,&lt;/author&gt;&lt;author&gt;Llewellyn, S,&lt;/author&gt;&lt;/authors&gt;&lt;/contributors&gt;&lt;titles&gt;&lt;title&gt;The practice of commissioning healthcare from a private provider: learning from an in-depth case study&lt;/title&gt;&lt;secondary-title&gt;BMC Health Services Research &lt;/secondary-title&gt;&lt;/titles&gt;&lt;periodical&gt;&lt;full-title&gt;BMC Health Services Research&lt;/full-title&gt;&lt;/periodical&gt;&lt;pages&gt;54&lt;/pages&gt;&lt;volume&gt;13 (suppl 1):S4&lt;/volume&gt;&lt;dates&gt;&lt;year&gt;2013&lt;/year&gt;&lt;/dates&gt;&lt;urls&gt;&lt;related-urls&gt;&lt;url&gt;http://www.biomedcentral.com/1472-6963/13/S1/S4&lt;/url&gt;&lt;/related-urls&gt;&lt;/urls&gt;&lt;/record&gt;&lt;/Cite&gt;&lt;/EndNote&gt;</w:instrText>
        </w:r>
        <w:r w:rsidR="00ED61F8">
          <w:fldChar w:fldCharType="separate"/>
        </w:r>
        <w:r w:rsidR="00ED61F8" w:rsidRPr="0006564A">
          <w:rPr>
            <w:noProof/>
            <w:vertAlign w:val="superscript"/>
          </w:rPr>
          <w:t>17</w:t>
        </w:r>
        <w:r w:rsidR="00ED61F8">
          <w:fldChar w:fldCharType="end"/>
        </w:r>
      </w:hyperlink>
      <w:r>
        <w:t>.</w:t>
      </w:r>
      <w:r w:rsidR="00227E02">
        <w:t xml:space="preserve"> </w:t>
      </w:r>
      <w:r w:rsidR="00C353A5">
        <w:t>In addition, a</w:t>
      </w:r>
      <w:r w:rsidR="00227E02">
        <w:t xml:space="preserve"> survey with 172 responses</w:t>
      </w:r>
      <w:r w:rsidR="009571D9">
        <w:t xml:space="preserve"> from commissioners</w:t>
      </w:r>
      <w:r>
        <w:t xml:space="preserve"> </w:t>
      </w:r>
      <w:r w:rsidR="00B12106">
        <w:t>found good levels of satisfaction</w:t>
      </w:r>
      <w:r w:rsidR="00717B10">
        <w:t xml:space="preserve">, </w:t>
      </w:r>
      <w:r w:rsidR="00B12106">
        <w:t xml:space="preserve">with most rating their contracted commercial providers as ‘good’ or ‘excellent’ </w:t>
      </w:r>
      <w:hyperlink w:anchor="_ENREF_18" w:tooltip="Naylor C, 2011 #1305" w:history="1">
        <w:r w:rsidR="00ED61F8">
          <w:fldChar w:fldCharType="begin"/>
        </w:r>
        <w:r w:rsidR="00ED61F8">
          <w:instrText xml:space="preserve"> ADDIN EN.CITE &lt;EndNote&gt;&lt;Cite&gt;&lt;Author&gt;Naylor C&lt;/Author&gt;&lt;Year&gt;2011&lt;/Year&gt;&lt;RecNum&gt;1305&lt;/RecNum&gt;&lt;DisplayText&gt;&lt;style face="superscript"&gt;18&lt;/style&gt;&lt;/DisplayText&gt;&lt;record&gt;&lt;rec-number&gt;1305&lt;/rec-number&gt;&lt;foreign-keys&gt;&lt;key app="EN" db-id="r2drx9tfh929f5edwpx5vwxqptr9twsart0z" timestamp="1405608902"&gt;1305&lt;/key&gt;&lt;/foreign-keys&gt;&lt;ref-type name="Journal Article"&gt;17&lt;/ref-type&gt;&lt;contributors&gt;&lt;authors&gt;&lt;author&gt;Naylor C,&lt;/author&gt;&lt;author&gt;Goodwin N,&lt;/author&gt;&lt;/authors&gt;&lt;/contributors&gt;&lt;titles&gt;&lt;title&gt;The use of external consultants by NHS commissioners in England: what lessons can be drawn for GPcommissioning?&lt;/title&gt;&lt;secondary-title&gt;Journal of Health Services Research and Policy&lt;/secondary-title&gt;&lt;/titles&gt;&lt;periodical&gt;&lt;full-title&gt;Journal of Health Services Research and Policy&lt;/full-title&gt;&lt;/periodical&gt;&lt;pages&gt;153&lt;/pages&gt;&lt;volume&gt;16&lt;/volume&gt;&lt;dates&gt;&lt;year&gt;2011&lt;/year&gt;&lt;/dates&gt;&lt;urls&gt;&lt;/urls&gt;&lt;electronic-resource-num&gt;DOI: 10.1258/jhsrp.2010.010081&lt;/electronic-resource-num&gt;&lt;/record&gt;&lt;/Cite&gt;&lt;/EndNote&gt;</w:instrText>
        </w:r>
        <w:r w:rsidR="00ED61F8">
          <w:fldChar w:fldCharType="separate"/>
        </w:r>
        <w:r w:rsidR="00ED61F8" w:rsidRPr="0006564A">
          <w:rPr>
            <w:noProof/>
            <w:vertAlign w:val="superscript"/>
          </w:rPr>
          <w:t>18</w:t>
        </w:r>
        <w:r w:rsidR="00ED61F8">
          <w:fldChar w:fldCharType="end"/>
        </w:r>
      </w:hyperlink>
      <w:r w:rsidR="00B12106">
        <w:t xml:space="preserve">. </w:t>
      </w:r>
      <w:r w:rsidR="00C353A5">
        <w:t>Yet</w:t>
      </w:r>
      <w:r w:rsidR="00F941A2" w:rsidRPr="004842D8">
        <w:t xml:space="preserve"> the controversy</w:t>
      </w:r>
      <w:r w:rsidR="00B76E9B">
        <w:t xml:space="preserve"> around external providers</w:t>
      </w:r>
      <w:r w:rsidR="00C353A5">
        <w:t xml:space="preserve"> persists</w:t>
      </w:r>
      <w:r w:rsidR="00B76E9B">
        <w:t>, particularly commercial companies</w:t>
      </w:r>
      <w:r w:rsidR="00617A18">
        <w:t>.</w:t>
      </w:r>
    </w:p>
    <w:p w:rsidR="009356CA" w:rsidRDefault="009356CA" w:rsidP="00D23537">
      <w:pPr>
        <w:spacing w:line="480" w:lineRule="auto"/>
      </w:pPr>
    </w:p>
    <w:p w:rsidR="009356CA" w:rsidRDefault="009356CA" w:rsidP="00D23537">
      <w:pPr>
        <w:spacing w:line="480" w:lineRule="auto"/>
      </w:pPr>
      <w:r>
        <w:t>To help inform the debate</w:t>
      </w:r>
      <w:r w:rsidR="00111A2A">
        <w:t xml:space="preserve">, </w:t>
      </w:r>
      <w:r w:rsidR="00D67586">
        <w:t>clarify</w:t>
      </w:r>
      <w:r w:rsidR="00111A2A">
        <w:t xml:space="preserve">ing </w:t>
      </w:r>
      <w:r>
        <w:t xml:space="preserve">what external providers </w:t>
      </w:r>
      <w:proofErr w:type="gramStart"/>
      <w:r>
        <w:t>offer</w:t>
      </w:r>
      <w:r w:rsidR="00111A2A">
        <w:t xml:space="preserve"> </w:t>
      </w:r>
      <w:r w:rsidR="00D67586">
        <w:t xml:space="preserve"> </w:t>
      </w:r>
      <w:r w:rsidR="00111A2A">
        <w:t>is</w:t>
      </w:r>
      <w:proofErr w:type="gramEnd"/>
      <w:r w:rsidR="00111A2A">
        <w:t xml:space="preserve"> of particular interest. Definitions of ‘knowledge’ and ‘knowledge exchange’ proliferate in the literature </w:t>
      </w:r>
      <w:hyperlink w:anchor="_ENREF_19" w:tooltip="Contandriopoulos, 2010 #1330" w:history="1">
        <w:r w:rsidR="00ED61F8">
          <w:fldChar w:fldCharType="begin"/>
        </w:r>
        <w:r w:rsidR="00ED61F8">
          <w:instrText xml:space="preserve"> ADDIN EN.CITE &lt;EndNote&gt;&lt;Cite&gt;&lt;Author&gt;Contandriopoulos&lt;/Author&gt;&lt;Year&gt;2010&lt;/Year&gt;&lt;RecNum&gt;1330&lt;/RecNum&gt;&lt;DisplayText&gt;&lt;style face="superscript"&gt;19&lt;/style&gt;&lt;/DisplayText&gt;&lt;record&gt;&lt;rec-number&gt;1330&lt;/rec-number&gt;&lt;foreign-keys&gt;&lt;key app="EN" db-id="r2drx9tfh929f5edwpx5vwxqptr9twsart0z" timestamp="1414511728"&gt;1330&lt;/key&gt;&lt;/foreign-keys&gt;&lt;ref-type name="Journal Article"&gt;17&lt;/ref-type&gt;&lt;contributors&gt;&lt;authors&gt;&lt;author&gt;Contandriopoulos, D,&lt;/author&gt;&lt;author&gt;Lemire, M,&lt;/author&gt;&lt;author&gt;Denis, J.L,&lt;/author&gt;&lt;author&gt;Tremblay, E,&lt;/author&gt;&lt;/authors&gt;&lt;/contributors&gt;&lt;titles&gt;&lt;title&gt;Knowledge Exchange Processes in Organizations and Policy Arenas: A Narrative Systematic Review of the Literature&lt;/title&gt;&lt;secondary-title&gt;Millbank Quarterly&lt;/secondary-title&gt;&lt;/titles&gt;&lt;periodical&gt;&lt;full-title&gt;Millbank Quarterly&lt;/full-title&gt;&lt;/periodical&gt;&lt;pages&gt;444-483&lt;/pages&gt;&lt;volume&gt;88&lt;/volume&gt;&lt;number&gt;4&lt;/number&gt;&lt;dates&gt;&lt;year&gt;2010&lt;/year&gt;&lt;/dates&gt;&lt;urls&gt;&lt;/urls&gt;&lt;/record&gt;&lt;/Cite&gt;&lt;/EndNote&gt;</w:instrText>
        </w:r>
        <w:r w:rsidR="00ED61F8">
          <w:fldChar w:fldCharType="separate"/>
        </w:r>
        <w:r w:rsidR="00ED61F8" w:rsidRPr="00D67586">
          <w:rPr>
            <w:noProof/>
            <w:vertAlign w:val="superscript"/>
          </w:rPr>
          <w:t>19</w:t>
        </w:r>
        <w:r w:rsidR="00ED61F8">
          <w:fldChar w:fldCharType="end"/>
        </w:r>
      </w:hyperlink>
      <w:r w:rsidR="00D67586">
        <w:t>. I</w:t>
      </w:r>
      <w:r w:rsidR="00111A2A">
        <w:t xml:space="preserve">n this </w:t>
      </w:r>
      <w:r w:rsidR="00080C48">
        <w:t>paper,</w:t>
      </w:r>
      <w:r w:rsidR="00111A2A">
        <w:t xml:space="preserve"> knowledge is defined as </w:t>
      </w:r>
      <w:r w:rsidR="00D67586">
        <w:t xml:space="preserve">any tacit or explicit information, skill or expertise and ‘exchange’ is defined </w:t>
      </w:r>
      <w:r w:rsidR="002C311D">
        <w:t xml:space="preserve">as reciprocal </w:t>
      </w:r>
      <w:r w:rsidR="00D67586">
        <w:t xml:space="preserve">transfer. For example, the knowledge from commercial and not-for-profit companies </w:t>
      </w:r>
      <w:r w:rsidR="00080C48">
        <w:t xml:space="preserve">under </w:t>
      </w:r>
      <w:r w:rsidR="00D67586">
        <w:t xml:space="preserve">study included technical skills in deploying software tools and </w:t>
      </w:r>
      <w:r w:rsidR="00080C48">
        <w:t xml:space="preserve">expertise in </w:t>
      </w:r>
      <w:r w:rsidR="00D67586">
        <w:t xml:space="preserve">applying and interpreting </w:t>
      </w:r>
      <w:r w:rsidR="00080C48">
        <w:t>data</w:t>
      </w:r>
      <w:r w:rsidR="00D67586">
        <w:t xml:space="preserve"> output.</w:t>
      </w:r>
      <w:r w:rsidR="00080C48">
        <w:t xml:space="preserve"> However, clients also had valuable knowledge</w:t>
      </w:r>
      <w:r w:rsidR="00B722A0">
        <w:t xml:space="preserve"> to share</w:t>
      </w:r>
      <w:r w:rsidR="00080C48">
        <w:t xml:space="preserve">, such as which local general practices would be most receptive to software tool deployment and how to modify the software to maximise its usability. </w:t>
      </w:r>
      <w:r w:rsidR="00D67586">
        <w:t xml:space="preserve"> </w:t>
      </w:r>
    </w:p>
    <w:p w:rsidR="009356CA" w:rsidRDefault="009356CA" w:rsidP="00D23537">
      <w:pPr>
        <w:spacing w:line="480" w:lineRule="auto"/>
      </w:pPr>
    </w:p>
    <w:p w:rsidR="00512916" w:rsidRDefault="00617A18" w:rsidP="00D23537">
      <w:pPr>
        <w:spacing w:line="480" w:lineRule="auto"/>
      </w:pPr>
      <w:r>
        <w:lastRenderedPageBreak/>
        <w:t>T</w:t>
      </w:r>
      <w:r w:rsidR="00C353A5">
        <w:t xml:space="preserve">he aim of this study </w:t>
      </w:r>
      <w:r w:rsidR="00F941A2">
        <w:t xml:space="preserve">was to </w:t>
      </w:r>
      <w:r>
        <w:t xml:space="preserve">contribute to the </w:t>
      </w:r>
      <w:r w:rsidR="00080C48">
        <w:t xml:space="preserve">debate about the use of external providers in the National Health Service </w:t>
      </w:r>
      <w:r>
        <w:t xml:space="preserve">by </w:t>
      </w:r>
      <w:r w:rsidR="00B76E9B">
        <w:t>understand</w:t>
      </w:r>
      <w:r>
        <w:t>ing</w:t>
      </w:r>
      <w:r w:rsidR="00B76E9B">
        <w:t xml:space="preserve"> how commissioners and external </w:t>
      </w:r>
      <w:r w:rsidR="00B722A0">
        <w:t xml:space="preserve">consultants </w:t>
      </w:r>
      <w:r w:rsidR="00B76E9B">
        <w:t>work together</w:t>
      </w:r>
      <w:r w:rsidR="00C353A5">
        <w:t>, the processes of knowledge exchange</w:t>
      </w:r>
      <w:r w:rsidR="00336BDA">
        <w:t xml:space="preserve"> and</w:t>
      </w:r>
      <w:r w:rsidR="00B76E9B">
        <w:t xml:space="preserve"> </w:t>
      </w:r>
      <w:r w:rsidR="0022234B">
        <w:t xml:space="preserve">the </w:t>
      </w:r>
      <w:r w:rsidR="00FB08E7">
        <w:t xml:space="preserve">perceived </w:t>
      </w:r>
      <w:r w:rsidR="00B76E9B">
        <w:t>impact</w:t>
      </w:r>
      <w:r w:rsidR="00C56A15">
        <w:t xml:space="preserve"> </w:t>
      </w:r>
      <w:r w:rsidR="00C353A5">
        <w:t xml:space="preserve">on commissioning decisions. </w:t>
      </w:r>
      <w:r w:rsidR="00801C02">
        <w:t xml:space="preserve">This study includes data for contracts both pre-dating and occurring contemporaneously with the implementation of the 2012 Health and Social Care Act. </w:t>
      </w:r>
    </w:p>
    <w:p w:rsidR="00FA641F" w:rsidRDefault="00FA641F" w:rsidP="00D23537">
      <w:pPr>
        <w:spacing w:line="480" w:lineRule="auto"/>
        <w:rPr>
          <w:b/>
        </w:rPr>
      </w:pPr>
    </w:p>
    <w:p w:rsidR="001B139B" w:rsidRDefault="001B139B" w:rsidP="00D23537">
      <w:pPr>
        <w:spacing w:line="480" w:lineRule="auto"/>
        <w:rPr>
          <w:b/>
        </w:rPr>
      </w:pPr>
      <w:r>
        <w:rPr>
          <w:b/>
        </w:rPr>
        <w:t>METHODS</w:t>
      </w:r>
    </w:p>
    <w:p w:rsidR="0090291F" w:rsidRDefault="0090291F" w:rsidP="00D23537">
      <w:pPr>
        <w:spacing w:line="480" w:lineRule="auto"/>
        <w:rPr>
          <w:rFonts w:cs="Arial"/>
          <w:szCs w:val="24"/>
        </w:rPr>
      </w:pPr>
      <w:r>
        <w:rPr>
          <w:rFonts w:cs="Arial"/>
          <w:b/>
          <w:szCs w:val="24"/>
        </w:rPr>
        <w:t>Study design</w:t>
      </w:r>
    </w:p>
    <w:p w:rsidR="0090291F" w:rsidRDefault="000A7072" w:rsidP="00D23537">
      <w:pPr>
        <w:spacing w:line="480" w:lineRule="auto"/>
        <w:rPr>
          <w:rFonts w:cs="Arial"/>
          <w:szCs w:val="24"/>
        </w:rPr>
      </w:pPr>
      <w:r>
        <w:t xml:space="preserve">We selected a </w:t>
      </w:r>
      <w:r w:rsidR="00E62FD9">
        <w:t xml:space="preserve">mixed methods </w:t>
      </w:r>
      <w:r>
        <w:t xml:space="preserve">case study approach, as </w:t>
      </w:r>
      <w:r w:rsidR="00C353A5">
        <w:t xml:space="preserve">appropriate for </w:t>
      </w:r>
      <w:r w:rsidR="0090291F">
        <w:t>exploratory questions</w:t>
      </w:r>
      <w:r w:rsidR="00C353A5">
        <w:t xml:space="preserve"> in a</w:t>
      </w:r>
      <w:r w:rsidR="0090291F">
        <w:t xml:space="preserve"> real-life context</w:t>
      </w:r>
      <w:r w:rsidR="00C353A5">
        <w:t>, where there are few opportunities to control events and settings</w:t>
      </w:r>
      <w:r w:rsidR="0090291F">
        <w:t xml:space="preserve"> </w:t>
      </w:r>
      <w:hyperlink w:anchor="_ENREF_20" w:tooltip="Yin, 2002 #115" w:history="1">
        <w:r w:rsidR="00ED61F8">
          <w:fldChar w:fldCharType="begin"/>
        </w:r>
        <w:r w:rsidR="00ED61F8">
          <w:instrText xml:space="preserve"> ADDIN EN.CITE &lt;EndNote&gt;&lt;Cite&gt;&lt;Author&gt;Yin&lt;/Author&gt;&lt;Year&gt;2002&lt;/Year&gt;&lt;RecNum&gt;115&lt;/RecNum&gt;&lt;DisplayText&gt;&lt;style face="superscript"&gt;20&lt;/style&gt;&lt;/DisplayText&gt;&lt;record&gt;&lt;rec-number&gt;115&lt;/rec-number&gt;&lt;foreign-keys&gt;&lt;key app="EN" db-id="r2drx9tfh929f5edwpx5vwxqptr9twsart0z" timestamp="1354554126"&gt;115&lt;/key&gt;&lt;/foreign-keys&gt;&lt;ref-type name="Book"&gt;6&lt;/ref-type&gt;&lt;contributors&gt;&lt;authors&gt;&lt;author&gt;Yin,R.&lt;/author&gt;&lt;/authors&gt;&lt;/contributors&gt;&lt;titles&gt;&lt;title&gt;Case Study Research&lt;/title&gt;&lt;/titles&gt;&lt;edition&gt;3rd edition&lt;/edition&gt;&lt;reprint-edition&gt;In File&lt;/reprint-edition&gt;&lt;keywords&gt;&lt;keyword&gt;case study&lt;/keyword&gt;&lt;keyword&gt;control&lt;/keyword&gt;&lt;keyword&gt;methodology&lt;/keyword&gt;&lt;keyword&gt;observation&lt;/keyword&gt;&lt;keyword&gt;Qualitative research&lt;/keyword&gt;&lt;keyword&gt;research&lt;/keyword&gt;&lt;keyword&gt;research methodology&lt;/keyword&gt;&lt;keyword&gt;research models&lt;/keyword&gt;&lt;keyword&gt;triangulation&lt;/keyword&gt;&lt;/keywords&gt;&lt;dates&gt;&lt;year&gt;2002&lt;/year&gt;&lt;/dates&gt;&lt;pub-location&gt;London&lt;/pub-location&gt;&lt;publisher&gt;Sage&lt;/publisher&gt;&lt;label&gt;116&lt;/label&gt;&lt;urls&gt;&lt;/urls&gt;&lt;/record&gt;&lt;/Cite&gt;&lt;/EndNote&gt;</w:instrText>
        </w:r>
        <w:r w:rsidR="00ED61F8">
          <w:fldChar w:fldCharType="separate"/>
        </w:r>
        <w:r w:rsidR="00ED61F8" w:rsidRPr="00D67586">
          <w:rPr>
            <w:noProof/>
            <w:vertAlign w:val="superscript"/>
          </w:rPr>
          <w:t>20</w:t>
        </w:r>
        <w:r w:rsidR="00ED61F8">
          <w:fldChar w:fldCharType="end"/>
        </w:r>
      </w:hyperlink>
      <w:r w:rsidR="0090291F">
        <w:t>.</w:t>
      </w:r>
      <w:r w:rsidR="001E1BD9">
        <w:rPr>
          <w:rFonts w:cs="Arial"/>
          <w:szCs w:val="24"/>
        </w:rPr>
        <w:t xml:space="preserve"> This study received ethical permission from South West Ethics Committee 2 (10/H0206/52).</w:t>
      </w:r>
    </w:p>
    <w:p w:rsidR="00544585" w:rsidRDefault="00544585" w:rsidP="00D23537">
      <w:pPr>
        <w:spacing w:line="480" w:lineRule="auto"/>
      </w:pPr>
    </w:p>
    <w:p w:rsidR="0090291F" w:rsidRPr="0090291F" w:rsidRDefault="0090291F" w:rsidP="00D23537">
      <w:pPr>
        <w:spacing w:line="480" w:lineRule="auto"/>
        <w:rPr>
          <w:rFonts w:cs="Arial"/>
          <w:b/>
          <w:szCs w:val="24"/>
        </w:rPr>
      </w:pPr>
      <w:r>
        <w:rPr>
          <w:rFonts w:cs="Arial"/>
          <w:b/>
          <w:szCs w:val="24"/>
        </w:rPr>
        <w:t>Case site selection</w:t>
      </w:r>
    </w:p>
    <w:p w:rsidR="000C2B9C" w:rsidRDefault="0037633D" w:rsidP="00D23537">
      <w:pPr>
        <w:spacing w:line="480" w:lineRule="auto"/>
        <w:rPr>
          <w:rFonts w:cs="Arial"/>
          <w:szCs w:val="24"/>
        </w:rPr>
      </w:pPr>
      <w:r>
        <w:rPr>
          <w:rFonts w:cs="Arial"/>
          <w:szCs w:val="24"/>
        </w:rPr>
        <w:t>W</w:t>
      </w:r>
      <w:r w:rsidR="00811EF4">
        <w:rPr>
          <w:rFonts w:cs="Arial"/>
          <w:szCs w:val="24"/>
        </w:rPr>
        <w:t>e recruited two commercial providers and one not-for-profit agency.</w:t>
      </w:r>
      <w:r w:rsidR="000C2B9C">
        <w:rPr>
          <w:rFonts w:cs="Arial"/>
          <w:szCs w:val="24"/>
        </w:rPr>
        <w:t xml:space="preserve"> </w:t>
      </w:r>
      <w:r w:rsidR="00544585">
        <w:rPr>
          <w:rFonts w:cs="Arial"/>
          <w:szCs w:val="24"/>
        </w:rPr>
        <w:t>Th</w:t>
      </w:r>
      <w:r w:rsidR="0096490A">
        <w:rPr>
          <w:rFonts w:cs="Arial"/>
          <w:szCs w:val="24"/>
        </w:rPr>
        <w:t>e first</w:t>
      </w:r>
      <w:r w:rsidR="00544585">
        <w:rPr>
          <w:rFonts w:cs="Arial"/>
          <w:szCs w:val="24"/>
        </w:rPr>
        <w:t xml:space="preserve"> </w:t>
      </w:r>
      <w:r w:rsidR="00B722A0">
        <w:rPr>
          <w:rFonts w:cs="Arial"/>
          <w:szCs w:val="24"/>
        </w:rPr>
        <w:t xml:space="preserve">external </w:t>
      </w:r>
      <w:r w:rsidR="00544585">
        <w:rPr>
          <w:rFonts w:cs="Arial"/>
          <w:szCs w:val="24"/>
        </w:rPr>
        <w:t>provider approached a competitor on our behalf</w:t>
      </w:r>
      <w:r w:rsidR="00717B10">
        <w:rPr>
          <w:rFonts w:cs="Arial"/>
          <w:szCs w:val="24"/>
        </w:rPr>
        <w:t>,</w:t>
      </w:r>
      <w:r w:rsidR="00544585">
        <w:rPr>
          <w:rFonts w:cs="Arial"/>
          <w:szCs w:val="24"/>
        </w:rPr>
        <w:t xml:space="preserve"> following ‘snowball’ sampling recruitment, which is an accepted feature of ethnographic research </w:t>
      </w:r>
      <w:hyperlink w:anchor="_ENREF_21" w:tooltip="Hammersley, 1995 #95" w:history="1">
        <w:r w:rsidR="00ED61F8">
          <w:fldChar w:fldCharType="begin"/>
        </w:r>
        <w:r w:rsidR="00ED61F8">
          <w:instrText xml:space="preserve"> ADDIN EN.CITE &lt;EndNote&gt;&lt;Cite&gt;&lt;Author&gt;Hammersley&lt;/Author&gt;&lt;Year&gt;1995&lt;/Year&gt;&lt;RecNum&gt;95&lt;/RecNum&gt;&lt;DisplayText&gt;&lt;style face="superscript"&gt;21&lt;/style&gt;&lt;/DisplayText&gt;&lt;record&gt;&lt;rec-number&gt;95&lt;/rec-number&gt;&lt;foreign-keys&gt;&lt;key app="EN" db-id="r2drx9tfh929f5edwpx5vwxqptr9twsart0z" timestamp="1354554126"&gt;95&lt;/key&gt;&lt;/foreign-keys&gt;&lt;ref-type name="Book"&gt;6&lt;/ref-type&gt;&lt;contributors&gt;&lt;authors&gt;&lt;author&gt;Hammersley,M.&lt;/author&gt;&lt;author&gt;Atkinson,P.&lt;/author&gt;&lt;/authors&gt;&lt;/contributors&gt;&lt;titles&gt;&lt;title&gt;Ethnography: Principles and Practice&lt;/title&gt;&lt;/titles&gt;&lt;reprint-edition&gt;Not in File&lt;/reprint-edition&gt;&lt;keywords&gt;&lt;keyword&gt;Knowledge&lt;/keyword&gt;&lt;keyword&gt;needs&lt;/keyword&gt;&lt;keyword&gt;Qualitative research&lt;/keyword&gt;&lt;keyword&gt;research&lt;/keyword&gt;&lt;keyword&gt;research methodology&lt;/keyword&gt;&lt;keyword&gt;research models&lt;/keyword&gt;&lt;keyword&gt;sampling&lt;/keyword&gt;&lt;keyword&gt;social anthropology&lt;/keyword&gt;&lt;keyword&gt;survey&lt;/keyword&gt;&lt;keyword&gt;triangulation&lt;/keyword&gt;&lt;keyword&gt;evaluation&lt;/keyword&gt;&lt;keyword&gt;time&lt;/keyword&gt;&lt;/keywords&gt;&lt;dates&gt;&lt;year&gt;1995&lt;/year&gt;&lt;/dates&gt;&lt;pub-location&gt;London&lt;/pub-location&gt;&lt;publisher&gt;Routledge&lt;/publisher&gt;&lt;label&gt;96&lt;/label&gt;&lt;urls&gt;&lt;/urls&gt;&lt;/record&gt;&lt;/Cite&gt;&lt;/EndNote&gt;</w:instrText>
        </w:r>
        <w:r w:rsidR="00ED61F8">
          <w:fldChar w:fldCharType="separate"/>
        </w:r>
        <w:r w:rsidR="00ED61F8" w:rsidRPr="00D67586">
          <w:rPr>
            <w:noProof/>
            <w:vertAlign w:val="superscript"/>
          </w:rPr>
          <w:t>21</w:t>
        </w:r>
        <w:r w:rsidR="00ED61F8">
          <w:fldChar w:fldCharType="end"/>
        </w:r>
      </w:hyperlink>
      <w:r w:rsidR="001E1BD9">
        <w:t xml:space="preserve">. </w:t>
      </w:r>
      <w:r w:rsidR="00C353A5">
        <w:t>T</w:t>
      </w:r>
      <w:r w:rsidR="00B23687">
        <w:rPr>
          <w:rFonts w:cs="Arial"/>
          <w:szCs w:val="24"/>
        </w:rPr>
        <w:t>his</w:t>
      </w:r>
      <w:r w:rsidR="00811EF4">
        <w:rPr>
          <w:rFonts w:cs="Arial"/>
          <w:szCs w:val="24"/>
        </w:rPr>
        <w:t xml:space="preserve"> </w:t>
      </w:r>
      <w:r w:rsidR="00D6443A">
        <w:rPr>
          <w:rFonts w:cs="Arial"/>
          <w:szCs w:val="24"/>
        </w:rPr>
        <w:t xml:space="preserve">competitor </w:t>
      </w:r>
      <w:r w:rsidR="00811EF4">
        <w:rPr>
          <w:rFonts w:cs="Arial"/>
          <w:szCs w:val="24"/>
        </w:rPr>
        <w:t xml:space="preserve">became the second commercial provider </w:t>
      </w:r>
      <w:r w:rsidR="00864F7A">
        <w:rPr>
          <w:rFonts w:cs="Arial"/>
          <w:szCs w:val="24"/>
        </w:rPr>
        <w:t>under</w:t>
      </w:r>
      <w:r w:rsidR="00811EF4">
        <w:rPr>
          <w:rFonts w:cs="Arial"/>
          <w:szCs w:val="24"/>
        </w:rPr>
        <w:t xml:space="preserve"> study. </w:t>
      </w:r>
      <w:r w:rsidR="00D6443A">
        <w:rPr>
          <w:rFonts w:cs="Arial"/>
          <w:szCs w:val="24"/>
        </w:rPr>
        <w:t>A</w:t>
      </w:r>
      <w:r w:rsidR="00811EF4">
        <w:rPr>
          <w:rFonts w:cs="Arial"/>
          <w:szCs w:val="24"/>
        </w:rPr>
        <w:t xml:space="preserve"> not-f</w:t>
      </w:r>
      <w:r w:rsidR="00B23687">
        <w:rPr>
          <w:rFonts w:cs="Arial"/>
          <w:szCs w:val="24"/>
        </w:rPr>
        <w:t xml:space="preserve">or-profit company was approached and </w:t>
      </w:r>
      <w:r w:rsidR="00544585">
        <w:rPr>
          <w:rFonts w:cs="Arial"/>
          <w:szCs w:val="24"/>
        </w:rPr>
        <w:t xml:space="preserve">then </w:t>
      </w:r>
      <w:r w:rsidR="00B23687">
        <w:rPr>
          <w:rFonts w:cs="Arial"/>
          <w:szCs w:val="24"/>
        </w:rPr>
        <w:t xml:space="preserve">recruited </w:t>
      </w:r>
      <w:r w:rsidR="00C42A7C">
        <w:rPr>
          <w:rFonts w:cs="Arial"/>
          <w:szCs w:val="24"/>
        </w:rPr>
        <w:t xml:space="preserve">to contrast commercial and </w:t>
      </w:r>
      <w:r w:rsidR="00864F7A">
        <w:rPr>
          <w:rFonts w:cs="Arial"/>
          <w:szCs w:val="24"/>
        </w:rPr>
        <w:t xml:space="preserve">not-for-profit </w:t>
      </w:r>
      <w:r w:rsidR="006600DC">
        <w:rPr>
          <w:rFonts w:cs="Arial"/>
          <w:szCs w:val="24"/>
        </w:rPr>
        <w:t>providers</w:t>
      </w:r>
      <w:r w:rsidR="00811EF4">
        <w:rPr>
          <w:rFonts w:cs="Arial"/>
          <w:szCs w:val="24"/>
        </w:rPr>
        <w:t xml:space="preserve">. </w:t>
      </w:r>
    </w:p>
    <w:p w:rsidR="00544585" w:rsidRDefault="00544585" w:rsidP="00D23537">
      <w:pPr>
        <w:spacing w:line="480" w:lineRule="auto"/>
        <w:rPr>
          <w:rFonts w:cs="Arial"/>
          <w:szCs w:val="24"/>
        </w:rPr>
      </w:pPr>
    </w:p>
    <w:p w:rsidR="00811EF4" w:rsidRDefault="006600DC" w:rsidP="00D23537">
      <w:pPr>
        <w:autoSpaceDE w:val="0"/>
        <w:autoSpaceDN w:val="0"/>
        <w:adjustRightInd w:val="0"/>
        <w:spacing w:after="120" w:line="480" w:lineRule="auto"/>
        <w:rPr>
          <w:rFonts w:cs="Arial"/>
          <w:szCs w:val="24"/>
        </w:rPr>
      </w:pPr>
      <w:r>
        <w:rPr>
          <w:rFonts w:cs="Arial"/>
          <w:szCs w:val="24"/>
        </w:rPr>
        <w:lastRenderedPageBreak/>
        <w:t xml:space="preserve">To preserve anonymity, we will use the term ‘external provider’ to mean both commercial and not-for-profit for the </w:t>
      </w:r>
      <w:r w:rsidR="00C353A5">
        <w:rPr>
          <w:rFonts w:cs="Arial"/>
          <w:szCs w:val="24"/>
        </w:rPr>
        <w:t>organisations studied</w:t>
      </w:r>
      <w:r>
        <w:rPr>
          <w:rFonts w:cs="Arial"/>
          <w:szCs w:val="24"/>
        </w:rPr>
        <w:t xml:space="preserve">. </w:t>
      </w:r>
      <w:r w:rsidR="00864F7A">
        <w:rPr>
          <w:rFonts w:cs="Arial"/>
          <w:szCs w:val="24"/>
        </w:rPr>
        <w:t>Using pseudonyms, t</w:t>
      </w:r>
      <w:r w:rsidR="00811EF4">
        <w:rPr>
          <w:rFonts w:cs="Arial"/>
          <w:szCs w:val="24"/>
        </w:rPr>
        <w:t>he external providers</w:t>
      </w:r>
      <w:r w:rsidR="00C353A5">
        <w:rPr>
          <w:rFonts w:cs="Arial"/>
          <w:szCs w:val="24"/>
        </w:rPr>
        <w:t xml:space="preserve"> were</w:t>
      </w:r>
      <w:r w:rsidR="00811EF4">
        <w:rPr>
          <w:rFonts w:cs="Arial"/>
          <w:szCs w:val="24"/>
        </w:rPr>
        <w:t>:</w:t>
      </w:r>
    </w:p>
    <w:p w:rsidR="0090291F" w:rsidRDefault="0090291F" w:rsidP="00D23537">
      <w:pPr>
        <w:pStyle w:val="ListParagraph"/>
        <w:numPr>
          <w:ilvl w:val="0"/>
          <w:numId w:val="4"/>
        </w:numPr>
        <w:spacing w:line="480" w:lineRule="auto"/>
      </w:pPr>
      <w:r>
        <w:t xml:space="preserve">Heron – a multi-national with a suite of </w:t>
      </w:r>
      <w:r w:rsidR="006600DC">
        <w:t xml:space="preserve">software </w:t>
      </w:r>
      <w:r>
        <w:t>tools and mixed expert UK/ non-UK staff, offering analytics and project management.</w:t>
      </w:r>
    </w:p>
    <w:p w:rsidR="0090291F" w:rsidRDefault="0090291F" w:rsidP="00D23537">
      <w:pPr>
        <w:pStyle w:val="ListParagraph"/>
        <w:numPr>
          <w:ilvl w:val="0"/>
          <w:numId w:val="4"/>
        </w:numPr>
        <w:spacing w:line="480" w:lineRule="auto"/>
      </w:pPr>
      <w:r>
        <w:t>Jackdaw –</w:t>
      </w:r>
      <w:r w:rsidR="00617A18">
        <w:t xml:space="preserve"> a</w:t>
      </w:r>
      <w:r>
        <w:t xml:space="preserve"> small, international</w:t>
      </w:r>
      <w:r w:rsidR="000C2B9C">
        <w:t xml:space="preserve"> company </w:t>
      </w:r>
      <w:r>
        <w:t xml:space="preserve">offering one </w:t>
      </w:r>
      <w:r w:rsidR="006600DC">
        <w:t xml:space="preserve">software </w:t>
      </w:r>
      <w:r>
        <w:t>tool.</w:t>
      </w:r>
    </w:p>
    <w:p w:rsidR="0090291F" w:rsidRDefault="0090291F" w:rsidP="00D23537">
      <w:pPr>
        <w:pStyle w:val="ListParagraph"/>
        <w:numPr>
          <w:ilvl w:val="0"/>
          <w:numId w:val="4"/>
        </w:numPr>
        <w:spacing w:line="480" w:lineRule="auto"/>
      </w:pPr>
      <w:r>
        <w:t xml:space="preserve">Swallow – a national company with a suite of </w:t>
      </w:r>
      <w:r w:rsidR="006600DC">
        <w:t xml:space="preserve">software </w:t>
      </w:r>
      <w:r>
        <w:t>tools staffed largely by ex-NHS personnel offering analytical and commissioning expertise.</w:t>
      </w:r>
    </w:p>
    <w:p w:rsidR="00544585" w:rsidRDefault="00E62FD9" w:rsidP="00D23537">
      <w:pPr>
        <w:autoSpaceDE w:val="0"/>
        <w:autoSpaceDN w:val="0"/>
        <w:adjustRightInd w:val="0"/>
        <w:spacing w:after="120" w:line="480" w:lineRule="auto"/>
      </w:pPr>
      <w:r>
        <w:t xml:space="preserve">Each external provider </w:t>
      </w:r>
      <w:r w:rsidR="00C353A5">
        <w:t xml:space="preserve">was treated as a case. </w:t>
      </w:r>
      <w:r>
        <w:t xml:space="preserve">An additional case </w:t>
      </w:r>
      <w:r w:rsidR="00617A18">
        <w:t xml:space="preserve">study </w:t>
      </w:r>
      <w:r>
        <w:t xml:space="preserve">was drawn from </w:t>
      </w:r>
      <w:r w:rsidR="00544585">
        <w:t xml:space="preserve">a sub-contract within the Swallow data, making four external provider cases. </w:t>
      </w:r>
    </w:p>
    <w:p w:rsidR="00544585" w:rsidRDefault="00544585" w:rsidP="00D23537">
      <w:pPr>
        <w:autoSpaceDE w:val="0"/>
        <w:autoSpaceDN w:val="0"/>
        <w:adjustRightInd w:val="0"/>
        <w:spacing w:after="120" w:line="480" w:lineRule="auto"/>
      </w:pPr>
    </w:p>
    <w:p w:rsidR="0090291F" w:rsidRPr="003E0814" w:rsidRDefault="000F5C0B" w:rsidP="00D23537">
      <w:pPr>
        <w:autoSpaceDE w:val="0"/>
        <w:autoSpaceDN w:val="0"/>
        <w:adjustRightInd w:val="0"/>
        <w:spacing w:after="120" w:line="480" w:lineRule="auto"/>
      </w:pPr>
      <w:r>
        <w:t>To access the views of NHS c</w:t>
      </w:r>
      <w:r w:rsidR="00544585">
        <w:t>ommissioners</w:t>
      </w:r>
      <w:r>
        <w:t>, w</w:t>
      </w:r>
      <w:r w:rsidR="0090291F">
        <w:t>e</w:t>
      </w:r>
      <w:r w:rsidR="0037633D">
        <w:t xml:space="preserve"> </w:t>
      </w:r>
      <w:r w:rsidR="0090291F">
        <w:t>recruited four commissioning organisations</w:t>
      </w:r>
      <w:r w:rsidR="000A7072">
        <w:t xml:space="preserve"> </w:t>
      </w:r>
      <w:r w:rsidR="00617A18">
        <w:t>that</w:t>
      </w:r>
      <w:r w:rsidR="00544585">
        <w:t xml:space="preserve"> had contracts with at least one of the </w:t>
      </w:r>
      <w:r w:rsidR="00B76E9B">
        <w:t xml:space="preserve">external </w:t>
      </w:r>
      <w:r w:rsidR="0090291F">
        <w:t xml:space="preserve">providers. </w:t>
      </w:r>
      <w:r w:rsidR="00962589">
        <w:t>Using pseudonyms, t</w:t>
      </w:r>
      <w:r w:rsidR="0090291F">
        <w:t xml:space="preserve">hese </w:t>
      </w:r>
      <w:r w:rsidR="009861E2">
        <w:t>were</w:t>
      </w:r>
      <w:r w:rsidR="0090291F">
        <w:rPr>
          <w:rFonts w:cs="Arial"/>
          <w:szCs w:val="24"/>
        </w:rPr>
        <w:t xml:space="preserve">: </w:t>
      </w:r>
    </w:p>
    <w:p w:rsidR="0090291F" w:rsidRDefault="0090291F" w:rsidP="00D23537">
      <w:pPr>
        <w:pStyle w:val="ListParagraph"/>
        <w:numPr>
          <w:ilvl w:val="0"/>
          <w:numId w:val="3"/>
        </w:numPr>
        <w:spacing w:line="480" w:lineRule="auto"/>
      </w:pPr>
      <w:proofErr w:type="spellStart"/>
      <w:r>
        <w:t>Carnford</w:t>
      </w:r>
      <w:proofErr w:type="spellEnd"/>
      <w:r>
        <w:t xml:space="preserve"> CCG - struggling financially, highly collaborative with its healthcare providers and reliant on the use of tools and the data produced from those tools to influence commissioning decisions. </w:t>
      </w:r>
    </w:p>
    <w:p w:rsidR="0090291F" w:rsidRDefault="0090291F" w:rsidP="00D23537">
      <w:pPr>
        <w:pStyle w:val="ListParagraph"/>
        <w:numPr>
          <w:ilvl w:val="0"/>
          <w:numId w:val="3"/>
        </w:numPr>
        <w:spacing w:line="480" w:lineRule="auto"/>
      </w:pPr>
      <w:proofErr w:type="spellStart"/>
      <w:r>
        <w:t>Deanshire</w:t>
      </w:r>
      <w:proofErr w:type="spellEnd"/>
      <w:r>
        <w:t xml:space="preserve"> CCG – relatively confident as a commissioning organisation, focused on governance, carr</w:t>
      </w:r>
      <w:r w:rsidR="00617A18">
        <w:t>ying</w:t>
      </w:r>
      <w:r>
        <w:t xml:space="preserve"> out some innovative projects in partnership with commercial providers. </w:t>
      </w:r>
    </w:p>
    <w:p w:rsidR="0090291F" w:rsidRDefault="0090291F" w:rsidP="00D23537">
      <w:pPr>
        <w:pStyle w:val="ListParagraph"/>
        <w:numPr>
          <w:ilvl w:val="0"/>
          <w:numId w:val="3"/>
        </w:numPr>
        <w:spacing w:line="480" w:lineRule="auto"/>
      </w:pPr>
      <w:proofErr w:type="spellStart"/>
      <w:r>
        <w:t>Norchester</w:t>
      </w:r>
      <w:proofErr w:type="spellEnd"/>
      <w:r>
        <w:t xml:space="preserve"> CCG - financially challenged, emphasis on (ideally academic research) evidence based policy making, piloting new ways of commissioning contracts, with substantial aid from commercial and not-for-profit providers.</w:t>
      </w:r>
    </w:p>
    <w:p w:rsidR="0090291F" w:rsidRDefault="0090291F" w:rsidP="00D23537">
      <w:pPr>
        <w:pStyle w:val="ListParagraph"/>
        <w:numPr>
          <w:ilvl w:val="0"/>
          <w:numId w:val="3"/>
        </w:numPr>
        <w:spacing w:line="480" w:lineRule="auto"/>
      </w:pPr>
      <w:proofErr w:type="spellStart"/>
      <w:r>
        <w:lastRenderedPageBreak/>
        <w:t>Penborough</w:t>
      </w:r>
      <w:proofErr w:type="spellEnd"/>
      <w:r>
        <w:t xml:space="preserve"> CCG – creating an integrated network of health and social care provision with a heavy emphasis on public involvement, historically extensive use of commercial and not-for-profit providers and freelance consultants.</w:t>
      </w:r>
    </w:p>
    <w:p w:rsidR="00544585" w:rsidRDefault="00544585" w:rsidP="00D23537">
      <w:pPr>
        <w:spacing w:line="480" w:lineRule="auto"/>
      </w:pPr>
    </w:p>
    <w:p w:rsidR="00544585" w:rsidRDefault="00C42A7C" w:rsidP="00D23537">
      <w:pPr>
        <w:spacing w:line="480" w:lineRule="auto"/>
      </w:pPr>
      <w:r>
        <w:t xml:space="preserve">At the close of fieldwork, we had eight case studies </w:t>
      </w:r>
      <w:r w:rsidR="001B1C92">
        <w:t xml:space="preserve">of the transactions </w:t>
      </w:r>
      <w:r w:rsidR="0096490A">
        <w:t>between external providers and commissioning organisations</w:t>
      </w:r>
      <w:r w:rsidR="0088102B">
        <w:t xml:space="preserve">. </w:t>
      </w:r>
      <w:r w:rsidR="0096490A">
        <w:t xml:space="preserve">We were specifically interested in contracts with a </w:t>
      </w:r>
      <w:r w:rsidR="001E1BD9">
        <w:t>significant knowledge exchange component at various stages e.g. beginning, middle and post-contract.</w:t>
      </w:r>
      <w:r w:rsidR="0088102B" w:rsidRPr="0088102B">
        <w:t xml:space="preserve"> </w:t>
      </w:r>
      <w:r w:rsidR="0088102B">
        <w:t xml:space="preserve">Some commissioning organisations had contracts with more than one study provider, for example </w:t>
      </w:r>
      <w:proofErr w:type="spellStart"/>
      <w:r w:rsidR="0088102B">
        <w:t>Norchester</w:t>
      </w:r>
      <w:proofErr w:type="spellEnd"/>
      <w:r w:rsidR="0088102B">
        <w:t xml:space="preserve"> worke</w:t>
      </w:r>
      <w:r w:rsidR="00150CE5">
        <w:t xml:space="preserve">d with both Swallow and Jackdaw and some contracts included commissioning organisations other than </w:t>
      </w:r>
      <w:proofErr w:type="spellStart"/>
      <w:r w:rsidR="00150CE5">
        <w:t>Carnford</w:t>
      </w:r>
      <w:proofErr w:type="spellEnd"/>
      <w:r w:rsidR="00150CE5">
        <w:t xml:space="preserve">, </w:t>
      </w:r>
      <w:proofErr w:type="spellStart"/>
      <w:r w:rsidR="00150CE5">
        <w:t>Deanshire</w:t>
      </w:r>
      <w:proofErr w:type="spellEnd"/>
      <w:r w:rsidR="00150CE5">
        <w:t xml:space="preserve">, </w:t>
      </w:r>
      <w:proofErr w:type="spellStart"/>
      <w:r w:rsidR="00150CE5">
        <w:t>Norchester</w:t>
      </w:r>
      <w:proofErr w:type="spellEnd"/>
      <w:r w:rsidR="00150CE5">
        <w:t xml:space="preserve"> and </w:t>
      </w:r>
      <w:proofErr w:type="spellStart"/>
      <w:r w:rsidR="00150CE5">
        <w:t>Penborough</w:t>
      </w:r>
      <w:proofErr w:type="spellEnd"/>
      <w:r w:rsidR="00150CE5">
        <w:t xml:space="preserve">. </w:t>
      </w:r>
    </w:p>
    <w:p w:rsidR="00544585" w:rsidRDefault="00544585" w:rsidP="00D23537">
      <w:pPr>
        <w:spacing w:line="480" w:lineRule="auto"/>
        <w:rPr>
          <w:rFonts w:cs="Arial"/>
          <w:b/>
          <w:szCs w:val="24"/>
        </w:rPr>
      </w:pPr>
    </w:p>
    <w:p w:rsidR="0090291F" w:rsidRPr="0090291F" w:rsidRDefault="0090291F" w:rsidP="00D23537">
      <w:pPr>
        <w:spacing w:line="480" w:lineRule="auto"/>
        <w:rPr>
          <w:rFonts w:cs="Arial"/>
          <w:b/>
          <w:szCs w:val="24"/>
        </w:rPr>
      </w:pPr>
      <w:r>
        <w:rPr>
          <w:rFonts w:cs="Arial"/>
          <w:b/>
          <w:szCs w:val="24"/>
        </w:rPr>
        <w:t>Data collection</w:t>
      </w:r>
    </w:p>
    <w:p w:rsidR="00B23687" w:rsidRDefault="0090291F" w:rsidP="00D23537">
      <w:pPr>
        <w:spacing w:line="480" w:lineRule="auto"/>
      </w:pPr>
      <w:r>
        <w:rPr>
          <w:rFonts w:cs="Arial"/>
          <w:szCs w:val="24"/>
        </w:rPr>
        <w:t>W</w:t>
      </w:r>
      <w:r w:rsidRPr="00245509">
        <w:rPr>
          <w:rFonts w:cs="Arial"/>
          <w:szCs w:val="24"/>
        </w:rPr>
        <w:t>e collect</w:t>
      </w:r>
      <w:r>
        <w:rPr>
          <w:rFonts w:cs="Arial"/>
          <w:szCs w:val="24"/>
        </w:rPr>
        <w:t>ed</w:t>
      </w:r>
      <w:r w:rsidRPr="00245509">
        <w:rPr>
          <w:rFonts w:cs="Arial"/>
          <w:szCs w:val="24"/>
        </w:rPr>
        <w:t xml:space="preserve"> interview, observation and documenta</w:t>
      </w:r>
      <w:r w:rsidR="009E34EF">
        <w:rPr>
          <w:rFonts w:cs="Arial"/>
          <w:szCs w:val="24"/>
        </w:rPr>
        <w:t xml:space="preserve">ry data </w:t>
      </w:r>
      <w:r>
        <w:rPr>
          <w:rFonts w:cs="Arial"/>
          <w:szCs w:val="24"/>
        </w:rPr>
        <w:t xml:space="preserve">from </w:t>
      </w:r>
      <w:r w:rsidR="00CF4B86">
        <w:rPr>
          <w:rFonts w:cs="Arial"/>
          <w:szCs w:val="24"/>
        </w:rPr>
        <w:t>February</w:t>
      </w:r>
      <w:r>
        <w:rPr>
          <w:rFonts w:cs="Arial"/>
          <w:szCs w:val="24"/>
        </w:rPr>
        <w:t xml:space="preserve"> 2011 to </w:t>
      </w:r>
      <w:r w:rsidR="00CF4B86">
        <w:rPr>
          <w:rFonts w:cs="Arial"/>
          <w:szCs w:val="24"/>
        </w:rPr>
        <w:t xml:space="preserve">May </w:t>
      </w:r>
      <w:r>
        <w:rPr>
          <w:rFonts w:cs="Arial"/>
          <w:szCs w:val="24"/>
        </w:rPr>
        <w:t>2013</w:t>
      </w:r>
      <w:r w:rsidR="00801C02">
        <w:rPr>
          <w:rFonts w:cs="Arial"/>
          <w:szCs w:val="24"/>
        </w:rPr>
        <w:t xml:space="preserve">, which was nine months after the publication of </w:t>
      </w:r>
      <w:r w:rsidR="00801C02">
        <w:rPr>
          <w:rFonts w:cs="Arial"/>
          <w:i/>
          <w:szCs w:val="24"/>
        </w:rPr>
        <w:t>Liberating the NHS</w:t>
      </w:r>
      <w:r w:rsidR="00801C02">
        <w:rPr>
          <w:rFonts w:cs="Arial"/>
          <w:szCs w:val="24"/>
        </w:rPr>
        <w:t xml:space="preserve"> the White Paper that led to the 2012 Health and Social Care Act</w:t>
      </w:r>
      <w:r w:rsidR="00811EF4">
        <w:rPr>
          <w:rFonts w:cs="Arial"/>
          <w:szCs w:val="24"/>
        </w:rPr>
        <w:t xml:space="preserve">. </w:t>
      </w:r>
      <w:r w:rsidR="001E1BD9">
        <w:rPr>
          <w:rFonts w:cs="Arial"/>
          <w:szCs w:val="24"/>
        </w:rPr>
        <w:t xml:space="preserve">Data were collected by LW and EB, who </w:t>
      </w:r>
      <w:r w:rsidR="00FA641F">
        <w:rPr>
          <w:rFonts w:cs="Arial"/>
          <w:szCs w:val="24"/>
        </w:rPr>
        <w:t>a</w:t>
      </w:r>
      <w:r w:rsidR="001E1BD9">
        <w:rPr>
          <w:rFonts w:cs="Arial"/>
          <w:szCs w:val="24"/>
        </w:rPr>
        <w:t xml:space="preserve">re experienced qualitative researchers. </w:t>
      </w:r>
    </w:p>
    <w:p w:rsidR="00544585" w:rsidRDefault="00544585" w:rsidP="00D23537">
      <w:pPr>
        <w:spacing w:line="480" w:lineRule="auto"/>
      </w:pPr>
    </w:p>
    <w:p w:rsidR="00B23687" w:rsidRDefault="00B23687" w:rsidP="00D23537">
      <w:pPr>
        <w:spacing w:line="480" w:lineRule="auto"/>
      </w:pPr>
      <w:r>
        <w:t>Interviews</w:t>
      </w:r>
    </w:p>
    <w:p w:rsidR="00544585" w:rsidRDefault="0037633D" w:rsidP="00D23537">
      <w:pPr>
        <w:spacing w:line="480" w:lineRule="auto"/>
      </w:pPr>
      <w:r>
        <w:t xml:space="preserve">For each external provider, we first interviewed senior leaders </w:t>
      </w:r>
      <w:r w:rsidR="009E34EF">
        <w:t>(</w:t>
      </w:r>
      <w:r>
        <w:t>Chief Executive or Director</w:t>
      </w:r>
      <w:r w:rsidR="00717B10">
        <w:t>s</w:t>
      </w:r>
      <w:r w:rsidR="009E34EF">
        <w:t>)</w:t>
      </w:r>
      <w:r>
        <w:t xml:space="preserve">. Through snowball sampling, </w:t>
      </w:r>
      <w:r w:rsidR="009E34EF">
        <w:t xml:space="preserve">we </w:t>
      </w:r>
      <w:r>
        <w:t>identified other candidates for interview</w:t>
      </w:r>
      <w:r w:rsidR="00806400">
        <w:t xml:space="preserve"> with relevant knowledge or experience of the external provider and/or contract</w:t>
      </w:r>
      <w:r>
        <w:t xml:space="preserve">. For </w:t>
      </w:r>
      <w:r>
        <w:lastRenderedPageBreak/>
        <w:t xml:space="preserve">Swallow and Jackdaw, the research team independently approached candidates, usually by e-mail. For Heron, interview requests </w:t>
      </w:r>
      <w:r w:rsidR="00CB0D11">
        <w:t xml:space="preserve">from the research team </w:t>
      </w:r>
      <w:r>
        <w:t>were co-ordinated by a Heron</w:t>
      </w:r>
      <w:r w:rsidR="00E2279A">
        <w:t xml:space="preserve"> consultant</w:t>
      </w:r>
      <w:r>
        <w:t xml:space="preserve">. For the commissioning organisations, we interviewed the lead NHS contact for the contract </w:t>
      </w:r>
      <w:r w:rsidR="00727C5C">
        <w:t xml:space="preserve">(usually identified by the external provider) </w:t>
      </w:r>
      <w:r>
        <w:t>and employed snowball sampling to identify other candidates</w:t>
      </w:r>
      <w:r w:rsidR="00617A18">
        <w:t>,</w:t>
      </w:r>
      <w:r w:rsidR="000A7072">
        <w:t xml:space="preserve"> including lay representatives, local councillors, freelance and commercial consultants from other companies. </w:t>
      </w:r>
      <w:r w:rsidR="00806400">
        <w:t xml:space="preserve">Two NHS healthcare commissioners </w:t>
      </w:r>
      <w:r w:rsidR="009E34EF">
        <w:t>and one external consultant declined to be interviewed</w:t>
      </w:r>
      <w:r w:rsidR="00806400">
        <w:t xml:space="preserve">, while several others did not respond to requests. </w:t>
      </w:r>
    </w:p>
    <w:p w:rsidR="009E34EF" w:rsidRDefault="009E34EF" w:rsidP="00D23537">
      <w:pPr>
        <w:spacing w:line="480" w:lineRule="auto"/>
      </w:pPr>
    </w:p>
    <w:p w:rsidR="007B14C3" w:rsidRDefault="0037633D" w:rsidP="00D23537">
      <w:pPr>
        <w:spacing w:line="480" w:lineRule="auto"/>
      </w:pPr>
      <w:r>
        <w:t xml:space="preserve">Candidates </w:t>
      </w:r>
      <w:r w:rsidR="00B23687">
        <w:t>were sent information before interviews and consent was obtained</w:t>
      </w:r>
      <w:r>
        <w:t xml:space="preserve"> at interview</w:t>
      </w:r>
      <w:r w:rsidR="00B23687">
        <w:t xml:space="preserve">. </w:t>
      </w:r>
      <w:r w:rsidR="004305E3">
        <w:t xml:space="preserve">Following initial conversations with commissioners and </w:t>
      </w:r>
      <w:proofErr w:type="spellStart"/>
      <w:r w:rsidR="004305E3">
        <w:t>external</w:t>
      </w:r>
      <w:r w:rsidR="00B722A0">
        <w:t>consultants</w:t>
      </w:r>
      <w:proofErr w:type="spellEnd"/>
      <w:r w:rsidR="004305E3">
        <w:t>, the research team devised a</w:t>
      </w:r>
      <w:r w:rsidR="00B23687">
        <w:t xml:space="preserve"> topic guide</w:t>
      </w:r>
      <w:r w:rsidR="005C7C47">
        <w:t>. It</w:t>
      </w:r>
      <w:r w:rsidR="00B23687">
        <w:t xml:space="preserve"> covered type of </w:t>
      </w:r>
      <w:r w:rsidR="006B7735">
        <w:t>knowledge</w:t>
      </w:r>
      <w:r w:rsidR="00B23687">
        <w:t xml:space="preserve"> wanted</w:t>
      </w:r>
      <w:r w:rsidR="009861E2">
        <w:t xml:space="preserve"> by commissioners</w:t>
      </w:r>
      <w:r w:rsidR="00B23687">
        <w:t xml:space="preserve">, </w:t>
      </w:r>
      <w:r w:rsidR="009E34EF">
        <w:t>i</w:t>
      </w:r>
      <w:r w:rsidR="00B23687">
        <w:t>nformation</w:t>
      </w:r>
      <w:r w:rsidR="009E34EF">
        <w:t xml:space="preserve"> sources</w:t>
      </w:r>
      <w:r w:rsidR="00B23687">
        <w:t xml:space="preserve">, how </w:t>
      </w:r>
      <w:r w:rsidR="007B14C3">
        <w:t>information</w:t>
      </w:r>
      <w:r w:rsidR="00B23687">
        <w:t xml:space="preserve"> was accessed and </w:t>
      </w:r>
      <w:r w:rsidR="009E34EF">
        <w:t>influenced</w:t>
      </w:r>
      <w:r w:rsidR="00B23687">
        <w:t xml:space="preserve"> decision</w:t>
      </w:r>
      <w:r w:rsidR="009E34EF">
        <w:t>s</w:t>
      </w:r>
      <w:r w:rsidR="00B23687">
        <w:t>. The topic guide was revised as new questions emerged. Interviews were face to face or by telephone, depending on the preference of the participant and practicalities. Lasting 20-60 minutes, all interviews were recorded and transcribed</w:t>
      </w:r>
      <w:r w:rsidR="00993717">
        <w:t xml:space="preserve"> by an external transcriber</w:t>
      </w:r>
      <w:r w:rsidR="00B23687">
        <w:t>.</w:t>
      </w:r>
      <w:r w:rsidR="00806400" w:rsidRPr="00806400">
        <w:t xml:space="preserve"> </w:t>
      </w:r>
    </w:p>
    <w:p w:rsidR="00595555" w:rsidRDefault="00595555" w:rsidP="00D23537">
      <w:pPr>
        <w:spacing w:line="480" w:lineRule="auto"/>
      </w:pPr>
    </w:p>
    <w:p w:rsidR="00B23687" w:rsidRDefault="00993717" w:rsidP="00D23537">
      <w:pPr>
        <w:spacing w:line="480" w:lineRule="auto"/>
      </w:pPr>
      <w:r>
        <w:t>Data saturation was reached with</w:t>
      </w:r>
      <w:r w:rsidR="00962589">
        <w:t xml:space="preserve"> larger external providers</w:t>
      </w:r>
      <w:r>
        <w:t xml:space="preserve"> when </w:t>
      </w:r>
      <w:r w:rsidR="00962589">
        <w:t>over 15</w:t>
      </w:r>
      <w:r w:rsidR="007B14C3">
        <w:t xml:space="preserve"> </w:t>
      </w:r>
      <w:r>
        <w:t xml:space="preserve">external consultants were interviewed. </w:t>
      </w:r>
      <w:r w:rsidR="00595555">
        <w:t>As a small company, Jackdaw</w:t>
      </w:r>
      <w:r w:rsidR="00617A18">
        <w:t>’s</w:t>
      </w:r>
      <w:r w:rsidR="00595555">
        <w:t xml:space="preserve"> consultants were </w:t>
      </w:r>
      <w:r w:rsidR="00617A18">
        <w:t xml:space="preserve">all </w:t>
      </w:r>
      <w:r w:rsidR="00595555">
        <w:t>interviewed. D</w:t>
      </w:r>
      <w:r>
        <w:t xml:space="preserve">ata saturation for commissioning organisations was reached when about half of the relevant stakeholders with </w:t>
      </w:r>
      <w:r w:rsidR="00962589">
        <w:t xml:space="preserve">direct experience of </w:t>
      </w:r>
      <w:r>
        <w:t>the contract were interviewed</w:t>
      </w:r>
      <w:r w:rsidR="00617BDB">
        <w:t>, although this proportion had not been predetermined</w:t>
      </w:r>
      <w:r>
        <w:t xml:space="preserve">. </w:t>
      </w:r>
      <w:r w:rsidR="00806400">
        <w:t xml:space="preserve">In total, we </w:t>
      </w:r>
      <w:r w:rsidR="00806400">
        <w:lastRenderedPageBreak/>
        <w:t>interviewed 92 participants including 47 NHS clients, 36 external consultants and nine other</w:t>
      </w:r>
      <w:r w:rsidR="007B14C3">
        <w:t>s</w:t>
      </w:r>
      <w:r w:rsidR="00806400">
        <w:t xml:space="preserve"> (e.g. freelance consultants, lay representative). (Table </w:t>
      </w:r>
      <w:r w:rsidR="009C720C">
        <w:t>1</w:t>
      </w:r>
      <w:r w:rsidR="00806400">
        <w:t>)</w:t>
      </w:r>
    </w:p>
    <w:p w:rsidR="00131CCE" w:rsidRDefault="00131CCE" w:rsidP="00D23537">
      <w:pPr>
        <w:spacing w:line="480" w:lineRule="auto"/>
      </w:pPr>
      <w:r>
        <w:t xml:space="preserve">Table </w:t>
      </w:r>
      <w:proofErr w:type="gramStart"/>
      <w:r>
        <w:t>1  Interview</w:t>
      </w:r>
      <w:proofErr w:type="gramEnd"/>
      <w:r>
        <w:t xml:space="preserve"> participants</w:t>
      </w:r>
    </w:p>
    <w:tbl>
      <w:tblPr>
        <w:tblStyle w:val="TableGrid"/>
        <w:tblW w:w="0" w:type="auto"/>
        <w:tblLook w:val="04A0" w:firstRow="1" w:lastRow="0" w:firstColumn="1" w:lastColumn="0" w:noHBand="0" w:noVBand="1"/>
      </w:tblPr>
      <w:tblGrid>
        <w:gridCol w:w="6487"/>
        <w:gridCol w:w="2755"/>
      </w:tblGrid>
      <w:tr w:rsidR="00131CCE" w:rsidTr="00131CCE">
        <w:tc>
          <w:tcPr>
            <w:tcW w:w="6487" w:type="dxa"/>
          </w:tcPr>
          <w:p w:rsidR="00131CCE" w:rsidRPr="00617A18" w:rsidRDefault="00131CCE" w:rsidP="00D23537">
            <w:pPr>
              <w:spacing w:line="480" w:lineRule="auto"/>
              <w:rPr>
                <w:b/>
              </w:rPr>
            </w:pPr>
            <w:r w:rsidRPr="00617A18">
              <w:rPr>
                <w:b/>
              </w:rPr>
              <w:t>Professional role</w:t>
            </w:r>
          </w:p>
        </w:tc>
        <w:tc>
          <w:tcPr>
            <w:tcW w:w="2755" w:type="dxa"/>
          </w:tcPr>
          <w:p w:rsidR="00131CCE" w:rsidRPr="00617A18" w:rsidRDefault="00131CCE" w:rsidP="00D23537">
            <w:pPr>
              <w:spacing w:line="480" w:lineRule="auto"/>
              <w:rPr>
                <w:b/>
              </w:rPr>
            </w:pPr>
            <w:r w:rsidRPr="00617A18">
              <w:rPr>
                <w:b/>
              </w:rPr>
              <w:t>Number of participants</w:t>
            </w:r>
          </w:p>
        </w:tc>
      </w:tr>
      <w:tr w:rsidR="00131CCE" w:rsidTr="00131CCE">
        <w:tc>
          <w:tcPr>
            <w:tcW w:w="6487" w:type="dxa"/>
          </w:tcPr>
          <w:p w:rsidR="00131CCE" w:rsidRDefault="00131CCE" w:rsidP="00D23537">
            <w:pPr>
              <w:spacing w:line="480" w:lineRule="auto"/>
            </w:pPr>
            <w:r>
              <w:t>NHS</w:t>
            </w:r>
          </w:p>
        </w:tc>
        <w:tc>
          <w:tcPr>
            <w:tcW w:w="2755" w:type="dxa"/>
          </w:tcPr>
          <w:p w:rsidR="00131CCE" w:rsidRDefault="00131CCE" w:rsidP="00D23537">
            <w:pPr>
              <w:spacing w:line="480" w:lineRule="auto"/>
            </w:pPr>
          </w:p>
        </w:tc>
      </w:tr>
      <w:tr w:rsidR="00131CCE" w:rsidTr="00131CCE">
        <w:tc>
          <w:tcPr>
            <w:tcW w:w="6487" w:type="dxa"/>
          </w:tcPr>
          <w:p w:rsidR="00131CCE" w:rsidRDefault="00131CCE" w:rsidP="00D23537">
            <w:pPr>
              <w:spacing w:line="480" w:lineRule="auto"/>
            </w:pPr>
            <w:r>
              <w:t>Managerial commissioner</w:t>
            </w:r>
          </w:p>
        </w:tc>
        <w:tc>
          <w:tcPr>
            <w:tcW w:w="2755" w:type="dxa"/>
          </w:tcPr>
          <w:p w:rsidR="00131CCE" w:rsidRDefault="00131CCE" w:rsidP="00D23537">
            <w:pPr>
              <w:spacing w:line="480" w:lineRule="auto"/>
            </w:pPr>
            <w:r>
              <w:t>17</w:t>
            </w:r>
          </w:p>
        </w:tc>
      </w:tr>
      <w:tr w:rsidR="00131CCE" w:rsidTr="00131CCE">
        <w:tc>
          <w:tcPr>
            <w:tcW w:w="6487" w:type="dxa"/>
          </w:tcPr>
          <w:p w:rsidR="00131CCE" w:rsidRDefault="00131CCE" w:rsidP="00D23537">
            <w:pPr>
              <w:spacing w:line="480" w:lineRule="auto"/>
            </w:pPr>
            <w:r>
              <w:t>Clinical commissioner</w:t>
            </w:r>
          </w:p>
        </w:tc>
        <w:tc>
          <w:tcPr>
            <w:tcW w:w="2755" w:type="dxa"/>
          </w:tcPr>
          <w:p w:rsidR="00131CCE" w:rsidRDefault="00131CCE" w:rsidP="00D23537">
            <w:pPr>
              <w:spacing w:line="480" w:lineRule="auto"/>
            </w:pPr>
            <w:r>
              <w:t>15</w:t>
            </w:r>
          </w:p>
        </w:tc>
      </w:tr>
      <w:tr w:rsidR="00131CCE" w:rsidTr="00131CCE">
        <w:tc>
          <w:tcPr>
            <w:tcW w:w="6487" w:type="dxa"/>
          </w:tcPr>
          <w:p w:rsidR="00131CCE" w:rsidRDefault="00131CCE" w:rsidP="00D23537">
            <w:pPr>
              <w:spacing w:line="480" w:lineRule="auto"/>
            </w:pPr>
            <w:r>
              <w:t>Analyst</w:t>
            </w:r>
          </w:p>
        </w:tc>
        <w:tc>
          <w:tcPr>
            <w:tcW w:w="2755" w:type="dxa"/>
          </w:tcPr>
          <w:p w:rsidR="00131CCE" w:rsidRDefault="00131CCE" w:rsidP="00D23537">
            <w:pPr>
              <w:spacing w:line="480" w:lineRule="auto"/>
            </w:pPr>
            <w:r>
              <w:t>9</w:t>
            </w:r>
          </w:p>
        </w:tc>
      </w:tr>
      <w:tr w:rsidR="00131CCE" w:rsidTr="00131CCE">
        <w:tc>
          <w:tcPr>
            <w:tcW w:w="6487" w:type="dxa"/>
          </w:tcPr>
          <w:p w:rsidR="00131CCE" w:rsidRDefault="00131CCE" w:rsidP="00D23537">
            <w:pPr>
              <w:spacing w:line="480" w:lineRule="auto"/>
            </w:pPr>
            <w:r>
              <w:t>Other NHS</w:t>
            </w:r>
          </w:p>
        </w:tc>
        <w:tc>
          <w:tcPr>
            <w:tcW w:w="2755" w:type="dxa"/>
          </w:tcPr>
          <w:p w:rsidR="00131CCE" w:rsidRDefault="00131CCE" w:rsidP="00D23537">
            <w:pPr>
              <w:spacing w:line="480" w:lineRule="auto"/>
            </w:pPr>
            <w:r>
              <w:t>6</w:t>
            </w:r>
          </w:p>
        </w:tc>
      </w:tr>
      <w:tr w:rsidR="00131CCE" w:rsidTr="00131CCE">
        <w:tc>
          <w:tcPr>
            <w:tcW w:w="6487" w:type="dxa"/>
          </w:tcPr>
          <w:p w:rsidR="00131CCE" w:rsidRDefault="00131CCE" w:rsidP="00D23537">
            <w:pPr>
              <w:spacing w:line="480" w:lineRule="auto"/>
            </w:pPr>
            <w:r>
              <w:t>Total NHS</w:t>
            </w:r>
          </w:p>
        </w:tc>
        <w:tc>
          <w:tcPr>
            <w:tcW w:w="2755" w:type="dxa"/>
          </w:tcPr>
          <w:p w:rsidR="00131CCE" w:rsidRDefault="00131CCE" w:rsidP="00D23537">
            <w:pPr>
              <w:spacing w:line="480" w:lineRule="auto"/>
            </w:pPr>
            <w:r>
              <w:t>47</w:t>
            </w:r>
          </w:p>
        </w:tc>
      </w:tr>
      <w:tr w:rsidR="00131CCE" w:rsidTr="00131CCE">
        <w:tc>
          <w:tcPr>
            <w:tcW w:w="6487" w:type="dxa"/>
          </w:tcPr>
          <w:p w:rsidR="00131CCE" w:rsidRDefault="00131CCE" w:rsidP="00131CCE">
            <w:pPr>
              <w:spacing w:line="480" w:lineRule="auto"/>
            </w:pPr>
            <w:r>
              <w:t>EXTERNAL</w:t>
            </w:r>
          </w:p>
        </w:tc>
        <w:tc>
          <w:tcPr>
            <w:tcW w:w="2755" w:type="dxa"/>
          </w:tcPr>
          <w:p w:rsidR="00131CCE" w:rsidRDefault="00131CCE" w:rsidP="00D23537">
            <w:pPr>
              <w:spacing w:line="480" w:lineRule="auto"/>
            </w:pPr>
          </w:p>
        </w:tc>
      </w:tr>
      <w:tr w:rsidR="00131CCE" w:rsidTr="00131CCE">
        <w:tc>
          <w:tcPr>
            <w:tcW w:w="6487" w:type="dxa"/>
          </w:tcPr>
          <w:p w:rsidR="00131CCE" w:rsidRDefault="00131CCE" w:rsidP="00D23537">
            <w:pPr>
              <w:spacing w:line="480" w:lineRule="auto"/>
            </w:pPr>
            <w:r>
              <w:t>Commercial/ not for profit consultants</w:t>
            </w:r>
          </w:p>
        </w:tc>
        <w:tc>
          <w:tcPr>
            <w:tcW w:w="2755" w:type="dxa"/>
          </w:tcPr>
          <w:p w:rsidR="00131CCE" w:rsidRDefault="00131CCE" w:rsidP="00D23537">
            <w:pPr>
              <w:spacing w:line="480" w:lineRule="auto"/>
            </w:pPr>
            <w:r>
              <w:t>36</w:t>
            </w:r>
          </w:p>
        </w:tc>
      </w:tr>
      <w:tr w:rsidR="00131CCE" w:rsidTr="00131CCE">
        <w:tc>
          <w:tcPr>
            <w:tcW w:w="6487" w:type="dxa"/>
          </w:tcPr>
          <w:p w:rsidR="00131CCE" w:rsidRDefault="00131CCE" w:rsidP="00D23537">
            <w:pPr>
              <w:spacing w:line="480" w:lineRule="auto"/>
            </w:pPr>
            <w:r>
              <w:t>Freelance</w:t>
            </w:r>
          </w:p>
        </w:tc>
        <w:tc>
          <w:tcPr>
            <w:tcW w:w="2755" w:type="dxa"/>
          </w:tcPr>
          <w:p w:rsidR="00131CCE" w:rsidRDefault="00131CCE" w:rsidP="00D23537">
            <w:pPr>
              <w:spacing w:line="480" w:lineRule="auto"/>
            </w:pPr>
            <w:r>
              <w:t>3</w:t>
            </w:r>
          </w:p>
        </w:tc>
      </w:tr>
      <w:tr w:rsidR="00131CCE" w:rsidTr="00131CCE">
        <w:tc>
          <w:tcPr>
            <w:tcW w:w="6487" w:type="dxa"/>
          </w:tcPr>
          <w:p w:rsidR="00131CCE" w:rsidRDefault="00131CCE" w:rsidP="00D23537">
            <w:pPr>
              <w:spacing w:line="480" w:lineRule="auto"/>
            </w:pPr>
            <w:r>
              <w:t>Public health</w:t>
            </w:r>
          </w:p>
        </w:tc>
        <w:tc>
          <w:tcPr>
            <w:tcW w:w="2755" w:type="dxa"/>
          </w:tcPr>
          <w:p w:rsidR="00131CCE" w:rsidRDefault="00617A18" w:rsidP="00D23537">
            <w:pPr>
              <w:spacing w:line="480" w:lineRule="auto"/>
            </w:pPr>
            <w:r>
              <w:t>4</w:t>
            </w:r>
          </w:p>
        </w:tc>
      </w:tr>
      <w:tr w:rsidR="00131CCE" w:rsidTr="00131CCE">
        <w:tc>
          <w:tcPr>
            <w:tcW w:w="6487" w:type="dxa"/>
          </w:tcPr>
          <w:p w:rsidR="00131CCE" w:rsidRDefault="00131CCE" w:rsidP="00D23537">
            <w:pPr>
              <w:spacing w:line="480" w:lineRule="auto"/>
            </w:pPr>
            <w:r>
              <w:t>Local authority</w:t>
            </w:r>
          </w:p>
        </w:tc>
        <w:tc>
          <w:tcPr>
            <w:tcW w:w="2755" w:type="dxa"/>
          </w:tcPr>
          <w:p w:rsidR="00131CCE" w:rsidRDefault="00131CCE" w:rsidP="00D23537">
            <w:pPr>
              <w:spacing w:line="480" w:lineRule="auto"/>
            </w:pPr>
            <w:r>
              <w:t>1</w:t>
            </w:r>
          </w:p>
        </w:tc>
      </w:tr>
      <w:tr w:rsidR="00131CCE" w:rsidTr="00131CCE">
        <w:tc>
          <w:tcPr>
            <w:tcW w:w="6487" w:type="dxa"/>
          </w:tcPr>
          <w:p w:rsidR="00131CCE" w:rsidRDefault="00131CCE" w:rsidP="00D23537">
            <w:pPr>
              <w:spacing w:line="480" w:lineRule="auto"/>
            </w:pPr>
            <w:r>
              <w:t>Lay representative</w:t>
            </w:r>
          </w:p>
        </w:tc>
        <w:tc>
          <w:tcPr>
            <w:tcW w:w="2755" w:type="dxa"/>
          </w:tcPr>
          <w:p w:rsidR="00131CCE" w:rsidRDefault="00131CCE" w:rsidP="00D23537">
            <w:pPr>
              <w:spacing w:line="480" w:lineRule="auto"/>
            </w:pPr>
            <w:r>
              <w:t>1</w:t>
            </w:r>
          </w:p>
        </w:tc>
      </w:tr>
      <w:tr w:rsidR="00131CCE" w:rsidTr="00131CCE">
        <w:tc>
          <w:tcPr>
            <w:tcW w:w="6487" w:type="dxa"/>
          </w:tcPr>
          <w:p w:rsidR="00131CCE" w:rsidRDefault="00131CCE" w:rsidP="00D23537">
            <w:pPr>
              <w:spacing w:line="480" w:lineRule="auto"/>
            </w:pPr>
            <w:r>
              <w:t>Total external</w:t>
            </w:r>
          </w:p>
        </w:tc>
        <w:tc>
          <w:tcPr>
            <w:tcW w:w="2755" w:type="dxa"/>
          </w:tcPr>
          <w:p w:rsidR="00131CCE" w:rsidRDefault="00131CCE" w:rsidP="00D23537">
            <w:pPr>
              <w:spacing w:line="480" w:lineRule="auto"/>
            </w:pPr>
            <w:r>
              <w:t>45</w:t>
            </w:r>
          </w:p>
        </w:tc>
      </w:tr>
      <w:tr w:rsidR="00131CCE" w:rsidTr="00131CCE">
        <w:tc>
          <w:tcPr>
            <w:tcW w:w="6487" w:type="dxa"/>
          </w:tcPr>
          <w:p w:rsidR="00131CCE" w:rsidRDefault="00131CCE" w:rsidP="00D23537">
            <w:pPr>
              <w:spacing w:line="480" w:lineRule="auto"/>
            </w:pPr>
            <w:r>
              <w:t>TOTAL STUDY</w:t>
            </w:r>
          </w:p>
        </w:tc>
        <w:tc>
          <w:tcPr>
            <w:tcW w:w="2755" w:type="dxa"/>
          </w:tcPr>
          <w:p w:rsidR="00131CCE" w:rsidRDefault="00131CCE" w:rsidP="00D23537">
            <w:pPr>
              <w:spacing w:line="480" w:lineRule="auto"/>
            </w:pPr>
            <w:r>
              <w:t>92</w:t>
            </w:r>
          </w:p>
        </w:tc>
      </w:tr>
    </w:tbl>
    <w:p w:rsidR="0096490A" w:rsidRDefault="0096490A" w:rsidP="00D23537">
      <w:pPr>
        <w:spacing w:line="480" w:lineRule="auto"/>
      </w:pPr>
    </w:p>
    <w:p w:rsidR="00B23687" w:rsidRDefault="00806400" w:rsidP="008E1AE2">
      <w:pPr>
        <w:spacing w:line="480" w:lineRule="auto"/>
      </w:pPr>
      <w:r>
        <w:t xml:space="preserve">We </w:t>
      </w:r>
      <w:r w:rsidR="005C7C47">
        <w:t xml:space="preserve">conducted </w:t>
      </w:r>
      <w:r w:rsidR="00617A18">
        <w:t xml:space="preserve">25 </w:t>
      </w:r>
      <w:r w:rsidR="005C7C47">
        <w:t xml:space="preserve">observations of </w:t>
      </w:r>
      <w:r>
        <w:t xml:space="preserve">meetings between external consultants and their NHS clients, </w:t>
      </w:r>
      <w:r w:rsidR="005C7C47">
        <w:t xml:space="preserve">external provider and commissioner </w:t>
      </w:r>
      <w:r>
        <w:t xml:space="preserve">team meetings and training events. </w:t>
      </w:r>
      <w:r w:rsidR="009E34EF">
        <w:t>P</w:t>
      </w:r>
      <w:r w:rsidR="00B23687">
        <w:t xml:space="preserve">ermission was obtained </w:t>
      </w:r>
      <w:r>
        <w:t xml:space="preserve">verbally </w:t>
      </w:r>
      <w:r w:rsidR="00B23687">
        <w:t>before attending events</w:t>
      </w:r>
      <w:r w:rsidR="009E34EF">
        <w:t xml:space="preserve">. </w:t>
      </w:r>
      <w:r w:rsidR="00B23687">
        <w:t>Observation notes were taken with the help of an aide memoire based on the research questions</w:t>
      </w:r>
      <w:r w:rsidR="008E1AE2">
        <w:t xml:space="preserve"> and </w:t>
      </w:r>
      <w:r w:rsidR="00B23687">
        <w:lastRenderedPageBreak/>
        <w:t>included details of</w:t>
      </w:r>
      <w:r w:rsidR="009E34EF">
        <w:t xml:space="preserve"> participants</w:t>
      </w:r>
      <w:r w:rsidR="00B23687">
        <w:t xml:space="preserve">, room layout, verbal exchanges and researcher reflections. </w:t>
      </w:r>
      <w:r w:rsidR="009E34EF">
        <w:t>N</w:t>
      </w:r>
      <w:r w:rsidR="00B23687">
        <w:t>otes were typed up as soon as possible after the data were collected.</w:t>
      </w:r>
      <w:r w:rsidR="00B23687" w:rsidRPr="00016FEA">
        <w:t xml:space="preserve"> </w:t>
      </w:r>
      <w:r w:rsidR="00B23687">
        <w:t>All interview and observation participants were given pseudonyms.</w:t>
      </w:r>
      <w:r w:rsidR="005C7C47">
        <w:t xml:space="preserve"> </w:t>
      </w:r>
      <w:r w:rsidR="009E34EF">
        <w:t xml:space="preserve">Meeting minutes, reports, website and marketing material, press releases and e-mails were collected and fed into the case summaries. These </w:t>
      </w:r>
      <w:r w:rsidR="00B23687">
        <w:t>supplement</w:t>
      </w:r>
      <w:r w:rsidR="009E2EE1">
        <w:t xml:space="preserve">ed, confirmed </w:t>
      </w:r>
      <w:r w:rsidR="00B23687">
        <w:t>and challenge</w:t>
      </w:r>
      <w:r w:rsidR="009E2EE1">
        <w:t>d</w:t>
      </w:r>
      <w:r w:rsidR="00B23687">
        <w:t xml:space="preserve"> emerging findings from interview and observation data. </w:t>
      </w:r>
    </w:p>
    <w:p w:rsidR="009E2EE1" w:rsidRDefault="009E2EE1" w:rsidP="00D23537">
      <w:pPr>
        <w:spacing w:line="480" w:lineRule="auto"/>
        <w:rPr>
          <w:b/>
        </w:rPr>
      </w:pPr>
    </w:p>
    <w:p w:rsidR="001B139B" w:rsidRDefault="007B14C3" w:rsidP="00D23537">
      <w:pPr>
        <w:spacing w:line="480" w:lineRule="auto"/>
      </w:pPr>
      <w:r>
        <w:rPr>
          <w:b/>
        </w:rPr>
        <w:t>Data analysis</w:t>
      </w:r>
    </w:p>
    <w:p w:rsidR="00F9105E" w:rsidRDefault="00F9105E" w:rsidP="00D23537">
      <w:pPr>
        <w:spacing w:line="480" w:lineRule="auto"/>
      </w:pPr>
      <w:r w:rsidRPr="00F9105E">
        <w:t>Our analysis, in common with much qualitative work, used deductive and inductive processes</w:t>
      </w:r>
      <w:r w:rsidR="000D7067">
        <w:t>, and a similar approach has</w:t>
      </w:r>
      <w:r>
        <w:t xml:space="preserve"> been described elsewhere in the literature </w:t>
      </w:r>
      <w:hyperlink w:anchor="_ENREF_22" w:tooltip="Fereday, 2006 #1333" w:history="1">
        <w:r w:rsidR="00ED61F8">
          <w:fldChar w:fldCharType="begin"/>
        </w:r>
        <w:r w:rsidR="00ED61F8">
          <w:instrText xml:space="preserve"> ADDIN EN.CITE &lt;EndNote&gt;&lt;Cite&gt;&lt;Author&gt;Fereday&lt;/Author&gt;&lt;Year&gt;2006&lt;/Year&gt;&lt;RecNum&gt;1333&lt;/RecNum&gt;&lt;DisplayText&gt;&lt;style face="superscript"&gt;22&lt;/style&gt;&lt;/DisplayText&gt;&lt;record&gt;&lt;rec-number&gt;1333&lt;/rec-number&gt;&lt;foreign-keys&gt;&lt;key app="EN" db-id="r2drx9tfh929f5edwpx5vwxqptr9twsart0z" timestamp="1414680428"&gt;1333&lt;/key&gt;&lt;/foreign-keys&gt;&lt;ref-type name="Journal Article"&gt;17&lt;/ref-type&gt;&lt;contributors&gt;&lt;authors&gt;&lt;author&gt;Fereday, J,&lt;/author&gt;&lt;author&gt;Muir-Cochrane, E,&lt;/author&gt;&lt;/authors&gt;&lt;/contributors&gt;&lt;titles&gt;&lt;title&gt;Demonstrating Rigor Using Thematic Analysis: A Hybrid Approach of Inductive and Deductive Coding and Theme Development. &lt;/title&gt;&lt;secondary-title&gt;International Journal of Qualitative Methods&lt;/secondary-title&gt;&lt;/titles&gt;&lt;periodical&gt;&lt;full-title&gt;International Journal of Qualitative Methods&lt;/full-title&gt;&lt;/periodical&gt;&lt;volume&gt;5(1)&lt;/volume&gt;&lt;number&gt;83&lt;/number&gt;&lt;dates&gt;&lt;year&gt;2006&lt;/year&gt;&lt;/dates&gt;&lt;urls&gt;&lt;/urls&gt;&lt;/record&gt;&lt;/Cite&gt;&lt;/EndNote&gt;</w:instrText>
        </w:r>
        <w:r w:rsidR="00ED61F8">
          <w:fldChar w:fldCharType="separate"/>
        </w:r>
        <w:r w:rsidR="00ED61F8" w:rsidRPr="00F9105E">
          <w:rPr>
            <w:noProof/>
            <w:vertAlign w:val="superscript"/>
          </w:rPr>
          <w:t>22</w:t>
        </w:r>
        <w:r w:rsidR="00ED61F8">
          <w:fldChar w:fldCharType="end"/>
        </w:r>
      </w:hyperlink>
      <w:r>
        <w:t>.</w:t>
      </w:r>
      <w:r w:rsidRPr="00F9105E">
        <w:t xml:space="preserve"> Initial analyses of the data were inductive, and used constant comparison to identify codes and compare these and emerging categories.  This process was repeated and fed back into data collection (and further analysis) cycles</w:t>
      </w:r>
      <w:r>
        <w:t xml:space="preserve"> </w:t>
      </w:r>
      <w:hyperlink w:anchor="_ENREF_23" w:tooltip="Patton, 2002 #88" w:history="1">
        <w:r w:rsidR="00ED61F8">
          <w:fldChar w:fldCharType="begin"/>
        </w:r>
        <w:r w:rsidR="00ED61F8">
          <w:instrText xml:space="preserve"> ADDIN EN.CITE &lt;EndNote&gt;&lt;Cite&gt;&lt;Author&gt;Patton&lt;/Author&gt;&lt;Year&gt;2002&lt;/Year&gt;&lt;RecNum&gt;88&lt;/RecNum&gt;&lt;DisplayText&gt;&lt;style face="superscript"&gt;23&lt;/style&gt;&lt;/DisplayText&gt;&lt;record&gt;&lt;rec-number&gt;88&lt;/rec-number&gt;&lt;foreign-keys&gt;&lt;key app="EN" db-id="r2drx9tfh929f5edwpx5vwxqptr9twsart0z" timestamp="1354554126"&gt;88&lt;/key&gt;&lt;/foreign-keys&gt;&lt;ref-type name="Book"&gt;6&lt;/ref-type&gt;&lt;contributors&gt;&lt;authors&gt;&lt;author&gt;Patton,M.&lt;/author&gt;&lt;/authors&gt;&lt;/contributors&gt;&lt;titles&gt;&lt;title&gt;Qualitative Research and Evaluation Methods&lt;/title&gt;&lt;/titles&gt;&lt;reprint-edition&gt;Not in File&lt;/reprint-edition&gt;&lt;keywords&gt;&lt;keyword&gt;methodology&lt;/keyword&gt;&lt;keyword&gt;observation&lt;/keyword&gt;&lt;keyword&gt;Qualitative research&lt;/keyword&gt;&lt;keyword&gt;research methodology&lt;/keyword&gt;&lt;keyword&gt;triangulation&lt;/keyword&gt;&lt;keyword&gt;research&lt;/keyword&gt;&lt;/keywords&gt;&lt;dates&gt;&lt;year&gt;2002&lt;/year&gt;&lt;/dates&gt;&lt;pub-location&gt;London&lt;/pub-location&gt;&lt;publisher&gt;Sage&lt;/publisher&gt;&lt;label&gt;89&lt;/label&gt;&lt;urls&gt;&lt;/urls&gt;&lt;/record&gt;&lt;/Cite&gt;&lt;/EndNote&gt;</w:instrText>
        </w:r>
        <w:r w:rsidR="00ED61F8">
          <w:fldChar w:fldCharType="separate"/>
        </w:r>
        <w:r w:rsidR="00ED61F8" w:rsidRPr="00F9105E">
          <w:rPr>
            <w:noProof/>
            <w:vertAlign w:val="superscript"/>
          </w:rPr>
          <w:t>23</w:t>
        </w:r>
        <w:r w:rsidR="00ED61F8">
          <w:fldChar w:fldCharType="end"/>
        </w:r>
      </w:hyperlink>
      <w:r w:rsidRPr="00F9105E">
        <w:t>. The study team met regularly to identify emerging themes, reflect on the research questions and suggest new questions for the fieldwork. Although not discussed explicitly in this paper, theories which the authors have previously engaged with about the ‘social life of information’</w:t>
      </w:r>
      <w:hyperlink w:anchor="_ENREF_24" w:tooltip="Brown, 2000 #1295" w:history="1">
        <w:r w:rsidR="00ED61F8">
          <w:fldChar w:fldCharType="begin"/>
        </w:r>
        <w:r w:rsidR="00ED61F8">
          <w:instrText xml:space="preserve"> ADDIN EN.CITE &lt;EndNote&gt;&lt;Cite&gt;&lt;Author&gt;Brown&lt;/Author&gt;&lt;Year&gt;2000&lt;/Year&gt;&lt;RecNum&gt;1295&lt;/RecNum&gt;&lt;DisplayText&gt;&lt;style face="superscript"&gt;24&lt;/style&gt;&lt;/DisplayText&gt;&lt;record&gt;&lt;rec-number&gt;1295&lt;/rec-number&gt;&lt;foreign-keys&gt;&lt;key app="EN" db-id="r2drx9tfh929f5edwpx5vwxqptr9twsart0z" timestamp="1398605512"&gt;1295&lt;/key&gt;&lt;/foreign-keys&gt;&lt;ref-type name="Book"&gt;6&lt;/ref-type&gt;&lt;contributors&gt;&lt;authors&gt;&lt;author&gt;Brown, J.&lt;/author&gt;&lt;author&gt;Duguid, P,&lt;/author&gt;&lt;/authors&gt;&lt;/contributors&gt;&lt;titles&gt;&lt;title&gt;The social life of information  &lt;/title&gt;&lt;/titles&gt;&lt;dates&gt;&lt;year&gt;2000&lt;/year&gt;&lt;/dates&gt;&lt;pub-location&gt;Boston Mass USA&lt;/pub-location&gt;&lt;publisher&gt;Harvard Business School Press&lt;/publisher&gt;&lt;urls&gt;&lt;/urls&gt;&lt;/record&gt;&lt;/Cite&gt;&lt;/EndNote&gt;</w:instrText>
        </w:r>
        <w:r w:rsidR="00ED61F8">
          <w:fldChar w:fldCharType="separate"/>
        </w:r>
        <w:r w:rsidR="00ED61F8" w:rsidRPr="00ED61F8">
          <w:rPr>
            <w:noProof/>
            <w:vertAlign w:val="superscript"/>
          </w:rPr>
          <w:t>24</w:t>
        </w:r>
        <w:r w:rsidR="00ED61F8">
          <w:fldChar w:fldCharType="end"/>
        </w:r>
      </w:hyperlink>
      <w:r w:rsidRPr="00F9105E">
        <w:t>, ‘communities of practice’</w:t>
      </w:r>
      <w:hyperlink w:anchor="_ENREF_25" w:tooltip="Wenger, 1998 #975" w:history="1">
        <w:r w:rsidR="00ED61F8">
          <w:fldChar w:fldCharType="begin"/>
        </w:r>
        <w:r w:rsidR="00ED61F8">
          <w:instrText xml:space="preserve"> ADDIN EN.CITE &lt;EndNote&gt;&lt;Cite&gt;&lt;Author&gt;Wenger&lt;/Author&gt;&lt;Year&gt;1998&lt;/Year&gt;&lt;RecNum&gt;975&lt;/RecNum&gt;&lt;DisplayText&gt;&lt;style face="superscript"&gt;25&lt;/style&gt;&lt;/DisplayText&gt;&lt;record&gt;&lt;rec-number&gt;975&lt;/rec-number&gt;&lt;foreign-keys&gt;&lt;key app="EN" db-id="r2drx9tfh929f5edwpx5vwxqptr9twsart0z" timestamp="1354554141"&gt;975&lt;/key&gt;&lt;/foreign-keys&gt;&lt;ref-type name="Book"&gt;6&lt;/ref-type&gt;&lt;contributors&gt;&lt;authors&gt;&lt;author&gt;Wenger,E.&lt;/author&gt;&lt;/authors&gt;&lt;/contributors&gt;&lt;titles&gt;&lt;title&gt;Communities of practice: leaning, meaning and identity&lt;/title&gt;&lt;/titles&gt;&lt;reprint-edition&gt;Not in File&lt;/reprint-edition&gt;&lt;keywords&gt;&lt;keyword&gt;community&lt;/keyword&gt;&lt;/keywords&gt;&lt;dates&gt;&lt;year&gt;1998&lt;/year&gt;&lt;/dates&gt;&lt;pub-location&gt;New York&lt;/pub-location&gt;&lt;publisher&gt;Cambridge University Press&lt;/publisher&gt;&lt;label&gt;1007&lt;/label&gt;&lt;urls&gt;&lt;/urls&gt;&lt;/record&gt;&lt;/Cite&gt;&lt;/EndNote&gt;</w:instrText>
        </w:r>
        <w:r w:rsidR="00ED61F8">
          <w:fldChar w:fldCharType="separate"/>
        </w:r>
        <w:r w:rsidR="00ED61F8" w:rsidRPr="00ED61F8">
          <w:rPr>
            <w:noProof/>
            <w:vertAlign w:val="superscript"/>
          </w:rPr>
          <w:t>25</w:t>
        </w:r>
        <w:r w:rsidR="00ED61F8">
          <w:fldChar w:fldCharType="end"/>
        </w:r>
      </w:hyperlink>
      <w:r w:rsidRPr="00F9105E">
        <w:t>, ‘</w:t>
      </w:r>
      <w:proofErr w:type="spellStart"/>
      <w:r w:rsidRPr="00F9105E">
        <w:t>mindlines</w:t>
      </w:r>
      <w:proofErr w:type="spellEnd"/>
      <w:r w:rsidRPr="00F9105E">
        <w:t>’</w:t>
      </w:r>
      <w:hyperlink w:anchor="_ENREF_26" w:tooltip="Gabbay, 2011 #1138" w:history="1">
        <w:r w:rsidR="00ED61F8">
          <w:fldChar w:fldCharType="begin"/>
        </w:r>
        <w:r w:rsidR="00ED61F8">
          <w:instrText xml:space="preserve"> ADDIN EN.CITE &lt;EndNote&gt;&lt;Cite&gt;&lt;Author&gt;Gabbay&lt;/Author&gt;&lt;Year&gt;2011&lt;/Year&gt;&lt;RecNum&gt;1138&lt;/RecNum&gt;&lt;DisplayText&gt;&lt;style face="superscript"&gt;26&lt;/style&gt;&lt;/DisplayText&gt;&lt;record&gt;&lt;rec-number&gt;1138&lt;/rec-number&gt;&lt;foreign-keys&gt;&lt;key app="EN" db-id="r2drx9tfh929f5edwpx5vwxqptr9twsart0z" timestamp="1365413634"&gt;1138&lt;/key&gt;&lt;/foreign-keys&gt;&lt;ref-type name="Book"&gt;6&lt;/ref-type&gt;&lt;contributors&gt;&lt;authors&gt;&lt;author&gt;Gabbay, J.&lt;/author&gt;&lt;author&gt;le May A,&lt;/author&gt;&lt;/authors&gt;&lt;/contributors&gt;&lt;titles&gt;&lt;title&gt;Practice-Based Evidence for Healthcare&lt;/title&gt;&lt;/titles&gt;&lt;dates&gt;&lt;year&gt;2011&lt;/year&gt;&lt;/dates&gt;&lt;pub-location&gt;Oxford&lt;/pub-location&gt;&lt;publisher&gt;Routledge&lt;/publisher&gt;&lt;urls&gt;&lt;/urls&gt;&lt;/record&gt;&lt;/Cite&gt;&lt;/EndNote&gt;</w:instrText>
        </w:r>
        <w:r w:rsidR="00ED61F8">
          <w:fldChar w:fldCharType="separate"/>
        </w:r>
        <w:r w:rsidR="00ED61F8" w:rsidRPr="00ED61F8">
          <w:rPr>
            <w:noProof/>
            <w:vertAlign w:val="superscript"/>
          </w:rPr>
          <w:t>26</w:t>
        </w:r>
        <w:r w:rsidR="00ED61F8">
          <w:fldChar w:fldCharType="end"/>
        </w:r>
      </w:hyperlink>
      <w:r w:rsidRPr="00F9105E">
        <w:t xml:space="preserve"> and ‘organisational sense-making’ </w:t>
      </w:r>
      <w:hyperlink w:anchor="_ENREF_27" w:tooltip="Weick, 2001 #970" w:history="1">
        <w:r w:rsidR="00ED61F8">
          <w:fldChar w:fldCharType="begin"/>
        </w:r>
        <w:r w:rsidR="00ED61F8">
          <w:instrText xml:space="preserve"> ADDIN EN.CITE &lt;EndNote&gt;&lt;Cite&gt;&lt;Author&gt;Weick&lt;/Author&gt;&lt;Year&gt;2001&lt;/Year&gt;&lt;RecNum&gt;970&lt;/RecNum&gt;&lt;DisplayText&gt;&lt;style face="superscript"&gt;27&lt;/style&gt;&lt;/DisplayText&gt;&lt;record&gt;&lt;rec-number&gt;970&lt;/rec-number&gt;&lt;foreign-keys&gt;&lt;key app="EN" db-id="r2drx9tfh929f5edwpx5vwxqptr9twsart0z" timestamp="1354554141"&gt;970&lt;/key&gt;&lt;/foreign-keys&gt;&lt;ref-type name="Book"&gt;6&lt;/ref-type&gt;&lt;contributors&gt;&lt;authors&gt;&lt;author&gt;Weick,K.&lt;/author&gt;&lt;/authors&gt;&lt;/contributors&gt;&lt;titles&gt;&lt;title&gt;Making sense of the organisation&lt;/title&gt;&lt;/titles&gt;&lt;reprint-edition&gt;Not in File&lt;/reprint-edition&gt;&lt;keywords&gt;&lt;keyword&gt;Knowledge&lt;/keyword&gt;&lt;/keywords&gt;&lt;dates&gt;&lt;year&gt;2001&lt;/year&gt;&lt;/dates&gt;&lt;pub-location&gt;Oxford&lt;/pub-location&gt;&lt;publisher&gt;Blackwell Business&lt;/publisher&gt;&lt;label&gt;1002&lt;/label&gt;&lt;urls&gt;&lt;/urls&gt;&lt;/record&gt;&lt;/Cite&gt;&lt;/EndNote&gt;</w:instrText>
        </w:r>
        <w:r w:rsidR="00ED61F8">
          <w:fldChar w:fldCharType="separate"/>
        </w:r>
        <w:r w:rsidR="00ED61F8" w:rsidRPr="00ED61F8">
          <w:rPr>
            <w:noProof/>
            <w:vertAlign w:val="superscript"/>
          </w:rPr>
          <w:t>27</w:t>
        </w:r>
        <w:r w:rsidR="00ED61F8">
          <w:fldChar w:fldCharType="end"/>
        </w:r>
      </w:hyperlink>
      <w:r w:rsidRPr="00F9105E">
        <w:t xml:space="preserve">informed our analysis. Through reflective discussion amongst the team we examined how these theories, as well as the initial research questions, deductively informed our analysis. (For example during discussion of one data item </w:t>
      </w:r>
      <w:r w:rsidR="00ED61F8">
        <w:t xml:space="preserve">a </w:t>
      </w:r>
      <w:r w:rsidRPr="00F9105E">
        <w:t xml:space="preserve">team </w:t>
      </w:r>
      <w:r w:rsidR="00ED61F8">
        <w:t xml:space="preserve">member noted </w:t>
      </w:r>
      <w:r w:rsidRPr="00F9105E">
        <w:t xml:space="preserve">knowledge transformation using </w:t>
      </w:r>
      <w:r w:rsidR="00ED61F8">
        <w:t>‘</w:t>
      </w:r>
      <w:proofErr w:type="spellStart"/>
      <w:r w:rsidRPr="00F9105E">
        <w:t>mindlines</w:t>
      </w:r>
      <w:proofErr w:type="spellEnd"/>
      <w:r w:rsidRPr="00F9105E">
        <w:t xml:space="preserve">’ at which point the team discussed reasons for this, challenged it and explored cases that supported and refuted this assertion). </w:t>
      </w:r>
    </w:p>
    <w:p w:rsidR="00F9105E" w:rsidRDefault="00F9105E" w:rsidP="00D23537">
      <w:pPr>
        <w:spacing w:line="480" w:lineRule="auto"/>
      </w:pPr>
    </w:p>
    <w:p w:rsidR="00F9105E" w:rsidRDefault="00F9105E" w:rsidP="00D23537">
      <w:pPr>
        <w:spacing w:line="480" w:lineRule="auto"/>
      </w:pPr>
      <w:r w:rsidRPr="00F9105E">
        <w:lastRenderedPageBreak/>
        <w:t xml:space="preserve">By May 2013 when fieldwork came to a close team members (EB, LW and AC) </w:t>
      </w:r>
      <w:r w:rsidR="00ED61F8">
        <w:t>d</w:t>
      </w:r>
      <w:r w:rsidRPr="00F9105E">
        <w:t>eveloped a coding framework based on these discussions and framed around the research questions. Using NVIVO software, EB and LW systematically coded cases and developed 20-50 page case summaries for each case structured around five domains. Four of these domains were deductively derived from the original research questions (external providers, knowledge accessed, knowledge transformation, benefits/disadvantages). The final domain (models of commissioning) emerged inductively from the analysis and surrounding discussions. Every member of the research team read these summaries independently and conducted cross case analyses, identifying key themes common to the cases and searching for discrepant data. The team then met to finalise the agreed key theme</w:t>
      </w:r>
      <w:r>
        <w:t>s.</w:t>
      </w:r>
    </w:p>
    <w:p w:rsidR="00016DBE" w:rsidRDefault="00016DBE" w:rsidP="00D23537">
      <w:pPr>
        <w:spacing w:line="480" w:lineRule="auto"/>
        <w:rPr>
          <w:b/>
        </w:rPr>
      </w:pPr>
    </w:p>
    <w:p w:rsidR="00F44417" w:rsidRDefault="00F44417" w:rsidP="00D23537">
      <w:pPr>
        <w:spacing w:line="480" w:lineRule="auto"/>
        <w:rPr>
          <w:b/>
        </w:rPr>
      </w:pPr>
      <w:r>
        <w:rPr>
          <w:b/>
        </w:rPr>
        <w:t>Challenges</w:t>
      </w:r>
    </w:p>
    <w:p w:rsidR="009E2EE1" w:rsidRDefault="00F44417" w:rsidP="00D23537">
      <w:pPr>
        <w:spacing w:line="480" w:lineRule="auto"/>
      </w:pPr>
      <w:r>
        <w:t xml:space="preserve">Few previous studies have recruited </w:t>
      </w:r>
      <w:r w:rsidR="00CF2797">
        <w:t xml:space="preserve">commercial </w:t>
      </w:r>
      <w:r w:rsidR="000678FB">
        <w:t>or</w:t>
      </w:r>
      <w:r w:rsidR="00CF2797">
        <w:t xml:space="preserve"> not-for-profit</w:t>
      </w:r>
      <w:r>
        <w:t xml:space="preserve"> consultants </w:t>
      </w:r>
      <w:r w:rsidR="006000C7">
        <w:t xml:space="preserve">working in </w:t>
      </w:r>
      <w:r>
        <w:t>the NHS.</w:t>
      </w:r>
      <w:r w:rsidRPr="00F44417">
        <w:t xml:space="preserve"> </w:t>
      </w:r>
      <w:r w:rsidR="00E73075">
        <w:t>Challenges included r</w:t>
      </w:r>
      <w:r>
        <w:t>esearch governance</w:t>
      </w:r>
      <w:r w:rsidR="00E73075">
        <w:t xml:space="preserve">, </w:t>
      </w:r>
      <w:r w:rsidR="00F941A2">
        <w:t>as e</w:t>
      </w:r>
      <w:r>
        <w:t xml:space="preserve">xternal consultants moved </w:t>
      </w:r>
      <w:r w:rsidR="00E73075">
        <w:t xml:space="preserve">freely and quickly </w:t>
      </w:r>
      <w:r>
        <w:t xml:space="preserve">around NHS organisations </w:t>
      </w:r>
      <w:r w:rsidR="009E2EE1">
        <w:t>while researchers adhering to research governance could not</w:t>
      </w:r>
      <w:r w:rsidR="00E73075">
        <w:t>.</w:t>
      </w:r>
      <w:r w:rsidR="009E2EE1">
        <w:t xml:space="preserve"> </w:t>
      </w:r>
      <w:r w:rsidR="00F95A4A">
        <w:t xml:space="preserve">We wanted to shadow external consultants, but </w:t>
      </w:r>
      <w:r w:rsidR="00016DBE">
        <w:t xml:space="preserve">many had </w:t>
      </w:r>
      <w:r w:rsidR="009E2EE1">
        <w:t>concerns about client sensitivities so we relied on o</w:t>
      </w:r>
      <w:r w:rsidR="00127A8B">
        <w:t xml:space="preserve">bservation of training events and larger meetings. </w:t>
      </w:r>
      <w:r w:rsidR="00016DBE">
        <w:t>C</w:t>
      </w:r>
      <w:r>
        <w:t>oncern</w:t>
      </w:r>
      <w:r w:rsidR="00016DBE">
        <w:t>s</w:t>
      </w:r>
      <w:r>
        <w:t xml:space="preserve"> </w:t>
      </w:r>
      <w:r w:rsidR="00016DBE">
        <w:t xml:space="preserve">were also expressed </w:t>
      </w:r>
      <w:r>
        <w:t xml:space="preserve">about patient </w:t>
      </w:r>
      <w:r w:rsidR="00016DBE">
        <w:t xml:space="preserve">data </w:t>
      </w:r>
      <w:r>
        <w:t xml:space="preserve">confidentiality, </w:t>
      </w:r>
      <w:r w:rsidR="00016DBE">
        <w:t xml:space="preserve">despite </w:t>
      </w:r>
      <w:r>
        <w:t xml:space="preserve">local R&amp;D permissions. </w:t>
      </w:r>
      <w:r w:rsidR="00127A8B">
        <w:t>Nonetheless, the general enthusiasm and willingness of external consultants to participate in this study</w:t>
      </w:r>
      <w:r w:rsidR="00617BDB">
        <w:t xml:space="preserve"> was noteworthy</w:t>
      </w:r>
      <w:r w:rsidR="009E2EE1">
        <w:t>.</w:t>
      </w:r>
      <w:r w:rsidR="008529E3">
        <w:t xml:space="preserve"> </w:t>
      </w:r>
    </w:p>
    <w:p w:rsidR="009E2EE1" w:rsidRDefault="009E2EE1" w:rsidP="00D23537">
      <w:pPr>
        <w:spacing w:line="480" w:lineRule="auto"/>
      </w:pPr>
    </w:p>
    <w:p w:rsidR="00CF2797" w:rsidRDefault="00CF2797" w:rsidP="00D23537">
      <w:pPr>
        <w:spacing w:line="480" w:lineRule="auto"/>
        <w:rPr>
          <w:shd w:val="clear" w:color="auto" w:fill="FFFFFF"/>
        </w:rPr>
      </w:pPr>
      <w:r w:rsidRPr="00CF2797">
        <w:rPr>
          <w:b/>
          <w:shd w:val="clear" w:color="auto" w:fill="FFFFFF"/>
        </w:rPr>
        <w:t>RESULTS</w:t>
      </w:r>
    </w:p>
    <w:p w:rsidR="00463709" w:rsidRDefault="009A580D" w:rsidP="00D23537">
      <w:pPr>
        <w:spacing w:line="480" w:lineRule="auto"/>
      </w:pPr>
      <w:r>
        <w:lastRenderedPageBreak/>
        <w:t>T</w:t>
      </w:r>
      <w:r w:rsidR="00C93C05">
        <w:t>h</w:t>
      </w:r>
      <w:r w:rsidR="009E2EE1">
        <w:t xml:space="preserve">e </w:t>
      </w:r>
      <w:r w:rsidR="00EB45D5">
        <w:t>core</w:t>
      </w:r>
      <w:r w:rsidR="009E2EE1">
        <w:t xml:space="preserve"> themes that emerged </w:t>
      </w:r>
      <w:r>
        <w:t xml:space="preserve">in determining what external providers offer </w:t>
      </w:r>
      <w:r w:rsidR="009E2EE1">
        <w:t xml:space="preserve">were: </w:t>
      </w:r>
      <w:r w:rsidR="000678FB">
        <w:t>(</w:t>
      </w:r>
      <w:proofErr w:type="spellStart"/>
      <w:r w:rsidR="000678FB">
        <w:t>i</w:t>
      </w:r>
      <w:proofErr w:type="spellEnd"/>
      <w:r w:rsidR="000678FB">
        <w:t xml:space="preserve">) </w:t>
      </w:r>
      <w:r w:rsidR="009E2EE1">
        <w:t>technical</w:t>
      </w:r>
      <w:r w:rsidR="0096490A">
        <w:t xml:space="preserve"> transfer</w:t>
      </w:r>
      <w:r w:rsidR="000678FB">
        <w:t xml:space="preserve"> (e.g. software tool training, operation and application)</w:t>
      </w:r>
      <w:r w:rsidR="009E2EE1">
        <w:t xml:space="preserve">, </w:t>
      </w:r>
      <w:r w:rsidR="000678FB">
        <w:t xml:space="preserve">(ii) </w:t>
      </w:r>
      <w:r w:rsidR="009E2EE1">
        <w:t xml:space="preserve">expertise </w:t>
      </w:r>
      <w:r w:rsidR="000678FB">
        <w:t xml:space="preserve">(e.g. knowledge and skills in project management and analytics) </w:t>
      </w:r>
      <w:r w:rsidR="009E2EE1">
        <w:t xml:space="preserve">and </w:t>
      </w:r>
      <w:r w:rsidR="000678FB">
        <w:t xml:space="preserve">(iii) </w:t>
      </w:r>
      <w:r w:rsidR="009E2EE1">
        <w:t>outsourcing</w:t>
      </w:r>
      <w:r w:rsidR="000678FB">
        <w:t xml:space="preserve"> (e.g. taking over commissioning teams/ units wholesale)</w:t>
      </w:r>
      <w:r w:rsidR="009E2EE1">
        <w:t xml:space="preserve">. </w:t>
      </w:r>
      <w:r w:rsidR="003216D4">
        <w:t xml:space="preserve">They </w:t>
      </w:r>
      <w:r w:rsidR="0096490A">
        <w:t xml:space="preserve">were </w:t>
      </w:r>
      <w:r w:rsidR="000678FB">
        <w:t xml:space="preserve">also </w:t>
      </w:r>
      <w:r w:rsidR="0096490A">
        <w:t xml:space="preserve">engaged for their </w:t>
      </w:r>
      <w:r w:rsidR="00463709">
        <w:t xml:space="preserve">‘big picture’ perspective, </w:t>
      </w:r>
      <w:r w:rsidR="00EB45D5">
        <w:t xml:space="preserve">potential </w:t>
      </w:r>
      <w:r w:rsidR="00463709">
        <w:t xml:space="preserve">to challenge local stakeholders, knowledge from international and national sources and </w:t>
      </w:r>
      <w:r w:rsidR="007632E4">
        <w:t>new approaches to recurrent problems</w:t>
      </w:r>
      <w:r w:rsidR="00463709">
        <w:t>. The following</w:t>
      </w:r>
      <w:r w:rsidR="00617BDB">
        <w:t xml:space="preserve"> vignettes, which sometimes depict</w:t>
      </w:r>
      <w:r w:rsidR="000D7067">
        <w:t>ed</w:t>
      </w:r>
      <w:r w:rsidR="00617BDB">
        <w:t xml:space="preserve"> entire contracts and sometimes just one work stream, </w:t>
      </w:r>
      <w:r w:rsidR="00463709">
        <w:t>illustrate</w:t>
      </w:r>
      <w:r w:rsidR="0000434D">
        <w:t>d</w:t>
      </w:r>
      <w:r w:rsidR="00463709">
        <w:t xml:space="preserve"> </w:t>
      </w:r>
      <w:r w:rsidR="007632E4">
        <w:t>what external providers</w:t>
      </w:r>
      <w:r w:rsidR="00B722A0">
        <w:t xml:space="preserve"> offered</w:t>
      </w:r>
      <w:r w:rsidR="00463709">
        <w:t xml:space="preserve">, how commissioners and external </w:t>
      </w:r>
      <w:r w:rsidR="00B722A0">
        <w:t xml:space="preserve">consultants </w:t>
      </w:r>
      <w:r w:rsidR="00463709">
        <w:t>worked together</w:t>
      </w:r>
      <w:r w:rsidR="00336BDA">
        <w:t xml:space="preserve"> and</w:t>
      </w:r>
      <w:r w:rsidR="00463709">
        <w:t xml:space="preserve"> the</w:t>
      </w:r>
      <w:r w:rsidR="001A1956">
        <w:t>ir perceived</w:t>
      </w:r>
      <w:r w:rsidR="00336BDA">
        <w:t xml:space="preserve"> impact</w:t>
      </w:r>
      <w:r w:rsidR="00463709">
        <w:t>.</w:t>
      </w:r>
      <w:r w:rsidR="001B1C92">
        <w:t xml:space="preserve"> In selecting the vignettes, we chose one from each participating external provider where we had sufficient client-external provider accounts. In meeting the objectives of the study, the </w:t>
      </w:r>
      <w:r w:rsidR="000D7067">
        <w:t xml:space="preserve">selected </w:t>
      </w:r>
      <w:r w:rsidR="001B1C92">
        <w:t xml:space="preserve">vignettes demonstrated a range of the ‘offers’ available. </w:t>
      </w:r>
    </w:p>
    <w:p w:rsidR="00745260" w:rsidRDefault="00745260" w:rsidP="00D23537">
      <w:pPr>
        <w:spacing w:line="480" w:lineRule="auto"/>
        <w:rPr>
          <w:b/>
        </w:rPr>
      </w:pPr>
    </w:p>
    <w:p w:rsidR="00463709" w:rsidRPr="009C720C" w:rsidRDefault="00E21739" w:rsidP="00D23537">
      <w:pPr>
        <w:spacing w:line="480" w:lineRule="auto"/>
        <w:rPr>
          <w:b/>
        </w:rPr>
      </w:pPr>
      <w:r>
        <w:rPr>
          <w:b/>
        </w:rPr>
        <w:t xml:space="preserve">Vignette 1: </w:t>
      </w:r>
      <w:r w:rsidR="009C720C">
        <w:rPr>
          <w:b/>
        </w:rPr>
        <w:t>A technical solution – but what’s the problem?</w:t>
      </w:r>
    </w:p>
    <w:p w:rsidR="00463709" w:rsidRDefault="00190C23" w:rsidP="00D23537">
      <w:pPr>
        <w:spacing w:line="480" w:lineRule="auto"/>
      </w:pPr>
      <w:r>
        <w:t>T</w:t>
      </w:r>
      <w:r w:rsidR="002708A6">
        <w:t xml:space="preserve">he </w:t>
      </w:r>
      <w:r w:rsidR="00EC2916">
        <w:t xml:space="preserve">external </w:t>
      </w:r>
      <w:r w:rsidR="00EC2916" w:rsidRPr="00FC1CDE">
        <w:t xml:space="preserve">provider </w:t>
      </w:r>
      <w:r>
        <w:t xml:space="preserve">in this vignette </w:t>
      </w:r>
      <w:r w:rsidR="002708A6">
        <w:t xml:space="preserve">was </w:t>
      </w:r>
      <w:r w:rsidR="00343EE9" w:rsidRPr="00FC1CDE">
        <w:t xml:space="preserve">imbued with </w:t>
      </w:r>
      <w:r w:rsidR="00503C27">
        <w:t>‘</w:t>
      </w:r>
      <w:r w:rsidR="00343EE9" w:rsidRPr="00FC1CDE">
        <w:t>public sector values</w:t>
      </w:r>
      <w:r w:rsidR="00503C27">
        <w:t>’</w:t>
      </w:r>
      <w:r w:rsidR="002708A6">
        <w:t>, as</w:t>
      </w:r>
      <w:r w:rsidR="00EC2916" w:rsidRPr="00FC1CDE">
        <w:t xml:space="preserve"> the dissemination arm of an ac</w:t>
      </w:r>
      <w:r w:rsidR="00EC2916">
        <w:t>ademic institution</w:t>
      </w:r>
      <w:r w:rsidR="00EC2916" w:rsidRPr="00FC1CDE">
        <w:t xml:space="preserve">. </w:t>
      </w:r>
      <w:r w:rsidR="00EC2916">
        <w:t>Marketing a software tool</w:t>
      </w:r>
      <w:r w:rsidR="004843CB">
        <w:t xml:space="preserve"> to identify </w:t>
      </w:r>
      <w:r w:rsidR="0000434D">
        <w:t xml:space="preserve">individuals </w:t>
      </w:r>
      <w:r w:rsidR="004843CB">
        <w:t>at higher risk of using healthcare resources</w:t>
      </w:r>
      <w:r w:rsidR="0000434D">
        <w:t xml:space="preserve"> </w:t>
      </w:r>
      <w:r w:rsidR="0000434D" w:rsidRPr="00B81DF1">
        <w:t>such as</w:t>
      </w:r>
      <w:r w:rsidR="0000434D">
        <w:t xml:space="preserve"> hospital beds</w:t>
      </w:r>
      <w:r w:rsidR="0000434D">
        <w:rPr>
          <w:b/>
        </w:rPr>
        <w:t xml:space="preserve"> </w:t>
      </w:r>
      <w:r w:rsidR="00EC2916">
        <w:t xml:space="preserve">, </w:t>
      </w:r>
      <w:r w:rsidR="002708A6">
        <w:t xml:space="preserve">this external provider </w:t>
      </w:r>
      <w:r w:rsidR="00463709">
        <w:t xml:space="preserve">worked in partnership with </w:t>
      </w:r>
      <w:r w:rsidR="00976DD3">
        <w:t>other</w:t>
      </w:r>
      <w:r w:rsidR="007632E4">
        <w:t xml:space="preserve"> for and not-for-profit companies</w:t>
      </w:r>
      <w:r w:rsidR="00365349">
        <w:t xml:space="preserve"> </w:t>
      </w:r>
      <w:r w:rsidR="00463709">
        <w:t>to reach clients</w:t>
      </w:r>
      <w:r w:rsidR="007045F6">
        <w:t xml:space="preserve">, </w:t>
      </w:r>
      <w:r w:rsidR="00365349">
        <w:t>sometimes</w:t>
      </w:r>
      <w:r w:rsidR="00976DD3">
        <w:t xml:space="preserve"> via academics</w:t>
      </w:r>
      <w:r w:rsidR="007045F6">
        <w:t>.</w:t>
      </w:r>
      <w:r w:rsidR="00976DD3">
        <w:t xml:space="preserve"> </w:t>
      </w:r>
      <w:r w:rsidR="00EC2916">
        <w:t xml:space="preserve"> </w:t>
      </w:r>
    </w:p>
    <w:p w:rsidR="007045F6" w:rsidRDefault="007045F6" w:rsidP="00D23537">
      <w:pPr>
        <w:spacing w:line="480" w:lineRule="auto"/>
        <w:ind w:left="720"/>
        <w:rPr>
          <w:i/>
        </w:rPr>
      </w:pPr>
      <w:r>
        <w:rPr>
          <w:i/>
        </w:rPr>
        <w:t>I</w:t>
      </w:r>
      <w:r w:rsidRPr="0057055D">
        <w:rPr>
          <w:i/>
        </w:rPr>
        <w:t>t’s often that the academicians</w:t>
      </w:r>
      <w:r>
        <w:rPr>
          <w:i/>
        </w:rPr>
        <w:t xml:space="preserve"> (sic)</w:t>
      </w:r>
      <w:r w:rsidRPr="0057055D">
        <w:rPr>
          <w:i/>
        </w:rPr>
        <w:t xml:space="preserve"> through publications, through presentations and conferences and so on, that proves the [tool’s] viability within a particular country or setting, and demonstrate</w:t>
      </w:r>
      <w:r>
        <w:rPr>
          <w:i/>
        </w:rPr>
        <w:t>s</w:t>
      </w:r>
      <w:r w:rsidRPr="0057055D">
        <w:rPr>
          <w:i/>
        </w:rPr>
        <w:t xml:space="preserve"> its value. And then the government gets – you know – it gets their attention. </w:t>
      </w:r>
      <w:r w:rsidRPr="004B4682">
        <w:rPr>
          <w:i/>
        </w:rPr>
        <w:t>(External consultant</w:t>
      </w:r>
      <w:r w:rsidR="00343EE9" w:rsidRPr="004B4682">
        <w:rPr>
          <w:i/>
        </w:rPr>
        <w:t>, Katie</w:t>
      </w:r>
      <w:r w:rsidRPr="004B4682">
        <w:rPr>
          <w:i/>
        </w:rPr>
        <w:t>)</w:t>
      </w:r>
      <w:r w:rsidRPr="0057055D">
        <w:rPr>
          <w:i/>
        </w:rPr>
        <w:t xml:space="preserve"> </w:t>
      </w:r>
    </w:p>
    <w:p w:rsidR="00745260" w:rsidRDefault="00745260" w:rsidP="00D23537">
      <w:pPr>
        <w:spacing w:line="480" w:lineRule="auto"/>
      </w:pPr>
    </w:p>
    <w:p w:rsidR="00846031" w:rsidRDefault="00901466" w:rsidP="00D23537">
      <w:pPr>
        <w:spacing w:line="480" w:lineRule="auto"/>
      </w:pPr>
      <w:r>
        <w:t>Aft</w:t>
      </w:r>
      <w:r w:rsidR="006000C7">
        <w:t>er a six month needs assessment</w:t>
      </w:r>
      <w:r>
        <w:t xml:space="preserve">, </w:t>
      </w:r>
      <w:r w:rsidR="000F2BD7">
        <w:t>this</w:t>
      </w:r>
      <w:r w:rsidR="009C720C">
        <w:t xml:space="preserve"> software tool was selected by a </w:t>
      </w:r>
      <w:r w:rsidR="001844CD">
        <w:t xml:space="preserve">team </w:t>
      </w:r>
      <w:r w:rsidR="009C720C">
        <w:t xml:space="preserve">of senior information managers acting on behalf of a </w:t>
      </w:r>
      <w:r w:rsidR="005C7C47">
        <w:t>consortium</w:t>
      </w:r>
      <w:r w:rsidR="009C720C">
        <w:t xml:space="preserve"> of com</w:t>
      </w:r>
      <w:r>
        <w:t>missioning organisation</w:t>
      </w:r>
      <w:r w:rsidR="001844CD">
        <w:t>s</w:t>
      </w:r>
      <w:r>
        <w:t xml:space="preserve"> that wanted to “</w:t>
      </w:r>
      <w:r w:rsidRPr="00901466">
        <w:t>club together and think about how they could do commissioning in a more effective way</w:t>
      </w:r>
      <w:r>
        <w:t>” (NHS information manager, Shauna). However o</w:t>
      </w:r>
      <w:r w:rsidR="001844CD">
        <w:t xml:space="preserve">nce the tool was </w:t>
      </w:r>
      <w:r w:rsidR="00FE5C03">
        <w:t xml:space="preserve">fully </w:t>
      </w:r>
      <w:r w:rsidR="001844CD">
        <w:t>deployed</w:t>
      </w:r>
      <w:r w:rsidR="00FE5C03" w:rsidRPr="00FE5C03">
        <w:t xml:space="preserve"> </w:t>
      </w:r>
      <w:r w:rsidR="00FE5C03">
        <w:t>(about three years after the original needs assessment exercise)</w:t>
      </w:r>
      <w:r w:rsidR="001844CD">
        <w:t>, the procurement</w:t>
      </w:r>
      <w:r>
        <w:t xml:space="preserve"> team realis</w:t>
      </w:r>
      <w:r w:rsidR="00FE5C03">
        <w:t>ed</w:t>
      </w:r>
      <w:r>
        <w:t xml:space="preserve"> that the basic training for the tool </w:t>
      </w:r>
      <w:r w:rsidR="00962B2A">
        <w:t xml:space="preserve">offered by an intermediary external provider </w:t>
      </w:r>
      <w:r>
        <w:t>was insufficient</w:t>
      </w:r>
      <w:r w:rsidR="00962B2A">
        <w:t xml:space="preserve">. They </w:t>
      </w:r>
      <w:r>
        <w:t xml:space="preserve">contracted </w:t>
      </w:r>
      <w:r w:rsidR="006000C7">
        <w:t xml:space="preserve">the </w:t>
      </w:r>
      <w:r w:rsidR="00962B2A">
        <w:t xml:space="preserve">tool developers </w:t>
      </w:r>
      <w:r w:rsidR="00FE5C03">
        <w:t xml:space="preserve">directly </w:t>
      </w:r>
      <w:r w:rsidR="00B722A0">
        <w:t xml:space="preserve">to procure </w:t>
      </w:r>
      <w:r>
        <w:t>advanced training.</w:t>
      </w:r>
      <w:r w:rsidR="00846031">
        <w:t xml:space="preserve"> </w:t>
      </w:r>
    </w:p>
    <w:p w:rsidR="00846031" w:rsidRDefault="00846031" w:rsidP="00D23537">
      <w:pPr>
        <w:spacing w:line="480" w:lineRule="auto"/>
      </w:pPr>
    </w:p>
    <w:p w:rsidR="00EC2916" w:rsidRDefault="00846031" w:rsidP="00D23537">
      <w:pPr>
        <w:spacing w:line="480" w:lineRule="auto"/>
      </w:pPr>
      <w:r w:rsidRPr="00846031">
        <w:t>Th</w:t>
      </w:r>
      <w:r w:rsidR="00962B2A">
        <w:t>e</w:t>
      </w:r>
      <w:r w:rsidRPr="00846031">
        <w:t xml:space="preserve"> training </w:t>
      </w:r>
      <w:r w:rsidR="00962B2A">
        <w:t xml:space="preserve">by the tool developers was delivered by </w:t>
      </w:r>
      <w:r>
        <w:t xml:space="preserve">experts from North and South America, with little </w:t>
      </w:r>
      <w:r w:rsidR="00B722A0">
        <w:t xml:space="preserve">knowledge </w:t>
      </w:r>
      <w:r>
        <w:t>of the NHS,</w:t>
      </w:r>
      <w:r w:rsidRPr="00846031">
        <w:t xml:space="preserve"> to </w:t>
      </w:r>
      <w:r>
        <w:t>s</w:t>
      </w:r>
      <w:r w:rsidRPr="00846031">
        <w:t xml:space="preserve">even NHS clients of diverse backgrounds (analytics, primary care commissioning, </w:t>
      </w:r>
      <w:proofErr w:type="gramStart"/>
      <w:r w:rsidRPr="00846031">
        <w:t>project</w:t>
      </w:r>
      <w:proofErr w:type="gramEnd"/>
      <w:r w:rsidRPr="00846031">
        <w:t xml:space="preserve"> management) via</w:t>
      </w:r>
      <w:r>
        <w:t xml:space="preserve"> webinars.</w:t>
      </w:r>
      <w:r w:rsidR="001B186A">
        <w:t xml:space="preserve"> </w:t>
      </w:r>
      <w:r w:rsidR="00EC2916">
        <w:t xml:space="preserve">The </w:t>
      </w:r>
      <w:r w:rsidR="00343EE9">
        <w:t xml:space="preserve">training </w:t>
      </w:r>
      <w:r w:rsidR="00EC2916">
        <w:t xml:space="preserve">was almost entirely </w:t>
      </w:r>
      <w:r w:rsidR="00343EE9">
        <w:t xml:space="preserve">technical, which </w:t>
      </w:r>
      <w:r w:rsidR="008841AA">
        <w:t xml:space="preserve">was </w:t>
      </w:r>
      <w:r>
        <w:t xml:space="preserve">appreciated by </w:t>
      </w:r>
      <w:r w:rsidR="009C720C">
        <w:t>healthcare</w:t>
      </w:r>
      <w:r w:rsidR="00343EE9">
        <w:t xml:space="preserve"> analysts who confident</w:t>
      </w:r>
      <w:r w:rsidR="00F43C5F">
        <w:t>ly</w:t>
      </w:r>
      <w:r w:rsidR="00343EE9">
        <w:t xml:space="preserve"> </w:t>
      </w:r>
      <w:r w:rsidR="004B4682">
        <w:t>appl</w:t>
      </w:r>
      <w:r w:rsidR="00F43C5F">
        <w:t>ied</w:t>
      </w:r>
      <w:r w:rsidR="004B4682">
        <w:t xml:space="preserve"> their new knowledge in novel ways, for example using the software tool to allocate general practice budgets</w:t>
      </w:r>
      <w:r w:rsidR="00343EE9">
        <w:t>.</w:t>
      </w:r>
      <w:r w:rsidR="004B4682">
        <w:t xml:space="preserve"> But t</w:t>
      </w:r>
      <w:r w:rsidR="00343EE9">
        <w:t xml:space="preserve">echnical knowledge alone was insufficient </w:t>
      </w:r>
      <w:r w:rsidR="004B4682">
        <w:t xml:space="preserve">for some NHS clients. For example, </w:t>
      </w:r>
      <w:r w:rsidR="00901466">
        <w:t xml:space="preserve">a primary care commissioner talked about how they had not “chosen” but were “given” the tool, and then had to find </w:t>
      </w:r>
      <w:r w:rsidR="002708A6">
        <w:t>an application</w:t>
      </w:r>
      <w:r w:rsidR="00901466">
        <w:t xml:space="preserve">. </w:t>
      </w:r>
      <w:r w:rsidR="00617BDB">
        <w:t xml:space="preserve">Another client talked about the difficulties in contextualising tool </w:t>
      </w:r>
      <w:r w:rsidR="004B4682">
        <w:t>outputs to local c</w:t>
      </w:r>
      <w:r w:rsidR="00F43C5F">
        <w:t>ircumstances</w:t>
      </w:r>
      <w:r w:rsidR="004B4682">
        <w:t xml:space="preserve"> </w:t>
      </w:r>
      <w:r w:rsidR="00617BDB">
        <w:t xml:space="preserve">without a data interpreter </w:t>
      </w:r>
      <w:r w:rsidR="004B4682">
        <w:t>and a</w:t>
      </w:r>
      <w:r w:rsidR="00F43C5F">
        <w:t xml:space="preserve"> clear</w:t>
      </w:r>
      <w:r w:rsidR="004B4682">
        <w:t xml:space="preserve"> strategy from senior </w:t>
      </w:r>
      <w:r w:rsidR="008F200D">
        <w:t>NHS managers</w:t>
      </w:r>
      <w:r w:rsidR="004B4682">
        <w:t xml:space="preserve"> about how the tool </w:t>
      </w:r>
      <w:r w:rsidR="00F43C5F">
        <w:t>sh</w:t>
      </w:r>
      <w:r w:rsidR="004B4682">
        <w:t>ould be used</w:t>
      </w:r>
      <w:r w:rsidR="00660ABC">
        <w:t>.</w:t>
      </w:r>
    </w:p>
    <w:p w:rsidR="00343EE9" w:rsidRDefault="00343EE9" w:rsidP="00660ABC">
      <w:pPr>
        <w:spacing w:line="480" w:lineRule="auto"/>
        <w:ind w:left="720"/>
        <w:rPr>
          <w:i/>
          <w:lang w:eastAsia="en-GB"/>
        </w:rPr>
      </w:pPr>
      <w:r w:rsidRPr="004B4682">
        <w:rPr>
          <w:i/>
          <w:lang w:eastAsia="en-GB"/>
        </w:rPr>
        <w:t xml:space="preserve">I think what would be really useful is somebody from </w:t>
      </w:r>
      <w:r w:rsidR="00B4000E">
        <w:rPr>
          <w:i/>
          <w:lang w:eastAsia="en-GB"/>
        </w:rPr>
        <w:t xml:space="preserve">[external provider] </w:t>
      </w:r>
      <w:r w:rsidRPr="004B4682">
        <w:rPr>
          <w:i/>
          <w:lang w:eastAsia="en-GB"/>
        </w:rPr>
        <w:t xml:space="preserve">to work with the strategic </w:t>
      </w:r>
      <w:r w:rsidR="00364AB0">
        <w:rPr>
          <w:i/>
          <w:lang w:eastAsia="en-GB"/>
        </w:rPr>
        <w:t xml:space="preserve">[commissioning] </w:t>
      </w:r>
      <w:r w:rsidRPr="004B4682">
        <w:rPr>
          <w:i/>
          <w:lang w:eastAsia="en-GB"/>
        </w:rPr>
        <w:t xml:space="preserve">lead and maybe myself to actually think about the best way to use it to get the maximum results. So do we just </w:t>
      </w:r>
      <w:r w:rsidRPr="004B4682">
        <w:rPr>
          <w:i/>
          <w:lang w:eastAsia="en-GB"/>
        </w:rPr>
        <w:lastRenderedPageBreak/>
        <w:t>look at COPD?  Do we look at diabetes?  Is there something that we can do with the tool that would give us a really quick win?</w:t>
      </w:r>
      <w:r w:rsidR="004B4682">
        <w:rPr>
          <w:i/>
          <w:lang w:eastAsia="en-GB"/>
        </w:rPr>
        <w:t xml:space="preserve"> (</w:t>
      </w:r>
      <w:r w:rsidR="001844CD">
        <w:rPr>
          <w:i/>
          <w:lang w:eastAsia="en-GB"/>
        </w:rPr>
        <w:t>NHS p</w:t>
      </w:r>
      <w:r w:rsidR="004B4682">
        <w:rPr>
          <w:i/>
          <w:lang w:eastAsia="en-GB"/>
        </w:rPr>
        <w:t>roject manager, Kourtney)</w:t>
      </w:r>
    </w:p>
    <w:p w:rsidR="00660ABC" w:rsidRPr="00141514" w:rsidRDefault="00660ABC" w:rsidP="00660ABC">
      <w:pPr>
        <w:spacing w:line="480" w:lineRule="auto"/>
        <w:rPr>
          <w:lang w:eastAsia="en-GB"/>
        </w:rPr>
      </w:pPr>
      <w:r>
        <w:rPr>
          <w:lang w:eastAsia="en-GB"/>
        </w:rPr>
        <w:t>Overall</w:t>
      </w:r>
      <w:r w:rsidR="00F533A4" w:rsidRPr="00F533A4">
        <w:t xml:space="preserve"> </w:t>
      </w:r>
      <w:r w:rsidR="00F533A4">
        <w:t>at the time of fieldwork</w:t>
      </w:r>
      <w:r>
        <w:rPr>
          <w:lang w:eastAsia="en-GB"/>
        </w:rPr>
        <w:t>, use of</w:t>
      </w:r>
      <w:r>
        <w:t xml:space="preserve"> this tool had had limited impact on informing commissioning</w:t>
      </w:r>
      <w:r w:rsidR="00F533A4">
        <w:t>, although it was early days</w:t>
      </w:r>
      <w:r w:rsidR="005C7C47">
        <w:t xml:space="preserve"> as training was ongoing</w:t>
      </w:r>
      <w:r w:rsidR="00F533A4">
        <w:t>.</w:t>
      </w:r>
      <w:r w:rsidR="003E6C76">
        <w:t xml:space="preserve"> The lesson</w:t>
      </w:r>
      <w:r w:rsidR="00190C23">
        <w:t>s</w:t>
      </w:r>
      <w:r w:rsidR="003E6C76">
        <w:t xml:space="preserve"> from this vignette </w:t>
      </w:r>
      <w:r w:rsidR="00190C23">
        <w:t>are</w:t>
      </w:r>
      <w:r w:rsidR="003E6C76">
        <w:t xml:space="preserve"> that</w:t>
      </w:r>
      <w:r w:rsidR="00C93C05">
        <w:t xml:space="preserve"> </w:t>
      </w:r>
      <w:r w:rsidR="00C93C05" w:rsidRPr="00C93C05">
        <w:t xml:space="preserve">technical ‘solutions’ </w:t>
      </w:r>
      <w:r w:rsidR="00190C23">
        <w:t xml:space="preserve">can only solve </w:t>
      </w:r>
      <w:r w:rsidR="003E6C76" w:rsidRPr="00C93C05">
        <w:t>clearly</w:t>
      </w:r>
      <w:r w:rsidR="003E6C76">
        <w:t xml:space="preserve"> identified and recognised problems. </w:t>
      </w:r>
      <w:r w:rsidR="00190C23">
        <w:t>Moreover, t</w:t>
      </w:r>
      <w:r w:rsidR="003E6C76">
        <w:t xml:space="preserve">ranslators </w:t>
      </w:r>
      <w:r w:rsidR="009A580D">
        <w:t>who can</w:t>
      </w:r>
      <w:r w:rsidR="003E6C76">
        <w:t xml:space="preserve"> interpret data outputs are necessary and maximising </w:t>
      </w:r>
      <w:r w:rsidR="009A580D">
        <w:t xml:space="preserve">those </w:t>
      </w:r>
      <w:r w:rsidR="003E6C76">
        <w:t xml:space="preserve">outputs relies on </w:t>
      </w:r>
      <w:proofErr w:type="spellStart"/>
      <w:r w:rsidR="003E6C76">
        <w:t>external</w:t>
      </w:r>
      <w:r w:rsidR="00B722A0">
        <w:t>consultants</w:t>
      </w:r>
      <w:proofErr w:type="spellEnd"/>
      <w:r w:rsidR="003E6C76">
        <w:t>, analysts and commissioners working together.</w:t>
      </w:r>
    </w:p>
    <w:p w:rsidR="00745260" w:rsidRDefault="00745260" w:rsidP="00D23537">
      <w:pPr>
        <w:spacing w:line="480" w:lineRule="auto"/>
        <w:rPr>
          <w:b/>
        </w:rPr>
      </w:pPr>
    </w:p>
    <w:p w:rsidR="009351B6" w:rsidRDefault="00E21739" w:rsidP="00D23537">
      <w:pPr>
        <w:spacing w:line="480" w:lineRule="auto"/>
        <w:rPr>
          <w:b/>
        </w:rPr>
      </w:pPr>
      <w:r>
        <w:rPr>
          <w:b/>
        </w:rPr>
        <w:t xml:space="preserve">Vignette 2: </w:t>
      </w:r>
      <w:r w:rsidR="009C720C">
        <w:rPr>
          <w:b/>
        </w:rPr>
        <w:t>A new approach to a</w:t>
      </w:r>
      <w:r w:rsidR="009351B6">
        <w:rPr>
          <w:b/>
        </w:rPr>
        <w:t xml:space="preserve"> recurrent challenge</w:t>
      </w:r>
    </w:p>
    <w:p w:rsidR="007657FF" w:rsidRDefault="002708A6" w:rsidP="00D23537">
      <w:pPr>
        <w:spacing w:line="480" w:lineRule="auto"/>
      </w:pPr>
      <w:r>
        <w:t xml:space="preserve">The external provider </w:t>
      </w:r>
      <w:r w:rsidR="00190C23">
        <w:t xml:space="preserve">in the second vignette </w:t>
      </w:r>
      <w:r>
        <w:t xml:space="preserve">also </w:t>
      </w:r>
      <w:r w:rsidR="007B1596">
        <w:t xml:space="preserve">offered </w:t>
      </w:r>
      <w:r w:rsidR="00503C27">
        <w:t xml:space="preserve">technical transfer through </w:t>
      </w:r>
      <w:r w:rsidR="007B1596">
        <w:t>software tools</w:t>
      </w:r>
      <w:r w:rsidR="007657FF">
        <w:t xml:space="preserve">. </w:t>
      </w:r>
      <w:r w:rsidR="001844CD">
        <w:t xml:space="preserve">With </w:t>
      </w:r>
      <w:r w:rsidR="00617BDB">
        <w:t>one</w:t>
      </w:r>
      <w:r w:rsidR="001844CD">
        <w:t xml:space="preserve"> </w:t>
      </w:r>
      <w:r w:rsidR="007657FF">
        <w:t>tool, clinical reviewers compared patient</w:t>
      </w:r>
      <w:r w:rsidR="004843CB">
        <w:t>s’</w:t>
      </w:r>
      <w:r w:rsidR="007657FF">
        <w:t xml:space="preserve"> notes to </w:t>
      </w:r>
      <w:r w:rsidR="00190C23">
        <w:t xml:space="preserve">a set of </w:t>
      </w:r>
      <w:r w:rsidR="007657FF">
        <w:t xml:space="preserve">standards based on expert consensus </w:t>
      </w:r>
      <w:r w:rsidR="004843CB">
        <w:t xml:space="preserve">on </w:t>
      </w:r>
      <w:r w:rsidR="00617BDB">
        <w:t>‘</w:t>
      </w:r>
      <w:r w:rsidR="004843CB">
        <w:t>best place of care</w:t>
      </w:r>
      <w:r w:rsidR="00617BDB">
        <w:t>’</w:t>
      </w:r>
      <w:r w:rsidR="004843CB">
        <w:t xml:space="preserve"> </w:t>
      </w:r>
      <w:r w:rsidR="00617BDB">
        <w:t>(i.e. hospital or community based). P</w:t>
      </w:r>
      <w:r w:rsidR="007657FF">
        <w:t xml:space="preserve">atients either ‘qualified’ </w:t>
      </w:r>
      <w:r w:rsidR="000F71DF">
        <w:t xml:space="preserve">to be </w:t>
      </w:r>
      <w:r w:rsidR="001844CD">
        <w:t xml:space="preserve">in their current setting </w:t>
      </w:r>
      <w:r w:rsidR="007657FF">
        <w:t>or did not.</w:t>
      </w:r>
      <w:r w:rsidR="007B1596">
        <w:t xml:space="preserve"> </w:t>
      </w:r>
      <w:r w:rsidR="007657FF">
        <w:t>At the instigation of commissioners, t</w:t>
      </w:r>
      <w:r w:rsidR="007657FF" w:rsidRPr="007657FF">
        <w:t>wo audits using this tool were carried out for an acute trust</w:t>
      </w:r>
      <w:r w:rsidR="00A57CE6">
        <w:t>,</w:t>
      </w:r>
      <w:r w:rsidR="007657FF" w:rsidRPr="007657FF">
        <w:t xml:space="preserve"> </w:t>
      </w:r>
      <w:r w:rsidR="00A57CE6">
        <w:t xml:space="preserve">as a way of </w:t>
      </w:r>
      <w:r w:rsidR="005C7C47">
        <w:t>identifying unnecessary</w:t>
      </w:r>
      <w:r w:rsidR="007657FF" w:rsidRPr="007657FF">
        <w:t xml:space="preserve"> hospital admissions. </w:t>
      </w:r>
    </w:p>
    <w:p w:rsidR="00745260" w:rsidRDefault="00745260" w:rsidP="00D23537">
      <w:pPr>
        <w:spacing w:line="480" w:lineRule="auto"/>
      </w:pPr>
    </w:p>
    <w:p w:rsidR="007657FF" w:rsidRPr="007657FF" w:rsidRDefault="007657FF" w:rsidP="00D23537">
      <w:pPr>
        <w:spacing w:line="480" w:lineRule="auto"/>
        <w:rPr>
          <w:lang w:val="en-US"/>
        </w:rPr>
      </w:pPr>
      <w:r w:rsidRPr="007657FF">
        <w:t xml:space="preserve">The first audit was entirely conducted by </w:t>
      </w:r>
      <w:r w:rsidR="002708A6">
        <w:t>external consultants</w:t>
      </w:r>
      <w:r w:rsidR="008C3DA6">
        <w:t xml:space="preserve"> </w:t>
      </w:r>
      <w:r w:rsidR="00F14DC3">
        <w:t xml:space="preserve">in autumn 2010 </w:t>
      </w:r>
      <w:r w:rsidR="008C3DA6">
        <w:t>and was described as a</w:t>
      </w:r>
      <w:r w:rsidRPr="007657FF">
        <w:t xml:space="preserve"> “disaster”</w:t>
      </w:r>
      <w:r w:rsidR="008C3DA6">
        <w:t xml:space="preserve"> </w:t>
      </w:r>
      <w:r>
        <w:t>(Medical Director, Hugh)</w:t>
      </w:r>
      <w:r w:rsidR="008C3DA6">
        <w:t>. M</w:t>
      </w:r>
      <w:r>
        <w:t>any patients</w:t>
      </w:r>
      <w:r w:rsidR="008C3DA6">
        <w:t xml:space="preserve"> were</w:t>
      </w:r>
      <w:r>
        <w:t xml:space="preserve"> identified</w:t>
      </w:r>
      <w:r w:rsidR="00BC2E00">
        <w:t xml:space="preserve"> as</w:t>
      </w:r>
      <w:r>
        <w:t xml:space="preserve"> ‘not qualifying’</w:t>
      </w:r>
      <w:r w:rsidR="008C3DA6">
        <w:t xml:space="preserve">, a finding contested by the </w:t>
      </w:r>
      <w:r w:rsidRPr="007657FF">
        <w:t>hospital</w:t>
      </w:r>
      <w:r w:rsidR="009A580D">
        <w:t xml:space="preserve">, which </w:t>
      </w:r>
      <w:r w:rsidR="008C3DA6">
        <w:t>plac</w:t>
      </w:r>
      <w:r w:rsidR="009A580D">
        <w:t>ed</w:t>
      </w:r>
      <w:r w:rsidR="008C3DA6">
        <w:t xml:space="preserve"> further strain on </w:t>
      </w:r>
      <w:r w:rsidRPr="007657FF">
        <w:t xml:space="preserve">already difficult relationships between the </w:t>
      </w:r>
      <w:r>
        <w:t>commissioners</w:t>
      </w:r>
      <w:r w:rsidRPr="007657FF">
        <w:t xml:space="preserve"> and hospital. Nine months later, </w:t>
      </w:r>
      <w:r w:rsidR="00190C23">
        <w:t xml:space="preserve">after the shortcomings of the first audit had been agreed, </w:t>
      </w:r>
      <w:r w:rsidRPr="007657FF">
        <w:t xml:space="preserve">a </w:t>
      </w:r>
      <w:r w:rsidRPr="007657FF">
        <w:lastRenderedPageBreak/>
        <w:t>second audit took place</w:t>
      </w:r>
      <w:r w:rsidR="00F14DC3">
        <w:t xml:space="preserve"> in summer 2011</w:t>
      </w:r>
      <w:r w:rsidR="008C3DA6">
        <w:t>,</w:t>
      </w:r>
      <w:r w:rsidRPr="007657FF">
        <w:t xml:space="preserve"> carried out </w:t>
      </w:r>
      <w:r w:rsidR="00190C23">
        <w:t xml:space="preserve">this time </w:t>
      </w:r>
      <w:r w:rsidRPr="007657FF">
        <w:t>by five local reviewers</w:t>
      </w:r>
      <w:r w:rsidR="00115601">
        <w:t xml:space="preserve"> from the hospital, </w:t>
      </w:r>
      <w:r w:rsidR="002708A6">
        <w:t xml:space="preserve">community provider and </w:t>
      </w:r>
      <w:r w:rsidR="00115601">
        <w:t>commissioning agency.</w:t>
      </w:r>
      <w:r w:rsidRPr="007657FF">
        <w:t xml:space="preserve"> </w:t>
      </w:r>
      <w:r w:rsidR="00F14DC3">
        <w:t>Local r</w:t>
      </w:r>
      <w:r w:rsidR="001844CD">
        <w:t xml:space="preserve">eviewers initially learnt </w:t>
      </w:r>
      <w:r w:rsidRPr="007657FF">
        <w:rPr>
          <w:lang w:val="en-US"/>
        </w:rPr>
        <w:t>how to use the tool</w:t>
      </w:r>
      <w:r w:rsidR="001844CD">
        <w:rPr>
          <w:lang w:val="en-US"/>
        </w:rPr>
        <w:t xml:space="preserve"> during </w:t>
      </w:r>
      <w:r w:rsidRPr="007657FF">
        <w:rPr>
          <w:lang w:val="en-US"/>
        </w:rPr>
        <w:t xml:space="preserve">a two day training session and </w:t>
      </w:r>
      <w:r w:rsidR="00EB45D5">
        <w:rPr>
          <w:lang w:val="en-US"/>
        </w:rPr>
        <w:t>then</w:t>
      </w:r>
      <w:r w:rsidR="00190C23">
        <w:rPr>
          <w:lang w:val="en-US"/>
        </w:rPr>
        <w:t xml:space="preserve"> that learning was augmented and consolidated</w:t>
      </w:r>
      <w:r w:rsidR="00EB45D5">
        <w:rPr>
          <w:lang w:val="en-US"/>
        </w:rPr>
        <w:t xml:space="preserve"> </w:t>
      </w:r>
      <w:r w:rsidRPr="007657FF">
        <w:rPr>
          <w:lang w:val="en-US"/>
        </w:rPr>
        <w:t xml:space="preserve">through </w:t>
      </w:r>
      <w:r w:rsidR="00A57CE6">
        <w:rPr>
          <w:lang w:val="en-US"/>
        </w:rPr>
        <w:t>experiential</w:t>
      </w:r>
      <w:r w:rsidR="00190C23">
        <w:rPr>
          <w:lang w:val="en-US"/>
        </w:rPr>
        <w:t xml:space="preserve"> application of the tool </w:t>
      </w:r>
      <w:r w:rsidR="005C7C47">
        <w:rPr>
          <w:lang w:val="en-US"/>
        </w:rPr>
        <w:t>during</w:t>
      </w:r>
      <w:r w:rsidR="00190C23">
        <w:rPr>
          <w:lang w:val="en-US"/>
        </w:rPr>
        <w:t xml:space="preserve"> </w:t>
      </w:r>
      <w:r w:rsidRPr="007657FF">
        <w:rPr>
          <w:lang w:val="en-US"/>
        </w:rPr>
        <w:t>data collection</w:t>
      </w:r>
      <w:r w:rsidR="005C7C47">
        <w:rPr>
          <w:lang w:val="en-US"/>
        </w:rPr>
        <w:t>,</w:t>
      </w:r>
      <w:r w:rsidR="00EB45D5">
        <w:rPr>
          <w:lang w:val="en-US"/>
        </w:rPr>
        <w:t xml:space="preserve"> with e</w:t>
      </w:r>
      <w:r w:rsidR="002708A6">
        <w:rPr>
          <w:lang w:val="en-US"/>
        </w:rPr>
        <w:t xml:space="preserve">xternal consultants on hand </w:t>
      </w:r>
      <w:r w:rsidR="00115601" w:rsidRPr="007657FF">
        <w:t>act</w:t>
      </w:r>
      <w:r w:rsidR="00115601">
        <w:t>ing</w:t>
      </w:r>
      <w:r w:rsidR="00115601" w:rsidRPr="007657FF">
        <w:t xml:space="preserve"> in an advisory capacity.</w:t>
      </w:r>
      <w:r w:rsidR="001844CD" w:rsidRPr="001844CD">
        <w:t xml:space="preserve"> </w:t>
      </w:r>
      <w:r w:rsidR="000F71DF">
        <w:t xml:space="preserve">Interestingly, the </w:t>
      </w:r>
      <w:r w:rsidR="00503C27">
        <w:t>proportion</w:t>
      </w:r>
      <w:r w:rsidR="000F71DF">
        <w:t xml:space="preserve"> of</w:t>
      </w:r>
      <w:r w:rsidR="00503C27">
        <w:t xml:space="preserve"> patients</w:t>
      </w:r>
      <w:r w:rsidR="000F71DF">
        <w:t xml:space="preserve"> </w:t>
      </w:r>
      <w:r w:rsidR="00503C27">
        <w:t>‘</w:t>
      </w:r>
      <w:r w:rsidR="001844CD">
        <w:t>not qualifying</w:t>
      </w:r>
      <w:r w:rsidR="00503C27">
        <w:t>’</w:t>
      </w:r>
      <w:r w:rsidR="001844CD">
        <w:t xml:space="preserve"> </w:t>
      </w:r>
      <w:r w:rsidR="00190C23">
        <w:t xml:space="preserve">in the second audit (24%) </w:t>
      </w:r>
      <w:r w:rsidR="001844CD">
        <w:t>w</w:t>
      </w:r>
      <w:r w:rsidR="009A580D">
        <w:t>as</w:t>
      </w:r>
      <w:r w:rsidR="001844CD">
        <w:t xml:space="preserve"> almost the same as the first audit (28%</w:t>
      </w:r>
      <w:r w:rsidR="00190C23">
        <w:t>)</w:t>
      </w:r>
      <w:r w:rsidR="001844CD">
        <w:t>, but</w:t>
      </w:r>
      <w:r w:rsidR="008C3DA6">
        <w:t xml:space="preserve"> local ownership meant that the </w:t>
      </w:r>
      <w:r w:rsidR="00EB45D5">
        <w:t xml:space="preserve">second audit </w:t>
      </w:r>
      <w:r w:rsidR="008C3DA6">
        <w:t xml:space="preserve">results were more readily </w:t>
      </w:r>
      <w:r w:rsidR="001844CD">
        <w:t>accepted</w:t>
      </w:r>
    </w:p>
    <w:p w:rsidR="00745260" w:rsidRDefault="00745260" w:rsidP="00D23537">
      <w:pPr>
        <w:spacing w:line="480" w:lineRule="auto"/>
        <w:rPr>
          <w:lang w:val="en-US"/>
        </w:rPr>
      </w:pPr>
    </w:p>
    <w:p w:rsidR="00022708" w:rsidRDefault="007657FF" w:rsidP="00D23537">
      <w:pPr>
        <w:spacing w:line="480" w:lineRule="auto"/>
        <w:rPr>
          <w:lang w:val="en-US"/>
        </w:rPr>
      </w:pPr>
      <w:r w:rsidRPr="007657FF">
        <w:rPr>
          <w:lang w:val="en-US"/>
        </w:rPr>
        <w:t xml:space="preserve">The NHS clients found the </w:t>
      </w:r>
      <w:r w:rsidR="001844CD">
        <w:rPr>
          <w:lang w:val="en-US"/>
        </w:rPr>
        <w:t xml:space="preserve">second </w:t>
      </w:r>
      <w:r w:rsidRPr="007657FF">
        <w:rPr>
          <w:lang w:val="en-US"/>
        </w:rPr>
        <w:t>audit “very useful”</w:t>
      </w:r>
      <w:r w:rsidR="00E26330">
        <w:rPr>
          <w:lang w:val="en-US"/>
        </w:rPr>
        <w:t xml:space="preserve"> (</w:t>
      </w:r>
      <w:r w:rsidR="001844CD">
        <w:rPr>
          <w:lang w:val="en-US"/>
        </w:rPr>
        <w:t>NHS information manager</w:t>
      </w:r>
      <w:r w:rsidR="00E26330">
        <w:rPr>
          <w:lang w:val="en-US"/>
        </w:rPr>
        <w:t>, Joan)</w:t>
      </w:r>
      <w:r w:rsidRPr="007657FF">
        <w:rPr>
          <w:lang w:val="en-US"/>
        </w:rPr>
        <w:t>, but not because the tool gave much insight into un</w:t>
      </w:r>
      <w:r w:rsidR="005C7C47">
        <w:rPr>
          <w:lang w:val="en-US"/>
        </w:rPr>
        <w:t>necessary</w:t>
      </w:r>
      <w:r w:rsidRPr="007657FF">
        <w:rPr>
          <w:lang w:val="en-US"/>
        </w:rPr>
        <w:t xml:space="preserve"> hospital admissions. Rather</w:t>
      </w:r>
      <w:r w:rsidR="00BE53C8">
        <w:rPr>
          <w:lang w:val="en-US"/>
        </w:rPr>
        <w:t xml:space="preserve"> through joint</w:t>
      </w:r>
      <w:r w:rsidR="00503C27">
        <w:rPr>
          <w:lang w:val="en-US"/>
        </w:rPr>
        <w:t xml:space="preserve"> data collection with daily de-briefing sessions chaired by the hospital medical director</w:t>
      </w:r>
      <w:r w:rsidR="00BE53C8">
        <w:rPr>
          <w:lang w:val="en-US"/>
        </w:rPr>
        <w:t xml:space="preserve">, </w:t>
      </w:r>
      <w:r w:rsidR="00BC2E00">
        <w:rPr>
          <w:lang w:val="en-US"/>
        </w:rPr>
        <w:t xml:space="preserve">professionals from different care sectors learnt more about each other’s norms and challenges and </w:t>
      </w:r>
      <w:r w:rsidR="006000C7">
        <w:rPr>
          <w:lang w:val="en-US"/>
        </w:rPr>
        <w:t xml:space="preserve">developed </w:t>
      </w:r>
      <w:r w:rsidR="00EB45D5">
        <w:rPr>
          <w:lang w:val="en-US"/>
        </w:rPr>
        <w:t xml:space="preserve">better </w:t>
      </w:r>
      <w:r w:rsidR="00BC2E00">
        <w:rPr>
          <w:lang w:val="en-US"/>
        </w:rPr>
        <w:t xml:space="preserve">working relationships. </w:t>
      </w:r>
      <w:r w:rsidR="00BE53C8">
        <w:rPr>
          <w:lang w:val="en-US"/>
        </w:rPr>
        <w:t>T</w:t>
      </w:r>
      <w:r w:rsidRPr="007657FF">
        <w:rPr>
          <w:lang w:val="en-US"/>
        </w:rPr>
        <w:t xml:space="preserve">he hospital </w:t>
      </w:r>
      <w:r w:rsidR="00EB45D5">
        <w:rPr>
          <w:lang w:val="en-US"/>
        </w:rPr>
        <w:t xml:space="preserve">team </w:t>
      </w:r>
      <w:r w:rsidR="00BE53C8">
        <w:rPr>
          <w:lang w:val="en-US"/>
        </w:rPr>
        <w:t xml:space="preserve">also learnt </w:t>
      </w:r>
      <w:r w:rsidR="00A90208">
        <w:rPr>
          <w:lang w:val="en-US"/>
        </w:rPr>
        <w:t>to</w:t>
      </w:r>
      <w:r w:rsidRPr="007657FF">
        <w:rPr>
          <w:lang w:val="en-US"/>
        </w:rPr>
        <w:t xml:space="preserve"> </w:t>
      </w:r>
      <w:r w:rsidR="006000C7">
        <w:rPr>
          <w:lang w:val="en-US"/>
        </w:rPr>
        <w:t xml:space="preserve">think differently about </w:t>
      </w:r>
      <w:r w:rsidR="000D7067">
        <w:rPr>
          <w:lang w:val="en-US"/>
        </w:rPr>
        <w:t xml:space="preserve">ways to reduce </w:t>
      </w:r>
      <w:r w:rsidR="00E9568E">
        <w:rPr>
          <w:lang w:val="en-US"/>
        </w:rPr>
        <w:t>hospital</w:t>
      </w:r>
      <w:r w:rsidRPr="007657FF">
        <w:rPr>
          <w:lang w:val="en-US"/>
        </w:rPr>
        <w:t xml:space="preserve"> admissions (i.e. from the perspective of whe</w:t>
      </w:r>
      <w:r w:rsidR="00446EFD">
        <w:rPr>
          <w:lang w:val="en-US"/>
        </w:rPr>
        <w:t xml:space="preserve">re the patient </w:t>
      </w:r>
      <w:r w:rsidR="006000C7">
        <w:rPr>
          <w:lang w:val="en-US"/>
        </w:rPr>
        <w:t xml:space="preserve">is </w:t>
      </w:r>
      <w:r w:rsidR="00446EFD">
        <w:rPr>
          <w:lang w:val="en-US"/>
        </w:rPr>
        <w:t>best placed</w:t>
      </w:r>
      <w:r w:rsidRPr="007657FF">
        <w:rPr>
          <w:lang w:val="en-US"/>
        </w:rPr>
        <w:t>)</w:t>
      </w:r>
      <w:r w:rsidR="00E26330">
        <w:rPr>
          <w:lang w:val="en-US"/>
        </w:rPr>
        <w:t xml:space="preserve">. </w:t>
      </w:r>
    </w:p>
    <w:p w:rsidR="00022708" w:rsidRPr="0041157F" w:rsidRDefault="0041157F" w:rsidP="00D23537">
      <w:pPr>
        <w:spacing w:line="480" w:lineRule="auto"/>
        <w:ind w:left="720"/>
        <w:rPr>
          <w:i/>
          <w:lang w:val="en-US"/>
        </w:rPr>
      </w:pPr>
      <w:r w:rsidRPr="0041157F">
        <w:rPr>
          <w:i/>
        </w:rPr>
        <w:t>I think the whole question of looking at admissions and what was required, and what services could be put around it, is one that is so obvious that actually</w:t>
      </w:r>
      <w:r>
        <w:rPr>
          <w:i/>
        </w:rPr>
        <w:t xml:space="preserve"> we weren’t thinking about it….</w:t>
      </w:r>
      <w:r w:rsidRPr="0041157F">
        <w:rPr>
          <w:i/>
        </w:rPr>
        <w:t xml:space="preserve"> And so by modifying that concept I think we will learn a lot and gain a lot. So I think they </w:t>
      </w:r>
      <w:r>
        <w:rPr>
          <w:i/>
        </w:rPr>
        <w:t>[</w:t>
      </w:r>
      <w:r w:rsidR="00BC2E00">
        <w:rPr>
          <w:i/>
        </w:rPr>
        <w:t>external provider</w:t>
      </w:r>
      <w:r>
        <w:rPr>
          <w:i/>
        </w:rPr>
        <w:t xml:space="preserve">] </w:t>
      </w:r>
      <w:r w:rsidRPr="0041157F">
        <w:rPr>
          <w:i/>
        </w:rPr>
        <w:t>did bring that.</w:t>
      </w:r>
      <w:r>
        <w:rPr>
          <w:i/>
        </w:rPr>
        <w:t xml:space="preserve"> (Medical director, Hugh)</w:t>
      </w:r>
    </w:p>
    <w:p w:rsidR="00745260" w:rsidRDefault="00745260" w:rsidP="00D23537">
      <w:pPr>
        <w:spacing w:line="480" w:lineRule="auto"/>
        <w:rPr>
          <w:lang w:val="en-US"/>
        </w:rPr>
      </w:pPr>
    </w:p>
    <w:p w:rsidR="003E6C76" w:rsidRPr="007657FF" w:rsidRDefault="00BE53C8" w:rsidP="00D23537">
      <w:pPr>
        <w:spacing w:line="480" w:lineRule="auto"/>
      </w:pPr>
      <w:r>
        <w:rPr>
          <w:lang w:val="en-US"/>
        </w:rPr>
        <w:lastRenderedPageBreak/>
        <w:t>F</w:t>
      </w:r>
      <w:r w:rsidR="007D7758" w:rsidRPr="007657FF">
        <w:rPr>
          <w:lang w:val="en-US"/>
        </w:rPr>
        <w:t>urther audits</w:t>
      </w:r>
      <w:r w:rsidR="007D7758">
        <w:rPr>
          <w:lang w:val="en-US"/>
        </w:rPr>
        <w:t xml:space="preserve"> using the same method</w:t>
      </w:r>
      <w:r>
        <w:rPr>
          <w:lang w:val="en-US"/>
        </w:rPr>
        <w:t xml:space="preserve"> (but not the software tool) were conducted i</w:t>
      </w:r>
      <w:r w:rsidR="007D7758">
        <w:rPr>
          <w:lang w:val="en-US"/>
        </w:rPr>
        <w:t xml:space="preserve">n other </w:t>
      </w:r>
      <w:r w:rsidR="00BC2E00">
        <w:rPr>
          <w:lang w:val="en-US"/>
        </w:rPr>
        <w:t xml:space="preserve">hospital </w:t>
      </w:r>
      <w:r w:rsidR="007D7758">
        <w:rPr>
          <w:lang w:val="en-US"/>
        </w:rPr>
        <w:t>wards</w:t>
      </w:r>
      <w:r>
        <w:rPr>
          <w:lang w:val="en-US"/>
        </w:rPr>
        <w:t xml:space="preserve">, but </w:t>
      </w:r>
      <w:r w:rsidR="007657FF" w:rsidRPr="007657FF">
        <w:rPr>
          <w:lang w:val="en-US"/>
        </w:rPr>
        <w:t xml:space="preserve">the </w:t>
      </w:r>
      <w:r w:rsidR="00412A6D">
        <w:rPr>
          <w:lang w:val="en-US"/>
        </w:rPr>
        <w:t xml:space="preserve">external </w:t>
      </w:r>
      <w:r w:rsidR="007657FF" w:rsidRPr="007657FF">
        <w:rPr>
          <w:lang w:val="en-US"/>
        </w:rPr>
        <w:t>provider</w:t>
      </w:r>
      <w:r>
        <w:rPr>
          <w:lang w:val="en-US"/>
        </w:rPr>
        <w:t xml:space="preserve"> was not involved</w:t>
      </w:r>
      <w:r w:rsidR="007657FF" w:rsidRPr="007657FF">
        <w:rPr>
          <w:lang w:val="en-US"/>
        </w:rPr>
        <w:t xml:space="preserve">. </w:t>
      </w:r>
      <w:r>
        <w:rPr>
          <w:lang w:val="en-US"/>
        </w:rPr>
        <w:t>S</w:t>
      </w:r>
      <w:r w:rsidR="007D7758">
        <w:rPr>
          <w:lang w:val="en-US"/>
        </w:rPr>
        <w:t>everal months after the second audit</w:t>
      </w:r>
      <w:r>
        <w:rPr>
          <w:lang w:val="en-US"/>
        </w:rPr>
        <w:t>, we received a</w:t>
      </w:r>
      <w:r w:rsidR="009911E4">
        <w:rPr>
          <w:lang w:val="en-US"/>
        </w:rPr>
        <w:t>n e-mail</w:t>
      </w:r>
      <w:r>
        <w:rPr>
          <w:lang w:val="en-US"/>
        </w:rPr>
        <w:t xml:space="preserve"> </w:t>
      </w:r>
      <w:r w:rsidR="006000C7">
        <w:rPr>
          <w:lang w:val="en-US"/>
        </w:rPr>
        <w:t xml:space="preserve">stating </w:t>
      </w:r>
      <w:r w:rsidR="007D7758">
        <w:rPr>
          <w:lang w:val="en-US"/>
        </w:rPr>
        <w:t xml:space="preserve">that </w:t>
      </w:r>
      <w:r w:rsidR="007657FF" w:rsidRPr="007657FF">
        <w:rPr>
          <w:lang w:val="en-US"/>
        </w:rPr>
        <w:t xml:space="preserve">the results </w:t>
      </w:r>
      <w:r w:rsidR="007D7758">
        <w:rPr>
          <w:lang w:val="en-US"/>
        </w:rPr>
        <w:t xml:space="preserve">had not </w:t>
      </w:r>
      <w:r w:rsidR="007657FF" w:rsidRPr="007657FF">
        <w:rPr>
          <w:lang w:val="en-US"/>
        </w:rPr>
        <w:t>fed into any commissioning decisions</w:t>
      </w:r>
      <w:r w:rsidR="00ED61F8">
        <w:rPr>
          <w:lang w:val="en-US"/>
        </w:rPr>
        <w:t xml:space="preserve">, </w:t>
      </w:r>
      <w:r>
        <w:rPr>
          <w:lang w:val="en-US"/>
        </w:rPr>
        <w:t>but</w:t>
      </w:r>
      <w:r w:rsidR="009A580D">
        <w:rPr>
          <w:lang w:val="en-US"/>
        </w:rPr>
        <w:t xml:space="preserve"> </w:t>
      </w:r>
      <w:r w:rsidR="000D7067">
        <w:rPr>
          <w:lang w:val="en-US"/>
        </w:rPr>
        <w:t xml:space="preserve">that </w:t>
      </w:r>
      <w:r>
        <w:rPr>
          <w:lang w:val="en-US"/>
        </w:rPr>
        <w:t xml:space="preserve">the ensuing </w:t>
      </w:r>
      <w:r w:rsidR="00F14DC3">
        <w:rPr>
          <w:lang w:val="en-US"/>
        </w:rPr>
        <w:t xml:space="preserve">local </w:t>
      </w:r>
      <w:r>
        <w:rPr>
          <w:lang w:val="en-US"/>
        </w:rPr>
        <w:t>relationships were highly valued</w:t>
      </w:r>
      <w:r w:rsidR="007657FF" w:rsidRPr="007657FF">
        <w:rPr>
          <w:lang w:val="en-US"/>
        </w:rPr>
        <w:t>.</w:t>
      </w:r>
      <w:r w:rsidR="00503C27">
        <w:rPr>
          <w:lang w:val="en-US"/>
        </w:rPr>
        <w:t xml:space="preserve"> </w:t>
      </w:r>
      <w:r w:rsidR="003E6C76" w:rsidRPr="003E6C76">
        <w:t>The lesson from th</w:t>
      </w:r>
      <w:r w:rsidR="003E6C76">
        <w:t>is</w:t>
      </w:r>
      <w:r w:rsidR="003E6C76" w:rsidRPr="003E6C76">
        <w:t xml:space="preserve"> vignette was that where possible, external </w:t>
      </w:r>
      <w:r w:rsidR="00412A6D">
        <w:t xml:space="preserve">consultants </w:t>
      </w:r>
      <w:r w:rsidR="003E6C76" w:rsidRPr="003E6C76">
        <w:t>could helpfully ensure that the work is conducted by clients, so that the clients take ownership and skills are more easily transferred.</w:t>
      </w:r>
    </w:p>
    <w:p w:rsidR="00745260" w:rsidRDefault="00745260" w:rsidP="00D23537">
      <w:pPr>
        <w:spacing w:line="480" w:lineRule="auto"/>
        <w:rPr>
          <w:b/>
        </w:rPr>
      </w:pPr>
    </w:p>
    <w:p w:rsidR="00F533A4" w:rsidRDefault="00E21739" w:rsidP="00D23537">
      <w:pPr>
        <w:spacing w:line="480" w:lineRule="auto"/>
        <w:rPr>
          <w:b/>
        </w:rPr>
      </w:pPr>
      <w:r>
        <w:rPr>
          <w:b/>
        </w:rPr>
        <w:t xml:space="preserve">Vignette 3: </w:t>
      </w:r>
      <w:r w:rsidR="009911E4">
        <w:rPr>
          <w:b/>
        </w:rPr>
        <w:t>“</w:t>
      </w:r>
      <w:r w:rsidR="00845926">
        <w:rPr>
          <w:b/>
        </w:rPr>
        <w:t>Going from good to great</w:t>
      </w:r>
      <w:r w:rsidR="00745260">
        <w:rPr>
          <w:b/>
        </w:rPr>
        <w:t>”</w:t>
      </w:r>
    </w:p>
    <w:p w:rsidR="00BA5C25" w:rsidRDefault="00A43C74" w:rsidP="009A580D">
      <w:pPr>
        <w:spacing w:line="480" w:lineRule="auto"/>
      </w:pPr>
      <w:r>
        <w:t xml:space="preserve">In addition to contracting external providers for their technical offer, as illustrated in the previous two vignettes, external consultants were </w:t>
      </w:r>
      <w:r w:rsidR="006000C7">
        <w:t xml:space="preserve">also </w:t>
      </w:r>
      <w:r>
        <w:t>engaged for their expertise in project management.</w:t>
      </w:r>
      <w:r w:rsidR="005C7C47">
        <w:t xml:space="preserve"> </w:t>
      </w:r>
      <w:r w:rsidR="009A580D" w:rsidRPr="009A580D">
        <w:t xml:space="preserve">The NHS commissioning organisation involved in this vignette was “trying to go from good to great as a commissioner” (Carol, NHS commissioning manager), so </w:t>
      </w:r>
      <w:r w:rsidR="006000C7">
        <w:t xml:space="preserve">one of </w:t>
      </w:r>
      <w:r w:rsidR="00412A6D">
        <w:t xml:space="preserve">the </w:t>
      </w:r>
      <w:r w:rsidR="006000C7">
        <w:t xml:space="preserve">numerous work streams </w:t>
      </w:r>
      <w:r w:rsidR="00BA5C25">
        <w:t xml:space="preserve">was </w:t>
      </w:r>
      <w:r w:rsidR="006000C7">
        <w:t xml:space="preserve">to carry out a set of activities to </w:t>
      </w:r>
      <w:r w:rsidR="00BA5C25">
        <w:t>help their NHS clients</w:t>
      </w:r>
      <w:r w:rsidR="009A580D" w:rsidRPr="009A580D">
        <w:t xml:space="preserve"> prepare for a ‘World Class Commissioning assurance day’</w:t>
      </w:r>
      <w:r w:rsidR="00BA5C25">
        <w:t xml:space="preserve">. </w:t>
      </w:r>
    </w:p>
    <w:p w:rsidR="00BA5C25" w:rsidRDefault="00BA5C25" w:rsidP="009A580D">
      <w:pPr>
        <w:spacing w:line="480" w:lineRule="auto"/>
      </w:pPr>
    </w:p>
    <w:p w:rsidR="009A580D" w:rsidRPr="009A580D" w:rsidRDefault="00BA5C25" w:rsidP="009A580D">
      <w:pPr>
        <w:spacing w:line="480" w:lineRule="auto"/>
      </w:pPr>
      <w:r>
        <w:t xml:space="preserve">As part of this process, the external </w:t>
      </w:r>
      <w:r w:rsidR="00412A6D">
        <w:t xml:space="preserve">consultants </w:t>
      </w:r>
      <w:r>
        <w:t xml:space="preserve">carried out </w:t>
      </w:r>
      <w:r w:rsidRPr="00BA5C25">
        <w:t xml:space="preserve">a ‘gap analysis’, </w:t>
      </w:r>
      <w:r w:rsidR="006000C7">
        <w:t xml:space="preserve">based on the World Class Commissioning competencies, </w:t>
      </w:r>
      <w:r>
        <w:t xml:space="preserve">where they </w:t>
      </w:r>
      <w:r w:rsidRPr="00BA5C25">
        <w:t xml:space="preserve">challenged their NHS clients to </w:t>
      </w:r>
      <w:r w:rsidRPr="00BA5C25">
        <w:rPr>
          <w:i/>
        </w:rPr>
        <w:t>“demonstrate that you actually do that. Give me the tangible evidence”</w:t>
      </w:r>
      <w:r w:rsidRPr="00BA5C25">
        <w:t xml:space="preserve"> (Helen, external consultant)</w:t>
      </w:r>
      <w:r>
        <w:t>. Other</w:t>
      </w:r>
      <w:r w:rsidR="009A580D" w:rsidRPr="009A580D">
        <w:t xml:space="preserve"> activities includ</w:t>
      </w:r>
      <w:r>
        <w:t>ed</w:t>
      </w:r>
      <w:r w:rsidR="009A580D" w:rsidRPr="009A580D">
        <w:t xml:space="preserve"> identifying experts in commissioning to visit the client site, setting up visits to other NHS commissioning organisations, engaging local clinicians and providing project management training </w:t>
      </w:r>
      <w:r w:rsidR="009A580D" w:rsidRPr="009A580D">
        <w:lastRenderedPageBreak/>
        <w:t>and tools. The external consultants sought to complement the client’s strengths, and a commissioning manager spoke about some of the processes used:</w:t>
      </w:r>
    </w:p>
    <w:p w:rsidR="009A580D" w:rsidRPr="009A580D" w:rsidRDefault="009A580D" w:rsidP="00BA5C25">
      <w:pPr>
        <w:spacing w:line="480" w:lineRule="auto"/>
        <w:ind w:left="720"/>
        <w:rPr>
          <w:i/>
        </w:rPr>
      </w:pPr>
      <w:r w:rsidRPr="009A580D">
        <w:rPr>
          <w:i/>
        </w:rPr>
        <w:t>They often brought people in, drafted people in from [North America] to talk to us ab</w:t>
      </w:r>
      <w:r w:rsidR="00BA5C25">
        <w:rPr>
          <w:i/>
        </w:rPr>
        <w:t xml:space="preserve">out ideas that we were having. </w:t>
      </w:r>
      <w:r w:rsidRPr="009A580D">
        <w:rPr>
          <w:i/>
        </w:rPr>
        <w:t xml:space="preserve">So quite often we’d have ideas or they would suggest ideas to us about what we could do locally, and they would expand and build on that, and come back with a rounder package, which we would then test out. </w:t>
      </w:r>
      <w:r w:rsidRPr="009A580D">
        <w:t>(Sarah, NHS commissioning manager)</w:t>
      </w:r>
    </w:p>
    <w:p w:rsidR="009A580D" w:rsidRPr="009A580D" w:rsidRDefault="009A580D" w:rsidP="009A580D">
      <w:pPr>
        <w:spacing w:line="480" w:lineRule="auto"/>
      </w:pPr>
    </w:p>
    <w:p w:rsidR="00BA5C25" w:rsidRPr="009A580D" w:rsidRDefault="009A580D" w:rsidP="00BA5C25">
      <w:pPr>
        <w:spacing w:line="480" w:lineRule="auto"/>
        <w:rPr>
          <w:i/>
        </w:rPr>
      </w:pPr>
      <w:r w:rsidRPr="009A580D">
        <w:t>The culture within the NHS client organisation prioritised collaboration, innovation</w:t>
      </w:r>
      <w:r w:rsidR="00BA5C25">
        <w:t xml:space="preserve">, transparency and engagement. </w:t>
      </w:r>
      <w:r w:rsidRPr="009A580D">
        <w:t xml:space="preserve">This may have fostered the strong relationship they developed with the external consultants, who commented on how this had gone beyond developments with other NHS clients, where external </w:t>
      </w:r>
      <w:r w:rsidR="00412A6D">
        <w:t xml:space="preserve">consultants </w:t>
      </w:r>
      <w:r w:rsidRPr="009A580D">
        <w:t xml:space="preserve">were sometimes perceived as a threat.  </w:t>
      </w:r>
      <w:r w:rsidR="00BA5C25" w:rsidRPr="009A580D">
        <w:t>The consultants described the client commissioners  in terms of Belbin’s team roles, which the</w:t>
      </w:r>
      <w:r w:rsidR="00BA5C25">
        <w:t xml:space="preserve"> external </w:t>
      </w:r>
      <w:r w:rsidR="00412A6D">
        <w:t xml:space="preserve">team </w:t>
      </w:r>
      <w:r w:rsidR="00BA5C25" w:rsidRPr="009A580D">
        <w:t xml:space="preserve">deliberately complemented </w:t>
      </w:r>
      <w:hyperlink w:anchor="_ENREF_28" w:tooltip="Belbin, 2010 #1286" w:history="1">
        <w:r w:rsidR="00ED61F8" w:rsidRPr="009A580D">
          <w:fldChar w:fldCharType="begin"/>
        </w:r>
        <w:r w:rsidR="00ED61F8">
          <w:instrText xml:space="preserve"> ADDIN EN.CITE &lt;EndNote&gt;&lt;Cite&gt;&lt;Author&gt;Belbin&lt;/Author&gt;&lt;Year&gt;2010&lt;/Year&gt;&lt;RecNum&gt;1286&lt;/RecNum&gt;&lt;DisplayText&gt;&lt;style face="superscript"&gt;28&lt;/style&gt;&lt;/DisplayText&gt;&lt;record&gt;&lt;rec-number&gt;1286&lt;/rec-number&gt;&lt;foreign-keys&gt;&lt;key app="EN" db-id="r2drx9tfh929f5edwpx5vwxqptr9twsart0z" timestamp="1396625812"&gt;1286&lt;/key&gt;&lt;/foreign-keys&gt;&lt;ref-type name="Book"&gt;6&lt;/ref-type&gt;&lt;contributors&gt;&lt;authors&gt;&lt;author&gt;Belbin, R.M.  &lt;/author&gt;&lt;/authors&gt;&lt;/contributors&gt;&lt;titles&gt;&lt;title&gt; Management Teams: Why they succeed or fail&lt;/title&gt;&lt;/titles&gt;&lt;edition&gt;Third&lt;/edition&gt;&lt;dates&gt;&lt;year&gt;2010&lt;/year&gt;&lt;/dates&gt;&lt;pub-location&gt;Oxford&lt;/pub-location&gt;&lt;publisher&gt;Butterworth-Heinemann&lt;/publisher&gt;&lt;urls&gt;&lt;/urls&gt;&lt;/record&gt;&lt;/Cite&gt;&lt;/EndNote&gt;</w:instrText>
        </w:r>
        <w:r w:rsidR="00ED61F8" w:rsidRPr="009A580D">
          <w:fldChar w:fldCharType="separate"/>
        </w:r>
        <w:r w:rsidR="00ED61F8" w:rsidRPr="00ED61F8">
          <w:rPr>
            <w:noProof/>
            <w:vertAlign w:val="superscript"/>
          </w:rPr>
          <w:t>28</w:t>
        </w:r>
        <w:r w:rsidR="00ED61F8" w:rsidRPr="009A580D">
          <w:fldChar w:fldCharType="end"/>
        </w:r>
      </w:hyperlink>
      <w:r w:rsidR="00BA5C25" w:rsidRPr="009A580D">
        <w:t xml:space="preserve">.  </w:t>
      </w:r>
    </w:p>
    <w:p w:rsidR="00BA5C25" w:rsidRPr="009A580D" w:rsidRDefault="00BA5C25" w:rsidP="00BA5C25">
      <w:pPr>
        <w:spacing w:line="480" w:lineRule="auto"/>
        <w:ind w:left="720"/>
      </w:pPr>
      <w:r w:rsidRPr="009A580D">
        <w:rPr>
          <w:i/>
        </w:rPr>
        <w:t xml:space="preserve">So they were the plants and shapers, but they weren’t the completer finishers. I would say that that was evident when we were working with them, that they had a huge amount of ideas. Lots of shaping, lots of meetings, huge meeting culture, and then the actual discipline of completing it and measuring it was not there. </w:t>
      </w:r>
      <w:r w:rsidRPr="009A580D">
        <w:t>(Patricia, external consultant)</w:t>
      </w:r>
    </w:p>
    <w:p w:rsidR="00A37CDE" w:rsidRDefault="00A37CDE" w:rsidP="009A580D">
      <w:pPr>
        <w:spacing w:line="480" w:lineRule="auto"/>
      </w:pPr>
    </w:p>
    <w:p w:rsidR="009A580D" w:rsidRPr="009A580D" w:rsidRDefault="009A580D" w:rsidP="009A580D">
      <w:pPr>
        <w:spacing w:line="480" w:lineRule="auto"/>
      </w:pPr>
      <w:r w:rsidRPr="009A580D">
        <w:lastRenderedPageBreak/>
        <w:t xml:space="preserve">The main challenges raised by both sides were those of defining what work was needed, and how to ensure that work </w:t>
      </w:r>
      <w:r w:rsidR="00BA5C25">
        <w:t>from th</w:t>
      </w:r>
      <w:r w:rsidR="00A37CDE">
        <w:t>e World Class Commissioning</w:t>
      </w:r>
      <w:r w:rsidR="00BA5C25">
        <w:t xml:space="preserve"> work stream and others </w:t>
      </w:r>
      <w:r w:rsidRPr="009A580D">
        <w:t>remained relevant.</w:t>
      </w:r>
    </w:p>
    <w:p w:rsidR="009A580D" w:rsidRPr="009A580D" w:rsidRDefault="009A580D" w:rsidP="00BA5C25">
      <w:pPr>
        <w:spacing w:line="480" w:lineRule="auto"/>
        <w:ind w:left="720"/>
      </w:pPr>
      <w:r w:rsidRPr="009A580D">
        <w:rPr>
          <w:i/>
        </w:rPr>
        <w:t xml:space="preserve">Over the two year period the world changed around us, so we ended up having to reset what it was that we needed from them several times. And I’m sure you can appreciate that that takes – it’s a little like a juggernaut, isn’t it? - it takes turning around and renegotiating, for them and us, of what was needed, and finding out that something different was needed, and putting that into place, meant things stalled several times along the way. </w:t>
      </w:r>
      <w:r w:rsidRPr="009A580D">
        <w:t xml:space="preserve">(Carol, NHS commissioning manager)  </w:t>
      </w:r>
    </w:p>
    <w:p w:rsidR="00745260" w:rsidRDefault="00745260" w:rsidP="009A580D">
      <w:pPr>
        <w:spacing w:line="480" w:lineRule="auto"/>
      </w:pPr>
    </w:p>
    <w:p w:rsidR="003E6C76" w:rsidRDefault="00A9558A" w:rsidP="00BC2E00">
      <w:pPr>
        <w:spacing w:line="480" w:lineRule="auto"/>
      </w:pPr>
      <w:r>
        <w:t xml:space="preserve">The NHS client achieved their goal </w:t>
      </w:r>
      <w:r w:rsidR="00A37CDE">
        <w:t xml:space="preserve">by being rated </w:t>
      </w:r>
      <w:r w:rsidR="00AC650F">
        <w:t xml:space="preserve">amongst </w:t>
      </w:r>
      <w:r>
        <w:t xml:space="preserve">the top five </w:t>
      </w:r>
      <w:r w:rsidR="00EB45D5">
        <w:t xml:space="preserve">English </w:t>
      </w:r>
      <w:r>
        <w:t>commissioning organisations</w:t>
      </w:r>
      <w:r w:rsidR="00F22ACE">
        <w:t>. M</w:t>
      </w:r>
      <w:r w:rsidR="004B3AFB">
        <w:t>ost</w:t>
      </w:r>
      <w:r w:rsidR="00F22ACE">
        <w:t xml:space="preserve"> NHS participants were pleased with this result</w:t>
      </w:r>
      <w:r>
        <w:t xml:space="preserve">, although subsequently </w:t>
      </w:r>
      <w:r w:rsidR="00F22ACE">
        <w:t xml:space="preserve">a few </w:t>
      </w:r>
      <w:r>
        <w:t>queried whether th</w:t>
      </w:r>
      <w:r w:rsidR="009C085D">
        <w:t xml:space="preserve">is </w:t>
      </w:r>
      <w:r>
        <w:t>had been worth the cost.</w:t>
      </w:r>
      <w:r w:rsidR="00503C27">
        <w:t xml:space="preserve"> </w:t>
      </w:r>
      <w:r w:rsidR="0000434D">
        <w:t>The external consultants also valued learning from their NHS clients</w:t>
      </w:r>
      <w:r w:rsidR="00800C23">
        <w:t>, as previously they had not helped clients with World Class Commissioning assurance processes</w:t>
      </w:r>
      <w:r w:rsidR="0000434D">
        <w:t>.</w:t>
      </w:r>
      <w:r w:rsidR="00800C23">
        <w:t xml:space="preserve"> </w:t>
      </w:r>
      <w:r w:rsidR="003E6C76">
        <w:t xml:space="preserve">The lesson in this vignette is </w:t>
      </w:r>
      <w:r w:rsidR="00273E5B">
        <w:t xml:space="preserve">that knowledge exchange </w:t>
      </w:r>
      <w:r w:rsidR="003E6C76">
        <w:t>is possible when client organisations are ready</w:t>
      </w:r>
      <w:r w:rsidR="00C55710">
        <w:t xml:space="preserve"> and </w:t>
      </w:r>
      <w:r w:rsidR="003E6C76">
        <w:t xml:space="preserve">willing </w:t>
      </w:r>
      <w:r w:rsidR="00C55710">
        <w:t>t</w:t>
      </w:r>
      <w:r w:rsidR="003E6C76">
        <w:t>o work with externa</w:t>
      </w:r>
      <w:r w:rsidR="00C55710">
        <w:t>l providers who, in turn, are adaptable and complement (rather than replace or duplicate) the commissioners’ skill</w:t>
      </w:r>
      <w:r w:rsidR="00EB45D5">
        <w:t>s</w:t>
      </w:r>
      <w:r w:rsidR="00C55710">
        <w:t>.</w:t>
      </w:r>
    </w:p>
    <w:p w:rsidR="00AC650F" w:rsidRDefault="00AC650F" w:rsidP="00BC2E00">
      <w:pPr>
        <w:spacing w:line="480" w:lineRule="auto"/>
        <w:rPr>
          <w:b/>
        </w:rPr>
      </w:pPr>
    </w:p>
    <w:p w:rsidR="00BC2E00" w:rsidRPr="002C637B" w:rsidRDefault="00E21739" w:rsidP="00BC2E00">
      <w:pPr>
        <w:spacing w:line="480" w:lineRule="auto"/>
        <w:rPr>
          <w:b/>
        </w:rPr>
      </w:pPr>
      <w:r>
        <w:rPr>
          <w:b/>
        </w:rPr>
        <w:t xml:space="preserve">Vignette 4: </w:t>
      </w:r>
      <w:r w:rsidR="00BC2E00">
        <w:rPr>
          <w:b/>
        </w:rPr>
        <w:t>‘Data driven’ commissioning</w:t>
      </w:r>
    </w:p>
    <w:p w:rsidR="00FE00CC" w:rsidRDefault="00BC2E00" w:rsidP="00BC2E00">
      <w:pPr>
        <w:spacing w:line="480" w:lineRule="auto"/>
      </w:pPr>
      <w:r w:rsidRPr="00992C09">
        <w:lastRenderedPageBreak/>
        <w:t xml:space="preserve">Although </w:t>
      </w:r>
      <w:r>
        <w:t xml:space="preserve">external </w:t>
      </w:r>
      <w:r w:rsidRPr="00992C09">
        <w:t xml:space="preserve">providers in this study mainly </w:t>
      </w:r>
      <w:r w:rsidR="00503C27">
        <w:t xml:space="preserve">offered technical solutions and expertise, </w:t>
      </w:r>
      <w:r>
        <w:t xml:space="preserve">there was </w:t>
      </w:r>
      <w:r w:rsidRPr="00992C09">
        <w:t xml:space="preserve">one example where commissioning had been completely outsourced. </w:t>
      </w:r>
      <w:r>
        <w:t xml:space="preserve">The external provider </w:t>
      </w:r>
      <w:r w:rsidRPr="00992C09">
        <w:t xml:space="preserve">managed </w:t>
      </w:r>
      <w:r>
        <w:t xml:space="preserve">all aspects of </w:t>
      </w:r>
      <w:r w:rsidRPr="00992C09">
        <w:t xml:space="preserve">the contracts of a group of </w:t>
      </w:r>
      <w:r>
        <w:t>hospitals</w:t>
      </w:r>
      <w:r w:rsidRPr="00992C09">
        <w:t xml:space="preserve"> </w:t>
      </w:r>
      <w:r>
        <w:t xml:space="preserve">worth </w:t>
      </w:r>
      <w:r w:rsidR="0073700D">
        <w:t xml:space="preserve">over £100 </w:t>
      </w:r>
      <w:r>
        <w:t>million</w:t>
      </w:r>
      <w:r w:rsidRPr="00992C09">
        <w:t>, which were</w:t>
      </w:r>
      <w:r w:rsidR="00F26B4C">
        <w:t xml:space="preserve"> described as</w:t>
      </w:r>
      <w:r w:rsidRPr="00992C09">
        <w:t xml:space="preserve"> “very expensive and quite difficult to control” (Joel, </w:t>
      </w:r>
      <w:r>
        <w:t xml:space="preserve">external </w:t>
      </w:r>
      <w:r w:rsidRPr="00992C09">
        <w:t xml:space="preserve">consultant). </w:t>
      </w:r>
    </w:p>
    <w:p w:rsidR="00FE00CC" w:rsidRDefault="00FE00CC" w:rsidP="00BC2E00">
      <w:pPr>
        <w:spacing w:line="480" w:lineRule="auto"/>
      </w:pPr>
    </w:p>
    <w:p w:rsidR="00BC2E00" w:rsidRPr="00D23537" w:rsidRDefault="00A37CDE" w:rsidP="00BC2E00">
      <w:pPr>
        <w:spacing w:line="480" w:lineRule="auto"/>
      </w:pPr>
      <w:r w:rsidRPr="00A37CDE">
        <w:t xml:space="preserve">The external provider </w:t>
      </w:r>
      <w:r w:rsidR="00FE00CC">
        <w:t xml:space="preserve">perceived the </w:t>
      </w:r>
      <w:r w:rsidRPr="00A37CDE">
        <w:t xml:space="preserve">NHS </w:t>
      </w:r>
      <w:r w:rsidR="00FE00CC">
        <w:t xml:space="preserve">as </w:t>
      </w:r>
      <w:r w:rsidRPr="00A37CDE">
        <w:t>driven by politics and people rather than by data, whereas their own ethos was to “use data to drive decision making” (Kristen, external consultant).</w:t>
      </w:r>
      <w:r w:rsidR="00FE00CC">
        <w:t xml:space="preserve"> </w:t>
      </w:r>
      <w:r w:rsidR="00BC2E00">
        <w:t>The external team</w:t>
      </w:r>
      <w:r w:rsidR="00BC2E00" w:rsidRPr="00992C09">
        <w:t xml:space="preserve"> consisted of a programme manager</w:t>
      </w:r>
      <w:r w:rsidR="00BC2E00">
        <w:t xml:space="preserve">, </w:t>
      </w:r>
      <w:r w:rsidR="00BC2E00" w:rsidRPr="00992C09">
        <w:t>administrators and “lots of analysts”</w:t>
      </w:r>
      <w:r w:rsidR="00BC2E00">
        <w:t xml:space="preserve">, who </w:t>
      </w:r>
      <w:r w:rsidR="00BC2E00" w:rsidRPr="00D23537">
        <w:t xml:space="preserve">undertook “forensic investigation of the data”, mainly </w:t>
      </w:r>
      <w:r w:rsidR="00BC2E00">
        <w:t xml:space="preserve">by </w:t>
      </w:r>
      <w:r w:rsidR="00BC2E00" w:rsidRPr="00D23537">
        <w:t>finding errors in coding leading to over-charging (Joel</w:t>
      </w:r>
      <w:r w:rsidR="00BC2E00">
        <w:t>,</w:t>
      </w:r>
      <w:r w:rsidR="00BC2E00" w:rsidRPr="00D23537">
        <w:t xml:space="preserve"> </w:t>
      </w:r>
      <w:r w:rsidR="00BC2E00">
        <w:t>external consultant</w:t>
      </w:r>
      <w:r w:rsidR="00BC2E00" w:rsidRPr="00D23537">
        <w:t>)</w:t>
      </w:r>
      <w:r w:rsidR="00BC2E00" w:rsidRPr="00992C09">
        <w:t xml:space="preserve">. </w:t>
      </w:r>
      <w:r w:rsidR="00BC2E00">
        <w:t>N</w:t>
      </w:r>
      <w:r w:rsidR="00BC2E00" w:rsidRPr="00D23537">
        <w:t>urses</w:t>
      </w:r>
      <w:r w:rsidR="00BC2E00">
        <w:t>, with essential clinical knowledge,</w:t>
      </w:r>
      <w:r w:rsidR="00BC2E00" w:rsidRPr="00D23537">
        <w:t xml:space="preserve"> </w:t>
      </w:r>
      <w:r w:rsidR="00BC2E00">
        <w:t xml:space="preserve">were also placed </w:t>
      </w:r>
      <w:r w:rsidR="00BC2E00" w:rsidRPr="00D23537">
        <w:t>in hospitals to verify patient notes against invoices, as commissioners ha</w:t>
      </w:r>
      <w:r w:rsidR="00BC2E00">
        <w:t>d</w:t>
      </w:r>
      <w:r w:rsidR="00BC2E00" w:rsidRPr="00D23537">
        <w:t xml:space="preserve"> limited ways of checking the accuracy of claims. The approach the </w:t>
      </w:r>
      <w:r w:rsidR="00BC2E00">
        <w:t>external</w:t>
      </w:r>
      <w:r w:rsidR="00BC2E00" w:rsidRPr="00D23537">
        <w:t xml:space="preserve"> </w:t>
      </w:r>
      <w:r w:rsidR="00412A6D">
        <w:t xml:space="preserve">consultants </w:t>
      </w:r>
      <w:r w:rsidR="00BC2E00" w:rsidRPr="00D23537">
        <w:t xml:space="preserve">took with </w:t>
      </w:r>
      <w:r w:rsidR="00BC2E00">
        <w:t xml:space="preserve">healthcare </w:t>
      </w:r>
      <w:r w:rsidR="00BC2E00" w:rsidRPr="00D23537">
        <w:t xml:space="preserve">providers was </w:t>
      </w:r>
      <w:r w:rsidR="00BC2E00">
        <w:t>c</w:t>
      </w:r>
      <w:r w:rsidR="006000C7">
        <w:t>onfrontational</w:t>
      </w:r>
      <w:r w:rsidR="00BC2E00">
        <w:t>.</w:t>
      </w:r>
    </w:p>
    <w:p w:rsidR="00BC2E00" w:rsidRPr="00D23537" w:rsidRDefault="00BC2E00" w:rsidP="00BC2E00">
      <w:pPr>
        <w:spacing w:line="480" w:lineRule="auto"/>
        <w:ind w:left="720"/>
        <w:rPr>
          <w:i/>
        </w:rPr>
      </w:pPr>
      <w:r>
        <w:rPr>
          <w:i/>
        </w:rPr>
        <w:t>[We said</w:t>
      </w:r>
      <w:r w:rsidR="000F2BD7">
        <w:rPr>
          <w:i/>
        </w:rPr>
        <w:t>]…</w:t>
      </w:r>
      <w:r w:rsidRPr="00D23537">
        <w:rPr>
          <w:i/>
        </w:rPr>
        <w:t xml:space="preserve">“If you don’t supply us with this data, we can’t validate our patient activity, therefore we are not going to pay for it.”  So </w:t>
      </w:r>
      <w:r w:rsidR="00745260">
        <w:rPr>
          <w:i/>
        </w:rPr>
        <w:t xml:space="preserve">[a] </w:t>
      </w:r>
      <w:r w:rsidRPr="00D23537">
        <w:rPr>
          <w:i/>
        </w:rPr>
        <w:t xml:space="preserve">slight – at times, very </w:t>
      </w:r>
      <w:r w:rsidR="009911E4">
        <w:rPr>
          <w:i/>
        </w:rPr>
        <w:t xml:space="preserve">- </w:t>
      </w:r>
      <w:r w:rsidRPr="00D23537">
        <w:rPr>
          <w:i/>
        </w:rPr>
        <w:t>antagonistic approach.  (Dennis</w:t>
      </w:r>
      <w:r>
        <w:rPr>
          <w:i/>
        </w:rPr>
        <w:t xml:space="preserve">, external </w:t>
      </w:r>
      <w:r w:rsidRPr="00D23537">
        <w:rPr>
          <w:i/>
        </w:rPr>
        <w:t>consultant)</w:t>
      </w:r>
    </w:p>
    <w:p w:rsidR="00BC2E00" w:rsidRDefault="00BC2E00" w:rsidP="00BC2E00">
      <w:pPr>
        <w:spacing w:line="480" w:lineRule="auto"/>
      </w:pPr>
      <w:r w:rsidRPr="00D23537">
        <w:t>In an att</w:t>
      </w:r>
      <w:r>
        <w:t>empt to reduce hostility</w:t>
      </w:r>
      <w:r w:rsidRPr="00D23537">
        <w:t xml:space="preserve">, a NHS commissioner was seconded for one year </w:t>
      </w:r>
      <w:r w:rsidR="00273E5B">
        <w:t>to improve relationships between the external provider, the NHS hospitals and local commissioning organisations</w:t>
      </w:r>
      <w:r w:rsidR="00273E5B" w:rsidRPr="00D23537">
        <w:t xml:space="preserve"> </w:t>
      </w:r>
      <w:r w:rsidRPr="00D23537">
        <w:t>mid-contract. During fieldwork, several participants noted that relationships</w:t>
      </w:r>
      <w:r w:rsidR="00273E5B">
        <w:t xml:space="preserve"> were better</w:t>
      </w:r>
      <w:r w:rsidR="000F2BD7">
        <w:t>, partly due to this intervention</w:t>
      </w:r>
      <w:r w:rsidRPr="00D23537">
        <w:t xml:space="preserve">. </w:t>
      </w:r>
      <w:bookmarkStart w:id="1" w:name="_Toc386605084"/>
    </w:p>
    <w:bookmarkEnd w:id="1"/>
    <w:p w:rsidR="00745260" w:rsidRDefault="00745260" w:rsidP="00BC2E00">
      <w:pPr>
        <w:spacing w:line="480" w:lineRule="auto"/>
      </w:pPr>
    </w:p>
    <w:p w:rsidR="00BC2E00" w:rsidRPr="00D23537" w:rsidRDefault="000F71DF" w:rsidP="00BC2E00">
      <w:pPr>
        <w:spacing w:line="480" w:lineRule="auto"/>
      </w:pPr>
      <w:r>
        <w:lastRenderedPageBreak/>
        <w:t>A</w:t>
      </w:r>
      <w:r w:rsidR="00BC2E00" w:rsidRPr="00D23537">
        <w:t>naly</w:t>
      </w:r>
      <w:r>
        <w:t>tical</w:t>
      </w:r>
      <w:r w:rsidR="00BC2E00" w:rsidRPr="00D23537">
        <w:t xml:space="preserve"> expertise </w:t>
      </w:r>
      <w:r w:rsidR="00F26B4C">
        <w:t xml:space="preserve">and </w:t>
      </w:r>
      <w:r w:rsidR="006000C7">
        <w:t>good</w:t>
      </w:r>
      <w:r w:rsidR="00F26B4C">
        <w:t xml:space="preserve"> quality data were</w:t>
      </w:r>
      <w:r w:rsidR="00BC2E00" w:rsidRPr="00D23537">
        <w:t xml:space="preserve"> highly valued</w:t>
      </w:r>
      <w:r w:rsidR="00BC2E00">
        <w:t xml:space="preserve"> by this external provider</w:t>
      </w:r>
      <w:r w:rsidR="00BC2E00" w:rsidRPr="00D23537">
        <w:t xml:space="preserve"> to inform decision making.</w:t>
      </w:r>
      <w:r w:rsidR="00BC2E00">
        <w:t xml:space="preserve"> The ‘standard’ team </w:t>
      </w:r>
      <w:r w:rsidR="00F26B4C">
        <w:t xml:space="preserve">they </w:t>
      </w:r>
      <w:r w:rsidR="00503C27">
        <w:t xml:space="preserve">offered </w:t>
      </w:r>
      <w:r w:rsidR="00BC2E00">
        <w:t>consisted of an analyst, project manager and clinical lead</w:t>
      </w:r>
      <w:r w:rsidR="00F26B4C">
        <w:t xml:space="preserve"> in contrast to the NHS, </w:t>
      </w:r>
      <w:r w:rsidR="00BC2E00">
        <w:t xml:space="preserve">where analysts, commissioning managers and clinicians </w:t>
      </w:r>
      <w:r w:rsidR="006000C7">
        <w:t>tended to work separately in silos</w:t>
      </w:r>
      <w:r w:rsidR="00BC2E00">
        <w:t>.</w:t>
      </w:r>
      <w:r w:rsidR="00BC2E00" w:rsidRPr="00D23537">
        <w:t xml:space="preserve"> A NHS client said </w:t>
      </w:r>
      <w:r w:rsidR="00BC2E00">
        <w:t xml:space="preserve">this analytical support </w:t>
      </w:r>
      <w:r w:rsidR="00F26B4C">
        <w:t xml:space="preserve">was vital and that </w:t>
      </w:r>
      <w:r w:rsidR="00BC2E00">
        <w:t>t</w:t>
      </w:r>
      <w:r w:rsidR="00BC2E00" w:rsidRPr="00D23537">
        <w:t xml:space="preserve">he </w:t>
      </w:r>
      <w:r w:rsidR="00BC2E00">
        <w:t>external</w:t>
      </w:r>
      <w:r w:rsidR="00BC2E00" w:rsidRPr="00D23537">
        <w:t xml:space="preserve"> provider did “the basics really well”</w:t>
      </w:r>
      <w:r w:rsidR="000F2BD7">
        <w:t xml:space="preserve"> (Jacob, NHS commissioning manager)</w:t>
      </w:r>
      <w:r w:rsidR="00BC2E00">
        <w:t>. This</w:t>
      </w:r>
      <w:r w:rsidR="00BC2E00" w:rsidRPr="00D23537">
        <w:t xml:space="preserve"> resulted in savings estimated as over a m</w:t>
      </w:r>
      <w:r w:rsidR="004654B3">
        <w:t xml:space="preserve">illion pounds. </w:t>
      </w:r>
    </w:p>
    <w:p w:rsidR="00745260" w:rsidRDefault="00745260" w:rsidP="00BC2E00">
      <w:pPr>
        <w:spacing w:line="480" w:lineRule="auto"/>
      </w:pPr>
    </w:p>
    <w:p w:rsidR="00C55710" w:rsidRDefault="00BC2E00" w:rsidP="00BC2E00">
      <w:pPr>
        <w:spacing w:line="480" w:lineRule="auto"/>
      </w:pPr>
      <w:r w:rsidRPr="00D23537">
        <w:t xml:space="preserve">Initially the </w:t>
      </w:r>
      <w:r w:rsidR="00A37CDE">
        <w:t xml:space="preserve">draft </w:t>
      </w:r>
      <w:r w:rsidRPr="00D23537">
        <w:t>contract</w:t>
      </w:r>
      <w:r w:rsidR="006C1EB6">
        <w:t xml:space="preserve"> had included </w:t>
      </w:r>
      <w:r w:rsidRPr="00D23537">
        <w:t>a knowledge trans</w:t>
      </w:r>
      <w:r w:rsidR="00CB4F71">
        <w:t>fer</w:t>
      </w:r>
      <w:r w:rsidRPr="00D23537">
        <w:t xml:space="preserve"> strategy so that a NHS team could </w:t>
      </w:r>
      <w:r w:rsidR="00F26B4C">
        <w:t xml:space="preserve">develop </w:t>
      </w:r>
      <w:r>
        <w:t xml:space="preserve">these analytical </w:t>
      </w:r>
      <w:r w:rsidRPr="00D23537">
        <w:t xml:space="preserve">skills. But this </w:t>
      </w:r>
      <w:r>
        <w:t xml:space="preserve">clause </w:t>
      </w:r>
      <w:r w:rsidRPr="00D23537">
        <w:t xml:space="preserve">was eliminated by the NHS client to reduce contract costs. </w:t>
      </w:r>
      <w:r>
        <w:t>T</w:t>
      </w:r>
      <w:r w:rsidRPr="00D23537">
        <w:t>h</w:t>
      </w:r>
      <w:r w:rsidR="00A37CDE">
        <w:t xml:space="preserve">is contract was repeatedly renewed. As a result, </w:t>
      </w:r>
      <w:r>
        <w:t>b</w:t>
      </w:r>
      <w:r w:rsidRPr="00D23537">
        <w:t xml:space="preserve">y 2019, the </w:t>
      </w:r>
      <w:r>
        <w:t>external</w:t>
      </w:r>
      <w:r w:rsidRPr="00D23537">
        <w:t xml:space="preserve"> provider </w:t>
      </w:r>
      <w:r w:rsidR="000F71DF">
        <w:t>will</w:t>
      </w:r>
      <w:r w:rsidRPr="00D23537">
        <w:t xml:space="preserve"> have </w:t>
      </w:r>
      <w:r w:rsidR="000F2BD7">
        <w:t>operated</w:t>
      </w:r>
      <w:r w:rsidRPr="00D23537">
        <w:t xml:space="preserve"> this outsourced commissioning service for 10 years with no mechanisms</w:t>
      </w:r>
      <w:r w:rsidRPr="008F41EA">
        <w:t xml:space="preserve"> </w:t>
      </w:r>
      <w:r w:rsidRPr="00D23537">
        <w:t xml:space="preserve">in place to </w:t>
      </w:r>
      <w:r w:rsidR="006000C7">
        <w:t xml:space="preserve">develop </w:t>
      </w:r>
      <w:r w:rsidRPr="00D23537">
        <w:t>skills</w:t>
      </w:r>
      <w:r w:rsidR="006000C7">
        <w:t xml:space="preserve"> within the NHS</w:t>
      </w:r>
      <w:r w:rsidRPr="00D23537">
        <w:t xml:space="preserve">. </w:t>
      </w:r>
      <w:r w:rsidR="00C55710">
        <w:t>The lesson from this vignette is that if clients and external providers do not agree knowledge transfer strategies within the contract</w:t>
      </w:r>
      <w:r w:rsidR="00B9639A">
        <w:t xml:space="preserve"> to the NHS client organisation or other external providers such as commissioning support units</w:t>
      </w:r>
      <w:r w:rsidR="00C55710">
        <w:t xml:space="preserve">, the client is likely to end up reliant on </w:t>
      </w:r>
      <w:r w:rsidR="00B9639A">
        <w:t>support from one external provider long term</w:t>
      </w:r>
      <w:r w:rsidR="00C55710">
        <w:t>.</w:t>
      </w:r>
      <w:r w:rsidR="00A37CDE">
        <w:t xml:space="preserve"> This creates a monopoly, which is at odds with both the competitive thrust of the 2012 Health and Social Care Act and which also, importantly, undermines the influence of local clinical intelligence that the government has stated should be at the heart of commissioning.</w:t>
      </w:r>
    </w:p>
    <w:p w:rsidR="00745260" w:rsidRDefault="00745260" w:rsidP="00D23537">
      <w:pPr>
        <w:spacing w:line="480" w:lineRule="auto"/>
        <w:rPr>
          <w:b/>
        </w:rPr>
      </w:pPr>
    </w:p>
    <w:p w:rsidR="00A91A22" w:rsidRDefault="00F83FE3" w:rsidP="00D23537">
      <w:pPr>
        <w:spacing w:line="480" w:lineRule="auto"/>
      </w:pPr>
      <w:r>
        <w:rPr>
          <w:b/>
        </w:rPr>
        <w:t xml:space="preserve">DISCUSSION </w:t>
      </w:r>
    </w:p>
    <w:p w:rsidR="00F83FE3" w:rsidRPr="00141514" w:rsidRDefault="00F83FE3" w:rsidP="00D23537">
      <w:pPr>
        <w:spacing w:line="480" w:lineRule="auto"/>
        <w:rPr>
          <w:b/>
        </w:rPr>
      </w:pPr>
      <w:r w:rsidRPr="00141514">
        <w:rPr>
          <w:b/>
        </w:rPr>
        <w:lastRenderedPageBreak/>
        <w:t>Principal findings</w:t>
      </w:r>
    </w:p>
    <w:p w:rsidR="002C637B" w:rsidRDefault="00C93C05" w:rsidP="00F94EAC">
      <w:pPr>
        <w:spacing w:line="480" w:lineRule="auto"/>
      </w:pPr>
      <w:r>
        <w:t xml:space="preserve">External provider involvement was intended to improve the quality of commissioning. </w:t>
      </w:r>
      <w:r w:rsidR="00C55710">
        <w:t xml:space="preserve">To achieve this, </w:t>
      </w:r>
      <w:r w:rsidR="002C637B">
        <w:t xml:space="preserve">external providers </w:t>
      </w:r>
      <w:r>
        <w:t xml:space="preserve">offered </w:t>
      </w:r>
      <w:r w:rsidR="002C637B">
        <w:t xml:space="preserve">technical </w:t>
      </w:r>
      <w:r>
        <w:t>applications, expertise and outsourcing</w:t>
      </w:r>
      <w:r w:rsidR="00D9301B">
        <w:t xml:space="preserve">. </w:t>
      </w:r>
      <w:r w:rsidR="00F94EAC">
        <w:t>T</w:t>
      </w:r>
      <w:r w:rsidR="002D7A70">
        <w:t xml:space="preserve">he </w:t>
      </w:r>
      <w:r w:rsidR="00C2415E">
        <w:t xml:space="preserve">impact </w:t>
      </w:r>
      <w:r w:rsidR="002D7A70">
        <w:t xml:space="preserve">of the contracts illustrated </w:t>
      </w:r>
      <w:r w:rsidR="00C2415E">
        <w:t>in these vignettes w</w:t>
      </w:r>
      <w:r w:rsidR="00F94EAC">
        <w:t>as</w:t>
      </w:r>
      <w:r w:rsidR="008E1AE2">
        <w:t xml:space="preserve"> </w:t>
      </w:r>
      <w:r w:rsidR="00F94EAC">
        <w:t xml:space="preserve">shaped </w:t>
      </w:r>
      <w:r w:rsidR="00C2415E">
        <w:t>by the original objectives of the contract</w:t>
      </w:r>
      <w:r w:rsidR="008E1AE2">
        <w:t>s</w:t>
      </w:r>
      <w:r w:rsidR="003979A0">
        <w:t xml:space="preserve"> and </w:t>
      </w:r>
      <w:r w:rsidR="00C2415E">
        <w:t>the</w:t>
      </w:r>
      <w:r w:rsidR="00442847">
        <w:t xml:space="preserve"> </w:t>
      </w:r>
      <w:r w:rsidR="00F94EAC">
        <w:t xml:space="preserve">expectations and </w:t>
      </w:r>
      <w:r w:rsidR="00C2415E">
        <w:t>ability</w:t>
      </w:r>
      <w:r w:rsidR="00F94EAC">
        <w:t xml:space="preserve"> of external providers and client organisations</w:t>
      </w:r>
      <w:r w:rsidR="00C2415E">
        <w:t xml:space="preserve"> to meet those objectives</w:t>
      </w:r>
      <w:r w:rsidR="00442847">
        <w:t xml:space="preserve"> (which may have been over-optimistic)</w:t>
      </w:r>
      <w:r w:rsidR="00F94EAC">
        <w:t xml:space="preserve">. We recognise that the ‘success’ or failure of these contracts is multi-dimensional and can be </w:t>
      </w:r>
      <w:r w:rsidR="008E1AE2">
        <w:t>understood</w:t>
      </w:r>
      <w:r w:rsidR="003979A0">
        <w:t xml:space="preserve"> in the short and long term. W</w:t>
      </w:r>
      <w:r w:rsidR="00C2415E">
        <w:t xml:space="preserve">ith this in mind, </w:t>
      </w:r>
      <w:r w:rsidR="00F94EAC">
        <w:t xml:space="preserve">we suggest that </w:t>
      </w:r>
      <w:r w:rsidR="00C2415E">
        <w:t>these vignettes s</w:t>
      </w:r>
      <w:r w:rsidR="00F94EAC">
        <w:t xml:space="preserve">how </w:t>
      </w:r>
      <w:r w:rsidR="00C2415E">
        <w:t>that external provide</w:t>
      </w:r>
      <w:r w:rsidR="00915F59">
        <w:t>r</w:t>
      </w:r>
      <w:r w:rsidR="00C2415E">
        <w:t xml:space="preserve">s were </w:t>
      </w:r>
      <w:r w:rsidR="00345BAA">
        <w:t xml:space="preserve">only partly successful </w:t>
      </w:r>
      <w:r w:rsidR="00D9301B">
        <w:t xml:space="preserve">in improving the </w:t>
      </w:r>
      <w:r w:rsidR="00C2415E">
        <w:t xml:space="preserve">perceived </w:t>
      </w:r>
      <w:r w:rsidR="00D9301B">
        <w:t xml:space="preserve">quality of </w:t>
      </w:r>
      <w:r w:rsidR="00345BAA">
        <w:t>commissioning</w:t>
      </w:r>
      <w:r w:rsidR="00D9301B">
        <w:t xml:space="preserve">, largely because the knowledge exchange interactions </w:t>
      </w:r>
      <w:r w:rsidR="00FE00CC">
        <w:t xml:space="preserve">between external providers and NHS clients </w:t>
      </w:r>
      <w:r w:rsidR="00D9301B">
        <w:t>were limited</w:t>
      </w:r>
      <w:r w:rsidR="00345BAA">
        <w:t xml:space="preserve">. </w:t>
      </w:r>
      <w:r w:rsidR="009C4DB3">
        <w:t xml:space="preserve">In fact, only in vignette 3 was there </w:t>
      </w:r>
      <w:r w:rsidR="006567A3">
        <w:t xml:space="preserve">substantial </w:t>
      </w:r>
      <w:r w:rsidR="009C4DB3">
        <w:t>genuine knowledge exchange, with both sides receiving benefits, as in the other vignettes</w:t>
      </w:r>
      <w:r w:rsidR="00BB31C0">
        <w:t xml:space="preserve"> </w:t>
      </w:r>
      <w:r w:rsidR="009C4DB3">
        <w:t xml:space="preserve">knowledge went just one way (i.e. external provider to client). </w:t>
      </w:r>
      <w:r w:rsidR="00F94EAC">
        <w:t>T</w:t>
      </w:r>
      <w:r w:rsidR="00D9301B">
        <w:t xml:space="preserve">he use of external providers proved problematic in several ways. </w:t>
      </w:r>
    </w:p>
    <w:p w:rsidR="00C55710" w:rsidRDefault="00C55710" w:rsidP="007632E4">
      <w:pPr>
        <w:spacing w:line="480" w:lineRule="auto"/>
      </w:pPr>
    </w:p>
    <w:p w:rsidR="007632E4" w:rsidRPr="007632E4" w:rsidRDefault="00C93C05" w:rsidP="007632E4">
      <w:pPr>
        <w:spacing w:line="480" w:lineRule="auto"/>
      </w:pPr>
      <w:r>
        <w:t xml:space="preserve">Vignette 1 </w:t>
      </w:r>
      <w:r w:rsidR="007632E4" w:rsidRPr="007632E4">
        <w:t>illustrate</w:t>
      </w:r>
      <w:r w:rsidR="00D9301B">
        <w:t>d</w:t>
      </w:r>
      <w:r w:rsidR="007632E4" w:rsidRPr="007632E4">
        <w:t xml:space="preserve"> that </w:t>
      </w:r>
      <w:r>
        <w:t>a</w:t>
      </w:r>
      <w:r w:rsidR="007632E4" w:rsidRPr="007632E4">
        <w:t>ccess to a softwa</w:t>
      </w:r>
      <w:r w:rsidR="009911E4">
        <w:t xml:space="preserve">re tool and technical training </w:t>
      </w:r>
      <w:r w:rsidR="006000C7">
        <w:t xml:space="preserve">was </w:t>
      </w:r>
      <w:r w:rsidR="009911E4">
        <w:t>inadequate</w:t>
      </w:r>
      <w:r w:rsidR="007632E4" w:rsidRPr="007632E4">
        <w:t>; external providers need</w:t>
      </w:r>
      <w:r w:rsidR="00D9301B">
        <w:t>ed</w:t>
      </w:r>
      <w:r w:rsidR="007632E4" w:rsidRPr="007632E4">
        <w:t xml:space="preserve"> to supply translators who c</w:t>
      </w:r>
      <w:r w:rsidR="00D9301B">
        <w:t>ould</w:t>
      </w:r>
      <w:r w:rsidR="007632E4" w:rsidRPr="007632E4">
        <w:t xml:space="preserve"> interpret the data, work with clients to contextualise outputs and help identify ways to use the outputs to inform commissioning decisions.</w:t>
      </w:r>
      <w:r w:rsidR="006000C7">
        <w:t xml:space="preserve"> Without this</w:t>
      </w:r>
      <w:r w:rsidR="00861EA8">
        <w:t xml:space="preserve">, </w:t>
      </w:r>
      <w:r w:rsidR="00E72AF2">
        <w:t xml:space="preserve">the software tools </w:t>
      </w:r>
      <w:r w:rsidR="00D9301B">
        <w:t>did</w:t>
      </w:r>
      <w:r w:rsidR="007632E4" w:rsidRPr="007632E4">
        <w:t xml:space="preserve"> not address genuine problems currently</w:t>
      </w:r>
      <w:r w:rsidR="00273E5B">
        <w:t xml:space="preserve"> being</w:t>
      </w:r>
      <w:r w:rsidR="007632E4" w:rsidRPr="007632E4">
        <w:t xml:space="preserve"> experienc</w:t>
      </w:r>
      <w:r w:rsidR="000F2BD7">
        <w:t>ed</w:t>
      </w:r>
      <w:r w:rsidR="007632E4" w:rsidRPr="007632E4">
        <w:t xml:space="preserve">, because of changes since initial procurement </w:t>
      </w:r>
      <w:r w:rsidR="006000C7">
        <w:t>and</w:t>
      </w:r>
      <w:r w:rsidR="007632E4" w:rsidRPr="007632E4">
        <w:t xml:space="preserve"> insufficient consultation with </w:t>
      </w:r>
      <w:r w:rsidR="00CB4F71">
        <w:t xml:space="preserve">client </w:t>
      </w:r>
      <w:r w:rsidR="007632E4" w:rsidRPr="007632E4">
        <w:t xml:space="preserve">operational staff. There </w:t>
      </w:r>
      <w:r w:rsidR="00D9301B">
        <w:t>was</w:t>
      </w:r>
      <w:r w:rsidR="007632E4" w:rsidRPr="007632E4">
        <w:t xml:space="preserve"> also a split between the senior management agenda and those expected to operate or be informed by the tools. </w:t>
      </w:r>
      <w:r w:rsidR="00E71339" w:rsidRPr="00E71339">
        <w:t xml:space="preserve">Contracts with external </w:t>
      </w:r>
      <w:r w:rsidR="00E71339">
        <w:t>providers</w:t>
      </w:r>
      <w:r w:rsidR="00E71339" w:rsidRPr="00E71339">
        <w:t xml:space="preserve"> co-produced </w:t>
      </w:r>
      <w:r w:rsidR="00E71339" w:rsidRPr="00E71339">
        <w:lastRenderedPageBreak/>
        <w:t xml:space="preserve">by all the actively interested parties </w:t>
      </w:r>
      <w:r w:rsidR="00D9301B">
        <w:t xml:space="preserve">may </w:t>
      </w:r>
      <w:r w:rsidR="000B02C1">
        <w:t>have</w:t>
      </w:r>
      <w:r w:rsidR="00E71339" w:rsidRPr="00E71339">
        <w:t xml:space="preserve"> a greater chance of success</w:t>
      </w:r>
      <w:r w:rsidR="00E71339">
        <w:t xml:space="preserve">. If not, </w:t>
      </w:r>
      <w:r w:rsidR="007632E4" w:rsidRPr="007632E4">
        <w:t xml:space="preserve">the tools </w:t>
      </w:r>
      <w:r w:rsidR="00E72AF2">
        <w:t xml:space="preserve">can </w:t>
      </w:r>
      <w:r w:rsidR="007632E4" w:rsidRPr="007632E4">
        <w:t xml:space="preserve">become a </w:t>
      </w:r>
      <w:r w:rsidR="00861EA8">
        <w:t xml:space="preserve">time consuming </w:t>
      </w:r>
      <w:r w:rsidR="007632E4" w:rsidRPr="007632E4">
        <w:t>problem in their own right.</w:t>
      </w:r>
    </w:p>
    <w:p w:rsidR="003E6C76" w:rsidRDefault="003E6C76" w:rsidP="00D23537">
      <w:pPr>
        <w:spacing w:line="480" w:lineRule="auto"/>
      </w:pPr>
    </w:p>
    <w:p w:rsidR="007632E4" w:rsidRDefault="003E6C76" w:rsidP="00D23537">
      <w:pPr>
        <w:spacing w:line="480" w:lineRule="auto"/>
      </w:pPr>
      <w:r>
        <w:t xml:space="preserve">Vignette 2 emphasised the importance of clients undertaking the work themselves, such as </w:t>
      </w:r>
      <w:r w:rsidR="000B02C1">
        <w:t xml:space="preserve">audit </w:t>
      </w:r>
      <w:r w:rsidR="00DB0310">
        <w:t>data collection</w:t>
      </w:r>
      <w:r>
        <w:t>, rather than relying on external providers</w:t>
      </w:r>
      <w:r w:rsidR="00273E5B">
        <w:t>. B</w:t>
      </w:r>
      <w:r w:rsidR="00DB0310">
        <w:t xml:space="preserve">ut </w:t>
      </w:r>
      <w:r>
        <w:t xml:space="preserve">often NHS participants </w:t>
      </w:r>
      <w:r w:rsidR="00273E5B">
        <w:t>reported limited</w:t>
      </w:r>
      <w:r>
        <w:t xml:space="preserve"> time or capacity</w:t>
      </w:r>
      <w:r w:rsidR="009911E4">
        <w:t xml:space="preserve">, especially following the launch of </w:t>
      </w:r>
      <w:r w:rsidR="009911E4">
        <w:rPr>
          <w:i/>
        </w:rPr>
        <w:t>Liberating the NHS</w:t>
      </w:r>
      <w:r w:rsidR="009911E4">
        <w:t xml:space="preserve">, which led to the departure of </w:t>
      </w:r>
      <w:r w:rsidR="00273E5B">
        <w:t xml:space="preserve">many experienced </w:t>
      </w:r>
      <w:r w:rsidR="009911E4">
        <w:t>commissioning staff</w:t>
      </w:r>
      <w:r>
        <w:t>.</w:t>
      </w:r>
      <w:r w:rsidR="00273E5B">
        <w:t xml:space="preserve"> T</w:t>
      </w:r>
      <w:r>
        <w:t xml:space="preserve">ransferring skills and knowledge to clients </w:t>
      </w:r>
      <w:r w:rsidR="007632E4" w:rsidRPr="007632E4">
        <w:t xml:space="preserve">may appear to undercut </w:t>
      </w:r>
      <w:r w:rsidR="001837BD">
        <w:t>future</w:t>
      </w:r>
      <w:r>
        <w:t xml:space="preserve"> procurement of external providers</w:t>
      </w:r>
      <w:r w:rsidR="00273E5B">
        <w:t>,</w:t>
      </w:r>
      <w:r w:rsidR="000B02C1">
        <w:t xml:space="preserve"> but </w:t>
      </w:r>
      <w:r w:rsidR="00273E5B">
        <w:t xml:space="preserve">conversely </w:t>
      </w:r>
      <w:r w:rsidR="000B02C1">
        <w:t>may i</w:t>
      </w:r>
      <w:r w:rsidR="007632E4" w:rsidRPr="007632E4">
        <w:t xml:space="preserve">ncrease trust and </w:t>
      </w:r>
      <w:r w:rsidR="000B02C1">
        <w:t>perceived usefulness</w:t>
      </w:r>
      <w:r w:rsidR="007632E4" w:rsidRPr="007632E4">
        <w:t xml:space="preserve">, which could </w:t>
      </w:r>
      <w:r w:rsidR="00302DB1">
        <w:t xml:space="preserve">improve </w:t>
      </w:r>
      <w:r w:rsidR="007632E4" w:rsidRPr="007632E4">
        <w:t xml:space="preserve">the prospects of repeat business. </w:t>
      </w:r>
      <w:r w:rsidR="008E304A">
        <w:t xml:space="preserve">This vignette highlighted another </w:t>
      </w:r>
      <w:r w:rsidR="00A538E1">
        <w:t>key point</w:t>
      </w:r>
      <w:r w:rsidR="008E304A">
        <w:t>, mainly that the</w:t>
      </w:r>
      <w:r w:rsidR="00A538E1">
        <w:t xml:space="preserve"> i</w:t>
      </w:r>
      <w:r w:rsidR="007632E4" w:rsidRPr="007632E4">
        <w:t xml:space="preserve">mpact from contracting the external provider </w:t>
      </w:r>
      <w:r w:rsidR="00D9301B">
        <w:t>had</w:t>
      </w:r>
      <w:r w:rsidR="00302DB1">
        <w:t xml:space="preserve"> </w:t>
      </w:r>
      <w:r w:rsidR="007632E4" w:rsidRPr="007632E4">
        <w:t>unanticipated benefit</w:t>
      </w:r>
      <w:r w:rsidR="00302DB1">
        <w:t>s</w:t>
      </w:r>
      <w:r w:rsidR="007632E4" w:rsidRPr="007632E4">
        <w:t xml:space="preserve"> such as adoption of an innovative method (but not the product itself) </w:t>
      </w:r>
      <w:r w:rsidR="00D9301B">
        <w:t>and</w:t>
      </w:r>
      <w:r w:rsidR="007632E4" w:rsidRPr="007632E4">
        <w:t xml:space="preserve"> the </w:t>
      </w:r>
      <w:r w:rsidR="005822E6">
        <w:t>serendipitous</w:t>
      </w:r>
      <w:r w:rsidR="007632E4" w:rsidRPr="007632E4">
        <w:t xml:space="preserve"> </w:t>
      </w:r>
      <w:r w:rsidR="009911E4">
        <w:t xml:space="preserve">mending </w:t>
      </w:r>
      <w:r w:rsidR="007632E4" w:rsidRPr="007632E4">
        <w:t xml:space="preserve">of </w:t>
      </w:r>
      <w:r w:rsidR="001837BD">
        <w:t xml:space="preserve">previously fractured </w:t>
      </w:r>
      <w:r w:rsidR="007632E4" w:rsidRPr="007632E4">
        <w:t xml:space="preserve">relationships amongst local healthcare organisations </w:t>
      </w:r>
      <w:r w:rsidR="00CC2598">
        <w:t>that need</w:t>
      </w:r>
      <w:r w:rsidR="008E304A">
        <w:t>ed</w:t>
      </w:r>
      <w:r w:rsidR="00CC2598">
        <w:t xml:space="preserve"> to </w:t>
      </w:r>
      <w:r w:rsidR="007632E4" w:rsidRPr="007632E4">
        <w:t>work together</w:t>
      </w:r>
      <w:r w:rsidR="005822E6">
        <w:t>. I</w:t>
      </w:r>
      <w:r w:rsidR="00132347">
        <w:t xml:space="preserve">n </w:t>
      </w:r>
      <w:r w:rsidR="008E304A">
        <w:t>V</w:t>
      </w:r>
      <w:r w:rsidR="00C55710">
        <w:t>ignette</w:t>
      </w:r>
      <w:r w:rsidR="008E304A">
        <w:t xml:space="preserve"> 2</w:t>
      </w:r>
      <w:r w:rsidR="00DB0310">
        <w:t>,</w:t>
      </w:r>
      <w:r w:rsidR="00C55710">
        <w:t xml:space="preserve"> </w:t>
      </w:r>
      <w:r w:rsidR="00CB4F71">
        <w:t xml:space="preserve">client </w:t>
      </w:r>
      <w:r w:rsidR="00132347">
        <w:t xml:space="preserve">participants found </w:t>
      </w:r>
      <w:r w:rsidR="005822E6">
        <w:t xml:space="preserve">these </w:t>
      </w:r>
      <w:r w:rsidR="00CC2598">
        <w:t xml:space="preserve">outcomes </w:t>
      </w:r>
      <w:r w:rsidR="005822E6">
        <w:t xml:space="preserve">more useful than </w:t>
      </w:r>
      <w:r w:rsidR="00132347">
        <w:t xml:space="preserve">the </w:t>
      </w:r>
      <w:r w:rsidR="00A538E1">
        <w:t xml:space="preserve">direct </w:t>
      </w:r>
      <w:r w:rsidR="00132347">
        <w:t>input of the external provider</w:t>
      </w:r>
      <w:r w:rsidR="005822E6">
        <w:t>, which was described as of little value</w:t>
      </w:r>
      <w:r w:rsidR="00132347">
        <w:t>.</w:t>
      </w:r>
    </w:p>
    <w:p w:rsidR="003E6C76" w:rsidRDefault="003E6C76" w:rsidP="000F2BD7">
      <w:pPr>
        <w:spacing w:line="480" w:lineRule="auto"/>
      </w:pPr>
    </w:p>
    <w:p w:rsidR="000F2BD7" w:rsidRDefault="003E6C76" w:rsidP="000F2BD7">
      <w:pPr>
        <w:spacing w:line="480" w:lineRule="auto"/>
      </w:pPr>
      <w:r>
        <w:t xml:space="preserve">Vignette 3 </w:t>
      </w:r>
      <w:r w:rsidR="008E304A">
        <w:t>wa</w:t>
      </w:r>
      <w:r w:rsidR="000F2BD7">
        <w:t xml:space="preserve">s an example of </w:t>
      </w:r>
      <w:r w:rsidR="00FF3B5A">
        <w:t xml:space="preserve">what </w:t>
      </w:r>
      <w:r w:rsidR="000F2BD7">
        <w:t xml:space="preserve">commissioners and external </w:t>
      </w:r>
      <w:r w:rsidR="00412A6D">
        <w:t xml:space="preserve">consultants </w:t>
      </w:r>
      <w:r w:rsidR="000F2BD7">
        <w:t>c</w:t>
      </w:r>
      <w:r w:rsidR="008E304A">
        <w:t>ould</w:t>
      </w:r>
      <w:r w:rsidR="000F2BD7">
        <w:t xml:space="preserve"> </w:t>
      </w:r>
      <w:r w:rsidR="00FF3B5A">
        <w:t>achieve</w:t>
      </w:r>
      <w:r w:rsidR="000F2BD7">
        <w:t xml:space="preserve"> together</w:t>
      </w:r>
      <w:r w:rsidR="006000C7">
        <w:t xml:space="preserve"> -</w:t>
      </w:r>
      <w:r w:rsidR="000F2BD7">
        <w:t xml:space="preserve"> if </w:t>
      </w:r>
      <w:r w:rsidR="00A538E1">
        <w:t xml:space="preserve">healthcare </w:t>
      </w:r>
      <w:r w:rsidR="008E304A">
        <w:t>clients at all levels we</w:t>
      </w:r>
      <w:r w:rsidR="000F2BD7">
        <w:t xml:space="preserve">re </w:t>
      </w:r>
      <w:r w:rsidR="00132347">
        <w:t>genuinely willing</w:t>
      </w:r>
      <w:r w:rsidR="00FE00CC">
        <w:t xml:space="preserve"> and ready</w:t>
      </w:r>
      <w:r w:rsidR="00C55710">
        <w:t xml:space="preserve"> (which </w:t>
      </w:r>
      <w:r w:rsidR="00DE718A">
        <w:t>may not be</w:t>
      </w:r>
      <w:r w:rsidR="00C55710">
        <w:t xml:space="preserve"> the case)</w:t>
      </w:r>
      <w:r w:rsidR="000F2BD7">
        <w:t xml:space="preserve">. </w:t>
      </w:r>
      <w:r w:rsidR="00132347">
        <w:t xml:space="preserve">The external </w:t>
      </w:r>
      <w:r w:rsidR="00412A6D">
        <w:t xml:space="preserve">consultants </w:t>
      </w:r>
      <w:r w:rsidR="00132347" w:rsidRPr="003A6472">
        <w:t>adapt</w:t>
      </w:r>
      <w:r w:rsidR="00132347">
        <w:t>ed</w:t>
      </w:r>
      <w:r w:rsidR="00132347" w:rsidRPr="003A6472">
        <w:t xml:space="preserve"> </w:t>
      </w:r>
      <w:r w:rsidR="00132347">
        <w:t xml:space="preserve">their expectations </w:t>
      </w:r>
      <w:r w:rsidR="00132347" w:rsidRPr="003A6472">
        <w:t>to fit clients’ reality</w:t>
      </w:r>
      <w:r w:rsidR="00132347">
        <w:t xml:space="preserve"> and negotiated mutually acceptable understandings and timeframes. Moreover, the external consultants complemented their NHS clients by </w:t>
      </w:r>
      <w:r w:rsidR="00FF3B5A">
        <w:t>matching consultant</w:t>
      </w:r>
      <w:r w:rsidR="00132347">
        <w:t xml:space="preserve"> ‘completer/ finisher</w:t>
      </w:r>
      <w:r w:rsidR="00291236">
        <w:t>s</w:t>
      </w:r>
      <w:r w:rsidR="00132347">
        <w:t>’</w:t>
      </w:r>
      <w:r w:rsidR="00FF3B5A">
        <w:t xml:space="preserve"> to client ‘blue sky thinkers’</w:t>
      </w:r>
      <w:r w:rsidR="00132347">
        <w:t xml:space="preserve">. In </w:t>
      </w:r>
      <w:r w:rsidR="00FF3B5A">
        <w:t xml:space="preserve">allocating </w:t>
      </w:r>
      <w:r w:rsidR="00132347">
        <w:t xml:space="preserve">external consultants to clients, these </w:t>
      </w:r>
      <w:r w:rsidR="0040553E">
        <w:t xml:space="preserve">less obvious characteristics </w:t>
      </w:r>
      <w:r w:rsidR="008E304A">
        <w:t>received</w:t>
      </w:r>
      <w:r w:rsidR="00132347">
        <w:t xml:space="preserve"> careful </w:t>
      </w:r>
      <w:r w:rsidR="00132347">
        <w:lastRenderedPageBreak/>
        <w:t xml:space="preserve">thought </w:t>
      </w:r>
      <w:r w:rsidR="00C55710">
        <w:t>during</w:t>
      </w:r>
      <w:r w:rsidR="00132347">
        <w:t xml:space="preserve"> procurement. </w:t>
      </w:r>
      <w:r w:rsidR="002D7A70">
        <w:t xml:space="preserve">The </w:t>
      </w:r>
      <w:r w:rsidR="00604D8A">
        <w:t xml:space="preserve">clients also learnt useful new skills such as ways of measuring the impact of their commissioning activities. </w:t>
      </w:r>
      <w:r w:rsidR="002D7A70">
        <w:t xml:space="preserve">Overall, this contract appeared </w:t>
      </w:r>
      <w:r w:rsidR="00604D8A">
        <w:t xml:space="preserve">to meet </w:t>
      </w:r>
      <w:r w:rsidR="002D7A70">
        <w:t>clients’ expectations.</w:t>
      </w:r>
    </w:p>
    <w:p w:rsidR="003E6C76" w:rsidRDefault="003E6C76" w:rsidP="00141514">
      <w:pPr>
        <w:spacing w:line="480" w:lineRule="auto"/>
      </w:pPr>
    </w:p>
    <w:p w:rsidR="00141514" w:rsidRDefault="00C55710" w:rsidP="005015F2">
      <w:pPr>
        <w:spacing w:line="480" w:lineRule="auto"/>
      </w:pPr>
      <w:r>
        <w:t xml:space="preserve">Vignette 4 </w:t>
      </w:r>
      <w:r w:rsidR="00A11CDF">
        <w:t xml:space="preserve">was undoubtedly a </w:t>
      </w:r>
      <w:r w:rsidR="006000C7">
        <w:t xml:space="preserve">short term </w:t>
      </w:r>
      <w:r w:rsidR="00A11CDF">
        <w:t xml:space="preserve">success in financial savings </w:t>
      </w:r>
      <w:r w:rsidR="006000C7">
        <w:t xml:space="preserve">to the NHS, but not </w:t>
      </w:r>
      <w:r w:rsidR="00604D8A">
        <w:t xml:space="preserve">in </w:t>
      </w:r>
      <w:r w:rsidR="006000C7">
        <w:t xml:space="preserve">longer term </w:t>
      </w:r>
      <w:r w:rsidR="00A11CDF">
        <w:t>improv</w:t>
      </w:r>
      <w:r w:rsidR="006000C7">
        <w:t>ement in</w:t>
      </w:r>
      <w:r w:rsidR="00A11CDF">
        <w:t xml:space="preserve"> the </w:t>
      </w:r>
      <w:r w:rsidR="00442847">
        <w:t xml:space="preserve">perceived </w:t>
      </w:r>
      <w:r w:rsidR="00A11CDF">
        <w:t>quality of commissioning amongst the NHS clients</w:t>
      </w:r>
      <w:r w:rsidR="006000C7">
        <w:t xml:space="preserve">. This finding </w:t>
      </w:r>
      <w:r w:rsidR="00141514">
        <w:t xml:space="preserve">cautions both external providers and their NHS clients to value and make provision for explicit knowledge transfer mechanisms, </w:t>
      </w:r>
      <w:r w:rsidR="00A11CDF">
        <w:t xml:space="preserve">as the NHS </w:t>
      </w:r>
      <w:r w:rsidR="00141514">
        <w:t>clients end</w:t>
      </w:r>
      <w:r w:rsidR="00A11CDF">
        <w:t>ed</w:t>
      </w:r>
      <w:r w:rsidR="00141514">
        <w:t xml:space="preserve"> up </w:t>
      </w:r>
      <w:r w:rsidR="001A71EB">
        <w:t>dependent</w:t>
      </w:r>
      <w:r w:rsidR="008E1AE2">
        <w:t xml:space="preserve"> on the external </w:t>
      </w:r>
      <w:r w:rsidR="00412A6D">
        <w:t>consultant</w:t>
      </w:r>
      <w:r w:rsidR="008E1AE2">
        <w:t>s</w:t>
      </w:r>
      <w:r w:rsidR="00412A6D">
        <w:t>’</w:t>
      </w:r>
      <w:r w:rsidR="008E1AE2">
        <w:t xml:space="preserve"> increasing </w:t>
      </w:r>
      <w:r w:rsidR="005015F2">
        <w:t>m</w:t>
      </w:r>
      <w:r w:rsidR="008E1AE2">
        <w:t>onopoly of skills</w:t>
      </w:r>
      <w:r w:rsidR="006567A3">
        <w:t>. T</w:t>
      </w:r>
      <w:r w:rsidR="00141514">
        <w:t xml:space="preserve">he </w:t>
      </w:r>
      <w:r w:rsidR="005015F2">
        <w:t xml:space="preserve">potential </w:t>
      </w:r>
      <w:r w:rsidR="00141514">
        <w:t xml:space="preserve">benefits </w:t>
      </w:r>
      <w:r w:rsidR="001837BD">
        <w:t xml:space="preserve">through skilling local staff </w:t>
      </w:r>
      <w:r w:rsidR="00A11CDF">
        <w:t>we</w:t>
      </w:r>
      <w:r w:rsidR="00141514">
        <w:t>re not realised</w:t>
      </w:r>
      <w:r w:rsidR="00A11CDF">
        <w:t xml:space="preserve"> and </w:t>
      </w:r>
      <w:r w:rsidR="005015F2">
        <w:t xml:space="preserve">longer term </w:t>
      </w:r>
      <w:r w:rsidR="008E304A">
        <w:t>the role of local clinical intelligence</w:t>
      </w:r>
      <w:r w:rsidR="00A11CDF">
        <w:t xml:space="preserve"> </w:t>
      </w:r>
      <w:r w:rsidR="005015F2">
        <w:t>was diminished</w:t>
      </w:r>
      <w:r w:rsidR="00141514">
        <w:t xml:space="preserve">. Given that the success of this contract was largely due to the significant input of analysts, </w:t>
      </w:r>
      <w:r w:rsidR="001837BD">
        <w:t xml:space="preserve">finding ways of </w:t>
      </w:r>
      <w:r w:rsidR="00141514">
        <w:t>cross-pollinating analytical, clinical and managerial expertise through the use of ‘standard’ teams consisting of professionals from each group</w:t>
      </w:r>
      <w:r w:rsidR="001837BD">
        <w:t xml:space="preserve"> may help bring about more ‘data driven’ commissioning</w:t>
      </w:r>
      <w:r w:rsidR="00132347">
        <w:t xml:space="preserve"> in the NHS</w:t>
      </w:r>
      <w:r w:rsidR="001A71EB">
        <w:t>,</w:t>
      </w:r>
      <w:r w:rsidR="00132347">
        <w:t xml:space="preserve"> </w:t>
      </w:r>
      <w:r w:rsidR="00640D5D">
        <w:t>reducing</w:t>
      </w:r>
      <w:r w:rsidR="00132347">
        <w:t xml:space="preserve"> dependency on external providers</w:t>
      </w:r>
      <w:r w:rsidR="00141514" w:rsidRPr="003A6472">
        <w:t>.</w:t>
      </w:r>
    </w:p>
    <w:p w:rsidR="00C55710" w:rsidRDefault="00C55710" w:rsidP="00141514">
      <w:pPr>
        <w:spacing w:line="480" w:lineRule="auto"/>
      </w:pPr>
    </w:p>
    <w:p w:rsidR="00C55710" w:rsidRPr="00C55710" w:rsidRDefault="00C55710" w:rsidP="00C55710">
      <w:pPr>
        <w:spacing w:line="480" w:lineRule="auto"/>
        <w:rPr>
          <w:b/>
        </w:rPr>
      </w:pPr>
      <w:r w:rsidRPr="00C55710">
        <w:rPr>
          <w:b/>
        </w:rPr>
        <w:t>Strengths and weaknesses</w:t>
      </w:r>
    </w:p>
    <w:p w:rsidR="00C55710" w:rsidRPr="00C55710" w:rsidRDefault="0043388C" w:rsidP="00C55710">
      <w:pPr>
        <w:spacing w:line="480" w:lineRule="auto"/>
      </w:pPr>
      <w:r>
        <w:t>T</w:t>
      </w:r>
      <w:r w:rsidR="00C55710" w:rsidRPr="00C55710">
        <w:t>his is</w:t>
      </w:r>
      <w:r w:rsidR="00DE718A">
        <w:t xml:space="preserve"> the</w:t>
      </w:r>
      <w:r w:rsidR="00C55710" w:rsidRPr="00C55710">
        <w:t xml:space="preserve"> </w:t>
      </w:r>
      <w:r>
        <w:t xml:space="preserve">largest </w:t>
      </w:r>
      <w:r w:rsidR="00C55710" w:rsidRPr="00C55710">
        <w:t xml:space="preserve">study of </w:t>
      </w:r>
      <w:r>
        <w:t>commercial and not-for-profit</w:t>
      </w:r>
      <w:r w:rsidR="00C55710" w:rsidRPr="00C55710">
        <w:t xml:space="preserve"> providers and healthcare commissioners following the 2012 Health and Social Care Act. </w:t>
      </w:r>
      <w:r>
        <w:t xml:space="preserve">These external </w:t>
      </w:r>
      <w:r w:rsidR="00C55710" w:rsidRPr="00C55710">
        <w:t>providers permitted substantial access</w:t>
      </w:r>
      <w:r w:rsidR="00640D5D">
        <w:t xml:space="preserve"> and provided a comprehensive view of their work</w:t>
      </w:r>
      <w:r w:rsidR="00C55710" w:rsidRPr="00C55710">
        <w:t xml:space="preserve">, although </w:t>
      </w:r>
      <w:r w:rsidR="00640D5D">
        <w:t xml:space="preserve">we note that </w:t>
      </w:r>
      <w:r w:rsidR="00C55710" w:rsidRPr="00C55710">
        <w:t>perspectives from NHS clients</w:t>
      </w:r>
      <w:r w:rsidR="00640D5D">
        <w:t>, especially operational analysts and commissioners,</w:t>
      </w:r>
      <w:r w:rsidR="00C55710" w:rsidRPr="00C55710">
        <w:t xml:space="preserve"> were difficult to obtain. </w:t>
      </w:r>
      <w:r w:rsidR="00640D5D">
        <w:t xml:space="preserve">We recognise that </w:t>
      </w:r>
      <w:r w:rsidR="00C55710" w:rsidRPr="00C55710">
        <w:t xml:space="preserve">entering the </w:t>
      </w:r>
      <w:r w:rsidR="00C55710" w:rsidRPr="00C55710">
        <w:lastRenderedPageBreak/>
        <w:t xml:space="preserve">field via the </w:t>
      </w:r>
      <w:r w:rsidR="00412A6D">
        <w:t xml:space="preserve">external </w:t>
      </w:r>
      <w:r w:rsidR="00C55710" w:rsidRPr="00C55710">
        <w:t>provider may have affected NHS recruitment</w:t>
      </w:r>
      <w:r w:rsidR="00640D5D">
        <w:t xml:space="preserve"> and w</w:t>
      </w:r>
      <w:r w:rsidR="00C55710" w:rsidRPr="00C55710">
        <w:t xml:space="preserve">e would have liked to recruit more ‘negative’ cases from one </w:t>
      </w:r>
      <w:r w:rsidR="00412A6D">
        <w:t xml:space="preserve">external </w:t>
      </w:r>
      <w:r w:rsidR="00C55710" w:rsidRPr="00C55710">
        <w:t xml:space="preserve">provider, who steered us away from less successful contracts. However, ample data was collected, both positive and negative, to create coherent case studies, which provide conclusions based upon carefully collected and </w:t>
      </w:r>
      <w:r w:rsidR="00640D5D">
        <w:t xml:space="preserve">systematically </w:t>
      </w:r>
      <w:r w:rsidR="00C55710" w:rsidRPr="00C55710">
        <w:t>analysed data.</w:t>
      </w:r>
    </w:p>
    <w:p w:rsidR="00DB0310" w:rsidRDefault="00DB0310" w:rsidP="00141514">
      <w:pPr>
        <w:spacing w:line="480" w:lineRule="auto"/>
        <w:rPr>
          <w:b/>
        </w:rPr>
      </w:pPr>
    </w:p>
    <w:p w:rsidR="004B3E6B" w:rsidRDefault="004B3E6B" w:rsidP="00141514">
      <w:pPr>
        <w:spacing w:line="480" w:lineRule="auto"/>
        <w:rPr>
          <w:b/>
        </w:rPr>
      </w:pPr>
      <w:r>
        <w:rPr>
          <w:b/>
        </w:rPr>
        <w:t>Relevance of study with regards to wider literature</w:t>
      </w:r>
    </w:p>
    <w:p w:rsidR="00C55710" w:rsidRDefault="00640D5D" w:rsidP="00A538E1">
      <w:pPr>
        <w:spacing w:line="480" w:lineRule="auto"/>
      </w:pPr>
      <w:r>
        <w:t>T</w:t>
      </w:r>
      <w:r w:rsidR="00667B92">
        <w:t>he</w:t>
      </w:r>
      <w:r w:rsidR="00113703">
        <w:t>re is scant</w:t>
      </w:r>
      <w:r w:rsidR="00667B92">
        <w:t xml:space="preserve"> literature on use of external providers in the NHS.</w:t>
      </w:r>
      <w:r w:rsidR="009F0BE6">
        <w:t xml:space="preserve"> A</w:t>
      </w:r>
      <w:r w:rsidR="0080345F">
        <w:t xml:space="preserve"> </w:t>
      </w:r>
      <w:r w:rsidR="00113703">
        <w:t xml:space="preserve">study </w:t>
      </w:r>
      <w:r w:rsidR="00CC2598">
        <w:t>published before</w:t>
      </w:r>
      <w:r w:rsidR="00A538E1">
        <w:t xml:space="preserve"> the Health and Social Care Act 2012</w:t>
      </w:r>
      <w:r w:rsidR="00667B92">
        <w:t xml:space="preserve"> </w:t>
      </w:r>
      <w:r w:rsidR="009F0BE6">
        <w:t xml:space="preserve">concluded that commissioners did not always use external support from commercial providers to its full </w:t>
      </w:r>
      <w:r w:rsidR="00DE718A">
        <w:t>potential</w:t>
      </w:r>
      <w:r w:rsidR="009F0BE6">
        <w:t xml:space="preserve">, which our study </w:t>
      </w:r>
      <w:r>
        <w:t xml:space="preserve">confirms </w:t>
      </w:r>
      <w:hyperlink w:anchor="_ENREF_18" w:tooltip="Naylor C, 2011 #1305" w:history="1">
        <w:r w:rsidR="00ED61F8">
          <w:fldChar w:fldCharType="begin"/>
        </w:r>
        <w:r w:rsidR="00ED61F8">
          <w:instrText xml:space="preserve"> ADDIN EN.CITE &lt;EndNote&gt;&lt;Cite&gt;&lt;Author&gt;Naylor C&lt;/Author&gt;&lt;Year&gt;2011&lt;/Year&gt;&lt;RecNum&gt;1305&lt;/RecNum&gt;&lt;DisplayText&gt;&lt;style face="superscript"&gt;18&lt;/style&gt;&lt;/DisplayText&gt;&lt;record&gt;&lt;rec-number&gt;1305&lt;/rec-number&gt;&lt;foreign-keys&gt;&lt;key app="EN" db-id="r2drx9tfh929f5edwpx5vwxqptr9twsart0z" timestamp="1405608902"&gt;1305&lt;/key&gt;&lt;/foreign-keys&gt;&lt;ref-type name="Journal Article"&gt;17&lt;/ref-type&gt;&lt;contributors&gt;&lt;authors&gt;&lt;author&gt;Naylor C,&lt;/author&gt;&lt;author&gt;Goodwin N,&lt;/author&gt;&lt;/authors&gt;&lt;/contributors&gt;&lt;titles&gt;&lt;title&gt;The use of external consultants by NHS commissioners in England: what lessons can be drawn for GPcommissioning?&lt;/title&gt;&lt;secondary-title&gt;Journal of Health Services Research and Policy&lt;/secondary-title&gt;&lt;/titles&gt;&lt;periodical&gt;&lt;full-title&gt;Journal of Health Services Research and Policy&lt;/full-title&gt;&lt;/periodical&gt;&lt;pages&gt;153&lt;/pages&gt;&lt;volume&gt;16&lt;/volume&gt;&lt;dates&gt;&lt;year&gt;2011&lt;/year&gt;&lt;/dates&gt;&lt;urls&gt;&lt;/urls&gt;&lt;electronic-resource-num&gt;DOI: 10.1258/jhsrp.2010.010081&lt;/electronic-resource-num&gt;&lt;/record&gt;&lt;/Cite&gt;&lt;/EndNote&gt;</w:instrText>
        </w:r>
        <w:r w:rsidR="00ED61F8">
          <w:fldChar w:fldCharType="separate"/>
        </w:r>
        <w:r w:rsidR="00ED61F8" w:rsidRPr="0006564A">
          <w:rPr>
            <w:noProof/>
            <w:vertAlign w:val="superscript"/>
          </w:rPr>
          <w:t>18</w:t>
        </w:r>
        <w:r w:rsidR="00ED61F8">
          <w:fldChar w:fldCharType="end"/>
        </w:r>
      </w:hyperlink>
      <w:r w:rsidR="009F0BE6">
        <w:t>.</w:t>
      </w:r>
      <w:r>
        <w:t>We found f</w:t>
      </w:r>
      <w:r w:rsidR="009F0BE6">
        <w:t xml:space="preserve">actors contributing to success included building effective working relationships, </w:t>
      </w:r>
      <w:r w:rsidR="0080345F">
        <w:t xml:space="preserve">which </w:t>
      </w:r>
      <w:r w:rsidR="009F0BE6">
        <w:t xml:space="preserve">were partial in Vignette 1 and </w:t>
      </w:r>
      <w:r w:rsidR="0080345F">
        <w:t>absent in</w:t>
      </w:r>
      <w:r w:rsidR="00C55710">
        <w:t xml:space="preserve"> Vignettes 2 (hospital audit) and 4 (data driv</w:t>
      </w:r>
      <w:r w:rsidR="009F0BE6">
        <w:t>en</w:t>
      </w:r>
      <w:r w:rsidR="00C55710">
        <w:t xml:space="preserve"> commissioning)</w:t>
      </w:r>
      <w:r w:rsidR="00667B92">
        <w:t xml:space="preserve">. </w:t>
      </w:r>
      <w:r w:rsidR="009F0BE6">
        <w:t xml:space="preserve">The importance of trust and good working relationships was also identified in a post-2012, single case study of collaboration between clinical commissioners and external providers </w:t>
      </w:r>
      <w:hyperlink w:anchor="_ENREF_17" w:tooltip="Chambers, 2013 #1310" w:history="1">
        <w:r w:rsidR="00ED61F8">
          <w:fldChar w:fldCharType="begin"/>
        </w:r>
        <w:r w:rsidR="00ED61F8">
          <w:instrText xml:space="preserve"> ADDIN EN.CITE &lt;EndNote&gt;&lt;Cite&gt;&lt;Author&gt;Chambers&lt;/Author&gt;&lt;Year&gt;2013&lt;/Year&gt;&lt;RecNum&gt;1310&lt;/RecNum&gt;&lt;DisplayText&gt;&lt;style face="superscript"&gt;17&lt;/style&gt;&lt;/DisplayText&gt;&lt;record&gt;&lt;rec-number&gt;1310&lt;/rec-number&gt;&lt;foreign-keys&gt;&lt;key app="EN" db-id="r2drx9tfh929f5edwpx5vwxqptr9twsart0z" timestamp="1406648017"&gt;1310&lt;/key&gt;&lt;/foreign-keys&gt;&lt;ref-type name="Journal Article"&gt;17&lt;/ref-type&gt;&lt;contributors&gt;&lt;authors&gt;&lt;author&gt;Chambers, N,&lt;/author&gt;&lt;author&gt;Sheaff, R,&lt;/author&gt;&lt;author&gt;Mahon, A,&lt;/author&gt;&lt;author&gt;Byng, R,&lt;/author&gt;&lt;author&gt;Mannion, R,&lt;/author&gt;&lt;author&gt;Charles, C,&lt;/author&gt;&lt;author&gt;Exworthy, M,&lt;/author&gt;&lt;author&gt;Llewellyn, S,&lt;/author&gt;&lt;/authors&gt;&lt;/contributors&gt;&lt;titles&gt;&lt;title&gt;The practice of commissioning healthcare from a private provider: learning from an in-depth case study&lt;/title&gt;&lt;secondary-title&gt;BMC Health Services Research &lt;/secondary-title&gt;&lt;/titles&gt;&lt;periodical&gt;&lt;full-title&gt;BMC Health Services Research&lt;/full-title&gt;&lt;/periodical&gt;&lt;pages&gt;54&lt;/pages&gt;&lt;volume&gt;13 (suppl 1):S4&lt;/volume&gt;&lt;dates&gt;&lt;year&gt;2013&lt;/year&gt;&lt;/dates&gt;&lt;urls&gt;&lt;related-urls&gt;&lt;url&gt;http://www.biomedcentral.com/1472-6963/13/S1/S4&lt;/url&gt;&lt;/related-urls&gt;&lt;/urls&gt;&lt;/record&gt;&lt;/Cite&gt;&lt;/EndNote&gt;</w:instrText>
        </w:r>
        <w:r w:rsidR="00ED61F8">
          <w:fldChar w:fldCharType="separate"/>
        </w:r>
        <w:r w:rsidR="00ED61F8" w:rsidRPr="0006564A">
          <w:rPr>
            <w:noProof/>
            <w:vertAlign w:val="superscript"/>
          </w:rPr>
          <w:t>17</w:t>
        </w:r>
        <w:r w:rsidR="00ED61F8">
          <w:fldChar w:fldCharType="end"/>
        </w:r>
      </w:hyperlink>
      <w:r w:rsidR="009F0BE6">
        <w:t xml:space="preserve"> and in a recent study of </w:t>
      </w:r>
      <w:r w:rsidR="00DB0310">
        <w:t>c</w:t>
      </w:r>
      <w:r w:rsidR="009F0BE6">
        <w:t xml:space="preserve">ommissioning </w:t>
      </w:r>
      <w:r w:rsidR="00DB0310">
        <w:t>s</w:t>
      </w:r>
      <w:r w:rsidR="009F0BE6">
        <w:t>upport</w:t>
      </w:r>
      <w:r w:rsidR="00800C23">
        <w:t xml:space="preserve"> units </w:t>
      </w:r>
      <w:hyperlink w:anchor="_ENREF_29" w:tooltip="Petsoulas C, 2014 #1332" w:history="1">
        <w:r w:rsidR="00ED61F8">
          <w:fldChar w:fldCharType="begin"/>
        </w:r>
        <w:r w:rsidR="00ED61F8">
          <w:instrText xml:space="preserve"> ADDIN EN.CITE &lt;EndNote&gt;&lt;Cite&gt;&lt;Author&gt;Petsoulas C&lt;/Author&gt;&lt;Year&gt;2014&lt;/Year&gt;&lt;RecNum&gt;1332&lt;/RecNum&gt;&lt;DisplayText&gt;&lt;style face="superscript"&gt;29&lt;/style&gt;&lt;/DisplayText&gt;&lt;record&gt;&lt;rec-number&gt;1332&lt;/rec-number&gt;&lt;foreign-keys&gt;&lt;key app="EN" db-id="r2drx9tfh929f5edwpx5vwxqptr9twsart0z" timestamp="1414595729"&gt;1332&lt;/key&gt;&lt;/foreign-keys&gt;&lt;ref-type name="Journal Article"&gt;17&lt;/ref-type&gt;&lt;contributors&gt;&lt;authors&gt;&lt;author&gt;Petsoulas C,&lt;/author&gt;&lt;author&gt;Allen P,&lt;/author&gt;&lt;author&gt;Checkland K,&lt;/author&gt;&lt;author&gt;Coleman A,&lt;/author&gt;&lt;author&gt;Segar J,&lt;/author&gt;&lt;author&gt;Peckham S,&lt;/author&gt;&lt;author&gt;McDermott I,&lt;/author&gt;&lt;/authors&gt;&lt;/contributors&gt;&lt;titles&gt;&lt;title&gt;Views of NHS commissioners on commissioning support provision. Evidence from a qualitative study examining the early development of clinical commissioning groups in England&lt;/title&gt;&lt;secondary-title&gt;BMJ Open&lt;/secondary-title&gt;&lt;/titles&gt;&lt;periodical&gt;&lt;full-title&gt;BMJ Open&lt;/full-title&gt;&lt;/periodical&gt;&lt;volume&gt;4:e005970., eScholarID:237405 &lt;/volume&gt;&lt;dates&gt;&lt;year&gt;2014&lt;/year&gt;&lt;/dates&gt;&lt;urls&gt;&lt;related-urls&gt;&lt;url&gt;DOI:doi:10.1136/bmjopen-2014-005970&lt;/url&gt;&lt;/related-urls&gt;&lt;/urls&gt;&lt;/record&gt;&lt;/Cite&gt;&lt;/EndNote&gt;</w:instrText>
        </w:r>
        <w:r w:rsidR="00ED61F8">
          <w:fldChar w:fldCharType="separate"/>
        </w:r>
        <w:r w:rsidR="00ED61F8" w:rsidRPr="00ED61F8">
          <w:rPr>
            <w:noProof/>
            <w:vertAlign w:val="superscript"/>
          </w:rPr>
          <w:t>29</w:t>
        </w:r>
        <w:r w:rsidR="00ED61F8">
          <w:fldChar w:fldCharType="end"/>
        </w:r>
      </w:hyperlink>
      <w:r w:rsidR="009F0BE6">
        <w:t xml:space="preserve">. In fact, this latter study concluded that good quality internal relationships are so important to commissioners, that </w:t>
      </w:r>
      <w:r w:rsidR="008E304A">
        <w:t xml:space="preserve">in </w:t>
      </w:r>
      <w:r w:rsidR="005822E6">
        <w:t xml:space="preserve">commissioners’ determination to forge these </w:t>
      </w:r>
      <w:r w:rsidR="00763C4D">
        <w:t>links</w:t>
      </w:r>
      <w:r w:rsidR="008E304A">
        <w:t xml:space="preserve">, they are </w:t>
      </w:r>
      <w:r w:rsidR="00DB0310">
        <w:t xml:space="preserve">bringing </w:t>
      </w:r>
      <w:r w:rsidR="00763C4D">
        <w:t xml:space="preserve">commissioning support </w:t>
      </w:r>
      <w:r w:rsidR="00DB0310">
        <w:t>analysts</w:t>
      </w:r>
      <w:r w:rsidR="00763C4D">
        <w:t>, who were their former commissioning colleagues</w:t>
      </w:r>
      <w:r w:rsidR="003D3576">
        <w:t xml:space="preserve"> before the 2012 Health and Social Care Act</w:t>
      </w:r>
      <w:r w:rsidR="00763C4D">
        <w:t>,</w:t>
      </w:r>
      <w:r w:rsidR="00DB0310">
        <w:t xml:space="preserve"> back into CCGs</w:t>
      </w:r>
      <w:r w:rsidR="008E304A">
        <w:t xml:space="preserve">. This </w:t>
      </w:r>
      <w:r w:rsidR="005822E6">
        <w:t>directly challenges current governmental policy on competition.</w:t>
      </w:r>
    </w:p>
    <w:p w:rsidR="009F0BE6" w:rsidRDefault="009F0BE6" w:rsidP="00A538E1">
      <w:pPr>
        <w:spacing w:line="480" w:lineRule="auto"/>
      </w:pPr>
    </w:p>
    <w:p w:rsidR="00667B92" w:rsidRDefault="00113703" w:rsidP="00A538E1">
      <w:pPr>
        <w:spacing w:line="480" w:lineRule="auto"/>
      </w:pPr>
      <w:r>
        <w:lastRenderedPageBreak/>
        <w:t>A</w:t>
      </w:r>
      <w:r w:rsidR="00667B92">
        <w:t xml:space="preserve">lthough the literature on use of external consultants in the English NHS is sparse, </w:t>
      </w:r>
      <w:r>
        <w:t>an impressive</w:t>
      </w:r>
      <w:r w:rsidR="00FF3B5A">
        <w:t>, instructive</w:t>
      </w:r>
      <w:r>
        <w:t xml:space="preserve"> body of literature </w:t>
      </w:r>
      <w:r w:rsidR="00DB0310">
        <w:t xml:space="preserve">exists </w:t>
      </w:r>
      <w:r>
        <w:t xml:space="preserve">on </w:t>
      </w:r>
      <w:r w:rsidR="006000C7">
        <w:t xml:space="preserve">the </w:t>
      </w:r>
      <w:r>
        <w:t>use of commercial consultants in the private sector. For example, a study of commercial consultants in the Canadian telecommunications industry found that the single most important factor of success was the willingness of commercial companies to adapt</w:t>
      </w:r>
      <w:r w:rsidR="00BA6564">
        <w:t xml:space="preserve"> to</w:t>
      </w:r>
      <w:r>
        <w:t xml:space="preserve"> “client readiness” </w:t>
      </w:r>
      <w:hyperlink w:anchor="_ENREF_30" w:tooltip="Appelbaum S, 2005 #1306" w:history="1">
        <w:r w:rsidR="00ED61F8">
          <w:fldChar w:fldCharType="begin"/>
        </w:r>
        <w:r w:rsidR="00ED61F8">
          <w:instrText xml:space="preserve"> ADDIN EN.CITE &lt;EndNote&gt;&lt;Cite&gt;&lt;Author&gt;Appelbaum S&lt;/Author&gt;&lt;Year&gt;2005&lt;/Year&gt;&lt;RecNum&gt;1306&lt;/RecNum&gt;&lt;DisplayText&gt;&lt;style face="superscript"&gt;30&lt;/style&gt;&lt;/DisplayText&gt;&lt;record&gt;&lt;rec-number&gt;1306&lt;/rec-number&gt;&lt;foreign-keys&gt;&lt;key app="EN" db-id="r2drx9tfh929f5edwpx5vwxqptr9twsart0z" timestamp="1405609909"&gt;1306&lt;/key&gt;&lt;/foreign-keys&gt;&lt;ref-type name="Journal Article"&gt;17&lt;/ref-type&gt;&lt;contributors&gt;&lt;authors&gt;&lt;author&gt;Appelbaum S,&lt;/author&gt;&lt;author&gt;Steed J,&lt;/author&gt;&lt;/authors&gt;&lt;/contributors&gt;&lt;titles&gt;&lt;title&gt;The critical success factors in the client-consulting relationship&lt;/title&gt;&lt;secondary-title&gt;Journal of Management Development&lt;/secondary-title&gt;&lt;/titles&gt;&lt;periodical&gt;&lt;full-title&gt;Journal of Management Development&lt;/full-title&gt;&lt;/periodical&gt;&lt;pages&gt;68-93&lt;/pages&gt;&lt;volume&gt;24&lt;/volume&gt;&lt;number&gt;1&lt;/number&gt;&lt;dates&gt;&lt;year&gt;2005&lt;/year&gt;&lt;/dates&gt;&lt;urls&gt;&lt;/urls&gt;&lt;/record&gt;&lt;/Cite&gt;&lt;/EndNote&gt;</w:instrText>
        </w:r>
        <w:r w:rsidR="00ED61F8">
          <w:fldChar w:fldCharType="separate"/>
        </w:r>
        <w:r w:rsidR="00ED61F8" w:rsidRPr="00ED61F8">
          <w:rPr>
            <w:noProof/>
            <w:vertAlign w:val="superscript"/>
          </w:rPr>
          <w:t>30</w:t>
        </w:r>
        <w:r w:rsidR="00ED61F8">
          <w:fldChar w:fldCharType="end"/>
        </w:r>
      </w:hyperlink>
      <w:r w:rsidR="0071691D">
        <w:t xml:space="preserve">, which was </w:t>
      </w:r>
      <w:r w:rsidR="00302FCB">
        <w:t xml:space="preserve">evident </w:t>
      </w:r>
      <w:r w:rsidR="0043388C">
        <w:t>in V</w:t>
      </w:r>
      <w:r w:rsidR="0071691D">
        <w:t>ignette</w:t>
      </w:r>
      <w:r w:rsidR="0043388C">
        <w:t xml:space="preserve"> 3</w:t>
      </w:r>
      <w:r w:rsidR="0071691D">
        <w:t xml:space="preserve"> whe</w:t>
      </w:r>
      <w:r w:rsidR="00302FCB">
        <w:t>re</w:t>
      </w:r>
      <w:r w:rsidR="0071691D">
        <w:t xml:space="preserve"> commissioners </w:t>
      </w:r>
      <w:r w:rsidR="00302FCB">
        <w:t xml:space="preserve">at all levels were highly motivated to </w:t>
      </w:r>
      <w:r w:rsidR="0071691D">
        <w:t>improve their World Class Commissioning rating.</w:t>
      </w:r>
      <w:r>
        <w:t xml:space="preserve"> </w:t>
      </w:r>
      <w:r w:rsidR="00BA6564">
        <w:t>Another Canadian management academic put forward six propositions for successful engagement including a clear agreement concerning requirements and expectations</w:t>
      </w:r>
      <w:r w:rsidR="00302FCB">
        <w:t xml:space="preserve">, </w:t>
      </w:r>
      <w:r w:rsidR="00BA6564">
        <w:t xml:space="preserve">which was missing in </w:t>
      </w:r>
      <w:r w:rsidR="0043388C">
        <w:t>V</w:t>
      </w:r>
      <w:r w:rsidR="00302FCB">
        <w:t>ignettes</w:t>
      </w:r>
      <w:r w:rsidR="0043388C">
        <w:t xml:space="preserve"> 1 and 2</w:t>
      </w:r>
      <w:r w:rsidR="00302FCB">
        <w:t xml:space="preserve"> where the NHS </w:t>
      </w:r>
      <w:r w:rsidR="001C0D84">
        <w:t>operational staff</w:t>
      </w:r>
      <w:r w:rsidR="00302FCB">
        <w:t xml:space="preserve"> </w:t>
      </w:r>
      <w:r w:rsidR="001C0D84">
        <w:t xml:space="preserve">did not co-produce </w:t>
      </w:r>
      <w:r w:rsidR="0080345F">
        <w:t xml:space="preserve">or contribute to </w:t>
      </w:r>
      <w:r w:rsidR="001C0D84">
        <w:t>the contract</w:t>
      </w:r>
      <w:r w:rsidR="0080345F">
        <w:t xml:space="preserve"> at the procurement stage. </w:t>
      </w:r>
      <w:r w:rsidR="001C0D84">
        <w:t xml:space="preserve">A further marker of success was </w:t>
      </w:r>
      <w:r w:rsidR="00BA6564">
        <w:t xml:space="preserve">a good fit between consultant and client, including consultant type </w:t>
      </w:r>
      <w:hyperlink w:anchor="_ENREF_31" w:tooltip="MacLachline R, 1999 #1308" w:history="1">
        <w:r w:rsidR="00ED61F8">
          <w:fldChar w:fldCharType="begin"/>
        </w:r>
        <w:r w:rsidR="00ED61F8">
          <w:instrText xml:space="preserve"> ADDIN EN.CITE &lt;EndNote&gt;&lt;Cite&gt;&lt;Author&gt;MacLachline R&lt;/Author&gt;&lt;Year&gt;1999&lt;/Year&gt;&lt;RecNum&gt;1308&lt;/RecNum&gt;&lt;DisplayText&gt;&lt;style face="superscript"&gt;31&lt;/style&gt;&lt;/DisplayText&gt;&lt;record&gt;&lt;rec-number&gt;1308&lt;/rec-number&gt;&lt;foreign-keys&gt;&lt;key app="EN" db-id="r2drx9tfh929f5edwpx5vwxqptr9twsart0z" timestamp="1405610980"&gt;1308&lt;/key&gt;&lt;/foreign-keys&gt;&lt;ref-type name="Journal Article"&gt;17&lt;/ref-type&gt;&lt;contributors&gt;&lt;authors&gt;&lt;author&gt;MacLachline R,&lt;/author&gt;&lt;/authors&gt;&lt;/contributors&gt;&lt;titles&gt;&lt;title&gt;Factors for consulting engagment success&lt;/title&gt;&lt;secondary-title&gt;Management Decision&lt;/secondary-title&gt;&lt;/titles&gt;&lt;periodical&gt;&lt;full-title&gt;Management Decision&lt;/full-title&gt;&lt;/periodical&gt;&lt;pages&gt;394-402&lt;/pages&gt;&lt;volume&gt;37&lt;/volume&gt;&lt;number&gt;5&lt;/number&gt;&lt;dates&gt;&lt;year&gt;1999&lt;/year&gt;&lt;/dates&gt;&lt;urls&gt;&lt;/urls&gt;&lt;/record&gt;&lt;/Cite&gt;&lt;/EndNote&gt;</w:instrText>
        </w:r>
        <w:r w:rsidR="00ED61F8">
          <w:fldChar w:fldCharType="separate"/>
        </w:r>
        <w:r w:rsidR="00ED61F8" w:rsidRPr="00ED61F8">
          <w:rPr>
            <w:noProof/>
            <w:vertAlign w:val="superscript"/>
          </w:rPr>
          <w:t>31</w:t>
        </w:r>
        <w:r w:rsidR="00ED61F8">
          <w:fldChar w:fldCharType="end"/>
        </w:r>
      </w:hyperlink>
      <w:r w:rsidR="0043388C">
        <w:t>, which was present in Vignette 3</w:t>
      </w:r>
      <w:r w:rsidR="00CC2598">
        <w:t xml:space="preserve"> (e.g. allocating ‘completer/ finishers’)</w:t>
      </w:r>
      <w:r w:rsidR="00BA6564">
        <w:t xml:space="preserve">. </w:t>
      </w:r>
      <w:r w:rsidR="0080345F">
        <w:t xml:space="preserve">However despite the prevalence of this literature, and other relevant studies, once again we </w:t>
      </w:r>
      <w:r w:rsidR="00DE718A">
        <w:t>note</w:t>
      </w:r>
      <w:r w:rsidR="0080345F">
        <w:t xml:space="preserve"> that the findings of research have made a limited impact on </w:t>
      </w:r>
      <w:r w:rsidR="00DB0310">
        <w:t xml:space="preserve">policy and practice within </w:t>
      </w:r>
      <w:r w:rsidR="00FA45F6">
        <w:t xml:space="preserve">public services </w:t>
      </w:r>
      <w:hyperlink w:anchor="_ENREF_32" w:tooltip="Nutley, 2007 #737" w:history="1">
        <w:r w:rsidR="00ED61F8">
          <w:fldChar w:fldCharType="begin"/>
        </w:r>
        <w:r w:rsidR="00ED61F8">
          <w:instrText xml:space="preserve"> ADDIN EN.CITE &lt;EndNote&gt;&lt;Cite&gt;&lt;Author&gt;Nutley&lt;/Author&gt;&lt;Year&gt;2007&lt;/Year&gt;&lt;RecNum&gt;737&lt;/RecNum&gt;&lt;DisplayText&gt;&lt;style face="superscript"&gt;32&lt;/style&gt;&lt;/DisplayText&gt;&lt;record&gt;&lt;rec-number&gt;737&lt;/rec-number&gt;&lt;foreign-keys&gt;&lt;key app="EN" db-id="r2drx9tfh929f5edwpx5vwxqptr9twsart0z" timestamp="1354554137"&gt;737&lt;/key&gt;&lt;/foreign-keys&gt;&lt;ref-type name="Book"&gt;6&lt;/ref-type&gt;&lt;contributors&gt;&lt;authors&gt;&lt;author&gt;Nutley,S.&lt;/author&gt;&lt;author&gt;Walter,I.&lt;/author&gt;&lt;author&gt;Davies,H.&lt;/author&gt;&lt;/authors&gt;&lt;/contributors&gt;&lt;titles&gt;&lt;title&gt;Using Evidence: how research can inform public services.&lt;/title&gt;&lt;/titles&gt;&lt;reprint-edition&gt;Not in File&lt;/reprint-edition&gt;&lt;keywords&gt;&lt;keyword&gt;policy&lt;/keyword&gt;&lt;keyword&gt;research&lt;/keyword&gt;&lt;keyword&gt;research utilisation&lt;/keyword&gt;&lt;/keywords&gt;&lt;dates&gt;&lt;year&gt;2007&lt;/year&gt;&lt;pub-dates&gt;&lt;date&gt;2007&lt;/date&gt;&lt;/pub-dates&gt;&lt;/dates&gt;&lt;pub-location&gt;Bristol&lt;/pub-location&gt;&lt;publisher&gt;The Policy Press&lt;/publisher&gt;&lt;label&gt;750&lt;/label&gt;&lt;urls&gt;&lt;/urls&gt;&lt;/record&gt;&lt;/Cite&gt;&lt;/EndNote&gt;</w:instrText>
        </w:r>
        <w:r w:rsidR="00ED61F8">
          <w:fldChar w:fldCharType="separate"/>
        </w:r>
        <w:r w:rsidR="00ED61F8" w:rsidRPr="00ED61F8">
          <w:rPr>
            <w:noProof/>
            <w:vertAlign w:val="superscript"/>
          </w:rPr>
          <w:t>32</w:t>
        </w:r>
        <w:r w:rsidR="00ED61F8">
          <w:fldChar w:fldCharType="end"/>
        </w:r>
      </w:hyperlink>
      <w:r w:rsidR="0080345F">
        <w:t xml:space="preserve">. As </w:t>
      </w:r>
      <w:r w:rsidR="008E304A">
        <w:t xml:space="preserve">contracts with </w:t>
      </w:r>
      <w:r w:rsidR="0080345F">
        <w:t xml:space="preserve">external consultants become more widespread, </w:t>
      </w:r>
      <w:r w:rsidR="00267AA5">
        <w:t xml:space="preserve">drawing this literature to the attention of </w:t>
      </w:r>
      <w:r w:rsidR="0043388C">
        <w:t xml:space="preserve">both </w:t>
      </w:r>
      <w:r w:rsidR="00CC2598">
        <w:t xml:space="preserve">external providers and </w:t>
      </w:r>
      <w:r w:rsidR="00267AA5">
        <w:t>healthcare commissioner</w:t>
      </w:r>
      <w:r w:rsidR="00DB0310">
        <w:t>s</w:t>
      </w:r>
      <w:r w:rsidR="0043388C">
        <w:t xml:space="preserve"> </w:t>
      </w:r>
      <w:r w:rsidR="00267AA5">
        <w:t xml:space="preserve">who are </w:t>
      </w:r>
      <w:r w:rsidR="008E304A">
        <w:t>using</w:t>
      </w:r>
      <w:r w:rsidR="00267AA5">
        <w:t xml:space="preserve"> external support</w:t>
      </w:r>
      <w:r w:rsidR="0043388C">
        <w:t xml:space="preserve"> </w:t>
      </w:r>
      <w:r w:rsidR="00267AA5">
        <w:t>will become more imperative.</w:t>
      </w:r>
      <w:r w:rsidR="0080345F">
        <w:t xml:space="preserve"> </w:t>
      </w:r>
    </w:p>
    <w:p w:rsidR="00B45F5E" w:rsidRDefault="00B45F5E" w:rsidP="004B3E6B">
      <w:pPr>
        <w:rPr>
          <w:b/>
        </w:rPr>
      </w:pPr>
    </w:p>
    <w:p w:rsidR="004B3E6B" w:rsidRPr="004B3E6B" w:rsidRDefault="004B3E6B" w:rsidP="004B3E6B">
      <w:r>
        <w:rPr>
          <w:b/>
        </w:rPr>
        <w:t>C</w:t>
      </w:r>
      <w:r w:rsidR="006C203C">
        <w:rPr>
          <w:b/>
        </w:rPr>
        <w:t>ONCLUSION</w:t>
      </w:r>
    </w:p>
    <w:p w:rsidR="006C203C" w:rsidRDefault="000D5E5E" w:rsidP="00141514">
      <w:pPr>
        <w:spacing w:line="480" w:lineRule="auto"/>
      </w:pPr>
      <w:r w:rsidRPr="000D5E5E">
        <w:t>A major goal of the Health and Social Care Act 2012 was to introduce multiple types of external providers to increase competition with the assumption that this leads to improved quality of commissioning.</w:t>
      </w:r>
      <w:r>
        <w:t xml:space="preserve"> </w:t>
      </w:r>
      <w:r w:rsidR="00C8238F" w:rsidRPr="00C8238F">
        <w:t xml:space="preserve">This assumption is problematic, as the impact of competition on healthcare has yet to be clarified, even with regards to service </w:t>
      </w:r>
      <w:r w:rsidR="00C8238F" w:rsidRPr="00C8238F">
        <w:lastRenderedPageBreak/>
        <w:t xml:space="preserve">provision, which is where this embryonic research field has focused to date </w:t>
      </w:r>
      <w:r w:rsidR="00C8238F" w:rsidRPr="00C8238F">
        <w:fldChar w:fldCharType="begin"/>
      </w:r>
      <w:r w:rsidR="0006564A">
        <w:instrText xml:space="preserve"> ADDIN EN.CITE &lt;EndNote&gt;&lt;Cite&gt;&lt;Author&gt;Charlesworth A&lt;/Author&gt;&lt;Year&gt;2013&lt;/Year&gt;&lt;RecNum&gt;1314&lt;/RecNum&gt;&lt;DisplayText&gt;&lt;style face="superscript"&gt;14 15&lt;/style&gt;&lt;/DisplayText&gt;&lt;record&gt;&lt;rec-number&gt;1314&lt;/rec-number&gt;&lt;foreign-keys&gt;&lt;key app="EN" db-id="r2drx9tfh929f5edwpx5vwxqptr9twsart0z" timestamp="1408726628"&gt;1314&lt;/key&gt;&lt;/foreign-keys&gt;&lt;ref-type name="Report"&gt;27&lt;/ref-type&gt;&lt;contributors&gt;&lt;authors&gt;&lt;author&gt;Charlesworth A,&lt;/author&gt;&lt;author&gt;Kelly E,&lt;/author&gt;&lt;/authors&gt;&lt;/contributors&gt;&lt;titles&gt;&lt;title&gt;Competition in UK health care: reflections from an expert workshop&lt;/title&gt;&lt;/titles&gt;&lt;dates&gt;&lt;year&gt;2013&lt;/year&gt;&lt;/dates&gt;&lt;pub-location&gt;London&lt;/pub-location&gt;&lt;publisher&gt;Nuffield Trust&lt;/publisher&gt;&lt;urls&gt;&lt;/urls&gt;&lt;/record&gt;&lt;/Cite&gt;&lt;Cite&gt;&lt;Author&gt;Dickinson&lt;/Author&gt;&lt;Year&gt;2012&lt;/Year&gt;&lt;RecNum&gt;1309&lt;/RecNum&gt;&lt;record&gt;&lt;rec-number&gt;1309&lt;/rec-number&gt;&lt;foreign-keys&gt;&lt;key app="EN" db-id="r2drx9tfh929f5edwpx5vwxqptr9twsart0z" timestamp="1406647623"&gt;1309&lt;/key&gt;&lt;/foreign-keys&gt;&lt;ref-type name="Journal Article"&gt;17&lt;/ref-type&gt;&lt;contributors&gt;&lt;authors&gt;&lt;author&gt;Dickinson, H&lt;/author&gt;&lt;author&gt;Shaw S&lt;/author&gt;&lt;author&gt;Glasby, J&lt;/author&gt;&lt;author&gt;Smith J&lt;/author&gt;&lt;/authors&gt;&lt;/contributors&gt;&lt;titles&gt;&lt;title&gt;The limits of market-based reforms&lt;/title&gt;&lt;secondary-title&gt;BMC Health Services Research&lt;/secondary-title&gt;&lt;/titles&gt;&lt;periodical&gt;&lt;full-title&gt;BMC Health Services Research&lt;/full-title&gt;&lt;/periodical&gt;&lt;volume&gt;13 (supp 1)&lt;/volume&gt;&lt;dates&gt;&lt;year&gt;2012&lt;/year&gt;&lt;/dates&gt;&lt;urls&gt;&lt;related-urls&gt;&lt;url&gt;http://www.biomedcentral.com/bmchealthservres/supplements/13/S1&lt;/url&gt;&lt;/related-urls&gt;&lt;/urls&gt;&lt;/record&gt;&lt;/Cite&gt;&lt;/EndNote&gt;</w:instrText>
      </w:r>
      <w:r w:rsidR="00C8238F" w:rsidRPr="00C8238F">
        <w:fldChar w:fldCharType="separate"/>
      </w:r>
      <w:hyperlink w:anchor="_ENREF_14" w:tooltip="Dickinson, 2012 #1309" w:history="1">
        <w:r w:rsidR="00ED61F8" w:rsidRPr="0006564A">
          <w:rPr>
            <w:noProof/>
            <w:vertAlign w:val="superscript"/>
          </w:rPr>
          <w:t>14</w:t>
        </w:r>
      </w:hyperlink>
      <w:r w:rsidR="0006564A" w:rsidRPr="0006564A">
        <w:rPr>
          <w:noProof/>
          <w:vertAlign w:val="superscript"/>
        </w:rPr>
        <w:t xml:space="preserve"> </w:t>
      </w:r>
      <w:hyperlink w:anchor="_ENREF_15" w:tooltip="Charlesworth A, 2013 #1314" w:history="1">
        <w:r w:rsidR="00ED61F8" w:rsidRPr="0006564A">
          <w:rPr>
            <w:noProof/>
            <w:vertAlign w:val="superscript"/>
          </w:rPr>
          <w:t>15</w:t>
        </w:r>
      </w:hyperlink>
      <w:r w:rsidR="00C8238F" w:rsidRPr="00C8238F">
        <w:fldChar w:fldCharType="end"/>
      </w:r>
      <w:r w:rsidR="00C8238F" w:rsidRPr="00C8238F">
        <w:t xml:space="preserve">. Much less is known about the impact of competition on commissioning. </w:t>
      </w:r>
      <w:r w:rsidR="008E304A">
        <w:t>But even if competition were likely to improve the quality of commissioning, our</w:t>
      </w:r>
      <w:r w:rsidR="006C203C">
        <w:t xml:space="preserve"> study suggests that the right elements </w:t>
      </w:r>
      <w:r w:rsidR="00A11CDF">
        <w:t xml:space="preserve">may not be </w:t>
      </w:r>
      <w:r w:rsidR="006C203C">
        <w:t xml:space="preserve">in place </w:t>
      </w:r>
      <w:r w:rsidR="001D3689">
        <w:t xml:space="preserve">to optimise any such </w:t>
      </w:r>
      <w:r w:rsidR="006C203C">
        <w:t>benefits.</w:t>
      </w:r>
    </w:p>
    <w:p w:rsidR="006C203C" w:rsidRDefault="006C203C" w:rsidP="00141514">
      <w:pPr>
        <w:spacing w:line="480" w:lineRule="auto"/>
      </w:pPr>
    </w:p>
    <w:p w:rsidR="006934F2" w:rsidRDefault="006000C7" w:rsidP="005015F2">
      <w:pPr>
        <w:spacing w:line="480" w:lineRule="auto"/>
      </w:pPr>
      <w:r>
        <w:t>S</w:t>
      </w:r>
      <w:r w:rsidR="001D3689">
        <w:t xml:space="preserve">everal </w:t>
      </w:r>
      <w:r w:rsidR="00604D8A">
        <w:t>features were crucial</w:t>
      </w:r>
      <w:r w:rsidR="00F94EAC">
        <w:t xml:space="preserve"> to achieving positive impacts from involving external providers, </w:t>
      </w:r>
      <w:r w:rsidR="00A11CDF">
        <w:t>such as</w:t>
      </w:r>
      <w:r w:rsidR="004B3E6B">
        <w:t xml:space="preserve"> a clearly agreed problem of relevance and importance to both operational and managerial staff</w:t>
      </w:r>
      <w:r w:rsidR="00157691">
        <w:t xml:space="preserve"> </w:t>
      </w:r>
      <w:r w:rsidR="00640D5D">
        <w:t xml:space="preserve">and co-produced </w:t>
      </w:r>
      <w:r w:rsidR="00157691">
        <w:t>solution</w:t>
      </w:r>
      <w:r w:rsidR="00640D5D">
        <w:t>s</w:t>
      </w:r>
      <w:r w:rsidR="001D3689">
        <w:t>. This indicated genuine client ‘readiness’ to work with external providers</w:t>
      </w:r>
      <w:r w:rsidR="004B3E6B">
        <w:t>.</w:t>
      </w:r>
      <w:r w:rsidR="001D3689">
        <w:t xml:space="preserve"> Other characteristics were </w:t>
      </w:r>
      <w:r w:rsidR="004B3E6B">
        <w:t>continual re-assess</w:t>
      </w:r>
      <w:r w:rsidR="001D3689">
        <w:t>ment of</w:t>
      </w:r>
      <w:r w:rsidR="00321B79">
        <w:t xml:space="preserve"> the problem (and proposed solution)</w:t>
      </w:r>
      <w:r w:rsidR="001D3689">
        <w:t xml:space="preserve"> and l</w:t>
      </w:r>
      <w:r w:rsidR="00FC6697">
        <w:t xml:space="preserve">ocal staff </w:t>
      </w:r>
      <w:r w:rsidR="001D3689">
        <w:t>taking</w:t>
      </w:r>
      <w:r w:rsidR="003C7499">
        <w:t xml:space="preserve"> </w:t>
      </w:r>
      <w:r w:rsidR="00321B79">
        <w:t>responsib</w:t>
      </w:r>
      <w:r w:rsidR="001D3689">
        <w:t>i</w:t>
      </w:r>
      <w:r w:rsidR="00321B79">
        <w:t>l</w:t>
      </w:r>
      <w:r w:rsidR="001D3689">
        <w:t>ity</w:t>
      </w:r>
      <w:r w:rsidR="00321B79">
        <w:t xml:space="preserve"> for undertaking </w:t>
      </w:r>
      <w:r w:rsidR="004B3E6B">
        <w:t>the work</w:t>
      </w:r>
      <w:r w:rsidR="00A538E1">
        <w:t xml:space="preserve"> to</w:t>
      </w:r>
      <w:r w:rsidR="00321B79">
        <w:t xml:space="preserve"> learn new skills, </w:t>
      </w:r>
      <w:r w:rsidR="004B3E6B">
        <w:t xml:space="preserve">instead of </w:t>
      </w:r>
      <w:r w:rsidR="003C7499">
        <w:t xml:space="preserve">relying largely on </w:t>
      </w:r>
      <w:r w:rsidR="004B3E6B">
        <w:t>external consu</w:t>
      </w:r>
      <w:r w:rsidR="00A11CDF">
        <w:t>ltants. If the contract involved</w:t>
      </w:r>
      <w:r w:rsidR="004B3E6B">
        <w:t xml:space="preserve"> </w:t>
      </w:r>
      <w:r w:rsidR="005E6C13">
        <w:t>information</w:t>
      </w:r>
      <w:r w:rsidR="004B3E6B">
        <w:t xml:space="preserve"> </w:t>
      </w:r>
      <w:r w:rsidR="00FC6697">
        <w:t>provision</w:t>
      </w:r>
      <w:r w:rsidR="004B3E6B">
        <w:t xml:space="preserve">, external providers </w:t>
      </w:r>
      <w:r w:rsidR="00321B79">
        <w:t>need</w:t>
      </w:r>
      <w:r w:rsidR="00A11CDF">
        <w:t>ed</w:t>
      </w:r>
      <w:r w:rsidR="00321B79">
        <w:t xml:space="preserve"> to </w:t>
      </w:r>
      <w:r w:rsidR="00FC6697">
        <w:t>supply</w:t>
      </w:r>
      <w:r w:rsidR="00321B79">
        <w:t xml:space="preserve"> not only </w:t>
      </w:r>
      <w:r w:rsidR="004B3E6B">
        <w:t>technical</w:t>
      </w:r>
      <w:r w:rsidR="00321B79">
        <w:t xml:space="preserve"> </w:t>
      </w:r>
      <w:r w:rsidR="00FC6697">
        <w:t>solutions</w:t>
      </w:r>
      <w:r w:rsidR="004B3E6B">
        <w:t>, but also skills in interpret</w:t>
      </w:r>
      <w:r w:rsidR="007E58D6">
        <w:t>at</w:t>
      </w:r>
      <w:r w:rsidR="004B3E6B">
        <w:t>i</w:t>
      </w:r>
      <w:r w:rsidR="007E58D6">
        <w:t>on with</w:t>
      </w:r>
      <w:r w:rsidR="004B3E6B">
        <w:t xml:space="preserve"> </w:t>
      </w:r>
      <w:r w:rsidR="00321B79">
        <w:t xml:space="preserve">locally contextualised strategies to </w:t>
      </w:r>
      <w:r w:rsidR="004B3E6B">
        <w:t>inform commissioning</w:t>
      </w:r>
      <w:r w:rsidR="007E58D6">
        <w:t>,</w:t>
      </w:r>
      <w:r w:rsidR="00321B79">
        <w:t xml:space="preserve"> developed in genuine partnership with the right NHS staff</w:t>
      </w:r>
      <w:r w:rsidR="004B3E6B">
        <w:t xml:space="preserve">. </w:t>
      </w:r>
      <w:r w:rsidR="00A538E1">
        <w:t xml:space="preserve">One way of improving the impact of data on commissioning </w:t>
      </w:r>
      <w:r w:rsidR="00FC6697">
        <w:t xml:space="preserve">might be for commissioners </w:t>
      </w:r>
      <w:r w:rsidR="00A538E1">
        <w:t xml:space="preserve">to adopt the model from </w:t>
      </w:r>
      <w:r w:rsidR="00FC6697">
        <w:t>the</w:t>
      </w:r>
      <w:r w:rsidR="00A538E1">
        <w:t xml:space="preserve"> external provider </w:t>
      </w:r>
      <w:r w:rsidR="00FC6697">
        <w:t xml:space="preserve">in Vignette 4 </w:t>
      </w:r>
      <w:r w:rsidR="005015F2">
        <w:t xml:space="preserve">by </w:t>
      </w:r>
      <w:r w:rsidR="00A538E1">
        <w:t xml:space="preserve">using </w:t>
      </w:r>
      <w:r w:rsidR="00640D5D">
        <w:t xml:space="preserve">integrated </w:t>
      </w:r>
      <w:r w:rsidR="005015F2">
        <w:t xml:space="preserve">internal </w:t>
      </w:r>
      <w:r w:rsidR="00A538E1">
        <w:t xml:space="preserve">teams of clinicians, analysts and managers to cross-fertilise expertise. </w:t>
      </w:r>
      <w:r>
        <w:t xml:space="preserve">Without these elements, the use of external providers appears to have only sporadic benefits of limited value for </w:t>
      </w:r>
      <w:r w:rsidR="00F23357">
        <w:t>commissioning.</w:t>
      </w:r>
    </w:p>
    <w:p w:rsidR="00532A48" w:rsidRDefault="00532A48" w:rsidP="00141514">
      <w:pPr>
        <w:spacing w:line="480" w:lineRule="auto"/>
      </w:pPr>
    </w:p>
    <w:p w:rsidR="00132347" w:rsidRDefault="00604D8A" w:rsidP="00141514">
      <w:pPr>
        <w:spacing w:line="480" w:lineRule="auto"/>
      </w:pPr>
      <w:r>
        <w:t xml:space="preserve">However, this raises a </w:t>
      </w:r>
      <w:r w:rsidR="003979A0">
        <w:t>dilemma</w:t>
      </w:r>
      <w:r>
        <w:t xml:space="preserve">. </w:t>
      </w:r>
      <w:r w:rsidR="002D7A70">
        <w:t xml:space="preserve">If local </w:t>
      </w:r>
      <w:r w:rsidR="002D7A70" w:rsidRPr="002D7A70">
        <w:t xml:space="preserve">expertise is essential for high-quality commissioning, then </w:t>
      </w:r>
      <w:r w:rsidR="002D7A70">
        <w:t xml:space="preserve">employing </w:t>
      </w:r>
      <w:r w:rsidR="002D7A70" w:rsidRPr="002D7A70">
        <w:t>a</w:t>
      </w:r>
      <w:r w:rsidR="002D7A70">
        <w:t xml:space="preserve"> non-local external commercial</w:t>
      </w:r>
      <w:r w:rsidR="002D7A70" w:rsidRPr="002D7A70">
        <w:t xml:space="preserve"> </w:t>
      </w:r>
      <w:r w:rsidR="002D7A70">
        <w:t xml:space="preserve">or not-for-profit </w:t>
      </w:r>
      <w:r w:rsidR="002D7A70" w:rsidRPr="002D7A70">
        <w:t xml:space="preserve">provider to develop and supply such expertise puts </w:t>
      </w:r>
      <w:r w:rsidR="002D7A70">
        <w:t>the contracting organisation</w:t>
      </w:r>
      <w:r>
        <w:t xml:space="preserve"> in a </w:t>
      </w:r>
      <w:r>
        <w:lastRenderedPageBreak/>
        <w:t>vulnerable position, as the</w:t>
      </w:r>
      <w:r w:rsidR="00ED6922">
        <w:t xml:space="preserve"> contracting organisation</w:t>
      </w:r>
      <w:r>
        <w:t xml:space="preserve"> become</w:t>
      </w:r>
      <w:r w:rsidR="00ED6922">
        <w:t>s</w:t>
      </w:r>
      <w:r>
        <w:t xml:space="preserve"> increasingly dependent on the external provider (as illustrated by Vignette 4). This </w:t>
      </w:r>
      <w:r w:rsidR="002D7A70" w:rsidRPr="002D7A70">
        <w:t>is likely to worsen over time.  But developing the expertise in-house does</w:t>
      </w:r>
      <w:r w:rsidR="002D7A70">
        <w:t xml:space="preserve"> not</w:t>
      </w:r>
      <w:r w:rsidR="002D7A70" w:rsidRPr="002D7A70">
        <w:t xml:space="preserve"> solve the problem either, unless </w:t>
      </w:r>
      <w:r w:rsidR="002D7A70">
        <w:t xml:space="preserve">there is </w:t>
      </w:r>
      <w:r w:rsidR="002D7A70" w:rsidRPr="002D7A70">
        <w:t xml:space="preserve">a plan to maintain that expertise to be resilient to shocks </w:t>
      </w:r>
      <w:r w:rsidR="002D7A70">
        <w:t xml:space="preserve">such as re-organisations and </w:t>
      </w:r>
      <w:r w:rsidR="002D7A70" w:rsidRPr="002D7A70">
        <w:t>departures of key personnel</w:t>
      </w:r>
      <w:r w:rsidR="002D7A70">
        <w:t xml:space="preserve">. </w:t>
      </w:r>
      <w:r w:rsidR="00C2415E">
        <w:t xml:space="preserve"> </w:t>
      </w:r>
    </w:p>
    <w:p w:rsidR="00532A48" w:rsidRDefault="00532A48" w:rsidP="00141514">
      <w:pPr>
        <w:spacing w:line="480" w:lineRule="auto"/>
      </w:pPr>
    </w:p>
    <w:p w:rsidR="00532A48" w:rsidRPr="00532A48" w:rsidRDefault="00532A48" w:rsidP="00D05C7D">
      <w:pPr>
        <w:spacing w:line="480" w:lineRule="auto"/>
      </w:pPr>
      <w:r>
        <w:t xml:space="preserve"> </w:t>
      </w:r>
      <w:r w:rsidR="00D05C7D">
        <w:t xml:space="preserve">The NHS is increasingly contracting with external </w:t>
      </w:r>
      <w:r>
        <w:t xml:space="preserve">providers </w:t>
      </w:r>
      <w:r w:rsidR="00D05C7D">
        <w:t xml:space="preserve">to help with the commissioning process </w:t>
      </w:r>
      <w:r>
        <w:t xml:space="preserve">and </w:t>
      </w:r>
      <w:r w:rsidR="00D05C7D">
        <w:t>the current government is encouraging this</w:t>
      </w:r>
      <w:r w:rsidR="003979A0">
        <w:t xml:space="preserve">, </w:t>
      </w:r>
      <w:r w:rsidR="005015F2">
        <w:t xml:space="preserve">whilst at the same time </w:t>
      </w:r>
      <w:r w:rsidR="00D05C7D">
        <w:t xml:space="preserve">wanting to ensure that local clinicians and their patients have </w:t>
      </w:r>
      <w:r w:rsidR="005015F2">
        <w:t>primacy in the decision making</w:t>
      </w:r>
      <w:r w:rsidR="00D05C7D">
        <w:t xml:space="preserve">. That being so, </w:t>
      </w:r>
      <w:r w:rsidR="005015F2">
        <w:t xml:space="preserve">then, at the minimum, </w:t>
      </w:r>
      <w:r w:rsidRPr="00532A48">
        <w:t xml:space="preserve">knowledge exchange strategies need to be enshrined explicitly in </w:t>
      </w:r>
      <w:r w:rsidR="00D05C7D">
        <w:t>such</w:t>
      </w:r>
      <w:r w:rsidR="00D05C7D" w:rsidRPr="00532A48">
        <w:t xml:space="preserve"> </w:t>
      </w:r>
      <w:r w:rsidRPr="00532A48">
        <w:t>contract</w:t>
      </w:r>
      <w:r w:rsidR="005015F2">
        <w:t xml:space="preserve">s in order </w:t>
      </w:r>
      <w:r w:rsidR="00D64E83" w:rsidRPr="00D64E83">
        <w:t xml:space="preserve"> </w:t>
      </w:r>
      <w:r w:rsidR="00D64E83">
        <w:t>t</w:t>
      </w:r>
      <w:r w:rsidR="00D64E83" w:rsidRPr="00532A48">
        <w:t xml:space="preserve">o </w:t>
      </w:r>
      <w:r w:rsidR="00D05C7D">
        <w:t>optimise</w:t>
      </w:r>
      <w:r w:rsidR="00D64E83" w:rsidRPr="00532A48">
        <w:t xml:space="preserve"> commissioning</w:t>
      </w:r>
      <w:r w:rsidR="00D05C7D">
        <w:t xml:space="preserve"> by</w:t>
      </w:r>
      <w:r w:rsidR="00D64E83">
        <w:t xml:space="preserve"> </w:t>
      </w:r>
      <w:r w:rsidRPr="00532A48">
        <w:t>develop</w:t>
      </w:r>
      <w:r w:rsidR="00D64E83">
        <w:t>ing</w:t>
      </w:r>
      <w:r w:rsidRPr="00532A48">
        <w:t xml:space="preserve"> and enhanc</w:t>
      </w:r>
      <w:r w:rsidR="00D64E83">
        <w:t>ing</w:t>
      </w:r>
      <w:r w:rsidRPr="00532A48">
        <w:t xml:space="preserve"> local skills. Both NHS clients and external providers have an obligation to NHS patients to ensure that </w:t>
      </w:r>
      <w:r w:rsidR="000A7355">
        <w:t xml:space="preserve">the </w:t>
      </w:r>
      <w:r w:rsidRPr="00532A48">
        <w:t>potential</w:t>
      </w:r>
      <w:r w:rsidR="000A7355">
        <w:t xml:space="preserve"> for </w:t>
      </w:r>
      <w:r w:rsidRPr="00532A48">
        <w:t>knowledge exchange is fully exploited.</w:t>
      </w:r>
    </w:p>
    <w:p w:rsidR="00532A48" w:rsidRDefault="00532A48" w:rsidP="00141514">
      <w:pPr>
        <w:spacing w:line="480" w:lineRule="auto"/>
      </w:pPr>
    </w:p>
    <w:p w:rsidR="00A91A22" w:rsidRDefault="00A91A22" w:rsidP="00D23537">
      <w:pPr>
        <w:spacing w:line="480" w:lineRule="auto"/>
        <w:rPr>
          <w:b/>
        </w:rPr>
      </w:pPr>
      <w:r>
        <w:rPr>
          <w:b/>
        </w:rPr>
        <w:t>ACKNOWLEDGEMENTS</w:t>
      </w:r>
    </w:p>
    <w:p w:rsidR="00A91A22" w:rsidRDefault="00364AB0" w:rsidP="00D23537">
      <w:pPr>
        <w:spacing w:line="480" w:lineRule="auto"/>
      </w:pPr>
      <w:r>
        <w:t xml:space="preserve">Thanks to all those who took part in this study. Thanks also to Maya </w:t>
      </w:r>
      <w:proofErr w:type="spellStart"/>
      <w:r>
        <w:t>Bimson</w:t>
      </w:r>
      <w:proofErr w:type="spellEnd"/>
      <w:r w:rsidR="00640D5D">
        <w:t xml:space="preserve">, Michael Bainbridge, Tim Wye, Jude Carey, </w:t>
      </w:r>
      <w:proofErr w:type="spellStart"/>
      <w:r w:rsidR="00640D5D">
        <w:t>Adwoa</w:t>
      </w:r>
      <w:proofErr w:type="spellEnd"/>
      <w:r w:rsidR="00640D5D">
        <w:t xml:space="preserve"> Webber, Neil Riley</w:t>
      </w:r>
      <w:r>
        <w:t xml:space="preserve"> and William House for commissioning input and </w:t>
      </w:r>
      <w:proofErr w:type="spellStart"/>
      <w:r>
        <w:t>Andr</w:t>
      </w:r>
      <w:r>
        <w:rPr>
          <w:rFonts w:cs="Arial"/>
        </w:rPr>
        <w:t>é</w:t>
      </w:r>
      <w:r>
        <w:t>e</w:t>
      </w:r>
      <w:proofErr w:type="spellEnd"/>
      <w:r>
        <w:t xml:space="preserve"> le May for </w:t>
      </w:r>
      <w:r w:rsidR="00911608">
        <w:t xml:space="preserve">conceptual </w:t>
      </w:r>
      <w:r>
        <w:t>assistance at the interpretative and final report writing stages.</w:t>
      </w:r>
    </w:p>
    <w:p w:rsidR="001371EC" w:rsidRDefault="001371EC" w:rsidP="003979A0">
      <w:pPr>
        <w:spacing w:line="480" w:lineRule="auto"/>
        <w:rPr>
          <w:b/>
        </w:rPr>
      </w:pPr>
    </w:p>
    <w:p w:rsidR="003979A0" w:rsidRPr="003979A0" w:rsidRDefault="003979A0" w:rsidP="003979A0">
      <w:pPr>
        <w:spacing w:line="480" w:lineRule="auto"/>
        <w:rPr>
          <w:b/>
        </w:rPr>
      </w:pPr>
      <w:r w:rsidRPr="003979A0">
        <w:rPr>
          <w:b/>
        </w:rPr>
        <w:t>AUTHOR’S CONTRIBUTIONS</w:t>
      </w:r>
    </w:p>
    <w:p w:rsidR="003979A0" w:rsidRPr="003979A0" w:rsidRDefault="003979A0" w:rsidP="003979A0">
      <w:pPr>
        <w:spacing w:line="480" w:lineRule="auto"/>
      </w:pPr>
      <w:r w:rsidRPr="003979A0">
        <w:lastRenderedPageBreak/>
        <w:t xml:space="preserve">LW conceived the study and was responsible for its overall direction. She contributed to research design, led on data collection and analysis in two sites and drafted this paper. </w:t>
      </w:r>
      <w:proofErr w:type="spellStart"/>
      <w:r w:rsidRPr="003979A0">
        <w:t>Emer</w:t>
      </w:r>
      <w:proofErr w:type="spellEnd"/>
      <w:r w:rsidRPr="003979A0">
        <w:t xml:space="preserve"> </w:t>
      </w:r>
      <w:proofErr w:type="spellStart"/>
      <w:r w:rsidRPr="003979A0">
        <w:t>Brangan</w:t>
      </w:r>
      <w:proofErr w:type="spellEnd"/>
      <w:r w:rsidRPr="003979A0">
        <w:t xml:space="preserve"> collected data across six sites, analysed data and commented on this draft paper. Ailsa Cameron, John </w:t>
      </w:r>
      <w:proofErr w:type="spellStart"/>
      <w:r w:rsidRPr="003979A0">
        <w:t>Gabbay</w:t>
      </w:r>
      <w:proofErr w:type="spellEnd"/>
      <w:r w:rsidRPr="003979A0">
        <w:t xml:space="preserve">, Jonathan Klein and Catherine Pope contributed to research design and data analysis and commented on drafts of this paper. Rachel </w:t>
      </w:r>
      <w:proofErr w:type="spellStart"/>
      <w:r w:rsidRPr="003979A0">
        <w:t>Anthwal</w:t>
      </w:r>
      <w:proofErr w:type="spellEnd"/>
      <w:r w:rsidRPr="003979A0">
        <w:t xml:space="preserve"> contributed to analysis, developed actionable messages for commissioners and commented on drafts of this paper.</w:t>
      </w:r>
    </w:p>
    <w:p w:rsidR="003979A0" w:rsidRDefault="003979A0" w:rsidP="003979A0">
      <w:pPr>
        <w:spacing w:line="480" w:lineRule="auto"/>
        <w:rPr>
          <w:b/>
        </w:rPr>
      </w:pPr>
    </w:p>
    <w:p w:rsidR="003979A0" w:rsidRDefault="003979A0" w:rsidP="003979A0">
      <w:pPr>
        <w:spacing w:line="480" w:lineRule="auto"/>
        <w:rPr>
          <w:b/>
        </w:rPr>
      </w:pPr>
      <w:r>
        <w:rPr>
          <w:b/>
        </w:rPr>
        <w:t>COMPETING INTERESTS</w:t>
      </w:r>
    </w:p>
    <w:p w:rsidR="003979A0" w:rsidRDefault="003979A0" w:rsidP="003979A0">
      <w:pPr>
        <w:spacing w:line="480" w:lineRule="auto"/>
      </w:pPr>
      <w:r>
        <w:t>The authors declare that we have no competing interests</w:t>
      </w:r>
    </w:p>
    <w:p w:rsidR="003979A0" w:rsidRDefault="003979A0" w:rsidP="00D23537">
      <w:pPr>
        <w:spacing w:line="480" w:lineRule="auto"/>
        <w:rPr>
          <w:b/>
        </w:rPr>
      </w:pPr>
    </w:p>
    <w:p w:rsidR="00A91A22" w:rsidRDefault="00A91A22" w:rsidP="00D23537">
      <w:pPr>
        <w:spacing w:line="480" w:lineRule="auto"/>
      </w:pPr>
      <w:r>
        <w:rPr>
          <w:b/>
        </w:rPr>
        <w:t>FUNDING</w:t>
      </w:r>
    </w:p>
    <w:p w:rsidR="00A91A22" w:rsidRDefault="00364AB0" w:rsidP="00D23537">
      <w:pPr>
        <w:spacing w:line="480" w:lineRule="auto"/>
      </w:pPr>
      <w:r>
        <w:t>This work was supported by the National Institute for Health Research HS&amp;DR programme grant number 09/1002/09.</w:t>
      </w:r>
      <w:r w:rsidR="00775D68">
        <w:t xml:space="preserve"> </w:t>
      </w:r>
      <w:r w:rsidR="00775D68" w:rsidRPr="00775D68">
        <w:t>The views and opinions expressed therein are those of the authors and do not necessarily reflect those of the [name programme], NIHR, NHS or the Department of Health.</w:t>
      </w:r>
    </w:p>
    <w:p w:rsidR="003979A0" w:rsidRDefault="003979A0" w:rsidP="00D23537">
      <w:pPr>
        <w:spacing w:line="480" w:lineRule="auto"/>
      </w:pPr>
    </w:p>
    <w:p w:rsidR="003979A0" w:rsidRDefault="003979A0" w:rsidP="00D23537">
      <w:pPr>
        <w:spacing w:line="480" w:lineRule="auto"/>
        <w:rPr>
          <w:b/>
        </w:rPr>
      </w:pPr>
      <w:r>
        <w:rPr>
          <w:b/>
        </w:rPr>
        <w:t>DATA SHARING</w:t>
      </w:r>
    </w:p>
    <w:p w:rsidR="00364AB0" w:rsidRDefault="003979A0" w:rsidP="00D23537">
      <w:pPr>
        <w:spacing w:line="480" w:lineRule="auto"/>
      </w:pPr>
      <w:r>
        <w:t>No additional data available.</w:t>
      </w:r>
      <w:r w:rsidR="00364AB0">
        <w:br w:type="page"/>
      </w:r>
    </w:p>
    <w:p w:rsidR="00364AB0" w:rsidRPr="00364AB0" w:rsidRDefault="00364AB0" w:rsidP="00D23537">
      <w:pPr>
        <w:spacing w:line="480" w:lineRule="auto"/>
      </w:pPr>
    </w:p>
    <w:p w:rsidR="00A91A22" w:rsidRDefault="00A91A22" w:rsidP="00D23537">
      <w:pPr>
        <w:spacing w:line="480" w:lineRule="auto"/>
      </w:pPr>
    </w:p>
    <w:p w:rsidR="00A91A22" w:rsidRPr="00A91A22" w:rsidRDefault="00A91A22" w:rsidP="00D23537">
      <w:pPr>
        <w:spacing w:line="480" w:lineRule="auto"/>
      </w:pPr>
      <w:r>
        <w:rPr>
          <w:b/>
        </w:rPr>
        <w:t>REFERENCES</w:t>
      </w:r>
    </w:p>
    <w:p w:rsidR="00ED61F8" w:rsidRPr="00ED61F8" w:rsidRDefault="007B14C3" w:rsidP="00ED61F8">
      <w:pPr>
        <w:pStyle w:val="EndNoteBibliography"/>
        <w:spacing w:after="0"/>
        <w:ind w:left="720" w:hanging="720"/>
      </w:pPr>
      <w:r>
        <w:fldChar w:fldCharType="begin"/>
      </w:r>
      <w:r w:rsidRPr="003979A0">
        <w:instrText xml:space="preserve"> ADDIN EN.REFLIST </w:instrText>
      </w:r>
      <w:r>
        <w:fldChar w:fldCharType="separate"/>
      </w:r>
      <w:bookmarkStart w:id="2" w:name="_ENREF_1"/>
      <w:r w:rsidR="00ED61F8" w:rsidRPr="00ED61F8">
        <w:t>1. Newman M, Bangpan M, Kalra N, et al. Commissioning in health, education and social care Models, research bibliography and in-depth review of joint commissioning between health and social care agencies. London: EPPI Centre Institute of Education University of London, 2012.</w:t>
      </w:r>
      <w:bookmarkEnd w:id="2"/>
    </w:p>
    <w:p w:rsidR="00ED61F8" w:rsidRPr="00ED61F8" w:rsidRDefault="00ED61F8" w:rsidP="00ED61F8">
      <w:pPr>
        <w:pStyle w:val="EndNoteBibliography"/>
        <w:spacing w:after="0"/>
        <w:ind w:left="720" w:hanging="720"/>
      </w:pPr>
      <w:bookmarkStart w:id="3" w:name="_ENREF_2"/>
      <w:r w:rsidRPr="00ED61F8">
        <w:t xml:space="preserve">2. Ovretveit J. </w:t>
      </w:r>
      <w:r w:rsidRPr="00ED61F8">
        <w:rPr>
          <w:i/>
        </w:rPr>
        <w:t>Purchasing for health: A multi-disciplinary introduction to the theory and practice of commissioning</w:t>
      </w:r>
      <w:r w:rsidRPr="00ED61F8">
        <w:t>. Buckingham: Open University Press, 1995.</w:t>
      </w:r>
      <w:bookmarkEnd w:id="3"/>
    </w:p>
    <w:p w:rsidR="00ED61F8" w:rsidRPr="00ED61F8" w:rsidRDefault="00ED61F8" w:rsidP="00ED61F8">
      <w:pPr>
        <w:pStyle w:val="EndNoteBibliography"/>
        <w:spacing w:after="0"/>
        <w:ind w:left="720" w:hanging="720"/>
      </w:pPr>
      <w:bookmarkStart w:id="4" w:name="_ENREF_3"/>
      <w:r w:rsidRPr="00ED61F8">
        <w:t>3. Department of health. Health Reform in England: update and commissioning framework, 2006.</w:t>
      </w:r>
      <w:bookmarkEnd w:id="4"/>
    </w:p>
    <w:p w:rsidR="00ED61F8" w:rsidRPr="00ED61F8" w:rsidRDefault="00ED61F8" w:rsidP="00ED61F8">
      <w:pPr>
        <w:pStyle w:val="EndNoteBibliography"/>
        <w:spacing w:after="0"/>
        <w:ind w:left="720" w:hanging="720"/>
      </w:pPr>
      <w:bookmarkStart w:id="5" w:name="_ENREF_4"/>
      <w:r w:rsidRPr="00ED61F8">
        <w:t>4. Checkland K, Snow S, McDermott I, et al. Management practice in primary care organisations: the roles and behaviours of middle managers and GPs: Final report: NIHR Service Delivery and Organisation Programme, 2011.</w:t>
      </w:r>
      <w:bookmarkEnd w:id="5"/>
    </w:p>
    <w:p w:rsidR="00ED61F8" w:rsidRPr="00ED61F8" w:rsidRDefault="00ED61F8" w:rsidP="00ED61F8">
      <w:pPr>
        <w:pStyle w:val="EndNoteBibliography"/>
        <w:spacing w:after="0"/>
        <w:ind w:left="720" w:hanging="720"/>
      </w:pPr>
      <w:bookmarkStart w:id="6" w:name="_ENREF_5"/>
      <w:r w:rsidRPr="00ED61F8">
        <w:t>5. Smith J, Shaw S, Porter A, et al. Commissioning high quality care for people with long term conditions: An action research study: NIHR Service Delivery and Organisation Programme, 2013.</w:t>
      </w:r>
      <w:bookmarkEnd w:id="6"/>
    </w:p>
    <w:p w:rsidR="00ED61F8" w:rsidRPr="00ED61F8" w:rsidRDefault="00ED61F8" w:rsidP="00ED61F8">
      <w:pPr>
        <w:pStyle w:val="EndNoteBibliography"/>
        <w:spacing w:after="0"/>
        <w:ind w:left="720" w:hanging="720"/>
      </w:pPr>
      <w:bookmarkStart w:id="7" w:name="_ENREF_6"/>
      <w:r w:rsidRPr="00ED61F8">
        <w:t>6. Ham C. World class commissioning: a health policy chimera? Journal of Health Services Research &amp; Policy 2008;</w:t>
      </w:r>
      <w:r w:rsidRPr="00ED61F8">
        <w:rPr>
          <w:b/>
        </w:rPr>
        <w:t>13</w:t>
      </w:r>
      <w:r w:rsidRPr="00ED61F8">
        <w:t>(2):116-21.</w:t>
      </w:r>
      <w:bookmarkEnd w:id="7"/>
    </w:p>
    <w:p w:rsidR="00ED61F8" w:rsidRPr="00ED61F8" w:rsidRDefault="00ED61F8" w:rsidP="00ED61F8">
      <w:pPr>
        <w:pStyle w:val="EndNoteBibliography"/>
        <w:spacing w:after="0"/>
        <w:ind w:left="720" w:hanging="720"/>
      </w:pPr>
      <w:bookmarkStart w:id="8" w:name="_ENREF_7"/>
      <w:r w:rsidRPr="00ED61F8">
        <w:t>7. Department of Health. World Class Commissioning. London: Department of Health, 2007.</w:t>
      </w:r>
      <w:bookmarkEnd w:id="8"/>
    </w:p>
    <w:p w:rsidR="00ED61F8" w:rsidRPr="00ED61F8" w:rsidRDefault="00ED61F8" w:rsidP="00ED61F8">
      <w:pPr>
        <w:pStyle w:val="EndNoteBibliography"/>
        <w:spacing w:after="0"/>
        <w:ind w:left="720" w:hanging="720"/>
      </w:pPr>
      <w:bookmarkStart w:id="9" w:name="_ENREF_8"/>
      <w:r w:rsidRPr="00ED61F8">
        <w:t>8. Mooney H. HSJ commissioning supplement: an in-depth look at FESC. Health Service Journal 2007.</w:t>
      </w:r>
      <w:bookmarkEnd w:id="9"/>
    </w:p>
    <w:p w:rsidR="00ED61F8" w:rsidRPr="00ED61F8" w:rsidRDefault="00ED61F8" w:rsidP="00ED61F8">
      <w:pPr>
        <w:pStyle w:val="EndNoteBibliography"/>
        <w:spacing w:after="0"/>
        <w:ind w:left="720" w:hanging="720"/>
      </w:pPr>
      <w:bookmarkStart w:id="10" w:name="_ENREF_9"/>
      <w:r w:rsidRPr="00ED61F8">
        <w:t>9. Welikala J. Private firms and local authorities in running to provide commissioning support. Health Service Journal 6 August 2014.</w:t>
      </w:r>
      <w:bookmarkEnd w:id="10"/>
    </w:p>
    <w:p w:rsidR="00ED61F8" w:rsidRPr="00ED61F8" w:rsidRDefault="00ED61F8" w:rsidP="00ED61F8">
      <w:pPr>
        <w:pStyle w:val="EndNoteBibliography"/>
        <w:spacing w:after="0"/>
        <w:ind w:left="720" w:hanging="720"/>
      </w:pPr>
      <w:bookmarkStart w:id="11" w:name="_ENREF_10"/>
      <w:r w:rsidRPr="00ED61F8">
        <w:t xml:space="preserve">10. NHS England. Lead provider framework. Secondary Lead provider framework  2014. </w:t>
      </w:r>
      <w:hyperlink r:id="rId7" w:history="1">
        <w:r w:rsidRPr="00ED61F8">
          <w:rPr>
            <w:rStyle w:val="Hyperlink"/>
          </w:rPr>
          <w:t>http://www.england.nhs.uk/ourwork/commissioning/comm-supp/ld-prov-frwrk/</w:t>
        </w:r>
      </w:hyperlink>
      <w:r w:rsidRPr="00ED61F8">
        <w:t>.</w:t>
      </w:r>
      <w:bookmarkEnd w:id="11"/>
    </w:p>
    <w:p w:rsidR="00ED61F8" w:rsidRPr="00ED61F8" w:rsidRDefault="00ED61F8" w:rsidP="00ED61F8">
      <w:pPr>
        <w:pStyle w:val="EndNoteBibliography"/>
        <w:spacing w:after="0"/>
        <w:ind w:left="720" w:hanging="720"/>
      </w:pPr>
      <w:bookmarkStart w:id="12" w:name="_ENREF_11"/>
      <w:r w:rsidRPr="00ED61F8">
        <w:t>11. House of Commons Select Committee. The use of management consultants by the NHS and the Department of Health: Fifth report of the 2008-2009 session. . London: The Stationery Office, 2009.</w:t>
      </w:r>
      <w:bookmarkEnd w:id="12"/>
    </w:p>
    <w:p w:rsidR="00ED61F8" w:rsidRPr="00ED61F8" w:rsidRDefault="00ED61F8" w:rsidP="00ED61F8">
      <w:pPr>
        <w:pStyle w:val="EndNoteBibliography"/>
        <w:spacing w:after="0"/>
        <w:ind w:left="720" w:hanging="720"/>
      </w:pPr>
      <w:bookmarkStart w:id="13" w:name="_ENREF_12"/>
      <w:r w:rsidRPr="00ED61F8">
        <w:t>12. Department of Health. Liberating the NHS. London: Department of Health, 2010.</w:t>
      </w:r>
      <w:bookmarkEnd w:id="13"/>
    </w:p>
    <w:p w:rsidR="00ED61F8" w:rsidRPr="00ED61F8" w:rsidRDefault="00ED61F8" w:rsidP="00ED61F8">
      <w:pPr>
        <w:pStyle w:val="EndNoteBibliography"/>
        <w:spacing w:after="0"/>
        <w:ind w:left="720" w:hanging="720"/>
      </w:pPr>
      <w:bookmarkStart w:id="14" w:name="_ENREF_13"/>
      <w:r w:rsidRPr="00ED61F8">
        <w:t>13. Langsley A. Andrew Lansley: competition is critical for NHS reform. Health Service Journal 13 February 2012.</w:t>
      </w:r>
      <w:bookmarkEnd w:id="14"/>
    </w:p>
    <w:p w:rsidR="00ED61F8" w:rsidRPr="00ED61F8" w:rsidRDefault="00ED61F8" w:rsidP="00ED61F8">
      <w:pPr>
        <w:pStyle w:val="EndNoteBibliography"/>
        <w:spacing w:after="0"/>
        <w:ind w:left="720" w:hanging="720"/>
      </w:pPr>
      <w:bookmarkStart w:id="15" w:name="_ENREF_14"/>
      <w:r w:rsidRPr="00ED61F8">
        <w:t>14. Dickinson H, S S, Glasby J, et al. The limits of market-based reforms. BMC Health Services Research 2012;</w:t>
      </w:r>
      <w:r w:rsidRPr="00ED61F8">
        <w:rPr>
          <w:b/>
        </w:rPr>
        <w:t>13 (supp 1)</w:t>
      </w:r>
      <w:r w:rsidRPr="00ED61F8">
        <w:t>.</w:t>
      </w:r>
      <w:bookmarkEnd w:id="15"/>
    </w:p>
    <w:p w:rsidR="00ED61F8" w:rsidRPr="00ED61F8" w:rsidRDefault="00ED61F8" w:rsidP="00ED61F8">
      <w:pPr>
        <w:pStyle w:val="EndNoteBibliography"/>
        <w:spacing w:after="0"/>
        <w:ind w:left="720" w:hanging="720"/>
      </w:pPr>
      <w:bookmarkStart w:id="16" w:name="_ENREF_15"/>
      <w:r w:rsidRPr="00ED61F8">
        <w:t>15. Charlesworth A, Kelly E. Competition in UK health care: reflections from an expert workshop. London: Nuffield Trust, 2013.</w:t>
      </w:r>
      <w:bookmarkEnd w:id="16"/>
    </w:p>
    <w:p w:rsidR="00ED61F8" w:rsidRPr="00ED61F8" w:rsidRDefault="00ED61F8" w:rsidP="00ED61F8">
      <w:pPr>
        <w:pStyle w:val="EndNoteBibliography"/>
        <w:spacing w:after="0"/>
        <w:ind w:left="720" w:hanging="720"/>
      </w:pPr>
      <w:bookmarkStart w:id="17" w:name="_ENREF_16"/>
      <w:r w:rsidRPr="00ED61F8">
        <w:t>16. Holder H. Role of the voluntary sector in providing commissioning support London: Nuffield Trust, 2013.</w:t>
      </w:r>
      <w:bookmarkEnd w:id="17"/>
    </w:p>
    <w:p w:rsidR="00ED61F8" w:rsidRPr="00ED61F8" w:rsidRDefault="00ED61F8" w:rsidP="00ED61F8">
      <w:pPr>
        <w:pStyle w:val="EndNoteBibliography"/>
        <w:spacing w:after="0"/>
        <w:ind w:left="720" w:hanging="720"/>
      </w:pPr>
      <w:bookmarkStart w:id="18" w:name="_ENREF_17"/>
      <w:r w:rsidRPr="00ED61F8">
        <w:t>17. Chambers N, Sheaff R, Mahon A, et al. The practice of commissioning healthcare from a private provider: learning from an in-depth case study. BMC Health Services Research 2013;</w:t>
      </w:r>
      <w:r w:rsidRPr="00ED61F8">
        <w:rPr>
          <w:b/>
        </w:rPr>
        <w:t>13 (suppl 1):S4</w:t>
      </w:r>
      <w:r w:rsidRPr="00ED61F8">
        <w:t>:54.</w:t>
      </w:r>
      <w:bookmarkEnd w:id="18"/>
    </w:p>
    <w:p w:rsidR="00ED61F8" w:rsidRPr="00ED61F8" w:rsidRDefault="00ED61F8" w:rsidP="00ED61F8">
      <w:pPr>
        <w:pStyle w:val="EndNoteBibliography"/>
        <w:spacing w:after="0"/>
        <w:ind w:left="720" w:hanging="720"/>
      </w:pPr>
      <w:bookmarkStart w:id="19" w:name="_ENREF_18"/>
      <w:r w:rsidRPr="00ED61F8">
        <w:lastRenderedPageBreak/>
        <w:t>18. Naylor C, Goodwin N. The use of external consultants by NHS commissioners in England: what lessons can be drawn for GPcommissioning? Journal of Health Services Research and Policy 2011;</w:t>
      </w:r>
      <w:r w:rsidRPr="00ED61F8">
        <w:rPr>
          <w:b/>
        </w:rPr>
        <w:t>16</w:t>
      </w:r>
      <w:r w:rsidRPr="00ED61F8">
        <w:t>:153.</w:t>
      </w:r>
      <w:bookmarkEnd w:id="19"/>
    </w:p>
    <w:p w:rsidR="00ED61F8" w:rsidRPr="00ED61F8" w:rsidRDefault="00ED61F8" w:rsidP="00ED61F8">
      <w:pPr>
        <w:pStyle w:val="EndNoteBibliography"/>
        <w:spacing w:after="0"/>
        <w:ind w:left="720" w:hanging="720"/>
      </w:pPr>
      <w:bookmarkStart w:id="20" w:name="_ENREF_19"/>
      <w:r w:rsidRPr="00ED61F8">
        <w:t>19. Contandriopoulos D, Lemire M, Denis JL, et al. Knowledge Exchange Processes in Organizations and Policy Arenas: A Narrative Systematic Review of the Literature. Millbank Quarterly 2010;</w:t>
      </w:r>
      <w:r w:rsidRPr="00ED61F8">
        <w:rPr>
          <w:b/>
        </w:rPr>
        <w:t>88</w:t>
      </w:r>
      <w:r w:rsidRPr="00ED61F8">
        <w:t>(4):444-83.</w:t>
      </w:r>
      <w:bookmarkEnd w:id="20"/>
    </w:p>
    <w:p w:rsidR="00ED61F8" w:rsidRPr="00ED61F8" w:rsidRDefault="00ED61F8" w:rsidP="00ED61F8">
      <w:pPr>
        <w:pStyle w:val="EndNoteBibliography"/>
        <w:spacing w:after="0"/>
        <w:ind w:left="720" w:hanging="720"/>
      </w:pPr>
      <w:bookmarkStart w:id="21" w:name="_ENREF_20"/>
      <w:r w:rsidRPr="00ED61F8">
        <w:t xml:space="preserve">20. Yin R. </w:t>
      </w:r>
      <w:r w:rsidRPr="00ED61F8">
        <w:rPr>
          <w:i/>
        </w:rPr>
        <w:t>Case Study Research</w:t>
      </w:r>
      <w:r w:rsidRPr="00ED61F8">
        <w:t>. 3rd edition ed. London: Sage, 2002.</w:t>
      </w:r>
      <w:bookmarkEnd w:id="21"/>
    </w:p>
    <w:p w:rsidR="00ED61F8" w:rsidRPr="00ED61F8" w:rsidRDefault="00ED61F8" w:rsidP="00ED61F8">
      <w:pPr>
        <w:pStyle w:val="EndNoteBibliography"/>
        <w:spacing w:after="0"/>
        <w:ind w:left="720" w:hanging="720"/>
      </w:pPr>
      <w:bookmarkStart w:id="22" w:name="_ENREF_21"/>
      <w:r w:rsidRPr="00ED61F8">
        <w:t xml:space="preserve">21. Hammersley M, Atkinson P. </w:t>
      </w:r>
      <w:r w:rsidRPr="00ED61F8">
        <w:rPr>
          <w:i/>
        </w:rPr>
        <w:t>Ethnography: Principles and Practice</w:t>
      </w:r>
      <w:r w:rsidRPr="00ED61F8">
        <w:t>. London: Routledge, 1995.</w:t>
      </w:r>
      <w:bookmarkEnd w:id="22"/>
    </w:p>
    <w:p w:rsidR="00ED61F8" w:rsidRPr="00ED61F8" w:rsidRDefault="00ED61F8" w:rsidP="00ED61F8">
      <w:pPr>
        <w:pStyle w:val="EndNoteBibliography"/>
        <w:spacing w:after="0"/>
        <w:ind w:left="720" w:hanging="720"/>
      </w:pPr>
      <w:bookmarkStart w:id="23" w:name="_ENREF_22"/>
      <w:r w:rsidRPr="00ED61F8">
        <w:t>22. Fereday J, Muir-Cochrane E. Demonstrating Rigor Using Thematic Analysis: A Hybrid Approach of Inductive and Deductive Coding and Theme Development. . International Journal of Qualitative Methods 2006;</w:t>
      </w:r>
      <w:r w:rsidRPr="00ED61F8">
        <w:rPr>
          <w:b/>
        </w:rPr>
        <w:t>5(1)</w:t>
      </w:r>
      <w:r w:rsidRPr="00ED61F8">
        <w:t>(83).</w:t>
      </w:r>
      <w:bookmarkEnd w:id="23"/>
    </w:p>
    <w:p w:rsidR="00ED61F8" w:rsidRPr="00ED61F8" w:rsidRDefault="00ED61F8" w:rsidP="00ED61F8">
      <w:pPr>
        <w:pStyle w:val="EndNoteBibliography"/>
        <w:spacing w:after="0"/>
        <w:ind w:left="720" w:hanging="720"/>
      </w:pPr>
      <w:bookmarkStart w:id="24" w:name="_ENREF_23"/>
      <w:r w:rsidRPr="00ED61F8">
        <w:t xml:space="preserve">23. Patton M. </w:t>
      </w:r>
      <w:r w:rsidRPr="00ED61F8">
        <w:rPr>
          <w:i/>
        </w:rPr>
        <w:t>Qualitative Research and Evaluation Methods</w:t>
      </w:r>
      <w:r w:rsidRPr="00ED61F8">
        <w:t>. London: Sage, 2002.</w:t>
      </w:r>
      <w:bookmarkEnd w:id="24"/>
    </w:p>
    <w:p w:rsidR="00ED61F8" w:rsidRPr="00ED61F8" w:rsidRDefault="00ED61F8" w:rsidP="00ED61F8">
      <w:pPr>
        <w:pStyle w:val="EndNoteBibliography"/>
        <w:spacing w:after="0"/>
        <w:ind w:left="720" w:hanging="720"/>
      </w:pPr>
      <w:bookmarkStart w:id="25" w:name="_ENREF_24"/>
      <w:r w:rsidRPr="00ED61F8">
        <w:t xml:space="preserve">24. Brown J, Duguid P. </w:t>
      </w:r>
      <w:r w:rsidRPr="00ED61F8">
        <w:rPr>
          <w:i/>
        </w:rPr>
        <w:t xml:space="preserve">The social life of information  </w:t>
      </w:r>
      <w:r w:rsidRPr="00ED61F8">
        <w:t>Boston Mass USA: Harvard Business School Press, 2000.</w:t>
      </w:r>
      <w:bookmarkEnd w:id="25"/>
    </w:p>
    <w:p w:rsidR="00ED61F8" w:rsidRPr="00ED61F8" w:rsidRDefault="00ED61F8" w:rsidP="00ED61F8">
      <w:pPr>
        <w:pStyle w:val="EndNoteBibliography"/>
        <w:spacing w:after="0"/>
        <w:ind w:left="720" w:hanging="720"/>
      </w:pPr>
      <w:bookmarkStart w:id="26" w:name="_ENREF_25"/>
      <w:r w:rsidRPr="00ED61F8">
        <w:t xml:space="preserve">25. Wenger E. </w:t>
      </w:r>
      <w:r w:rsidRPr="00ED61F8">
        <w:rPr>
          <w:i/>
        </w:rPr>
        <w:t>Communities of practice: leaning, meaning and identity</w:t>
      </w:r>
      <w:r w:rsidRPr="00ED61F8">
        <w:t>. New York: Cambridge University Press, 1998.</w:t>
      </w:r>
      <w:bookmarkEnd w:id="26"/>
    </w:p>
    <w:p w:rsidR="00ED61F8" w:rsidRPr="00ED61F8" w:rsidRDefault="00ED61F8" w:rsidP="00ED61F8">
      <w:pPr>
        <w:pStyle w:val="EndNoteBibliography"/>
        <w:spacing w:after="0"/>
        <w:ind w:left="720" w:hanging="720"/>
      </w:pPr>
      <w:bookmarkStart w:id="27" w:name="_ENREF_26"/>
      <w:r w:rsidRPr="00ED61F8">
        <w:t xml:space="preserve">26. Gabbay J, le May A. </w:t>
      </w:r>
      <w:r w:rsidRPr="00ED61F8">
        <w:rPr>
          <w:i/>
        </w:rPr>
        <w:t>Practice-Based Evidence for Healthcare</w:t>
      </w:r>
      <w:r w:rsidRPr="00ED61F8">
        <w:t>. Oxford: Routledge, 2011.</w:t>
      </w:r>
      <w:bookmarkEnd w:id="27"/>
    </w:p>
    <w:p w:rsidR="00ED61F8" w:rsidRPr="00ED61F8" w:rsidRDefault="00ED61F8" w:rsidP="00ED61F8">
      <w:pPr>
        <w:pStyle w:val="EndNoteBibliography"/>
        <w:spacing w:after="0"/>
        <w:ind w:left="720" w:hanging="720"/>
      </w:pPr>
      <w:bookmarkStart w:id="28" w:name="_ENREF_27"/>
      <w:r w:rsidRPr="00ED61F8">
        <w:t xml:space="preserve">27. Weick K. </w:t>
      </w:r>
      <w:r w:rsidRPr="00ED61F8">
        <w:rPr>
          <w:i/>
        </w:rPr>
        <w:t>Making sense of the organisation</w:t>
      </w:r>
      <w:r w:rsidRPr="00ED61F8">
        <w:t>. Oxford: Blackwell Business, 2001.</w:t>
      </w:r>
      <w:bookmarkEnd w:id="28"/>
    </w:p>
    <w:p w:rsidR="00ED61F8" w:rsidRPr="00ED61F8" w:rsidRDefault="00ED61F8" w:rsidP="00ED61F8">
      <w:pPr>
        <w:pStyle w:val="EndNoteBibliography"/>
        <w:spacing w:after="0"/>
        <w:ind w:left="720" w:hanging="720"/>
      </w:pPr>
      <w:bookmarkStart w:id="29" w:name="_ENREF_28"/>
      <w:r w:rsidRPr="00ED61F8">
        <w:t>28. Belbin RM.</w:t>
      </w:r>
      <w:r w:rsidRPr="00ED61F8">
        <w:rPr>
          <w:i/>
        </w:rPr>
        <w:t xml:space="preserve"> Management Teams: Why they succeed or fail</w:t>
      </w:r>
      <w:r w:rsidRPr="00ED61F8">
        <w:t>. Third ed. Oxford: Butterworth-Heinemann, 2010.</w:t>
      </w:r>
      <w:bookmarkEnd w:id="29"/>
    </w:p>
    <w:p w:rsidR="00ED61F8" w:rsidRPr="00ED61F8" w:rsidRDefault="00ED61F8" w:rsidP="00ED61F8">
      <w:pPr>
        <w:pStyle w:val="EndNoteBibliography"/>
        <w:spacing w:after="0"/>
        <w:ind w:left="720" w:hanging="720"/>
        <w:rPr>
          <w:b/>
        </w:rPr>
      </w:pPr>
      <w:bookmarkStart w:id="30" w:name="_ENREF_29"/>
      <w:r w:rsidRPr="00ED61F8">
        <w:t>29. Petsoulas C, Allen P, Checkland K, et al. Views of NHS commissioners on commissioning support provision. Evidence from a qualitative study examining the early development of clinical commissioning groups in England. BMJ Open 2014;</w:t>
      </w:r>
      <w:r w:rsidRPr="00ED61F8">
        <w:rPr>
          <w:b/>
        </w:rPr>
        <w:t xml:space="preserve">4:e005970., eScholarID:237405 </w:t>
      </w:r>
      <w:bookmarkEnd w:id="30"/>
    </w:p>
    <w:p w:rsidR="00ED61F8" w:rsidRPr="00ED61F8" w:rsidRDefault="00ED61F8" w:rsidP="00ED61F8">
      <w:pPr>
        <w:pStyle w:val="EndNoteBibliography"/>
        <w:spacing w:after="0"/>
        <w:ind w:left="720" w:hanging="720"/>
      </w:pPr>
      <w:bookmarkStart w:id="31" w:name="_ENREF_30"/>
      <w:r w:rsidRPr="00ED61F8">
        <w:t>30. Appelbaum S, Steed J. The critical success factors in the client-consulting relationship. Journal of Management Development 2005;</w:t>
      </w:r>
      <w:r w:rsidRPr="00ED61F8">
        <w:rPr>
          <w:b/>
        </w:rPr>
        <w:t>24</w:t>
      </w:r>
      <w:r w:rsidRPr="00ED61F8">
        <w:t>(1):68-93.</w:t>
      </w:r>
      <w:bookmarkEnd w:id="31"/>
    </w:p>
    <w:p w:rsidR="00ED61F8" w:rsidRPr="00ED61F8" w:rsidRDefault="00ED61F8" w:rsidP="00ED61F8">
      <w:pPr>
        <w:pStyle w:val="EndNoteBibliography"/>
        <w:spacing w:after="0"/>
        <w:ind w:left="720" w:hanging="720"/>
      </w:pPr>
      <w:bookmarkStart w:id="32" w:name="_ENREF_31"/>
      <w:r w:rsidRPr="00ED61F8">
        <w:t>31. MacLachline R. Factors for consulting engagment success. Management Decision 1999;</w:t>
      </w:r>
      <w:r w:rsidRPr="00ED61F8">
        <w:rPr>
          <w:b/>
        </w:rPr>
        <w:t>37</w:t>
      </w:r>
      <w:r w:rsidRPr="00ED61F8">
        <w:t>(5):394-402.</w:t>
      </w:r>
      <w:bookmarkEnd w:id="32"/>
    </w:p>
    <w:p w:rsidR="00ED61F8" w:rsidRPr="00ED61F8" w:rsidRDefault="00ED61F8" w:rsidP="00ED61F8">
      <w:pPr>
        <w:pStyle w:val="EndNoteBibliography"/>
        <w:ind w:left="720" w:hanging="720"/>
      </w:pPr>
      <w:bookmarkStart w:id="33" w:name="_ENREF_32"/>
      <w:r w:rsidRPr="00ED61F8">
        <w:t xml:space="preserve">32. Nutley S, Walter I, Davies H. </w:t>
      </w:r>
      <w:r w:rsidRPr="00ED61F8">
        <w:rPr>
          <w:i/>
        </w:rPr>
        <w:t>Using Evidence: how research can inform public services.</w:t>
      </w:r>
      <w:r w:rsidRPr="00ED61F8">
        <w:t xml:space="preserve"> Bristol: The Policy Press, 2007.</w:t>
      </w:r>
      <w:bookmarkEnd w:id="33"/>
    </w:p>
    <w:p w:rsidR="00E43166" w:rsidRDefault="007B14C3" w:rsidP="00D23537">
      <w:pPr>
        <w:spacing w:line="480" w:lineRule="auto"/>
      </w:pPr>
      <w:r>
        <w:fldChar w:fldCharType="end"/>
      </w:r>
    </w:p>
    <w:sectPr w:rsidR="00E43166" w:rsidSect="00993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F81"/>
    <w:multiLevelType w:val="multilevel"/>
    <w:tmpl w:val="2AC6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02F1C"/>
    <w:multiLevelType w:val="hybridMultilevel"/>
    <w:tmpl w:val="03CCE0E8"/>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2">
    <w:nsid w:val="1FDB5BA7"/>
    <w:multiLevelType w:val="hybridMultilevel"/>
    <w:tmpl w:val="CEBE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17A71"/>
    <w:multiLevelType w:val="hybridMultilevel"/>
    <w:tmpl w:val="40CC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6E7E80"/>
    <w:multiLevelType w:val="multilevel"/>
    <w:tmpl w:val="6B422C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A521384"/>
    <w:multiLevelType w:val="hybridMultilevel"/>
    <w:tmpl w:val="0638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41146"/>
    <w:multiLevelType w:val="hybridMultilevel"/>
    <w:tmpl w:val="15408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697D9E"/>
    <w:multiLevelType w:val="hybridMultilevel"/>
    <w:tmpl w:val="C17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132E0"/>
    <w:multiLevelType w:val="hybridMultilevel"/>
    <w:tmpl w:val="DE6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E13010"/>
    <w:multiLevelType w:val="hybridMultilevel"/>
    <w:tmpl w:val="7A4E6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C94D24"/>
    <w:multiLevelType w:val="multilevel"/>
    <w:tmpl w:val="569A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2"/>
  </w:num>
  <w:num w:numId="5">
    <w:abstractNumId w:val="1"/>
  </w:num>
  <w:num w:numId="6">
    <w:abstractNumId w:val="5"/>
  </w:num>
  <w:num w:numId="7">
    <w:abstractNumId w:val="4"/>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drx9tfh929f5edwpx5vwxqptr9twsart0z&quot;&gt;Lesley&amp;apos;s references converted&lt;record-ids&gt;&lt;item&gt;88&lt;/item&gt;&lt;item&gt;95&lt;/item&gt;&lt;item&gt;115&lt;/item&gt;&lt;item&gt;727&lt;/item&gt;&lt;item&gt;729&lt;/item&gt;&lt;item&gt;737&lt;/item&gt;&lt;item&gt;962&lt;/item&gt;&lt;item&gt;970&lt;/item&gt;&lt;item&gt;975&lt;/item&gt;&lt;item&gt;1017&lt;/item&gt;&lt;item&gt;1138&lt;/item&gt;&lt;item&gt;1243&lt;/item&gt;&lt;item&gt;1262&lt;/item&gt;&lt;item&gt;1266&lt;/item&gt;&lt;item&gt;1267&lt;/item&gt;&lt;item&gt;1279&lt;/item&gt;&lt;item&gt;1286&lt;/item&gt;&lt;item&gt;1295&lt;/item&gt;&lt;item&gt;1303&lt;/item&gt;&lt;item&gt;1305&lt;/item&gt;&lt;item&gt;1306&lt;/item&gt;&lt;item&gt;1308&lt;/item&gt;&lt;item&gt;1309&lt;/item&gt;&lt;item&gt;1310&lt;/item&gt;&lt;item&gt;1311&lt;/item&gt;&lt;item&gt;1313&lt;/item&gt;&lt;item&gt;1314&lt;/item&gt;&lt;item&gt;1315&lt;/item&gt;&lt;item&gt;1329&lt;/item&gt;&lt;item&gt;1330&lt;/item&gt;&lt;item&gt;1332&lt;/item&gt;&lt;item&gt;1333&lt;/item&gt;&lt;/record-ids&gt;&lt;/item&gt;&lt;/Libraries&gt;"/>
  </w:docVars>
  <w:rsids>
    <w:rsidRoot w:val="000730A2"/>
    <w:rsid w:val="000013D3"/>
    <w:rsid w:val="0000434D"/>
    <w:rsid w:val="00013B7C"/>
    <w:rsid w:val="00014BCB"/>
    <w:rsid w:val="00016929"/>
    <w:rsid w:val="00016DBE"/>
    <w:rsid w:val="00022708"/>
    <w:rsid w:val="0006564A"/>
    <w:rsid w:val="000678FB"/>
    <w:rsid w:val="000730A2"/>
    <w:rsid w:val="00076AC1"/>
    <w:rsid w:val="00080C48"/>
    <w:rsid w:val="000A13B0"/>
    <w:rsid w:val="000A7072"/>
    <w:rsid w:val="000A7355"/>
    <w:rsid w:val="000B02C1"/>
    <w:rsid w:val="000C2B9C"/>
    <w:rsid w:val="000D5E5E"/>
    <w:rsid w:val="000D7067"/>
    <w:rsid w:val="000F2BD7"/>
    <w:rsid w:val="000F5C0B"/>
    <w:rsid w:val="000F71DF"/>
    <w:rsid w:val="00111A2A"/>
    <w:rsid w:val="00113703"/>
    <w:rsid w:val="00115601"/>
    <w:rsid w:val="00124066"/>
    <w:rsid w:val="00127A8B"/>
    <w:rsid w:val="00131CCE"/>
    <w:rsid w:val="00132347"/>
    <w:rsid w:val="001371EC"/>
    <w:rsid w:val="00141514"/>
    <w:rsid w:val="00145337"/>
    <w:rsid w:val="00150CE5"/>
    <w:rsid w:val="00151F42"/>
    <w:rsid w:val="00153C16"/>
    <w:rsid w:val="00157691"/>
    <w:rsid w:val="00164692"/>
    <w:rsid w:val="001837BD"/>
    <w:rsid w:val="001844CD"/>
    <w:rsid w:val="00185812"/>
    <w:rsid w:val="00190C23"/>
    <w:rsid w:val="001A1956"/>
    <w:rsid w:val="001A71EB"/>
    <w:rsid w:val="001B139B"/>
    <w:rsid w:val="001B186A"/>
    <w:rsid w:val="001B1C92"/>
    <w:rsid w:val="001C0D84"/>
    <w:rsid w:val="001D3689"/>
    <w:rsid w:val="001D4B7D"/>
    <w:rsid w:val="001E1579"/>
    <w:rsid w:val="001E1BD9"/>
    <w:rsid w:val="00200F4E"/>
    <w:rsid w:val="002073CD"/>
    <w:rsid w:val="0022234B"/>
    <w:rsid w:val="00227E02"/>
    <w:rsid w:val="00232C5E"/>
    <w:rsid w:val="00245B18"/>
    <w:rsid w:val="00245FDF"/>
    <w:rsid w:val="00262335"/>
    <w:rsid w:val="00267AA5"/>
    <w:rsid w:val="002708A6"/>
    <w:rsid w:val="00273E5B"/>
    <w:rsid w:val="002822CB"/>
    <w:rsid w:val="00291236"/>
    <w:rsid w:val="002A79AE"/>
    <w:rsid w:val="002B63B9"/>
    <w:rsid w:val="002C311D"/>
    <w:rsid w:val="002C637B"/>
    <w:rsid w:val="002C6A78"/>
    <w:rsid w:val="002D7A70"/>
    <w:rsid w:val="002E441B"/>
    <w:rsid w:val="00301FC2"/>
    <w:rsid w:val="00302DB1"/>
    <w:rsid w:val="00302FCB"/>
    <w:rsid w:val="003216D4"/>
    <w:rsid w:val="00321B79"/>
    <w:rsid w:val="00336BDA"/>
    <w:rsid w:val="00343EE9"/>
    <w:rsid w:val="00345BAA"/>
    <w:rsid w:val="00364AB0"/>
    <w:rsid w:val="00364DA2"/>
    <w:rsid w:val="00365349"/>
    <w:rsid w:val="00365CE4"/>
    <w:rsid w:val="003734B3"/>
    <w:rsid w:val="0037633D"/>
    <w:rsid w:val="00394AFD"/>
    <w:rsid w:val="003979A0"/>
    <w:rsid w:val="003A4267"/>
    <w:rsid w:val="003B0DE4"/>
    <w:rsid w:val="003C7499"/>
    <w:rsid w:val="003D3576"/>
    <w:rsid w:val="003D6ED1"/>
    <w:rsid w:val="003E08CF"/>
    <w:rsid w:val="003E18C4"/>
    <w:rsid w:val="003E6C76"/>
    <w:rsid w:val="0040553E"/>
    <w:rsid w:val="00406360"/>
    <w:rsid w:val="0041157F"/>
    <w:rsid w:val="00412A6D"/>
    <w:rsid w:val="00421DE8"/>
    <w:rsid w:val="004305E3"/>
    <w:rsid w:val="0043388C"/>
    <w:rsid w:val="00442847"/>
    <w:rsid w:val="004440DF"/>
    <w:rsid w:val="00446EFD"/>
    <w:rsid w:val="0045625E"/>
    <w:rsid w:val="00456D23"/>
    <w:rsid w:val="00463709"/>
    <w:rsid w:val="004654B3"/>
    <w:rsid w:val="00477DDE"/>
    <w:rsid w:val="004843CB"/>
    <w:rsid w:val="004B3AFB"/>
    <w:rsid w:val="004B3E6B"/>
    <w:rsid w:val="004B4682"/>
    <w:rsid w:val="005015F2"/>
    <w:rsid w:val="00503C27"/>
    <w:rsid w:val="00512507"/>
    <w:rsid w:val="00512837"/>
    <w:rsid w:val="00512916"/>
    <w:rsid w:val="00512B5C"/>
    <w:rsid w:val="00532A48"/>
    <w:rsid w:val="00544585"/>
    <w:rsid w:val="00547CB8"/>
    <w:rsid w:val="0055629F"/>
    <w:rsid w:val="0057365E"/>
    <w:rsid w:val="005822E6"/>
    <w:rsid w:val="00584B65"/>
    <w:rsid w:val="0059151C"/>
    <w:rsid w:val="00595555"/>
    <w:rsid w:val="005C7C47"/>
    <w:rsid w:val="005D0790"/>
    <w:rsid w:val="005E409B"/>
    <w:rsid w:val="005E6C13"/>
    <w:rsid w:val="006000C7"/>
    <w:rsid w:val="0060407C"/>
    <w:rsid w:val="00604D8A"/>
    <w:rsid w:val="00615D14"/>
    <w:rsid w:val="00617A18"/>
    <w:rsid w:val="00617BDB"/>
    <w:rsid w:val="00625D2C"/>
    <w:rsid w:val="00640D5D"/>
    <w:rsid w:val="0065078D"/>
    <w:rsid w:val="006567A3"/>
    <w:rsid w:val="006600DC"/>
    <w:rsid w:val="00660ABC"/>
    <w:rsid w:val="00667B92"/>
    <w:rsid w:val="006934F2"/>
    <w:rsid w:val="006A03B5"/>
    <w:rsid w:val="006B7735"/>
    <w:rsid w:val="006C1EB6"/>
    <w:rsid w:val="006C203C"/>
    <w:rsid w:val="0070393F"/>
    <w:rsid w:val="007045F6"/>
    <w:rsid w:val="007060DB"/>
    <w:rsid w:val="0071691D"/>
    <w:rsid w:val="00717B10"/>
    <w:rsid w:val="0072140C"/>
    <w:rsid w:val="00727C5C"/>
    <w:rsid w:val="0073700D"/>
    <w:rsid w:val="00745260"/>
    <w:rsid w:val="00750CCF"/>
    <w:rsid w:val="007632E4"/>
    <w:rsid w:val="00763C4D"/>
    <w:rsid w:val="007657FF"/>
    <w:rsid w:val="00775D68"/>
    <w:rsid w:val="007B14C3"/>
    <w:rsid w:val="007B1596"/>
    <w:rsid w:val="007C1268"/>
    <w:rsid w:val="007C5E9C"/>
    <w:rsid w:val="007D7758"/>
    <w:rsid w:val="007E28CC"/>
    <w:rsid w:val="007E4511"/>
    <w:rsid w:val="007E58D6"/>
    <w:rsid w:val="00800C23"/>
    <w:rsid w:val="00801C02"/>
    <w:rsid w:val="008030EC"/>
    <w:rsid w:val="0080345F"/>
    <w:rsid w:val="00806400"/>
    <w:rsid w:val="00811EF4"/>
    <w:rsid w:val="00812CC0"/>
    <w:rsid w:val="00822373"/>
    <w:rsid w:val="00834BBA"/>
    <w:rsid w:val="00837525"/>
    <w:rsid w:val="00845926"/>
    <w:rsid w:val="00846031"/>
    <w:rsid w:val="00851C01"/>
    <w:rsid w:val="00851CE6"/>
    <w:rsid w:val="008529E3"/>
    <w:rsid w:val="00861EA8"/>
    <w:rsid w:val="00864F7A"/>
    <w:rsid w:val="008714E3"/>
    <w:rsid w:val="00875AB9"/>
    <w:rsid w:val="00876D3F"/>
    <w:rsid w:val="0088102B"/>
    <w:rsid w:val="00881EA5"/>
    <w:rsid w:val="008841AA"/>
    <w:rsid w:val="00893F1E"/>
    <w:rsid w:val="008C3DA6"/>
    <w:rsid w:val="008C63A9"/>
    <w:rsid w:val="008C7594"/>
    <w:rsid w:val="008E1AE2"/>
    <w:rsid w:val="008E304A"/>
    <w:rsid w:val="008E7DCC"/>
    <w:rsid w:val="008F200D"/>
    <w:rsid w:val="008F41EA"/>
    <w:rsid w:val="00901466"/>
    <w:rsid w:val="0090291F"/>
    <w:rsid w:val="00911608"/>
    <w:rsid w:val="00915F59"/>
    <w:rsid w:val="009351B6"/>
    <w:rsid w:val="009356CA"/>
    <w:rsid w:val="009370FC"/>
    <w:rsid w:val="009571D9"/>
    <w:rsid w:val="00962589"/>
    <w:rsid w:val="00962B2A"/>
    <w:rsid w:val="0096490A"/>
    <w:rsid w:val="00976DD3"/>
    <w:rsid w:val="009801E4"/>
    <w:rsid w:val="009861E2"/>
    <w:rsid w:val="009911E4"/>
    <w:rsid w:val="00992C09"/>
    <w:rsid w:val="00993717"/>
    <w:rsid w:val="009A580D"/>
    <w:rsid w:val="009B1C26"/>
    <w:rsid w:val="009C085D"/>
    <w:rsid w:val="009C4DB3"/>
    <w:rsid w:val="009C528F"/>
    <w:rsid w:val="009C720C"/>
    <w:rsid w:val="009E2EE1"/>
    <w:rsid w:val="009E34EF"/>
    <w:rsid w:val="009F0BE6"/>
    <w:rsid w:val="009F7150"/>
    <w:rsid w:val="00A11CDF"/>
    <w:rsid w:val="00A13EE7"/>
    <w:rsid w:val="00A23406"/>
    <w:rsid w:val="00A37CDE"/>
    <w:rsid w:val="00A43C74"/>
    <w:rsid w:val="00A538E1"/>
    <w:rsid w:val="00A53D74"/>
    <w:rsid w:val="00A57CE6"/>
    <w:rsid w:val="00A81108"/>
    <w:rsid w:val="00A90208"/>
    <w:rsid w:val="00A91A22"/>
    <w:rsid w:val="00A9558A"/>
    <w:rsid w:val="00A9590B"/>
    <w:rsid w:val="00AB1D92"/>
    <w:rsid w:val="00AC650F"/>
    <w:rsid w:val="00B108C3"/>
    <w:rsid w:val="00B12106"/>
    <w:rsid w:val="00B23687"/>
    <w:rsid w:val="00B4000E"/>
    <w:rsid w:val="00B40B33"/>
    <w:rsid w:val="00B42533"/>
    <w:rsid w:val="00B45F5E"/>
    <w:rsid w:val="00B47DBE"/>
    <w:rsid w:val="00B722A0"/>
    <w:rsid w:val="00B76E9B"/>
    <w:rsid w:val="00B81DF1"/>
    <w:rsid w:val="00B82ED0"/>
    <w:rsid w:val="00B84551"/>
    <w:rsid w:val="00B9639A"/>
    <w:rsid w:val="00BA5C25"/>
    <w:rsid w:val="00BA6564"/>
    <w:rsid w:val="00BB31C0"/>
    <w:rsid w:val="00BC2CD9"/>
    <w:rsid w:val="00BC2E00"/>
    <w:rsid w:val="00BD1828"/>
    <w:rsid w:val="00BE1576"/>
    <w:rsid w:val="00BE53C8"/>
    <w:rsid w:val="00BF1282"/>
    <w:rsid w:val="00C2415E"/>
    <w:rsid w:val="00C2438D"/>
    <w:rsid w:val="00C353A5"/>
    <w:rsid w:val="00C40B9C"/>
    <w:rsid w:val="00C42A7C"/>
    <w:rsid w:val="00C55710"/>
    <w:rsid w:val="00C56A15"/>
    <w:rsid w:val="00C72329"/>
    <w:rsid w:val="00C817BB"/>
    <w:rsid w:val="00C8238F"/>
    <w:rsid w:val="00C86FDA"/>
    <w:rsid w:val="00C93C05"/>
    <w:rsid w:val="00CB0D11"/>
    <w:rsid w:val="00CB4F71"/>
    <w:rsid w:val="00CC2598"/>
    <w:rsid w:val="00CF2797"/>
    <w:rsid w:val="00CF4B86"/>
    <w:rsid w:val="00D05C7D"/>
    <w:rsid w:val="00D23537"/>
    <w:rsid w:val="00D23F1C"/>
    <w:rsid w:val="00D31E37"/>
    <w:rsid w:val="00D63F37"/>
    <w:rsid w:val="00D6443A"/>
    <w:rsid w:val="00D64E83"/>
    <w:rsid w:val="00D67586"/>
    <w:rsid w:val="00D71E5E"/>
    <w:rsid w:val="00D876A6"/>
    <w:rsid w:val="00D9301B"/>
    <w:rsid w:val="00D97326"/>
    <w:rsid w:val="00DA342E"/>
    <w:rsid w:val="00DA7B21"/>
    <w:rsid w:val="00DB0310"/>
    <w:rsid w:val="00DB20CC"/>
    <w:rsid w:val="00DB434F"/>
    <w:rsid w:val="00DD1372"/>
    <w:rsid w:val="00DE3109"/>
    <w:rsid w:val="00DE6D6F"/>
    <w:rsid w:val="00DE718A"/>
    <w:rsid w:val="00DF0AEC"/>
    <w:rsid w:val="00DF5E13"/>
    <w:rsid w:val="00E21739"/>
    <w:rsid w:val="00E2279A"/>
    <w:rsid w:val="00E26330"/>
    <w:rsid w:val="00E43166"/>
    <w:rsid w:val="00E4643A"/>
    <w:rsid w:val="00E51B61"/>
    <w:rsid w:val="00E62FD9"/>
    <w:rsid w:val="00E71339"/>
    <w:rsid w:val="00E72AF2"/>
    <w:rsid w:val="00E73075"/>
    <w:rsid w:val="00E73E7B"/>
    <w:rsid w:val="00E9568E"/>
    <w:rsid w:val="00EB03BE"/>
    <w:rsid w:val="00EB45D5"/>
    <w:rsid w:val="00EC1484"/>
    <w:rsid w:val="00EC2916"/>
    <w:rsid w:val="00ED61F8"/>
    <w:rsid w:val="00ED6922"/>
    <w:rsid w:val="00EF26BA"/>
    <w:rsid w:val="00EF26F7"/>
    <w:rsid w:val="00F14DC3"/>
    <w:rsid w:val="00F161A7"/>
    <w:rsid w:val="00F22ACE"/>
    <w:rsid w:val="00F23357"/>
    <w:rsid w:val="00F26B4C"/>
    <w:rsid w:val="00F43C5F"/>
    <w:rsid w:val="00F44417"/>
    <w:rsid w:val="00F533A4"/>
    <w:rsid w:val="00F81EE9"/>
    <w:rsid w:val="00F83FE3"/>
    <w:rsid w:val="00F9105E"/>
    <w:rsid w:val="00F941A2"/>
    <w:rsid w:val="00F94EAC"/>
    <w:rsid w:val="00F95A4A"/>
    <w:rsid w:val="00FA1760"/>
    <w:rsid w:val="00FA45F6"/>
    <w:rsid w:val="00FA641F"/>
    <w:rsid w:val="00FB08E7"/>
    <w:rsid w:val="00FC6697"/>
    <w:rsid w:val="00FD184D"/>
    <w:rsid w:val="00FE00CC"/>
    <w:rsid w:val="00FE1120"/>
    <w:rsid w:val="00FE1A7C"/>
    <w:rsid w:val="00FE5C03"/>
    <w:rsid w:val="00FF3B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11DD4-9893-45C1-8E4A-DE1D3564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7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0A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43166"/>
    <w:rPr>
      <w:color w:val="0000FF" w:themeColor="hyperlink"/>
      <w:u w:val="single"/>
    </w:rPr>
  </w:style>
  <w:style w:type="character" w:styleId="CommentReference">
    <w:name w:val="annotation reference"/>
    <w:basedOn w:val="DefaultParagraphFont"/>
    <w:uiPriority w:val="99"/>
    <w:semiHidden/>
    <w:unhideWhenUsed/>
    <w:rsid w:val="00E43166"/>
    <w:rPr>
      <w:sz w:val="16"/>
      <w:szCs w:val="16"/>
    </w:rPr>
  </w:style>
  <w:style w:type="paragraph" w:styleId="CommentText">
    <w:name w:val="annotation text"/>
    <w:basedOn w:val="Normal"/>
    <w:link w:val="CommentTextChar"/>
    <w:uiPriority w:val="99"/>
    <w:semiHidden/>
    <w:unhideWhenUsed/>
    <w:rsid w:val="00E43166"/>
    <w:pPr>
      <w:spacing w:line="240" w:lineRule="auto"/>
    </w:pPr>
    <w:rPr>
      <w:sz w:val="20"/>
      <w:szCs w:val="20"/>
    </w:rPr>
  </w:style>
  <w:style w:type="character" w:customStyle="1" w:styleId="CommentTextChar">
    <w:name w:val="Comment Text Char"/>
    <w:basedOn w:val="DefaultParagraphFont"/>
    <w:link w:val="CommentText"/>
    <w:uiPriority w:val="99"/>
    <w:semiHidden/>
    <w:rsid w:val="00E431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166"/>
    <w:rPr>
      <w:b/>
      <w:bCs/>
    </w:rPr>
  </w:style>
  <w:style w:type="character" w:customStyle="1" w:styleId="CommentSubjectChar">
    <w:name w:val="Comment Subject Char"/>
    <w:basedOn w:val="CommentTextChar"/>
    <w:link w:val="CommentSubject"/>
    <w:uiPriority w:val="99"/>
    <w:semiHidden/>
    <w:rsid w:val="00E43166"/>
    <w:rPr>
      <w:rFonts w:ascii="Arial" w:hAnsi="Arial"/>
      <w:b/>
      <w:bCs/>
      <w:sz w:val="20"/>
      <w:szCs w:val="20"/>
    </w:rPr>
  </w:style>
  <w:style w:type="paragraph" w:styleId="BalloonText">
    <w:name w:val="Balloon Text"/>
    <w:basedOn w:val="Normal"/>
    <w:link w:val="BalloonTextChar"/>
    <w:uiPriority w:val="99"/>
    <w:semiHidden/>
    <w:unhideWhenUsed/>
    <w:rsid w:val="00E4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66"/>
    <w:rPr>
      <w:rFonts w:ascii="Tahoma" w:hAnsi="Tahoma" w:cs="Tahoma"/>
      <w:sz w:val="16"/>
      <w:szCs w:val="16"/>
    </w:rPr>
  </w:style>
  <w:style w:type="paragraph" w:styleId="ListParagraph">
    <w:name w:val="List Paragraph"/>
    <w:basedOn w:val="Normal"/>
    <w:uiPriority w:val="34"/>
    <w:qFormat/>
    <w:rsid w:val="0090291F"/>
    <w:pPr>
      <w:ind w:left="720"/>
      <w:contextualSpacing/>
    </w:pPr>
  </w:style>
  <w:style w:type="table" w:styleId="LightShading-Accent4">
    <w:name w:val="Light Shading Accent 4"/>
    <w:basedOn w:val="TableNormal"/>
    <w:uiPriority w:val="60"/>
    <w:rsid w:val="0099371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99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2E00"/>
    <w:pPr>
      <w:spacing w:after="0" w:line="240" w:lineRule="auto"/>
    </w:pPr>
    <w:rPr>
      <w:rFonts w:ascii="Arial" w:hAnsi="Arial"/>
      <w:sz w:val="24"/>
    </w:rPr>
  </w:style>
  <w:style w:type="paragraph" w:customStyle="1" w:styleId="EndNoteBibliographyTitle">
    <w:name w:val="EndNote Bibliography Title"/>
    <w:basedOn w:val="Normal"/>
    <w:link w:val="EndNoteBibliographyTitleChar"/>
    <w:rsid w:val="0006564A"/>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6564A"/>
    <w:rPr>
      <w:rFonts w:ascii="Arial" w:hAnsi="Arial" w:cs="Arial"/>
      <w:noProof/>
      <w:sz w:val="24"/>
      <w:lang w:val="en-US"/>
    </w:rPr>
  </w:style>
  <w:style w:type="paragraph" w:customStyle="1" w:styleId="EndNoteBibliography">
    <w:name w:val="EndNote Bibliography"/>
    <w:basedOn w:val="Normal"/>
    <w:link w:val="EndNoteBibliographyChar"/>
    <w:rsid w:val="0006564A"/>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6564A"/>
    <w:rPr>
      <w:rFonts w:ascii="Arial" w:hAnsi="Arial" w:cs="Arial"/>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74188">
      <w:bodyDiv w:val="1"/>
      <w:marLeft w:val="0"/>
      <w:marRight w:val="0"/>
      <w:marTop w:val="0"/>
      <w:marBottom w:val="0"/>
      <w:divBdr>
        <w:top w:val="none" w:sz="0" w:space="0" w:color="auto"/>
        <w:left w:val="none" w:sz="0" w:space="0" w:color="auto"/>
        <w:bottom w:val="none" w:sz="0" w:space="0" w:color="auto"/>
        <w:right w:val="none" w:sz="0" w:space="0" w:color="auto"/>
      </w:divBdr>
    </w:div>
    <w:div w:id="1298218469">
      <w:bodyDiv w:val="1"/>
      <w:marLeft w:val="0"/>
      <w:marRight w:val="0"/>
      <w:marTop w:val="0"/>
      <w:marBottom w:val="0"/>
      <w:divBdr>
        <w:top w:val="none" w:sz="0" w:space="0" w:color="auto"/>
        <w:left w:val="none" w:sz="0" w:space="0" w:color="auto"/>
        <w:bottom w:val="none" w:sz="0" w:space="0" w:color="auto"/>
        <w:right w:val="none" w:sz="0" w:space="0" w:color="auto"/>
      </w:divBdr>
    </w:div>
    <w:div w:id="18732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land.nhs.uk/ourwork/commissioning/comm-supp/ld-prov-frw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ley.wye@bristo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5B7A-620C-4A2E-BD21-33B7F16F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33</Pages>
  <Words>12749</Words>
  <Characters>72672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Wye</dc:creator>
  <cp:lastModifiedBy>L Wye</cp:lastModifiedBy>
  <cp:revision>9</cp:revision>
  <dcterms:created xsi:type="dcterms:W3CDTF">2014-10-28T14:52:00Z</dcterms:created>
  <dcterms:modified xsi:type="dcterms:W3CDTF">2015-01-12T22:12:00Z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