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7F" w:rsidRPr="000628A0" w:rsidRDefault="0075027F" w:rsidP="00FC6B07">
      <w:pPr>
        <w:spacing w:line="480" w:lineRule="auto"/>
        <w:rPr>
          <w:rFonts w:asciiTheme="majorBidi" w:eastAsia="PMingLiU" w:hAnsiTheme="majorBidi" w:cstheme="majorBidi"/>
          <w:b/>
          <w:bCs/>
          <w:lang w:eastAsia="zh-TW"/>
        </w:rPr>
      </w:pPr>
      <w:r w:rsidRPr="000628A0">
        <w:rPr>
          <w:rFonts w:asciiTheme="majorBidi" w:eastAsia="PMingLiU" w:hAnsiTheme="majorBidi" w:cstheme="majorBidi"/>
          <w:b/>
          <w:bCs/>
          <w:lang w:eastAsia="zh-TW"/>
        </w:rPr>
        <w:t>The sources of income of English and Welsh charities: an organisation-level perspective</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33F4A" w:rsidP="00FC6B07">
      <w:pPr>
        <w:spacing w:line="480" w:lineRule="auto"/>
        <w:rPr>
          <w:rFonts w:asciiTheme="majorBidi" w:eastAsia="PMingLiU" w:hAnsiTheme="majorBidi" w:cstheme="majorBidi"/>
          <w:b/>
          <w:bCs/>
          <w:lang w:eastAsia="zh-TW"/>
        </w:rPr>
      </w:pPr>
      <w:r w:rsidRPr="000628A0">
        <w:rPr>
          <w:rFonts w:asciiTheme="majorBidi" w:eastAsia="PMingLiU" w:hAnsiTheme="majorBidi" w:cstheme="majorBidi"/>
          <w:b/>
          <w:bCs/>
          <w:lang w:eastAsia="zh-TW"/>
        </w:rPr>
        <w:t>Abstract</w:t>
      </w:r>
      <w:r w:rsidR="0075027F" w:rsidRPr="000628A0">
        <w:rPr>
          <w:rFonts w:asciiTheme="majorBidi" w:eastAsia="PMingLiU" w:hAnsiTheme="majorBidi" w:cstheme="majorBidi"/>
          <w:b/>
          <w:bCs/>
          <w:lang w:eastAsia="zh-TW"/>
        </w:rPr>
        <w:t xml:space="preserve"> </w:t>
      </w:r>
      <w:r w:rsidR="0075027F" w:rsidRPr="000628A0">
        <w:rPr>
          <w:rFonts w:asciiTheme="majorBidi" w:eastAsia="PMingLiU" w:hAnsiTheme="majorBidi" w:cstheme="majorBidi"/>
          <w:lang w:eastAsia="zh-TW"/>
        </w:rPr>
        <w:t>Despite the prominence of voluntary organisations in public life and their high policy profile, there is a need for improved evidence regarding the funding base of individual voluntary organisations. This is relevant to theoretical debates about the role of such organisations in a mixed economy of welfare as well as to substantive questions about the balance between public and voluntary initiative</w:t>
      </w:r>
      <w:r w:rsidR="009B5A61"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Using unique data</w:t>
      </w:r>
      <w:r w:rsidR="00FB7F5B">
        <w:rPr>
          <w:rFonts w:asciiTheme="majorBidi" w:eastAsia="PMingLiU" w:hAnsiTheme="majorBidi" w:cstheme="majorBidi"/>
          <w:lang w:eastAsia="zh-TW"/>
        </w:rPr>
        <w:t xml:space="preserve"> for </w:t>
      </w:r>
      <w:r w:rsidR="0075027F" w:rsidRPr="000628A0">
        <w:rPr>
          <w:rFonts w:asciiTheme="majorBidi" w:eastAsia="PMingLiU" w:hAnsiTheme="majorBidi" w:cstheme="majorBidi"/>
          <w:lang w:eastAsia="zh-TW"/>
        </w:rPr>
        <w:t>a sample of 7,000 charities in England and Wales, for the first time we describe the distribution of charities according to the composition of their income.</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Importantly, the results illustrate the diversity of organisations with charitable status. They therefore serve to illustrate the different roles that charities play in a mixed economy. </w:t>
      </w:r>
      <w:r w:rsidR="0075027F" w:rsidRPr="000628A0">
        <w:rPr>
          <w:rFonts w:asciiTheme="majorBidi" w:eastAsia="PMingLiU" w:hAnsiTheme="majorBidi" w:cstheme="majorBidi"/>
          <w:shd w:val="clear" w:color="auto" w:fill="FFFFFF"/>
          <w:lang w:eastAsia="zh-TW"/>
        </w:rPr>
        <w:t>They also provide empirical context for substantive discussions relating to the iden</w:t>
      </w:r>
      <w:r w:rsidR="00EF5ADC" w:rsidRPr="000628A0">
        <w:rPr>
          <w:rFonts w:asciiTheme="majorBidi" w:eastAsia="PMingLiU" w:hAnsiTheme="majorBidi" w:cstheme="majorBidi"/>
          <w:shd w:val="clear" w:color="auto" w:fill="FFFFFF"/>
          <w:lang w:eastAsia="zh-TW"/>
        </w:rPr>
        <w:t xml:space="preserve">tity of the charitable sector, including the notion of its </w:t>
      </w:r>
      <w:r w:rsidR="003014DD" w:rsidRPr="000628A0">
        <w:rPr>
          <w:rFonts w:asciiTheme="majorBidi" w:eastAsia="PMingLiU" w:hAnsiTheme="majorBidi" w:cstheme="majorBidi"/>
          <w:shd w:val="clear" w:color="auto" w:fill="FFFFFF"/>
          <w:lang w:eastAsia="zh-TW"/>
        </w:rPr>
        <w:t>“</w:t>
      </w:r>
      <w:r w:rsidR="00EF5ADC" w:rsidRPr="000628A0">
        <w:rPr>
          <w:rFonts w:asciiTheme="majorBidi" w:eastAsia="PMingLiU" w:hAnsiTheme="majorBidi" w:cstheme="majorBidi"/>
          <w:shd w:val="clear" w:color="auto" w:fill="FFFFFF"/>
          <w:lang w:eastAsia="zh-TW"/>
        </w:rPr>
        <w:t>hybridity</w:t>
      </w:r>
      <w:r w:rsidR="003014DD" w:rsidRPr="000628A0">
        <w:rPr>
          <w:rFonts w:asciiTheme="majorBidi" w:eastAsia="PMingLiU" w:hAnsiTheme="majorBidi" w:cstheme="majorBidi"/>
          <w:shd w:val="clear" w:color="auto" w:fill="FFFFFF"/>
          <w:lang w:eastAsia="zh-TW"/>
        </w:rPr>
        <w:t>”</w:t>
      </w:r>
      <w:r w:rsidR="00EF5ADC" w:rsidRPr="000628A0">
        <w:rPr>
          <w:rFonts w:asciiTheme="majorBidi" w:eastAsia="PMingLiU" w:hAnsiTheme="majorBidi" w:cstheme="majorBidi"/>
          <w:shd w:val="clear" w:color="auto" w:fill="FFFFFF"/>
          <w:lang w:eastAsia="zh-TW"/>
        </w:rPr>
        <w:t xml:space="preserve"> – the extent to which an individual organisation draw</w:t>
      </w:r>
      <w:r w:rsidR="003014DD" w:rsidRPr="000628A0">
        <w:rPr>
          <w:rFonts w:asciiTheme="majorBidi" w:eastAsia="PMingLiU" w:hAnsiTheme="majorBidi" w:cstheme="majorBidi"/>
          <w:shd w:val="clear" w:color="auto" w:fill="FFFFFF"/>
          <w:lang w:eastAsia="zh-TW"/>
        </w:rPr>
        <w:t>s</w:t>
      </w:r>
      <w:r w:rsidR="00EF5ADC" w:rsidRPr="000628A0">
        <w:rPr>
          <w:rFonts w:asciiTheme="majorBidi" w:eastAsia="PMingLiU" w:hAnsiTheme="majorBidi" w:cstheme="majorBidi"/>
          <w:shd w:val="clear" w:color="auto" w:fill="FFFFFF"/>
          <w:lang w:eastAsia="zh-TW"/>
        </w:rPr>
        <w:t xml:space="preserve"> upon a plurality of financial sources.</w:t>
      </w:r>
    </w:p>
    <w:p w:rsidR="0075027F" w:rsidRPr="000628A0" w:rsidRDefault="0075027F" w:rsidP="00E44A0F">
      <w:pPr>
        <w:spacing w:line="480" w:lineRule="auto"/>
        <w:rPr>
          <w:rFonts w:asciiTheme="majorBidi" w:eastAsia="PMingLiU" w:hAnsiTheme="majorBidi" w:cstheme="majorBidi"/>
          <w:lang w:eastAsia="zh-TW"/>
        </w:rPr>
      </w:pPr>
      <w:r w:rsidRPr="000628A0">
        <w:rPr>
          <w:rFonts w:asciiTheme="majorBidi" w:eastAsia="PMingLiU" w:hAnsiTheme="majorBidi" w:cstheme="majorBidi"/>
          <w:b/>
          <w:bCs/>
          <w:lang w:eastAsia="zh-TW"/>
        </w:rPr>
        <w:t>Keywords</w:t>
      </w:r>
      <w:r w:rsidRPr="000628A0">
        <w:rPr>
          <w:rFonts w:asciiTheme="majorBidi" w:eastAsia="PMingLiU" w:hAnsiTheme="majorBidi" w:cstheme="majorBidi"/>
          <w:lang w:eastAsia="zh-TW"/>
        </w:rPr>
        <w:t xml:space="preserve"> </w:t>
      </w:r>
      <w:r w:rsidR="00FB7F5B">
        <w:rPr>
          <w:rFonts w:asciiTheme="majorBidi" w:eastAsia="PMingLiU" w:hAnsiTheme="majorBidi" w:cstheme="majorBidi"/>
          <w:lang w:eastAsia="zh-TW"/>
        </w:rPr>
        <w:t xml:space="preserve">charitable donations; </w:t>
      </w:r>
      <w:r w:rsidRPr="000628A0">
        <w:rPr>
          <w:rFonts w:asciiTheme="majorBidi" w:eastAsia="PMingLiU" w:hAnsiTheme="majorBidi" w:cstheme="majorBidi"/>
          <w:lang w:eastAsia="zh-TW"/>
        </w:rPr>
        <w:t xml:space="preserve">charity; income sources; </w:t>
      </w:r>
      <w:r w:rsidR="00FB7F5B">
        <w:rPr>
          <w:rFonts w:asciiTheme="majorBidi" w:eastAsia="PMingLiU" w:hAnsiTheme="majorBidi" w:cstheme="majorBidi"/>
          <w:lang w:eastAsia="zh-TW"/>
        </w:rPr>
        <w:t xml:space="preserve">third sector; </w:t>
      </w:r>
      <w:r w:rsidRPr="000628A0">
        <w:rPr>
          <w:rFonts w:asciiTheme="majorBidi" w:eastAsia="PMingLiU" w:hAnsiTheme="majorBidi" w:cstheme="majorBidi"/>
          <w:lang w:eastAsia="zh-TW"/>
        </w:rPr>
        <w:t>voluntary organisations</w:t>
      </w:r>
      <w:r w:rsidR="001C32C4" w:rsidRPr="000628A0">
        <w:rPr>
          <w:rFonts w:asciiTheme="majorBidi" w:eastAsia="PMingLiU" w:hAnsiTheme="majorBidi" w:cstheme="majorBidi"/>
          <w:lang w:eastAsia="zh-TW"/>
        </w:rPr>
        <w:t>.</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b/>
          <w:bCs/>
          <w:lang w:eastAsia="zh-TW"/>
        </w:rPr>
      </w:pPr>
      <w:r w:rsidRPr="000628A0">
        <w:rPr>
          <w:rFonts w:asciiTheme="majorBidi" w:eastAsia="PMingLiU" w:hAnsiTheme="majorBidi" w:cstheme="majorBidi"/>
          <w:b/>
          <w:bCs/>
          <w:lang w:eastAsia="zh-TW"/>
        </w:rPr>
        <w:t>Introduction</w:t>
      </w:r>
    </w:p>
    <w:p w:rsidR="00310A3C" w:rsidRDefault="00310A3C" w:rsidP="00B56F7C">
      <w:pPr>
        <w:spacing w:line="480" w:lineRule="auto"/>
        <w:rPr>
          <w:rFonts w:asciiTheme="majorBidi" w:eastAsia="PMingLiU" w:hAnsiTheme="majorBidi" w:cstheme="majorBidi"/>
          <w:lang w:eastAsia="zh-TW"/>
        </w:rPr>
      </w:pPr>
    </w:p>
    <w:p w:rsidR="0075027F" w:rsidRPr="000628A0" w:rsidRDefault="0072021A" w:rsidP="0072021A">
      <w:pPr>
        <w:spacing w:line="480" w:lineRule="auto"/>
        <w:rPr>
          <w:rFonts w:asciiTheme="majorBidi" w:eastAsia="PMingLiU" w:hAnsiTheme="majorBidi" w:cstheme="majorBidi"/>
          <w:lang w:eastAsia="zh-TW"/>
        </w:rPr>
      </w:pPr>
      <w:r>
        <w:rPr>
          <w:rFonts w:asciiTheme="majorBidi" w:eastAsia="PMingLiU" w:hAnsiTheme="majorBidi" w:cstheme="majorBidi"/>
          <w:lang w:eastAsia="zh-TW"/>
        </w:rPr>
        <w:t>Recent</w:t>
      </w:r>
      <w:r w:rsidR="00B56F7C"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public policy </w:t>
      </w:r>
      <w:r w:rsidR="00D8537B" w:rsidRPr="000628A0">
        <w:rPr>
          <w:rFonts w:asciiTheme="majorBidi" w:eastAsia="PMingLiU" w:hAnsiTheme="majorBidi" w:cstheme="majorBidi"/>
          <w:lang w:eastAsia="zh-TW"/>
        </w:rPr>
        <w:t xml:space="preserve">in the UK </w:t>
      </w:r>
      <w:r w:rsidR="0075027F" w:rsidRPr="000628A0">
        <w:rPr>
          <w:rFonts w:asciiTheme="majorBidi" w:eastAsia="PMingLiU" w:hAnsiTheme="majorBidi" w:cstheme="majorBidi"/>
          <w:lang w:eastAsia="zh-TW"/>
        </w:rPr>
        <w:t xml:space="preserve">has </w:t>
      </w:r>
      <w:r w:rsidR="00B56F7C" w:rsidRPr="000628A0">
        <w:rPr>
          <w:rFonts w:asciiTheme="majorBidi" w:eastAsia="PMingLiU" w:hAnsiTheme="majorBidi" w:cstheme="majorBidi"/>
          <w:lang w:eastAsia="zh-TW"/>
        </w:rPr>
        <w:t>emphasise</w:t>
      </w:r>
      <w:r>
        <w:rPr>
          <w:rFonts w:asciiTheme="majorBidi" w:eastAsia="PMingLiU" w:hAnsiTheme="majorBidi" w:cstheme="majorBidi"/>
          <w:lang w:eastAsia="zh-TW"/>
        </w:rPr>
        <w:t>d</w:t>
      </w:r>
      <w:r w:rsidR="0075027F" w:rsidRPr="000628A0">
        <w:rPr>
          <w:rFonts w:asciiTheme="majorBidi" w:eastAsia="PMingLiU" w:hAnsiTheme="majorBidi" w:cstheme="majorBidi"/>
          <w:lang w:eastAsia="zh-TW"/>
        </w:rPr>
        <w:t xml:space="preserve"> the importance of </w:t>
      </w:r>
      <w:r w:rsidR="00067569" w:rsidRPr="000628A0">
        <w:rPr>
          <w:rFonts w:asciiTheme="majorBidi" w:eastAsia="PMingLiU" w:hAnsiTheme="majorBidi" w:cstheme="majorBidi"/>
          <w:lang w:eastAsia="zh-TW"/>
        </w:rPr>
        <w:t>the voluntary sector</w:t>
      </w:r>
      <w:r w:rsidR="00EF5ADC" w:rsidRPr="000628A0">
        <w:rPr>
          <w:rFonts w:asciiTheme="majorBidi" w:eastAsia="PMingLiU" w:hAnsiTheme="majorBidi" w:cstheme="majorBidi"/>
          <w:lang w:eastAsia="zh-TW"/>
        </w:rPr>
        <w:t>,</w:t>
      </w:r>
      <w:r w:rsidR="00D8537B" w:rsidRPr="000628A0">
        <w:rPr>
          <w:rFonts w:asciiTheme="majorBidi" w:eastAsia="PMingLiU" w:hAnsiTheme="majorBidi" w:cstheme="majorBidi"/>
          <w:lang w:eastAsia="zh-TW"/>
        </w:rPr>
        <w:t xml:space="preserve"> not only in terms of the provision of services but also in the building of a Big Society in which “people come together to solve problems and to improve life for themselves and the community” (Conservative Party, 2010, page 1; see Alcock, 2010a; 2010b; </w:t>
      </w:r>
      <w:r w:rsidR="00D8537B" w:rsidRPr="000628A0">
        <w:rPr>
          <w:rFonts w:asciiTheme="majorBidi" w:eastAsia="PMingLiU" w:hAnsiTheme="majorBidi" w:cstheme="majorBidi"/>
          <w:lang w:eastAsia="zh-TW"/>
        </w:rPr>
        <w:lastRenderedPageBreak/>
        <w:t xml:space="preserve">Alcock and Kendall, 2011).  </w:t>
      </w:r>
      <w:r w:rsidR="00230CDB" w:rsidRPr="000628A0">
        <w:rPr>
          <w:rFonts w:asciiTheme="majorBidi" w:eastAsia="PMingLiU" w:hAnsiTheme="majorBidi" w:cstheme="majorBidi"/>
          <w:lang w:eastAsia="zh-TW"/>
        </w:rPr>
        <w:t xml:space="preserve">If the sector is to respond to the expectations placed upon it, however, an informed understanding of the resources available to organisations, and in particular of the mix of resources on which they rely, is necessary. This can help comprehension of the differential exposure of different subsectors and individual organisations to particular funding streams, and it can provide a better understanding of the beneficiary groups to which the activities of certain organisations are oriented. </w:t>
      </w:r>
    </w:p>
    <w:p w:rsidR="0051606D" w:rsidRPr="000628A0" w:rsidRDefault="0051606D" w:rsidP="0051606D">
      <w:pPr>
        <w:spacing w:line="480" w:lineRule="auto"/>
        <w:rPr>
          <w:rFonts w:asciiTheme="majorBidi" w:eastAsia="PMingLiU" w:hAnsiTheme="majorBidi" w:cstheme="majorBidi"/>
          <w:lang w:eastAsia="zh-TW"/>
        </w:rPr>
      </w:pPr>
    </w:p>
    <w:p w:rsidR="0075027F" w:rsidRPr="000628A0" w:rsidRDefault="0075027F" w:rsidP="00DD1349">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The evidence base on the financial resources of voluntary organisations themselves has some limitations.</w:t>
      </w:r>
      <w:r w:rsidR="005F78BF" w:rsidRPr="000628A0">
        <w:rPr>
          <w:rFonts w:asciiTheme="majorBidi" w:eastAsia="PMingLiU" w:hAnsiTheme="majorBidi" w:cstheme="majorBidi"/>
          <w:lang w:eastAsia="zh-TW"/>
        </w:rPr>
        <w:t xml:space="preserve"> </w:t>
      </w:r>
      <w:r w:rsidR="00230CDB" w:rsidRPr="000628A0">
        <w:rPr>
          <w:rFonts w:asciiTheme="majorBidi" w:eastAsia="PMingLiU" w:hAnsiTheme="majorBidi" w:cstheme="majorBidi"/>
          <w:lang w:eastAsia="zh-TW"/>
        </w:rPr>
        <w:t xml:space="preserve"> Administrative </w:t>
      </w:r>
      <w:r w:rsidRPr="000628A0">
        <w:rPr>
          <w:rFonts w:asciiTheme="majorBidi" w:eastAsia="PMingLiU" w:hAnsiTheme="majorBidi" w:cstheme="majorBidi"/>
          <w:lang w:eastAsia="zh-TW"/>
        </w:rPr>
        <w:t xml:space="preserve">data, gathered by regulators of voluntary organisations such as the Charity Commission in England and Wales, provides only </w:t>
      </w:r>
      <w:r w:rsidR="00230CDB" w:rsidRPr="000628A0">
        <w:rPr>
          <w:rFonts w:asciiTheme="majorBidi" w:eastAsia="PMingLiU" w:hAnsiTheme="majorBidi" w:cstheme="majorBidi"/>
          <w:lang w:eastAsia="zh-TW"/>
        </w:rPr>
        <w:t xml:space="preserve">a </w:t>
      </w:r>
      <w:r w:rsidRPr="000628A0">
        <w:rPr>
          <w:rFonts w:asciiTheme="majorBidi" w:eastAsia="PMingLiU" w:hAnsiTheme="majorBidi" w:cstheme="majorBidi"/>
          <w:lang w:eastAsia="zh-TW"/>
        </w:rPr>
        <w:t>partial</w:t>
      </w:r>
      <w:r w:rsidR="00230CDB" w:rsidRPr="000628A0">
        <w:rPr>
          <w:rFonts w:asciiTheme="majorBidi" w:eastAsia="PMingLiU" w:hAnsiTheme="majorBidi" w:cstheme="majorBidi"/>
          <w:lang w:eastAsia="zh-TW"/>
        </w:rPr>
        <w:t xml:space="preserve"> picture of </w:t>
      </w:r>
      <w:r w:rsidRPr="000628A0">
        <w:rPr>
          <w:rFonts w:asciiTheme="majorBidi" w:eastAsia="PMingLiU" w:hAnsiTheme="majorBidi" w:cstheme="majorBidi"/>
          <w:lang w:eastAsia="zh-TW"/>
        </w:rPr>
        <w:t xml:space="preserve">key financial </w:t>
      </w:r>
      <w:r w:rsidR="00EF5ADC" w:rsidRPr="000628A0">
        <w:rPr>
          <w:rFonts w:asciiTheme="majorBidi" w:eastAsia="PMingLiU" w:hAnsiTheme="majorBidi" w:cstheme="majorBidi"/>
          <w:lang w:eastAsia="zh-TW"/>
        </w:rPr>
        <w:t>characteristics of the sector.</w:t>
      </w:r>
      <w:r w:rsidR="00230CDB" w:rsidRPr="000628A0">
        <w:rPr>
          <w:rFonts w:asciiTheme="majorBidi" w:eastAsia="PMingLiU" w:hAnsiTheme="majorBidi" w:cstheme="majorBidi"/>
          <w:lang w:eastAsia="zh-TW"/>
        </w:rPr>
        <w:t xml:space="preserve"> Only </w:t>
      </w:r>
      <w:r w:rsidRPr="000628A0">
        <w:rPr>
          <w:rFonts w:asciiTheme="majorBidi" w:eastAsia="PMingLiU" w:hAnsiTheme="majorBidi" w:cstheme="majorBidi"/>
          <w:lang w:eastAsia="zh-TW"/>
        </w:rPr>
        <w:t>charities above a</w:t>
      </w:r>
      <w:r w:rsidR="00230CDB" w:rsidRPr="000628A0">
        <w:rPr>
          <w:rFonts w:asciiTheme="majorBidi" w:eastAsia="PMingLiU" w:hAnsiTheme="majorBidi" w:cstheme="majorBidi"/>
          <w:lang w:eastAsia="zh-TW"/>
        </w:rPr>
        <w:t xml:space="preserve"> financial threshold of £500,000 </w:t>
      </w:r>
      <w:r w:rsidRPr="000628A0">
        <w:rPr>
          <w:rFonts w:asciiTheme="majorBidi" w:eastAsia="PMingLiU" w:hAnsiTheme="majorBidi" w:cstheme="majorBidi"/>
          <w:lang w:eastAsia="zh-TW"/>
        </w:rPr>
        <w:t xml:space="preserve">are formally required to provide much detail on their income sources </w:t>
      </w:r>
      <w:r w:rsidR="00230CDB" w:rsidRPr="000628A0">
        <w:rPr>
          <w:rFonts w:asciiTheme="majorBidi" w:eastAsia="PMingLiU" w:hAnsiTheme="majorBidi" w:cstheme="majorBidi"/>
          <w:lang w:eastAsia="zh-TW"/>
        </w:rPr>
        <w:t xml:space="preserve">but the reporting categories used (voluntary income, income from charitable activities, and income from activities for generating funds) are by no means </w:t>
      </w:r>
      <w:r w:rsidRPr="000628A0">
        <w:rPr>
          <w:rFonts w:asciiTheme="majorBidi" w:eastAsia="PMingLiU" w:hAnsiTheme="majorBidi" w:cstheme="majorBidi"/>
          <w:lang w:eastAsia="zh-TW"/>
        </w:rPr>
        <w:t>unambiguous</w:t>
      </w:r>
      <w:r w:rsidR="00230CDB" w:rsidRPr="000628A0">
        <w:rPr>
          <w:rFonts w:asciiTheme="majorBidi" w:eastAsia="PMingLiU" w:hAnsiTheme="majorBidi" w:cstheme="majorBidi"/>
          <w:lang w:eastAsia="zh-TW"/>
        </w:rPr>
        <w:t xml:space="preserve"> (Morgan, 2011</w:t>
      </w:r>
      <w:r w:rsidR="004934DE" w:rsidRPr="000628A0">
        <w:rPr>
          <w:rFonts w:asciiTheme="majorBidi" w:eastAsia="PMingLiU" w:hAnsiTheme="majorBidi" w:cstheme="majorBidi"/>
          <w:lang w:eastAsia="zh-TW"/>
        </w:rPr>
        <w:t xml:space="preserve">; </w:t>
      </w:r>
      <w:r w:rsidR="00230CDB" w:rsidRPr="000628A0">
        <w:rPr>
          <w:rFonts w:asciiTheme="majorBidi" w:eastAsia="PMingLiU" w:hAnsiTheme="majorBidi" w:cstheme="majorBidi"/>
          <w:lang w:eastAsia="zh-TW"/>
        </w:rPr>
        <w:t>2012)</w:t>
      </w:r>
      <w:r w:rsidRPr="000628A0">
        <w:rPr>
          <w:rFonts w:asciiTheme="majorBidi" w:eastAsia="PMingLiU" w:hAnsiTheme="majorBidi" w:cstheme="majorBidi"/>
          <w:lang w:eastAsia="zh-TW"/>
        </w:rPr>
        <w:t xml:space="preserve">. </w:t>
      </w:r>
      <w:r w:rsidR="00230CDB" w:rsidRPr="000628A0">
        <w:rPr>
          <w:rFonts w:asciiTheme="majorBidi" w:eastAsia="PMingLiU" w:hAnsiTheme="majorBidi" w:cstheme="majorBidi"/>
          <w:lang w:eastAsia="zh-TW"/>
        </w:rPr>
        <w:t xml:space="preserve">As an illustration, voluntary </w:t>
      </w:r>
      <w:r w:rsidRPr="000628A0">
        <w:rPr>
          <w:rFonts w:asciiTheme="majorBidi" w:eastAsia="PMingLiU" w:hAnsiTheme="majorBidi" w:cstheme="majorBidi"/>
          <w:lang w:eastAsia="zh-TW"/>
        </w:rPr>
        <w:t xml:space="preserve">income will include charitable giving </w:t>
      </w:r>
      <w:r w:rsidR="00036563" w:rsidRPr="000628A0">
        <w:rPr>
          <w:rFonts w:asciiTheme="majorBidi" w:eastAsia="PMingLiU" w:hAnsiTheme="majorBidi" w:cstheme="majorBidi"/>
          <w:lang w:eastAsia="zh-TW"/>
        </w:rPr>
        <w:t xml:space="preserve">from individuals, </w:t>
      </w:r>
      <w:r w:rsidRPr="000628A0">
        <w:rPr>
          <w:rFonts w:asciiTheme="majorBidi" w:eastAsia="PMingLiU" w:hAnsiTheme="majorBidi" w:cstheme="majorBidi"/>
          <w:lang w:eastAsia="zh-TW"/>
        </w:rPr>
        <w:t>but there are possibilities for classification of other kinds of income under this heading (e.g. grants, including, potentially, grants from government</w:t>
      </w:r>
      <w:r w:rsidR="00036563" w:rsidRPr="000628A0">
        <w:rPr>
          <w:rFonts w:asciiTheme="majorBidi" w:eastAsia="PMingLiU" w:hAnsiTheme="majorBidi" w:cstheme="majorBidi"/>
          <w:lang w:eastAsia="zh-TW"/>
        </w:rPr>
        <w:t xml:space="preserve">). Likewise, income </w:t>
      </w:r>
      <w:r w:rsidRPr="000628A0">
        <w:rPr>
          <w:rFonts w:asciiTheme="majorBidi" w:eastAsia="PMingLiU" w:hAnsiTheme="majorBidi" w:cstheme="majorBidi"/>
          <w:lang w:eastAsia="zh-TW"/>
        </w:rPr>
        <w:t xml:space="preserve">generated from charitable activities could include both sales of services to individuals </w:t>
      </w:r>
      <w:r w:rsidR="00D810B4" w:rsidRPr="000628A0">
        <w:rPr>
          <w:rFonts w:asciiTheme="majorBidi" w:eastAsia="PMingLiU" w:hAnsiTheme="majorBidi" w:cstheme="majorBidi"/>
          <w:lang w:eastAsia="zh-TW"/>
        </w:rPr>
        <w:t xml:space="preserve">(i.e. income from fees) </w:t>
      </w:r>
      <w:r w:rsidRPr="000628A0">
        <w:rPr>
          <w:rFonts w:asciiTheme="majorBidi" w:eastAsia="PMingLiU" w:hAnsiTheme="majorBidi" w:cstheme="majorBidi"/>
          <w:lang w:eastAsia="zh-TW"/>
        </w:rPr>
        <w:t xml:space="preserve">as well as government contracts. </w:t>
      </w:r>
      <w:r w:rsidR="000510B8"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We cannot therefore rely upon administrative sources to provide an unambiguous and clear picture of the funding base of the voluntary sector. </w:t>
      </w:r>
      <w:r w:rsidR="00036563" w:rsidRPr="000628A0">
        <w:rPr>
          <w:rFonts w:asciiTheme="majorBidi" w:hAnsiTheme="majorBidi" w:cstheme="majorBidi"/>
          <w:color w:val="000000"/>
        </w:rPr>
        <w:t>There are extensive national surveys of English voluntary organisations (the National Survey of Third Sector Organisations (NSTSO, in 2008) and the National Survey of Charities and Social Enterprises (NSCSE, in 2010)</w:t>
      </w:r>
      <w:r w:rsidR="00DD1349">
        <w:rPr>
          <w:rFonts w:asciiTheme="majorBidi" w:hAnsiTheme="majorBidi" w:cstheme="majorBidi"/>
          <w:color w:val="000000"/>
        </w:rPr>
        <w:t>)</w:t>
      </w:r>
      <w:r w:rsidR="00036563" w:rsidRPr="000628A0">
        <w:rPr>
          <w:rFonts w:asciiTheme="majorBidi" w:hAnsiTheme="majorBidi" w:cstheme="majorBidi"/>
          <w:color w:val="000000"/>
        </w:rPr>
        <w:t xml:space="preserve"> but these only ask about whether or not organisations recei</w:t>
      </w:r>
      <w:r w:rsidR="004E3461">
        <w:rPr>
          <w:rFonts w:asciiTheme="majorBidi" w:hAnsiTheme="majorBidi" w:cstheme="majorBidi"/>
          <w:color w:val="000000"/>
        </w:rPr>
        <w:t xml:space="preserve">ve </w:t>
      </w:r>
      <w:r w:rsidR="00036563" w:rsidRPr="000628A0">
        <w:rPr>
          <w:rFonts w:asciiTheme="majorBidi" w:hAnsiTheme="majorBidi" w:cstheme="majorBidi"/>
          <w:color w:val="000000"/>
        </w:rPr>
        <w:t xml:space="preserve">a particular source of income, not the amount of it. </w:t>
      </w:r>
    </w:p>
    <w:p w:rsidR="00310A3C" w:rsidRDefault="0075027F" w:rsidP="0072021A">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lastRenderedPageBreak/>
        <w:t>Researchers have therefore</w:t>
      </w:r>
      <w:r w:rsidR="00230CDB" w:rsidRPr="000628A0">
        <w:rPr>
          <w:rFonts w:asciiTheme="majorBidi" w:eastAsia="PMingLiU" w:hAnsiTheme="majorBidi" w:cstheme="majorBidi"/>
          <w:lang w:eastAsia="zh-TW"/>
        </w:rPr>
        <w:t xml:space="preserve"> gathered data directly </w:t>
      </w:r>
      <w:r w:rsidRPr="000628A0">
        <w:rPr>
          <w:rFonts w:asciiTheme="majorBidi" w:eastAsia="PMingLiU" w:hAnsiTheme="majorBidi" w:cstheme="majorBidi"/>
          <w:lang w:eastAsia="zh-TW"/>
        </w:rPr>
        <w:t>from charity accounts, to explore income sources in more detail.</w:t>
      </w:r>
      <w:r w:rsidR="003014DD" w:rsidRPr="000628A0">
        <w:rPr>
          <w:rFonts w:asciiTheme="majorBidi" w:eastAsia="PMingLiU" w:hAnsiTheme="majorBidi" w:cstheme="majorBidi"/>
          <w:lang w:eastAsia="zh-TW"/>
        </w:rPr>
        <w:t xml:space="preserve"> </w:t>
      </w:r>
      <w:r w:rsidR="004E3461">
        <w:rPr>
          <w:rFonts w:asciiTheme="majorBidi" w:eastAsia="PMingLiU" w:hAnsiTheme="majorBidi" w:cstheme="majorBidi"/>
          <w:lang w:eastAsia="zh-TW"/>
        </w:rPr>
        <w:t>The i</w:t>
      </w:r>
      <w:r w:rsidRPr="000628A0">
        <w:rPr>
          <w:rFonts w:asciiTheme="majorBidi" w:eastAsia="PMingLiU" w:hAnsiTheme="majorBidi" w:cstheme="majorBidi"/>
          <w:lang w:eastAsia="zh-TW"/>
        </w:rPr>
        <w:t>nitial</w:t>
      </w:r>
      <w:r w:rsidR="003014DD" w:rsidRPr="000628A0">
        <w:rPr>
          <w:rFonts w:asciiTheme="majorBidi" w:eastAsia="PMingLiU" w:hAnsiTheme="majorBidi" w:cstheme="majorBidi"/>
          <w:lang w:eastAsia="zh-TW"/>
        </w:rPr>
        <w:t xml:space="preserve"> </w:t>
      </w:r>
      <w:r w:rsidR="004E3461">
        <w:rPr>
          <w:rFonts w:asciiTheme="majorBidi" w:eastAsia="PMingLiU" w:hAnsiTheme="majorBidi" w:cstheme="majorBidi"/>
          <w:lang w:eastAsia="zh-TW"/>
        </w:rPr>
        <w:t xml:space="preserve">analyses of </w:t>
      </w:r>
      <w:r w:rsidRPr="000628A0">
        <w:rPr>
          <w:rFonts w:asciiTheme="majorBidi" w:eastAsia="PMingLiU" w:hAnsiTheme="majorBidi" w:cstheme="majorBidi"/>
          <w:lang w:eastAsia="zh-TW"/>
        </w:rPr>
        <w:t>Posnett (1993)</w:t>
      </w:r>
      <w:r w:rsidR="004E3461">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Lane </w:t>
      </w:r>
      <w:r w:rsidRPr="000628A0">
        <w:rPr>
          <w:rFonts w:asciiTheme="majorBidi" w:eastAsia="PMingLiU" w:hAnsiTheme="majorBidi" w:cstheme="majorBidi"/>
          <w:i/>
          <w:iCs/>
          <w:lang w:eastAsia="zh-TW"/>
        </w:rPr>
        <w:t>et al.</w:t>
      </w:r>
      <w:r w:rsidRPr="000628A0">
        <w:rPr>
          <w:rFonts w:asciiTheme="majorBidi" w:eastAsia="PMingLiU" w:hAnsiTheme="majorBidi" w:cstheme="majorBidi"/>
          <w:lang w:eastAsia="zh-TW"/>
        </w:rPr>
        <w:t xml:space="preserve"> (1994)</w:t>
      </w:r>
      <w:r w:rsidR="004E3461">
        <w:rPr>
          <w:rFonts w:asciiTheme="majorBidi" w:eastAsia="PMingLiU" w:hAnsiTheme="majorBidi" w:cstheme="majorBidi"/>
          <w:lang w:eastAsia="zh-TW"/>
        </w:rPr>
        <w:t xml:space="preserve">, </w:t>
      </w:r>
      <w:r w:rsidR="00F65A77" w:rsidRPr="000628A0">
        <w:rPr>
          <w:rFonts w:asciiTheme="majorBidi" w:eastAsia="PMingLiU" w:hAnsiTheme="majorBidi" w:cstheme="majorBidi"/>
          <w:lang w:eastAsia="zh-TW"/>
        </w:rPr>
        <w:t>Osborne and Hems</w:t>
      </w:r>
      <w:r w:rsidR="004E3461">
        <w:rPr>
          <w:rFonts w:asciiTheme="majorBidi" w:eastAsia="PMingLiU" w:hAnsiTheme="majorBidi" w:cstheme="majorBidi"/>
          <w:lang w:eastAsia="zh-TW"/>
        </w:rPr>
        <w:t xml:space="preserve"> (</w:t>
      </w:r>
      <w:r w:rsidR="00F65A77" w:rsidRPr="000628A0">
        <w:rPr>
          <w:rFonts w:asciiTheme="majorBidi" w:eastAsia="PMingLiU" w:hAnsiTheme="majorBidi" w:cstheme="majorBidi"/>
          <w:lang w:eastAsia="zh-TW"/>
        </w:rPr>
        <w:t>1995)</w:t>
      </w:r>
      <w:r w:rsidR="004E3461">
        <w:rPr>
          <w:rFonts w:asciiTheme="majorBidi" w:eastAsia="PMingLiU" w:hAnsiTheme="majorBidi" w:cstheme="majorBidi"/>
          <w:lang w:eastAsia="zh-TW"/>
        </w:rPr>
        <w:t xml:space="preserve"> and others</w:t>
      </w:r>
      <w:r w:rsidR="009D5AA4" w:rsidRPr="000628A0">
        <w:rPr>
          <w:rFonts w:asciiTheme="majorBidi" w:eastAsia="PMingLiU" w:hAnsiTheme="majorBidi" w:cstheme="majorBidi"/>
          <w:lang w:eastAsia="zh-TW"/>
        </w:rPr>
        <w:t xml:space="preserve"> have </w:t>
      </w:r>
      <w:r w:rsidRPr="000628A0">
        <w:rPr>
          <w:rFonts w:asciiTheme="majorBidi" w:eastAsia="PMingLiU" w:hAnsiTheme="majorBidi" w:cstheme="majorBidi"/>
          <w:lang w:eastAsia="zh-TW"/>
        </w:rPr>
        <w:t xml:space="preserve">has been built on subsequently by the National Council for Voluntary Organisations (NCVO) in their annual publication, the </w:t>
      </w:r>
      <w:r w:rsidRPr="000628A0">
        <w:rPr>
          <w:rFonts w:asciiTheme="majorBidi" w:eastAsia="PMingLiU" w:hAnsiTheme="majorBidi" w:cstheme="majorBidi"/>
          <w:i/>
          <w:iCs/>
          <w:lang w:eastAsia="zh-TW"/>
        </w:rPr>
        <w:t>Civil Society Almanac</w:t>
      </w:r>
      <w:r w:rsidR="009B5A61"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w:t>
      </w:r>
      <w:r w:rsidR="00EF5ADC" w:rsidRPr="000628A0">
        <w:rPr>
          <w:rFonts w:asciiTheme="majorBidi" w:eastAsia="PMingLiU" w:hAnsiTheme="majorBidi" w:cstheme="majorBidi"/>
          <w:lang w:eastAsia="zh-TW"/>
        </w:rPr>
        <w:t xml:space="preserve">to </w:t>
      </w:r>
      <w:r w:rsidRPr="000628A0">
        <w:rPr>
          <w:rFonts w:asciiTheme="majorBidi" w:eastAsia="PMingLiU" w:hAnsiTheme="majorBidi" w:cstheme="majorBidi"/>
          <w:lang w:eastAsia="zh-TW"/>
        </w:rPr>
        <w:t>generate</w:t>
      </w:r>
      <w:r w:rsidR="00EF5ADC"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estimates of the total amount of voluntary sector income that comes from different sources (Clark </w:t>
      </w:r>
      <w:r w:rsidRPr="000628A0">
        <w:rPr>
          <w:rFonts w:asciiTheme="majorBidi" w:eastAsia="PMingLiU" w:hAnsiTheme="majorBidi" w:cstheme="majorBidi"/>
          <w:i/>
          <w:iCs/>
          <w:lang w:eastAsia="zh-TW"/>
        </w:rPr>
        <w:t>et al.</w:t>
      </w:r>
      <w:r w:rsidRPr="000628A0">
        <w:rPr>
          <w:rFonts w:asciiTheme="majorBidi" w:eastAsia="PMingLiU" w:hAnsiTheme="majorBidi" w:cstheme="majorBidi"/>
          <w:lang w:eastAsia="zh-TW"/>
        </w:rPr>
        <w:t>, 2012). Individuals, through a combination of donations and purchases, and government, through grants and contracts, are the voluntary sector</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s two main sources of income, providing </w:t>
      </w:r>
      <w:r w:rsidRPr="000628A0">
        <w:rPr>
          <w:rFonts w:asciiTheme="majorBidi" w:hAnsiTheme="majorBidi" w:cstheme="majorBidi"/>
          <w:color w:val="222222"/>
          <w:shd w:val="clear" w:color="auto" w:fill="FFFFFF"/>
        </w:rPr>
        <w:t>£</w:t>
      </w:r>
      <w:r w:rsidRPr="000628A0">
        <w:rPr>
          <w:rFonts w:asciiTheme="majorBidi" w:eastAsia="PMingLiU" w:hAnsiTheme="majorBidi" w:cstheme="majorBidi"/>
          <w:color w:val="222222"/>
          <w:shd w:val="clear" w:color="auto" w:fill="FFFFFF"/>
          <w:lang w:eastAsia="zh-TW"/>
        </w:rPr>
        <w:t xml:space="preserve">14.3bn and </w:t>
      </w:r>
      <w:r w:rsidRPr="000628A0">
        <w:rPr>
          <w:rFonts w:asciiTheme="majorBidi" w:hAnsiTheme="majorBidi" w:cstheme="majorBidi"/>
          <w:color w:val="222222"/>
          <w:shd w:val="clear" w:color="auto" w:fill="FFFFFF"/>
        </w:rPr>
        <w:t>£</w:t>
      </w:r>
      <w:r w:rsidRPr="000628A0">
        <w:rPr>
          <w:rFonts w:asciiTheme="majorBidi" w:eastAsia="PMingLiU" w:hAnsiTheme="majorBidi" w:cstheme="majorBidi"/>
          <w:color w:val="222222"/>
          <w:shd w:val="clear" w:color="auto" w:fill="FFFFFF"/>
          <w:lang w:eastAsia="zh-TW"/>
        </w:rPr>
        <w:t xml:space="preserve">13.9bn respectively in 2009/10 (39% and 38% of total sector </w:t>
      </w:r>
      <w:r w:rsidR="00975741" w:rsidRPr="000628A0">
        <w:rPr>
          <w:rFonts w:asciiTheme="majorBidi" w:eastAsia="PMingLiU" w:hAnsiTheme="majorBidi" w:cstheme="majorBidi"/>
          <w:lang w:eastAsia="zh-TW"/>
        </w:rPr>
        <w:t>income).</w:t>
      </w:r>
      <w:r w:rsidR="00A8631F" w:rsidRPr="000628A0">
        <w:rPr>
          <w:rStyle w:val="EndnoteReference"/>
          <w:rFonts w:asciiTheme="majorBidi" w:eastAsia="PMingLiU" w:hAnsiTheme="majorBidi" w:cstheme="majorBidi"/>
          <w:lang w:eastAsia="zh-TW"/>
        </w:rPr>
        <w:endnoteReference w:id="1"/>
      </w:r>
      <w:r w:rsidR="00975741"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Clark </w:t>
      </w:r>
      <w:r w:rsidRPr="000628A0">
        <w:rPr>
          <w:rFonts w:asciiTheme="majorBidi" w:eastAsia="PMingLiU" w:hAnsiTheme="majorBidi" w:cstheme="majorBidi"/>
          <w:i/>
          <w:lang w:eastAsia="zh-TW"/>
        </w:rPr>
        <w:t>et al</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(2012) also show how these totals have changed over time: both have significantly increased in real terms since 2000/01, when income from individuals was </w:t>
      </w:r>
      <w:r w:rsidRPr="000628A0">
        <w:rPr>
          <w:rFonts w:asciiTheme="majorBidi" w:hAnsiTheme="majorBidi" w:cstheme="majorBidi"/>
          <w:color w:val="222222"/>
          <w:shd w:val="clear" w:color="auto" w:fill="FFFFFF"/>
        </w:rPr>
        <w:t>£</w:t>
      </w:r>
      <w:r w:rsidRPr="000628A0">
        <w:rPr>
          <w:rFonts w:asciiTheme="majorBidi" w:eastAsia="PMingLiU" w:hAnsiTheme="majorBidi" w:cstheme="majorBidi"/>
          <w:lang w:eastAsia="zh-TW"/>
        </w:rPr>
        <w:t xml:space="preserve">10.0bn and income from government was </w:t>
      </w:r>
      <w:r w:rsidRPr="000628A0">
        <w:rPr>
          <w:rFonts w:asciiTheme="majorBidi" w:hAnsiTheme="majorBidi" w:cstheme="majorBidi"/>
          <w:color w:val="222222"/>
          <w:shd w:val="clear" w:color="auto" w:fill="FFFFFF"/>
        </w:rPr>
        <w:t>£</w:t>
      </w:r>
      <w:r w:rsidRPr="000628A0">
        <w:rPr>
          <w:rFonts w:asciiTheme="majorBidi" w:eastAsia="PMingLiU" w:hAnsiTheme="majorBidi" w:cstheme="majorBidi"/>
          <w:lang w:eastAsia="zh-TW"/>
        </w:rPr>
        <w:t xml:space="preserve">8.6bn. </w:t>
      </w:r>
      <w:r w:rsidR="00310A3C">
        <w:rPr>
          <w:rFonts w:asciiTheme="majorBidi" w:eastAsia="PMingLiU" w:hAnsiTheme="majorBidi" w:cstheme="majorBidi"/>
          <w:lang w:eastAsia="zh-TW"/>
        </w:rPr>
        <w:t xml:space="preserve">  Indeed, t</w:t>
      </w:r>
      <w:r w:rsidR="00310A3C" w:rsidRPr="000628A0">
        <w:rPr>
          <w:rFonts w:asciiTheme="majorBidi" w:eastAsia="PMingLiU" w:hAnsiTheme="majorBidi" w:cstheme="majorBidi"/>
          <w:lang w:eastAsia="zh-TW"/>
        </w:rPr>
        <w:t>he economic weight of the UK voluntary sector has grown considerably over the last 25 years</w:t>
      </w:r>
      <w:r w:rsidR="0072021A">
        <w:rPr>
          <w:rFonts w:asciiTheme="majorBidi" w:eastAsia="PMingLiU" w:hAnsiTheme="majorBidi" w:cstheme="majorBidi"/>
          <w:lang w:eastAsia="zh-TW"/>
        </w:rPr>
        <w:t xml:space="preserve"> (Milbourne, 2013</w:t>
      </w:r>
      <w:r w:rsidR="0072021A" w:rsidRPr="000628A0">
        <w:rPr>
          <w:rFonts w:asciiTheme="majorBidi" w:eastAsia="PMingLiU" w:hAnsiTheme="majorBidi" w:cstheme="majorBidi"/>
          <w:lang w:eastAsia="zh-TW"/>
        </w:rPr>
        <w:t>)</w:t>
      </w:r>
      <w:r w:rsidR="00310A3C" w:rsidRPr="000628A0">
        <w:rPr>
          <w:rFonts w:asciiTheme="majorBidi" w:eastAsia="PMingLiU" w:hAnsiTheme="majorBidi" w:cstheme="majorBidi"/>
          <w:lang w:eastAsia="zh-TW"/>
        </w:rPr>
        <w:t xml:space="preserve">.  </w:t>
      </w:r>
      <w:r w:rsidR="000E6F8C" w:rsidRPr="000628A0">
        <w:rPr>
          <w:rFonts w:asciiTheme="majorBidi" w:eastAsia="PMingLiU" w:hAnsiTheme="majorBidi" w:cstheme="majorBidi"/>
          <w:lang w:eastAsia="zh-TW"/>
        </w:rPr>
        <w:t>The biggest</w:t>
      </w:r>
      <w:r w:rsidR="00310A3C" w:rsidRPr="000628A0">
        <w:rPr>
          <w:rFonts w:asciiTheme="majorBidi" w:eastAsia="PMingLiU" w:hAnsiTheme="majorBidi" w:cstheme="majorBidi"/>
          <w:lang w:eastAsia="zh-TW"/>
        </w:rPr>
        <w:t xml:space="preserve"> increases in aggregate income have been through increases in government funding of voluntary organisations</w:t>
      </w:r>
      <w:r w:rsidR="00811D8B">
        <w:rPr>
          <w:rFonts w:asciiTheme="majorBidi" w:eastAsia="PMingLiU" w:hAnsiTheme="majorBidi" w:cstheme="majorBidi"/>
          <w:lang w:eastAsia="zh-TW"/>
        </w:rPr>
        <w:t>,</w:t>
      </w:r>
      <w:r w:rsidR="00310A3C" w:rsidRPr="000628A0">
        <w:rPr>
          <w:rFonts w:asciiTheme="majorBidi" w:eastAsia="PMingLiU" w:hAnsiTheme="majorBidi" w:cstheme="majorBidi"/>
          <w:lang w:eastAsia="zh-TW"/>
        </w:rPr>
        <w:t xml:space="preserve"> through their increased involvement in public service </w:t>
      </w:r>
      <w:r w:rsidR="000E6F8C" w:rsidRPr="000628A0">
        <w:rPr>
          <w:rFonts w:asciiTheme="majorBidi" w:eastAsia="PMingLiU" w:hAnsiTheme="majorBidi" w:cstheme="majorBidi"/>
          <w:lang w:eastAsia="zh-TW"/>
        </w:rPr>
        <w:t>delivery</w:t>
      </w:r>
      <w:r w:rsidR="00811D8B">
        <w:rPr>
          <w:rFonts w:asciiTheme="majorBidi" w:eastAsia="PMingLiU" w:hAnsiTheme="majorBidi" w:cstheme="majorBidi"/>
          <w:lang w:eastAsia="zh-TW"/>
        </w:rPr>
        <w:t>,</w:t>
      </w:r>
      <w:r w:rsidR="000E6F8C">
        <w:rPr>
          <w:rFonts w:asciiTheme="majorBidi" w:eastAsia="PMingLiU" w:hAnsiTheme="majorBidi" w:cstheme="majorBidi"/>
          <w:lang w:eastAsia="zh-TW"/>
        </w:rPr>
        <w:t xml:space="preserve"> </w:t>
      </w:r>
      <w:r w:rsidR="000E6F8C" w:rsidRPr="000628A0">
        <w:rPr>
          <w:rFonts w:asciiTheme="majorBidi" w:eastAsia="PMingLiU" w:hAnsiTheme="majorBidi" w:cstheme="majorBidi"/>
          <w:lang w:eastAsia="zh-TW"/>
        </w:rPr>
        <w:t>as</w:t>
      </w:r>
      <w:r w:rsidR="00310A3C" w:rsidRPr="000628A0">
        <w:rPr>
          <w:rFonts w:asciiTheme="majorBidi" w:eastAsia="PMingLiU" w:hAnsiTheme="majorBidi" w:cstheme="majorBidi"/>
          <w:lang w:eastAsia="zh-TW"/>
        </w:rPr>
        <w:t xml:space="preserve"> government increasingly becomes the purchaser, rather than the direct provider, of public services (Lewis, 1993).  The extent of this growth in public funding has been distinctive from a cross-national perspective and makes the UK voluntary sector an interesting case (Kendall, 2003): while remaining different from the ‘corporatist non-profit regimes’ of continental Europe, it has become less similar to the US context, the ‘liberal nonprofit regime’ with which it is often compared (Salamon and Anheier, 1998).</w:t>
      </w:r>
    </w:p>
    <w:p w:rsidR="009B5A61" w:rsidRPr="000628A0" w:rsidRDefault="009B5A61" w:rsidP="00FC6B07">
      <w:pPr>
        <w:spacing w:line="480" w:lineRule="auto"/>
        <w:rPr>
          <w:rFonts w:asciiTheme="majorBidi" w:eastAsia="PMingLiU" w:hAnsiTheme="majorBidi" w:cstheme="majorBidi"/>
          <w:lang w:eastAsia="zh-TW"/>
        </w:rPr>
      </w:pPr>
    </w:p>
    <w:p w:rsidR="0075027F" w:rsidRPr="000628A0" w:rsidRDefault="009D5AA4" w:rsidP="007C324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This body of </w:t>
      </w:r>
      <w:r w:rsidR="0075027F" w:rsidRPr="000628A0">
        <w:rPr>
          <w:rFonts w:asciiTheme="majorBidi" w:eastAsia="PMingLiU" w:hAnsiTheme="majorBidi" w:cstheme="majorBidi"/>
          <w:lang w:eastAsia="zh-TW"/>
        </w:rPr>
        <w:t>work</w:t>
      </w:r>
      <w:r w:rsidRPr="000628A0">
        <w:rPr>
          <w:rFonts w:asciiTheme="majorBidi" w:eastAsia="PMingLiU" w:hAnsiTheme="majorBidi" w:cstheme="majorBidi"/>
          <w:lang w:eastAsia="zh-TW"/>
        </w:rPr>
        <w:t xml:space="preserve"> provides </w:t>
      </w:r>
      <w:r w:rsidR="0075027F" w:rsidRPr="000628A0">
        <w:rPr>
          <w:rFonts w:asciiTheme="majorBidi" w:eastAsia="PMingLiU" w:hAnsiTheme="majorBidi" w:cstheme="majorBidi"/>
          <w:lang w:eastAsia="zh-TW"/>
        </w:rPr>
        <w:t>reasonably robust estimates of the scale of the charitable sector. However,</w:t>
      </w:r>
      <w:r w:rsidRPr="000628A0">
        <w:rPr>
          <w:rFonts w:asciiTheme="majorBidi" w:eastAsia="PMingLiU" w:hAnsiTheme="majorBidi" w:cstheme="majorBidi"/>
          <w:lang w:eastAsia="zh-TW"/>
        </w:rPr>
        <w:t xml:space="preserve"> it has emphasised aggregate figures across the charitable sector as a </w:t>
      </w:r>
      <w:r w:rsidRPr="000628A0">
        <w:rPr>
          <w:rFonts w:asciiTheme="majorBidi" w:eastAsia="PMingLiU" w:hAnsiTheme="majorBidi" w:cstheme="majorBidi"/>
          <w:lang w:eastAsia="zh-TW"/>
        </w:rPr>
        <w:lastRenderedPageBreak/>
        <w:t xml:space="preserve">whole, and to date </w:t>
      </w:r>
      <w:r w:rsidR="0075027F" w:rsidRPr="000628A0">
        <w:rPr>
          <w:rFonts w:asciiTheme="majorBidi" w:eastAsia="PMingLiU" w:hAnsiTheme="majorBidi" w:cstheme="majorBidi"/>
          <w:lang w:eastAsia="zh-TW"/>
        </w:rPr>
        <w:t>income composition</w:t>
      </w:r>
      <w:r w:rsidRPr="000628A0">
        <w:rPr>
          <w:rFonts w:asciiTheme="majorBidi" w:eastAsia="PMingLiU" w:hAnsiTheme="majorBidi" w:cstheme="majorBidi"/>
          <w:lang w:eastAsia="zh-TW"/>
        </w:rPr>
        <w:t xml:space="preserve"> has </w:t>
      </w:r>
      <w:r w:rsidR="0075027F" w:rsidRPr="000628A0">
        <w:rPr>
          <w:rFonts w:asciiTheme="majorBidi" w:eastAsia="PMingLiU" w:hAnsiTheme="majorBidi" w:cstheme="majorBidi"/>
          <w:lang w:eastAsia="zh-TW"/>
        </w:rPr>
        <w:t xml:space="preserve">not </w:t>
      </w:r>
      <w:r w:rsidRPr="000628A0">
        <w:rPr>
          <w:rFonts w:asciiTheme="majorBidi" w:eastAsia="PMingLiU" w:hAnsiTheme="majorBidi" w:cstheme="majorBidi"/>
          <w:lang w:eastAsia="zh-TW"/>
        </w:rPr>
        <w:t xml:space="preserve">been </w:t>
      </w:r>
      <w:r w:rsidR="0075027F" w:rsidRPr="000628A0">
        <w:rPr>
          <w:rFonts w:asciiTheme="majorBidi" w:eastAsia="PMingLiU" w:hAnsiTheme="majorBidi" w:cstheme="majorBidi"/>
          <w:lang w:eastAsia="zh-TW"/>
        </w:rPr>
        <w:t>examined at the organisation level. Yet it is at this level that there is particular potential for quantitative research to both illustrate relevant theory about the role of voluntary organisations, and to provide empirical context for discussions about the charitable sector</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s identity. This is because theoretical statements </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notably the </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benefits theory of non-profit finance</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 – make connections between the composition of an organisation</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s income and the nature of the benefits provided by that organisation. This perspective therefore analyses the income composition of organisations in the light of influential theoretical statements about the roles that voluntary organisations play alongside the market and the state. We elaborate on this point in </w:t>
      </w:r>
      <w:r w:rsidR="007C3247" w:rsidRPr="000628A0">
        <w:rPr>
          <w:rFonts w:asciiTheme="majorBidi" w:eastAsia="PMingLiU" w:hAnsiTheme="majorBidi" w:cstheme="majorBidi"/>
          <w:lang w:eastAsia="zh-TW"/>
        </w:rPr>
        <w:t>the next section</w:t>
      </w:r>
      <w:r w:rsidR="0075027F" w:rsidRPr="000628A0">
        <w:rPr>
          <w:rFonts w:asciiTheme="majorBidi" w:eastAsia="PMingLiU" w:hAnsiTheme="majorBidi" w:cstheme="majorBidi"/>
          <w:lang w:eastAsia="zh-TW"/>
        </w:rPr>
        <w:t>.</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9D5AA4" w:rsidP="00FC6B0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We make </w:t>
      </w:r>
      <w:r w:rsidR="0075027F" w:rsidRPr="000628A0">
        <w:rPr>
          <w:rFonts w:asciiTheme="majorBidi" w:eastAsia="PMingLiU" w:hAnsiTheme="majorBidi" w:cstheme="majorBidi"/>
          <w:lang w:eastAsia="zh-TW"/>
        </w:rPr>
        <w:t xml:space="preserve">three </w:t>
      </w:r>
      <w:r w:rsidR="00FB7F5B">
        <w:rPr>
          <w:rFonts w:asciiTheme="majorBidi" w:eastAsia="PMingLiU" w:hAnsiTheme="majorBidi" w:cstheme="majorBidi"/>
          <w:lang w:eastAsia="zh-TW"/>
        </w:rPr>
        <w:t xml:space="preserve">key </w:t>
      </w:r>
      <w:r w:rsidR="0075027F" w:rsidRPr="000628A0">
        <w:rPr>
          <w:rFonts w:asciiTheme="majorBidi" w:eastAsia="PMingLiU" w:hAnsiTheme="majorBidi" w:cstheme="majorBidi"/>
          <w:lang w:eastAsia="zh-TW"/>
        </w:rPr>
        <w:t>contributions.</w:t>
      </w:r>
      <w:r w:rsidRPr="000628A0">
        <w:rPr>
          <w:rFonts w:asciiTheme="majorBidi" w:eastAsia="PMingLiU" w:hAnsiTheme="majorBidi" w:cstheme="majorBidi"/>
          <w:lang w:eastAsia="zh-TW"/>
        </w:rPr>
        <w:t xml:space="preserve"> </w:t>
      </w:r>
      <w:r w:rsidR="00D9677B"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First, </w:t>
      </w:r>
      <w:r w:rsidR="0075027F" w:rsidRPr="000628A0">
        <w:rPr>
          <w:rFonts w:asciiTheme="majorBidi" w:eastAsia="PMingLiU" w:hAnsiTheme="majorBidi" w:cstheme="majorBidi"/>
          <w:lang w:eastAsia="zh-TW"/>
        </w:rPr>
        <w:t xml:space="preserve">using </w:t>
      </w:r>
      <w:r w:rsidR="00EF5ADC" w:rsidRPr="000628A0">
        <w:rPr>
          <w:rFonts w:asciiTheme="majorBidi" w:eastAsia="PMingLiU" w:hAnsiTheme="majorBidi" w:cstheme="majorBidi"/>
          <w:lang w:eastAsia="zh-TW"/>
        </w:rPr>
        <w:t xml:space="preserve">novel </w:t>
      </w:r>
      <w:r w:rsidR="0075027F" w:rsidRPr="000628A0">
        <w:rPr>
          <w:rFonts w:asciiTheme="majorBidi" w:eastAsia="PMingLiU" w:hAnsiTheme="majorBidi" w:cstheme="majorBidi"/>
          <w:lang w:eastAsia="zh-TW"/>
        </w:rPr>
        <w:t>data, we describe patterns in the composition of voluntary organisations</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 income.</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We focus on voluntary organisations with charitable </w:t>
      </w:r>
      <w:r w:rsidR="00975741" w:rsidRPr="000628A0">
        <w:rPr>
          <w:rFonts w:asciiTheme="majorBidi" w:eastAsia="PMingLiU" w:hAnsiTheme="majorBidi" w:cstheme="majorBidi"/>
          <w:lang w:eastAsia="zh-TW"/>
        </w:rPr>
        <w:t>status</w:t>
      </w:r>
      <w:r w:rsidR="003014DD" w:rsidRPr="000628A0">
        <w:rPr>
          <w:rFonts w:asciiTheme="majorBidi" w:eastAsia="PMingLiU" w:hAnsiTheme="majorBidi" w:cstheme="majorBidi"/>
          <w:lang w:eastAsia="zh-TW"/>
        </w:rPr>
        <w:t>.</w:t>
      </w:r>
      <w:r w:rsidR="00A8631F" w:rsidRPr="000628A0">
        <w:rPr>
          <w:rStyle w:val="EndnoteReference"/>
          <w:rFonts w:asciiTheme="majorBidi" w:eastAsia="PMingLiU" w:hAnsiTheme="majorBidi" w:cstheme="majorBidi"/>
          <w:lang w:eastAsia="zh-TW"/>
        </w:rPr>
        <w:endnoteReference w:id="2"/>
      </w:r>
      <w:r w:rsidR="00975741"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We </w:t>
      </w:r>
      <w:r w:rsidR="0075027F" w:rsidRPr="000628A0">
        <w:rPr>
          <w:rFonts w:asciiTheme="majorBidi" w:eastAsia="PMingLiU" w:hAnsiTheme="majorBidi" w:cstheme="majorBidi"/>
          <w:lang w:eastAsia="zh-TW"/>
        </w:rPr>
        <w:t>use data detailing charities</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 income from vari</w:t>
      </w:r>
      <w:r w:rsidR="00FB7F5B">
        <w:rPr>
          <w:rFonts w:asciiTheme="majorBidi" w:eastAsia="PMingLiU" w:hAnsiTheme="majorBidi" w:cstheme="majorBidi"/>
          <w:lang w:eastAsia="zh-TW"/>
        </w:rPr>
        <w:t xml:space="preserve">ous </w:t>
      </w:r>
      <w:r w:rsidR="0075027F" w:rsidRPr="000628A0">
        <w:rPr>
          <w:rFonts w:asciiTheme="majorBidi" w:eastAsia="PMingLiU" w:hAnsiTheme="majorBidi" w:cstheme="majorBidi"/>
          <w:lang w:eastAsia="zh-TW"/>
        </w:rPr>
        <w:t>sources – including income from individuals (identified separately according to donations/fundraising; legacies; and</w:t>
      </w:r>
      <w:r w:rsidR="00D810B4" w:rsidRPr="000628A0">
        <w:rPr>
          <w:rFonts w:asciiTheme="majorBidi" w:eastAsia="PMingLiU" w:hAnsiTheme="majorBidi" w:cstheme="majorBidi"/>
          <w:lang w:eastAsia="zh-TW"/>
        </w:rPr>
        <w:t xml:space="preserve"> fee income from</w:t>
      </w:r>
      <w:r w:rsidR="0075027F" w:rsidRPr="000628A0">
        <w:rPr>
          <w:rFonts w:asciiTheme="majorBidi" w:eastAsia="PMingLiU" w:hAnsiTheme="majorBidi" w:cstheme="majorBidi"/>
          <w:lang w:eastAsia="zh-TW"/>
        </w:rPr>
        <w:t xml:space="preserve"> charitable activities), government, and other sources.</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It is our contention that no other study, in the UK, US or elsewhere, has been able to provide such a detailed profile of charitable income sources at the organisation level.</w:t>
      </w:r>
      <w:r w:rsidR="003014DD" w:rsidRPr="000628A0">
        <w:rPr>
          <w:rFonts w:asciiTheme="majorBidi" w:eastAsia="PMingLiU" w:hAnsiTheme="majorBidi" w:cstheme="majorBidi"/>
          <w:lang w:eastAsia="zh-TW"/>
        </w:rPr>
        <w:t xml:space="preserve"> </w:t>
      </w:r>
      <w:r w:rsidR="00FB7F5B">
        <w:rPr>
          <w:rFonts w:asciiTheme="majorBidi" w:eastAsia="PMingLiU" w:hAnsiTheme="majorBidi" w:cstheme="majorBidi"/>
          <w:lang w:eastAsia="zh-TW"/>
        </w:rPr>
        <w:t>For instance, r</w:t>
      </w:r>
      <w:r w:rsidR="00B6428B" w:rsidRPr="000628A0">
        <w:rPr>
          <w:rFonts w:asciiTheme="majorBidi" w:eastAsia="PMingLiU" w:hAnsiTheme="majorBidi" w:cstheme="majorBidi"/>
          <w:lang w:eastAsia="zh-TW"/>
        </w:rPr>
        <w:t xml:space="preserve">ecent work by Teasdale </w:t>
      </w:r>
      <w:r w:rsidR="00B6428B" w:rsidRPr="000628A0">
        <w:rPr>
          <w:rFonts w:asciiTheme="majorBidi" w:eastAsia="PMingLiU" w:hAnsiTheme="majorBidi" w:cstheme="majorBidi"/>
          <w:i/>
          <w:lang w:eastAsia="zh-TW"/>
        </w:rPr>
        <w:t>et al</w:t>
      </w:r>
      <w:r w:rsidR="00853B3D" w:rsidRPr="000628A0">
        <w:rPr>
          <w:rFonts w:asciiTheme="majorBidi" w:eastAsia="PMingLiU" w:hAnsiTheme="majorBidi" w:cstheme="majorBidi"/>
          <w:lang w:eastAsia="zh-TW"/>
        </w:rPr>
        <w:t>. (2013)</w:t>
      </w:r>
      <w:r w:rsidR="00B6428B" w:rsidRPr="000628A0">
        <w:rPr>
          <w:rFonts w:asciiTheme="majorBidi" w:eastAsia="PMingLiU" w:hAnsiTheme="majorBidi" w:cstheme="majorBidi"/>
          <w:lang w:eastAsia="zh-TW"/>
        </w:rPr>
        <w:t xml:space="preserve"> focuses on a binary distinction between commercial and donative revenue, but does not disaggregate funding sources in more detail.</w:t>
      </w:r>
    </w:p>
    <w:p w:rsidR="0075027F" w:rsidRPr="000628A0" w:rsidRDefault="0075027F" w:rsidP="00FC6B07">
      <w:pPr>
        <w:spacing w:line="480" w:lineRule="auto"/>
        <w:rPr>
          <w:rFonts w:asciiTheme="majorBidi" w:eastAsia="PMingLiU" w:hAnsiTheme="majorBidi" w:cstheme="majorBidi"/>
          <w:lang w:eastAsia="zh-TW"/>
        </w:rPr>
      </w:pPr>
    </w:p>
    <w:p w:rsidR="00A21AF3" w:rsidRPr="000628A0" w:rsidRDefault="0075027F" w:rsidP="00F438F4">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Second, we apply theoretical insights relating to the role and contribution of voluntary organisations.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By</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describing the distribution of voluntary organisations according to their income composition, we offer original insights into aggregate patterns in the </w:t>
      </w:r>
      <w:r w:rsidRPr="000628A0">
        <w:rPr>
          <w:rFonts w:asciiTheme="majorBidi" w:eastAsia="PMingLiU" w:hAnsiTheme="majorBidi" w:cstheme="majorBidi"/>
          <w:lang w:eastAsia="zh-TW"/>
        </w:rPr>
        <w:lastRenderedPageBreak/>
        <w:t>nature of goods that charities provide.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For example, what proportion of charities rely for </w:t>
      </w:r>
      <w:r w:rsidR="00A57792" w:rsidRPr="000628A0">
        <w:rPr>
          <w:rFonts w:asciiTheme="majorBidi" w:eastAsia="PMingLiU" w:hAnsiTheme="majorBidi" w:cstheme="majorBidi"/>
          <w:lang w:eastAsia="zh-TW"/>
        </w:rPr>
        <w:t xml:space="preserve">a substantial proportion </w:t>
      </w:r>
      <w:r w:rsidRPr="000628A0">
        <w:rPr>
          <w:rFonts w:asciiTheme="majorBidi" w:eastAsia="PMingLiU" w:hAnsiTheme="majorBidi" w:cstheme="majorBidi"/>
          <w:lang w:eastAsia="zh-TW"/>
        </w:rPr>
        <w:t>of their income on one particular income source, and what might this tell us about the benefits that charities provide?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Is there a clear division in the distribution of organisations between the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donative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and the </w:t>
      </w:r>
      <w:r w:rsidR="00221FEC" w:rsidRPr="000628A0">
        <w:rPr>
          <w:rFonts w:asciiTheme="majorBidi" w:eastAsia="PMingLiU" w:hAnsiTheme="majorBidi" w:cstheme="majorBidi"/>
          <w:lang w:eastAsia="zh-TW"/>
        </w:rPr>
        <w:t>‘commercial’ (</w:t>
      </w:r>
      <w:r w:rsidR="001F0716" w:rsidRPr="000628A0">
        <w:rPr>
          <w:rFonts w:asciiTheme="majorBidi" w:eastAsia="PMingLiU" w:hAnsiTheme="majorBidi" w:cstheme="majorBidi"/>
          <w:lang w:eastAsia="zh-TW"/>
        </w:rPr>
        <w:t>Hansmann, 1996)</w:t>
      </w:r>
      <w:r w:rsidR="00A8631F" w:rsidRPr="000628A0">
        <w:rPr>
          <w:rStyle w:val="EndnoteReference"/>
          <w:rFonts w:asciiTheme="majorBidi" w:eastAsia="PMingLiU" w:hAnsiTheme="majorBidi" w:cstheme="majorBidi"/>
          <w:lang w:eastAsia="zh-TW"/>
        </w:rPr>
        <w:endnoteReference w:id="3"/>
      </w:r>
      <w:r w:rsidRPr="000628A0">
        <w:rPr>
          <w:rFonts w:asciiTheme="majorBidi" w:eastAsia="PMingLiU" w:hAnsiTheme="majorBidi" w:cstheme="majorBidi"/>
          <w:lang w:eastAsia="zh-TW"/>
        </w:rPr>
        <w:t>, indicating a bifurcation between those providing largely collective goods, on the one hand, and largely private goods, on the other?</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Or do many organisations receive income from a variety of sources, consistent with the provision of both collective and private benefits – and which kinds of organisations are these?</w:t>
      </w:r>
      <w:r w:rsidR="00113CA3" w:rsidRPr="000628A0">
        <w:rPr>
          <w:rFonts w:asciiTheme="majorBidi" w:eastAsia="PMingLiU" w:hAnsiTheme="majorBidi" w:cstheme="majorBidi"/>
          <w:lang w:eastAsia="zh-TW"/>
        </w:rPr>
        <w:t xml:space="preserve">  </w:t>
      </w:r>
      <w:r w:rsidR="00D557F8" w:rsidRPr="000628A0">
        <w:rPr>
          <w:rFonts w:asciiTheme="majorBidi" w:eastAsia="PMingLiU" w:hAnsiTheme="majorBidi" w:cstheme="majorBidi"/>
          <w:lang w:eastAsia="zh-TW"/>
        </w:rPr>
        <w:t>Indeed, s</w:t>
      </w:r>
      <w:r w:rsidR="00A21AF3" w:rsidRPr="000628A0">
        <w:rPr>
          <w:rFonts w:asciiTheme="majorBidi" w:eastAsia="PMingLiU" w:hAnsiTheme="majorBidi" w:cstheme="majorBidi"/>
          <w:lang w:eastAsia="zh-TW"/>
        </w:rPr>
        <w:t xml:space="preserve">ince the </w:t>
      </w:r>
      <w:r w:rsidR="00D557F8" w:rsidRPr="000628A0">
        <w:rPr>
          <w:rFonts w:asciiTheme="majorBidi" w:eastAsia="PMingLiU" w:hAnsiTheme="majorBidi" w:cstheme="majorBidi"/>
          <w:lang w:eastAsia="zh-TW"/>
        </w:rPr>
        <w:t>‘</w:t>
      </w:r>
      <w:r w:rsidR="00A21AF3" w:rsidRPr="000628A0">
        <w:rPr>
          <w:rFonts w:asciiTheme="majorBidi" w:eastAsia="PMingLiU" w:hAnsiTheme="majorBidi" w:cstheme="majorBidi"/>
          <w:lang w:eastAsia="zh-TW"/>
        </w:rPr>
        <w:t>benefits theory of nonprofit finance</w:t>
      </w:r>
      <w:r w:rsidR="00D557F8" w:rsidRPr="000628A0">
        <w:rPr>
          <w:rFonts w:asciiTheme="majorBidi" w:eastAsia="PMingLiU" w:hAnsiTheme="majorBidi" w:cstheme="majorBidi"/>
          <w:lang w:eastAsia="zh-TW"/>
        </w:rPr>
        <w:t>’</w:t>
      </w:r>
      <w:r w:rsidR="00A21AF3" w:rsidRPr="000628A0">
        <w:rPr>
          <w:rFonts w:asciiTheme="majorBidi" w:eastAsia="PMingLiU" w:hAnsiTheme="majorBidi" w:cstheme="majorBidi"/>
          <w:lang w:eastAsia="zh-TW"/>
        </w:rPr>
        <w:t xml:space="preserve"> predicts a relationship between the composition of an organisation’s revenue and the mix of services that it provides,</w:t>
      </w:r>
      <w:r w:rsidR="007B7D77" w:rsidRPr="000628A0">
        <w:rPr>
          <w:rFonts w:asciiTheme="majorBidi" w:eastAsia="PMingLiU" w:hAnsiTheme="majorBidi" w:cstheme="majorBidi"/>
          <w:lang w:eastAsia="zh-TW"/>
        </w:rPr>
        <w:t xml:space="preserve"> </w:t>
      </w:r>
      <w:r w:rsidR="00D557F8" w:rsidRPr="000628A0">
        <w:rPr>
          <w:rFonts w:asciiTheme="majorBidi" w:eastAsia="PMingLiU" w:hAnsiTheme="majorBidi" w:cstheme="majorBidi"/>
          <w:lang w:eastAsia="zh-TW"/>
        </w:rPr>
        <w:t xml:space="preserve">this paper provides an opportunity to </w:t>
      </w:r>
      <w:r w:rsidR="00E835B7" w:rsidRPr="000628A0">
        <w:rPr>
          <w:rFonts w:asciiTheme="majorBidi" w:eastAsia="PMingLiU" w:hAnsiTheme="majorBidi" w:cstheme="majorBidi"/>
          <w:lang w:eastAsia="zh-TW"/>
        </w:rPr>
        <w:t>use empirical information on t</w:t>
      </w:r>
      <w:r w:rsidR="00E835B7" w:rsidRPr="000628A0">
        <w:rPr>
          <w:rFonts w:asciiTheme="majorBidi" w:hAnsiTheme="majorBidi" w:cstheme="majorBidi"/>
          <w:color w:val="231F20"/>
        </w:rPr>
        <w:t>he diversity of charities’ revenue</w:t>
      </w:r>
      <w:r w:rsidR="00E835B7" w:rsidRPr="000628A0">
        <w:rPr>
          <w:rFonts w:asciiTheme="majorBidi" w:eastAsia="PMingLiU" w:hAnsiTheme="majorBidi" w:cstheme="majorBidi"/>
          <w:lang w:eastAsia="zh-TW"/>
        </w:rPr>
        <w:t xml:space="preserve"> to provide</w:t>
      </w:r>
      <w:r w:rsidR="007A0175" w:rsidRPr="000628A0">
        <w:rPr>
          <w:rFonts w:asciiTheme="majorBidi" w:eastAsia="PMingLiU" w:hAnsiTheme="majorBidi" w:cstheme="majorBidi"/>
          <w:lang w:eastAsia="zh-TW"/>
        </w:rPr>
        <w:t xml:space="preserve"> insights into the diversity of charities’</w:t>
      </w:r>
      <w:r w:rsidR="00E835B7" w:rsidRPr="000628A0">
        <w:rPr>
          <w:rFonts w:asciiTheme="majorBidi" w:eastAsia="PMingLiU" w:hAnsiTheme="majorBidi" w:cstheme="majorBidi"/>
          <w:lang w:eastAsia="zh-TW"/>
        </w:rPr>
        <w:t xml:space="preserve"> mission</w:t>
      </w:r>
      <w:r w:rsidR="007A0175" w:rsidRPr="000628A0">
        <w:rPr>
          <w:rFonts w:asciiTheme="majorBidi" w:hAnsiTheme="majorBidi" w:cstheme="majorBidi"/>
          <w:color w:val="231F20"/>
        </w:rPr>
        <w:t>.</w:t>
      </w:r>
    </w:p>
    <w:p w:rsidR="00A21AF3" w:rsidRPr="000628A0" w:rsidRDefault="00A21AF3" w:rsidP="00A21AF3">
      <w:pPr>
        <w:spacing w:line="480" w:lineRule="auto"/>
        <w:rPr>
          <w:rFonts w:asciiTheme="majorBidi" w:eastAsia="PMingLiU" w:hAnsiTheme="majorBidi" w:cstheme="majorBidi"/>
          <w:lang w:eastAsia="zh-TW"/>
        </w:rPr>
      </w:pPr>
    </w:p>
    <w:p w:rsidR="00B6428B" w:rsidRDefault="0075027F" w:rsidP="00FC6B0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Third, in addressing the empirical and theoretical aims above, we seek to improve the statistical evidence base </w:t>
      </w:r>
      <w:r w:rsidR="00B6428B" w:rsidRPr="000628A0">
        <w:rPr>
          <w:rFonts w:asciiTheme="majorBidi" w:eastAsia="PMingLiU" w:hAnsiTheme="majorBidi" w:cstheme="majorBidi"/>
          <w:lang w:eastAsia="zh-TW"/>
        </w:rPr>
        <w:t xml:space="preserve">on the </w:t>
      </w:r>
      <w:r w:rsidRPr="000628A0">
        <w:rPr>
          <w:rFonts w:asciiTheme="majorBidi" w:eastAsia="PMingLiU" w:hAnsiTheme="majorBidi" w:cstheme="majorBidi"/>
          <w:lang w:eastAsia="zh-TW"/>
        </w:rPr>
        <w:t>income of voluntary organisations</w:t>
      </w:r>
      <w:r w:rsidR="004E3461">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Tarling</w:t>
      </w:r>
      <w:r w:rsidR="004E3461">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2000</w:t>
      </w:r>
      <w:r w:rsidR="004E3461">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UK Statistics Authority</w:t>
      </w:r>
      <w:r w:rsidR="004E3461">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2012). This challenge is not unique to the UK.</w:t>
      </w:r>
      <w:r w:rsidR="00B6428B" w:rsidRPr="000628A0">
        <w:rPr>
          <w:rFonts w:asciiTheme="majorBidi" w:eastAsia="PMingLiU" w:hAnsiTheme="majorBidi" w:cstheme="majorBidi"/>
          <w:color w:val="000000"/>
          <w:lang w:eastAsia="zh-TW"/>
        </w:rPr>
        <w:t xml:space="preserve"> Despite </w:t>
      </w:r>
      <w:r w:rsidR="00B6428B" w:rsidRPr="000628A0">
        <w:rPr>
          <w:rFonts w:asciiTheme="majorBidi" w:eastAsia="PMingLiU" w:hAnsiTheme="majorBidi" w:cstheme="majorBidi"/>
          <w:lang w:eastAsia="zh-TW"/>
        </w:rPr>
        <w:t>the long tradition of analyses of datasets and nonprofit organisations in the US, equivalent data are not yet readily available there: nonprofits are registered with the Internal Revenue Service and, since the data are public, searches of particular organisations are possible, but the data are not readily aggregated, categorised or studied statistically (Noveck and Goroff, 2013).</w:t>
      </w:r>
      <w:r w:rsidR="003014DD" w:rsidRPr="000628A0">
        <w:rPr>
          <w:rFonts w:asciiTheme="majorBidi" w:eastAsia="PMingLiU" w:hAnsiTheme="majorBidi" w:cstheme="majorBidi"/>
          <w:lang w:eastAsia="zh-TW"/>
        </w:rPr>
        <w:t xml:space="preserve"> </w:t>
      </w:r>
    </w:p>
    <w:p w:rsidR="000C2EB9" w:rsidRPr="000628A0" w:rsidRDefault="000C2EB9"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vertAlign w:val="superscript"/>
          <w:lang w:eastAsia="zh-TW"/>
        </w:rPr>
      </w:pPr>
      <w:r w:rsidRPr="000628A0">
        <w:rPr>
          <w:rFonts w:asciiTheme="majorBidi" w:eastAsia="PMingLiU" w:hAnsiTheme="majorBidi" w:cstheme="majorBidi"/>
          <w:lang w:eastAsia="zh-TW"/>
        </w:rPr>
        <w:t>Seaman and Young (2010, page 10)</w:t>
      </w:r>
      <w:r w:rsidR="00B6428B"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identify the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serious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need for greater specificity in income categories, including the separation of government income from fees from </w:t>
      </w:r>
      <w:r w:rsidRPr="000628A0">
        <w:rPr>
          <w:rFonts w:asciiTheme="majorBidi" w:eastAsia="PMingLiU" w:hAnsiTheme="majorBidi" w:cstheme="majorBidi"/>
          <w:lang w:eastAsia="zh-TW"/>
        </w:rPr>
        <w:lastRenderedPageBreak/>
        <w:t xml:space="preserve">individuals (page 11), </w:t>
      </w:r>
      <w:r w:rsidR="00B6428B" w:rsidRPr="000628A0">
        <w:rPr>
          <w:rFonts w:asciiTheme="majorBidi" w:eastAsia="PMingLiU" w:hAnsiTheme="majorBidi" w:cstheme="majorBidi"/>
          <w:lang w:eastAsia="zh-TW"/>
        </w:rPr>
        <w:t xml:space="preserve">a matter </w:t>
      </w:r>
      <w:r w:rsidRPr="000628A0">
        <w:rPr>
          <w:rFonts w:asciiTheme="majorBidi" w:eastAsia="PMingLiU" w:hAnsiTheme="majorBidi" w:cstheme="majorBidi"/>
          <w:lang w:eastAsia="zh-TW"/>
        </w:rPr>
        <w:t xml:space="preserve">that is becoming even more important in an era of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hybrid</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organisations.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It has been argued that otherwise promising and innovative work on voluntary organisations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income composition in the US has been significantly hampered by the conflation of private fees from individuals with income from government (Fischer </w:t>
      </w:r>
      <w:r w:rsidRPr="000628A0">
        <w:rPr>
          <w:rFonts w:asciiTheme="majorBidi" w:eastAsia="PMingLiU" w:hAnsiTheme="majorBidi" w:cstheme="majorBidi"/>
          <w:i/>
          <w:iCs/>
          <w:lang w:eastAsia="zh-TW"/>
        </w:rPr>
        <w:t>et al.</w:t>
      </w:r>
      <w:r w:rsidRPr="000628A0">
        <w:rPr>
          <w:rFonts w:asciiTheme="majorBidi" w:eastAsia="PMingLiU" w:hAnsiTheme="majorBidi" w:cstheme="majorBidi"/>
          <w:lang w:eastAsia="zh-TW"/>
        </w:rPr>
        <w:t xml:space="preserve">, 2011; Wilsker and Young, 2010; Young </w:t>
      </w:r>
      <w:r w:rsidRPr="000628A0">
        <w:rPr>
          <w:rFonts w:asciiTheme="majorBidi" w:eastAsia="PMingLiU" w:hAnsiTheme="majorBidi" w:cstheme="majorBidi"/>
          <w:i/>
          <w:iCs/>
          <w:lang w:eastAsia="zh-TW"/>
        </w:rPr>
        <w:t>et al.</w:t>
      </w:r>
      <w:r w:rsidRPr="000628A0">
        <w:rPr>
          <w:rFonts w:asciiTheme="majorBidi" w:eastAsia="PMingLiU" w:hAnsiTheme="majorBidi" w:cstheme="majorBidi"/>
          <w:lang w:eastAsia="zh-TW"/>
        </w:rPr>
        <w:t>, 2010).</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Therefore, the data analysed in this paper offers new opportunities for examining the income composition of </w:t>
      </w:r>
      <w:r w:rsidR="00975741" w:rsidRPr="000628A0">
        <w:rPr>
          <w:rFonts w:asciiTheme="majorBidi" w:eastAsia="PMingLiU" w:hAnsiTheme="majorBidi" w:cstheme="majorBidi"/>
          <w:lang w:eastAsia="zh-TW"/>
        </w:rPr>
        <w:t>voluntary organisations</w:t>
      </w:r>
      <w:r w:rsidR="004934DE" w:rsidRPr="000628A0">
        <w:rPr>
          <w:rFonts w:asciiTheme="majorBidi" w:eastAsia="PMingLiU" w:hAnsiTheme="majorBidi" w:cstheme="majorBidi"/>
          <w:lang w:eastAsia="zh-TW"/>
        </w:rPr>
        <w:t>.</w:t>
      </w:r>
    </w:p>
    <w:p w:rsidR="004934DE" w:rsidRPr="000628A0" w:rsidRDefault="004934DE" w:rsidP="00FC6B07">
      <w:pPr>
        <w:spacing w:line="480" w:lineRule="auto"/>
        <w:rPr>
          <w:rFonts w:asciiTheme="majorBidi" w:eastAsia="PMingLiU" w:hAnsiTheme="majorBidi" w:cstheme="majorBidi"/>
          <w:lang w:eastAsia="zh-TW"/>
        </w:rPr>
      </w:pPr>
    </w:p>
    <w:p w:rsidR="0075027F" w:rsidRPr="000628A0" w:rsidRDefault="0075027F" w:rsidP="007C324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We first elaborate on the theoretical background to our work and then move on to a discussion of the data and approach adopted in this paper.</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After presenting the results, we relate our empirical findings to influential theory about the role of voluntary organisations, and to prominent substantive discussions about the nature of the charitable sector. </w:t>
      </w:r>
    </w:p>
    <w:p w:rsidR="00932AEB" w:rsidRPr="000628A0" w:rsidRDefault="00932AEB" w:rsidP="00FC6B07">
      <w:pPr>
        <w:spacing w:line="480" w:lineRule="auto"/>
        <w:rPr>
          <w:rFonts w:asciiTheme="majorBidi" w:eastAsia="PMingLiU" w:hAnsiTheme="majorBidi" w:cstheme="majorBidi"/>
          <w:u w:val="single"/>
          <w:lang w:eastAsia="zh-TW"/>
        </w:rPr>
      </w:pPr>
    </w:p>
    <w:p w:rsidR="0075027F" w:rsidRPr="000628A0" w:rsidRDefault="0075027F" w:rsidP="00FC6B07">
      <w:pPr>
        <w:spacing w:line="480" w:lineRule="auto"/>
        <w:rPr>
          <w:rFonts w:asciiTheme="majorBidi" w:eastAsia="PMingLiU" w:hAnsiTheme="majorBidi" w:cstheme="majorBidi"/>
          <w:b/>
          <w:bCs/>
          <w:lang w:eastAsia="zh-TW"/>
        </w:rPr>
      </w:pPr>
      <w:r w:rsidRPr="000628A0">
        <w:rPr>
          <w:rFonts w:asciiTheme="majorBidi" w:eastAsia="PMingLiU" w:hAnsiTheme="majorBidi" w:cstheme="majorBidi"/>
          <w:b/>
          <w:bCs/>
          <w:lang w:eastAsia="zh-TW"/>
        </w:rPr>
        <w:t>Theoretical perspectives: the benefits theory of voluntary sector finances</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811D8B">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An empirical examination of income sources at the organisation level provides an opportunity to evaluate theoretical predictions regarding the different roles that voluntary organisations play in a mixed economy.</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The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benefits theory of nonprofit finance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w:t>
      </w:r>
      <w:r w:rsidR="00B6428B" w:rsidRPr="000628A0">
        <w:rPr>
          <w:rFonts w:asciiTheme="majorBidi" w:eastAsia="PMingLiU" w:hAnsiTheme="majorBidi" w:cstheme="majorBidi"/>
          <w:lang w:eastAsia="zh-TW"/>
        </w:rPr>
        <w:t xml:space="preserve">connects </w:t>
      </w:r>
      <w:r w:rsidRPr="000628A0">
        <w:rPr>
          <w:rFonts w:asciiTheme="majorBidi" w:eastAsia="PMingLiU" w:hAnsiTheme="majorBidi" w:cstheme="majorBidi"/>
          <w:lang w:eastAsia="zh-TW"/>
        </w:rPr>
        <w:t>the composition of an organisation</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s income and the nature of the benefits that it provides (Young, 2007; Young </w:t>
      </w:r>
      <w:r w:rsidRPr="000628A0">
        <w:rPr>
          <w:rFonts w:asciiTheme="majorBidi" w:eastAsia="PMingLiU" w:hAnsiTheme="majorBidi" w:cstheme="majorBidi"/>
          <w:i/>
          <w:iCs/>
          <w:lang w:eastAsia="zh-TW"/>
        </w:rPr>
        <w:t>et al.</w:t>
      </w:r>
      <w:r w:rsidRPr="000628A0">
        <w:rPr>
          <w:rFonts w:asciiTheme="majorBidi" w:eastAsia="PMingLiU" w:hAnsiTheme="majorBidi" w:cstheme="majorBidi"/>
          <w:lang w:eastAsia="zh-TW"/>
        </w:rPr>
        <w:t>, 2010).</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This perspective therefore connects the abstract propositions of foundational theories designed to account for the existence of voluntary organisations, on the one hand, and the income composition of individual organisations on the other. Commentators such as Weisbrod (1975), Hansmann (1980</w:t>
      </w:r>
      <w:r w:rsidR="004934DE"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1981) and Salamon (1987) have argued that particular income </w:t>
      </w:r>
      <w:r w:rsidRPr="000628A0">
        <w:rPr>
          <w:rFonts w:asciiTheme="majorBidi" w:eastAsia="PMingLiU" w:hAnsiTheme="majorBidi" w:cstheme="majorBidi"/>
          <w:lang w:eastAsia="zh-TW"/>
        </w:rPr>
        <w:lastRenderedPageBreak/>
        <w:t>sources are associated with particular roles played by individual organisations.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Therefore, describing patterns in the income composition of voluntary organisations </w:t>
      </w:r>
      <w:r w:rsidR="00B6428B" w:rsidRPr="000628A0">
        <w:rPr>
          <w:rFonts w:asciiTheme="majorBidi" w:eastAsia="PMingLiU" w:hAnsiTheme="majorBidi" w:cstheme="majorBidi"/>
          <w:lang w:eastAsia="zh-TW"/>
        </w:rPr>
        <w:t xml:space="preserve">provides </w:t>
      </w:r>
      <w:r w:rsidRPr="000628A0">
        <w:rPr>
          <w:rFonts w:asciiTheme="majorBidi" w:eastAsia="PMingLiU" w:hAnsiTheme="majorBidi" w:cstheme="majorBidi"/>
          <w:lang w:eastAsia="zh-TW"/>
        </w:rPr>
        <w:t xml:space="preserve">insights into aggregate patterns in the nature of goods that charities provide (Young, 2007; Weisbrod, 1988). </w:t>
      </w:r>
    </w:p>
    <w:p w:rsidR="004934DE" w:rsidRPr="000628A0" w:rsidRDefault="004934DE" w:rsidP="00FC6B07">
      <w:pPr>
        <w:spacing w:line="480" w:lineRule="auto"/>
        <w:rPr>
          <w:rFonts w:asciiTheme="majorBidi" w:eastAsia="PMingLiU" w:hAnsiTheme="majorBidi" w:cstheme="majorBidi"/>
          <w:lang w:eastAsia="zh-TW"/>
        </w:rPr>
      </w:pPr>
    </w:p>
    <w:p w:rsidR="002E268F" w:rsidRPr="000628A0" w:rsidRDefault="0075027F" w:rsidP="00347F3C">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First, donations from individuals are associated with the provision of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public</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or</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collective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goods that are not supplied by the market or the state.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Economic theorists emphasise this as a central role for voluntary organisations.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Thus Weisbrod (1975; 1988) explains how these goods are undersupplied by the market, since consumers have the opportunity to consume them without paying, while the state only</w:t>
      </w:r>
      <w:r w:rsidR="00B6428B" w:rsidRPr="000628A0">
        <w:rPr>
          <w:rFonts w:asciiTheme="majorBidi" w:eastAsia="PMingLiU" w:hAnsiTheme="majorBidi" w:cstheme="majorBidi"/>
          <w:lang w:eastAsia="zh-TW"/>
        </w:rPr>
        <w:t xml:space="preserve"> responds to the demands </w:t>
      </w:r>
      <w:r w:rsidRPr="000628A0">
        <w:rPr>
          <w:rFonts w:asciiTheme="majorBidi" w:eastAsia="PMingLiU" w:hAnsiTheme="majorBidi" w:cstheme="majorBidi"/>
          <w:lang w:eastAsia="zh-TW"/>
        </w:rPr>
        <w:t xml:space="preserve">of the electorate, typified by the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median voter</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 so voluntary organisations provide for the unsatisfied demand for collective goods.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Pure collective goods are nonexcludable (it is hard to </w:t>
      </w:r>
      <w:r w:rsidR="00A57792" w:rsidRPr="000628A0">
        <w:rPr>
          <w:rFonts w:asciiTheme="majorBidi" w:eastAsia="PMingLiU" w:hAnsiTheme="majorBidi" w:cstheme="majorBidi"/>
          <w:lang w:eastAsia="zh-TW"/>
        </w:rPr>
        <w:t xml:space="preserve">prevent </w:t>
      </w:r>
      <w:r w:rsidRPr="000628A0">
        <w:rPr>
          <w:rFonts w:asciiTheme="majorBidi" w:eastAsia="PMingLiU" w:hAnsiTheme="majorBidi" w:cstheme="majorBidi"/>
          <w:lang w:eastAsia="zh-TW"/>
        </w:rPr>
        <w:t>people from consuming the good) and nonrival (adding more consumers does not diminish the value of the good for others).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However, other goods are considered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quasi-collective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 particularly those that accrue to disadvantaged individuals unable to pay for them.</w:t>
      </w:r>
      <w:r w:rsidR="00CE05ED" w:rsidRPr="000628A0">
        <w:rPr>
          <w:rFonts w:asciiTheme="majorBidi" w:eastAsia="PMingLiU" w:hAnsiTheme="majorBidi" w:cstheme="majorBidi"/>
          <w:lang w:eastAsia="zh-TW"/>
        </w:rPr>
        <w:t xml:space="preserve"> </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In these cases the goods are valued by all who care about these disadvantaged groups (Steinberg, 2006; Young </w:t>
      </w:r>
      <w:r w:rsidRPr="000628A0">
        <w:rPr>
          <w:rFonts w:asciiTheme="majorBidi" w:eastAsia="PMingLiU" w:hAnsiTheme="majorBidi" w:cstheme="majorBidi"/>
          <w:i/>
          <w:iCs/>
          <w:lang w:eastAsia="zh-TW"/>
        </w:rPr>
        <w:t>et al.</w:t>
      </w:r>
      <w:r w:rsidRPr="000628A0">
        <w:rPr>
          <w:rFonts w:asciiTheme="majorBidi" w:eastAsia="PMingLiU" w:hAnsiTheme="majorBidi" w:cstheme="majorBidi"/>
          <w:iCs/>
          <w:lang w:eastAsia="zh-TW"/>
        </w:rPr>
        <w:t>,</w:t>
      </w:r>
      <w:r w:rsidRPr="000628A0">
        <w:rPr>
          <w:rFonts w:asciiTheme="majorBidi" w:eastAsia="PMingLiU" w:hAnsiTheme="majorBidi" w:cstheme="majorBidi"/>
          <w:lang w:eastAsia="zh-TW"/>
        </w:rPr>
        <w:t xml:space="preserve"> 2010). </w:t>
      </w:r>
      <w:r w:rsidR="004F4AC8" w:rsidRPr="000628A0">
        <w:rPr>
          <w:rFonts w:asciiTheme="majorBidi" w:eastAsia="PMingLiU" w:hAnsiTheme="majorBidi" w:cstheme="majorBidi"/>
          <w:lang w:eastAsia="zh-TW"/>
        </w:rPr>
        <w:t xml:space="preserve"> </w:t>
      </w:r>
      <w:r w:rsidR="002401F0" w:rsidRPr="000628A0">
        <w:rPr>
          <w:rFonts w:asciiTheme="majorBidi" w:eastAsia="PMingLiU" w:hAnsiTheme="majorBidi" w:cstheme="majorBidi"/>
          <w:lang w:eastAsia="zh-TW"/>
        </w:rPr>
        <w:t xml:space="preserve">Note that the collective benefits </w:t>
      </w:r>
      <w:r w:rsidR="00221FEC" w:rsidRPr="000628A0">
        <w:rPr>
          <w:rFonts w:asciiTheme="majorBidi" w:eastAsia="PMingLiU" w:hAnsiTheme="majorBidi" w:cstheme="majorBidi"/>
          <w:lang w:eastAsia="zh-TW"/>
        </w:rPr>
        <w:t>that many</w:t>
      </w:r>
      <w:r w:rsidR="002401F0" w:rsidRPr="000628A0">
        <w:rPr>
          <w:rFonts w:asciiTheme="majorBidi" w:eastAsia="PMingLiU" w:hAnsiTheme="majorBidi" w:cstheme="majorBidi"/>
          <w:lang w:eastAsia="zh-TW"/>
        </w:rPr>
        <w:t xml:space="preserve"> organisations provide can be regarded as ‘group benefits’ since they are provided on </w:t>
      </w:r>
      <w:r w:rsidR="00946D92" w:rsidRPr="000628A0">
        <w:rPr>
          <w:rFonts w:asciiTheme="majorBidi" w:eastAsia="PMingLiU" w:hAnsiTheme="majorBidi" w:cstheme="majorBidi"/>
          <w:lang w:eastAsia="zh-TW"/>
        </w:rPr>
        <w:t xml:space="preserve">a </w:t>
      </w:r>
      <w:r w:rsidR="002401F0" w:rsidRPr="000628A0">
        <w:rPr>
          <w:rFonts w:asciiTheme="majorBidi" w:eastAsia="PMingLiU" w:hAnsiTheme="majorBidi" w:cstheme="majorBidi"/>
          <w:lang w:eastAsia="zh-TW"/>
        </w:rPr>
        <w:t xml:space="preserve">‘selective and focused’ basis, catering for particular segments of the population, and </w:t>
      </w:r>
      <w:r w:rsidR="00E2639B">
        <w:rPr>
          <w:rFonts w:asciiTheme="majorBidi" w:eastAsia="PMingLiU" w:hAnsiTheme="majorBidi" w:cstheme="majorBidi"/>
          <w:lang w:eastAsia="zh-TW"/>
        </w:rPr>
        <w:t xml:space="preserve">they </w:t>
      </w:r>
      <w:r w:rsidR="002401F0" w:rsidRPr="000628A0">
        <w:rPr>
          <w:rFonts w:asciiTheme="majorBidi" w:eastAsia="PMingLiU" w:hAnsiTheme="majorBidi" w:cstheme="majorBidi"/>
          <w:lang w:eastAsia="zh-TW"/>
        </w:rPr>
        <w:t>may not appeal to the ‘wider general public</w:t>
      </w:r>
      <w:r w:rsidR="00CF4ABA" w:rsidRPr="000628A0">
        <w:rPr>
          <w:rFonts w:asciiTheme="majorBidi" w:eastAsia="PMingLiU" w:hAnsiTheme="majorBidi" w:cstheme="majorBidi"/>
          <w:lang w:eastAsia="zh-TW"/>
        </w:rPr>
        <w:t>’</w:t>
      </w:r>
      <w:r w:rsidR="002401F0" w:rsidRPr="000628A0">
        <w:rPr>
          <w:rFonts w:asciiTheme="majorBidi" w:eastAsia="PMingLiU" w:hAnsiTheme="majorBidi" w:cstheme="majorBidi"/>
          <w:lang w:eastAsia="zh-TW"/>
        </w:rPr>
        <w:t xml:space="preserve"> (Young</w:t>
      </w:r>
      <w:r w:rsidR="003A5078" w:rsidRPr="000628A0">
        <w:rPr>
          <w:rFonts w:asciiTheme="majorBidi" w:eastAsia="PMingLiU" w:hAnsiTheme="majorBidi" w:cstheme="majorBidi"/>
          <w:lang w:eastAsia="zh-TW"/>
        </w:rPr>
        <w:t>,</w:t>
      </w:r>
      <w:r w:rsidR="00347F3C">
        <w:rPr>
          <w:rFonts w:asciiTheme="majorBidi" w:eastAsia="PMingLiU" w:hAnsiTheme="majorBidi" w:cstheme="majorBidi"/>
          <w:lang w:eastAsia="zh-TW"/>
        </w:rPr>
        <w:t xml:space="preserve"> 2007</w:t>
      </w:r>
      <w:r w:rsidR="002401F0" w:rsidRPr="000628A0">
        <w:rPr>
          <w:rFonts w:asciiTheme="majorBidi" w:eastAsia="PMingLiU" w:hAnsiTheme="majorBidi" w:cstheme="majorBidi"/>
          <w:lang w:eastAsia="zh-TW"/>
        </w:rPr>
        <w:t>, p</w:t>
      </w:r>
      <w:r w:rsidR="00946D92" w:rsidRPr="000628A0">
        <w:rPr>
          <w:rFonts w:asciiTheme="majorBidi" w:eastAsia="PMingLiU" w:hAnsiTheme="majorBidi" w:cstheme="majorBidi"/>
          <w:lang w:eastAsia="zh-TW"/>
        </w:rPr>
        <w:t xml:space="preserve">age </w:t>
      </w:r>
      <w:r w:rsidR="002401F0" w:rsidRPr="000628A0">
        <w:rPr>
          <w:rFonts w:asciiTheme="majorBidi" w:eastAsia="PMingLiU" w:hAnsiTheme="majorBidi" w:cstheme="majorBidi"/>
          <w:lang w:eastAsia="zh-TW"/>
        </w:rPr>
        <w:t>346)</w:t>
      </w:r>
      <w:r w:rsidR="00946D92" w:rsidRPr="000628A0">
        <w:rPr>
          <w:rFonts w:asciiTheme="majorBidi" w:eastAsia="PMingLiU" w:hAnsiTheme="majorBidi" w:cstheme="majorBidi"/>
          <w:lang w:eastAsia="zh-TW"/>
        </w:rPr>
        <w:t xml:space="preserve">.  </w:t>
      </w:r>
      <w:r w:rsidR="002E268F" w:rsidRPr="000628A0">
        <w:rPr>
          <w:rFonts w:asciiTheme="majorBidi" w:eastAsia="PMingLiU" w:hAnsiTheme="majorBidi" w:cstheme="majorBidi"/>
          <w:lang w:eastAsia="zh-TW"/>
        </w:rPr>
        <w:t>However, while this</w:t>
      </w:r>
      <w:r w:rsidR="00946D92" w:rsidRPr="000628A0">
        <w:rPr>
          <w:rFonts w:asciiTheme="majorBidi" w:eastAsia="PMingLiU" w:hAnsiTheme="majorBidi" w:cstheme="majorBidi"/>
          <w:lang w:eastAsia="zh-TW"/>
        </w:rPr>
        <w:t xml:space="preserve"> distin</w:t>
      </w:r>
      <w:r w:rsidR="002E268F" w:rsidRPr="000628A0">
        <w:rPr>
          <w:rFonts w:asciiTheme="majorBidi" w:eastAsia="PMingLiU" w:hAnsiTheme="majorBidi" w:cstheme="majorBidi"/>
          <w:lang w:eastAsia="zh-TW"/>
        </w:rPr>
        <w:t>c</w:t>
      </w:r>
      <w:r w:rsidR="00946D92" w:rsidRPr="000628A0">
        <w:rPr>
          <w:rFonts w:asciiTheme="majorBidi" w:eastAsia="PMingLiU" w:hAnsiTheme="majorBidi" w:cstheme="majorBidi"/>
          <w:lang w:eastAsia="zh-TW"/>
        </w:rPr>
        <w:t xml:space="preserve">tion between ‘group benefits’ and wider ‘public benefits’ is </w:t>
      </w:r>
      <w:r w:rsidR="002E268F" w:rsidRPr="000628A0">
        <w:rPr>
          <w:rFonts w:asciiTheme="majorBidi" w:eastAsia="PMingLiU" w:hAnsiTheme="majorBidi" w:cstheme="majorBidi"/>
          <w:lang w:eastAsia="zh-TW"/>
        </w:rPr>
        <w:t xml:space="preserve">a useful one, it is also </w:t>
      </w:r>
      <w:r w:rsidR="00946D92" w:rsidRPr="000628A0">
        <w:rPr>
          <w:rFonts w:asciiTheme="majorBidi" w:eastAsia="PMingLiU" w:hAnsiTheme="majorBidi" w:cstheme="majorBidi"/>
          <w:lang w:eastAsia="zh-TW"/>
        </w:rPr>
        <w:t>‘necessa</w:t>
      </w:r>
      <w:r w:rsidR="002E268F" w:rsidRPr="000628A0">
        <w:rPr>
          <w:rFonts w:asciiTheme="majorBidi" w:eastAsia="PMingLiU" w:hAnsiTheme="majorBidi" w:cstheme="majorBidi"/>
          <w:lang w:eastAsia="zh-TW"/>
        </w:rPr>
        <w:t>rily fuzzy’ (Young</w:t>
      </w:r>
      <w:r w:rsidR="003A5078" w:rsidRPr="000628A0">
        <w:rPr>
          <w:rFonts w:asciiTheme="majorBidi" w:eastAsia="PMingLiU" w:hAnsiTheme="majorBidi" w:cstheme="majorBidi"/>
          <w:lang w:eastAsia="zh-TW"/>
        </w:rPr>
        <w:t>,</w:t>
      </w:r>
      <w:r w:rsidR="00347F3C">
        <w:rPr>
          <w:rFonts w:asciiTheme="majorBidi" w:eastAsia="PMingLiU" w:hAnsiTheme="majorBidi" w:cstheme="majorBidi"/>
          <w:lang w:eastAsia="zh-TW"/>
        </w:rPr>
        <w:t xml:space="preserve"> 2007</w:t>
      </w:r>
      <w:r w:rsidR="002E268F" w:rsidRPr="000628A0">
        <w:rPr>
          <w:rFonts w:asciiTheme="majorBidi" w:eastAsia="PMingLiU" w:hAnsiTheme="majorBidi" w:cstheme="majorBidi"/>
          <w:lang w:eastAsia="zh-TW"/>
        </w:rPr>
        <w:t>, page 347) and we are not able to operationalise this distinction in our empirical work in this paper</w:t>
      </w:r>
      <w:r w:rsidR="00A8631F" w:rsidRPr="000628A0">
        <w:rPr>
          <w:rStyle w:val="EndnoteReference"/>
          <w:rFonts w:asciiTheme="majorBidi" w:eastAsia="PMingLiU" w:hAnsiTheme="majorBidi" w:cstheme="majorBidi"/>
          <w:lang w:eastAsia="zh-TW"/>
        </w:rPr>
        <w:endnoteReference w:id="4"/>
      </w:r>
      <w:r w:rsidR="002E268F" w:rsidRPr="000628A0">
        <w:rPr>
          <w:rFonts w:asciiTheme="majorBidi" w:eastAsia="PMingLiU" w:hAnsiTheme="majorBidi" w:cstheme="majorBidi"/>
          <w:lang w:eastAsia="zh-TW"/>
        </w:rPr>
        <w:t>.</w:t>
      </w:r>
    </w:p>
    <w:p w:rsidR="00284601" w:rsidRPr="000628A0" w:rsidRDefault="00284601"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lastRenderedPageBreak/>
        <w:t xml:space="preserve">Second, fees from individuals are associated with the provision of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private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benefits and services</w:t>
      </w:r>
      <w:r w:rsidR="00B6428B" w:rsidRPr="000628A0">
        <w:rPr>
          <w:rFonts w:asciiTheme="majorBidi" w:eastAsia="PMingLiU" w:hAnsiTheme="majorBidi" w:cstheme="majorBidi"/>
          <w:lang w:eastAsia="zh-TW"/>
        </w:rPr>
        <w:t xml:space="preserve"> to </w:t>
      </w:r>
      <w:r w:rsidRPr="000628A0">
        <w:rPr>
          <w:rFonts w:asciiTheme="majorBidi" w:eastAsia="PMingLiU" w:hAnsiTheme="majorBidi" w:cstheme="majorBidi"/>
          <w:lang w:eastAsia="zh-TW"/>
        </w:rPr>
        <w:t>individual recipients.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Hansmann (1980; 1996) explains how voluntary organisations provide services where it is hard for consumers to evaluate the quantity or quality of the goods provided.</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This may be</w:t>
      </w:r>
      <w:r w:rsidR="00B6428B" w:rsidRPr="000628A0">
        <w:rPr>
          <w:rFonts w:asciiTheme="majorBidi" w:eastAsia="PMingLiU" w:hAnsiTheme="majorBidi" w:cstheme="majorBidi"/>
          <w:lang w:eastAsia="zh-TW"/>
        </w:rPr>
        <w:t xml:space="preserve"> because of the inherent</w:t>
      </w:r>
      <w:r w:rsidR="00317A24" w:rsidRPr="000628A0">
        <w:rPr>
          <w:rFonts w:asciiTheme="majorBidi" w:eastAsia="PMingLiU" w:hAnsiTheme="majorBidi" w:cstheme="majorBidi"/>
          <w:lang w:eastAsia="zh-TW"/>
        </w:rPr>
        <w:t xml:space="preserve"> challenges which face individual purchase</w:t>
      </w:r>
      <w:r w:rsidR="001E6E1A">
        <w:rPr>
          <w:rFonts w:asciiTheme="majorBidi" w:eastAsia="PMingLiU" w:hAnsiTheme="majorBidi" w:cstheme="majorBidi"/>
          <w:lang w:eastAsia="zh-TW"/>
        </w:rPr>
        <w:t>r</w:t>
      </w:r>
      <w:r w:rsidR="00317A24" w:rsidRPr="000628A0">
        <w:rPr>
          <w:rFonts w:asciiTheme="majorBidi" w:eastAsia="PMingLiU" w:hAnsiTheme="majorBidi" w:cstheme="majorBidi"/>
          <w:lang w:eastAsia="zh-TW"/>
        </w:rPr>
        <w:t xml:space="preserve">s in assessing </w:t>
      </w:r>
      <w:r w:rsidR="00A57792" w:rsidRPr="000628A0">
        <w:rPr>
          <w:rFonts w:asciiTheme="majorBidi" w:eastAsia="PMingLiU" w:hAnsiTheme="majorBidi" w:cstheme="majorBidi"/>
          <w:lang w:eastAsia="zh-TW"/>
        </w:rPr>
        <w:t>the costs and benefits of services</w:t>
      </w:r>
      <w:r w:rsidRPr="000628A0">
        <w:rPr>
          <w:rFonts w:asciiTheme="majorBidi" w:eastAsia="PMingLiU" w:hAnsiTheme="majorBidi" w:cstheme="majorBidi"/>
          <w:lang w:eastAsia="zh-TW"/>
        </w:rPr>
        <w:t>, as in education or long-term health and social care.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This judgement is made more difficult when the purchaser does not consume the service directly, as when relatives arrange care for the elderly.</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In such situations, forprofit providers may have an incentive to exploit</w:t>
      </w:r>
      <w:r w:rsidR="00317A24" w:rsidRPr="000628A0">
        <w:rPr>
          <w:rFonts w:asciiTheme="majorBidi" w:eastAsia="PMingLiU" w:hAnsiTheme="majorBidi" w:cstheme="majorBidi"/>
          <w:lang w:eastAsia="zh-TW"/>
        </w:rPr>
        <w:t xml:space="preserv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information asymmetries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w:t>
      </w:r>
      <w:r w:rsidR="00317A24" w:rsidRPr="000628A0">
        <w:rPr>
          <w:rFonts w:asciiTheme="majorBidi" w:eastAsia="PMingLiU" w:hAnsiTheme="majorBidi" w:cstheme="majorBidi"/>
          <w:lang w:eastAsia="zh-TW"/>
        </w:rPr>
        <w:t xml:space="preserve">but the </w:t>
      </w:r>
      <w:r w:rsidRPr="000628A0">
        <w:rPr>
          <w:rFonts w:asciiTheme="majorBidi" w:eastAsia="PMingLiU" w:hAnsiTheme="majorBidi" w:cstheme="majorBidi"/>
          <w:lang w:eastAsia="zh-TW"/>
        </w:rPr>
        <w:t>nondistributi</w:t>
      </w:r>
      <w:r w:rsidR="00E2639B">
        <w:rPr>
          <w:rFonts w:asciiTheme="majorBidi" w:eastAsia="PMingLiU" w:hAnsiTheme="majorBidi" w:cstheme="majorBidi"/>
          <w:lang w:eastAsia="zh-TW"/>
        </w:rPr>
        <w:t>o</w:t>
      </w:r>
      <w:r w:rsidRPr="000628A0">
        <w:rPr>
          <w:rFonts w:asciiTheme="majorBidi" w:eastAsia="PMingLiU" w:hAnsiTheme="majorBidi" w:cstheme="majorBidi"/>
          <w:lang w:eastAsia="zh-TW"/>
        </w:rPr>
        <w:t>n</w:t>
      </w:r>
      <w:r w:rsidR="00E2639B">
        <w:rPr>
          <w:rFonts w:asciiTheme="majorBidi" w:eastAsia="PMingLiU" w:hAnsiTheme="majorBidi" w:cstheme="majorBidi"/>
          <w:lang w:eastAsia="zh-TW"/>
        </w:rPr>
        <w:t xml:space="preserve"> constraint, a key defining </w:t>
      </w:r>
      <w:r w:rsidRPr="000628A0">
        <w:rPr>
          <w:rFonts w:asciiTheme="majorBidi" w:eastAsia="PMingLiU" w:hAnsiTheme="majorBidi" w:cstheme="majorBidi"/>
          <w:lang w:eastAsia="zh-TW"/>
        </w:rPr>
        <w:t>characteristic of voluntary organisations</w:t>
      </w:r>
      <w:r w:rsidR="00E2639B">
        <w:rPr>
          <w:rFonts w:asciiTheme="majorBidi" w:eastAsia="PMingLiU" w:hAnsiTheme="majorBidi" w:cstheme="majorBidi"/>
          <w:lang w:eastAsia="zh-TW"/>
        </w:rPr>
        <w:t xml:space="preserve">, </w:t>
      </w:r>
      <w:r w:rsidR="00317A24" w:rsidRPr="000628A0">
        <w:rPr>
          <w:rFonts w:asciiTheme="majorBidi" w:eastAsia="PMingLiU" w:hAnsiTheme="majorBidi" w:cstheme="majorBidi"/>
          <w:lang w:eastAsia="zh-TW"/>
        </w:rPr>
        <w:t xml:space="preserve">serves </w:t>
      </w:r>
      <w:r w:rsidRPr="000628A0">
        <w:rPr>
          <w:rFonts w:asciiTheme="majorBidi" w:eastAsia="PMingLiU" w:hAnsiTheme="majorBidi" w:cstheme="majorBidi"/>
          <w:lang w:eastAsia="zh-TW"/>
        </w:rPr>
        <w:t>as a signal of trustworthiness</w:t>
      </w:r>
      <w:r w:rsidR="00A57792" w:rsidRPr="000628A0">
        <w:rPr>
          <w:rFonts w:asciiTheme="majorBidi" w:eastAsia="PMingLiU" w:hAnsiTheme="majorBidi" w:cstheme="majorBidi"/>
          <w:lang w:eastAsia="zh-TW"/>
        </w:rPr>
        <w:t xml:space="preserve"> (Hansmann, 1980)</w:t>
      </w:r>
      <w:r w:rsidRPr="000628A0">
        <w:rPr>
          <w:rFonts w:asciiTheme="majorBidi" w:eastAsia="PMingLiU" w:hAnsiTheme="majorBidi" w:cstheme="majorBidi"/>
          <w:lang w:eastAsia="zh-TW"/>
        </w:rPr>
        <w:t>.</w:t>
      </w:r>
      <w:r w:rsidR="00A57792"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Note that trustworthiness can also form an important reason for voluntary organisations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involvement in the provision of quasi-collective goods, that are financed by donations, where information asymmetries are present.</w:t>
      </w:r>
      <w:r w:rsidR="003014DD" w:rsidRPr="000628A0">
        <w:rPr>
          <w:rFonts w:asciiTheme="majorBidi" w:eastAsia="PMingLiU" w:hAnsiTheme="majorBidi" w:cstheme="majorBidi"/>
          <w:lang w:eastAsia="zh-TW"/>
        </w:rPr>
        <w:t xml:space="preserve"> </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BA27D3">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Third, income from government is associated with the provision of public services, or services consistent with government priorities.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Salamon (1987)</w:t>
      </w:r>
      <w:r w:rsidR="008C5D9F" w:rsidRPr="000628A0">
        <w:rPr>
          <w:rFonts w:asciiTheme="majorBidi" w:eastAsia="PMingLiU" w:hAnsiTheme="majorBidi" w:cstheme="majorBidi"/>
          <w:lang w:eastAsia="zh-TW"/>
        </w:rPr>
        <w:t>’s theory of voluntary failure</w:t>
      </w:r>
      <w:r w:rsidRPr="000628A0">
        <w:rPr>
          <w:rFonts w:asciiTheme="majorBidi" w:eastAsia="PMingLiU" w:hAnsiTheme="majorBidi" w:cstheme="majorBidi"/>
          <w:lang w:eastAsia="zh-TW"/>
        </w:rPr>
        <w:t xml:space="preserve"> </w:t>
      </w:r>
      <w:r w:rsidR="008C5D9F" w:rsidRPr="000628A0">
        <w:rPr>
          <w:rFonts w:asciiTheme="majorBidi" w:eastAsia="PMingLiU" w:hAnsiTheme="majorBidi" w:cstheme="majorBidi"/>
          <w:lang w:eastAsia="zh-TW"/>
        </w:rPr>
        <w:t>provides</w:t>
      </w:r>
      <w:r w:rsidRPr="000628A0">
        <w:rPr>
          <w:rFonts w:asciiTheme="majorBidi" w:eastAsia="PMingLiU" w:hAnsiTheme="majorBidi" w:cstheme="majorBidi"/>
          <w:lang w:eastAsia="zh-TW"/>
        </w:rPr>
        <w:t xml:space="preserve"> a theoretical basis for </w:t>
      </w:r>
      <w:r w:rsidR="00A57792" w:rsidRPr="000628A0">
        <w:rPr>
          <w:rFonts w:asciiTheme="majorBidi" w:eastAsia="PMingLiU" w:hAnsiTheme="majorBidi" w:cstheme="majorBidi"/>
          <w:lang w:eastAsia="zh-TW"/>
        </w:rPr>
        <w:t xml:space="preserve">the entry of </w:t>
      </w:r>
      <w:r w:rsidRPr="000628A0">
        <w:rPr>
          <w:rFonts w:asciiTheme="majorBidi" w:eastAsia="PMingLiU" w:hAnsiTheme="majorBidi" w:cstheme="majorBidi"/>
          <w:lang w:eastAsia="zh-TW"/>
        </w:rPr>
        <w:t>voluntary organisations</w:t>
      </w:r>
      <w:r w:rsidR="00A57792" w:rsidRPr="000628A0">
        <w:rPr>
          <w:rFonts w:asciiTheme="majorBidi" w:eastAsia="PMingLiU" w:hAnsiTheme="majorBidi" w:cstheme="majorBidi"/>
          <w:lang w:eastAsia="zh-TW"/>
        </w:rPr>
        <w:t xml:space="preserve"> into partnerships </w:t>
      </w:r>
      <w:r w:rsidRPr="000628A0">
        <w:rPr>
          <w:rFonts w:asciiTheme="majorBidi" w:eastAsia="PMingLiU" w:hAnsiTheme="majorBidi" w:cstheme="majorBidi"/>
          <w:lang w:eastAsia="zh-TW"/>
        </w:rPr>
        <w:t>with government</w:t>
      </w:r>
      <w:r w:rsidR="00A57792" w:rsidRPr="000628A0">
        <w:rPr>
          <w:rFonts w:asciiTheme="majorBidi" w:eastAsia="PMingLiU" w:hAnsiTheme="majorBidi" w:cstheme="majorBidi"/>
          <w:lang w:eastAsia="zh-TW"/>
        </w:rPr>
        <w:t xml:space="preserve"> to provide services. </w:t>
      </w:r>
      <w:r w:rsidR="000A0B21" w:rsidRPr="000628A0">
        <w:rPr>
          <w:rFonts w:asciiTheme="majorBidi" w:eastAsia="PMingLiU" w:hAnsiTheme="majorBidi" w:cstheme="majorBidi"/>
          <w:lang w:eastAsia="zh-TW"/>
        </w:rPr>
        <w:t>G</w:t>
      </w:r>
      <w:r w:rsidRPr="000628A0">
        <w:rPr>
          <w:rFonts w:asciiTheme="majorBidi" w:eastAsia="PMingLiU" w:hAnsiTheme="majorBidi" w:cstheme="majorBidi"/>
          <w:lang w:eastAsia="zh-TW"/>
        </w:rPr>
        <w:t>overnment</w:t>
      </w:r>
      <w:r w:rsidR="000A0B21" w:rsidRPr="000628A0">
        <w:rPr>
          <w:rFonts w:asciiTheme="majorBidi" w:eastAsia="PMingLiU" w:hAnsiTheme="majorBidi" w:cstheme="majorBidi"/>
          <w:lang w:eastAsia="zh-TW"/>
        </w:rPr>
        <w:t xml:space="preserve"> is seen as</w:t>
      </w:r>
      <w:r w:rsidRPr="000628A0">
        <w:rPr>
          <w:rFonts w:asciiTheme="majorBidi" w:eastAsia="PMingLiU" w:hAnsiTheme="majorBidi" w:cstheme="majorBidi"/>
          <w:lang w:eastAsia="zh-TW"/>
        </w:rPr>
        <w:t xml:space="preserve"> well placed to generate resources through taxation</w:t>
      </w:r>
      <w:r w:rsidR="000A0B21" w:rsidRPr="000628A0">
        <w:rPr>
          <w:rFonts w:asciiTheme="majorBidi" w:eastAsia="PMingLiU" w:hAnsiTheme="majorBidi" w:cstheme="majorBidi"/>
          <w:lang w:eastAsia="zh-TW"/>
        </w:rPr>
        <w:t xml:space="preserve"> – helping to address ‘voluntary failure’ where the</w:t>
      </w:r>
      <w:r w:rsidR="005C5834" w:rsidRPr="000628A0">
        <w:rPr>
          <w:rFonts w:asciiTheme="majorBidi" w:eastAsia="PMingLiU" w:hAnsiTheme="majorBidi" w:cstheme="majorBidi"/>
          <w:lang w:eastAsia="zh-TW"/>
        </w:rPr>
        <w:t xml:space="preserve"> financial</w:t>
      </w:r>
      <w:r w:rsidR="000A0B21" w:rsidRPr="000628A0">
        <w:rPr>
          <w:rFonts w:asciiTheme="majorBidi" w:eastAsia="PMingLiU" w:hAnsiTheme="majorBidi" w:cstheme="majorBidi"/>
          <w:lang w:eastAsia="zh-TW"/>
        </w:rPr>
        <w:t xml:space="preserve"> resources provided through charitable donations are insufficient to produce services on a sufficiently consistent and reliable basis.  On the other hand</w:t>
      </w:r>
      <w:r w:rsidR="00221FEC" w:rsidRPr="000628A0">
        <w:rPr>
          <w:rFonts w:asciiTheme="majorBidi" w:eastAsia="PMingLiU" w:hAnsiTheme="majorBidi" w:cstheme="majorBidi"/>
          <w:lang w:eastAsia="zh-TW"/>
        </w:rPr>
        <w:t>, voluntary</w:t>
      </w:r>
      <w:r w:rsidRPr="000628A0">
        <w:rPr>
          <w:rFonts w:asciiTheme="majorBidi" w:eastAsia="PMingLiU" w:hAnsiTheme="majorBidi" w:cstheme="majorBidi"/>
          <w:lang w:eastAsia="zh-TW"/>
        </w:rPr>
        <w:t xml:space="preserve"> organisations</w:t>
      </w:r>
      <w:r w:rsidR="00A57792" w:rsidRPr="000628A0">
        <w:rPr>
          <w:rFonts w:asciiTheme="majorBidi" w:eastAsia="PMingLiU" w:hAnsiTheme="majorBidi" w:cstheme="majorBidi"/>
          <w:lang w:eastAsia="zh-TW"/>
        </w:rPr>
        <w:t xml:space="preserve"> are said to have a comparative advantage in terms of their ability </w:t>
      </w:r>
      <w:r w:rsidRPr="000628A0">
        <w:rPr>
          <w:rFonts w:asciiTheme="majorBidi" w:eastAsia="PMingLiU" w:hAnsiTheme="majorBidi" w:cstheme="majorBidi"/>
          <w:lang w:eastAsia="zh-TW"/>
        </w:rPr>
        <w:t>to personalise and adjust services to the needs of users</w:t>
      </w:r>
      <w:r w:rsidR="005C5834" w:rsidRPr="000628A0">
        <w:rPr>
          <w:rFonts w:asciiTheme="majorBidi" w:eastAsia="PMingLiU" w:hAnsiTheme="majorBidi" w:cstheme="majorBidi"/>
          <w:lang w:eastAsia="zh-TW"/>
        </w:rPr>
        <w:t xml:space="preserve"> compared to public providers</w:t>
      </w:r>
      <w:r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Thus government may choose to fund the provision of public services through voluntary organisations, rather than provide them directly.</w:t>
      </w:r>
      <w:r w:rsidR="003014DD" w:rsidRPr="000628A0">
        <w:rPr>
          <w:rFonts w:asciiTheme="majorBidi" w:eastAsia="PMingLiU" w:hAnsiTheme="majorBidi" w:cstheme="majorBidi"/>
          <w:lang w:eastAsia="zh-TW"/>
        </w:rPr>
        <w:t xml:space="preserve"> </w:t>
      </w:r>
      <w:r w:rsidR="008C5D9F" w:rsidRPr="000628A0">
        <w:rPr>
          <w:rFonts w:asciiTheme="majorBidi" w:eastAsia="PMingLiU" w:hAnsiTheme="majorBidi" w:cstheme="majorBidi"/>
          <w:lang w:eastAsia="zh-TW"/>
        </w:rPr>
        <w:t xml:space="preserve">The </w:t>
      </w:r>
      <w:r w:rsidR="007649A0" w:rsidRPr="000628A0">
        <w:rPr>
          <w:rFonts w:asciiTheme="majorBidi" w:eastAsia="PMingLiU" w:hAnsiTheme="majorBidi" w:cstheme="majorBidi"/>
          <w:lang w:eastAsia="zh-TW"/>
        </w:rPr>
        <w:t xml:space="preserve">insights </w:t>
      </w:r>
      <w:r w:rsidR="007649A0" w:rsidRPr="000628A0">
        <w:rPr>
          <w:rFonts w:asciiTheme="majorBidi" w:eastAsia="PMingLiU" w:hAnsiTheme="majorBidi" w:cstheme="majorBidi"/>
          <w:lang w:eastAsia="zh-TW"/>
        </w:rPr>
        <w:lastRenderedPageBreak/>
        <w:t xml:space="preserve">provided by the </w:t>
      </w:r>
      <w:r w:rsidR="008C5D9F" w:rsidRPr="000628A0">
        <w:rPr>
          <w:rFonts w:asciiTheme="majorBidi" w:eastAsia="PMingLiU" w:hAnsiTheme="majorBidi" w:cstheme="majorBidi"/>
          <w:lang w:eastAsia="zh-TW"/>
        </w:rPr>
        <w:t xml:space="preserve">theory </w:t>
      </w:r>
      <w:r w:rsidR="00221FEC" w:rsidRPr="000628A0">
        <w:rPr>
          <w:rFonts w:asciiTheme="majorBidi" w:eastAsia="PMingLiU" w:hAnsiTheme="majorBidi" w:cstheme="majorBidi"/>
          <w:lang w:eastAsia="zh-TW"/>
        </w:rPr>
        <w:t>of ‘voluntary</w:t>
      </w:r>
      <w:r w:rsidR="005C5834" w:rsidRPr="000628A0">
        <w:rPr>
          <w:rFonts w:asciiTheme="majorBidi" w:eastAsia="PMingLiU" w:hAnsiTheme="majorBidi" w:cstheme="majorBidi"/>
          <w:lang w:eastAsia="zh-TW"/>
        </w:rPr>
        <w:t xml:space="preserve"> failure’,</w:t>
      </w:r>
      <w:r w:rsidR="008C5D9F" w:rsidRPr="000628A0">
        <w:rPr>
          <w:rFonts w:asciiTheme="majorBidi" w:eastAsia="PMingLiU" w:hAnsiTheme="majorBidi" w:cstheme="majorBidi"/>
          <w:lang w:eastAsia="zh-TW"/>
        </w:rPr>
        <w:t xml:space="preserve"> when</w:t>
      </w:r>
      <w:r w:rsidR="005C5834" w:rsidRPr="000628A0">
        <w:rPr>
          <w:rFonts w:asciiTheme="majorBidi" w:eastAsia="PMingLiU" w:hAnsiTheme="majorBidi" w:cstheme="majorBidi"/>
          <w:lang w:eastAsia="zh-TW"/>
        </w:rPr>
        <w:t xml:space="preserve"> combined with insights into market and government failure</w:t>
      </w:r>
      <w:r w:rsidR="008C5D9F" w:rsidRPr="000628A0">
        <w:rPr>
          <w:rFonts w:asciiTheme="majorBidi" w:eastAsia="PMingLiU" w:hAnsiTheme="majorBidi" w:cstheme="majorBidi"/>
          <w:lang w:eastAsia="zh-TW"/>
        </w:rPr>
        <w:t xml:space="preserve">, </w:t>
      </w:r>
      <w:r w:rsidR="007649A0" w:rsidRPr="000628A0">
        <w:rPr>
          <w:rFonts w:asciiTheme="majorBidi" w:eastAsia="PMingLiU" w:hAnsiTheme="majorBidi" w:cstheme="majorBidi"/>
          <w:lang w:eastAsia="zh-TW"/>
        </w:rPr>
        <w:t>provide the basis of</w:t>
      </w:r>
      <w:r w:rsidR="008C5D9F" w:rsidRPr="000628A0">
        <w:rPr>
          <w:rFonts w:asciiTheme="majorBidi" w:eastAsia="PMingLiU" w:hAnsiTheme="majorBidi" w:cstheme="majorBidi"/>
          <w:lang w:eastAsia="zh-TW"/>
        </w:rPr>
        <w:t xml:space="preserve"> </w:t>
      </w:r>
      <w:r w:rsidR="005C5834" w:rsidRPr="000628A0">
        <w:rPr>
          <w:rFonts w:asciiTheme="majorBidi" w:eastAsia="PMingLiU" w:hAnsiTheme="majorBidi" w:cstheme="majorBidi"/>
          <w:lang w:eastAsia="zh-TW"/>
        </w:rPr>
        <w:t>‘three failures’ theory</w:t>
      </w:r>
      <w:r w:rsidR="005A19E2" w:rsidRPr="000628A0">
        <w:rPr>
          <w:rFonts w:asciiTheme="majorBidi" w:eastAsia="PMingLiU" w:hAnsiTheme="majorBidi" w:cstheme="majorBidi"/>
          <w:lang w:eastAsia="zh-TW"/>
        </w:rPr>
        <w:t xml:space="preserve"> (Steinberg</w:t>
      </w:r>
      <w:r w:rsidR="003A5078" w:rsidRPr="000628A0">
        <w:rPr>
          <w:rFonts w:asciiTheme="majorBidi" w:eastAsia="PMingLiU" w:hAnsiTheme="majorBidi" w:cstheme="majorBidi"/>
          <w:lang w:eastAsia="zh-TW"/>
        </w:rPr>
        <w:t>,</w:t>
      </w:r>
      <w:r w:rsidR="005A19E2" w:rsidRPr="000628A0">
        <w:rPr>
          <w:rFonts w:asciiTheme="majorBidi" w:eastAsia="PMingLiU" w:hAnsiTheme="majorBidi" w:cstheme="majorBidi"/>
          <w:lang w:eastAsia="zh-TW"/>
        </w:rPr>
        <w:t xml:space="preserve"> 2006)</w:t>
      </w:r>
      <w:r w:rsidR="00306267" w:rsidRPr="000628A0">
        <w:rPr>
          <w:rFonts w:asciiTheme="majorBidi" w:eastAsia="PMingLiU" w:hAnsiTheme="majorBidi" w:cstheme="majorBidi"/>
          <w:lang w:eastAsia="zh-TW"/>
        </w:rPr>
        <w:t>.  Th</w:t>
      </w:r>
      <w:r w:rsidR="00BA27D3" w:rsidRPr="000628A0">
        <w:rPr>
          <w:rFonts w:asciiTheme="majorBidi" w:eastAsia="PMingLiU" w:hAnsiTheme="majorBidi" w:cstheme="majorBidi"/>
          <w:lang w:eastAsia="zh-TW"/>
        </w:rPr>
        <w:t>r</w:t>
      </w:r>
      <w:r w:rsidR="00306267" w:rsidRPr="000628A0">
        <w:rPr>
          <w:rFonts w:asciiTheme="majorBidi" w:eastAsia="PMingLiU" w:hAnsiTheme="majorBidi" w:cstheme="majorBidi"/>
          <w:lang w:eastAsia="zh-TW"/>
        </w:rPr>
        <w:t xml:space="preserve">ee failures theory  </w:t>
      </w:r>
      <w:r w:rsidR="007649A0" w:rsidRPr="000628A0">
        <w:rPr>
          <w:rFonts w:asciiTheme="majorBidi" w:eastAsia="PMingLiU" w:hAnsiTheme="majorBidi" w:cstheme="majorBidi"/>
          <w:lang w:eastAsia="zh-TW"/>
        </w:rPr>
        <w:t>not only helps</w:t>
      </w:r>
      <w:r w:rsidR="008C5D9F" w:rsidRPr="000628A0">
        <w:rPr>
          <w:rFonts w:asciiTheme="majorBidi" w:eastAsia="PMingLiU" w:hAnsiTheme="majorBidi" w:cstheme="majorBidi"/>
          <w:lang w:eastAsia="zh-TW"/>
        </w:rPr>
        <w:t xml:space="preserve"> to account for the exist</w:t>
      </w:r>
      <w:r w:rsidR="007649A0" w:rsidRPr="000628A0">
        <w:rPr>
          <w:rFonts w:asciiTheme="majorBidi" w:eastAsia="PMingLiU" w:hAnsiTheme="majorBidi" w:cstheme="majorBidi"/>
          <w:lang w:eastAsia="zh-TW"/>
        </w:rPr>
        <w:t>ence of voluntary organisations but also establishes the link</w:t>
      </w:r>
      <w:r w:rsidR="00306267" w:rsidRPr="000628A0">
        <w:rPr>
          <w:rFonts w:asciiTheme="majorBidi" w:eastAsia="PMingLiU" w:hAnsiTheme="majorBidi" w:cstheme="majorBidi"/>
          <w:lang w:eastAsia="zh-TW"/>
        </w:rPr>
        <w:t xml:space="preserve"> - as formalised in the related ‘benefits theory of nonprofit finance’ - between the nature of the goods and services provided by organisations and th</w:t>
      </w:r>
      <w:r w:rsidR="004F4AC8" w:rsidRPr="000628A0">
        <w:rPr>
          <w:rFonts w:asciiTheme="majorBidi" w:eastAsia="PMingLiU" w:hAnsiTheme="majorBidi" w:cstheme="majorBidi"/>
          <w:lang w:eastAsia="zh-TW"/>
        </w:rPr>
        <w:t>e</w:t>
      </w:r>
      <w:r w:rsidR="00306267" w:rsidRPr="000628A0">
        <w:rPr>
          <w:rFonts w:asciiTheme="majorBidi" w:eastAsia="PMingLiU" w:hAnsiTheme="majorBidi" w:cstheme="majorBidi"/>
          <w:lang w:eastAsia="zh-TW"/>
        </w:rPr>
        <w:t xml:space="preserve"> sources of</w:t>
      </w:r>
      <w:r w:rsidR="004F4AC8" w:rsidRPr="000628A0">
        <w:rPr>
          <w:rFonts w:asciiTheme="majorBidi" w:eastAsia="PMingLiU" w:hAnsiTheme="majorBidi" w:cstheme="majorBidi"/>
          <w:lang w:eastAsia="zh-TW"/>
        </w:rPr>
        <w:t xml:space="preserve"> their</w:t>
      </w:r>
      <w:r w:rsidR="00306267" w:rsidRPr="000628A0">
        <w:rPr>
          <w:rFonts w:asciiTheme="majorBidi" w:eastAsia="PMingLiU" w:hAnsiTheme="majorBidi" w:cstheme="majorBidi"/>
          <w:lang w:eastAsia="zh-TW"/>
        </w:rPr>
        <w:t xml:space="preserve"> income.</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A609B8" w:rsidP="00A405A5">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Fourth</w:t>
      </w:r>
      <w:r w:rsidR="00EB17A8"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there are certain cases in which the income of voluntary organisations may be associated with the provision of ‘trade benefits’: </w:t>
      </w:r>
      <w:r w:rsidR="00EB17A8" w:rsidRPr="000628A0">
        <w:rPr>
          <w:rFonts w:asciiTheme="majorBidi" w:eastAsia="PMingLiU" w:hAnsiTheme="majorBidi" w:cstheme="majorBidi"/>
          <w:lang w:eastAsia="zh-TW"/>
        </w:rPr>
        <w:t xml:space="preserve">as </w:t>
      </w:r>
      <w:r w:rsidRPr="000628A0">
        <w:rPr>
          <w:rFonts w:asciiTheme="majorBidi" w:eastAsia="PMingLiU" w:hAnsiTheme="majorBidi" w:cstheme="majorBidi"/>
          <w:lang w:eastAsia="zh-TW"/>
        </w:rPr>
        <w:t>charities</w:t>
      </w:r>
      <w:r w:rsidR="00EB17A8" w:rsidRPr="000628A0">
        <w:rPr>
          <w:rFonts w:asciiTheme="majorBidi" w:eastAsia="PMingLiU" w:hAnsiTheme="majorBidi" w:cstheme="majorBidi"/>
          <w:lang w:eastAsia="zh-TW"/>
        </w:rPr>
        <w:t xml:space="preserve"> look to build partnerships with other organisations, they may offer of something of value to a partner in exchang</w:t>
      </w:r>
      <w:r w:rsidR="00347F3C">
        <w:rPr>
          <w:rFonts w:asciiTheme="majorBidi" w:eastAsia="PMingLiU" w:hAnsiTheme="majorBidi" w:cstheme="majorBidi"/>
          <w:lang w:eastAsia="zh-TW"/>
        </w:rPr>
        <w:t>e for their support (Young, 2007</w:t>
      </w:r>
      <w:r w:rsidR="00EB17A8"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F</w:t>
      </w:r>
      <w:r w:rsidR="00986203" w:rsidRPr="000628A0">
        <w:rPr>
          <w:rFonts w:asciiTheme="majorBidi" w:eastAsia="PMingLiU" w:hAnsiTheme="majorBidi" w:cstheme="majorBidi"/>
          <w:lang w:eastAsia="zh-TW"/>
        </w:rPr>
        <w:t>or example, for</w:t>
      </w:r>
      <w:r w:rsidR="00E2639B">
        <w:rPr>
          <w:rFonts w:asciiTheme="majorBidi" w:eastAsia="PMingLiU" w:hAnsiTheme="majorBidi" w:cstheme="majorBidi"/>
          <w:lang w:eastAsia="zh-TW"/>
        </w:rPr>
        <w:t>-</w:t>
      </w:r>
      <w:r w:rsidR="00986203" w:rsidRPr="000628A0">
        <w:rPr>
          <w:rFonts w:asciiTheme="majorBidi" w:eastAsia="PMingLiU" w:hAnsiTheme="majorBidi" w:cstheme="majorBidi"/>
          <w:lang w:eastAsia="zh-TW"/>
        </w:rPr>
        <w:t>profit organisations</w:t>
      </w:r>
      <w:r w:rsidRPr="000628A0">
        <w:rPr>
          <w:rFonts w:asciiTheme="majorBidi" w:eastAsia="PMingLiU" w:hAnsiTheme="majorBidi" w:cstheme="majorBidi"/>
          <w:lang w:eastAsia="zh-TW"/>
        </w:rPr>
        <w:t xml:space="preserve"> may offer financial sponsorship to a charitable organisation and, in ‘exchange’, receive trade </w:t>
      </w:r>
      <w:r w:rsidR="00221FEC" w:rsidRPr="000628A0">
        <w:rPr>
          <w:rFonts w:asciiTheme="majorBidi" w:eastAsia="PMingLiU" w:hAnsiTheme="majorBidi" w:cstheme="majorBidi"/>
          <w:lang w:eastAsia="zh-TW"/>
        </w:rPr>
        <w:t>benefits in</w:t>
      </w:r>
      <w:r w:rsidR="00986203" w:rsidRPr="000628A0">
        <w:rPr>
          <w:rFonts w:asciiTheme="majorBidi" w:eastAsia="PMingLiU" w:hAnsiTheme="majorBidi" w:cstheme="majorBidi"/>
          <w:lang w:eastAsia="zh-TW"/>
        </w:rPr>
        <w:t xml:space="preserve"> the form of marketing and positi</w:t>
      </w:r>
      <w:r w:rsidR="00347F3C">
        <w:rPr>
          <w:rFonts w:asciiTheme="majorBidi" w:eastAsia="PMingLiU" w:hAnsiTheme="majorBidi" w:cstheme="majorBidi"/>
          <w:lang w:eastAsia="zh-TW"/>
        </w:rPr>
        <w:t>ve public relations (Young, 2007</w:t>
      </w:r>
      <w:r w:rsidR="00986203"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w:t>
      </w:r>
      <w:r w:rsidR="003E02D5" w:rsidRPr="000628A0">
        <w:rPr>
          <w:rFonts w:asciiTheme="majorBidi" w:eastAsia="PMingLiU" w:hAnsiTheme="majorBidi" w:cstheme="majorBidi"/>
          <w:lang w:eastAsia="zh-TW"/>
        </w:rPr>
        <w:t>However, n</w:t>
      </w:r>
      <w:r w:rsidRPr="000628A0">
        <w:rPr>
          <w:rFonts w:asciiTheme="majorBidi" w:eastAsia="PMingLiU" w:hAnsiTheme="majorBidi" w:cstheme="majorBidi"/>
          <w:lang w:eastAsia="zh-TW"/>
        </w:rPr>
        <w:t xml:space="preserve">ote that the provision of trade benefits </w:t>
      </w:r>
      <w:r w:rsidR="003E02D5" w:rsidRPr="000628A0">
        <w:rPr>
          <w:rFonts w:asciiTheme="majorBidi" w:eastAsia="PMingLiU" w:hAnsiTheme="majorBidi" w:cstheme="majorBidi"/>
          <w:lang w:eastAsia="zh-TW"/>
        </w:rPr>
        <w:t>is often</w:t>
      </w:r>
      <w:r w:rsidRPr="000628A0">
        <w:rPr>
          <w:rFonts w:asciiTheme="majorBidi" w:eastAsia="PMingLiU" w:hAnsiTheme="majorBidi" w:cstheme="majorBidi"/>
          <w:lang w:eastAsia="zh-TW"/>
        </w:rPr>
        <w:t xml:space="preserve"> in exchange</w:t>
      </w:r>
      <w:r w:rsidR="003E02D5"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for</w:t>
      </w:r>
      <w:r w:rsidR="003755AC" w:rsidRPr="000628A0">
        <w:rPr>
          <w:rFonts w:asciiTheme="majorBidi" w:eastAsia="PMingLiU" w:hAnsiTheme="majorBidi" w:cstheme="majorBidi"/>
          <w:lang w:eastAsia="zh-TW"/>
        </w:rPr>
        <w:t xml:space="preserve"> the receipt of</w:t>
      </w:r>
      <w:r w:rsidRPr="000628A0">
        <w:rPr>
          <w:rFonts w:asciiTheme="majorBidi" w:eastAsia="PMingLiU" w:hAnsiTheme="majorBidi" w:cstheme="majorBidi"/>
          <w:lang w:eastAsia="zh-TW"/>
        </w:rPr>
        <w:t xml:space="preserve"> non-financial resources rather than for monetary income: there</w:t>
      </w:r>
      <w:r w:rsidR="00EB17A8" w:rsidRPr="000628A0">
        <w:rPr>
          <w:rFonts w:asciiTheme="majorBidi" w:eastAsia="PMingLiU" w:hAnsiTheme="majorBidi" w:cstheme="majorBidi"/>
          <w:lang w:eastAsia="zh-TW"/>
        </w:rPr>
        <w:t xml:space="preserve"> may be a simple quid pro quo as, for example, </w:t>
      </w:r>
      <w:r w:rsidR="00E2639B">
        <w:rPr>
          <w:rFonts w:asciiTheme="majorBidi" w:eastAsia="PMingLiU" w:hAnsiTheme="majorBidi" w:cstheme="majorBidi"/>
          <w:lang w:eastAsia="zh-TW"/>
        </w:rPr>
        <w:t xml:space="preserve">when </w:t>
      </w:r>
      <w:r w:rsidRPr="000628A0">
        <w:rPr>
          <w:rFonts w:asciiTheme="majorBidi" w:eastAsia="PMingLiU" w:hAnsiTheme="majorBidi" w:cstheme="majorBidi"/>
          <w:lang w:eastAsia="zh-TW"/>
        </w:rPr>
        <w:t>an organisation</w:t>
      </w:r>
      <w:r w:rsidR="00EB17A8" w:rsidRPr="000628A0">
        <w:rPr>
          <w:rFonts w:asciiTheme="majorBidi" w:eastAsia="PMingLiU" w:hAnsiTheme="majorBidi" w:cstheme="majorBidi"/>
          <w:lang w:eastAsia="zh-TW"/>
        </w:rPr>
        <w:t xml:space="preserve"> exchanges the use of premises for free accounting services</w:t>
      </w:r>
      <w:r w:rsidRPr="000628A0">
        <w:rPr>
          <w:rFonts w:asciiTheme="majorBidi" w:eastAsia="PMingLiU" w:hAnsiTheme="majorBidi" w:cstheme="majorBidi"/>
          <w:lang w:eastAsia="zh-TW"/>
        </w:rPr>
        <w:t xml:space="preserve"> from another organisation</w:t>
      </w:r>
      <w:r w:rsidR="00EB17A8" w:rsidRPr="000628A0">
        <w:rPr>
          <w:rFonts w:asciiTheme="majorBidi" w:eastAsia="PMingLiU" w:hAnsiTheme="majorBidi" w:cstheme="majorBidi"/>
          <w:lang w:eastAsia="zh-TW"/>
        </w:rPr>
        <w:t xml:space="preserve">. </w:t>
      </w:r>
      <w:r w:rsidR="005D0292" w:rsidRPr="000628A0">
        <w:rPr>
          <w:rFonts w:asciiTheme="majorBidi" w:eastAsia="PMingLiU" w:hAnsiTheme="majorBidi" w:cstheme="majorBidi"/>
          <w:lang w:eastAsia="zh-TW"/>
        </w:rPr>
        <w:t xml:space="preserve"> Indeed</w:t>
      </w:r>
      <w:r w:rsidR="00820CBA" w:rsidRPr="000628A0">
        <w:rPr>
          <w:rFonts w:asciiTheme="majorBidi" w:eastAsia="PMingLiU" w:hAnsiTheme="majorBidi" w:cstheme="majorBidi"/>
          <w:lang w:eastAsia="zh-TW"/>
        </w:rPr>
        <w:t>,</w:t>
      </w:r>
      <w:r w:rsidR="00EB17A8" w:rsidRPr="000628A0">
        <w:rPr>
          <w:rFonts w:asciiTheme="majorBidi" w:eastAsia="PMingLiU" w:hAnsiTheme="majorBidi" w:cstheme="majorBidi"/>
          <w:lang w:eastAsia="zh-TW"/>
        </w:rPr>
        <w:t xml:space="preserve"> many </w:t>
      </w:r>
      <w:r w:rsidR="00EB4003" w:rsidRPr="000628A0">
        <w:rPr>
          <w:rFonts w:asciiTheme="majorBidi" w:eastAsia="PMingLiU" w:hAnsiTheme="majorBidi" w:cstheme="majorBidi"/>
          <w:lang w:eastAsia="zh-TW"/>
        </w:rPr>
        <w:t xml:space="preserve">cases where organisations provide ‘trade </w:t>
      </w:r>
      <w:r w:rsidR="00221FEC" w:rsidRPr="000628A0">
        <w:rPr>
          <w:rFonts w:asciiTheme="majorBidi" w:eastAsia="PMingLiU" w:hAnsiTheme="majorBidi" w:cstheme="majorBidi"/>
          <w:lang w:eastAsia="zh-TW"/>
        </w:rPr>
        <w:t>benefits’ represent</w:t>
      </w:r>
      <w:r w:rsidR="00EB4003" w:rsidRPr="000628A0">
        <w:rPr>
          <w:rFonts w:asciiTheme="majorBidi" w:eastAsia="PMingLiU" w:hAnsiTheme="majorBidi" w:cstheme="majorBidi"/>
          <w:lang w:eastAsia="zh-TW"/>
        </w:rPr>
        <w:t xml:space="preserve"> exam</w:t>
      </w:r>
      <w:r w:rsidR="00820CBA" w:rsidRPr="000628A0">
        <w:rPr>
          <w:rFonts w:asciiTheme="majorBidi" w:eastAsia="PMingLiU" w:hAnsiTheme="majorBidi" w:cstheme="majorBidi"/>
          <w:lang w:eastAsia="zh-TW"/>
        </w:rPr>
        <w:t>ples of collaboration which involve</w:t>
      </w:r>
      <w:r w:rsidR="00EB4003" w:rsidRPr="000628A0">
        <w:rPr>
          <w:rFonts w:asciiTheme="majorBidi" w:eastAsia="PMingLiU" w:hAnsiTheme="majorBidi" w:cstheme="majorBidi"/>
          <w:lang w:eastAsia="zh-TW"/>
        </w:rPr>
        <w:t xml:space="preserve"> ‘cashless transactions’</w:t>
      </w:r>
      <w:r w:rsidR="005D0292" w:rsidRPr="000628A0">
        <w:rPr>
          <w:rFonts w:asciiTheme="majorBidi" w:eastAsia="PMingLiU" w:hAnsiTheme="majorBidi" w:cstheme="majorBidi"/>
          <w:lang w:eastAsia="zh-TW"/>
        </w:rPr>
        <w:t xml:space="preserve"> (</w:t>
      </w:r>
      <w:r w:rsidR="00E957A1">
        <w:rPr>
          <w:rFonts w:asciiTheme="majorBidi" w:eastAsia="PMingLiU" w:hAnsiTheme="majorBidi" w:cstheme="majorBidi"/>
          <w:lang w:eastAsia="zh-TW"/>
        </w:rPr>
        <w:t>Irvin, 2007</w:t>
      </w:r>
      <w:r w:rsidR="00655D69">
        <w:rPr>
          <w:rFonts w:asciiTheme="majorBidi" w:eastAsia="PMingLiU" w:hAnsiTheme="majorBidi" w:cstheme="majorBidi"/>
          <w:lang w:eastAsia="zh-TW"/>
        </w:rPr>
        <w:t xml:space="preserve">, page </w:t>
      </w:r>
      <w:r w:rsidR="005D0292" w:rsidRPr="000628A0">
        <w:rPr>
          <w:rFonts w:asciiTheme="majorBidi" w:eastAsia="PMingLiU" w:hAnsiTheme="majorBidi" w:cstheme="majorBidi"/>
          <w:lang w:eastAsia="zh-TW"/>
        </w:rPr>
        <w:t xml:space="preserve">222).  Therefore, since we use data on charities’ income, </w:t>
      </w:r>
      <w:r w:rsidR="003755AC" w:rsidRPr="000628A0">
        <w:rPr>
          <w:rFonts w:asciiTheme="majorBidi" w:eastAsia="PMingLiU" w:hAnsiTheme="majorBidi" w:cstheme="majorBidi"/>
          <w:lang w:eastAsia="zh-TW"/>
        </w:rPr>
        <w:t xml:space="preserve">in this paper </w:t>
      </w:r>
      <w:r w:rsidRPr="000628A0">
        <w:rPr>
          <w:rFonts w:asciiTheme="majorBidi" w:eastAsia="PMingLiU" w:hAnsiTheme="majorBidi" w:cstheme="majorBidi"/>
          <w:lang w:eastAsia="zh-TW"/>
        </w:rPr>
        <w:t xml:space="preserve">we are not able to </w:t>
      </w:r>
      <w:r w:rsidR="003755AC" w:rsidRPr="000628A0">
        <w:rPr>
          <w:rFonts w:asciiTheme="majorBidi" w:eastAsia="PMingLiU" w:hAnsiTheme="majorBidi" w:cstheme="majorBidi"/>
          <w:lang w:eastAsia="zh-TW"/>
        </w:rPr>
        <w:t>empirically examine</w:t>
      </w:r>
      <w:r w:rsidR="00A405A5"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the many</w:t>
      </w:r>
      <w:r w:rsidR="005D0292" w:rsidRPr="000628A0">
        <w:rPr>
          <w:rFonts w:asciiTheme="majorBidi" w:eastAsia="PMingLiU" w:hAnsiTheme="majorBidi" w:cstheme="majorBidi"/>
          <w:lang w:eastAsia="zh-TW"/>
        </w:rPr>
        <w:t xml:space="preserve"> </w:t>
      </w:r>
      <w:r w:rsidR="00EB4003" w:rsidRPr="000628A0">
        <w:rPr>
          <w:rFonts w:asciiTheme="majorBidi" w:eastAsia="PMingLiU" w:hAnsiTheme="majorBidi" w:cstheme="majorBidi"/>
          <w:lang w:eastAsia="zh-TW"/>
        </w:rPr>
        <w:t>‘trade benefits’</w:t>
      </w:r>
      <w:r w:rsidR="003E02D5" w:rsidRPr="000628A0">
        <w:rPr>
          <w:rFonts w:asciiTheme="majorBidi" w:eastAsia="PMingLiU" w:hAnsiTheme="majorBidi" w:cstheme="majorBidi"/>
          <w:lang w:eastAsia="zh-TW"/>
        </w:rPr>
        <w:t xml:space="preserve"> provided on this basis.</w:t>
      </w:r>
    </w:p>
    <w:p w:rsidR="009B5A61" w:rsidRPr="000628A0" w:rsidRDefault="009B5A61" w:rsidP="00FC6B07">
      <w:pPr>
        <w:spacing w:line="480" w:lineRule="auto"/>
        <w:rPr>
          <w:rFonts w:asciiTheme="majorBidi" w:eastAsia="PMingLiU" w:hAnsiTheme="majorBidi" w:cstheme="majorBidi"/>
          <w:lang w:eastAsia="zh-TW"/>
        </w:rPr>
      </w:pPr>
    </w:p>
    <w:p w:rsidR="003E02D5" w:rsidRPr="000628A0" w:rsidRDefault="003E02D5" w:rsidP="00572B24">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Note that some theories provide an explicit basis for a mix of different kinds of income. Hansmann (1981) explains how income from both fees and donations </w:t>
      </w:r>
      <w:r w:rsidR="00572B24">
        <w:rPr>
          <w:rFonts w:asciiTheme="majorBidi" w:eastAsia="PMingLiU" w:hAnsiTheme="majorBidi" w:cstheme="majorBidi"/>
          <w:lang w:eastAsia="zh-TW"/>
        </w:rPr>
        <w:t>are</w:t>
      </w:r>
      <w:r w:rsidRPr="000628A0">
        <w:rPr>
          <w:rFonts w:asciiTheme="majorBidi" w:eastAsia="PMingLiU" w:hAnsiTheme="majorBidi" w:cstheme="majorBidi"/>
          <w:lang w:eastAsia="zh-TW"/>
        </w:rPr>
        <w:t xml:space="preserve"> associated with voluntary organisations that provide goods which are excludable but </w:t>
      </w:r>
      <w:r w:rsidRPr="000628A0">
        <w:rPr>
          <w:rFonts w:asciiTheme="majorBidi" w:eastAsia="PMingLiU" w:hAnsiTheme="majorBidi" w:cstheme="majorBidi"/>
          <w:lang w:eastAsia="zh-TW"/>
        </w:rPr>
        <w:lastRenderedPageBreak/>
        <w:t xml:space="preserve">still nonrival. In </w:t>
      </w:r>
      <w:r w:rsidR="00E2639B">
        <w:rPr>
          <w:rFonts w:asciiTheme="majorBidi" w:eastAsia="PMingLiU" w:hAnsiTheme="majorBidi" w:cstheme="majorBidi"/>
          <w:lang w:eastAsia="zh-TW"/>
        </w:rPr>
        <w:t xml:space="preserve">the </w:t>
      </w:r>
      <w:r w:rsidRPr="000628A0">
        <w:rPr>
          <w:rFonts w:asciiTheme="majorBidi" w:eastAsia="PMingLiU" w:hAnsiTheme="majorBidi" w:cstheme="majorBidi"/>
          <w:lang w:eastAsia="zh-TW"/>
        </w:rPr>
        <w:t xml:space="preserve">performing arts, for example, </w:t>
      </w:r>
      <w:r w:rsidR="00E2639B">
        <w:rPr>
          <w:rFonts w:asciiTheme="majorBidi" w:eastAsia="PMingLiU" w:hAnsiTheme="majorBidi" w:cstheme="majorBidi"/>
          <w:lang w:eastAsia="zh-TW"/>
        </w:rPr>
        <w:t xml:space="preserve">it is often the case that </w:t>
      </w:r>
      <w:r w:rsidRPr="000628A0">
        <w:rPr>
          <w:rFonts w:asciiTheme="majorBidi" w:eastAsia="PMingLiU" w:hAnsiTheme="majorBidi" w:cstheme="majorBidi"/>
          <w:lang w:eastAsia="zh-TW"/>
        </w:rPr>
        <w:t xml:space="preserve">ticket receipts alone are insufficient to cover the significant fixed costs involved, so voluntary donations are needed, and the nonprofit distributing characteristic of voluntary organisations provides assurance that </w:t>
      </w:r>
      <w:r w:rsidR="00E2639B">
        <w:rPr>
          <w:rFonts w:asciiTheme="majorBidi" w:eastAsia="PMingLiU" w:hAnsiTheme="majorBidi" w:cstheme="majorBidi"/>
          <w:lang w:eastAsia="zh-TW"/>
        </w:rPr>
        <w:t xml:space="preserve">such </w:t>
      </w:r>
      <w:r w:rsidRPr="000628A0">
        <w:rPr>
          <w:rFonts w:asciiTheme="majorBidi" w:eastAsia="PMingLiU" w:hAnsiTheme="majorBidi" w:cstheme="majorBidi"/>
          <w:lang w:eastAsia="zh-TW"/>
        </w:rPr>
        <w:t>contribution</w:t>
      </w:r>
      <w:r w:rsidR="00E2639B">
        <w:rPr>
          <w:rFonts w:asciiTheme="majorBidi" w:eastAsia="PMingLiU" w:hAnsiTheme="majorBidi" w:cstheme="majorBidi"/>
          <w:lang w:eastAsia="zh-TW"/>
        </w:rPr>
        <w:t xml:space="preserve">s </w:t>
      </w:r>
      <w:r w:rsidRPr="000628A0">
        <w:rPr>
          <w:rFonts w:asciiTheme="majorBidi" w:eastAsia="PMingLiU" w:hAnsiTheme="majorBidi" w:cstheme="majorBidi"/>
          <w:lang w:eastAsia="zh-TW"/>
        </w:rPr>
        <w:t xml:space="preserve">will be directed to the organisation’s mission.   </w:t>
      </w:r>
    </w:p>
    <w:p w:rsidR="003E02D5" w:rsidRPr="000628A0" w:rsidRDefault="003E02D5"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iCs/>
          <w:lang w:eastAsia="zh-TW"/>
        </w:rPr>
      </w:pPr>
      <w:r w:rsidRPr="000628A0">
        <w:rPr>
          <w:rFonts w:asciiTheme="majorBidi" w:eastAsia="PMingLiU" w:hAnsiTheme="majorBidi" w:cstheme="majorBidi"/>
          <w:lang w:eastAsia="zh-TW"/>
        </w:rPr>
        <w:t xml:space="preserve">Since particular income sources are associated with particular roles, examining the distribution of charities according to their income composition also </w:t>
      </w:r>
      <w:r w:rsidR="00317A24" w:rsidRPr="000628A0">
        <w:rPr>
          <w:rFonts w:asciiTheme="majorBidi" w:eastAsia="PMingLiU" w:hAnsiTheme="majorBidi" w:cstheme="majorBidi"/>
          <w:lang w:eastAsia="zh-TW"/>
        </w:rPr>
        <w:t xml:space="preserve">puts </w:t>
      </w:r>
      <w:r w:rsidRPr="000628A0">
        <w:rPr>
          <w:rFonts w:asciiTheme="majorBidi" w:eastAsia="PMingLiU" w:hAnsiTheme="majorBidi" w:cstheme="majorBidi"/>
          <w:lang w:eastAsia="zh-TW"/>
        </w:rPr>
        <w:t xml:space="preserve">empirical </w:t>
      </w:r>
      <w:r w:rsidR="00317A24" w:rsidRPr="000628A0">
        <w:rPr>
          <w:rFonts w:asciiTheme="majorBidi" w:eastAsia="PMingLiU" w:hAnsiTheme="majorBidi" w:cstheme="majorBidi"/>
          <w:lang w:eastAsia="zh-TW"/>
        </w:rPr>
        <w:t xml:space="preserve">flesh on the bones of </w:t>
      </w:r>
      <w:r w:rsidRPr="000628A0">
        <w:rPr>
          <w:rFonts w:asciiTheme="majorBidi" w:eastAsia="PMingLiU" w:hAnsiTheme="majorBidi" w:cstheme="majorBidi"/>
          <w:lang w:eastAsia="zh-TW"/>
        </w:rPr>
        <w:t xml:space="preserve">substantive discussions </w:t>
      </w:r>
      <w:r w:rsidR="004934DE" w:rsidRPr="000628A0">
        <w:rPr>
          <w:rFonts w:asciiTheme="majorBidi" w:eastAsia="PMingLiU" w:hAnsiTheme="majorBidi" w:cstheme="majorBidi"/>
          <w:lang w:eastAsia="zh-TW"/>
        </w:rPr>
        <w:t>centring</w:t>
      </w:r>
      <w:r w:rsidRPr="000628A0">
        <w:rPr>
          <w:rFonts w:asciiTheme="majorBidi" w:eastAsia="PMingLiU" w:hAnsiTheme="majorBidi" w:cstheme="majorBidi"/>
          <w:lang w:eastAsia="zh-TW"/>
        </w:rPr>
        <w:t xml:space="preserve"> on the identity of the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charitable sector</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For example, some commentators see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public benefit</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as the key characteristic of voluntary organisations with charitable status.</w:t>
      </w:r>
      <w:r w:rsidR="003014DD" w:rsidRPr="000628A0">
        <w:rPr>
          <w:rFonts w:asciiTheme="majorBidi" w:eastAsia="PMingLiU" w:hAnsiTheme="majorBidi" w:cstheme="majorBidi"/>
          <w:lang w:eastAsia="zh-TW"/>
        </w:rPr>
        <w:t xml:space="preserve"> </w:t>
      </w:r>
      <w:r w:rsidR="00A57792" w:rsidRPr="000628A0">
        <w:rPr>
          <w:rFonts w:asciiTheme="majorBidi" w:eastAsia="PMingLiU" w:hAnsiTheme="majorBidi" w:cstheme="majorBidi"/>
          <w:lang w:eastAsia="zh-TW"/>
        </w:rPr>
        <w:t xml:space="preserve">In the UK, </w:t>
      </w:r>
      <w:r w:rsidRPr="000628A0">
        <w:rPr>
          <w:rFonts w:asciiTheme="majorBidi" w:eastAsia="PMingLiU" w:hAnsiTheme="majorBidi" w:cstheme="majorBidi"/>
          <w:lang w:eastAsia="zh-TW"/>
        </w:rPr>
        <w:t xml:space="preserve">William Beveridge (1948) talked of </w:t>
      </w:r>
      <w:r w:rsidR="004934DE"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voluntary action for a public purpose – for social advance</w:t>
      </w:r>
      <w:r w:rsidR="004934DE"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while Robin Guthrie, a former Chief Charity Commissioner, argued that </w:t>
      </w:r>
      <w:r w:rsidR="004934DE"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charity is best defined as an action or gift to others</w:t>
      </w:r>
      <w:r w:rsidR="004934DE"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(1988, page 17).</w:t>
      </w:r>
      <w:r w:rsidR="003014DD" w:rsidRPr="000628A0">
        <w:rPr>
          <w:rFonts w:asciiTheme="majorBidi" w:eastAsia="PMingLiU" w:hAnsiTheme="majorBidi" w:cstheme="majorBidi"/>
          <w:lang w:eastAsia="zh-TW"/>
        </w:rPr>
        <w:t xml:space="preserve"> </w:t>
      </w:r>
      <w:r w:rsidR="00D810B4"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For this reason,</w:t>
      </w:r>
      <w:r w:rsidR="00A57792" w:rsidRPr="000628A0">
        <w:rPr>
          <w:rFonts w:asciiTheme="majorBidi" w:eastAsia="PMingLiU" w:hAnsiTheme="majorBidi" w:cstheme="majorBidi"/>
          <w:lang w:eastAsia="zh-TW"/>
        </w:rPr>
        <w:t xml:space="preserve"> there have been discussions, reflected in the </w:t>
      </w:r>
      <w:r w:rsidRPr="000628A0">
        <w:rPr>
          <w:rFonts w:asciiTheme="majorBidi" w:eastAsia="PMingLiU" w:hAnsiTheme="majorBidi" w:cstheme="majorBidi"/>
          <w:lang w:eastAsia="zh-TW"/>
        </w:rPr>
        <w:t>2006 Charities Act, which gave a new prominence to public benefit in the definition of charitable status (Alcock, 2008; Morgan, 2012).</w:t>
      </w:r>
      <w:r w:rsidR="00317A24" w:rsidRPr="000628A0">
        <w:rPr>
          <w:rFonts w:asciiTheme="majorBidi" w:eastAsia="PMingLiU" w:hAnsiTheme="majorBidi" w:cstheme="majorBidi"/>
          <w:lang w:eastAsia="zh-TW"/>
        </w:rPr>
        <w:t xml:space="preserve"> In this paper we do not consider whether or not charities provide a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public benefit</w:t>
      </w:r>
      <w:r w:rsidR="003014DD" w:rsidRPr="000628A0">
        <w:rPr>
          <w:rFonts w:asciiTheme="majorBidi" w:eastAsia="PMingLiU" w:hAnsiTheme="majorBidi" w:cstheme="majorBidi"/>
          <w:lang w:eastAsia="zh-TW"/>
        </w:rPr>
        <w:t>’</w:t>
      </w:r>
      <w:r w:rsidR="00317A24" w:rsidRPr="000628A0">
        <w:rPr>
          <w:rFonts w:asciiTheme="majorBidi" w:eastAsia="PMingLiU" w:hAnsiTheme="majorBidi" w:cstheme="majorBidi"/>
          <w:lang w:eastAsia="zh-TW"/>
        </w:rPr>
        <w:t xml:space="preserve">, but we do seek </w:t>
      </w:r>
      <w:r w:rsidRPr="000628A0">
        <w:rPr>
          <w:rFonts w:asciiTheme="majorBidi" w:eastAsia="PMingLiU" w:hAnsiTheme="majorBidi" w:cstheme="majorBidi"/>
          <w:iCs/>
          <w:lang w:eastAsia="zh-TW"/>
        </w:rPr>
        <w:t xml:space="preserve">to more broadly establish the distribution of charities according to their </w:t>
      </w:r>
      <w:r w:rsidRPr="000628A0">
        <w:rPr>
          <w:rFonts w:asciiTheme="majorBidi" w:eastAsia="PMingLiU" w:hAnsiTheme="majorBidi" w:cstheme="majorBidi"/>
          <w:i/>
          <w:lang w:eastAsia="zh-TW"/>
        </w:rPr>
        <w:t>main roles</w:t>
      </w:r>
      <w:r w:rsidRPr="000628A0">
        <w:rPr>
          <w:rFonts w:asciiTheme="majorBidi" w:eastAsia="PMingLiU" w:hAnsiTheme="majorBidi" w:cstheme="majorBidi"/>
          <w:lang w:eastAsia="zh-TW"/>
        </w:rPr>
        <w:t>,</w:t>
      </w:r>
      <w:r w:rsidRPr="000628A0">
        <w:rPr>
          <w:rFonts w:asciiTheme="majorBidi" w:eastAsia="PMingLiU" w:hAnsiTheme="majorBidi" w:cstheme="majorBidi"/>
          <w:iCs/>
          <w:lang w:eastAsia="zh-TW"/>
        </w:rPr>
        <w:t xml:space="preserve"> and the extent to which they produce </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collective</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and/or private </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goods</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For example, what proportion of charities are </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donative</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organisations </w:t>
      </w:r>
      <w:r w:rsidR="001826A0"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whose income depends heavily on voluntary contributions that are not closely conditioned on the delivery of specific goods or services to the patron</w:t>
      </w:r>
      <w:r w:rsidR="001826A0"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(Hansmann, 1996, page 233)? </w:t>
      </w:r>
      <w:r w:rsidR="00317A24" w:rsidRPr="000628A0">
        <w:rPr>
          <w:rFonts w:asciiTheme="majorBidi" w:eastAsia="PMingLiU" w:hAnsiTheme="majorBidi" w:cstheme="majorBidi"/>
          <w:iCs/>
          <w:lang w:eastAsia="zh-TW"/>
        </w:rPr>
        <w:t xml:space="preserve">And what are the sources of such donative contributions (e.g. individuals, or foundations)? </w:t>
      </w:r>
      <w:r w:rsidRPr="000628A0">
        <w:rPr>
          <w:rFonts w:asciiTheme="majorBidi" w:eastAsia="PMingLiU" w:hAnsiTheme="majorBidi" w:cstheme="majorBidi"/>
          <w:iCs/>
          <w:lang w:eastAsia="zh-TW"/>
        </w:rPr>
        <w:t xml:space="preserve">What proportion </w:t>
      </w:r>
      <w:r w:rsidR="00317A24" w:rsidRPr="000628A0">
        <w:rPr>
          <w:rFonts w:asciiTheme="majorBidi" w:eastAsia="PMingLiU" w:hAnsiTheme="majorBidi" w:cstheme="majorBidi"/>
          <w:iCs/>
          <w:lang w:eastAsia="zh-TW"/>
        </w:rPr>
        <w:t xml:space="preserve">and what sort of organisations </w:t>
      </w:r>
      <w:r w:rsidRPr="000628A0">
        <w:rPr>
          <w:rFonts w:asciiTheme="majorBidi" w:eastAsia="PMingLiU" w:hAnsiTheme="majorBidi" w:cstheme="majorBidi"/>
          <w:iCs/>
          <w:lang w:eastAsia="zh-TW"/>
        </w:rPr>
        <w:t xml:space="preserve">are </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commercial</w:t>
      </w:r>
      <w:r w:rsidR="003014DD" w:rsidRPr="000628A0">
        <w:rPr>
          <w:rFonts w:asciiTheme="majorBidi" w:eastAsia="PMingLiU" w:hAnsiTheme="majorBidi" w:cstheme="majorBidi"/>
          <w:iCs/>
          <w:lang w:eastAsia="zh-TW"/>
        </w:rPr>
        <w:t>’</w:t>
      </w:r>
      <w:r w:rsidR="00317A24" w:rsidRPr="000628A0">
        <w:rPr>
          <w:rFonts w:asciiTheme="majorBidi" w:eastAsia="PMingLiU" w:hAnsiTheme="majorBidi" w:cstheme="majorBidi"/>
          <w:iCs/>
          <w:lang w:eastAsia="zh-TW"/>
        </w:rPr>
        <w:t xml:space="preserve"> – in other words they </w:t>
      </w:r>
      <w:r w:rsidR="001826A0"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receive no significant amount from donations, but derive their </w:t>
      </w:r>
      <w:r w:rsidRPr="000628A0">
        <w:rPr>
          <w:rFonts w:asciiTheme="majorBidi" w:eastAsia="PMingLiU" w:hAnsiTheme="majorBidi" w:cstheme="majorBidi"/>
          <w:iCs/>
          <w:lang w:eastAsia="zh-TW"/>
        </w:rPr>
        <w:lastRenderedPageBreak/>
        <w:t>income almost exclusively from prices charged for private goods and services they deliver to paying customers</w:t>
      </w:r>
      <w:r w:rsidR="001826A0"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(page 234)? </w:t>
      </w:r>
    </w:p>
    <w:p w:rsidR="00903F7E" w:rsidRPr="000628A0" w:rsidRDefault="00903F7E" w:rsidP="00FC6B07">
      <w:pPr>
        <w:spacing w:line="480" w:lineRule="auto"/>
        <w:rPr>
          <w:rFonts w:asciiTheme="majorBidi" w:eastAsia="PMingLiU" w:hAnsiTheme="majorBidi" w:cstheme="majorBidi"/>
          <w:iCs/>
          <w:lang w:eastAsia="zh-TW"/>
        </w:rPr>
      </w:pPr>
    </w:p>
    <w:p w:rsidR="00903F7E" w:rsidRPr="000628A0" w:rsidRDefault="00D13E3F" w:rsidP="00962978">
      <w:pPr>
        <w:spacing w:line="480" w:lineRule="auto"/>
        <w:rPr>
          <w:rFonts w:asciiTheme="majorBidi" w:eastAsia="PMingLiU" w:hAnsiTheme="majorBidi" w:cstheme="majorBidi"/>
          <w:iCs/>
          <w:lang w:eastAsia="zh-TW"/>
        </w:rPr>
      </w:pPr>
      <w:r w:rsidRPr="000628A0">
        <w:rPr>
          <w:rFonts w:asciiTheme="majorBidi" w:eastAsia="PMingLiU" w:hAnsiTheme="majorBidi" w:cstheme="majorBidi"/>
          <w:iCs/>
          <w:lang w:eastAsia="zh-TW"/>
        </w:rPr>
        <w:t>This paper</w:t>
      </w:r>
      <w:r w:rsidR="00903F7E" w:rsidRPr="000628A0">
        <w:rPr>
          <w:rFonts w:asciiTheme="majorBidi" w:eastAsia="PMingLiU" w:hAnsiTheme="majorBidi" w:cstheme="majorBidi"/>
          <w:iCs/>
          <w:lang w:eastAsia="zh-TW"/>
        </w:rPr>
        <w:t xml:space="preserve"> also provides an opportunity for empirical work on</w:t>
      </w:r>
      <w:r w:rsidRPr="000628A0">
        <w:rPr>
          <w:rFonts w:asciiTheme="majorBidi" w:eastAsia="PMingLiU" w:hAnsiTheme="majorBidi" w:cstheme="majorBidi"/>
          <w:iCs/>
          <w:lang w:eastAsia="zh-TW"/>
        </w:rPr>
        <w:t xml:space="preserve"> </w:t>
      </w:r>
      <w:r w:rsidR="00E2639B">
        <w:rPr>
          <w:rFonts w:asciiTheme="majorBidi" w:eastAsia="PMingLiU" w:hAnsiTheme="majorBidi" w:cstheme="majorBidi"/>
          <w:iCs/>
          <w:lang w:eastAsia="zh-TW"/>
        </w:rPr>
        <w:t xml:space="preserve">variations between </w:t>
      </w:r>
      <w:r w:rsidRPr="000628A0">
        <w:rPr>
          <w:rFonts w:asciiTheme="majorBidi" w:eastAsia="PMingLiU" w:hAnsiTheme="majorBidi" w:cstheme="majorBidi"/>
          <w:iCs/>
          <w:lang w:eastAsia="zh-TW"/>
        </w:rPr>
        <w:t>charities</w:t>
      </w:r>
      <w:r w:rsidR="00E2639B">
        <w:rPr>
          <w:rFonts w:asciiTheme="majorBidi" w:eastAsia="PMingLiU" w:hAnsiTheme="majorBidi" w:cstheme="majorBidi"/>
          <w:iCs/>
          <w:lang w:eastAsia="zh-TW"/>
        </w:rPr>
        <w:t xml:space="preserve"> in the degree of </w:t>
      </w:r>
      <w:r w:rsidR="00903F7E" w:rsidRPr="000628A0">
        <w:rPr>
          <w:rFonts w:asciiTheme="majorBidi" w:eastAsia="PMingLiU" w:hAnsiTheme="majorBidi" w:cstheme="majorBidi"/>
          <w:iCs/>
          <w:lang w:eastAsia="zh-TW"/>
        </w:rPr>
        <w:t>diversification</w:t>
      </w:r>
      <w:r w:rsidRPr="000628A0">
        <w:rPr>
          <w:rFonts w:asciiTheme="majorBidi" w:eastAsia="PMingLiU" w:hAnsiTheme="majorBidi" w:cstheme="majorBidi"/>
          <w:iCs/>
          <w:lang w:eastAsia="zh-TW"/>
        </w:rPr>
        <w:t xml:space="preserve"> </w:t>
      </w:r>
      <w:r w:rsidR="00E2639B">
        <w:rPr>
          <w:rFonts w:asciiTheme="majorBidi" w:eastAsia="PMingLiU" w:hAnsiTheme="majorBidi" w:cstheme="majorBidi"/>
          <w:iCs/>
          <w:lang w:eastAsia="zh-TW"/>
        </w:rPr>
        <w:t xml:space="preserve">of their income sources, a subject which provides </w:t>
      </w:r>
      <w:r w:rsidRPr="000628A0">
        <w:rPr>
          <w:rFonts w:asciiTheme="majorBidi" w:eastAsia="PMingLiU" w:hAnsiTheme="majorBidi" w:cstheme="majorBidi"/>
          <w:iCs/>
          <w:lang w:eastAsia="zh-TW"/>
        </w:rPr>
        <w:t xml:space="preserve">insights into the mix of goods and services that individual charities provide.  </w:t>
      </w:r>
      <w:r w:rsidR="00E2639B">
        <w:rPr>
          <w:rFonts w:asciiTheme="majorBidi" w:eastAsia="PMingLiU" w:hAnsiTheme="majorBidi" w:cstheme="majorBidi"/>
          <w:iCs/>
          <w:lang w:eastAsia="zh-TW"/>
        </w:rPr>
        <w:t>I</w:t>
      </w:r>
      <w:r w:rsidR="003A5078" w:rsidRPr="000628A0">
        <w:rPr>
          <w:rFonts w:asciiTheme="majorBidi" w:eastAsia="PMingLiU" w:hAnsiTheme="majorBidi" w:cstheme="majorBidi"/>
          <w:iCs/>
          <w:lang w:eastAsia="zh-TW"/>
        </w:rPr>
        <w:t xml:space="preserve">n making the link between an organisation’s income </w:t>
      </w:r>
      <w:r w:rsidR="00221FEC" w:rsidRPr="000628A0">
        <w:rPr>
          <w:rFonts w:asciiTheme="majorBidi" w:eastAsia="PMingLiU" w:hAnsiTheme="majorBidi" w:cstheme="majorBidi"/>
          <w:iCs/>
          <w:lang w:eastAsia="zh-TW"/>
        </w:rPr>
        <w:t>portfolio</w:t>
      </w:r>
      <w:r w:rsidR="003A5078" w:rsidRPr="000628A0">
        <w:rPr>
          <w:rFonts w:asciiTheme="majorBidi" w:eastAsia="PMingLiU" w:hAnsiTheme="majorBidi" w:cstheme="majorBidi"/>
          <w:iCs/>
          <w:lang w:eastAsia="zh-TW"/>
        </w:rPr>
        <w:t xml:space="preserve"> </w:t>
      </w:r>
      <w:r w:rsidR="00221FEC" w:rsidRPr="000628A0">
        <w:rPr>
          <w:rFonts w:asciiTheme="majorBidi" w:eastAsia="PMingLiU" w:hAnsiTheme="majorBidi" w:cstheme="majorBidi"/>
          <w:iCs/>
          <w:lang w:eastAsia="zh-TW"/>
        </w:rPr>
        <w:t>and the</w:t>
      </w:r>
      <w:r w:rsidR="003A5078" w:rsidRPr="000628A0">
        <w:rPr>
          <w:rFonts w:asciiTheme="majorBidi" w:eastAsia="PMingLiU" w:hAnsiTheme="majorBidi" w:cstheme="majorBidi"/>
          <w:iCs/>
          <w:lang w:eastAsia="zh-TW"/>
        </w:rPr>
        <w:t xml:space="preserve"> nature of </w:t>
      </w:r>
      <w:r w:rsidR="00E2639B">
        <w:rPr>
          <w:rFonts w:asciiTheme="majorBidi" w:eastAsia="PMingLiU" w:hAnsiTheme="majorBidi" w:cstheme="majorBidi"/>
          <w:iCs/>
          <w:lang w:eastAsia="zh-TW"/>
        </w:rPr>
        <w:t xml:space="preserve">the </w:t>
      </w:r>
      <w:r w:rsidR="003A5078" w:rsidRPr="000628A0">
        <w:rPr>
          <w:rFonts w:asciiTheme="majorBidi" w:eastAsia="PMingLiU" w:hAnsiTheme="majorBidi" w:cstheme="majorBidi"/>
          <w:iCs/>
          <w:lang w:eastAsia="zh-TW"/>
        </w:rPr>
        <w:t>services</w:t>
      </w:r>
      <w:r w:rsidR="00E2639B">
        <w:rPr>
          <w:rFonts w:asciiTheme="majorBidi" w:eastAsia="PMingLiU" w:hAnsiTheme="majorBidi" w:cstheme="majorBidi"/>
          <w:iCs/>
          <w:lang w:eastAsia="zh-TW"/>
        </w:rPr>
        <w:t xml:space="preserve"> it provides</w:t>
      </w:r>
      <w:r w:rsidR="003A5078" w:rsidRPr="000628A0">
        <w:rPr>
          <w:rFonts w:asciiTheme="majorBidi" w:eastAsia="PMingLiU" w:hAnsiTheme="majorBidi" w:cstheme="majorBidi"/>
          <w:iCs/>
          <w:lang w:eastAsia="zh-TW"/>
        </w:rPr>
        <w:t>, the</w:t>
      </w:r>
      <w:r w:rsidR="000C69EB" w:rsidRPr="000628A0">
        <w:rPr>
          <w:rFonts w:asciiTheme="majorBidi" w:eastAsia="PMingLiU" w:hAnsiTheme="majorBidi" w:cstheme="majorBidi"/>
          <w:iCs/>
          <w:lang w:eastAsia="zh-TW"/>
        </w:rPr>
        <w:t xml:space="preserve"> benefits theory of nonprofit finance </w:t>
      </w:r>
      <w:r w:rsidR="003A5078" w:rsidRPr="000628A0">
        <w:rPr>
          <w:rFonts w:asciiTheme="majorBidi" w:eastAsia="PMingLiU" w:hAnsiTheme="majorBidi" w:cstheme="majorBidi"/>
          <w:iCs/>
          <w:lang w:eastAsia="zh-TW"/>
        </w:rPr>
        <w:t>not only</w:t>
      </w:r>
      <w:r w:rsidR="008177F3" w:rsidRPr="000628A0">
        <w:rPr>
          <w:rFonts w:asciiTheme="majorBidi" w:eastAsia="PMingLiU" w:hAnsiTheme="majorBidi" w:cstheme="majorBidi"/>
          <w:iCs/>
          <w:lang w:eastAsia="zh-TW"/>
        </w:rPr>
        <w:t xml:space="preserve"> </w:t>
      </w:r>
      <w:r w:rsidR="00E2639B">
        <w:rPr>
          <w:rFonts w:asciiTheme="majorBidi" w:eastAsia="PMingLiU" w:hAnsiTheme="majorBidi" w:cstheme="majorBidi"/>
          <w:iCs/>
          <w:lang w:eastAsia="zh-TW"/>
        </w:rPr>
        <w:t xml:space="preserve">offers </w:t>
      </w:r>
      <w:r w:rsidR="008177F3" w:rsidRPr="000628A0">
        <w:rPr>
          <w:rFonts w:asciiTheme="majorBidi" w:eastAsia="PMingLiU" w:hAnsiTheme="majorBidi" w:cstheme="majorBidi"/>
          <w:iCs/>
          <w:lang w:eastAsia="zh-TW"/>
        </w:rPr>
        <w:t>insights into</w:t>
      </w:r>
      <w:r w:rsidR="003A5078" w:rsidRPr="000628A0">
        <w:rPr>
          <w:rFonts w:asciiTheme="majorBidi" w:eastAsia="PMingLiU" w:hAnsiTheme="majorBidi" w:cstheme="majorBidi"/>
          <w:iCs/>
          <w:lang w:eastAsia="zh-TW"/>
        </w:rPr>
        <w:t xml:space="preserve"> an organisation’s main role</w:t>
      </w:r>
      <w:r w:rsidR="009B0067" w:rsidRPr="000628A0">
        <w:rPr>
          <w:rFonts w:asciiTheme="majorBidi" w:eastAsia="PMingLiU" w:hAnsiTheme="majorBidi" w:cstheme="majorBidi"/>
          <w:iCs/>
          <w:lang w:eastAsia="zh-TW"/>
        </w:rPr>
        <w:t xml:space="preserve"> –</w:t>
      </w:r>
      <w:r w:rsidR="00296A53" w:rsidRPr="000628A0">
        <w:rPr>
          <w:rFonts w:asciiTheme="majorBidi" w:eastAsia="PMingLiU" w:hAnsiTheme="majorBidi" w:cstheme="majorBidi"/>
          <w:iCs/>
          <w:lang w:eastAsia="zh-TW"/>
        </w:rPr>
        <w:t xml:space="preserve"> but, importantly, it </w:t>
      </w:r>
      <w:r w:rsidR="009B0067" w:rsidRPr="000628A0">
        <w:rPr>
          <w:rFonts w:asciiTheme="majorBidi" w:eastAsia="PMingLiU" w:hAnsiTheme="majorBidi" w:cstheme="majorBidi"/>
          <w:iCs/>
          <w:lang w:eastAsia="zh-TW"/>
        </w:rPr>
        <w:t>also</w:t>
      </w:r>
      <w:r w:rsidR="003A5078" w:rsidRPr="000628A0">
        <w:rPr>
          <w:rFonts w:asciiTheme="majorBidi" w:eastAsia="PMingLiU" w:hAnsiTheme="majorBidi" w:cstheme="majorBidi"/>
          <w:iCs/>
          <w:lang w:eastAsia="zh-TW"/>
        </w:rPr>
        <w:t xml:space="preserve"> </w:t>
      </w:r>
      <w:r w:rsidR="00221FEC" w:rsidRPr="000628A0">
        <w:rPr>
          <w:rFonts w:asciiTheme="majorBidi" w:hAnsiTheme="majorBidi" w:cstheme="majorBidi"/>
          <w:color w:val="231F20"/>
        </w:rPr>
        <w:t>suggests that</w:t>
      </w:r>
      <w:r w:rsidR="009B0067" w:rsidRPr="000628A0">
        <w:rPr>
          <w:rFonts w:asciiTheme="majorBidi" w:hAnsiTheme="majorBidi" w:cstheme="majorBidi"/>
          <w:color w:val="231F20"/>
        </w:rPr>
        <w:t xml:space="preserve"> a charity’s financial mix ‘reflects the </w:t>
      </w:r>
      <w:r w:rsidR="009B0067" w:rsidRPr="000628A0">
        <w:rPr>
          <w:rFonts w:asciiTheme="majorBidi" w:hAnsiTheme="majorBidi" w:cstheme="majorBidi"/>
          <w:i/>
          <w:iCs/>
          <w:color w:val="231F20"/>
        </w:rPr>
        <w:t>combination</w:t>
      </w:r>
      <w:r w:rsidR="009B0067" w:rsidRPr="000628A0">
        <w:rPr>
          <w:rFonts w:asciiTheme="majorBidi" w:hAnsiTheme="majorBidi" w:cstheme="majorBidi"/>
          <w:color w:val="231F20"/>
        </w:rPr>
        <w:t xml:space="preserve"> of public and private </w:t>
      </w:r>
      <w:r w:rsidR="000E6F8C" w:rsidRPr="000628A0">
        <w:rPr>
          <w:rFonts w:asciiTheme="majorBidi" w:hAnsiTheme="majorBidi" w:cstheme="majorBidi"/>
          <w:color w:val="231F20"/>
        </w:rPr>
        <w:t>benefits</w:t>
      </w:r>
      <w:r w:rsidR="000E6F8C">
        <w:rPr>
          <w:rFonts w:asciiTheme="majorBidi" w:hAnsiTheme="majorBidi" w:cstheme="majorBidi"/>
          <w:color w:val="231F20"/>
        </w:rPr>
        <w:t>’ which</w:t>
      </w:r>
      <w:r w:rsidR="00876E71">
        <w:rPr>
          <w:rFonts w:asciiTheme="majorBidi" w:hAnsiTheme="majorBidi" w:cstheme="majorBidi"/>
          <w:color w:val="231F20"/>
        </w:rPr>
        <w:t xml:space="preserve"> </w:t>
      </w:r>
      <w:r w:rsidR="009B0067" w:rsidRPr="000628A0">
        <w:rPr>
          <w:rFonts w:asciiTheme="majorBidi" w:hAnsiTheme="majorBidi" w:cstheme="majorBidi"/>
          <w:color w:val="231F20"/>
        </w:rPr>
        <w:t xml:space="preserve">it </w:t>
      </w:r>
      <w:r w:rsidR="00876E71">
        <w:rPr>
          <w:rFonts w:asciiTheme="majorBidi" w:hAnsiTheme="majorBidi" w:cstheme="majorBidi"/>
          <w:color w:val="231F20"/>
        </w:rPr>
        <w:t xml:space="preserve">delivers </w:t>
      </w:r>
      <w:r w:rsidR="008177F3" w:rsidRPr="000628A0">
        <w:rPr>
          <w:rFonts w:asciiTheme="majorBidi" w:hAnsiTheme="majorBidi" w:cstheme="majorBidi"/>
          <w:color w:val="231F20"/>
        </w:rPr>
        <w:t>(</w:t>
      </w:r>
      <w:r w:rsidR="003446D6" w:rsidRPr="000628A0">
        <w:rPr>
          <w:rFonts w:asciiTheme="majorBidi" w:hAnsiTheme="majorBidi" w:cstheme="majorBidi"/>
          <w:color w:val="231F20"/>
        </w:rPr>
        <w:t xml:space="preserve">Young </w:t>
      </w:r>
      <w:r w:rsidR="003446D6" w:rsidRPr="000628A0">
        <w:rPr>
          <w:rFonts w:asciiTheme="majorBidi" w:hAnsiTheme="majorBidi" w:cstheme="majorBidi"/>
          <w:i/>
          <w:iCs/>
          <w:color w:val="231F20"/>
        </w:rPr>
        <w:t>et al.</w:t>
      </w:r>
      <w:r w:rsidR="003446D6" w:rsidRPr="000628A0">
        <w:rPr>
          <w:rFonts w:asciiTheme="majorBidi" w:hAnsiTheme="majorBidi" w:cstheme="majorBidi"/>
          <w:color w:val="231F20"/>
        </w:rPr>
        <w:t xml:space="preserve">, 2010, page </w:t>
      </w:r>
      <w:r w:rsidR="00221FEC" w:rsidRPr="000628A0">
        <w:rPr>
          <w:rFonts w:asciiTheme="majorBidi" w:hAnsiTheme="majorBidi" w:cstheme="majorBidi"/>
          <w:color w:val="231F20"/>
        </w:rPr>
        <w:t>164;</w:t>
      </w:r>
      <w:r w:rsidR="003446D6" w:rsidRPr="000628A0">
        <w:rPr>
          <w:rFonts w:asciiTheme="majorBidi" w:hAnsiTheme="majorBidi" w:cstheme="majorBidi"/>
          <w:color w:val="231F20"/>
        </w:rPr>
        <w:t xml:space="preserve"> emphasis added).  For example, from this perspective the proportion of income that comes from fees is seen as reflective of the extent of provision of private benefits (Young, 2007)</w:t>
      </w:r>
      <w:r w:rsidR="00296A53" w:rsidRPr="000628A0">
        <w:rPr>
          <w:rFonts w:asciiTheme="majorBidi" w:hAnsiTheme="majorBidi" w:cstheme="majorBidi"/>
          <w:color w:val="231F20"/>
        </w:rPr>
        <w:t>,</w:t>
      </w:r>
      <w:r w:rsidR="003446D6" w:rsidRPr="000628A0">
        <w:rPr>
          <w:rFonts w:asciiTheme="majorBidi" w:hAnsiTheme="majorBidi" w:cstheme="majorBidi"/>
          <w:color w:val="231F20"/>
        </w:rPr>
        <w:t xml:space="preserve"> while the diversity of income sources reflect</w:t>
      </w:r>
      <w:r w:rsidR="00876E71">
        <w:rPr>
          <w:rFonts w:asciiTheme="majorBidi" w:hAnsiTheme="majorBidi" w:cstheme="majorBidi"/>
          <w:color w:val="231F20"/>
        </w:rPr>
        <w:t xml:space="preserve">s </w:t>
      </w:r>
      <w:r w:rsidR="003446D6" w:rsidRPr="000628A0">
        <w:rPr>
          <w:rFonts w:asciiTheme="majorBidi" w:hAnsiTheme="majorBidi" w:cstheme="majorBidi"/>
          <w:color w:val="231F20"/>
        </w:rPr>
        <w:t>the diversity of an org</w:t>
      </w:r>
      <w:r w:rsidR="00347F3C">
        <w:rPr>
          <w:rFonts w:asciiTheme="majorBidi" w:hAnsiTheme="majorBidi" w:cstheme="majorBidi"/>
          <w:color w:val="231F20"/>
        </w:rPr>
        <w:t>anisation’s mission (Young, 2007</w:t>
      </w:r>
      <w:r w:rsidR="003446D6" w:rsidRPr="000628A0">
        <w:rPr>
          <w:rFonts w:asciiTheme="majorBidi" w:hAnsiTheme="majorBidi" w:cstheme="majorBidi"/>
          <w:color w:val="231F20"/>
        </w:rPr>
        <w:t xml:space="preserve">; see also Weisbrod, 1988; Fischer </w:t>
      </w:r>
      <w:r w:rsidR="003446D6" w:rsidRPr="000628A0">
        <w:rPr>
          <w:rFonts w:asciiTheme="majorBidi" w:hAnsiTheme="majorBidi" w:cstheme="majorBidi"/>
          <w:i/>
          <w:iCs/>
          <w:color w:val="231F20"/>
        </w:rPr>
        <w:t>et al.</w:t>
      </w:r>
      <w:r w:rsidR="008E59AA">
        <w:rPr>
          <w:rFonts w:asciiTheme="majorBidi" w:hAnsiTheme="majorBidi" w:cstheme="majorBidi"/>
          <w:color w:val="231F20"/>
        </w:rPr>
        <w:t>, 2011</w:t>
      </w:r>
      <w:r w:rsidR="003446D6" w:rsidRPr="000628A0">
        <w:rPr>
          <w:rFonts w:asciiTheme="majorBidi" w:hAnsiTheme="majorBidi" w:cstheme="majorBidi"/>
          <w:color w:val="231F20"/>
        </w:rPr>
        <w:t xml:space="preserve">; Wilsker and Young, 2010).  </w:t>
      </w:r>
      <w:r w:rsidR="00296A53" w:rsidRPr="000628A0">
        <w:rPr>
          <w:rFonts w:asciiTheme="majorBidi" w:hAnsiTheme="majorBidi" w:cstheme="majorBidi"/>
          <w:color w:val="231F20"/>
        </w:rPr>
        <w:t xml:space="preserve"> Note that an important body of research has considered whether </w:t>
      </w:r>
      <w:r w:rsidR="00876E71">
        <w:rPr>
          <w:rFonts w:asciiTheme="majorBidi" w:hAnsiTheme="majorBidi" w:cstheme="majorBidi"/>
          <w:color w:val="231F20"/>
        </w:rPr>
        <w:t xml:space="preserve">a diverse </w:t>
      </w:r>
      <w:r w:rsidR="00296A53" w:rsidRPr="000628A0">
        <w:rPr>
          <w:rFonts w:asciiTheme="majorBidi" w:hAnsiTheme="majorBidi" w:cstheme="majorBidi"/>
          <w:color w:val="231F20"/>
        </w:rPr>
        <w:t xml:space="preserve">revenue </w:t>
      </w:r>
      <w:r w:rsidR="00876E71">
        <w:rPr>
          <w:rFonts w:asciiTheme="majorBidi" w:hAnsiTheme="majorBidi" w:cstheme="majorBidi"/>
          <w:color w:val="231F20"/>
        </w:rPr>
        <w:t xml:space="preserve">base confers </w:t>
      </w:r>
      <w:r w:rsidR="00296A53" w:rsidRPr="000628A0">
        <w:rPr>
          <w:rFonts w:asciiTheme="majorBidi" w:hAnsiTheme="majorBidi" w:cstheme="majorBidi"/>
          <w:color w:val="231F20"/>
        </w:rPr>
        <w:t>advantages (in terms of providing stability in revenue</w:t>
      </w:r>
      <w:r w:rsidR="00CD1F15" w:rsidRPr="000628A0">
        <w:rPr>
          <w:rFonts w:asciiTheme="majorBidi" w:hAnsiTheme="majorBidi" w:cstheme="majorBidi"/>
          <w:color w:val="231F20"/>
        </w:rPr>
        <w:t xml:space="preserve"> and </w:t>
      </w:r>
      <w:r w:rsidR="00296A53" w:rsidRPr="000628A0">
        <w:rPr>
          <w:rFonts w:asciiTheme="majorBidi" w:hAnsiTheme="majorBidi" w:cstheme="majorBidi"/>
          <w:color w:val="231F20"/>
        </w:rPr>
        <w:t>improving survival prospects</w:t>
      </w:r>
      <w:r w:rsidR="00CD1F15" w:rsidRPr="000628A0">
        <w:rPr>
          <w:rFonts w:asciiTheme="majorBidi" w:hAnsiTheme="majorBidi" w:cstheme="majorBidi"/>
          <w:color w:val="231F20"/>
        </w:rPr>
        <w:t xml:space="preserve">; </w:t>
      </w:r>
      <w:r w:rsidR="00296A53" w:rsidRPr="000628A0">
        <w:rPr>
          <w:rFonts w:asciiTheme="majorBidi" w:hAnsiTheme="majorBidi" w:cstheme="majorBidi"/>
          <w:color w:val="231F20"/>
        </w:rPr>
        <w:t xml:space="preserve">see Froelich, 1999; Carroll and Stater, 2009; Chang and Tuckman, 1994; Hager, 2001) and disadvantages </w:t>
      </w:r>
      <w:r w:rsidR="00CD1F15" w:rsidRPr="000628A0">
        <w:rPr>
          <w:rFonts w:asciiTheme="majorBidi" w:hAnsiTheme="majorBidi" w:cstheme="majorBidi"/>
          <w:color w:val="231F20"/>
        </w:rPr>
        <w:t>(</w:t>
      </w:r>
      <w:r w:rsidR="00296A53" w:rsidRPr="000628A0">
        <w:rPr>
          <w:rFonts w:asciiTheme="majorBidi" w:hAnsiTheme="majorBidi" w:cstheme="majorBidi"/>
          <w:color w:val="231F20"/>
        </w:rPr>
        <w:t>given that a more concentrated revenue base may bring lower administrative costs</w:t>
      </w:r>
      <w:r w:rsidR="00CD1F15" w:rsidRPr="000628A0">
        <w:rPr>
          <w:rFonts w:asciiTheme="majorBidi" w:hAnsiTheme="majorBidi" w:cstheme="majorBidi"/>
          <w:color w:val="231F20"/>
        </w:rPr>
        <w:t xml:space="preserve">; </w:t>
      </w:r>
      <w:r w:rsidR="00962978">
        <w:rPr>
          <w:rFonts w:asciiTheme="majorBidi" w:hAnsiTheme="majorBidi" w:cstheme="majorBidi"/>
          <w:color w:val="231F20"/>
        </w:rPr>
        <w:t>Frumkin and Keating, 2011</w:t>
      </w:r>
      <w:r w:rsidR="00296A53" w:rsidRPr="000628A0">
        <w:rPr>
          <w:rFonts w:asciiTheme="majorBidi" w:hAnsiTheme="majorBidi" w:cstheme="majorBidi"/>
          <w:color w:val="231F20"/>
        </w:rPr>
        <w:t xml:space="preserve">).  However, </w:t>
      </w:r>
      <w:r w:rsidR="00CD1F15" w:rsidRPr="000628A0">
        <w:rPr>
          <w:rFonts w:asciiTheme="majorBidi" w:hAnsiTheme="majorBidi" w:cstheme="majorBidi"/>
          <w:color w:val="231F20"/>
        </w:rPr>
        <w:t>there has been relatively little empirical work which, across the charitable sector as a whole, has describe</w:t>
      </w:r>
      <w:r w:rsidR="00A82EF4">
        <w:rPr>
          <w:rFonts w:asciiTheme="majorBidi" w:hAnsiTheme="majorBidi" w:cstheme="majorBidi"/>
          <w:color w:val="231F20"/>
        </w:rPr>
        <w:t>d</w:t>
      </w:r>
      <w:r w:rsidR="00CD1F15" w:rsidRPr="000628A0">
        <w:rPr>
          <w:rFonts w:asciiTheme="majorBidi" w:hAnsiTheme="majorBidi" w:cstheme="majorBidi"/>
          <w:color w:val="231F20"/>
        </w:rPr>
        <w:t xml:space="preserve"> the extent of individual organisations’ diversification.</w:t>
      </w:r>
    </w:p>
    <w:p w:rsidR="00B70459" w:rsidRPr="000628A0" w:rsidRDefault="00B70459" w:rsidP="001767BB">
      <w:pPr>
        <w:spacing w:line="480" w:lineRule="auto"/>
        <w:rPr>
          <w:rFonts w:asciiTheme="majorBidi" w:eastAsia="PMingLiU" w:hAnsiTheme="majorBidi" w:cstheme="majorBidi"/>
          <w:lang w:eastAsia="zh-TW"/>
        </w:rPr>
      </w:pPr>
    </w:p>
    <w:p w:rsidR="0075027F" w:rsidRPr="000628A0" w:rsidRDefault="0075027F" w:rsidP="001767BB">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Illustrating the distribution of charities according to their roles</w:t>
      </w:r>
      <w:r w:rsidR="00CD1F15" w:rsidRPr="000628A0">
        <w:rPr>
          <w:rFonts w:asciiTheme="majorBidi" w:eastAsia="PMingLiU" w:hAnsiTheme="majorBidi" w:cstheme="majorBidi"/>
          <w:lang w:eastAsia="zh-TW"/>
        </w:rPr>
        <w:t xml:space="preserve">, and examining the diversity in organisations’ income composition, </w:t>
      </w:r>
      <w:r w:rsidRPr="000628A0">
        <w:rPr>
          <w:rFonts w:asciiTheme="majorBidi" w:eastAsia="PMingLiU" w:hAnsiTheme="majorBidi" w:cstheme="majorBidi"/>
          <w:lang w:eastAsia="zh-TW"/>
        </w:rPr>
        <w:t xml:space="preserve"> is particularly relevant </w:t>
      </w:r>
      <w:r w:rsidR="00A57792" w:rsidRPr="000628A0">
        <w:rPr>
          <w:rFonts w:asciiTheme="majorBidi" w:eastAsia="PMingLiU" w:hAnsiTheme="majorBidi" w:cstheme="majorBidi"/>
          <w:lang w:eastAsia="zh-TW"/>
        </w:rPr>
        <w:t xml:space="preserve">to </w:t>
      </w:r>
      <w:r w:rsidRPr="000628A0">
        <w:rPr>
          <w:rFonts w:asciiTheme="majorBidi" w:eastAsia="PMingLiU" w:hAnsiTheme="majorBidi" w:cstheme="majorBidi"/>
          <w:lang w:eastAsia="zh-TW"/>
        </w:rPr>
        <w:t xml:space="preserve">discussions </w:t>
      </w:r>
      <w:r w:rsidRPr="000628A0">
        <w:rPr>
          <w:rFonts w:asciiTheme="majorBidi" w:eastAsia="PMingLiU" w:hAnsiTheme="majorBidi" w:cstheme="majorBidi"/>
          <w:lang w:eastAsia="zh-TW"/>
        </w:rPr>
        <w:lastRenderedPageBreak/>
        <w:t>about</w:t>
      </w:r>
      <w:r w:rsidR="00A57792" w:rsidRPr="000628A0">
        <w:rPr>
          <w:rFonts w:asciiTheme="majorBidi" w:eastAsia="PMingLiU" w:hAnsiTheme="majorBidi" w:cstheme="majorBidi"/>
          <w:lang w:eastAsia="zh-TW"/>
        </w:rPr>
        <w:t xml:space="preserve"> contemporary changes in the funding base and character of </w:t>
      </w:r>
      <w:r w:rsidRPr="000628A0">
        <w:rPr>
          <w:rFonts w:asciiTheme="majorBidi" w:eastAsia="PMingLiU" w:hAnsiTheme="majorBidi" w:cstheme="majorBidi"/>
          <w:lang w:eastAsia="zh-TW"/>
        </w:rPr>
        <w:t xml:space="preserve">voluntary organisations. The widely-used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structural</w:t>
      </w:r>
      <w:r w:rsidR="00876E71">
        <w:rPr>
          <w:rFonts w:asciiTheme="majorBidi" w:eastAsia="PMingLiU" w:hAnsiTheme="majorBidi" w:cstheme="majorBidi"/>
          <w:lang w:eastAsia="zh-TW"/>
        </w:rPr>
        <w:t>-</w:t>
      </w:r>
      <w:r w:rsidRPr="000628A0">
        <w:rPr>
          <w:rFonts w:asciiTheme="majorBidi" w:eastAsia="PMingLiU" w:hAnsiTheme="majorBidi" w:cstheme="majorBidi"/>
          <w:lang w:eastAsia="zh-TW"/>
        </w:rPr>
        <w:t>operational</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definition requires that to be considered part of the voluntary sector, an organisation must benefit to a meaningful degree from voluntary contributions of money and/or time (Kendall and Knapp, 1996; Salamon and Anheier, 1996).</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However, commentators now contend that a</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hybridisation</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of voluntary organisations (Billis, 2010) is occurring, since those organisations receive income from sources characteristic of the public and private sectors </w:t>
      </w:r>
      <w:r w:rsidR="001826A0"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money from government for providing public services as part of a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mixed economy</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of welfare (Lewis, 1993), and/or money from commercial activities designed to generate income for their core mission (see James, 1983; 2003).</w:t>
      </w:r>
      <w:r w:rsidR="003014DD" w:rsidRPr="000628A0">
        <w:rPr>
          <w:rFonts w:asciiTheme="majorBidi" w:eastAsia="PMingLiU" w:hAnsiTheme="majorBidi" w:cstheme="majorBidi"/>
          <w:lang w:eastAsia="zh-TW"/>
        </w:rPr>
        <w:t xml:space="preserve"> </w:t>
      </w:r>
      <w:r w:rsidR="00CD1F15" w:rsidRPr="000628A0">
        <w:rPr>
          <w:rFonts w:asciiTheme="majorBidi" w:eastAsia="PMingLiU" w:hAnsiTheme="majorBidi" w:cstheme="majorBidi"/>
          <w:lang w:eastAsia="zh-TW"/>
        </w:rPr>
        <w:t xml:space="preserve"> </w:t>
      </w:r>
      <w:r w:rsidR="00657A2D" w:rsidRPr="000628A0">
        <w:rPr>
          <w:rFonts w:asciiTheme="majorBidi" w:eastAsia="PMingLiU" w:hAnsiTheme="majorBidi" w:cstheme="majorBidi"/>
          <w:lang w:eastAsia="zh-TW"/>
        </w:rPr>
        <w:t>T</w:t>
      </w:r>
      <w:r w:rsidR="002912FD" w:rsidRPr="000628A0">
        <w:rPr>
          <w:rFonts w:asciiTheme="majorBidi" w:eastAsia="PMingLiU" w:hAnsiTheme="majorBidi" w:cstheme="majorBidi"/>
          <w:lang w:eastAsia="zh-TW"/>
        </w:rPr>
        <w:t xml:space="preserve">he concept of hybridisation </w:t>
      </w:r>
      <w:r w:rsidR="00657A2D" w:rsidRPr="000628A0">
        <w:rPr>
          <w:rFonts w:asciiTheme="majorBidi" w:eastAsia="PMingLiU" w:hAnsiTheme="majorBidi" w:cstheme="majorBidi"/>
          <w:lang w:eastAsia="zh-TW"/>
        </w:rPr>
        <w:t xml:space="preserve">places the </w:t>
      </w:r>
      <w:r w:rsidR="00221FEC" w:rsidRPr="000628A0">
        <w:rPr>
          <w:rFonts w:asciiTheme="majorBidi" w:eastAsia="PMingLiU" w:hAnsiTheme="majorBidi" w:cstheme="majorBidi"/>
          <w:lang w:eastAsia="zh-TW"/>
        </w:rPr>
        <w:t>diversification</w:t>
      </w:r>
      <w:r w:rsidR="00657A2D" w:rsidRPr="000628A0">
        <w:rPr>
          <w:rFonts w:asciiTheme="majorBidi" w:eastAsia="PMingLiU" w:hAnsiTheme="majorBidi" w:cstheme="majorBidi"/>
          <w:lang w:eastAsia="zh-TW"/>
        </w:rPr>
        <w:t xml:space="preserve"> of organisations’ revenue within the context of a wider process in which </w:t>
      </w:r>
      <w:r w:rsidR="002912FD" w:rsidRPr="000628A0">
        <w:rPr>
          <w:rFonts w:asciiTheme="majorBidi" w:eastAsia="PMingLiU" w:hAnsiTheme="majorBidi" w:cstheme="majorBidi"/>
          <w:lang w:eastAsia="zh-TW"/>
        </w:rPr>
        <w:t xml:space="preserve">organisations increasingly adopt practices and values of </w:t>
      </w:r>
      <w:r w:rsidR="00876E71">
        <w:rPr>
          <w:rFonts w:asciiTheme="majorBidi" w:eastAsia="PMingLiU" w:hAnsiTheme="majorBidi" w:cstheme="majorBidi"/>
          <w:lang w:eastAsia="zh-TW"/>
        </w:rPr>
        <w:t xml:space="preserve">both </w:t>
      </w:r>
      <w:r w:rsidR="002912FD" w:rsidRPr="000628A0">
        <w:rPr>
          <w:rFonts w:asciiTheme="majorBidi" w:eastAsia="PMingLiU" w:hAnsiTheme="majorBidi" w:cstheme="majorBidi"/>
          <w:lang w:eastAsia="zh-TW"/>
        </w:rPr>
        <w:t xml:space="preserve">the state and the market </w:t>
      </w:r>
      <w:r w:rsidR="001767BB" w:rsidRPr="000628A0">
        <w:rPr>
          <w:rFonts w:asciiTheme="majorBidi" w:eastAsia="PMingLiU" w:hAnsiTheme="majorBidi" w:cstheme="majorBidi"/>
          <w:lang w:eastAsia="zh-TW"/>
        </w:rPr>
        <w:t xml:space="preserve">(Buckingham, 2011; McKay </w:t>
      </w:r>
      <w:r w:rsidR="001767BB" w:rsidRPr="000628A0">
        <w:rPr>
          <w:rFonts w:asciiTheme="majorBidi" w:eastAsia="PMingLiU" w:hAnsiTheme="majorBidi" w:cstheme="majorBidi"/>
          <w:i/>
          <w:iCs/>
          <w:lang w:eastAsia="zh-TW"/>
        </w:rPr>
        <w:t>et al.</w:t>
      </w:r>
      <w:r w:rsidR="001767BB" w:rsidRPr="000628A0">
        <w:rPr>
          <w:rFonts w:asciiTheme="majorBidi" w:eastAsia="PMingLiU" w:hAnsiTheme="majorBidi" w:cstheme="majorBidi"/>
          <w:lang w:eastAsia="zh-TW"/>
        </w:rPr>
        <w:t xml:space="preserve">, 2015).  </w:t>
      </w:r>
      <w:r w:rsidRPr="000628A0">
        <w:rPr>
          <w:rFonts w:asciiTheme="majorBidi" w:eastAsia="PMingLiU" w:hAnsiTheme="majorBidi" w:cstheme="majorBidi"/>
          <w:lang w:eastAsia="zh-TW"/>
        </w:rPr>
        <w:t xml:space="preserve">These represent fundamental changes in the nature of organisations that are delivering welfare (Billis, 2010) </w:t>
      </w:r>
      <w:r w:rsidR="001826A0"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and the continuation of a trend dating from the 1980s in which the era of the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classic welfare state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in which the state assumed direct responsibility for the delivery as well as the funding of</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public services, started to change (Harris, 2010).</w:t>
      </w:r>
      <w:r w:rsidR="003014DD" w:rsidRPr="000628A0">
        <w:rPr>
          <w:rFonts w:asciiTheme="majorBidi" w:eastAsia="PMingLiU" w:hAnsiTheme="majorBidi" w:cstheme="majorBidi"/>
          <w:lang w:eastAsia="zh-TW"/>
        </w:rPr>
        <w:t xml:space="preserve"> </w:t>
      </w:r>
      <w:r w:rsidR="00657A2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Importantly, Billis (2010, page 12) argues that it is not only the economy of welfare that is becoming more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mixed</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 but also </w:t>
      </w:r>
      <w:r w:rsidRPr="000628A0">
        <w:rPr>
          <w:rFonts w:asciiTheme="majorBidi" w:eastAsia="PMingLiU" w:hAnsiTheme="majorBidi" w:cstheme="majorBidi"/>
          <w:i/>
          <w:iCs/>
          <w:lang w:eastAsia="zh-TW"/>
        </w:rPr>
        <w:t>the organisations themselves</w:t>
      </w:r>
      <w:r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00657A2D" w:rsidRPr="000628A0">
        <w:rPr>
          <w:rFonts w:asciiTheme="majorBidi" w:eastAsia="PMingLiU" w:hAnsiTheme="majorBidi" w:cstheme="majorBidi"/>
          <w:lang w:eastAsia="zh-TW"/>
        </w:rPr>
        <w:t xml:space="preserve"> </w:t>
      </w:r>
    </w:p>
    <w:p w:rsidR="0075027F" w:rsidRPr="000628A0" w:rsidRDefault="0075027F" w:rsidP="00FC6B07">
      <w:pPr>
        <w:spacing w:line="480" w:lineRule="auto"/>
        <w:rPr>
          <w:rFonts w:asciiTheme="majorBidi" w:eastAsia="PMingLiU" w:hAnsiTheme="majorBidi" w:cstheme="majorBidi"/>
          <w:b/>
          <w:bCs/>
          <w:lang w:eastAsia="zh-TW"/>
        </w:rPr>
      </w:pPr>
    </w:p>
    <w:p w:rsidR="0075027F" w:rsidRPr="000628A0" w:rsidRDefault="0075027F" w:rsidP="00FC6B07">
      <w:pPr>
        <w:spacing w:line="480" w:lineRule="auto"/>
        <w:rPr>
          <w:rFonts w:asciiTheme="majorBidi" w:eastAsia="PMingLiU" w:hAnsiTheme="majorBidi" w:cstheme="majorBidi"/>
          <w:lang w:eastAsia="zh-TW"/>
        </w:rPr>
      </w:pPr>
      <w:r w:rsidRPr="000628A0">
        <w:rPr>
          <w:rFonts w:asciiTheme="majorBidi" w:eastAsia="PMingLiU" w:hAnsiTheme="majorBidi" w:cstheme="majorBidi"/>
          <w:b/>
          <w:bCs/>
          <w:lang w:eastAsia="zh-TW"/>
        </w:rPr>
        <w:t>Addressing evidence gaps: data and approach</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6755B8">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Quantitative research that illuminates the pattern of funding at the level of individual organisations is essential if we are to evaluate propositions about the relationship between the income composition of charities and the roles played by them. Some </w:t>
      </w:r>
      <w:r w:rsidRPr="000628A0">
        <w:rPr>
          <w:rFonts w:asciiTheme="majorBidi" w:eastAsia="PMingLiU" w:hAnsiTheme="majorBidi" w:cstheme="majorBidi"/>
          <w:lang w:eastAsia="zh-TW"/>
        </w:rPr>
        <w:lastRenderedPageBreak/>
        <w:t xml:space="preserve">charities receive a higher proportion of their funding from government, leading to concerns about their independence, while others are highly dependent on fees paid by individuals in order to consume specific services, leading to concerns about whether they are genuinely charitable. While we know much about aggregate trends in such income sources, more information is needed about how these changes are reflected at the organisation level. </w:t>
      </w:r>
    </w:p>
    <w:p w:rsidR="004301F1" w:rsidRPr="000628A0" w:rsidRDefault="004301F1" w:rsidP="00FC6B07">
      <w:pPr>
        <w:spacing w:line="480" w:lineRule="auto"/>
        <w:rPr>
          <w:rFonts w:asciiTheme="majorBidi" w:eastAsia="PMingLiU" w:hAnsiTheme="majorBidi" w:cstheme="majorBidi"/>
          <w:lang w:eastAsia="zh-TW"/>
        </w:rPr>
      </w:pPr>
    </w:p>
    <w:p w:rsidR="0075027F" w:rsidRPr="000628A0" w:rsidRDefault="0075027F" w:rsidP="006F312B">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We draw on a unique dataset detailing charities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income from a variety of sources </w:t>
      </w:r>
      <w:r w:rsidR="001826A0"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including income from individuals (identified separately according to donations/fundraising; legacies; and</w:t>
      </w:r>
      <w:r w:rsidR="00D810B4" w:rsidRPr="000628A0">
        <w:rPr>
          <w:rFonts w:asciiTheme="majorBidi" w:eastAsia="PMingLiU" w:hAnsiTheme="majorBidi" w:cstheme="majorBidi"/>
          <w:lang w:eastAsia="zh-TW"/>
        </w:rPr>
        <w:t xml:space="preserve"> fee income from</w:t>
      </w:r>
      <w:r w:rsidRPr="000628A0">
        <w:rPr>
          <w:rFonts w:asciiTheme="majorBidi" w:eastAsia="PMingLiU" w:hAnsiTheme="majorBidi" w:cstheme="majorBidi"/>
          <w:lang w:eastAsia="zh-TW"/>
        </w:rPr>
        <w:t xml:space="preserve"> charitable activities), government, and other sources.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color w:val="000000"/>
          <w:lang w:eastAsia="zh-TW"/>
        </w:rPr>
        <w:t>T</w:t>
      </w:r>
      <w:r w:rsidRPr="000628A0">
        <w:rPr>
          <w:rFonts w:asciiTheme="majorBidi" w:hAnsiTheme="majorBidi" w:cstheme="majorBidi"/>
          <w:color w:val="000000"/>
        </w:rPr>
        <w:t>he Charity Commission</w:t>
      </w:r>
      <w:r w:rsidRPr="000628A0">
        <w:rPr>
          <w:rFonts w:asciiTheme="majorBidi" w:eastAsia="PMingLiU" w:hAnsiTheme="majorBidi" w:cstheme="majorBidi"/>
          <w:color w:val="000000"/>
          <w:lang w:eastAsia="zh-TW"/>
        </w:rPr>
        <w:t xml:space="preserve"> (CC)</w:t>
      </w:r>
      <w:r w:rsidRPr="000628A0">
        <w:rPr>
          <w:rFonts w:asciiTheme="majorBidi" w:hAnsiTheme="majorBidi" w:cstheme="majorBidi"/>
          <w:color w:val="000000"/>
        </w:rPr>
        <w:t xml:space="preserve"> register</w:t>
      </w:r>
      <w:r w:rsidRPr="000628A0">
        <w:rPr>
          <w:rFonts w:asciiTheme="majorBidi" w:eastAsia="PMingLiU" w:hAnsiTheme="majorBidi" w:cstheme="majorBidi"/>
          <w:color w:val="000000"/>
          <w:lang w:eastAsia="zh-TW"/>
        </w:rPr>
        <w:t xml:space="preserve"> was used as</w:t>
      </w:r>
      <w:r w:rsidRPr="000628A0">
        <w:rPr>
          <w:rFonts w:asciiTheme="majorBidi" w:hAnsiTheme="majorBidi" w:cstheme="majorBidi"/>
          <w:color w:val="000000"/>
        </w:rPr>
        <w:t xml:space="preserve"> a sampling frame</w:t>
      </w:r>
      <w:r w:rsidRPr="000628A0">
        <w:rPr>
          <w:rFonts w:asciiTheme="majorBidi" w:eastAsia="PMingLiU" w:hAnsiTheme="majorBidi" w:cstheme="majorBidi"/>
          <w:color w:val="000000"/>
          <w:lang w:eastAsia="zh-TW"/>
        </w:rPr>
        <w:t>, and the sample was designed to be representative of the population of registered charities in England and Wales.</w:t>
      </w:r>
      <w:r w:rsidR="003014DD" w:rsidRPr="000628A0">
        <w:rPr>
          <w:rFonts w:asciiTheme="majorBidi" w:eastAsia="PMingLiU" w:hAnsiTheme="majorBidi" w:cstheme="majorBidi"/>
          <w:color w:val="000000"/>
          <w:lang w:eastAsia="zh-TW"/>
        </w:rPr>
        <w:t xml:space="preserve"> </w:t>
      </w:r>
      <w:r w:rsidRPr="000628A0">
        <w:rPr>
          <w:rFonts w:asciiTheme="majorBidi" w:eastAsia="PMingLiU" w:hAnsiTheme="majorBidi" w:cstheme="majorBidi"/>
          <w:lang w:eastAsia="zh-TW"/>
        </w:rPr>
        <w:t>Data collection involved both the capture and classification of financial information, such that income can be identified according to income source (see Fig</w:t>
      </w:r>
      <w:r w:rsidR="001826A0" w:rsidRPr="000628A0">
        <w:rPr>
          <w:rFonts w:asciiTheme="majorBidi" w:eastAsia="PMingLiU" w:hAnsiTheme="majorBidi" w:cstheme="majorBidi"/>
          <w:lang w:eastAsia="zh-TW"/>
        </w:rPr>
        <w:t xml:space="preserve">ure </w:t>
      </w:r>
      <w:r w:rsidRPr="000628A0">
        <w:rPr>
          <w:rFonts w:asciiTheme="majorBidi" w:eastAsia="PMingLiU" w:hAnsiTheme="majorBidi" w:cstheme="majorBidi"/>
          <w:lang w:eastAsia="zh-TW"/>
        </w:rPr>
        <w:t>1).</w:t>
      </w:r>
      <w:r w:rsidR="003014DD" w:rsidRPr="000628A0">
        <w:rPr>
          <w:rFonts w:asciiTheme="majorBidi" w:eastAsia="PMingLiU" w:hAnsiTheme="majorBidi" w:cstheme="majorBidi"/>
          <w:lang w:eastAsia="zh-TW"/>
        </w:rPr>
        <w:t xml:space="preserve"> </w:t>
      </w:r>
      <w:r w:rsidR="00860FD4" w:rsidRPr="000628A0">
        <w:rPr>
          <w:rFonts w:asciiTheme="majorBidi" w:eastAsia="PMingLiU" w:hAnsiTheme="majorBidi" w:cstheme="majorBidi"/>
          <w:lang w:eastAsia="zh-TW"/>
        </w:rPr>
        <w:t xml:space="preserve"> </w:t>
      </w:r>
      <w:r w:rsidR="00A82EF4">
        <w:rPr>
          <w:rFonts w:asciiTheme="majorBidi" w:eastAsia="PMingLiU" w:hAnsiTheme="majorBidi" w:cstheme="majorBidi"/>
          <w:lang w:eastAsia="zh-TW"/>
        </w:rPr>
        <w:t>Some</w:t>
      </w:r>
      <w:r w:rsidR="00036563" w:rsidRPr="000628A0">
        <w:rPr>
          <w:rFonts w:asciiTheme="majorBidi" w:eastAsia="PMingLiU" w:hAnsiTheme="majorBidi" w:cstheme="majorBidi"/>
          <w:lang w:eastAsia="zh-TW"/>
        </w:rPr>
        <w:t xml:space="preserve"> 500,000 lines of data </w:t>
      </w:r>
      <w:r w:rsidR="006F312B">
        <w:rPr>
          <w:rFonts w:asciiTheme="majorBidi" w:eastAsia="PMingLiU" w:hAnsiTheme="majorBidi" w:cstheme="majorBidi"/>
          <w:lang w:eastAsia="zh-TW"/>
        </w:rPr>
        <w:t>were</w:t>
      </w:r>
      <w:r w:rsidR="006F312B" w:rsidRPr="000628A0">
        <w:rPr>
          <w:rFonts w:asciiTheme="majorBidi" w:eastAsia="PMingLiU" w:hAnsiTheme="majorBidi" w:cstheme="majorBidi"/>
          <w:lang w:eastAsia="zh-TW"/>
        </w:rPr>
        <w:t xml:space="preserve"> </w:t>
      </w:r>
      <w:r w:rsidR="00036563" w:rsidRPr="000628A0">
        <w:rPr>
          <w:rFonts w:asciiTheme="majorBidi" w:eastAsia="PMingLiU" w:hAnsiTheme="majorBidi" w:cstheme="majorBidi"/>
          <w:lang w:eastAsia="zh-TW"/>
        </w:rPr>
        <w:t xml:space="preserve">captured </w:t>
      </w:r>
      <w:r w:rsidR="00A82EF4">
        <w:rPr>
          <w:rFonts w:asciiTheme="majorBidi" w:eastAsia="PMingLiU" w:hAnsiTheme="majorBidi" w:cstheme="majorBidi"/>
          <w:lang w:eastAsia="zh-TW"/>
        </w:rPr>
        <w:t>manually</w:t>
      </w:r>
      <w:r w:rsidR="006F312B">
        <w:rPr>
          <w:rFonts w:asciiTheme="majorBidi" w:eastAsia="PMingLiU" w:hAnsiTheme="majorBidi" w:cstheme="majorBidi"/>
          <w:lang w:eastAsia="zh-TW"/>
        </w:rPr>
        <w:t xml:space="preserve">, </w:t>
      </w:r>
      <w:r w:rsidR="00A82EF4">
        <w:rPr>
          <w:rFonts w:asciiTheme="majorBidi" w:eastAsia="PMingLiU" w:hAnsiTheme="majorBidi" w:cstheme="majorBidi"/>
          <w:lang w:eastAsia="zh-TW"/>
        </w:rPr>
        <w:t xml:space="preserve">since </w:t>
      </w:r>
      <w:r w:rsidR="00120CAA" w:rsidRPr="000628A0">
        <w:rPr>
          <w:rFonts w:asciiTheme="majorBidi" w:eastAsia="PMingLiU" w:hAnsiTheme="majorBidi" w:cstheme="majorBidi"/>
          <w:lang w:eastAsia="zh-TW"/>
        </w:rPr>
        <w:t>the accounts are not machine readable</w:t>
      </w:r>
      <w:r w:rsidR="006F312B">
        <w:rPr>
          <w:rFonts w:asciiTheme="majorBidi" w:eastAsia="PMingLiU" w:hAnsiTheme="majorBidi" w:cstheme="majorBidi"/>
          <w:lang w:eastAsia="zh-TW"/>
        </w:rPr>
        <w:t xml:space="preserve">, </w:t>
      </w:r>
      <w:r w:rsidR="00A82EF4">
        <w:rPr>
          <w:rFonts w:asciiTheme="majorBidi" w:eastAsia="PMingLiU" w:hAnsiTheme="majorBidi" w:cstheme="majorBidi"/>
          <w:lang w:eastAsia="zh-TW"/>
        </w:rPr>
        <w:t xml:space="preserve">using a </w:t>
      </w:r>
      <w:r w:rsidR="00120CAA" w:rsidRPr="000628A0">
        <w:rPr>
          <w:rFonts w:asciiTheme="majorBidi" w:hAnsiTheme="majorBidi" w:cstheme="majorBidi"/>
        </w:rPr>
        <w:t xml:space="preserve">custom web-based form which allowed the data entry staff to enter data in a way that replicated the hierarchy of data in the accounts.   </w:t>
      </w:r>
      <w:r w:rsidR="00120CAA" w:rsidRPr="000628A0">
        <w:rPr>
          <w:rFonts w:asciiTheme="majorBidi" w:eastAsia="PMingLiU" w:hAnsiTheme="majorBidi" w:cstheme="majorBidi"/>
          <w:lang w:eastAsia="zh-TW"/>
        </w:rPr>
        <w:t>These lines</w:t>
      </w:r>
      <w:r w:rsidR="00036563" w:rsidRPr="000628A0">
        <w:rPr>
          <w:rFonts w:asciiTheme="majorBidi" w:eastAsia="PMingLiU" w:hAnsiTheme="majorBidi" w:cstheme="majorBidi"/>
          <w:lang w:eastAsia="zh-TW"/>
        </w:rPr>
        <w:t xml:space="preserve"> </w:t>
      </w:r>
      <w:r w:rsidR="00120CAA" w:rsidRPr="000628A0">
        <w:rPr>
          <w:rFonts w:asciiTheme="majorBidi" w:eastAsia="PMingLiU" w:hAnsiTheme="majorBidi" w:cstheme="majorBidi"/>
          <w:lang w:eastAsia="zh-TW"/>
        </w:rPr>
        <w:t>were</w:t>
      </w:r>
      <w:r w:rsidR="00036563" w:rsidRPr="000628A0">
        <w:rPr>
          <w:rFonts w:asciiTheme="majorBidi" w:eastAsia="PMingLiU" w:hAnsiTheme="majorBidi" w:cstheme="majorBidi"/>
          <w:lang w:eastAsia="zh-TW"/>
        </w:rPr>
        <w:t xml:space="preserve"> then classified</w:t>
      </w:r>
      <w:r w:rsidR="005171BA" w:rsidRPr="000628A0">
        <w:rPr>
          <w:rFonts w:asciiTheme="majorBidi" w:eastAsia="PMingLiU" w:hAnsiTheme="majorBidi" w:cstheme="majorBidi"/>
          <w:lang w:eastAsia="zh-TW"/>
        </w:rPr>
        <w:t>,</w:t>
      </w:r>
      <w:r w:rsidR="00036563" w:rsidRPr="000628A0">
        <w:rPr>
          <w:rFonts w:asciiTheme="majorBidi" w:eastAsia="PMingLiU" w:hAnsiTheme="majorBidi" w:cstheme="majorBidi"/>
          <w:lang w:eastAsia="zh-TW"/>
        </w:rPr>
        <w:t xml:space="preserve"> using a range of </w:t>
      </w:r>
      <w:r w:rsidR="00120CAA" w:rsidRPr="000628A0">
        <w:rPr>
          <w:rFonts w:asciiTheme="majorBidi" w:eastAsia="PMingLiU" w:hAnsiTheme="majorBidi" w:cstheme="majorBidi"/>
          <w:lang w:eastAsia="zh-TW"/>
        </w:rPr>
        <w:t>methods</w:t>
      </w:r>
      <w:r w:rsidR="005171BA" w:rsidRPr="000628A0">
        <w:rPr>
          <w:rFonts w:asciiTheme="majorBidi" w:eastAsia="PMingLiU" w:hAnsiTheme="majorBidi" w:cstheme="majorBidi"/>
          <w:lang w:eastAsia="zh-TW"/>
        </w:rPr>
        <w:t>,</w:t>
      </w:r>
      <w:r w:rsidR="00120CAA" w:rsidRPr="000628A0">
        <w:rPr>
          <w:rFonts w:asciiTheme="majorBidi" w:eastAsia="PMingLiU" w:hAnsiTheme="majorBidi" w:cstheme="majorBidi"/>
          <w:lang w:eastAsia="zh-TW"/>
        </w:rPr>
        <w:t xml:space="preserve"> to the categories in </w:t>
      </w:r>
      <w:r w:rsidR="005D3637" w:rsidRPr="000628A0">
        <w:rPr>
          <w:rFonts w:asciiTheme="majorBidi" w:eastAsia="PMingLiU" w:hAnsiTheme="majorBidi" w:cstheme="majorBidi"/>
          <w:lang w:eastAsia="zh-TW"/>
        </w:rPr>
        <w:t>Figure 1</w:t>
      </w:r>
      <w:r w:rsidR="00120CAA" w:rsidRPr="000628A0">
        <w:rPr>
          <w:rFonts w:asciiTheme="majorBidi" w:eastAsia="PMingLiU" w:hAnsiTheme="majorBidi" w:cstheme="majorBidi"/>
          <w:lang w:eastAsia="zh-TW"/>
        </w:rPr>
        <w:t xml:space="preserve">.  </w:t>
      </w:r>
      <w:r w:rsidR="00221FEC" w:rsidRPr="000628A0">
        <w:rPr>
          <w:rFonts w:asciiTheme="majorBidi" w:eastAsia="PMingLiU" w:hAnsiTheme="majorBidi" w:cstheme="majorBidi"/>
          <w:lang w:eastAsia="zh-TW"/>
        </w:rPr>
        <w:t>F</w:t>
      </w:r>
      <w:r w:rsidR="00221FEC" w:rsidRPr="000628A0">
        <w:rPr>
          <w:rFonts w:asciiTheme="majorBidi" w:hAnsiTheme="majorBidi" w:cstheme="majorBidi"/>
        </w:rPr>
        <w:t>or the</w:t>
      </w:r>
      <w:r w:rsidR="00120CAA" w:rsidRPr="000628A0">
        <w:rPr>
          <w:rFonts w:asciiTheme="majorBidi" w:hAnsiTheme="majorBidi" w:cstheme="majorBidi"/>
        </w:rPr>
        <w:t xml:space="preserve"> largest items by monetary value</w:t>
      </w:r>
      <w:r w:rsidR="005171BA" w:rsidRPr="000628A0">
        <w:rPr>
          <w:rFonts w:asciiTheme="majorBidi" w:hAnsiTheme="majorBidi" w:cstheme="majorBidi"/>
        </w:rPr>
        <w:t>,</w:t>
      </w:r>
      <w:r w:rsidR="00120CAA" w:rsidRPr="000628A0">
        <w:rPr>
          <w:rFonts w:asciiTheme="majorBidi" w:hAnsiTheme="majorBidi" w:cstheme="majorBidi"/>
        </w:rPr>
        <w:t xml:space="preserve"> and those that belong to the accounts of the largest charities, </w:t>
      </w:r>
      <w:r w:rsidR="00120CAA" w:rsidRPr="000628A0">
        <w:rPr>
          <w:rFonts w:asciiTheme="majorBidi" w:eastAsia="PMingLiU" w:hAnsiTheme="majorBidi" w:cstheme="majorBidi"/>
          <w:lang w:eastAsia="zh-TW"/>
        </w:rPr>
        <w:t xml:space="preserve">the account items were classified </w:t>
      </w:r>
      <w:r w:rsidR="00120CAA" w:rsidRPr="000628A0">
        <w:rPr>
          <w:rFonts w:asciiTheme="majorBidi" w:hAnsiTheme="majorBidi" w:cstheme="majorBidi"/>
        </w:rPr>
        <w:t>manually</w:t>
      </w:r>
      <w:r w:rsidR="005171BA" w:rsidRPr="000628A0">
        <w:rPr>
          <w:rFonts w:asciiTheme="majorBidi" w:hAnsiTheme="majorBidi" w:cstheme="majorBidi"/>
        </w:rPr>
        <w:t xml:space="preserve">.  Keyword searches were then used to match many of the remaining account items. </w:t>
      </w:r>
      <w:r w:rsidR="00CC0BCE" w:rsidRPr="000628A0">
        <w:rPr>
          <w:rFonts w:asciiTheme="majorBidi" w:hAnsiTheme="majorBidi" w:cstheme="majorBidi"/>
        </w:rPr>
        <w:t>Importantly d</w:t>
      </w:r>
      <w:r w:rsidR="005171BA" w:rsidRPr="000628A0">
        <w:rPr>
          <w:rFonts w:asciiTheme="majorBidi" w:hAnsiTheme="majorBidi" w:cstheme="majorBidi"/>
        </w:rPr>
        <w:t xml:space="preserve">uring this process account items were displayed within the context of their parent items within the charitable accounts, such that the keyword searches took into account the </w:t>
      </w:r>
      <w:r w:rsidR="00221FEC" w:rsidRPr="000628A0">
        <w:rPr>
          <w:rFonts w:asciiTheme="majorBidi" w:hAnsiTheme="majorBidi" w:cstheme="majorBidi"/>
        </w:rPr>
        <w:t>items’</w:t>
      </w:r>
      <w:r w:rsidR="00221FEC">
        <w:rPr>
          <w:rFonts w:asciiTheme="majorBidi" w:hAnsiTheme="majorBidi" w:cstheme="majorBidi"/>
        </w:rPr>
        <w:t xml:space="preserve"> </w:t>
      </w:r>
      <w:r w:rsidR="00221FEC" w:rsidRPr="000628A0">
        <w:rPr>
          <w:rFonts w:asciiTheme="majorBidi" w:hAnsiTheme="majorBidi" w:cstheme="majorBidi"/>
        </w:rPr>
        <w:t>position</w:t>
      </w:r>
      <w:r w:rsidR="005171BA" w:rsidRPr="000628A0">
        <w:rPr>
          <w:rFonts w:asciiTheme="majorBidi" w:hAnsiTheme="majorBidi" w:cstheme="majorBidi"/>
        </w:rPr>
        <w:t xml:space="preserve"> within the account hierarchy.  F</w:t>
      </w:r>
      <w:r w:rsidR="00120CAA" w:rsidRPr="000628A0">
        <w:rPr>
          <w:rFonts w:asciiTheme="majorBidi" w:eastAsia="PMingLiU" w:hAnsiTheme="majorBidi" w:cstheme="majorBidi"/>
          <w:lang w:eastAsia="zh-TW"/>
        </w:rPr>
        <w:t>urther</w:t>
      </w:r>
      <w:r w:rsidR="00860FD4" w:rsidRPr="000628A0">
        <w:rPr>
          <w:rFonts w:asciiTheme="majorBidi" w:eastAsia="PMingLiU" w:hAnsiTheme="majorBidi" w:cstheme="majorBidi"/>
          <w:lang w:eastAsia="zh-TW"/>
        </w:rPr>
        <w:t xml:space="preserve"> details of the sampling design</w:t>
      </w:r>
      <w:r w:rsidR="00120CAA" w:rsidRPr="000628A0">
        <w:rPr>
          <w:rFonts w:asciiTheme="majorBidi" w:eastAsia="PMingLiU" w:hAnsiTheme="majorBidi" w:cstheme="majorBidi"/>
          <w:lang w:eastAsia="zh-TW"/>
        </w:rPr>
        <w:t>,</w:t>
      </w:r>
      <w:r w:rsidR="00860FD4" w:rsidRPr="000628A0">
        <w:rPr>
          <w:rFonts w:asciiTheme="majorBidi" w:eastAsia="PMingLiU" w:hAnsiTheme="majorBidi" w:cstheme="majorBidi"/>
          <w:lang w:eastAsia="zh-TW"/>
        </w:rPr>
        <w:t xml:space="preserve"> and</w:t>
      </w:r>
      <w:r w:rsidR="005171BA" w:rsidRPr="000628A0">
        <w:rPr>
          <w:rFonts w:asciiTheme="majorBidi" w:eastAsia="PMingLiU" w:hAnsiTheme="majorBidi" w:cstheme="majorBidi"/>
          <w:lang w:eastAsia="zh-TW"/>
        </w:rPr>
        <w:t xml:space="preserve"> of</w:t>
      </w:r>
      <w:r w:rsidR="00860FD4" w:rsidRPr="000628A0">
        <w:rPr>
          <w:rFonts w:asciiTheme="majorBidi" w:eastAsia="PMingLiU" w:hAnsiTheme="majorBidi" w:cstheme="majorBidi"/>
          <w:lang w:eastAsia="zh-TW"/>
        </w:rPr>
        <w:t xml:space="preserve"> the </w:t>
      </w:r>
      <w:r w:rsidR="00876E71" w:rsidRPr="000628A0">
        <w:rPr>
          <w:rFonts w:asciiTheme="majorBidi" w:eastAsia="PMingLiU" w:hAnsiTheme="majorBidi" w:cstheme="majorBidi"/>
          <w:lang w:eastAsia="zh-TW"/>
        </w:rPr>
        <w:t>collecti</w:t>
      </w:r>
      <w:r w:rsidR="00876E71">
        <w:rPr>
          <w:rFonts w:asciiTheme="majorBidi" w:eastAsia="PMingLiU" w:hAnsiTheme="majorBidi" w:cstheme="majorBidi"/>
          <w:lang w:eastAsia="zh-TW"/>
        </w:rPr>
        <w:t>o</w:t>
      </w:r>
      <w:r w:rsidR="00876E71" w:rsidRPr="000628A0">
        <w:rPr>
          <w:rFonts w:asciiTheme="majorBidi" w:eastAsia="PMingLiU" w:hAnsiTheme="majorBidi" w:cstheme="majorBidi"/>
          <w:lang w:eastAsia="zh-TW"/>
        </w:rPr>
        <w:t>n</w:t>
      </w:r>
      <w:r w:rsidR="00876E71">
        <w:rPr>
          <w:rFonts w:asciiTheme="majorBidi" w:eastAsia="PMingLiU" w:hAnsiTheme="majorBidi" w:cstheme="majorBidi"/>
          <w:lang w:eastAsia="zh-TW"/>
        </w:rPr>
        <w:t xml:space="preserve"> </w:t>
      </w:r>
      <w:r w:rsidR="00860FD4" w:rsidRPr="000628A0">
        <w:rPr>
          <w:rFonts w:asciiTheme="majorBidi" w:eastAsia="PMingLiU" w:hAnsiTheme="majorBidi" w:cstheme="majorBidi"/>
          <w:lang w:eastAsia="zh-TW"/>
        </w:rPr>
        <w:t xml:space="preserve">and </w:t>
      </w:r>
      <w:r w:rsidR="00876E71" w:rsidRPr="000628A0">
        <w:rPr>
          <w:rFonts w:asciiTheme="majorBidi" w:eastAsia="PMingLiU" w:hAnsiTheme="majorBidi" w:cstheme="majorBidi"/>
          <w:lang w:eastAsia="zh-TW"/>
        </w:rPr>
        <w:lastRenderedPageBreak/>
        <w:t>classif</w:t>
      </w:r>
      <w:r w:rsidR="00876E71">
        <w:rPr>
          <w:rFonts w:asciiTheme="majorBidi" w:eastAsia="PMingLiU" w:hAnsiTheme="majorBidi" w:cstheme="majorBidi"/>
          <w:lang w:eastAsia="zh-TW"/>
        </w:rPr>
        <w:t xml:space="preserve">ication of </w:t>
      </w:r>
      <w:r w:rsidR="00860FD4" w:rsidRPr="000628A0">
        <w:rPr>
          <w:rFonts w:asciiTheme="majorBidi" w:eastAsia="PMingLiU" w:hAnsiTheme="majorBidi" w:cstheme="majorBidi"/>
          <w:lang w:eastAsia="zh-TW"/>
        </w:rPr>
        <w:t>the</w:t>
      </w:r>
      <w:r w:rsidR="00120CAA" w:rsidRPr="000628A0">
        <w:rPr>
          <w:rFonts w:asciiTheme="majorBidi" w:eastAsia="PMingLiU" w:hAnsiTheme="majorBidi" w:cstheme="majorBidi"/>
          <w:lang w:eastAsia="zh-TW"/>
        </w:rPr>
        <w:t xml:space="preserve"> data from the charity accounts,</w:t>
      </w:r>
      <w:r w:rsidR="00CC0BCE" w:rsidRPr="000628A0">
        <w:rPr>
          <w:rFonts w:asciiTheme="majorBidi" w:eastAsia="PMingLiU" w:hAnsiTheme="majorBidi" w:cstheme="majorBidi"/>
          <w:lang w:eastAsia="zh-TW"/>
        </w:rPr>
        <w:t xml:space="preserve"> are </w:t>
      </w:r>
      <w:r w:rsidR="00221FEC" w:rsidRPr="000628A0">
        <w:rPr>
          <w:rFonts w:asciiTheme="majorBidi" w:eastAsia="PMingLiU" w:hAnsiTheme="majorBidi" w:cstheme="majorBidi"/>
          <w:lang w:eastAsia="zh-TW"/>
        </w:rPr>
        <w:t>provided in</w:t>
      </w:r>
      <w:r w:rsidR="00120CAA" w:rsidRPr="000628A0">
        <w:rPr>
          <w:rFonts w:asciiTheme="majorBidi" w:eastAsia="PMingLiU" w:hAnsiTheme="majorBidi" w:cstheme="majorBidi"/>
          <w:lang w:eastAsia="zh-TW"/>
        </w:rPr>
        <w:t xml:space="preserve"> </w:t>
      </w:r>
      <w:r w:rsidR="00120CAA" w:rsidRPr="000628A0">
        <w:rPr>
          <w:rFonts w:asciiTheme="majorBidi" w:eastAsia="PMingLiU" w:hAnsiTheme="majorBidi" w:cstheme="majorBidi"/>
          <w:color w:val="FF0000"/>
          <w:lang w:eastAsia="zh-TW"/>
        </w:rPr>
        <w:t>(anonymised reference).</w:t>
      </w:r>
    </w:p>
    <w:p w:rsidR="00120CAA" w:rsidRPr="0024124F" w:rsidRDefault="00120CAA" w:rsidP="00FC6B07">
      <w:pPr>
        <w:spacing w:line="480" w:lineRule="auto"/>
        <w:rPr>
          <w:rFonts w:asciiTheme="majorBidi" w:eastAsia="PMingLiU" w:hAnsiTheme="majorBidi" w:cstheme="majorBidi"/>
          <w:lang w:eastAsia="zh-TW"/>
        </w:rPr>
      </w:pPr>
    </w:p>
    <w:p w:rsidR="0075027F" w:rsidRPr="000628A0" w:rsidRDefault="0075027F" w:rsidP="0024124F">
      <w:pPr>
        <w:spacing w:line="480" w:lineRule="auto"/>
        <w:jc w:val="center"/>
        <w:rPr>
          <w:rFonts w:asciiTheme="majorBidi" w:eastAsia="PMingLiU" w:hAnsiTheme="majorBidi" w:cstheme="majorBidi"/>
          <w:lang w:eastAsia="zh-TW"/>
        </w:rPr>
      </w:pPr>
      <w:r w:rsidRPr="000628A0">
        <w:rPr>
          <w:rFonts w:asciiTheme="majorBidi" w:eastAsia="PMingLiU" w:hAnsiTheme="majorBidi" w:cstheme="majorBidi"/>
          <w:lang w:eastAsia="zh-TW"/>
        </w:rPr>
        <w:t>[Fig. 1 about here]</w:t>
      </w:r>
    </w:p>
    <w:p w:rsidR="0075027F" w:rsidRPr="0024124F" w:rsidRDefault="0075027F" w:rsidP="00FC6B07">
      <w:pPr>
        <w:spacing w:line="480" w:lineRule="auto"/>
        <w:rPr>
          <w:rFonts w:asciiTheme="majorBidi" w:eastAsia="PMingLiU" w:hAnsiTheme="majorBidi" w:cstheme="majorBidi"/>
          <w:bCs/>
          <w:color w:val="000000"/>
          <w:lang w:eastAsia="zh-TW"/>
        </w:rPr>
      </w:pPr>
    </w:p>
    <w:p w:rsidR="0075027F" w:rsidRPr="000628A0" w:rsidRDefault="00036563" w:rsidP="00C6542E">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We </w:t>
      </w:r>
      <w:r w:rsidR="0075027F" w:rsidRPr="000628A0">
        <w:rPr>
          <w:rFonts w:asciiTheme="majorBidi" w:eastAsia="PMingLiU" w:hAnsiTheme="majorBidi" w:cstheme="majorBidi"/>
          <w:lang w:eastAsia="zh-TW"/>
        </w:rPr>
        <w:t xml:space="preserve">draw on a tradition of statistical work concerned with the analysis of </w:t>
      </w:r>
      <w:r w:rsidR="0075027F" w:rsidRPr="000628A0">
        <w:rPr>
          <w:rFonts w:asciiTheme="majorBidi" w:eastAsia="PMingLiU" w:hAnsiTheme="majorBidi" w:cstheme="majorBidi"/>
          <w:i/>
          <w:iCs/>
          <w:lang w:eastAsia="zh-TW"/>
        </w:rPr>
        <w:t>compositional data</w:t>
      </w:r>
      <w:r w:rsidR="0075027F"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Existing statistics on charitable income sour</w:t>
      </w:r>
      <w:r w:rsidR="00583815" w:rsidRPr="000628A0">
        <w:rPr>
          <w:rFonts w:asciiTheme="majorBidi" w:eastAsia="PMingLiU" w:hAnsiTheme="majorBidi" w:cstheme="majorBidi"/>
          <w:lang w:eastAsia="zh-TW"/>
        </w:rPr>
        <w:t xml:space="preserve">ces tend to focus on aggregate, </w:t>
      </w:r>
      <w:r w:rsidR="0075027F" w:rsidRPr="000628A0">
        <w:rPr>
          <w:rFonts w:asciiTheme="majorBidi" w:eastAsia="PMingLiU" w:hAnsiTheme="majorBidi" w:cstheme="majorBidi"/>
          <w:lang w:eastAsia="zh-TW"/>
        </w:rPr>
        <w:t xml:space="preserve">univariate statistics </w:t>
      </w:r>
      <w:r w:rsidR="001826A0"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presenting totals of a particular income source</w:t>
      </w:r>
      <w:r w:rsidR="00583815" w:rsidRPr="000628A0">
        <w:rPr>
          <w:rFonts w:asciiTheme="majorBidi" w:eastAsia="PMingLiU" w:hAnsiTheme="majorBidi" w:cstheme="majorBidi"/>
          <w:lang w:eastAsia="zh-TW"/>
        </w:rPr>
        <w:t xml:space="preserve"> (and corresponding percentages)</w:t>
      </w:r>
      <w:r w:rsidR="0075027F" w:rsidRPr="000628A0">
        <w:rPr>
          <w:rFonts w:asciiTheme="majorBidi" w:eastAsia="PMingLiU" w:hAnsiTheme="majorBidi" w:cstheme="majorBidi"/>
          <w:lang w:eastAsia="zh-TW"/>
        </w:rPr>
        <w:t xml:space="preserve"> for the sector as a whole</w:t>
      </w:r>
      <w:r w:rsidR="00C6542E" w:rsidRPr="000628A0">
        <w:rPr>
          <w:rStyle w:val="EndnoteReference"/>
          <w:rFonts w:asciiTheme="majorBidi" w:eastAsia="PMingLiU" w:hAnsiTheme="majorBidi" w:cstheme="majorBidi"/>
          <w:lang w:eastAsia="zh-TW"/>
        </w:rPr>
        <w:endnoteReference w:id="5"/>
      </w:r>
      <w:r w:rsidR="0075027F"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0056219E"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In contrast, our substantive interest is in the income profile of the </w:t>
      </w:r>
      <w:r w:rsidR="0075027F" w:rsidRPr="000628A0">
        <w:rPr>
          <w:rFonts w:asciiTheme="majorBidi" w:eastAsia="PMingLiU" w:hAnsiTheme="majorBidi" w:cstheme="majorBidi"/>
          <w:i/>
          <w:iCs/>
          <w:lang w:eastAsia="zh-TW"/>
        </w:rPr>
        <w:t>organisation</w:t>
      </w:r>
      <w:r w:rsidRPr="000628A0">
        <w:rPr>
          <w:rFonts w:asciiTheme="majorBidi" w:eastAsia="PMingLiU" w:hAnsiTheme="majorBidi" w:cstheme="majorBidi"/>
          <w:lang w:eastAsia="zh-TW"/>
        </w:rPr>
        <w:t xml:space="preserve">, and specifically </w:t>
      </w:r>
      <w:r w:rsidR="00A57792" w:rsidRPr="000628A0">
        <w:rPr>
          <w:rFonts w:asciiTheme="majorBidi" w:eastAsia="PMingLiU" w:hAnsiTheme="majorBidi" w:cstheme="majorBidi"/>
          <w:lang w:eastAsia="zh-TW"/>
        </w:rPr>
        <w:t>the composition of charitable income at the organisational level. It is not so much the total amount of income from a particular source that provides insight into</w:t>
      </w:r>
      <w:r w:rsidR="007073E4" w:rsidRPr="000628A0">
        <w:rPr>
          <w:rFonts w:asciiTheme="majorBidi" w:eastAsia="PMingLiU" w:hAnsiTheme="majorBidi" w:cstheme="majorBidi"/>
          <w:lang w:eastAsia="zh-TW"/>
        </w:rPr>
        <w:t xml:space="preserve"> the role of an organisation, but it</w:t>
      </w:r>
      <w:r w:rsidRPr="000628A0">
        <w:rPr>
          <w:rFonts w:asciiTheme="majorBidi" w:eastAsia="PMingLiU" w:hAnsiTheme="majorBidi" w:cstheme="majorBidi"/>
          <w:lang w:eastAsia="zh-TW"/>
        </w:rPr>
        <w:t>s</w:t>
      </w:r>
      <w:r w:rsidR="007073E4" w:rsidRPr="000628A0">
        <w:rPr>
          <w:rFonts w:asciiTheme="majorBidi" w:eastAsia="PMingLiU" w:hAnsiTheme="majorBidi" w:cstheme="majorBidi"/>
          <w:lang w:eastAsia="zh-TW"/>
        </w:rPr>
        <w:t xml:space="preserve"> income profile (Young, 2007; Weisbrod, 1988). </w:t>
      </w:r>
      <w:r w:rsidR="0075027F" w:rsidRPr="000628A0">
        <w:rPr>
          <w:rFonts w:asciiTheme="majorBidi" w:eastAsia="PMingLiU" w:hAnsiTheme="majorBidi" w:cstheme="majorBidi"/>
          <w:lang w:eastAsia="zh-TW"/>
        </w:rPr>
        <w:t xml:space="preserve">This relates to an important tradition in multivariate statistics, the analysis of </w:t>
      </w:r>
      <w:r w:rsidR="00975741" w:rsidRPr="000628A0">
        <w:rPr>
          <w:rFonts w:asciiTheme="majorBidi" w:eastAsia="PMingLiU" w:hAnsiTheme="majorBidi" w:cstheme="majorBidi"/>
          <w:lang w:eastAsia="zh-TW"/>
        </w:rPr>
        <w:t>compositional data</w:t>
      </w:r>
      <w:r w:rsidR="00C6542E" w:rsidRPr="000628A0">
        <w:rPr>
          <w:rFonts w:asciiTheme="majorBidi" w:eastAsia="PMingLiU" w:hAnsiTheme="majorBidi" w:cstheme="majorBidi"/>
          <w:lang w:eastAsia="zh-TW"/>
        </w:rPr>
        <w:t>,</w:t>
      </w:r>
      <w:r w:rsidR="001826A0"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which places emphasis on illustrating variation in relative, rather than absolute, values of components (see, for example, Aitchison, 1986; Aitchison and Egozcue, 2005).</w:t>
      </w:r>
      <w:r w:rsidR="003014DD" w:rsidRPr="000628A0">
        <w:rPr>
          <w:rFonts w:asciiTheme="majorBidi" w:eastAsia="PMingLiU" w:hAnsiTheme="majorBidi" w:cstheme="majorBidi"/>
          <w:lang w:eastAsia="zh-TW"/>
        </w:rPr>
        <w:t xml:space="preserve"> </w:t>
      </w:r>
    </w:p>
    <w:p w:rsidR="0075027F" w:rsidRPr="000628A0" w:rsidRDefault="0075027F" w:rsidP="00FC6B07">
      <w:pPr>
        <w:spacing w:line="480" w:lineRule="auto"/>
        <w:rPr>
          <w:rFonts w:asciiTheme="majorBidi" w:eastAsia="PMingLiU" w:hAnsiTheme="majorBidi" w:cstheme="majorBidi"/>
          <w:lang w:eastAsia="zh-TW"/>
        </w:rPr>
      </w:pPr>
    </w:p>
    <w:p w:rsidR="003659D3" w:rsidRPr="000628A0" w:rsidRDefault="00152AA8" w:rsidP="00356630">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We begin by illustrating </w:t>
      </w:r>
      <w:r w:rsidR="0075027F" w:rsidRPr="000628A0">
        <w:rPr>
          <w:rFonts w:asciiTheme="majorBidi" w:eastAsia="PMingLiU" w:hAnsiTheme="majorBidi" w:cstheme="majorBidi"/>
          <w:lang w:eastAsia="zh-TW"/>
        </w:rPr>
        <w:t xml:space="preserve">the </w:t>
      </w:r>
      <w:r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marginal</w:t>
      </w:r>
      <w:r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income shares</w:t>
      </w:r>
      <w:r w:rsidR="0075027F" w:rsidRPr="000628A0">
        <w:rPr>
          <w:rFonts w:asciiTheme="majorBidi" w:eastAsia="PMingLiU" w:hAnsiTheme="majorBidi" w:cstheme="majorBidi"/>
          <w:lang w:eastAsia="zh-TW"/>
        </w:rPr>
        <w:t xml:space="preserve"> for each income source</w:t>
      </w:r>
      <w:r w:rsidRPr="000628A0">
        <w:rPr>
          <w:rFonts w:asciiTheme="majorBidi" w:eastAsia="PMingLiU" w:hAnsiTheme="majorBidi" w:cstheme="majorBidi"/>
          <w:lang w:eastAsia="zh-TW"/>
        </w:rPr>
        <w:t>.  In other words, we examine</w:t>
      </w:r>
      <w:r w:rsidR="00356630" w:rsidRPr="000628A0">
        <w:rPr>
          <w:rFonts w:asciiTheme="majorBidi" w:eastAsia="PMingLiU" w:hAnsiTheme="majorBidi" w:cstheme="majorBidi"/>
          <w:lang w:eastAsia="zh-TW"/>
        </w:rPr>
        <w:t xml:space="preserve"> income sources in isolation rather than in combination.  We do this by </w:t>
      </w:r>
      <w:r w:rsidR="0075027F" w:rsidRPr="000628A0">
        <w:rPr>
          <w:rFonts w:asciiTheme="majorBidi" w:eastAsia="PMingLiU" w:hAnsiTheme="majorBidi" w:cstheme="majorBidi"/>
          <w:lang w:eastAsia="zh-TW"/>
        </w:rPr>
        <w:t>showing the percentage of charities that receive at least a certain share of total income from a particular source</w:t>
      </w:r>
      <w:r w:rsidR="00356630"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 </w:t>
      </w:r>
      <w:r w:rsidR="00356630" w:rsidRPr="000628A0">
        <w:rPr>
          <w:rFonts w:asciiTheme="majorBidi" w:eastAsia="PMingLiU" w:hAnsiTheme="majorBidi" w:cstheme="majorBidi"/>
          <w:lang w:eastAsia="zh-TW"/>
        </w:rPr>
        <w:t>This shows</w:t>
      </w:r>
      <w:r w:rsidR="0075027F" w:rsidRPr="000628A0">
        <w:rPr>
          <w:rFonts w:asciiTheme="majorBidi" w:eastAsia="PMingLiU" w:hAnsiTheme="majorBidi" w:cstheme="majorBidi"/>
          <w:lang w:eastAsia="zh-TW"/>
        </w:rPr>
        <w:t xml:space="preserve"> high densities of charities at low income shares: for each income source considere</w:t>
      </w:r>
      <w:r w:rsidR="00356630" w:rsidRPr="000628A0">
        <w:rPr>
          <w:rFonts w:asciiTheme="majorBidi" w:eastAsia="PMingLiU" w:hAnsiTheme="majorBidi" w:cstheme="majorBidi"/>
          <w:lang w:eastAsia="zh-TW"/>
        </w:rPr>
        <w:t>d, most charities do</w:t>
      </w:r>
      <w:r w:rsidR="0075027F" w:rsidRPr="000628A0">
        <w:rPr>
          <w:rFonts w:asciiTheme="majorBidi" w:eastAsia="PMingLiU" w:hAnsiTheme="majorBidi" w:cstheme="majorBidi"/>
          <w:lang w:eastAsia="zh-TW"/>
        </w:rPr>
        <w:t xml:space="preserve"> not receive any significant income from that source.</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In other words, the absence/presence of significant funding from a particular source is a key feature </w:t>
      </w:r>
      <w:r w:rsidR="00975741" w:rsidRPr="000628A0">
        <w:rPr>
          <w:rFonts w:asciiTheme="majorBidi" w:eastAsia="PMingLiU" w:hAnsiTheme="majorBidi" w:cstheme="majorBidi"/>
          <w:lang w:eastAsia="zh-TW"/>
        </w:rPr>
        <w:t>of the data</w:t>
      </w:r>
      <w:r w:rsidR="00C6542E" w:rsidRPr="000628A0">
        <w:rPr>
          <w:rFonts w:asciiTheme="majorBidi" w:eastAsia="PMingLiU" w:hAnsiTheme="majorBidi" w:cstheme="majorBidi"/>
          <w:lang w:eastAsia="zh-TW"/>
        </w:rPr>
        <w:t>.</w:t>
      </w:r>
      <w:r w:rsidR="00C6542E" w:rsidRPr="000628A0">
        <w:rPr>
          <w:rStyle w:val="EndnoteReference"/>
          <w:rFonts w:asciiTheme="majorBidi" w:eastAsia="PMingLiU" w:hAnsiTheme="majorBidi" w:cstheme="majorBidi"/>
          <w:lang w:eastAsia="zh-TW"/>
        </w:rPr>
        <w:endnoteReference w:id="6"/>
      </w:r>
    </w:p>
    <w:p w:rsidR="003659D3" w:rsidRPr="000628A0" w:rsidRDefault="003659D3" w:rsidP="00356630">
      <w:pPr>
        <w:spacing w:line="480" w:lineRule="auto"/>
        <w:rPr>
          <w:rFonts w:asciiTheme="majorBidi" w:eastAsia="PMingLiU" w:hAnsiTheme="majorBidi" w:cstheme="majorBidi"/>
          <w:lang w:eastAsia="zh-TW"/>
        </w:rPr>
      </w:pPr>
    </w:p>
    <w:p w:rsidR="0075027F" w:rsidRPr="000628A0" w:rsidRDefault="003659D3" w:rsidP="00D446A8">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lastRenderedPageBreak/>
        <w:t xml:space="preserve">The next stage is to </w:t>
      </w:r>
      <w:r w:rsidR="0058158F" w:rsidRPr="000628A0">
        <w:rPr>
          <w:rFonts w:asciiTheme="majorBidi" w:eastAsia="PMingLiU" w:hAnsiTheme="majorBidi" w:cstheme="majorBidi"/>
          <w:lang w:eastAsia="zh-TW"/>
        </w:rPr>
        <w:t>consider the</w:t>
      </w:r>
      <w:r w:rsidRPr="000628A0">
        <w:rPr>
          <w:rFonts w:asciiTheme="majorBidi" w:eastAsia="PMingLiU" w:hAnsiTheme="majorBidi" w:cstheme="majorBidi"/>
          <w:lang w:eastAsia="zh-TW"/>
        </w:rPr>
        <w:t xml:space="preserve"> multivariate distribution of income sources.  In other words, we examine the</w:t>
      </w:r>
      <w:r w:rsidR="0058158F" w:rsidRPr="000628A0">
        <w:rPr>
          <w:rFonts w:asciiTheme="majorBidi" w:eastAsia="PMingLiU" w:hAnsiTheme="majorBidi" w:cstheme="majorBidi"/>
          <w:lang w:eastAsia="zh-TW"/>
        </w:rPr>
        <w:t xml:space="preserve"> </w:t>
      </w:r>
      <w:r w:rsidR="0058158F" w:rsidRPr="000628A0">
        <w:rPr>
          <w:rFonts w:asciiTheme="majorBidi" w:eastAsia="PMingLiU" w:hAnsiTheme="majorBidi" w:cstheme="majorBidi"/>
          <w:i/>
          <w:iCs/>
          <w:lang w:eastAsia="zh-TW"/>
        </w:rPr>
        <w:t>combinations</w:t>
      </w:r>
      <w:r w:rsidR="0058158F" w:rsidRPr="000628A0">
        <w:rPr>
          <w:rFonts w:asciiTheme="majorBidi" w:eastAsia="PMingLiU" w:hAnsiTheme="majorBidi" w:cstheme="majorBidi"/>
          <w:lang w:eastAsia="zh-TW"/>
        </w:rPr>
        <w:t xml:space="preserve"> of income sources in </w:t>
      </w:r>
      <w:r w:rsidR="00876E71">
        <w:rPr>
          <w:rFonts w:asciiTheme="majorBidi" w:eastAsia="PMingLiU" w:hAnsiTheme="majorBidi" w:cstheme="majorBidi"/>
          <w:lang w:eastAsia="zh-TW"/>
        </w:rPr>
        <w:t xml:space="preserve">the portfolios of selected </w:t>
      </w:r>
      <w:r w:rsidR="0058158F" w:rsidRPr="000628A0">
        <w:rPr>
          <w:rFonts w:asciiTheme="majorBidi" w:eastAsia="PMingLiU" w:hAnsiTheme="majorBidi" w:cstheme="majorBidi"/>
          <w:lang w:eastAsia="zh-TW"/>
        </w:rPr>
        <w:t>organisations</w:t>
      </w:r>
      <w:r w:rsidRPr="000628A0">
        <w:rPr>
          <w:rFonts w:asciiTheme="majorBidi" w:eastAsia="PMingLiU" w:hAnsiTheme="majorBidi" w:cstheme="majorBidi"/>
          <w:lang w:eastAsia="zh-TW"/>
        </w:rPr>
        <w:t>.  Given the results from the first stage of the analysis (the marginal distributions),</w:t>
      </w:r>
      <w:r w:rsidR="00926390" w:rsidRPr="000628A0">
        <w:rPr>
          <w:rFonts w:asciiTheme="majorBidi" w:eastAsia="PMingLiU" w:hAnsiTheme="majorBidi" w:cstheme="majorBidi"/>
          <w:lang w:eastAsia="zh-TW"/>
        </w:rPr>
        <w:t xml:space="preserve"> in which the absence/presence of funding from a particular source is a key feature of the data,</w:t>
      </w:r>
      <w:r w:rsidRPr="000628A0">
        <w:rPr>
          <w:rFonts w:asciiTheme="majorBidi" w:eastAsia="PMingLiU" w:hAnsiTheme="majorBidi" w:cstheme="majorBidi"/>
          <w:lang w:eastAsia="zh-TW"/>
        </w:rPr>
        <w:t xml:space="preserve"> when we combine income sources in the multivariate analysis </w:t>
      </w:r>
      <w:r w:rsidR="0075027F" w:rsidRPr="000628A0">
        <w:rPr>
          <w:rFonts w:asciiTheme="majorBidi" w:eastAsia="PMingLiU" w:hAnsiTheme="majorBidi" w:cstheme="majorBidi"/>
          <w:lang w:eastAsia="zh-TW"/>
        </w:rPr>
        <w:t xml:space="preserve">we find it instructive to </w:t>
      </w:r>
      <w:r w:rsidRPr="000628A0">
        <w:rPr>
          <w:rFonts w:asciiTheme="majorBidi" w:eastAsia="PMingLiU" w:hAnsiTheme="majorBidi" w:cstheme="majorBidi"/>
          <w:lang w:eastAsia="zh-TW"/>
        </w:rPr>
        <w:t>combine a series of binary variables</w:t>
      </w:r>
      <w:r w:rsidR="00926390" w:rsidRPr="000628A0">
        <w:rPr>
          <w:rFonts w:asciiTheme="majorBidi" w:eastAsia="PMingLiU" w:hAnsiTheme="majorBidi" w:cstheme="majorBidi"/>
          <w:lang w:eastAsia="zh-TW"/>
        </w:rPr>
        <w:t>.  Each binary variable</w:t>
      </w:r>
      <w:r w:rsidRPr="000628A0">
        <w:rPr>
          <w:rFonts w:asciiTheme="majorBidi" w:eastAsia="PMingLiU" w:hAnsiTheme="majorBidi" w:cstheme="majorBidi"/>
          <w:lang w:eastAsia="zh-TW"/>
        </w:rPr>
        <w:t xml:space="preserve"> indicate</w:t>
      </w:r>
      <w:r w:rsidR="00926390" w:rsidRPr="000628A0">
        <w:rPr>
          <w:rFonts w:asciiTheme="majorBidi" w:eastAsia="PMingLiU" w:hAnsiTheme="majorBidi" w:cstheme="majorBidi"/>
          <w:lang w:eastAsia="zh-TW"/>
        </w:rPr>
        <w:t>s</w:t>
      </w:r>
      <w:r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 xml:space="preserve">whether or not </w:t>
      </w:r>
      <w:r w:rsidR="00926390" w:rsidRPr="000628A0">
        <w:rPr>
          <w:rFonts w:asciiTheme="majorBidi" w:eastAsia="PMingLiU" w:hAnsiTheme="majorBidi" w:cstheme="majorBidi"/>
          <w:lang w:eastAsia="zh-TW"/>
        </w:rPr>
        <w:t xml:space="preserve">a particular </w:t>
      </w:r>
      <w:r w:rsidR="0075027F" w:rsidRPr="000628A0">
        <w:rPr>
          <w:rFonts w:asciiTheme="majorBidi" w:eastAsia="PMingLiU" w:hAnsiTheme="majorBidi" w:cstheme="majorBidi"/>
          <w:lang w:eastAsia="zh-TW"/>
        </w:rPr>
        <w:t>source of income represents a</w:t>
      </w:r>
      <w:r w:rsidR="003619B2">
        <w:rPr>
          <w:rFonts w:asciiTheme="majorBidi" w:eastAsia="PMingLiU" w:hAnsiTheme="majorBidi" w:cstheme="majorBidi"/>
          <w:lang w:eastAsia="zh-TW"/>
        </w:rPr>
        <w:t>n economically</w:t>
      </w:r>
      <w:r w:rsidR="003014DD" w:rsidRPr="000628A0">
        <w:rPr>
          <w:rFonts w:asciiTheme="majorBidi" w:eastAsia="PMingLiU" w:hAnsiTheme="majorBidi" w:cstheme="majorBidi"/>
          <w:lang w:eastAsia="zh-TW"/>
        </w:rPr>
        <w:t xml:space="preserve"> ‘</w:t>
      </w:r>
      <w:r w:rsidR="003619B2">
        <w:rPr>
          <w:rFonts w:asciiTheme="majorBidi" w:eastAsia="PMingLiU" w:hAnsiTheme="majorBidi" w:cstheme="majorBidi"/>
          <w:lang w:eastAsia="zh-TW"/>
        </w:rPr>
        <w:t>important</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 income source for a particular charity</w:t>
      </w:r>
      <w:r w:rsidR="00D446A8">
        <w:rPr>
          <w:rFonts w:asciiTheme="majorBidi" w:eastAsia="PMingLiU" w:hAnsiTheme="majorBidi" w:cstheme="majorBidi"/>
          <w:lang w:eastAsia="zh-TW"/>
        </w:rPr>
        <w:t xml:space="preserve"> – in the sense that it accounts for a sizeable share of total revenue</w:t>
      </w:r>
      <w:r w:rsidRPr="000628A0">
        <w:rPr>
          <w:rFonts w:asciiTheme="majorBidi" w:eastAsia="PMingLiU" w:hAnsiTheme="majorBidi" w:cstheme="majorBidi"/>
          <w:lang w:eastAsia="zh-TW"/>
        </w:rPr>
        <w:t>.  Here we define a</w:t>
      </w:r>
      <w:r w:rsidR="003619B2">
        <w:rPr>
          <w:rFonts w:asciiTheme="majorBidi" w:eastAsia="PMingLiU" w:hAnsiTheme="majorBidi" w:cstheme="majorBidi"/>
          <w:lang w:eastAsia="zh-TW"/>
        </w:rPr>
        <w:t>n</w:t>
      </w:r>
      <w:r w:rsidRPr="000628A0">
        <w:rPr>
          <w:rFonts w:asciiTheme="majorBidi" w:eastAsia="PMingLiU" w:hAnsiTheme="majorBidi" w:cstheme="majorBidi"/>
          <w:lang w:eastAsia="zh-TW"/>
        </w:rPr>
        <w:t xml:space="preserve"> ‘</w:t>
      </w:r>
      <w:r w:rsidR="003619B2">
        <w:rPr>
          <w:rFonts w:asciiTheme="majorBidi" w:eastAsia="PMingLiU" w:hAnsiTheme="majorBidi" w:cstheme="majorBidi"/>
          <w:lang w:eastAsia="zh-TW"/>
        </w:rPr>
        <w:t>important</w:t>
      </w:r>
      <w:r w:rsidRPr="000628A0">
        <w:rPr>
          <w:rFonts w:asciiTheme="majorBidi" w:eastAsia="PMingLiU" w:hAnsiTheme="majorBidi" w:cstheme="majorBidi"/>
          <w:lang w:eastAsia="zh-TW"/>
        </w:rPr>
        <w:t xml:space="preserve">’ income source </w:t>
      </w:r>
      <w:r w:rsidR="0079148F" w:rsidRPr="000628A0">
        <w:rPr>
          <w:rFonts w:asciiTheme="majorBidi" w:eastAsia="PMingLiU" w:hAnsiTheme="majorBidi" w:cstheme="majorBidi"/>
          <w:lang w:eastAsia="zh-TW"/>
        </w:rPr>
        <w:t>as ex</w:t>
      </w:r>
      <w:r w:rsidR="00D446A8">
        <w:rPr>
          <w:rFonts w:asciiTheme="majorBidi" w:eastAsia="PMingLiU" w:hAnsiTheme="majorBidi" w:cstheme="majorBidi"/>
          <w:lang w:eastAsia="zh-TW"/>
        </w:rPr>
        <w:t xml:space="preserve">ceeding </w:t>
      </w:r>
      <w:r w:rsidR="0075027F" w:rsidRPr="000628A0">
        <w:rPr>
          <w:rFonts w:asciiTheme="majorBidi" w:eastAsia="PMingLiU" w:hAnsiTheme="majorBidi" w:cstheme="majorBidi"/>
          <w:lang w:eastAsia="zh-TW"/>
        </w:rPr>
        <w:t>a threshold of 25% of total income</w:t>
      </w:r>
      <w:r w:rsidR="00C6542E" w:rsidRPr="000628A0">
        <w:rPr>
          <w:rStyle w:val="EndnoteReference"/>
          <w:rFonts w:asciiTheme="majorBidi" w:eastAsia="PMingLiU" w:hAnsiTheme="majorBidi" w:cstheme="majorBidi"/>
          <w:lang w:eastAsia="zh-TW"/>
        </w:rPr>
        <w:endnoteReference w:id="7"/>
      </w:r>
      <w:r w:rsidR="00BB14D9" w:rsidRPr="000628A0">
        <w:rPr>
          <w:rFonts w:asciiTheme="majorBidi" w:eastAsia="PMingLiU" w:hAnsiTheme="majorBidi" w:cstheme="majorBidi"/>
          <w:lang w:eastAsia="zh-TW"/>
        </w:rPr>
        <w:t xml:space="preserve">.  </w:t>
      </w:r>
      <w:r w:rsidR="00F328A4" w:rsidRPr="000628A0">
        <w:rPr>
          <w:rFonts w:asciiTheme="majorBidi" w:eastAsia="PMingLiU" w:hAnsiTheme="majorBidi" w:cstheme="majorBidi"/>
          <w:lang w:eastAsia="zh-TW"/>
        </w:rPr>
        <w:t>W</w:t>
      </w:r>
      <w:r w:rsidR="00BB14D9" w:rsidRPr="000628A0">
        <w:rPr>
          <w:rFonts w:asciiTheme="majorBidi" w:eastAsia="PMingLiU" w:hAnsiTheme="majorBidi" w:cstheme="majorBidi"/>
          <w:lang w:eastAsia="zh-TW"/>
        </w:rPr>
        <w:t>e</w:t>
      </w:r>
      <w:r w:rsidR="00F328A4" w:rsidRPr="000628A0">
        <w:rPr>
          <w:rFonts w:asciiTheme="majorBidi" w:eastAsia="PMingLiU" w:hAnsiTheme="majorBidi" w:cstheme="majorBidi"/>
          <w:lang w:eastAsia="zh-TW"/>
        </w:rPr>
        <w:t xml:space="preserve"> then</w:t>
      </w:r>
      <w:r w:rsidR="0075027F" w:rsidRPr="000628A0">
        <w:rPr>
          <w:rFonts w:asciiTheme="majorBidi" w:eastAsia="PMingLiU" w:hAnsiTheme="majorBidi" w:cstheme="majorBidi"/>
          <w:lang w:eastAsia="zh-TW"/>
        </w:rPr>
        <w:t xml:space="preserve"> identify groups of charities which </w:t>
      </w:r>
      <w:r w:rsidR="00BB14D9" w:rsidRPr="000628A0">
        <w:rPr>
          <w:rFonts w:asciiTheme="majorBidi" w:eastAsia="PMingLiU" w:hAnsiTheme="majorBidi" w:cstheme="majorBidi"/>
          <w:lang w:eastAsia="zh-TW"/>
        </w:rPr>
        <w:t>share</w:t>
      </w:r>
      <w:r w:rsidR="0075027F" w:rsidRPr="000628A0">
        <w:rPr>
          <w:rFonts w:asciiTheme="majorBidi" w:eastAsia="PMingLiU" w:hAnsiTheme="majorBidi" w:cstheme="majorBidi"/>
          <w:lang w:eastAsia="zh-TW"/>
        </w:rPr>
        <w:t xml:space="preserve"> the same</w:t>
      </w:r>
      <w:r w:rsidR="00BB14D9" w:rsidRPr="000628A0">
        <w:rPr>
          <w:rFonts w:asciiTheme="majorBidi" w:eastAsia="PMingLiU" w:hAnsiTheme="majorBidi" w:cstheme="majorBidi"/>
          <w:lang w:eastAsia="zh-TW"/>
        </w:rPr>
        <w:t xml:space="preserve"> combinations of</w:t>
      </w:r>
      <w:r w:rsidR="00F328A4" w:rsidRPr="000628A0">
        <w:rPr>
          <w:rFonts w:asciiTheme="majorBidi" w:eastAsia="PMingLiU" w:hAnsiTheme="majorBidi" w:cstheme="majorBidi"/>
          <w:lang w:eastAsia="zh-TW"/>
        </w:rPr>
        <w:t xml:space="preserve"> binary variables, and therefore the same</w:t>
      </w:r>
      <w:r w:rsidR="0075027F" w:rsidRPr="000628A0">
        <w:rPr>
          <w:rFonts w:asciiTheme="majorBidi" w:eastAsia="PMingLiU" w:hAnsiTheme="majorBidi" w:cstheme="majorBidi"/>
          <w:lang w:eastAsia="zh-TW"/>
        </w:rPr>
        <w:t xml:space="preserve"> </w:t>
      </w:r>
      <w:r w:rsidR="003619B2">
        <w:rPr>
          <w:rFonts w:asciiTheme="majorBidi" w:eastAsia="PMingLiU" w:hAnsiTheme="majorBidi" w:cstheme="majorBidi"/>
          <w:lang w:eastAsia="zh-TW"/>
        </w:rPr>
        <w:t>important</w:t>
      </w:r>
      <w:r w:rsidR="0075027F" w:rsidRPr="000628A0">
        <w:rPr>
          <w:rFonts w:asciiTheme="majorBidi" w:eastAsia="PMingLiU" w:hAnsiTheme="majorBidi" w:cstheme="majorBidi"/>
          <w:lang w:eastAsia="zh-TW"/>
        </w:rPr>
        <w:t xml:space="preserve"> income source(s). </w:t>
      </w:r>
      <w:r w:rsidR="00736356" w:rsidRPr="000628A0">
        <w:rPr>
          <w:rFonts w:asciiTheme="majorBidi" w:eastAsia="PMingLiU" w:hAnsiTheme="majorBidi" w:cstheme="majorBidi"/>
          <w:lang w:eastAsia="zh-TW"/>
        </w:rPr>
        <w:t>T</w:t>
      </w:r>
      <w:r w:rsidR="0075027F" w:rsidRPr="000628A0">
        <w:rPr>
          <w:rFonts w:asciiTheme="majorBidi" w:eastAsia="PMingLiU" w:hAnsiTheme="majorBidi" w:cstheme="majorBidi"/>
          <w:lang w:eastAsia="zh-TW"/>
        </w:rPr>
        <w:t>his threshold is</w:t>
      </w:r>
      <w:r w:rsidR="003014DD" w:rsidRPr="000628A0">
        <w:rPr>
          <w:rFonts w:asciiTheme="majorBidi" w:eastAsia="PMingLiU" w:hAnsiTheme="majorBidi" w:cstheme="majorBidi"/>
          <w:lang w:eastAsia="zh-TW"/>
        </w:rPr>
        <w:t xml:space="preserve"> </w:t>
      </w:r>
      <w:r w:rsidR="00736356" w:rsidRPr="000628A0">
        <w:rPr>
          <w:rFonts w:asciiTheme="majorBidi" w:eastAsia="PMingLiU" w:hAnsiTheme="majorBidi" w:cstheme="majorBidi"/>
          <w:lang w:eastAsia="zh-TW"/>
        </w:rPr>
        <w:t>readily understandable</w:t>
      </w:r>
      <w:r w:rsidR="0075027F" w:rsidRPr="000628A0">
        <w:rPr>
          <w:rFonts w:asciiTheme="majorBidi" w:eastAsia="PMingLiU" w:hAnsiTheme="majorBidi" w:cstheme="majorBidi"/>
          <w:lang w:eastAsia="zh-TW"/>
        </w:rPr>
        <w:t xml:space="preserve"> and easy to use.</w:t>
      </w:r>
      <w:r w:rsidR="0079148F" w:rsidRPr="000628A0">
        <w:rPr>
          <w:rFonts w:asciiTheme="majorBidi" w:eastAsia="PMingLiU" w:hAnsiTheme="majorBidi" w:cstheme="majorBidi"/>
          <w:lang w:eastAsia="zh-TW"/>
        </w:rPr>
        <w:t xml:space="preserve"> </w:t>
      </w:r>
      <w:r w:rsidR="0058158F" w:rsidRPr="000628A0">
        <w:rPr>
          <w:rFonts w:asciiTheme="majorBidi" w:eastAsia="PMingLiU" w:hAnsiTheme="majorBidi" w:cstheme="majorBidi"/>
          <w:lang w:eastAsia="zh-TW"/>
        </w:rPr>
        <w:t xml:space="preserve"> </w:t>
      </w:r>
      <w:r w:rsidR="00D446A8">
        <w:rPr>
          <w:rFonts w:asciiTheme="majorBidi" w:eastAsia="PMingLiU" w:hAnsiTheme="majorBidi" w:cstheme="majorBidi"/>
          <w:lang w:eastAsia="zh-TW"/>
        </w:rPr>
        <w:t>We</w:t>
      </w:r>
      <w:r w:rsidR="0079148F" w:rsidRPr="000628A0">
        <w:rPr>
          <w:rFonts w:asciiTheme="majorBidi" w:eastAsia="PMingLiU" w:hAnsiTheme="majorBidi" w:cstheme="majorBidi"/>
          <w:lang w:eastAsia="zh-TW"/>
        </w:rPr>
        <w:t xml:space="preserve"> reiterate that we do not imply that a</w:t>
      </w:r>
      <w:r w:rsidR="003619B2">
        <w:rPr>
          <w:rFonts w:asciiTheme="majorBidi" w:eastAsia="PMingLiU" w:hAnsiTheme="majorBidi" w:cstheme="majorBidi"/>
          <w:lang w:eastAsia="zh-TW"/>
        </w:rPr>
        <w:t>n</w:t>
      </w:r>
      <w:r w:rsidR="0079148F" w:rsidRPr="000628A0">
        <w:rPr>
          <w:rFonts w:asciiTheme="majorBidi" w:eastAsia="PMingLiU" w:hAnsiTheme="majorBidi" w:cstheme="majorBidi"/>
          <w:lang w:eastAsia="zh-TW"/>
        </w:rPr>
        <w:t xml:space="preserve"> </w:t>
      </w:r>
      <w:r w:rsidR="001826A0" w:rsidRPr="000628A0">
        <w:rPr>
          <w:rFonts w:asciiTheme="majorBidi" w:eastAsia="PMingLiU" w:hAnsiTheme="majorBidi" w:cstheme="majorBidi"/>
          <w:lang w:eastAsia="zh-TW"/>
        </w:rPr>
        <w:t>‘</w:t>
      </w:r>
      <w:r w:rsidR="003619B2">
        <w:rPr>
          <w:rFonts w:asciiTheme="majorBidi" w:eastAsia="PMingLiU" w:hAnsiTheme="majorBidi" w:cstheme="majorBidi"/>
          <w:lang w:eastAsia="zh-TW"/>
        </w:rPr>
        <w:t>important</w:t>
      </w:r>
      <w:r w:rsidR="001826A0" w:rsidRPr="000628A0">
        <w:rPr>
          <w:rFonts w:asciiTheme="majorBidi" w:eastAsia="PMingLiU" w:hAnsiTheme="majorBidi" w:cstheme="majorBidi"/>
          <w:lang w:eastAsia="zh-TW"/>
        </w:rPr>
        <w:t>’</w:t>
      </w:r>
      <w:r w:rsidR="0079148F" w:rsidRPr="000628A0">
        <w:rPr>
          <w:rFonts w:asciiTheme="majorBidi" w:eastAsia="PMingLiU" w:hAnsiTheme="majorBidi" w:cstheme="majorBidi"/>
          <w:lang w:eastAsia="zh-TW"/>
        </w:rPr>
        <w:t xml:space="preserve"> income source necessarily accounts for the </w:t>
      </w:r>
      <w:r w:rsidR="0079148F" w:rsidRPr="000628A0">
        <w:rPr>
          <w:rFonts w:asciiTheme="majorBidi" w:eastAsia="PMingLiU" w:hAnsiTheme="majorBidi" w:cstheme="majorBidi"/>
          <w:i/>
          <w:iCs/>
          <w:lang w:eastAsia="zh-TW"/>
        </w:rPr>
        <w:t>majority</w:t>
      </w:r>
      <w:r w:rsidR="0079148F" w:rsidRPr="000628A0">
        <w:rPr>
          <w:rFonts w:asciiTheme="majorBidi" w:eastAsia="PMingLiU" w:hAnsiTheme="majorBidi" w:cstheme="majorBidi"/>
          <w:lang w:eastAsia="zh-TW"/>
        </w:rPr>
        <w:t xml:space="preserve"> of a charity</w:t>
      </w:r>
      <w:r w:rsidR="003014DD" w:rsidRPr="000628A0">
        <w:rPr>
          <w:rFonts w:asciiTheme="majorBidi" w:eastAsia="PMingLiU" w:hAnsiTheme="majorBidi" w:cstheme="majorBidi"/>
          <w:lang w:eastAsia="zh-TW"/>
        </w:rPr>
        <w:t>’</w:t>
      </w:r>
      <w:r w:rsidR="0079148F" w:rsidRPr="000628A0">
        <w:rPr>
          <w:rFonts w:asciiTheme="majorBidi" w:eastAsia="PMingLiU" w:hAnsiTheme="majorBidi" w:cstheme="majorBidi"/>
          <w:lang w:eastAsia="zh-TW"/>
        </w:rPr>
        <w:t>s income.</w:t>
      </w:r>
      <w:r w:rsidR="004906BB" w:rsidRPr="000628A0">
        <w:rPr>
          <w:rFonts w:asciiTheme="majorBidi" w:eastAsia="PMingLiU" w:hAnsiTheme="majorBidi" w:cstheme="majorBidi"/>
          <w:lang w:eastAsia="zh-TW"/>
        </w:rPr>
        <w:t xml:space="preserve"> </w:t>
      </w:r>
    </w:p>
    <w:p w:rsidR="0058158F" w:rsidRPr="000628A0" w:rsidRDefault="0058158F" w:rsidP="00FC6B07">
      <w:pPr>
        <w:spacing w:line="480" w:lineRule="auto"/>
        <w:rPr>
          <w:rFonts w:asciiTheme="majorBidi" w:eastAsia="PMingLiU" w:hAnsiTheme="majorBidi" w:cstheme="majorBidi"/>
          <w:lang w:eastAsia="zh-TW"/>
        </w:rPr>
      </w:pPr>
    </w:p>
    <w:p w:rsidR="0075027F" w:rsidRPr="000628A0" w:rsidRDefault="0075027F" w:rsidP="005C6848">
      <w:pPr>
        <w:spacing w:line="480" w:lineRule="auto"/>
        <w:rPr>
          <w:rFonts w:asciiTheme="majorBidi" w:eastAsia="PMingLiU" w:hAnsiTheme="majorBidi" w:cstheme="majorBidi"/>
          <w:color w:val="000000"/>
          <w:lang w:eastAsia="zh-TW"/>
        </w:rPr>
      </w:pPr>
      <w:r w:rsidRPr="000628A0">
        <w:rPr>
          <w:rFonts w:asciiTheme="majorBidi" w:eastAsia="PMingLiU" w:hAnsiTheme="majorBidi" w:cstheme="majorBidi"/>
          <w:lang w:eastAsia="zh-TW"/>
        </w:rPr>
        <w:t>Our approach to meeting the need for information on charities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income is informed by </w:t>
      </w:r>
      <w:r w:rsidRPr="000628A0">
        <w:rPr>
          <w:rFonts w:asciiTheme="majorBidi" w:eastAsia="PMingLiU" w:hAnsiTheme="majorBidi" w:cstheme="majorBidi"/>
          <w:color w:val="000000"/>
          <w:lang w:eastAsia="zh-TW"/>
        </w:rPr>
        <w:t xml:space="preserve">a focus on ensuring appropriate </w:t>
      </w:r>
      <w:r w:rsidRPr="000628A0">
        <w:rPr>
          <w:rFonts w:asciiTheme="majorBidi" w:eastAsia="PMingLiU" w:hAnsiTheme="majorBidi" w:cstheme="majorBidi"/>
          <w:i/>
          <w:iCs/>
          <w:color w:val="000000"/>
          <w:lang w:eastAsia="zh-TW"/>
        </w:rPr>
        <w:t xml:space="preserve">measurement </w:t>
      </w:r>
      <w:r w:rsidRPr="000628A0">
        <w:rPr>
          <w:rFonts w:asciiTheme="majorBidi" w:eastAsia="PMingLiU" w:hAnsiTheme="majorBidi" w:cstheme="majorBidi"/>
          <w:color w:val="000000"/>
          <w:lang w:eastAsia="zh-TW"/>
        </w:rPr>
        <w:t>– that the categories that we use in our empirical work align with the categories relevant to our underlying theories and our substantive interest.</w:t>
      </w:r>
      <w:r w:rsidR="003014DD" w:rsidRPr="000628A0">
        <w:rPr>
          <w:rFonts w:asciiTheme="majorBidi" w:eastAsia="PMingLiU" w:hAnsiTheme="majorBidi" w:cstheme="majorBidi"/>
          <w:color w:val="000000"/>
          <w:lang w:eastAsia="zh-TW"/>
        </w:rPr>
        <w:t xml:space="preserve"> </w:t>
      </w:r>
      <w:r w:rsidRPr="000628A0">
        <w:rPr>
          <w:rFonts w:asciiTheme="majorBidi" w:eastAsia="PMingLiU" w:hAnsiTheme="majorBidi" w:cstheme="majorBidi"/>
          <w:color w:val="000000"/>
          <w:lang w:eastAsia="zh-TW"/>
        </w:rPr>
        <w:t xml:space="preserve">This has only been possible because of the detailed nature of our data. </w:t>
      </w:r>
      <w:r w:rsidR="00630AE2" w:rsidRPr="000628A0">
        <w:rPr>
          <w:rFonts w:asciiTheme="majorBidi" w:eastAsia="PMingLiU" w:hAnsiTheme="majorBidi" w:cstheme="majorBidi"/>
          <w:color w:val="000000"/>
          <w:lang w:eastAsia="zh-TW"/>
        </w:rPr>
        <w:t xml:space="preserve">Our </w:t>
      </w:r>
      <w:r w:rsidRPr="000628A0">
        <w:rPr>
          <w:rFonts w:asciiTheme="majorBidi" w:eastAsia="PMingLiU" w:hAnsiTheme="majorBidi" w:cstheme="majorBidi"/>
          <w:color w:val="000000"/>
          <w:lang w:eastAsia="zh-TW"/>
        </w:rPr>
        <w:t>chosen categories</w:t>
      </w:r>
      <w:r w:rsidR="00630AE2" w:rsidRPr="000628A0">
        <w:rPr>
          <w:rFonts w:asciiTheme="majorBidi" w:eastAsia="PMingLiU" w:hAnsiTheme="majorBidi" w:cstheme="majorBidi"/>
          <w:color w:val="000000"/>
          <w:lang w:eastAsia="zh-TW"/>
        </w:rPr>
        <w:t xml:space="preserve"> </w:t>
      </w:r>
      <w:r w:rsidRPr="000628A0">
        <w:rPr>
          <w:rFonts w:asciiTheme="majorBidi" w:eastAsia="PMingLiU" w:hAnsiTheme="majorBidi" w:cstheme="majorBidi"/>
          <w:color w:val="000000"/>
          <w:lang w:eastAsia="zh-TW"/>
        </w:rPr>
        <w:t>are listed in Fig</w:t>
      </w:r>
      <w:r w:rsidR="001826A0" w:rsidRPr="000628A0">
        <w:rPr>
          <w:rFonts w:asciiTheme="majorBidi" w:eastAsia="PMingLiU" w:hAnsiTheme="majorBidi" w:cstheme="majorBidi"/>
          <w:color w:val="000000"/>
          <w:lang w:eastAsia="zh-TW"/>
        </w:rPr>
        <w:t xml:space="preserve">ure </w:t>
      </w:r>
      <w:r w:rsidRPr="000628A0">
        <w:rPr>
          <w:rFonts w:asciiTheme="majorBidi" w:eastAsia="PMingLiU" w:hAnsiTheme="majorBidi" w:cstheme="majorBidi"/>
          <w:color w:val="000000"/>
          <w:lang w:eastAsia="zh-TW"/>
        </w:rPr>
        <w:t>1</w:t>
      </w:r>
      <w:r w:rsidR="005C6848" w:rsidRPr="000628A0">
        <w:rPr>
          <w:rStyle w:val="EndnoteReference"/>
          <w:rFonts w:asciiTheme="majorBidi" w:eastAsia="PMingLiU" w:hAnsiTheme="majorBidi" w:cstheme="majorBidi"/>
          <w:color w:val="000000"/>
          <w:lang w:eastAsia="zh-TW"/>
        </w:rPr>
        <w:endnoteReference w:id="8"/>
      </w:r>
      <w:r w:rsidRPr="000628A0">
        <w:rPr>
          <w:rFonts w:asciiTheme="majorBidi" w:eastAsia="PMingLiU" w:hAnsiTheme="majorBidi" w:cstheme="majorBidi"/>
          <w:color w:val="000000"/>
          <w:lang w:eastAsia="zh-TW"/>
        </w:rPr>
        <w:t>.</w:t>
      </w:r>
    </w:p>
    <w:p w:rsidR="00207360" w:rsidRPr="000628A0" w:rsidRDefault="00207360" w:rsidP="00FC6B07">
      <w:pPr>
        <w:spacing w:line="480" w:lineRule="auto"/>
        <w:rPr>
          <w:rFonts w:asciiTheme="majorBidi" w:eastAsia="PMingLiU" w:hAnsiTheme="majorBidi" w:cstheme="majorBidi"/>
          <w:color w:val="000000"/>
          <w:lang w:eastAsia="zh-TW"/>
        </w:rPr>
      </w:pPr>
    </w:p>
    <w:p w:rsidR="00630AE2" w:rsidRDefault="00BC4401" w:rsidP="00E44A0F">
      <w:pPr>
        <w:spacing w:line="480" w:lineRule="auto"/>
        <w:rPr>
          <w:rFonts w:asciiTheme="majorBidi" w:eastAsia="PMingLiU" w:hAnsiTheme="majorBidi" w:cstheme="majorBidi"/>
          <w:color w:val="000000"/>
          <w:lang w:eastAsia="zh-TW"/>
        </w:rPr>
      </w:pPr>
      <w:r w:rsidRPr="000628A0">
        <w:rPr>
          <w:rFonts w:asciiTheme="majorBidi" w:eastAsia="PMingLiU" w:hAnsiTheme="majorBidi" w:cstheme="majorBidi"/>
          <w:color w:val="000000"/>
          <w:lang w:eastAsia="zh-TW"/>
        </w:rPr>
        <w:t xml:space="preserve">We </w:t>
      </w:r>
      <w:r w:rsidR="0075027F" w:rsidRPr="000628A0">
        <w:rPr>
          <w:rFonts w:asciiTheme="majorBidi" w:eastAsia="PMingLiU" w:hAnsiTheme="majorBidi" w:cstheme="majorBidi"/>
          <w:color w:val="000000"/>
          <w:lang w:eastAsia="zh-TW"/>
        </w:rPr>
        <w:t xml:space="preserve">restrict our analysis to registered charities with an income of at least </w:t>
      </w:r>
      <w:r w:rsidR="0075027F" w:rsidRPr="000628A0">
        <w:rPr>
          <w:rStyle w:val="st"/>
          <w:rFonts w:asciiTheme="majorBidi" w:hAnsiTheme="majorBidi" w:cstheme="majorBidi"/>
          <w:color w:val="222222"/>
        </w:rPr>
        <w:t>£</w:t>
      </w:r>
      <w:r w:rsidR="0075027F" w:rsidRPr="000628A0">
        <w:rPr>
          <w:rFonts w:asciiTheme="majorBidi" w:eastAsia="PMingLiU" w:hAnsiTheme="majorBidi" w:cstheme="majorBidi"/>
          <w:color w:val="000000"/>
          <w:lang w:eastAsia="zh-TW"/>
        </w:rPr>
        <w:t>500,000 in our analysis year (financial years ending between April 2009</w:t>
      </w:r>
      <w:r w:rsidR="001826A0" w:rsidRPr="000628A0">
        <w:rPr>
          <w:rFonts w:asciiTheme="majorBidi" w:eastAsia="PMingLiU" w:hAnsiTheme="majorBidi" w:cstheme="majorBidi"/>
          <w:color w:val="000000"/>
          <w:lang w:eastAsia="zh-TW"/>
        </w:rPr>
        <w:t xml:space="preserve"> and </w:t>
      </w:r>
      <w:r w:rsidR="0075027F" w:rsidRPr="000628A0">
        <w:rPr>
          <w:rFonts w:asciiTheme="majorBidi" w:eastAsia="PMingLiU" w:hAnsiTheme="majorBidi" w:cstheme="majorBidi"/>
          <w:color w:val="000000"/>
          <w:lang w:eastAsia="zh-TW"/>
        </w:rPr>
        <w:t xml:space="preserve">March 2010), because only these charities are required to follow </w:t>
      </w:r>
      <w:r w:rsidR="0075027F" w:rsidRPr="000628A0">
        <w:rPr>
          <w:rFonts w:asciiTheme="majorBidi" w:eastAsia="PMingLiU" w:hAnsiTheme="majorBidi" w:cstheme="majorBidi"/>
          <w:i/>
          <w:iCs/>
          <w:color w:val="000000"/>
          <w:lang w:eastAsia="zh-TW"/>
        </w:rPr>
        <w:t>in full</w:t>
      </w:r>
      <w:r w:rsidR="0075027F" w:rsidRPr="000628A0">
        <w:rPr>
          <w:rFonts w:asciiTheme="majorBidi" w:eastAsia="PMingLiU" w:hAnsiTheme="majorBidi" w:cstheme="majorBidi"/>
          <w:color w:val="000000"/>
          <w:lang w:eastAsia="zh-TW"/>
        </w:rPr>
        <w:t xml:space="preserve"> the Charity Commission</w:t>
      </w:r>
      <w:r w:rsidR="003014DD" w:rsidRPr="000628A0">
        <w:rPr>
          <w:rFonts w:asciiTheme="majorBidi" w:eastAsia="PMingLiU" w:hAnsiTheme="majorBidi" w:cstheme="majorBidi"/>
          <w:color w:val="000000"/>
          <w:lang w:eastAsia="zh-TW"/>
        </w:rPr>
        <w:t>’</w:t>
      </w:r>
      <w:r w:rsidR="0075027F" w:rsidRPr="000628A0">
        <w:rPr>
          <w:rFonts w:asciiTheme="majorBidi" w:eastAsia="PMingLiU" w:hAnsiTheme="majorBidi" w:cstheme="majorBidi"/>
          <w:color w:val="000000"/>
          <w:lang w:eastAsia="zh-TW"/>
        </w:rPr>
        <w:t xml:space="preserve">s (2005) guidelines for the preparation of charity accounts, the Statement of </w:t>
      </w:r>
      <w:r w:rsidR="0075027F" w:rsidRPr="000628A0">
        <w:rPr>
          <w:rFonts w:asciiTheme="majorBidi" w:eastAsia="PMingLiU" w:hAnsiTheme="majorBidi" w:cstheme="majorBidi"/>
          <w:color w:val="000000"/>
          <w:lang w:eastAsia="zh-TW"/>
        </w:rPr>
        <w:lastRenderedPageBreak/>
        <w:t>Recommended Practice (SORP).</w:t>
      </w:r>
      <w:r w:rsidR="003014DD" w:rsidRPr="000628A0">
        <w:rPr>
          <w:rFonts w:asciiTheme="majorBidi" w:eastAsia="PMingLiU" w:hAnsiTheme="majorBidi" w:cstheme="majorBidi"/>
          <w:color w:val="000000"/>
          <w:lang w:eastAsia="zh-TW"/>
        </w:rPr>
        <w:t xml:space="preserve"> </w:t>
      </w:r>
      <w:r w:rsidR="0075027F" w:rsidRPr="000628A0">
        <w:rPr>
          <w:rFonts w:asciiTheme="majorBidi" w:eastAsia="PMingLiU" w:hAnsiTheme="majorBidi" w:cstheme="majorBidi"/>
          <w:color w:val="000000"/>
          <w:lang w:eastAsia="zh-TW"/>
        </w:rPr>
        <w:t>The</w:t>
      </w:r>
      <w:r w:rsidR="003014DD" w:rsidRPr="000628A0">
        <w:rPr>
          <w:rFonts w:asciiTheme="majorBidi" w:eastAsia="PMingLiU" w:hAnsiTheme="majorBidi" w:cstheme="majorBidi"/>
          <w:color w:val="000000"/>
          <w:lang w:eastAsia="zh-TW"/>
        </w:rPr>
        <w:t xml:space="preserve"> </w:t>
      </w:r>
      <w:r w:rsidR="0075027F" w:rsidRPr="000628A0">
        <w:rPr>
          <w:rFonts w:asciiTheme="majorBidi" w:eastAsia="PMingLiU" w:hAnsiTheme="majorBidi" w:cstheme="majorBidi"/>
          <w:color w:val="000000"/>
          <w:lang w:eastAsia="zh-TW"/>
        </w:rPr>
        <w:t>SORP framework gives a high level of consistency between charities in the presentation of their financial accounts</w:t>
      </w:r>
      <w:r w:rsidR="001826A0" w:rsidRPr="000628A0">
        <w:rPr>
          <w:rFonts w:asciiTheme="majorBidi" w:eastAsia="PMingLiU" w:hAnsiTheme="majorBidi" w:cstheme="majorBidi"/>
          <w:color w:val="000000"/>
          <w:lang w:eastAsia="zh-TW"/>
        </w:rPr>
        <w:t xml:space="preserve"> </w:t>
      </w:r>
      <w:r w:rsidR="0075027F" w:rsidRPr="000628A0">
        <w:rPr>
          <w:rFonts w:asciiTheme="majorBidi" w:eastAsia="PMingLiU" w:hAnsiTheme="majorBidi" w:cstheme="majorBidi"/>
          <w:color w:val="000000"/>
          <w:lang w:eastAsia="zh-TW"/>
        </w:rPr>
        <w:t xml:space="preserve">– and it is </w:t>
      </w:r>
      <w:r w:rsidR="001826A0" w:rsidRPr="000628A0">
        <w:rPr>
          <w:rFonts w:asciiTheme="majorBidi" w:eastAsia="PMingLiU" w:hAnsiTheme="majorBidi" w:cstheme="majorBidi"/>
          <w:color w:val="000000"/>
          <w:lang w:eastAsia="zh-TW"/>
        </w:rPr>
        <w:t>“</w:t>
      </w:r>
      <w:r w:rsidR="0075027F" w:rsidRPr="000628A0">
        <w:rPr>
          <w:rFonts w:asciiTheme="majorBidi" w:eastAsia="PMingLiU" w:hAnsiTheme="majorBidi" w:cstheme="majorBidi"/>
          <w:color w:val="000000"/>
          <w:lang w:eastAsia="zh-TW"/>
        </w:rPr>
        <w:t xml:space="preserve">actually much more than a </w:t>
      </w:r>
      <w:r w:rsidR="003014DD" w:rsidRPr="000628A0">
        <w:rPr>
          <w:rFonts w:asciiTheme="majorBidi" w:eastAsia="PMingLiU" w:hAnsiTheme="majorBidi" w:cstheme="majorBidi"/>
          <w:color w:val="000000"/>
          <w:lang w:eastAsia="zh-TW"/>
        </w:rPr>
        <w:t>‘</w:t>
      </w:r>
      <w:r w:rsidR="0075027F" w:rsidRPr="000628A0">
        <w:rPr>
          <w:rFonts w:asciiTheme="majorBidi" w:eastAsia="PMingLiU" w:hAnsiTheme="majorBidi" w:cstheme="majorBidi"/>
          <w:color w:val="000000"/>
          <w:lang w:eastAsia="zh-TW"/>
        </w:rPr>
        <w:t>recommended</w:t>
      </w:r>
      <w:r w:rsidR="003014DD" w:rsidRPr="000628A0">
        <w:rPr>
          <w:rFonts w:asciiTheme="majorBidi" w:eastAsia="PMingLiU" w:hAnsiTheme="majorBidi" w:cstheme="majorBidi"/>
          <w:color w:val="000000"/>
          <w:lang w:eastAsia="zh-TW"/>
        </w:rPr>
        <w:t>’</w:t>
      </w:r>
      <w:r w:rsidR="0075027F" w:rsidRPr="000628A0">
        <w:rPr>
          <w:rFonts w:asciiTheme="majorBidi" w:eastAsia="PMingLiU" w:hAnsiTheme="majorBidi" w:cstheme="majorBidi"/>
          <w:color w:val="000000"/>
          <w:lang w:eastAsia="zh-TW"/>
        </w:rPr>
        <w:t xml:space="preserve"> standard, because much of it is directly linked to regulations</w:t>
      </w:r>
      <w:r w:rsidR="001826A0" w:rsidRPr="000628A0">
        <w:rPr>
          <w:rFonts w:asciiTheme="majorBidi" w:eastAsia="PMingLiU" w:hAnsiTheme="majorBidi" w:cstheme="majorBidi"/>
          <w:color w:val="000000"/>
          <w:lang w:eastAsia="zh-TW"/>
        </w:rPr>
        <w:t>”</w:t>
      </w:r>
      <w:r w:rsidR="0075027F" w:rsidRPr="000628A0">
        <w:rPr>
          <w:rFonts w:asciiTheme="majorBidi" w:eastAsia="PMingLiU" w:hAnsiTheme="majorBidi" w:cstheme="majorBidi"/>
          <w:color w:val="000000"/>
          <w:lang w:eastAsia="zh-TW"/>
        </w:rPr>
        <w:t xml:space="preserve"> (Morgan, 2010, page 214).</w:t>
      </w:r>
      <w:r w:rsidR="003014DD" w:rsidRPr="000628A0">
        <w:rPr>
          <w:rFonts w:asciiTheme="majorBidi" w:eastAsia="PMingLiU" w:hAnsiTheme="majorBidi" w:cstheme="majorBidi"/>
          <w:color w:val="000000"/>
          <w:lang w:eastAsia="zh-TW"/>
        </w:rPr>
        <w:t xml:space="preserve"> </w:t>
      </w:r>
      <w:r w:rsidR="0075027F" w:rsidRPr="000628A0">
        <w:rPr>
          <w:rFonts w:asciiTheme="majorBidi" w:eastAsia="PMingLiU" w:hAnsiTheme="majorBidi" w:cstheme="majorBidi"/>
          <w:color w:val="000000"/>
          <w:lang w:eastAsia="zh-TW"/>
        </w:rPr>
        <w:t>Thus</w:t>
      </w:r>
      <w:r w:rsidRPr="000628A0">
        <w:rPr>
          <w:rFonts w:asciiTheme="majorBidi" w:eastAsia="PMingLiU" w:hAnsiTheme="majorBidi" w:cstheme="majorBidi"/>
          <w:color w:val="000000"/>
          <w:lang w:eastAsia="zh-TW"/>
        </w:rPr>
        <w:t xml:space="preserve"> </w:t>
      </w:r>
      <w:r w:rsidR="0075027F" w:rsidRPr="000628A0">
        <w:rPr>
          <w:rFonts w:asciiTheme="majorBidi" w:eastAsia="PMingLiU" w:hAnsiTheme="majorBidi" w:cstheme="majorBidi"/>
          <w:color w:val="000000"/>
          <w:lang w:eastAsia="zh-TW"/>
        </w:rPr>
        <w:t>we focus on those charities for which the highest quality data are available (around 9,400 charities).</w:t>
      </w:r>
      <w:r w:rsidR="003014DD" w:rsidRPr="000628A0">
        <w:rPr>
          <w:rFonts w:asciiTheme="majorBidi" w:eastAsia="PMingLiU" w:hAnsiTheme="majorBidi" w:cstheme="majorBidi"/>
          <w:color w:val="000000"/>
          <w:lang w:eastAsia="zh-TW"/>
        </w:rPr>
        <w:t xml:space="preserve"> </w:t>
      </w:r>
      <w:r w:rsidR="00630AE2" w:rsidRPr="000628A0">
        <w:rPr>
          <w:rFonts w:asciiTheme="majorBidi" w:eastAsia="PMingLiU" w:hAnsiTheme="majorBidi" w:cstheme="majorBidi"/>
          <w:color w:val="000000"/>
          <w:lang w:eastAsia="zh-TW"/>
        </w:rPr>
        <w:t xml:space="preserve">These </w:t>
      </w:r>
      <w:r w:rsidR="0075027F" w:rsidRPr="000628A0">
        <w:rPr>
          <w:rFonts w:asciiTheme="majorBidi" w:eastAsia="PMingLiU" w:hAnsiTheme="majorBidi" w:cstheme="majorBidi"/>
          <w:color w:val="000000"/>
          <w:lang w:eastAsia="zh-TW"/>
        </w:rPr>
        <w:t xml:space="preserve">account for a small fraction </w:t>
      </w:r>
      <w:r w:rsidR="00630AE2" w:rsidRPr="000628A0">
        <w:rPr>
          <w:rFonts w:asciiTheme="majorBidi" w:eastAsia="PMingLiU" w:hAnsiTheme="majorBidi" w:cstheme="majorBidi"/>
          <w:color w:val="000000"/>
          <w:lang w:eastAsia="zh-TW"/>
        </w:rPr>
        <w:t xml:space="preserve">(some 7%) </w:t>
      </w:r>
      <w:r w:rsidR="0075027F" w:rsidRPr="000628A0">
        <w:rPr>
          <w:rFonts w:asciiTheme="majorBidi" w:eastAsia="PMingLiU" w:hAnsiTheme="majorBidi" w:cstheme="majorBidi"/>
          <w:color w:val="000000"/>
          <w:lang w:eastAsia="zh-TW"/>
        </w:rPr>
        <w:t>of the number of registered charities with a reported income</w:t>
      </w:r>
      <w:r w:rsidR="00630AE2" w:rsidRPr="000628A0">
        <w:rPr>
          <w:rFonts w:asciiTheme="majorBidi" w:eastAsia="PMingLiU" w:hAnsiTheme="majorBidi" w:cstheme="majorBidi"/>
          <w:color w:val="000000"/>
          <w:lang w:eastAsia="zh-TW"/>
        </w:rPr>
        <w:t xml:space="preserve">, </w:t>
      </w:r>
      <w:r w:rsidR="0075027F" w:rsidRPr="000628A0">
        <w:rPr>
          <w:rFonts w:asciiTheme="majorBidi" w:eastAsia="PMingLiU" w:hAnsiTheme="majorBidi" w:cstheme="majorBidi"/>
          <w:color w:val="000000"/>
          <w:lang w:eastAsia="zh-TW"/>
        </w:rPr>
        <w:t xml:space="preserve">but the vast majority </w:t>
      </w:r>
      <w:r w:rsidR="0079148F" w:rsidRPr="000628A0">
        <w:rPr>
          <w:rFonts w:asciiTheme="majorBidi" w:eastAsia="PMingLiU" w:hAnsiTheme="majorBidi" w:cstheme="majorBidi"/>
          <w:color w:val="000000"/>
          <w:lang w:eastAsia="zh-TW"/>
        </w:rPr>
        <w:t xml:space="preserve">(circa 90%) </w:t>
      </w:r>
      <w:r w:rsidR="0075027F" w:rsidRPr="000628A0">
        <w:rPr>
          <w:rFonts w:asciiTheme="majorBidi" w:eastAsia="PMingLiU" w:hAnsiTheme="majorBidi" w:cstheme="majorBidi"/>
          <w:color w:val="000000"/>
          <w:lang w:eastAsia="zh-TW"/>
        </w:rPr>
        <w:t xml:space="preserve">of </w:t>
      </w:r>
      <w:r w:rsidR="0079148F" w:rsidRPr="000628A0">
        <w:rPr>
          <w:rFonts w:asciiTheme="majorBidi" w:eastAsia="PMingLiU" w:hAnsiTheme="majorBidi" w:cstheme="majorBidi"/>
          <w:color w:val="000000"/>
          <w:lang w:eastAsia="zh-TW"/>
        </w:rPr>
        <w:t xml:space="preserve">the </w:t>
      </w:r>
      <w:r w:rsidR="0075027F" w:rsidRPr="000628A0">
        <w:rPr>
          <w:rFonts w:asciiTheme="majorBidi" w:eastAsia="PMingLiU" w:hAnsiTheme="majorBidi" w:cstheme="majorBidi"/>
          <w:color w:val="000000"/>
          <w:lang w:eastAsia="zh-TW"/>
        </w:rPr>
        <w:t xml:space="preserve">income </w:t>
      </w:r>
      <w:r w:rsidR="0079148F" w:rsidRPr="000628A0">
        <w:rPr>
          <w:rFonts w:asciiTheme="majorBidi" w:eastAsia="PMingLiU" w:hAnsiTheme="majorBidi" w:cstheme="majorBidi"/>
          <w:color w:val="000000"/>
          <w:lang w:eastAsia="zh-TW"/>
        </w:rPr>
        <w:t>of the charitable sector</w:t>
      </w:r>
      <w:r w:rsidR="0075027F" w:rsidRPr="000628A0">
        <w:rPr>
          <w:rFonts w:asciiTheme="majorBidi" w:eastAsia="PMingLiU" w:hAnsiTheme="majorBidi" w:cstheme="majorBidi"/>
          <w:color w:val="000000"/>
          <w:lang w:eastAsia="zh-TW"/>
        </w:rPr>
        <w:t>.</w:t>
      </w:r>
      <w:r w:rsidR="0079148F" w:rsidRPr="000628A0">
        <w:rPr>
          <w:rFonts w:asciiTheme="majorBidi" w:eastAsia="PMingLiU" w:hAnsiTheme="majorBidi" w:cstheme="majorBidi"/>
          <w:color w:val="000000"/>
          <w:lang w:eastAsia="zh-TW"/>
        </w:rPr>
        <w:t xml:space="preserve"> </w:t>
      </w:r>
      <w:r w:rsidR="00630AE2" w:rsidRPr="000628A0">
        <w:rPr>
          <w:rFonts w:asciiTheme="majorBidi" w:eastAsia="PMingLiU" w:hAnsiTheme="majorBidi" w:cstheme="majorBidi"/>
          <w:color w:val="000000"/>
          <w:lang w:eastAsia="zh-TW"/>
        </w:rPr>
        <w:t>Note that we are only able to examine data on charities that are registered with the Charity Commission.</w:t>
      </w:r>
      <w:r w:rsidR="003014DD" w:rsidRPr="000628A0">
        <w:rPr>
          <w:rFonts w:asciiTheme="majorBidi" w:eastAsia="PMingLiU" w:hAnsiTheme="majorBidi" w:cstheme="majorBidi"/>
          <w:color w:val="000000"/>
          <w:lang w:eastAsia="zh-TW"/>
        </w:rPr>
        <w:t xml:space="preserve"> </w:t>
      </w:r>
      <w:r w:rsidR="00630AE2" w:rsidRPr="000628A0">
        <w:rPr>
          <w:rFonts w:asciiTheme="majorBidi" w:eastAsia="PMingLiU" w:hAnsiTheme="majorBidi" w:cstheme="majorBidi"/>
          <w:color w:val="000000"/>
          <w:lang w:eastAsia="zh-TW"/>
        </w:rPr>
        <w:t xml:space="preserve">This excludes certain kinds of </w:t>
      </w:r>
      <w:r w:rsidR="00876E71" w:rsidRPr="000628A0">
        <w:rPr>
          <w:rFonts w:asciiTheme="majorBidi" w:eastAsia="PMingLiU" w:hAnsiTheme="majorBidi" w:cstheme="majorBidi"/>
          <w:color w:val="000000"/>
          <w:lang w:eastAsia="zh-TW"/>
        </w:rPr>
        <w:t>charit</w:t>
      </w:r>
      <w:r w:rsidR="00876E71">
        <w:rPr>
          <w:rFonts w:asciiTheme="majorBidi" w:eastAsia="PMingLiU" w:hAnsiTheme="majorBidi" w:cstheme="majorBidi"/>
          <w:color w:val="000000"/>
          <w:lang w:eastAsia="zh-TW"/>
        </w:rPr>
        <w:t xml:space="preserve">able organisations </w:t>
      </w:r>
      <w:r w:rsidR="00630AE2" w:rsidRPr="000628A0">
        <w:rPr>
          <w:rFonts w:asciiTheme="majorBidi" w:eastAsia="PMingLiU" w:hAnsiTheme="majorBidi" w:cstheme="majorBidi"/>
          <w:color w:val="000000"/>
          <w:lang w:eastAsia="zh-TW"/>
        </w:rPr>
        <w:t xml:space="preserve">(see Morgan, 2011): those, such as universities, museums, galleries, and charities structured as industrial and provident societies that are covered by principal regulators other the Charity Commission and are thus </w:t>
      </w:r>
      <w:r w:rsidR="003014DD" w:rsidRPr="000628A0">
        <w:rPr>
          <w:rFonts w:asciiTheme="majorBidi" w:eastAsia="PMingLiU" w:hAnsiTheme="majorBidi" w:cstheme="majorBidi"/>
          <w:color w:val="000000"/>
          <w:lang w:eastAsia="zh-TW"/>
        </w:rPr>
        <w:t>‘</w:t>
      </w:r>
      <w:r w:rsidR="00630AE2" w:rsidRPr="000628A0">
        <w:rPr>
          <w:rFonts w:asciiTheme="majorBidi" w:eastAsia="PMingLiU" w:hAnsiTheme="majorBidi" w:cstheme="majorBidi"/>
          <w:color w:val="000000"/>
          <w:lang w:eastAsia="zh-TW"/>
        </w:rPr>
        <w:t>exempt</w:t>
      </w:r>
      <w:r w:rsidR="003014DD" w:rsidRPr="000628A0">
        <w:rPr>
          <w:rFonts w:asciiTheme="majorBidi" w:eastAsia="PMingLiU" w:hAnsiTheme="majorBidi" w:cstheme="majorBidi"/>
          <w:color w:val="000000"/>
          <w:lang w:eastAsia="zh-TW"/>
        </w:rPr>
        <w:t xml:space="preserve">’ </w:t>
      </w:r>
      <w:r w:rsidR="00630AE2" w:rsidRPr="000628A0">
        <w:rPr>
          <w:rFonts w:asciiTheme="majorBidi" w:eastAsia="PMingLiU" w:hAnsiTheme="majorBidi" w:cstheme="majorBidi"/>
          <w:color w:val="000000"/>
          <w:lang w:eastAsia="zh-TW"/>
        </w:rPr>
        <w:t xml:space="preserve">from charity registration; and those that, following the Charities Act 1960 which established the register of charities in England, were </w:t>
      </w:r>
      <w:r w:rsidR="003014DD" w:rsidRPr="000628A0">
        <w:rPr>
          <w:rFonts w:asciiTheme="majorBidi" w:eastAsia="PMingLiU" w:hAnsiTheme="majorBidi" w:cstheme="majorBidi"/>
          <w:color w:val="000000"/>
          <w:lang w:eastAsia="zh-TW"/>
        </w:rPr>
        <w:t>‘</w:t>
      </w:r>
      <w:r w:rsidR="00630AE2" w:rsidRPr="000628A0">
        <w:rPr>
          <w:rFonts w:asciiTheme="majorBidi" w:eastAsia="PMingLiU" w:hAnsiTheme="majorBidi" w:cstheme="majorBidi"/>
          <w:color w:val="000000"/>
          <w:lang w:eastAsia="zh-TW"/>
        </w:rPr>
        <w:t>excepted</w:t>
      </w:r>
      <w:r w:rsidR="003014DD" w:rsidRPr="000628A0">
        <w:rPr>
          <w:rFonts w:asciiTheme="majorBidi" w:eastAsia="PMingLiU" w:hAnsiTheme="majorBidi" w:cstheme="majorBidi"/>
          <w:color w:val="000000"/>
          <w:lang w:eastAsia="zh-TW"/>
        </w:rPr>
        <w:t>’</w:t>
      </w:r>
      <w:r w:rsidR="00630AE2" w:rsidRPr="000628A0">
        <w:rPr>
          <w:rFonts w:asciiTheme="majorBidi" w:eastAsia="PMingLiU" w:hAnsiTheme="majorBidi" w:cstheme="majorBidi"/>
          <w:color w:val="000000"/>
          <w:lang w:eastAsia="zh-TW"/>
        </w:rPr>
        <w:t xml:space="preserve"> from registration, including churches and places of worship.</w:t>
      </w:r>
      <w:r w:rsidR="003014DD" w:rsidRPr="000628A0">
        <w:rPr>
          <w:rFonts w:asciiTheme="majorBidi" w:eastAsia="PMingLiU" w:hAnsiTheme="majorBidi" w:cstheme="majorBidi"/>
          <w:color w:val="000000"/>
          <w:lang w:eastAsia="zh-TW"/>
        </w:rPr>
        <w:t xml:space="preserve"> </w:t>
      </w:r>
    </w:p>
    <w:p w:rsidR="00E44A0F" w:rsidRPr="000628A0" w:rsidRDefault="00E44A0F" w:rsidP="00E44A0F">
      <w:pPr>
        <w:spacing w:line="480" w:lineRule="auto"/>
        <w:rPr>
          <w:rFonts w:asciiTheme="majorBidi" w:eastAsia="PMingLiU" w:hAnsiTheme="majorBidi" w:cstheme="majorBidi"/>
          <w:color w:val="000000"/>
          <w:lang w:eastAsia="zh-TW"/>
        </w:rPr>
      </w:pPr>
    </w:p>
    <w:p w:rsidR="0075027F" w:rsidRPr="000628A0" w:rsidRDefault="0075027F" w:rsidP="00EB69CF">
      <w:pPr>
        <w:pStyle w:val="EndnoteText"/>
        <w:spacing w:line="480" w:lineRule="auto"/>
        <w:rPr>
          <w:rFonts w:asciiTheme="majorBidi" w:eastAsia="PMingLiU" w:hAnsiTheme="majorBidi" w:cstheme="majorBidi"/>
          <w:sz w:val="24"/>
          <w:szCs w:val="24"/>
          <w:lang w:eastAsia="zh-TW"/>
        </w:rPr>
      </w:pPr>
      <w:r w:rsidRPr="000628A0">
        <w:rPr>
          <w:rFonts w:asciiTheme="majorBidi" w:eastAsia="PMingLiU" w:hAnsiTheme="majorBidi" w:cstheme="majorBidi"/>
          <w:color w:val="000000"/>
          <w:sz w:val="24"/>
          <w:szCs w:val="24"/>
          <w:lang w:eastAsia="zh-TW"/>
        </w:rPr>
        <w:t xml:space="preserve">Our sample data includes information on 7,039 (75%) registered charities with an income above </w:t>
      </w:r>
      <w:r w:rsidRPr="000628A0">
        <w:rPr>
          <w:rStyle w:val="st"/>
          <w:rFonts w:asciiTheme="majorBidi" w:hAnsiTheme="majorBidi" w:cstheme="majorBidi"/>
          <w:color w:val="222222"/>
          <w:sz w:val="24"/>
          <w:szCs w:val="24"/>
        </w:rPr>
        <w:t>£</w:t>
      </w:r>
      <w:r w:rsidRPr="000628A0">
        <w:rPr>
          <w:rFonts w:asciiTheme="majorBidi" w:eastAsia="PMingLiU" w:hAnsiTheme="majorBidi" w:cstheme="majorBidi"/>
          <w:color w:val="000000"/>
          <w:sz w:val="24"/>
          <w:szCs w:val="24"/>
          <w:lang w:eastAsia="zh-TW"/>
        </w:rPr>
        <w:t>500,000.</w:t>
      </w:r>
      <w:r w:rsidR="003014DD" w:rsidRPr="000628A0">
        <w:rPr>
          <w:rFonts w:asciiTheme="majorBidi" w:eastAsia="PMingLiU" w:hAnsiTheme="majorBidi" w:cstheme="majorBidi"/>
          <w:color w:val="000000"/>
          <w:sz w:val="24"/>
          <w:szCs w:val="24"/>
          <w:lang w:eastAsia="zh-TW"/>
        </w:rPr>
        <w:t xml:space="preserve"> </w:t>
      </w:r>
      <w:r w:rsidRPr="000628A0">
        <w:rPr>
          <w:rFonts w:asciiTheme="majorBidi" w:eastAsia="PMingLiU" w:hAnsiTheme="majorBidi" w:cstheme="majorBidi"/>
          <w:color w:val="000000"/>
          <w:sz w:val="24"/>
          <w:szCs w:val="24"/>
          <w:lang w:eastAsia="zh-TW"/>
        </w:rPr>
        <w:t>The sample was stratified by total income, with different sampling fractions for charities of different sizes</w:t>
      </w:r>
      <w:r w:rsidR="00630AE2" w:rsidRPr="000628A0">
        <w:rPr>
          <w:rFonts w:asciiTheme="majorBidi" w:eastAsia="PMingLiU" w:hAnsiTheme="majorBidi" w:cstheme="majorBidi"/>
          <w:color w:val="000000"/>
          <w:sz w:val="24"/>
          <w:szCs w:val="24"/>
          <w:lang w:eastAsia="zh-TW"/>
        </w:rPr>
        <w:t xml:space="preserve">. </w:t>
      </w:r>
      <w:r w:rsidR="00EB69CF" w:rsidRPr="000628A0">
        <w:rPr>
          <w:rFonts w:asciiTheme="majorBidi" w:eastAsia="PMingLiU" w:hAnsiTheme="majorBidi" w:cstheme="majorBidi"/>
          <w:color w:val="000000"/>
          <w:sz w:val="24"/>
          <w:szCs w:val="24"/>
          <w:lang w:eastAsia="zh-TW"/>
        </w:rPr>
        <w:t xml:space="preserve"> A clustered sampling design using primary sampling units – which is often used to minimise costs  in surveys of individuals, and which tends to have the disadvantage of increasing the standard errors of estimates for a given sample size - was not needed in this context.   </w:t>
      </w:r>
      <w:r w:rsidR="00630AE2" w:rsidRPr="000628A0">
        <w:rPr>
          <w:rFonts w:asciiTheme="majorBidi" w:eastAsia="PMingLiU" w:hAnsiTheme="majorBidi" w:cstheme="majorBidi"/>
          <w:color w:val="000000"/>
          <w:sz w:val="24"/>
          <w:szCs w:val="24"/>
          <w:lang w:eastAsia="zh-TW"/>
        </w:rPr>
        <w:t xml:space="preserve">It includes a census of the very largest organisations (with an income of above </w:t>
      </w:r>
      <w:r w:rsidR="00630AE2" w:rsidRPr="000628A0">
        <w:rPr>
          <w:rStyle w:val="st"/>
          <w:rFonts w:asciiTheme="majorBidi" w:hAnsiTheme="majorBidi" w:cstheme="majorBidi"/>
          <w:color w:val="222222"/>
          <w:sz w:val="24"/>
          <w:szCs w:val="24"/>
        </w:rPr>
        <w:t>£</w:t>
      </w:r>
      <w:r w:rsidR="00630AE2" w:rsidRPr="000628A0">
        <w:rPr>
          <w:rFonts w:asciiTheme="majorBidi" w:eastAsia="PMingLiU" w:hAnsiTheme="majorBidi" w:cstheme="majorBidi"/>
          <w:color w:val="000000"/>
          <w:sz w:val="24"/>
          <w:szCs w:val="24"/>
          <w:lang w:eastAsia="zh-TW"/>
        </w:rPr>
        <w:t xml:space="preserve">10m); a sampling fraction of c.90% of organisations between </w:t>
      </w:r>
      <w:r w:rsidR="00630AE2" w:rsidRPr="000628A0">
        <w:rPr>
          <w:rStyle w:val="st"/>
          <w:rFonts w:asciiTheme="majorBidi" w:hAnsiTheme="majorBidi" w:cstheme="majorBidi"/>
          <w:color w:val="222222"/>
          <w:sz w:val="24"/>
          <w:szCs w:val="24"/>
        </w:rPr>
        <w:t>£</w:t>
      </w:r>
      <w:r w:rsidR="00630AE2" w:rsidRPr="000628A0">
        <w:rPr>
          <w:rFonts w:asciiTheme="majorBidi" w:eastAsia="PMingLiU" w:hAnsiTheme="majorBidi" w:cstheme="majorBidi"/>
          <w:color w:val="000000"/>
          <w:sz w:val="24"/>
          <w:szCs w:val="24"/>
          <w:lang w:eastAsia="zh-TW"/>
        </w:rPr>
        <w:t>1m</w:t>
      </w:r>
      <w:r w:rsidR="001826A0" w:rsidRPr="000628A0">
        <w:rPr>
          <w:rFonts w:asciiTheme="majorBidi" w:eastAsia="PMingLiU" w:hAnsiTheme="majorBidi" w:cstheme="majorBidi"/>
          <w:color w:val="000000"/>
          <w:sz w:val="24"/>
          <w:szCs w:val="24"/>
          <w:lang w:eastAsia="zh-TW"/>
        </w:rPr>
        <w:t xml:space="preserve"> and </w:t>
      </w:r>
      <w:r w:rsidR="00630AE2" w:rsidRPr="000628A0">
        <w:rPr>
          <w:rFonts w:asciiTheme="majorBidi" w:eastAsia="PMingLiU" w:hAnsiTheme="majorBidi" w:cstheme="majorBidi"/>
          <w:color w:val="000000"/>
          <w:sz w:val="24"/>
          <w:szCs w:val="24"/>
          <w:lang w:eastAsia="zh-TW"/>
        </w:rPr>
        <w:t xml:space="preserve">10m, and a sampling fraction of c.50% for organisations between </w:t>
      </w:r>
      <w:r w:rsidR="00630AE2" w:rsidRPr="000628A0">
        <w:rPr>
          <w:rStyle w:val="st"/>
          <w:rFonts w:asciiTheme="majorBidi" w:hAnsiTheme="majorBidi" w:cstheme="majorBidi"/>
          <w:color w:val="222222"/>
          <w:sz w:val="24"/>
          <w:szCs w:val="24"/>
        </w:rPr>
        <w:t>£</w:t>
      </w:r>
      <w:r w:rsidR="00630AE2" w:rsidRPr="000628A0">
        <w:rPr>
          <w:rStyle w:val="st"/>
          <w:rFonts w:asciiTheme="majorBidi" w:eastAsia="PMingLiU" w:hAnsiTheme="majorBidi" w:cstheme="majorBidi"/>
          <w:color w:val="222222"/>
          <w:sz w:val="24"/>
          <w:szCs w:val="24"/>
          <w:lang w:eastAsia="zh-TW"/>
        </w:rPr>
        <w:t xml:space="preserve">500,000 and </w:t>
      </w:r>
      <w:r w:rsidR="00630AE2" w:rsidRPr="000628A0">
        <w:rPr>
          <w:rStyle w:val="st"/>
          <w:rFonts w:asciiTheme="majorBidi" w:hAnsiTheme="majorBidi" w:cstheme="majorBidi"/>
          <w:color w:val="222222"/>
          <w:sz w:val="24"/>
          <w:szCs w:val="24"/>
        </w:rPr>
        <w:t>£</w:t>
      </w:r>
      <w:r w:rsidR="00630AE2" w:rsidRPr="000628A0">
        <w:rPr>
          <w:rFonts w:asciiTheme="majorBidi" w:eastAsia="PMingLiU" w:hAnsiTheme="majorBidi" w:cstheme="majorBidi"/>
          <w:color w:val="000000"/>
          <w:sz w:val="24"/>
          <w:szCs w:val="24"/>
          <w:lang w:eastAsia="zh-TW"/>
        </w:rPr>
        <w:t>1m.</w:t>
      </w:r>
      <w:r w:rsidR="003014DD" w:rsidRPr="000628A0">
        <w:rPr>
          <w:rFonts w:asciiTheme="majorBidi" w:eastAsia="PMingLiU" w:hAnsiTheme="majorBidi" w:cstheme="majorBidi"/>
          <w:color w:val="000000"/>
          <w:sz w:val="24"/>
          <w:szCs w:val="24"/>
          <w:lang w:eastAsia="zh-TW"/>
        </w:rPr>
        <w:t xml:space="preserve"> </w:t>
      </w:r>
      <w:r w:rsidR="00630AE2" w:rsidRPr="000628A0">
        <w:rPr>
          <w:rFonts w:asciiTheme="majorBidi" w:eastAsia="PMingLiU" w:hAnsiTheme="majorBidi" w:cstheme="majorBidi"/>
          <w:color w:val="000000"/>
          <w:sz w:val="24"/>
          <w:szCs w:val="24"/>
          <w:lang w:eastAsia="zh-TW"/>
        </w:rPr>
        <w:t xml:space="preserve">Weights </w:t>
      </w:r>
      <w:r w:rsidRPr="000628A0">
        <w:rPr>
          <w:rFonts w:asciiTheme="majorBidi" w:eastAsia="PMingLiU" w:hAnsiTheme="majorBidi" w:cstheme="majorBidi"/>
          <w:color w:val="000000"/>
          <w:sz w:val="24"/>
          <w:szCs w:val="24"/>
          <w:lang w:eastAsia="zh-TW"/>
        </w:rPr>
        <w:t xml:space="preserve">were used to </w:t>
      </w:r>
      <w:r w:rsidRPr="000628A0">
        <w:rPr>
          <w:rFonts w:asciiTheme="majorBidi" w:eastAsia="PMingLiU" w:hAnsiTheme="majorBidi" w:cstheme="majorBidi"/>
          <w:color w:val="000000"/>
          <w:sz w:val="24"/>
          <w:szCs w:val="24"/>
          <w:lang w:eastAsia="zh-TW"/>
        </w:rPr>
        <w:lastRenderedPageBreak/>
        <w:t xml:space="preserve">adjust for differences in the probability of being included </w:t>
      </w:r>
      <w:r w:rsidR="0079148F" w:rsidRPr="000628A0">
        <w:rPr>
          <w:rFonts w:asciiTheme="majorBidi" w:eastAsia="PMingLiU" w:hAnsiTheme="majorBidi" w:cstheme="majorBidi"/>
          <w:color w:val="000000"/>
          <w:sz w:val="24"/>
          <w:szCs w:val="24"/>
          <w:lang w:eastAsia="zh-TW"/>
        </w:rPr>
        <w:t xml:space="preserve">in </w:t>
      </w:r>
      <w:r w:rsidRPr="000628A0">
        <w:rPr>
          <w:rFonts w:asciiTheme="majorBidi" w:eastAsia="PMingLiU" w:hAnsiTheme="majorBidi" w:cstheme="majorBidi"/>
          <w:color w:val="000000"/>
          <w:sz w:val="24"/>
          <w:szCs w:val="24"/>
          <w:lang w:eastAsia="zh-TW"/>
        </w:rPr>
        <w:t>the sample according to size.</w:t>
      </w:r>
      <w:r w:rsidR="003014DD" w:rsidRPr="000628A0">
        <w:rPr>
          <w:rFonts w:asciiTheme="majorBidi" w:eastAsia="PMingLiU" w:hAnsiTheme="majorBidi" w:cstheme="majorBidi"/>
          <w:color w:val="000000"/>
          <w:sz w:val="24"/>
          <w:szCs w:val="24"/>
          <w:lang w:eastAsia="zh-TW"/>
        </w:rPr>
        <w:t xml:space="preserve"> </w:t>
      </w:r>
      <w:r w:rsidR="0056219E" w:rsidRPr="000628A0">
        <w:rPr>
          <w:rFonts w:asciiTheme="majorBidi" w:eastAsia="PMingLiU" w:hAnsiTheme="majorBidi" w:cstheme="majorBidi"/>
          <w:color w:val="000000"/>
          <w:sz w:val="24"/>
          <w:szCs w:val="24"/>
          <w:lang w:eastAsia="zh-TW"/>
        </w:rPr>
        <w:t xml:space="preserve"> </w:t>
      </w:r>
    </w:p>
    <w:p w:rsidR="00860FD4" w:rsidRPr="000628A0" w:rsidRDefault="00860FD4" w:rsidP="00FC6B07">
      <w:pPr>
        <w:spacing w:line="480" w:lineRule="auto"/>
        <w:rPr>
          <w:rFonts w:asciiTheme="majorBidi" w:eastAsia="PMingLiU" w:hAnsiTheme="majorBidi" w:cstheme="majorBidi"/>
          <w:b/>
          <w:bCs/>
          <w:lang w:eastAsia="zh-TW"/>
        </w:rPr>
      </w:pPr>
    </w:p>
    <w:p w:rsidR="0075027F" w:rsidRPr="000628A0" w:rsidRDefault="0075027F" w:rsidP="00FC6B07">
      <w:pPr>
        <w:spacing w:line="480" w:lineRule="auto"/>
        <w:rPr>
          <w:rFonts w:asciiTheme="majorBidi" w:eastAsia="PMingLiU" w:hAnsiTheme="majorBidi" w:cstheme="majorBidi"/>
          <w:b/>
          <w:bCs/>
          <w:lang w:eastAsia="zh-TW"/>
        </w:rPr>
      </w:pPr>
      <w:r w:rsidRPr="000628A0">
        <w:rPr>
          <w:rFonts w:asciiTheme="majorBidi" w:eastAsia="PMingLiU" w:hAnsiTheme="majorBidi" w:cstheme="majorBidi"/>
          <w:b/>
          <w:bCs/>
          <w:lang w:eastAsia="zh-TW"/>
        </w:rPr>
        <w:t>Results</w:t>
      </w:r>
    </w:p>
    <w:p w:rsidR="0075027F" w:rsidRPr="000628A0" w:rsidRDefault="0075027F" w:rsidP="00FC6B07">
      <w:pPr>
        <w:spacing w:line="480" w:lineRule="auto"/>
        <w:rPr>
          <w:rFonts w:asciiTheme="majorBidi" w:eastAsia="PMingLiU" w:hAnsiTheme="majorBidi" w:cstheme="majorBidi"/>
          <w:b/>
          <w:bCs/>
          <w:lang w:eastAsia="zh-TW"/>
        </w:rPr>
      </w:pPr>
    </w:p>
    <w:p w:rsidR="0075027F" w:rsidRPr="000628A0" w:rsidRDefault="0075027F" w:rsidP="00FC6B07">
      <w:pPr>
        <w:spacing w:line="480" w:lineRule="auto"/>
        <w:rPr>
          <w:rFonts w:asciiTheme="majorBidi" w:eastAsia="PMingLiU" w:hAnsiTheme="majorBidi" w:cstheme="majorBidi"/>
          <w:i/>
          <w:iCs/>
          <w:lang w:eastAsia="zh-TW"/>
        </w:rPr>
      </w:pPr>
      <w:r w:rsidRPr="000628A0">
        <w:rPr>
          <w:rFonts w:asciiTheme="majorBidi" w:eastAsia="PMingLiU" w:hAnsiTheme="majorBidi" w:cstheme="majorBidi"/>
          <w:i/>
          <w:iCs/>
          <w:lang w:eastAsia="zh-TW"/>
        </w:rPr>
        <w:t>Marginal distribution of income shares</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597836">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What proportion of charities receive the majority of their income from a particular source?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Table 1 shows that, of registered charities with an income of more than £500,000, 23% receive at least 50% of total income </w:t>
      </w:r>
      <w:r w:rsidR="00BC4401" w:rsidRPr="000628A0">
        <w:rPr>
          <w:rFonts w:asciiTheme="majorBidi" w:eastAsia="PMingLiU" w:hAnsiTheme="majorBidi" w:cstheme="majorBidi"/>
          <w:lang w:eastAsia="zh-TW"/>
        </w:rPr>
        <w:t xml:space="preserve">in the form of </w:t>
      </w:r>
      <w:r w:rsidRPr="000628A0">
        <w:rPr>
          <w:rFonts w:asciiTheme="majorBidi" w:eastAsia="PMingLiU" w:hAnsiTheme="majorBidi" w:cstheme="majorBidi"/>
          <w:lang w:eastAsia="zh-TW"/>
        </w:rPr>
        <w:t>donations</w:t>
      </w:r>
      <w:r w:rsidR="00BC4401" w:rsidRPr="000628A0">
        <w:rPr>
          <w:rFonts w:asciiTheme="majorBidi" w:eastAsia="PMingLiU" w:hAnsiTheme="majorBidi" w:cstheme="majorBidi"/>
          <w:lang w:eastAsia="zh-TW"/>
        </w:rPr>
        <w:t xml:space="preserve"> or </w:t>
      </w:r>
      <w:r w:rsidRPr="000628A0">
        <w:rPr>
          <w:rFonts w:asciiTheme="majorBidi" w:eastAsia="PMingLiU" w:hAnsiTheme="majorBidi" w:cstheme="majorBidi"/>
          <w:lang w:eastAsia="zh-TW"/>
        </w:rPr>
        <w:t>fundraising from individuals; 20% receive the majority of their income from fees</w:t>
      </w:r>
      <w:r w:rsidR="000525D1" w:rsidRPr="000628A0">
        <w:rPr>
          <w:rFonts w:asciiTheme="majorBidi" w:eastAsia="PMingLiU" w:hAnsiTheme="majorBidi" w:cstheme="majorBidi"/>
          <w:lang w:eastAsia="zh-TW"/>
        </w:rPr>
        <w:t xml:space="preserve"> from individuals</w:t>
      </w:r>
      <w:r w:rsidRPr="000628A0">
        <w:rPr>
          <w:rFonts w:asciiTheme="majorBidi" w:eastAsia="PMingLiU" w:hAnsiTheme="majorBidi" w:cstheme="majorBidi"/>
          <w:lang w:eastAsia="zh-TW"/>
        </w:rPr>
        <w:t xml:space="preserve"> in connection with their charita</w:t>
      </w:r>
      <w:r w:rsidR="000525D1" w:rsidRPr="000628A0">
        <w:rPr>
          <w:rFonts w:asciiTheme="majorBidi" w:eastAsia="PMingLiU" w:hAnsiTheme="majorBidi" w:cstheme="majorBidi"/>
          <w:lang w:eastAsia="zh-TW"/>
        </w:rPr>
        <w:t xml:space="preserve">ble activities; and 32% receive </w:t>
      </w:r>
      <w:r w:rsidRPr="000628A0">
        <w:rPr>
          <w:rFonts w:asciiTheme="majorBidi" w:eastAsia="PMingLiU" w:hAnsiTheme="majorBidi" w:cstheme="majorBidi"/>
          <w:lang w:eastAsia="zh-TW"/>
        </w:rPr>
        <w:t>the majority of their income from government.</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A relatively small proportion receive the majority of the</w:t>
      </w:r>
      <w:r w:rsidR="0079148F" w:rsidRPr="000628A0">
        <w:rPr>
          <w:rFonts w:asciiTheme="majorBidi" w:eastAsia="PMingLiU" w:hAnsiTheme="majorBidi" w:cstheme="majorBidi"/>
          <w:lang w:eastAsia="zh-TW"/>
        </w:rPr>
        <w:t>ir</w:t>
      </w:r>
      <w:r w:rsidRPr="000628A0">
        <w:rPr>
          <w:rFonts w:asciiTheme="majorBidi" w:eastAsia="PMingLiU" w:hAnsiTheme="majorBidi" w:cstheme="majorBidi"/>
          <w:lang w:eastAsia="zh-TW"/>
        </w:rPr>
        <w:t xml:space="preserve"> income from the voluntary sector, from internal income generation, or from other sources</w:t>
      </w:r>
      <w:r w:rsidR="005C6848" w:rsidRPr="000628A0">
        <w:rPr>
          <w:rStyle w:val="EndnoteReference"/>
          <w:rFonts w:asciiTheme="majorBidi" w:eastAsia="PMingLiU" w:hAnsiTheme="majorBidi" w:cstheme="majorBidi"/>
          <w:lang w:eastAsia="zh-TW"/>
        </w:rPr>
        <w:endnoteReference w:id="9"/>
      </w:r>
      <w:r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In total, 90% of charities receive the majority of their income from just one of these six sources.</w:t>
      </w:r>
      <w:r w:rsidR="003014DD" w:rsidRPr="000628A0">
        <w:rPr>
          <w:rFonts w:asciiTheme="majorBidi" w:eastAsia="PMingLiU" w:hAnsiTheme="majorBidi" w:cstheme="majorBidi"/>
          <w:lang w:eastAsia="zh-TW"/>
        </w:rPr>
        <w:t xml:space="preserve"> </w:t>
      </w:r>
    </w:p>
    <w:p w:rsidR="0024124F" w:rsidRPr="000C2EB9" w:rsidRDefault="0024124F" w:rsidP="00FC6B07">
      <w:pPr>
        <w:spacing w:line="480" w:lineRule="auto"/>
        <w:rPr>
          <w:rFonts w:asciiTheme="majorBidi" w:eastAsia="PMingLiU" w:hAnsiTheme="majorBidi" w:cstheme="majorBidi"/>
          <w:sz w:val="8"/>
          <w:szCs w:val="8"/>
          <w:lang w:eastAsia="zh-TW"/>
        </w:rPr>
      </w:pPr>
    </w:p>
    <w:p w:rsidR="0075027F" w:rsidRPr="000628A0" w:rsidRDefault="0075027F" w:rsidP="0024124F">
      <w:pPr>
        <w:spacing w:line="480" w:lineRule="auto"/>
        <w:jc w:val="center"/>
        <w:rPr>
          <w:rFonts w:asciiTheme="majorBidi" w:eastAsia="PMingLiU" w:hAnsiTheme="majorBidi" w:cstheme="majorBidi"/>
          <w:lang w:eastAsia="zh-TW"/>
        </w:rPr>
      </w:pPr>
      <w:r w:rsidRPr="000628A0">
        <w:rPr>
          <w:rFonts w:asciiTheme="majorBidi" w:eastAsia="PMingLiU" w:hAnsiTheme="majorBidi" w:cstheme="majorBidi"/>
          <w:lang w:eastAsia="zh-TW"/>
        </w:rPr>
        <w:t>[Table 1 about here]</w:t>
      </w:r>
    </w:p>
    <w:p w:rsidR="0075027F" w:rsidRPr="000C2EB9" w:rsidRDefault="0075027F" w:rsidP="00FC6B07">
      <w:pPr>
        <w:spacing w:line="480" w:lineRule="auto"/>
        <w:rPr>
          <w:rFonts w:asciiTheme="majorBidi" w:eastAsia="PMingLiU" w:hAnsiTheme="majorBidi" w:cstheme="majorBidi"/>
          <w:sz w:val="8"/>
          <w:szCs w:val="8"/>
          <w:lang w:eastAsia="zh-TW"/>
        </w:rPr>
      </w:pPr>
    </w:p>
    <w:p w:rsidR="0075027F" w:rsidRPr="000628A0" w:rsidRDefault="0075027F" w:rsidP="00D05D04">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What proportion of charities are almost exclusively funded from a particular source?</w:t>
      </w:r>
      <w:r w:rsidR="003014DD" w:rsidRPr="000628A0">
        <w:rPr>
          <w:rFonts w:asciiTheme="majorBidi" w:eastAsia="PMingLiU" w:hAnsiTheme="majorBidi" w:cstheme="majorBidi"/>
          <w:lang w:eastAsia="zh-TW"/>
        </w:rPr>
        <w:t xml:space="preserve"> </w:t>
      </w:r>
      <w:r w:rsidR="00D05D04" w:rsidRPr="000628A0">
        <w:rPr>
          <w:rFonts w:asciiTheme="majorBidi" w:eastAsia="PMingLiU" w:hAnsiTheme="majorBidi" w:cstheme="majorBidi"/>
          <w:lang w:eastAsia="zh-TW"/>
        </w:rPr>
        <w:t xml:space="preserve">  Following Teasdale </w:t>
      </w:r>
      <w:r w:rsidR="00D05D04" w:rsidRPr="000628A0">
        <w:rPr>
          <w:rFonts w:asciiTheme="majorBidi" w:eastAsia="PMingLiU" w:hAnsiTheme="majorBidi" w:cstheme="majorBidi"/>
          <w:i/>
          <w:iCs/>
          <w:lang w:eastAsia="zh-TW"/>
        </w:rPr>
        <w:t>et al.</w:t>
      </w:r>
      <w:r w:rsidR="00D05D04" w:rsidRPr="000628A0">
        <w:rPr>
          <w:rFonts w:asciiTheme="majorBidi" w:eastAsia="PMingLiU" w:hAnsiTheme="majorBidi" w:cstheme="majorBidi"/>
          <w:lang w:eastAsia="zh-TW"/>
        </w:rPr>
        <w:t xml:space="preserve"> (2013), we use a threshold of 90% of total income to identify organisations whose income is dominated by one source</w:t>
      </w:r>
      <w:r w:rsidR="005D3637" w:rsidRPr="000628A0">
        <w:rPr>
          <w:rStyle w:val="EndnoteReference"/>
          <w:rFonts w:asciiTheme="majorBidi" w:eastAsia="PMingLiU" w:hAnsiTheme="majorBidi" w:cstheme="majorBidi"/>
          <w:lang w:eastAsia="zh-TW"/>
        </w:rPr>
        <w:endnoteReference w:id="10"/>
      </w:r>
      <w:r w:rsidR="00D05D04"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Table 1 shows that, of registered charities with an income of more than £500,000, 10% of charities receive at least 90%</w:t>
      </w:r>
      <w:r w:rsidR="000C4691" w:rsidRPr="000628A0">
        <w:rPr>
          <w:rFonts w:asciiTheme="majorBidi" w:eastAsia="PMingLiU" w:hAnsiTheme="majorBidi" w:cstheme="majorBidi"/>
          <w:lang w:eastAsia="zh-TW"/>
        </w:rPr>
        <w:t xml:space="preserve"> of their income from donations or from </w:t>
      </w:r>
      <w:r w:rsidRPr="000628A0">
        <w:rPr>
          <w:rFonts w:asciiTheme="majorBidi" w:eastAsia="PMingLiU" w:hAnsiTheme="majorBidi" w:cstheme="majorBidi"/>
          <w:lang w:eastAsia="zh-TW"/>
        </w:rPr>
        <w:t>fundraising from individuals; 12% receive at least 90% of total income from fees in connection with their charitable activities; and 13% receive at least 90% of income from government.</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A relatively small proportion receive at least 90% of their income from the voluntary </w:t>
      </w:r>
      <w:r w:rsidRPr="000628A0">
        <w:rPr>
          <w:rFonts w:asciiTheme="majorBidi" w:eastAsia="PMingLiU" w:hAnsiTheme="majorBidi" w:cstheme="majorBidi"/>
          <w:lang w:eastAsia="zh-TW"/>
        </w:rPr>
        <w:lastRenderedPageBreak/>
        <w:t>sector, from internal income generation, or from other sources.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In total, 41% of charities receive at least 90% of their income from just one of these six sources.</w:t>
      </w:r>
    </w:p>
    <w:p w:rsidR="0072251E" w:rsidRPr="000628A0" w:rsidRDefault="0072251E" w:rsidP="00FC6B07">
      <w:pPr>
        <w:spacing w:line="480" w:lineRule="auto"/>
        <w:rPr>
          <w:rFonts w:asciiTheme="majorBidi" w:eastAsia="PMingLiU" w:hAnsiTheme="majorBidi" w:cstheme="majorBidi"/>
          <w:lang w:eastAsia="zh-TW"/>
        </w:rPr>
      </w:pPr>
    </w:p>
    <w:p w:rsidR="0075027F" w:rsidRPr="000628A0" w:rsidRDefault="0075027F" w:rsidP="00B8138D">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What proportion of charities</w:t>
      </w:r>
      <w:r w:rsidR="00BC4401" w:rsidRPr="000628A0">
        <w:rPr>
          <w:rFonts w:asciiTheme="majorBidi" w:eastAsia="PMingLiU" w:hAnsiTheme="majorBidi" w:cstheme="majorBidi"/>
          <w:i/>
          <w:iCs/>
          <w:lang w:eastAsia="zh-TW"/>
        </w:rPr>
        <w:t xml:space="preserve"> do not </w:t>
      </w:r>
      <w:r w:rsidRPr="000628A0">
        <w:rPr>
          <w:rFonts w:asciiTheme="majorBidi" w:eastAsia="PMingLiU" w:hAnsiTheme="majorBidi" w:cstheme="majorBidi"/>
          <w:lang w:eastAsia="zh-TW"/>
        </w:rPr>
        <w:t xml:space="preserve">receive any significant income </w:t>
      </w:r>
      <w:r w:rsidR="00B8138D" w:rsidRPr="000628A0">
        <w:rPr>
          <w:rFonts w:asciiTheme="majorBidi" w:eastAsia="PMingLiU" w:hAnsiTheme="majorBidi" w:cstheme="majorBidi"/>
          <w:lang w:eastAsia="zh-TW"/>
        </w:rPr>
        <w:t xml:space="preserve">- in the sense of less than 10% of their total income </w:t>
      </w:r>
      <w:r w:rsidR="00221FEC" w:rsidRPr="000628A0">
        <w:rPr>
          <w:rFonts w:asciiTheme="majorBidi" w:eastAsia="PMingLiU" w:hAnsiTheme="majorBidi" w:cstheme="majorBidi"/>
          <w:lang w:eastAsia="zh-TW"/>
        </w:rPr>
        <w:t>composition -</w:t>
      </w:r>
      <w:r w:rsidR="00B8138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from a particular source?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Table 1 shows that, of registered charities with an income of more than £500,000, the majority </w:t>
      </w:r>
      <w:r w:rsidR="00BC4401" w:rsidRPr="000628A0">
        <w:rPr>
          <w:rFonts w:asciiTheme="majorBidi" w:eastAsia="PMingLiU" w:hAnsiTheme="majorBidi" w:cstheme="majorBidi"/>
          <w:lang w:eastAsia="zh-TW"/>
        </w:rPr>
        <w:t>(</w:t>
      </w:r>
      <w:r w:rsidR="00B8138D" w:rsidRPr="000628A0">
        <w:rPr>
          <w:rFonts w:asciiTheme="majorBidi" w:eastAsia="PMingLiU" w:hAnsiTheme="majorBidi" w:cstheme="majorBidi"/>
          <w:lang w:eastAsia="zh-TW"/>
        </w:rPr>
        <w:t>100-40=</w:t>
      </w:r>
      <w:r w:rsidR="00BC4401" w:rsidRPr="000628A0">
        <w:rPr>
          <w:rFonts w:asciiTheme="majorBidi" w:eastAsia="PMingLiU" w:hAnsiTheme="majorBidi" w:cstheme="majorBidi"/>
          <w:lang w:eastAsia="zh-TW"/>
        </w:rPr>
        <w:t xml:space="preserve">60%) </w:t>
      </w:r>
      <w:r w:rsidRPr="000628A0">
        <w:rPr>
          <w:rFonts w:asciiTheme="majorBidi" w:eastAsia="PMingLiU" w:hAnsiTheme="majorBidi" w:cstheme="majorBidi"/>
          <w:lang w:eastAsia="zh-TW"/>
        </w:rPr>
        <w:t>do</w:t>
      </w:r>
      <w:r w:rsidR="00BC4401" w:rsidRPr="000628A0">
        <w:rPr>
          <w:rFonts w:asciiTheme="majorBidi" w:eastAsia="PMingLiU" w:hAnsiTheme="majorBidi" w:cstheme="majorBidi"/>
          <w:lang w:eastAsia="zh-TW"/>
        </w:rPr>
        <w:t xml:space="preserve"> not </w:t>
      </w:r>
      <w:r w:rsidRPr="000628A0">
        <w:rPr>
          <w:rFonts w:asciiTheme="majorBidi" w:eastAsia="PMingLiU" w:hAnsiTheme="majorBidi" w:cstheme="majorBidi"/>
          <w:lang w:eastAsia="zh-TW"/>
        </w:rPr>
        <w:t>receive any significant share of their income from donations/fundraising</w:t>
      </w:r>
      <w:r w:rsidR="00525A23" w:rsidRPr="000628A0">
        <w:rPr>
          <w:rFonts w:asciiTheme="majorBidi" w:eastAsia="PMingLiU" w:hAnsiTheme="majorBidi" w:cstheme="majorBidi"/>
          <w:lang w:eastAsia="zh-TW"/>
        </w:rPr>
        <w:t xml:space="preserve"> from individuals</w:t>
      </w:r>
      <w:r w:rsidR="00BC4401" w:rsidRPr="000628A0">
        <w:rPr>
          <w:rFonts w:asciiTheme="majorBidi" w:eastAsia="PMingLiU" w:hAnsiTheme="majorBidi" w:cstheme="majorBidi"/>
          <w:lang w:eastAsia="zh-TW"/>
        </w:rPr>
        <w:t xml:space="preserve">. Conversely, around </w:t>
      </w:r>
      <w:r w:rsidRPr="000628A0">
        <w:rPr>
          <w:rFonts w:asciiTheme="majorBidi" w:eastAsia="PMingLiU" w:hAnsiTheme="majorBidi" w:cstheme="majorBidi"/>
          <w:lang w:eastAsia="zh-TW"/>
        </w:rPr>
        <w:t xml:space="preserve">half of </w:t>
      </w:r>
      <w:r w:rsidR="00BC4401" w:rsidRPr="000628A0">
        <w:rPr>
          <w:rFonts w:asciiTheme="majorBidi" w:eastAsia="PMingLiU" w:hAnsiTheme="majorBidi" w:cstheme="majorBidi"/>
          <w:lang w:eastAsia="zh-TW"/>
        </w:rPr>
        <w:t xml:space="preserve">all </w:t>
      </w:r>
      <w:r w:rsidRPr="000628A0">
        <w:rPr>
          <w:rFonts w:asciiTheme="majorBidi" w:eastAsia="PMingLiU" w:hAnsiTheme="majorBidi" w:cstheme="majorBidi"/>
          <w:lang w:eastAsia="zh-TW"/>
        </w:rPr>
        <w:t>charities</w:t>
      </w:r>
      <w:r w:rsidR="00B8138D" w:rsidRPr="000628A0">
        <w:rPr>
          <w:rFonts w:asciiTheme="majorBidi" w:eastAsia="PMingLiU" w:hAnsiTheme="majorBidi" w:cstheme="majorBidi"/>
          <w:lang w:eastAsia="zh-TW"/>
        </w:rPr>
        <w:t xml:space="preserve"> (100-48-52%</w:t>
      </w:r>
      <w:r w:rsidR="00221FEC" w:rsidRPr="000628A0">
        <w:rPr>
          <w:rFonts w:asciiTheme="majorBidi" w:eastAsia="PMingLiU" w:hAnsiTheme="majorBidi" w:cstheme="majorBidi"/>
          <w:lang w:eastAsia="zh-TW"/>
        </w:rPr>
        <w:t>) analysed</w:t>
      </w:r>
      <w:r w:rsidRPr="000628A0">
        <w:rPr>
          <w:rFonts w:asciiTheme="majorBidi" w:eastAsia="PMingLiU" w:hAnsiTheme="majorBidi" w:cstheme="majorBidi"/>
          <w:lang w:eastAsia="zh-TW"/>
        </w:rPr>
        <w:t xml:space="preserve"> do not receive any significant income from government. </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i/>
          <w:iCs/>
          <w:lang w:eastAsia="zh-TW"/>
        </w:rPr>
      </w:pPr>
      <w:r w:rsidRPr="000628A0">
        <w:rPr>
          <w:rFonts w:asciiTheme="majorBidi" w:eastAsia="PMingLiU" w:hAnsiTheme="majorBidi" w:cstheme="majorBidi"/>
          <w:i/>
          <w:iCs/>
          <w:lang w:eastAsia="zh-TW"/>
        </w:rPr>
        <w:t>Multivariate distribution of income shares: identifying groups of charities according to their income profile</w:t>
      </w:r>
    </w:p>
    <w:p w:rsidR="0075027F" w:rsidRPr="000628A0" w:rsidRDefault="0075027F" w:rsidP="00FC6B07">
      <w:pPr>
        <w:spacing w:line="480" w:lineRule="auto"/>
        <w:rPr>
          <w:rFonts w:asciiTheme="majorBidi" w:eastAsia="PMingLiU" w:hAnsiTheme="majorBidi" w:cstheme="majorBidi"/>
          <w:b/>
          <w:bCs/>
          <w:lang w:eastAsia="zh-TW"/>
        </w:rPr>
      </w:pPr>
    </w:p>
    <w:p w:rsidR="0075027F" w:rsidRPr="000628A0" w:rsidRDefault="0075027F" w:rsidP="003619B2">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Theoretical and substantive interest centres on identifying groups of charities with similar income profiles.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The marginal distribution of income shares (Table 1) shows that most charities receive the majority of income from just one source.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For a particular income source, high densities of charities receive a negligible share of their total income from that source.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Therefore, we can effectively characterise the multivariate distribution of income shares by considering a string of binary variables for every charity, where each variable represents the presence or absence of major funding from that source.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Here, we define these binary variables using a threshold of 25% of total income, indicating whether or not a particular source represents a</w:t>
      </w:r>
      <w:r w:rsidR="003619B2">
        <w:rPr>
          <w:rFonts w:asciiTheme="majorBidi" w:eastAsia="PMingLiU" w:hAnsiTheme="majorBidi" w:cstheme="majorBidi"/>
          <w:lang w:eastAsia="zh-TW"/>
        </w:rPr>
        <w:t>n</w:t>
      </w:r>
      <w:r w:rsidRPr="000628A0">
        <w:rPr>
          <w:rFonts w:asciiTheme="majorBidi" w:eastAsia="PMingLiU" w:hAnsiTheme="majorBidi" w:cstheme="majorBidi"/>
          <w:lang w:eastAsia="zh-TW"/>
        </w:rPr>
        <w:t xml:space="preserve"> </w:t>
      </w:r>
      <w:r w:rsidR="003014DD" w:rsidRPr="000628A0">
        <w:rPr>
          <w:rFonts w:asciiTheme="majorBidi" w:eastAsia="PMingLiU" w:hAnsiTheme="majorBidi" w:cstheme="majorBidi"/>
          <w:lang w:eastAsia="zh-TW"/>
        </w:rPr>
        <w:t>‘</w:t>
      </w:r>
      <w:r w:rsidR="003619B2">
        <w:rPr>
          <w:rFonts w:asciiTheme="majorBidi" w:eastAsia="PMingLiU" w:hAnsiTheme="majorBidi" w:cstheme="majorBidi"/>
          <w:lang w:eastAsia="zh-TW"/>
        </w:rPr>
        <w:t>important</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source of income, and we group charities according to their </w:t>
      </w:r>
      <w:r w:rsidR="003619B2">
        <w:rPr>
          <w:rFonts w:asciiTheme="majorBidi" w:eastAsia="PMingLiU" w:hAnsiTheme="majorBidi" w:cstheme="majorBidi"/>
          <w:lang w:eastAsia="zh-TW"/>
        </w:rPr>
        <w:t xml:space="preserve">important </w:t>
      </w:r>
      <w:r w:rsidRPr="000628A0">
        <w:rPr>
          <w:rFonts w:asciiTheme="majorBidi" w:eastAsia="PMingLiU" w:hAnsiTheme="majorBidi" w:cstheme="majorBidi"/>
          <w:lang w:eastAsia="zh-TW"/>
        </w:rPr>
        <w:t>source(s) of income</w:t>
      </w:r>
      <w:r w:rsidR="000C4691" w:rsidRPr="000628A0">
        <w:rPr>
          <w:rFonts w:asciiTheme="majorBidi" w:eastAsia="PMingLiU" w:hAnsiTheme="majorBidi" w:cstheme="majorBidi"/>
          <w:lang w:eastAsia="zh-TW"/>
        </w:rPr>
        <w:t xml:space="preserve">. We did consider alternatives such as a latent class model but did not </w:t>
      </w:r>
      <w:r w:rsidR="00975741" w:rsidRPr="000628A0">
        <w:rPr>
          <w:rFonts w:asciiTheme="majorBidi" w:eastAsia="PMingLiU" w:hAnsiTheme="majorBidi" w:cstheme="majorBidi"/>
          <w:lang w:eastAsia="zh-TW"/>
        </w:rPr>
        <w:t>adopt them</w:t>
      </w:r>
      <w:r w:rsidR="001826A0" w:rsidRPr="000628A0">
        <w:rPr>
          <w:rFonts w:asciiTheme="majorBidi" w:eastAsia="PMingLiU" w:hAnsiTheme="majorBidi" w:cstheme="majorBidi"/>
          <w:lang w:eastAsia="zh-TW"/>
        </w:rPr>
        <w:t>.</w:t>
      </w:r>
      <w:r w:rsidR="00C6542E" w:rsidRPr="000628A0">
        <w:rPr>
          <w:rStyle w:val="EndnoteReference"/>
          <w:rFonts w:asciiTheme="majorBidi" w:eastAsia="PMingLiU" w:hAnsiTheme="majorBidi" w:cstheme="majorBidi"/>
          <w:lang w:eastAsia="zh-TW"/>
        </w:rPr>
        <w:endnoteReference w:id="11"/>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4815C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Most charities have one </w:t>
      </w:r>
      <w:r w:rsidR="003014DD" w:rsidRPr="000628A0">
        <w:rPr>
          <w:rFonts w:asciiTheme="majorBidi" w:eastAsia="PMingLiU" w:hAnsiTheme="majorBidi" w:cstheme="majorBidi"/>
          <w:lang w:eastAsia="zh-TW"/>
        </w:rPr>
        <w:t>‘</w:t>
      </w:r>
      <w:r w:rsidR="003619B2">
        <w:rPr>
          <w:rFonts w:asciiTheme="majorBidi" w:eastAsia="PMingLiU" w:hAnsiTheme="majorBidi" w:cstheme="majorBidi"/>
          <w:lang w:eastAsia="zh-TW"/>
        </w:rPr>
        <w:t>important</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income source (Table 2): of registered charities with an income of more than £500,000, 74% have only one source which makes up at least 25% of their total income.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For 27% of charities, this source is government; for 18% of charities, it is fees from donations associated with charitable activities; for 18% of charities, it is donations/fundraising from individuals.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The charities identified in Table 1, which shows the proportion of charities with at least 75% and 90% of income from a particular source, are a subset of these groups.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For example, for 27% of charities, the </w:t>
      </w:r>
      <w:r w:rsidR="004815C7">
        <w:rPr>
          <w:rFonts w:asciiTheme="majorBidi" w:eastAsia="PMingLiU" w:hAnsiTheme="majorBidi" w:cstheme="majorBidi"/>
          <w:lang w:eastAsia="zh-TW"/>
        </w:rPr>
        <w:t>only ‘important’</w:t>
      </w:r>
      <w:r w:rsidRPr="000628A0">
        <w:rPr>
          <w:rFonts w:asciiTheme="majorBidi" w:eastAsia="PMingLiU" w:hAnsiTheme="majorBidi" w:cstheme="majorBidi"/>
          <w:lang w:eastAsia="zh-TW"/>
        </w:rPr>
        <w:t xml:space="preserve"> income source is government; this includes the 22% (13%) of charities where government income represents at least 75% (90%) of total income.</w:t>
      </w:r>
      <w:r w:rsidR="003014DD" w:rsidRPr="000628A0">
        <w:rPr>
          <w:rFonts w:asciiTheme="majorBidi" w:eastAsia="PMingLiU" w:hAnsiTheme="majorBidi" w:cstheme="majorBidi"/>
          <w:lang w:eastAsia="zh-TW"/>
        </w:rPr>
        <w:t xml:space="preserve"> </w:t>
      </w:r>
    </w:p>
    <w:p w:rsidR="0075027F" w:rsidRPr="000C2EB9" w:rsidRDefault="0075027F" w:rsidP="00FC6B07">
      <w:pPr>
        <w:spacing w:line="480" w:lineRule="auto"/>
        <w:rPr>
          <w:rFonts w:asciiTheme="majorBidi" w:eastAsia="PMingLiU" w:hAnsiTheme="majorBidi" w:cstheme="majorBidi"/>
          <w:sz w:val="12"/>
          <w:szCs w:val="12"/>
          <w:lang w:eastAsia="zh-TW"/>
        </w:rPr>
      </w:pPr>
    </w:p>
    <w:p w:rsidR="0075027F" w:rsidRPr="000628A0" w:rsidRDefault="0075027F" w:rsidP="0024124F">
      <w:pPr>
        <w:spacing w:line="480" w:lineRule="auto"/>
        <w:jc w:val="center"/>
        <w:rPr>
          <w:rFonts w:asciiTheme="majorBidi" w:eastAsia="PMingLiU" w:hAnsiTheme="majorBidi" w:cstheme="majorBidi"/>
          <w:lang w:eastAsia="zh-TW"/>
        </w:rPr>
      </w:pPr>
      <w:r w:rsidRPr="000628A0">
        <w:rPr>
          <w:rFonts w:asciiTheme="majorBidi" w:eastAsia="PMingLiU" w:hAnsiTheme="majorBidi" w:cstheme="majorBidi"/>
          <w:lang w:eastAsia="zh-TW"/>
        </w:rPr>
        <w:t>[Table 2 about here]</w:t>
      </w:r>
    </w:p>
    <w:p w:rsidR="0075027F" w:rsidRPr="000C2EB9" w:rsidRDefault="0075027F" w:rsidP="00FC6B07">
      <w:pPr>
        <w:spacing w:line="480" w:lineRule="auto"/>
        <w:rPr>
          <w:rFonts w:asciiTheme="majorBidi" w:eastAsia="PMingLiU" w:hAnsiTheme="majorBidi" w:cstheme="majorBidi"/>
          <w:sz w:val="12"/>
          <w:szCs w:val="12"/>
          <w:lang w:eastAsia="zh-TW"/>
        </w:rPr>
      </w:pPr>
    </w:p>
    <w:p w:rsidR="0075027F" w:rsidRPr="000628A0" w:rsidRDefault="001826A0" w:rsidP="00655D69">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An </w:t>
      </w:r>
      <w:r w:rsidR="0075027F" w:rsidRPr="000628A0">
        <w:rPr>
          <w:rFonts w:asciiTheme="majorBidi" w:eastAsia="PMingLiU" w:hAnsiTheme="majorBidi" w:cstheme="majorBidi"/>
          <w:lang w:eastAsia="zh-TW"/>
        </w:rPr>
        <w:t>important part of the charitable sector</w:t>
      </w:r>
      <w:r w:rsidRPr="000628A0">
        <w:rPr>
          <w:rFonts w:asciiTheme="majorBidi" w:eastAsia="PMingLiU" w:hAnsiTheme="majorBidi" w:cstheme="majorBidi"/>
          <w:lang w:eastAsia="zh-TW"/>
        </w:rPr>
        <w:t>, however,</w:t>
      </w:r>
      <w:r w:rsidR="0075027F" w:rsidRPr="000628A0">
        <w:rPr>
          <w:rFonts w:asciiTheme="majorBidi" w:eastAsia="PMingLiU" w:hAnsiTheme="majorBidi" w:cstheme="majorBidi"/>
          <w:lang w:eastAsia="zh-TW"/>
        </w:rPr>
        <w:t xml:space="preserve"> comprise</w:t>
      </w:r>
      <w:r w:rsidRPr="000628A0">
        <w:rPr>
          <w:rFonts w:asciiTheme="majorBidi" w:eastAsia="PMingLiU" w:hAnsiTheme="majorBidi" w:cstheme="majorBidi"/>
          <w:lang w:eastAsia="zh-TW"/>
        </w:rPr>
        <w:t xml:space="preserve">s </w:t>
      </w:r>
      <w:r w:rsidR="0075027F" w:rsidRPr="000628A0">
        <w:rPr>
          <w:rFonts w:asciiTheme="majorBidi" w:eastAsia="PMingLiU" w:hAnsiTheme="majorBidi" w:cstheme="majorBidi"/>
          <w:lang w:eastAsia="zh-TW"/>
        </w:rPr>
        <w:t xml:space="preserve">charities with more than one </w:t>
      </w:r>
      <w:r w:rsidR="004815C7">
        <w:rPr>
          <w:rFonts w:asciiTheme="majorBidi" w:eastAsia="PMingLiU" w:hAnsiTheme="majorBidi" w:cstheme="majorBidi"/>
          <w:lang w:eastAsia="zh-TW"/>
        </w:rPr>
        <w:t>‘important’</w:t>
      </w:r>
      <w:r w:rsidR="0075027F" w:rsidRPr="000628A0">
        <w:rPr>
          <w:rFonts w:asciiTheme="majorBidi" w:eastAsia="PMingLiU" w:hAnsiTheme="majorBidi" w:cstheme="majorBidi"/>
          <w:lang w:eastAsia="zh-TW"/>
        </w:rPr>
        <w:t xml:space="preserve"> income source.</w:t>
      </w:r>
      <w:r w:rsidR="003014DD" w:rsidRPr="000628A0">
        <w:rPr>
          <w:rFonts w:asciiTheme="majorBidi" w:eastAsia="PMingLiU" w:hAnsiTheme="majorBidi" w:cstheme="majorBidi"/>
          <w:lang w:eastAsia="zh-TW"/>
        </w:rPr>
        <w:t xml:space="preserve"> </w:t>
      </w:r>
      <w:r w:rsidR="00B70459" w:rsidRPr="000628A0">
        <w:rPr>
          <w:rFonts w:asciiTheme="majorBidi" w:eastAsia="PMingLiU" w:hAnsiTheme="majorBidi" w:cstheme="majorBidi"/>
          <w:lang w:eastAsia="zh-TW"/>
        </w:rPr>
        <w:t>Indeed, a</w:t>
      </w:r>
      <w:r w:rsidR="0075027F" w:rsidRPr="000628A0">
        <w:rPr>
          <w:rFonts w:asciiTheme="majorBidi" w:eastAsia="PMingLiU" w:hAnsiTheme="majorBidi" w:cstheme="majorBidi"/>
          <w:lang w:eastAsia="zh-TW"/>
        </w:rPr>
        <w:t xml:space="preserve">round one in four charities have two sources that </w:t>
      </w:r>
      <w:r w:rsidR="00B70459" w:rsidRPr="000628A0">
        <w:rPr>
          <w:rFonts w:asciiTheme="majorBidi" w:eastAsia="PMingLiU" w:hAnsiTheme="majorBidi" w:cstheme="majorBidi"/>
          <w:lang w:eastAsia="zh-TW"/>
        </w:rPr>
        <w:t xml:space="preserve">each </w:t>
      </w:r>
      <w:r w:rsidR="0075027F" w:rsidRPr="000628A0">
        <w:rPr>
          <w:rFonts w:asciiTheme="majorBidi" w:eastAsia="PMingLiU" w:hAnsiTheme="majorBidi" w:cstheme="majorBidi"/>
          <w:lang w:eastAsia="zh-TW"/>
        </w:rPr>
        <w:t>make up at least 25% of their income (Table 2).</w:t>
      </w:r>
      <w:r w:rsidR="00145AEE" w:rsidRPr="000628A0">
        <w:rPr>
          <w:rFonts w:asciiTheme="majorBidi" w:hAnsiTheme="majorBidi" w:cstheme="majorBidi"/>
        </w:rPr>
        <w:t xml:space="preserve">  </w:t>
      </w:r>
      <w:r w:rsidR="0075027F" w:rsidRPr="000628A0">
        <w:rPr>
          <w:rFonts w:asciiTheme="majorBidi" w:eastAsia="PMingLiU" w:hAnsiTheme="majorBidi" w:cstheme="majorBidi"/>
          <w:lang w:eastAsia="zh-TW"/>
        </w:rPr>
        <w:t xml:space="preserve">This comprises a number of subpopulations of charities with different combinations of </w:t>
      </w:r>
      <w:r w:rsidR="004815C7">
        <w:rPr>
          <w:rFonts w:asciiTheme="majorBidi" w:eastAsia="PMingLiU" w:hAnsiTheme="majorBidi" w:cstheme="majorBidi"/>
          <w:lang w:eastAsia="zh-TW"/>
        </w:rPr>
        <w:t>important</w:t>
      </w:r>
      <w:r w:rsidR="0075027F" w:rsidRPr="000628A0">
        <w:rPr>
          <w:rFonts w:asciiTheme="majorBidi" w:eastAsia="PMingLiU" w:hAnsiTheme="majorBidi" w:cstheme="majorBidi"/>
          <w:lang w:eastAsia="zh-TW"/>
        </w:rPr>
        <w:t xml:space="preserve"> income sources.</w:t>
      </w:r>
      <w:r w:rsidR="003014DD" w:rsidRPr="000628A0">
        <w:rPr>
          <w:rFonts w:asciiTheme="majorBidi" w:eastAsia="PMingLiU" w:hAnsiTheme="majorBidi" w:cstheme="majorBidi"/>
          <w:lang w:eastAsia="zh-TW"/>
        </w:rPr>
        <w:t xml:space="preserve"> </w:t>
      </w:r>
      <w:r w:rsidR="0075027F" w:rsidRPr="000628A0">
        <w:rPr>
          <w:rFonts w:asciiTheme="majorBidi" w:eastAsia="PMingLiU" w:hAnsiTheme="majorBidi" w:cstheme="majorBidi"/>
          <w:lang w:eastAsia="zh-TW"/>
        </w:rPr>
        <w:t>For example, 4% of charities receive at least 25% of their income from government and at least 25% from individual donations/fundraising; 3% receive at least 25% of their income from government and at least 25% of their income from individuals</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 fees associated with the organisations</w:t>
      </w:r>
      <w:r w:rsidR="003014DD" w:rsidRPr="000628A0">
        <w:rPr>
          <w:rFonts w:asciiTheme="majorBidi" w:eastAsia="PMingLiU" w:hAnsiTheme="majorBidi" w:cstheme="majorBidi"/>
          <w:lang w:eastAsia="zh-TW"/>
        </w:rPr>
        <w:t>’</w:t>
      </w:r>
      <w:r w:rsidR="0075027F" w:rsidRPr="000628A0">
        <w:rPr>
          <w:rFonts w:asciiTheme="majorBidi" w:eastAsia="PMingLiU" w:hAnsiTheme="majorBidi" w:cstheme="majorBidi"/>
          <w:lang w:eastAsia="zh-TW"/>
        </w:rPr>
        <w:t xml:space="preserve"> charitable activities.</w:t>
      </w:r>
      <w:r w:rsidR="00145AEE" w:rsidRPr="000628A0">
        <w:rPr>
          <w:rFonts w:asciiTheme="majorBidi" w:eastAsia="PMingLiU" w:hAnsiTheme="majorBidi" w:cstheme="majorBidi"/>
          <w:lang w:eastAsia="zh-TW"/>
        </w:rPr>
        <w:t xml:space="preserve">  </w:t>
      </w:r>
      <w:r w:rsidR="00145AEE" w:rsidRPr="000628A0">
        <w:rPr>
          <w:rFonts w:asciiTheme="majorBidi" w:hAnsiTheme="majorBidi" w:cstheme="majorBidi"/>
        </w:rPr>
        <w:t xml:space="preserve">These results provides further empirical support for the notion of the ‘hybridity’ of the sector, but, in contrast to previous discussions, our focus is firmly on individual organisations rather than the funding mix of charitable organisations as a whole.  </w:t>
      </w:r>
    </w:p>
    <w:p w:rsidR="0075027F" w:rsidRPr="000628A0" w:rsidRDefault="0075027F" w:rsidP="00FC6B07">
      <w:pPr>
        <w:spacing w:line="480" w:lineRule="auto"/>
        <w:rPr>
          <w:rFonts w:asciiTheme="majorBidi" w:eastAsia="PMingLiU" w:hAnsiTheme="majorBidi" w:cstheme="majorBidi"/>
          <w:lang w:eastAsia="zh-TW"/>
        </w:rPr>
      </w:pPr>
    </w:p>
    <w:p w:rsidR="00FD2E3F" w:rsidRPr="000628A0" w:rsidRDefault="0075027F" w:rsidP="00692F55">
      <w:pPr>
        <w:autoSpaceDE w:val="0"/>
        <w:autoSpaceDN w:val="0"/>
        <w:adjustRightInd w:val="0"/>
        <w:spacing w:line="480" w:lineRule="auto"/>
        <w:rPr>
          <w:rFonts w:asciiTheme="majorBidi" w:hAnsiTheme="majorBidi" w:cstheme="majorBidi"/>
        </w:rPr>
      </w:pPr>
      <w:r w:rsidRPr="000628A0">
        <w:rPr>
          <w:rFonts w:asciiTheme="majorBidi" w:eastAsia="PMingLiU" w:hAnsiTheme="majorBidi" w:cstheme="majorBidi"/>
          <w:lang w:eastAsia="zh-TW"/>
        </w:rPr>
        <w:lastRenderedPageBreak/>
        <w:t xml:space="preserve">We examine differences in membership of our income profile groups according to different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vertical fields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of charitable activity (Kendall, 2003).</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We use t</w:t>
      </w:r>
      <w:r w:rsidRPr="000628A0">
        <w:rPr>
          <w:rFonts w:asciiTheme="majorBidi" w:hAnsiTheme="majorBidi" w:cstheme="majorBidi"/>
        </w:rPr>
        <w:t>he International Classification of Nonprofit Organisations (ICNPO), which classifies non-profit organisations into groups based on their primary economic activity (Salamon and Anheier, 1992; 1996</w:t>
      </w:r>
      <w:r w:rsidR="000C4691" w:rsidRPr="000628A0">
        <w:rPr>
          <w:rFonts w:asciiTheme="majorBidi" w:hAnsiTheme="majorBidi" w:cstheme="majorBidi"/>
        </w:rPr>
        <w:t xml:space="preserve">; see also Kane (2009) for application of this classification schema to </w:t>
      </w:r>
      <w:r w:rsidR="004B40F5">
        <w:rPr>
          <w:rFonts w:asciiTheme="majorBidi" w:hAnsiTheme="majorBidi" w:cstheme="majorBidi"/>
        </w:rPr>
        <w:t>English and Welsh charities</w:t>
      </w:r>
      <w:r w:rsidRPr="000628A0">
        <w:rPr>
          <w:rFonts w:asciiTheme="majorBidi" w:hAnsiTheme="majorBidi" w:cstheme="majorBidi"/>
        </w:rPr>
        <w:t>).</w:t>
      </w:r>
      <w:r w:rsidR="00FA7810" w:rsidRPr="000628A0">
        <w:rPr>
          <w:rFonts w:asciiTheme="majorBidi" w:hAnsiTheme="majorBidi" w:cstheme="majorBidi"/>
        </w:rPr>
        <w:t xml:space="preserve">  </w:t>
      </w:r>
      <w:r w:rsidR="00FD2E3F" w:rsidRPr="000628A0">
        <w:rPr>
          <w:rFonts w:asciiTheme="majorBidi" w:hAnsiTheme="majorBidi" w:cstheme="majorBidi"/>
        </w:rPr>
        <w:t>W</w:t>
      </w:r>
      <w:r w:rsidR="009103B7" w:rsidRPr="000628A0">
        <w:rPr>
          <w:rFonts w:asciiTheme="majorBidi" w:hAnsiTheme="majorBidi" w:cstheme="majorBidi"/>
        </w:rPr>
        <w:t xml:space="preserve">e </w:t>
      </w:r>
      <w:r w:rsidR="002447BF" w:rsidRPr="000628A0">
        <w:rPr>
          <w:rFonts w:asciiTheme="majorBidi" w:hAnsiTheme="majorBidi" w:cstheme="majorBidi"/>
        </w:rPr>
        <w:t>present results for</w:t>
      </w:r>
      <w:r w:rsidR="00005DBB" w:rsidRPr="000628A0">
        <w:rPr>
          <w:rFonts w:asciiTheme="majorBidi" w:hAnsiTheme="majorBidi" w:cstheme="majorBidi"/>
        </w:rPr>
        <w:t xml:space="preserve"> </w:t>
      </w:r>
      <w:r w:rsidR="00FD2E3F" w:rsidRPr="000628A0">
        <w:rPr>
          <w:rFonts w:asciiTheme="majorBidi" w:hAnsiTheme="majorBidi" w:cstheme="majorBidi"/>
        </w:rPr>
        <w:t xml:space="preserve">four </w:t>
      </w:r>
      <w:r w:rsidR="00005DBB" w:rsidRPr="000628A0">
        <w:rPr>
          <w:rFonts w:asciiTheme="majorBidi" w:hAnsiTheme="majorBidi" w:cstheme="majorBidi"/>
        </w:rPr>
        <w:t xml:space="preserve">vertical fields </w:t>
      </w:r>
      <w:r w:rsidR="00FD2E3F" w:rsidRPr="000628A0">
        <w:rPr>
          <w:rFonts w:asciiTheme="majorBidi" w:hAnsiTheme="majorBidi" w:cstheme="majorBidi"/>
        </w:rPr>
        <w:t xml:space="preserve">that illustrate the </w:t>
      </w:r>
      <w:r w:rsidR="00E556C1" w:rsidRPr="000628A0">
        <w:rPr>
          <w:rFonts w:asciiTheme="majorBidi" w:hAnsiTheme="majorBidi" w:cstheme="majorBidi"/>
        </w:rPr>
        <w:t>diversity</w:t>
      </w:r>
      <w:r w:rsidR="00FD2E3F" w:rsidRPr="000628A0">
        <w:rPr>
          <w:rFonts w:asciiTheme="majorBidi" w:hAnsiTheme="majorBidi" w:cstheme="majorBidi"/>
        </w:rPr>
        <w:t xml:space="preserve"> in</w:t>
      </w:r>
      <w:r w:rsidR="00E556C1" w:rsidRPr="000628A0">
        <w:rPr>
          <w:rFonts w:asciiTheme="majorBidi" w:hAnsiTheme="majorBidi" w:cstheme="majorBidi"/>
        </w:rPr>
        <w:t xml:space="preserve"> charities’ income composition according to </w:t>
      </w:r>
      <w:r w:rsidR="00232436" w:rsidRPr="000628A0">
        <w:rPr>
          <w:rFonts w:asciiTheme="majorBidi" w:hAnsiTheme="majorBidi" w:cstheme="majorBidi"/>
        </w:rPr>
        <w:t>the nature of</w:t>
      </w:r>
      <w:r w:rsidR="0026783A" w:rsidRPr="000628A0">
        <w:rPr>
          <w:rFonts w:asciiTheme="majorBidi" w:hAnsiTheme="majorBidi" w:cstheme="majorBidi"/>
        </w:rPr>
        <w:t xml:space="preserve"> their</w:t>
      </w:r>
      <w:r w:rsidR="00232436" w:rsidRPr="000628A0">
        <w:rPr>
          <w:rFonts w:asciiTheme="majorBidi" w:hAnsiTheme="majorBidi" w:cstheme="majorBidi"/>
        </w:rPr>
        <w:t xml:space="preserve"> </w:t>
      </w:r>
      <w:r w:rsidR="00E556C1" w:rsidRPr="000628A0">
        <w:rPr>
          <w:rFonts w:asciiTheme="majorBidi" w:hAnsiTheme="majorBidi" w:cstheme="majorBidi"/>
        </w:rPr>
        <w:t>charitable activity</w:t>
      </w:r>
      <w:r w:rsidR="00DE6F3D" w:rsidRPr="000628A0">
        <w:rPr>
          <w:rFonts w:asciiTheme="majorBidi" w:hAnsiTheme="majorBidi" w:cstheme="majorBidi"/>
        </w:rPr>
        <w:t xml:space="preserve">.  </w:t>
      </w:r>
      <w:r w:rsidR="00232436" w:rsidRPr="000628A0">
        <w:rPr>
          <w:rFonts w:asciiTheme="majorBidi" w:hAnsiTheme="majorBidi" w:cstheme="majorBidi"/>
        </w:rPr>
        <w:t xml:space="preserve">Across the ICNPO categories which contain </w:t>
      </w:r>
      <w:r w:rsidR="001014BB" w:rsidRPr="000628A0">
        <w:rPr>
          <w:rFonts w:asciiTheme="majorBidi" w:hAnsiTheme="majorBidi" w:cstheme="majorBidi"/>
        </w:rPr>
        <w:t>at least 200 organisations</w:t>
      </w:r>
      <w:r w:rsidR="00232436" w:rsidRPr="000628A0">
        <w:rPr>
          <w:rFonts w:asciiTheme="majorBidi" w:hAnsiTheme="majorBidi" w:cstheme="majorBidi"/>
        </w:rPr>
        <w:t>, we include</w:t>
      </w:r>
      <w:r w:rsidR="00E556C1" w:rsidRPr="000628A0">
        <w:rPr>
          <w:rFonts w:asciiTheme="majorBidi" w:hAnsiTheme="majorBidi" w:cstheme="majorBidi"/>
        </w:rPr>
        <w:t xml:space="preserve"> </w:t>
      </w:r>
      <w:r w:rsidR="00DE6F3D" w:rsidRPr="000628A0">
        <w:rPr>
          <w:rFonts w:asciiTheme="majorBidi" w:hAnsiTheme="majorBidi" w:cstheme="majorBidi"/>
        </w:rPr>
        <w:t xml:space="preserve">the </w:t>
      </w:r>
      <w:r w:rsidR="00232436" w:rsidRPr="000628A0">
        <w:rPr>
          <w:rFonts w:asciiTheme="majorBidi" w:hAnsiTheme="majorBidi" w:cstheme="majorBidi"/>
        </w:rPr>
        <w:t>vertical field</w:t>
      </w:r>
      <w:r w:rsidR="00DE6F3D" w:rsidRPr="000628A0">
        <w:rPr>
          <w:rFonts w:asciiTheme="majorBidi" w:hAnsiTheme="majorBidi" w:cstheme="majorBidi"/>
        </w:rPr>
        <w:t xml:space="preserve"> with the highest percentage of </w:t>
      </w:r>
      <w:r w:rsidR="00232436" w:rsidRPr="000628A0">
        <w:rPr>
          <w:rFonts w:asciiTheme="majorBidi" w:hAnsiTheme="majorBidi" w:cstheme="majorBidi"/>
        </w:rPr>
        <w:t xml:space="preserve">charities whose only </w:t>
      </w:r>
      <w:r w:rsidR="004815C7">
        <w:rPr>
          <w:rFonts w:asciiTheme="majorBidi" w:hAnsiTheme="majorBidi" w:cstheme="majorBidi"/>
        </w:rPr>
        <w:t>important</w:t>
      </w:r>
      <w:r w:rsidR="00232436" w:rsidRPr="000628A0">
        <w:rPr>
          <w:rFonts w:asciiTheme="majorBidi" w:hAnsiTheme="majorBidi" w:cstheme="majorBidi"/>
        </w:rPr>
        <w:t xml:space="preserve"> income source is payment from individuals</w:t>
      </w:r>
      <w:r w:rsidR="005D3637" w:rsidRPr="000628A0">
        <w:rPr>
          <w:rFonts w:asciiTheme="majorBidi" w:hAnsiTheme="majorBidi" w:cstheme="majorBidi"/>
        </w:rPr>
        <w:t>’ fees</w:t>
      </w:r>
      <w:r w:rsidR="00232436" w:rsidRPr="000628A0">
        <w:rPr>
          <w:rFonts w:asciiTheme="majorBidi" w:hAnsiTheme="majorBidi" w:cstheme="majorBidi"/>
        </w:rPr>
        <w:t xml:space="preserve"> (‘education’); the vertical field with the highest percentage of charities whose only </w:t>
      </w:r>
      <w:r w:rsidR="004815C7">
        <w:rPr>
          <w:rFonts w:asciiTheme="majorBidi" w:hAnsiTheme="majorBidi" w:cstheme="majorBidi"/>
        </w:rPr>
        <w:t>important</w:t>
      </w:r>
      <w:r w:rsidR="00232436" w:rsidRPr="000628A0">
        <w:rPr>
          <w:rFonts w:asciiTheme="majorBidi" w:hAnsiTheme="majorBidi" w:cstheme="majorBidi"/>
        </w:rPr>
        <w:t xml:space="preserve"> income source is government (‘social services’); the vertical field with</w:t>
      </w:r>
      <w:r w:rsidR="00692F55">
        <w:rPr>
          <w:rFonts w:asciiTheme="majorBidi" w:hAnsiTheme="majorBidi" w:cstheme="majorBidi"/>
        </w:rPr>
        <w:t xml:space="preserve"> </w:t>
      </w:r>
      <w:r w:rsidR="00232436" w:rsidRPr="000628A0">
        <w:rPr>
          <w:rFonts w:asciiTheme="majorBidi" w:hAnsiTheme="majorBidi" w:cstheme="majorBidi"/>
        </w:rPr>
        <w:t xml:space="preserve">the highest percentage of charities whose only </w:t>
      </w:r>
      <w:r w:rsidR="004815C7">
        <w:rPr>
          <w:rFonts w:asciiTheme="majorBidi" w:hAnsiTheme="majorBidi" w:cstheme="majorBidi"/>
        </w:rPr>
        <w:t>important</w:t>
      </w:r>
      <w:r w:rsidR="00232436" w:rsidRPr="000628A0">
        <w:rPr>
          <w:rFonts w:asciiTheme="majorBidi" w:hAnsiTheme="majorBidi" w:cstheme="majorBidi"/>
        </w:rPr>
        <w:t xml:space="preserve"> income source is donations/funds raised from individuals (‘international’);</w:t>
      </w:r>
      <w:r w:rsidR="001014BB" w:rsidRPr="000628A0">
        <w:rPr>
          <w:rFonts w:asciiTheme="majorBidi" w:hAnsiTheme="majorBidi" w:cstheme="majorBidi"/>
        </w:rPr>
        <w:t xml:space="preserve"> and the vertical field with the highest percentage of charities with more than one </w:t>
      </w:r>
      <w:r w:rsidR="004815C7">
        <w:rPr>
          <w:rFonts w:asciiTheme="majorBidi" w:hAnsiTheme="majorBidi" w:cstheme="majorBidi"/>
        </w:rPr>
        <w:t>important</w:t>
      </w:r>
      <w:r w:rsidR="001014BB" w:rsidRPr="000628A0">
        <w:rPr>
          <w:rFonts w:asciiTheme="majorBidi" w:hAnsiTheme="majorBidi" w:cstheme="majorBidi"/>
        </w:rPr>
        <w:t xml:space="preserve"> income source (‘culture/arts’).</w:t>
      </w:r>
    </w:p>
    <w:p w:rsidR="00877C46" w:rsidRPr="000628A0" w:rsidRDefault="00877C46" w:rsidP="000B421A">
      <w:pPr>
        <w:autoSpaceDE w:val="0"/>
        <w:autoSpaceDN w:val="0"/>
        <w:adjustRightInd w:val="0"/>
        <w:spacing w:line="480" w:lineRule="auto"/>
        <w:rPr>
          <w:rFonts w:asciiTheme="majorBidi" w:hAnsiTheme="majorBidi" w:cstheme="majorBidi"/>
        </w:rPr>
      </w:pPr>
    </w:p>
    <w:p w:rsidR="0058135C" w:rsidRPr="000628A0" w:rsidRDefault="00060846" w:rsidP="001944FC">
      <w:pPr>
        <w:autoSpaceDE w:val="0"/>
        <w:autoSpaceDN w:val="0"/>
        <w:adjustRightInd w:val="0"/>
        <w:spacing w:line="480" w:lineRule="auto"/>
        <w:rPr>
          <w:rFonts w:asciiTheme="majorBidi" w:hAnsiTheme="majorBidi" w:cstheme="majorBidi"/>
        </w:rPr>
      </w:pPr>
      <w:r w:rsidRPr="000628A0">
        <w:rPr>
          <w:rFonts w:asciiTheme="majorBidi" w:eastAsia="PMingLiU" w:hAnsiTheme="majorBidi" w:cstheme="majorBidi"/>
          <w:iCs/>
          <w:lang w:eastAsia="zh-TW"/>
        </w:rPr>
        <w:t xml:space="preserve">The benefits theory of nonprofit finance provides a framework for understanding these differences between charitable subsectors by relating a charity’s financial mix </w:t>
      </w:r>
      <w:r w:rsidR="004B40F5">
        <w:rPr>
          <w:rFonts w:asciiTheme="majorBidi" w:eastAsia="PMingLiU" w:hAnsiTheme="majorBidi" w:cstheme="majorBidi"/>
          <w:iCs/>
          <w:lang w:eastAsia="zh-TW"/>
        </w:rPr>
        <w:t xml:space="preserve">to </w:t>
      </w:r>
      <w:r w:rsidRPr="000628A0">
        <w:rPr>
          <w:rFonts w:asciiTheme="majorBidi" w:eastAsia="PMingLiU" w:hAnsiTheme="majorBidi" w:cstheme="majorBidi"/>
          <w:iCs/>
          <w:lang w:eastAsia="zh-TW"/>
        </w:rPr>
        <w:t>the nature of benefits that it provides (Young</w:t>
      </w:r>
      <w:r w:rsidR="00655D69">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2007; </w:t>
      </w:r>
      <w:r w:rsidRPr="000628A0">
        <w:rPr>
          <w:rFonts w:asciiTheme="majorBidi" w:hAnsiTheme="majorBidi" w:cstheme="majorBidi"/>
          <w:color w:val="231F20"/>
        </w:rPr>
        <w:t xml:space="preserve">Young </w:t>
      </w:r>
      <w:r w:rsidRPr="000628A0">
        <w:rPr>
          <w:rFonts w:asciiTheme="majorBidi" w:hAnsiTheme="majorBidi" w:cstheme="majorBidi"/>
          <w:i/>
          <w:iCs/>
          <w:color w:val="231F20"/>
        </w:rPr>
        <w:t>et al.</w:t>
      </w:r>
      <w:r w:rsidRPr="000628A0">
        <w:rPr>
          <w:rFonts w:asciiTheme="majorBidi" w:hAnsiTheme="majorBidi" w:cstheme="majorBidi"/>
          <w:color w:val="231F20"/>
        </w:rPr>
        <w:t>, 2010; Wilsker and Young, 2010</w:t>
      </w:r>
      <w:r w:rsidR="0068710D" w:rsidRPr="000628A0">
        <w:rPr>
          <w:rFonts w:asciiTheme="majorBidi" w:hAnsiTheme="majorBidi" w:cstheme="majorBidi"/>
          <w:color w:val="231F20"/>
        </w:rPr>
        <w:t>)</w:t>
      </w:r>
      <w:r w:rsidRPr="000628A0">
        <w:rPr>
          <w:rFonts w:asciiTheme="majorBidi" w:hAnsiTheme="majorBidi" w:cstheme="majorBidi"/>
          <w:color w:val="231F20"/>
        </w:rPr>
        <w:t xml:space="preserve">.  </w:t>
      </w:r>
      <w:r w:rsidR="0068710D" w:rsidRPr="000628A0">
        <w:rPr>
          <w:rFonts w:asciiTheme="majorBidi" w:hAnsiTheme="majorBidi" w:cstheme="majorBidi"/>
          <w:color w:val="231F20"/>
        </w:rPr>
        <w:t>Thus</w:t>
      </w:r>
      <w:r w:rsidRPr="000628A0">
        <w:rPr>
          <w:rFonts w:asciiTheme="majorBidi" w:hAnsiTheme="majorBidi" w:cstheme="majorBidi"/>
        </w:rPr>
        <w:t xml:space="preserve"> </w:t>
      </w:r>
      <w:r w:rsidR="0068710D" w:rsidRPr="000628A0">
        <w:rPr>
          <w:rFonts w:asciiTheme="majorBidi" w:eastAsia="PMingLiU" w:hAnsiTheme="majorBidi" w:cstheme="majorBidi"/>
          <w:lang w:eastAsia="zh-TW"/>
        </w:rPr>
        <w:t>74</w:t>
      </w:r>
      <w:r w:rsidR="0068710D" w:rsidRPr="000628A0">
        <w:rPr>
          <w:rFonts w:asciiTheme="majorBidi" w:hAnsiTheme="majorBidi" w:cstheme="majorBidi"/>
        </w:rPr>
        <w:t xml:space="preserve">% of </w:t>
      </w:r>
      <w:r w:rsidRPr="000628A0">
        <w:rPr>
          <w:rFonts w:asciiTheme="majorBidi" w:hAnsiTheme="majorBidi" w:cstheme="majorBidi"/>
        </w:rPr>
        <w:t xml:space="preserve">educational charities have fees from individuals as their only </w:t>
      </w:r>
      <w:r w:rsidR="004815C7">
        <w:rPr>
          <w:rFonts w:asciiTheme="majorBidi" w:hAnsiTheme="majorBidi" w:cstheme="majorBidi"/>
        </w:rPr>
        <w:t>important</w:t>
      </w:r>
      <w:r w:rsidRPr="000628A0">
        <w:rPr>
          <w:rFonts w:asciiTheme="majorBidi" w:hAnsiTheme="majorBidi" w:cstheme="majorBidi"/>
        </w:rPr>
        <w:t xml:space="preserve"> income source, largely reflecting the presence of </w:t>
      </w:r>
      <w:r w:rsidR="0068710D" w:rsidRPr="000628A0">
        <w:rPr>
          <w:rFonts w:asciiTheme="majorBidi" w:hAnsiTheme="majorBidi" w:cstheme="majorBidi"/>
        </w:rPr>
        <w:t xml:space="preserve">charitable </w:t>
      </w:r>
      <w:r w:rsidRPr="000628A0">
        <w:rPr>
          <w:rFonts w:asciiTheme="majorBidi" w:hAnsiTheme="majorBidi" w:cstheme="majorBidi"/>
        </w:rPr>
        <w:t>independent schoo</w:t>
      </w:r>
      <w:r w:rsidR="0068710D" w:rsidRPr="000628A0">
        <w:rPr>
          <w:rFonts w:asciiTheme="majorBidi" w:hAnsiTheme="majorBidi" w:cstheme="majorBidi"/>
        </w:rPr>
        <w:t xml:space="preserve">ls </w:t>
      </w:r>
      <w:r w:rsidR="005079F3" w:rsidRPr="000628A0">
        <w:rPr>
          <w:rFonts w:asciiTheme="majorBidi" w:hAnsiTheme="majorBidi" w:cstheme="majorBidi"/>
        </w:rPr>
        <w:t>that provide</w:t>
      </w:r>
      <w:r w:rsidR="0068710D" w:rsidRPr="000628A0">
        <w:rPr>
          <w:rFonts w:asciiTheme="majorBidi" w:hAnsiTheme="majorBidi" w:cstheme="majorBidi"/>
        </w:rPr>
        <w:t xml:space="preserve"> private educational benefits.  </w:t>
      </w:r>
      <w:r w:rsidR="0075027F" w:rsidRPr="000628A0">
        <w:rPr>
          <w:rFonts w:asciiTheme="majorBidi" w:hAnsiTheme="majorBidi" w:cstheme="majorBidi"/>
        </w:rPr>
        <w:t xml:space="preserve">In contrast, </w:t>
      </w:r>
      <w:r w:rsidR="00FD47E6" w:rsidRPr="000628A0">
        <w:rPr>
          <w:rFonts w:asciiTheme="majorBidi" w:hAnsiTheme="majorBidi" w:cstheme="majorBidi"/>
        </w:rPr>
        <w:t xml:space="preserve">for </w:t>
      </w:r>
      <w:r w:rsidR="0068710D" w:rsidRPr="000628A0">
        <w:rPr>
          <w:rFonts w:asciiTheme="majorBidi" w:hAnsiTheme="majorBidi" w:cstheme="majorBidi"/>
        </w:rPr>
        <w:t>49%</w:t>
      </w:r>
      <w:r w:rsidR="0079148F" w:rsidRPr="000628A0">
        <w:rPr>
          <w:rFonts w:asciiTheme="majorBidi" w:hAnsiTheme="majorBidi" w:cstheme="majorBidi"/>
        </w:rPr>
        <w:t xml:space="preserve"> </w:t>
      </w:r>
      <w:r w:rsidR="004B40F5">
        <w:rPr>
          <w:rFonts w:asciiTheme="majorBidi" w:hAnsiTheme="majorBidi" w:cstheme="majorBidi"/>
        </w:rPr>
        <w:t xml:space="preserve">of the </w:t>
      </w:r>
      <w:r w:rsidR="0075027F" w:rsidRPr="000628A0">
        <w:rPr>
          <w:rFonts w:asciiTheme="majorBidi" w:hAnsiTheme="majorBidi" w:cstheme="majorBidi"/>
        </w:rPr>
        <w:t>charities providing social servic</w:t>
      </w:r>
      <w:r w:rsidR="0068710D" w:rsidRPr="000628A0">
        <w:rPr>
          <w:rFonts w:asciiTheme="majorBidi" w:hAnsiTheme="majorBidi" w:cstheme="majorBidi"/>
        </w:rPr>
        <w:t>es</w:t>
      </w:r>
      <w:r w:rsidR="00FD47E6" w:rsidRPr="000628A0">
        <w:rPr>
          <w:rFonts w:asciiTheme="majorBidi" w:hAnsiTheme="majorBidi" w:cstheme="majorBidi"/>
        </w:rPr>
        <w:t>,</w:t>
      </w:r>
      <w:r w:rsidR="0075027F" w:rsidRPr="000628A0">
        <w:rPr>
          <w:rFonts w:asciiTheme="majorBidi" w:hAnsiTheme="majorBidi" w:cstheme="majorBidi"/>
        </w:rPr>
        <w:t xml:space="preserve"> </w:t>
      </w:r>
      <w:r w:rsidR="00EF4B3B" w:rsidRPr="000628A0">
        <w:rPr>
          <w:rFonts w:asciiTheme="majorBidi" w:hAnsiTheme="majorBidi" w:cstheme="majorBidi"/>
        </w:rPr>
        <w:t xml:space="preserve">income from </w:t>
      </w:r>
      <w:r w:rsidR="0075027F" w:rsidRPr="000628A0">
        <w:rPr>
          <w:rFonts w:asciiTheme="majorBidi" w:hAnsiTheme="majorBidi" w:cstheme="majorBidi"/>
        </w:rPr>
        <w:t xml:space="preserve">government </w:t>
      </w:r>
      <w:r w:rsidR="00DB62F3" w:rsidRPr="000628A0">
        <w:rPr>
          <w:rFonts w:asciiTheme="majorBidi" w:hAnsiTheme="majorBidi" w:cstheme="majorBidi"/>
        </w:rPr>
        <w:t>i</w:t>
      </w:r>
      <w:r w:rsidR="0068710D" w:rsidRPr="000628A0">
        <w:rPr>
          <w:rFonts w:asciiTheme="majorBidi" w:hAnsiTheme="majorBidi" w:cstheme="majorBidi"/>
        </w:rPr>
        <w:t xml:space="preserve">s their only </w:t>
      </w:r>
      <w:r w:rsidR="004815C7">
        <w:rPr>
          <w:rFonts w:asciiTheme="majorBidi" w:hAnsiTheme="majorBidi" w:cstheme="majorBidi"/>
        </w:rPr>
        <w:t>important</w:t>
      </w:r>
      <w:r w:rsidR="0068710D" w:rsidRPr="000628A0">
        <w:rPr>
          <w:rFonts w:asciiTheme="majorBidi" w:hAnsiTheme="majorBidi" w:cstheme="majorBidi"/>
        </w:rPr>
        <w:t xml:space="preserve"> income source</w:t>
      </w:r>
      <w:r w:rsidR="004B40F5">
        <w:rPr>
          <w:rFonts w:asciiTheme="majorBidi" w:hAnsiTheme="majorBidi" w:cstheme="majorBidi"/>
        </w:rPr>
        <w:t xml:space="preserve">. This is </w:t>
      </w:r>
      <w:r w:rsidR="00DB62F3" w:rsidRPr="000628A0">
        <w:rPr>
          <w:rFonts w:asciiTheme="majorBidi" w:hAnsiTheme="majorBidi" w:cstheme="majorBidi"/>
        </w:rPr>
        <w:t xml:space="preserve">consistent with the importance of </w:t>
      </w:r>
      <w:r w:rsidR="005079F3" w:rsidRPr="000628A0">
        <w:rPr>
          <w:rFonts w:asciiTheme="majorBidi" w:hAnsiTheme="majorBidi" w:cstheme="majorBidi"/>
        </w:rPr>
        <w:t xml:space="preserve">the financial </w:t>
      </w:r>
      <w:r w:rsidR="00DB62F3" w:rsidRPr="000628A0">
        <w:rPr>
          <w:rFonts w:asciiTheme="majorBidi" w:hAnsiTheme="majorBidi" w:cstheme="majorBidi"/>
        </w:rPr>
        <w:lastRenderedPageBreak/>
        <w:t>partnership between the voluntary sector and government in the provision of</w:t>
      </w:r>
      <w:r w:rsidR="005079F3" w:rsidRPr="000628A0">
        <w:rPr>
          <w:rFonts w:asciiTheme="majorBidi" w:hAnsiTheme="majorBidi" w:cstheme="majorBidi"/>
        </w:rPr>
        <w:t xml:space="preserve"> collective and quasi-collective goods through the delivery of </w:t>
      </w:r>
      <w:r w:rsidR="00DB62F3" w:rsidRPr="000628A0">
        <w:rPr>
          <w:rFonts w:asciiTheme="majorBidi" w:hAnsiTheme="majorBidi" w:cstheme="majorBidi"/>
        </w:rPr>
        <w:t>social welfare</w:t>
      </w:r>
      <w:r w:rsidR="005079F3" w:rsidRPr="000628A0">
        <w:rPr>
          <w:rFonts w:asciiTheme="majorBidi" w:hAnsiTheme="majorBidi" w:cstheme="majorBidi"/>
        </w:rPr>
        <w:t xml:space="preserve"> (Salamon, 1987)</w:t>
      </w:r>
      <w:r w:rsidR="00CE05ED" w:rsidRPr="000628A0">
        <w:rPr>
          <w:rFonts w:asciiTheme="majorBidi" w:hAnsiTheme="majorBidi" w:cstheme="majorBidi"/>
        </w:rPr>
        <w:t>.  Of ‘i</w:t>
      </w:r>
      <w:r w:rsidR="005079F3" w:rsidRPr="000628A0">
        <w:rPr>
          <w:rFonts w:asciiTheme="majorBidi" w:hAnsiTheme="majorBidi" w:cstheme="majorBidi"/>
        </w:rPr>
        <w:t xml:space="preserve">nternational’ charities, which includes those promoting welfare and development abroad, </w:t>
      </w:r>
      <w:r w:rsidR="005079F3" w:rsidRPr="000628A0">
        <w:rPr>
          <w:rFonts w:asciiTheme="majorBidi" w:eastAsia="PMingLiU" w:hAnsiTheme="majorBidi" w:cstheme="majorBidi"/>
          <w:lang w:eastAsia="zh-TW"/>
        </w:rPr>
        <w:t>over</w:t>
      </w:r>
      <w:r w:rsidR="005079F3" w:rsidRPr="000628A0">
        <w:rPr>
          <w:rFonts w:asciiTheme="majorBidi" w:hAnsiTheme="majorBidi" w:cstheme="majorBidi"/>
        </w:rPr>
        <w:t xml:space="preserve"> a third have donations/fundraising</w:t>
      </w:r>
      <w:r w:rsidR="00E9789F" w:rsidRPr="000628A0">
        <w:rPr>
          <w:rFonts w:asciiTheme="majorBidi" w:hAnsiTheme="majorBidi" w:cstheme="majorBidi"/>
        </w:rPr>
        <w:t xml:space="preserve"> from individuals</w:t>
      </w:r>
      <w:r w:rsidR="005079F3" w:rsidRPr="000628A0">
        <w:rPr>
          <w:rFonts w:asciiTheme="majorBidi" w:hAnsiTheme="majorBidi" w:cstheme="majorBidi"/>
        </w:rPr>
        <w:t xml:space="preserve"> as their only </w:t>
      </w:r>
      <w:r w:rsidR="004815C7">
        <w:rPr>
          <w:rFonts w:asciiTheme="majorBidi" w:hAnsiTheme="majorBidi" w:cstheme="majorBidi"/>
        </w:rPr>
        <w:t xml:space="preserve">important </w:t>
      </w:r>
      <w:r w:rsidR="005079F3" w:rsidRPr="000628A0">
        <w:rPr>
          <w:rFonts w:asciiTheme="majorBidi" w:hAnsiTheme="majorBidi" w:cstheme="majorBidi"/>
        </w:rPr>
        <w:t xml:space="preserve"> income source</w:t>
      </w:r>
      <w:r w:rsidR="004B40F5">
        <w:rPr>
          <w:rFonts w:asciiTheme="majorBidi" w:hAnsiTheme="majorBidi" w:cstheme="majorBidi"/>
        </w:rPr>
        <w:t xml:space="preserve">, while </w:t>
      </w:r>
      <w:r w:rsidR="0029407A" w:rsidRPr="000628A0">
        <w:rPr>
          <w:rFonts w:asciiTheme="majorBidi" w:hAnsiTheme="majorBidi" w:cstheme="majorBidi"/>
        </w:rPr>
        <w:t xml:space="preserve">15% </w:t>
      </w:r>
      <w:r w:rsidR="003F59AC" w:rsidRPr="000628A0">
        <w:rPr>
          <w:rFonts w:asciiTheme="majorBidi" w:hAnsiTheme="majorBidi" w:cstheme="majorBidi"/>
        </w:rPr>
        <w:t xml:space="preserve"> </w:t>
      </w:r>
      <w:r w:rsidR="0029407A" w:rsidRPr="000628A0">
        <w:rPr>
          <w:rFonts w:asciiTheme="majorBidi" w:hAnsiTheme="majorBidi" w:cstheme="majorBidi"/>
        </w:rPr>
        <w:t xml:space="preserve">have government as their only </w:t>
      </w:r>
      <w:r w:rsidR="004815C7">
        <w:rPr>
          <w:rFonts w:asciiTheme="majorBidi" w:hAnsiTheme="majorBidi" w:cstheme="majorBidi"/>
        </w:rPr>
        <w:t>important</w:t>
      </w:r>
      <w:r w:rsidR="0029407A" w:rsidRPr="000628A0">
        <w:rPr>
          <w:rFonts w:asciiTheme="majorBidi" w:hAnsiTheme="majorBidi" w:cstheme="majorBidi"/>
        </w:rPr>
        <w:t xml:space="preserve"> income source.  This is </w:t>
      </w:r>
      <w:r w:rsidR="00D57398" w:rsidRPr="000628A0">
        <w:rPr>
          <w:rFonts w:asciiTheme="majorBidi" w:hAnsiTheme="majorBidi" w:cstheme="majorBidi"/>
        </w:rPr>
        <w:t xml:space="preserve">consistent with </w:t>
      </w:r>
      <w:r w:rsidR="0058135C" w:rsidRPr="000628A0">
        <w:rPr>
          <w:rFonts w:asciiTheme="majorBidi" w:hAnsiTheme="majorBidi" w:cstheme="majorBidi"/>
        </w:rPr>
        <w:t>the</w:t>
      </w:r>
      <w:r w:rsidR="00D57398" w:rsidRPr="000628A0">
        <w:rPr>
          <w:rFonts w:asciiTheme="majorBidi" w:hAnsiTheme="majorBidi" w:cstheme="majorBidi"/>
        </w:rPr>
        <w:t xml:space="preserve"> provision  of </w:t>
      </w:r>
      <w:r w:rsidR="00D57398" w:rsidRPr="000628A0">
        <w:rPr>
          <w:rFonts w:asciiTheme="majorBidi" w:eastAsia="PMingLiU" w:hAnsiTheme="majorBidi" w:cstheme="majorBidi"/>
          <w:lang w:eastAsia="zh-TW"/>
        </w:rPr>
        <w:t xml:space="preserve">‘quasi-collective’ goods to disadvantaged individuals, valued by all who care about these disadvantaged groups (Steinberg, 2006; Young </w:t>
      </w:r>
      <w:r w:rsidR="00D57398" w:rsidRPr="000628A0">
        <w:rPr>
          <w:rFonts w:asciiTheme="majorBidi" w:eastAsia="PMingLiU" w:hAnsiTheme="majorBidi" w:cstheme="majorBidi"/>
          <w:i/>
          <w:iCs/>
          <w:lang w:eastAsia="zh-TW"/>
        </w:rPr>
        <w:t>et al.</w:t>
      </w:r>
      <w:r w:rsidR="00D57398" w:rsidRPr="000628A0">
        <w:rPr>
          <w:rFonts w:asciiTheme="majorBidi" w:eastAsia="PMingLiU" w:hAnsiTheme="majorBidi" w:cstheme="majorBidi"/>
          <w:iCs/>
          <w:lang w:eastAsia="zh-TW"/>
        </w:rPr>
        <w:t>,</w:t>
      </w:r>
      <w:r w:rsidR="00D57398" w:rsidRPr="000628A0">
        <w:rPr>
          <w:rFonts w:asciiTheme="majorBidi" w:eastAsia="PMingLiU" w:hAnsiTheme="majorBidi" w:cstheme="majorBidi"/>
          <w:lang w:eastAsia="zh-TW"/>
        </w:rPr>
        <w:t xml:space="preserve"> 2010)</w:t>
      </w:r>
      <w:r w:rsidR="0029407A" w:rsidRPr="000628A0">
        <w:rPr>
          <w:rFonts w:asciiTheme="majorBidi" w:eastAsia="PMingLiU" w:hAnsiTheme="majorBidi" w:cstheme="majorBidi"/>
          <w:lang w:eastAsia="zh-TW"/>
        </w:rPr>
        <w:t>, and with the importance of government funding in the provision of overseas welfare</w:t>
      </w:r>
      <w:r w:rsidR="00D57398" w:rsidRPr="000628A0">
        <w:rPr>
          <w:rFonts w:asciiTheme="majorBidi" w:eastAsia="PMingLiU" w:hAnsiTheme="majorBidi" w:cstheme="majorBidi"/>
          <w:lang w:eastAsia="zh-TW"/>
        </w:rPr>
        <w:t xml:space="preserve">.  </w:t>
      </w:r>
      <w:r w:rsidR="00D57398" w:rsidRPr="000628A0">
        <w:rPr>
          <w:rFonts w:asciiTheme="majorBidi" w:hAnsiTheme="majorBidi" w:cstheme="majorBidi"/>
        </w:rPr>
        <w:t xml:space="preserve">While a high proportion of international charities have two </w:t>
      </w:r>
      <w:r w:rsidR="004815C7">
        <w:rPr>
          <w:rFonts w:asciiTheme="majorBidi" w:hAnsiTheme="majorBidi" w:cstheme="majorBidi"/>
        </w:rPr>
        <w:t>important</w:t>
      </w:r>
      <w:r w:rsidR="00D57398" w:rsidRPr="000628A0">
        <w:rPr>
          <w:rFonts w:asciiTheme="majorBidi" w:hAnsiTheme="majorBidi" w:cstheme="majorBidi"/>
        </w:rPr>
        <w:t xml:space="preserve"> sources of income, this </w:t>
      </w:r>
      <w:r w:rsidR="0029407A" w:rsidRPr="000628A0">
        <w:rPr>
          <w:rFonts w:asciiTheme="majorBidi" w:hAnsiTheme="majorBidi" w:cstheme="majorBidi"/>
        </w:rPr>
        <w:t>refl</w:t>
      </w:r>
      <w:r w:rsidR="003F59AC" w:rsidRPr="000628A0">
        <w:rPr>
          <w:rFonts w:asciiTheme="majorBidi" w:hAnsiTheme="majorBidi" w:cstheme="majorBidi"/>
        </w:rPr>
        <w:t>ects different combinations of individuals’ donations, government funding and funding from the voluntary sector/lotter</w:t>
      </w:r>
      <w:r w:rsidR="0026783A" w:rsidRPr="000628A0">
        <w:rPr>
          <w:rFonts w:asciiTheme="majorBidi" w:hAnsiTheme="majorBidi" w:cstheme="majorBidi"/>
        </w:rPr>
        <w:t>y (including charitable trusts): t</w:t>
      </w:r>
      <w:r w:rsidR="003F59AC" w:rsidRPr="000628A0">
        <w:rPr>
          <w:rFonts w:asciiTheme="majorBidi" w:hAnsiTheme="majorBidi" w:cstheme="majorBidi"/>
        </w:rPr>
        <w:t>herefore</w:t>
      </w:r>
      <w:r w:rsidR="0026783A" w:rsidRPr="000628A0">
        <w:rPr>
          <w:rFonts w:asciiTheme="majorBidi" w:hAnsiTheme="majorBidi" w:cstheme="majorBidi"/>
        </w:rPr>
        <w:t>,</w:t>
      </w:r>
      <w:r w:rsidR="003F59AC" w:rsidRPr="000628A0">
        <w:rPr>
          <w:rFonts w:asciiTheme="majorBidi" w:hAnsiTheme="majorBidi" w:cstheme="majorBidi"/>
        </w:rPr>
        <w:t xml:space="preserve"> this </w:t>
      </w:r>
      <w:r w:rsidR="00D57398" w:rsidRPr="000628A0">
        <w:rPr>
          <w:rFonts w:asciiTheme="majorBidi" w:hAnsiTheme="majorBidi" w:cstheme="majorBidi"/>
        </w:rPr>
        <w:t xml:space="preserve">does not point to </w:t>
      </w:r>
      <w:r w:rsidR="003F59AC" w:rsidRPr="000628A0">
        <w:rPr>
          <w:rFonts w:asciiTheme="majorBidi" w:hAnsiTheme="majorBidi" w:cstheme="majorBidi"/>
        </w:rPr>
        <w:t>the</w:t>
      </w:r>
      <w:r w:rsidR="00D57398" w:rsidRPr="000628A0">
        <w:rPr>
          <w:rFonts w:asciiTheme="majorBidi" w:hAnsiTheme="majorBidi" w:cstheme="majorBidi"/>
        </w:rPr>
        <w:t xml:space="preserve"> </w:t>
      </w:r>
      <w:r w:rsidR="0029407A" w:rsidRPr="000628A0">
        <w:rPr>
          <w:rFonts w:asciiTheme="majorBidi" w:hAnsiTheme="majorBidi" w:cstheme="majorBidi"/>
        </w:rPr>
        <w:t xml:space="preserve">provision </w:t>
      </w:r>
      <w:r w:rsidR="00D57398" w:rsidRPr="000628A0">
        <w:rPr>
          <w:rFonts w:asciiTheme="majorBidi" w:hAnsiTheme="majorBidi" w:cstheme="majorBidi"/>
        </w:rPr>
        <w:t>of a mixture</w:t>
      </w:r>
      <w:r w:rsidR="003F59AC" w:rsidRPr="000628A0">
        <w:rPr>
          <w:rFonts w:asciiTheme="majorBidi" w:hAnsiTheme="majorBidi" w:cstheme="majorBidi"/>
        </w:rPr>
        <w:t xml:space="preserve"> </w:t>
      </w:r>
      <w:r w:rsidR="00D57398" w:rsidRPr="000628A0">
        <w:rPr>
          <w:rFonts w:asciiTheme="majorBidi" w:hAnsiTheme="majorBidi" w:cstheme="majorBidi"/>
        </w:rPr>
        <w:t xml:space="preserve">of private and </w:t>
      </w:r>
      <w:r w:rsidR="001944FC">
        <w:rPr>
          <w:rFonts w:asciiTheme="majorBidi" w:hAnsiTheme="majorBidi" w:cstheme="majorBidi"/>
        </w:rPr>
        <w:t>collective</w:t>
      </w:r>
      <w:r w:rsidR="00D57398" w:rsidRPr="000628A0">
        <w:rPr>
          <w:rFonts w:asciiTheme="majorBidi" w:hAnsiTheme="majorBidi" w:cstheme="majorBidi"/>
        </w:rPr>
        <w:t xml:space="preserve"> goods</w:t>
      </w:r>
      <w:r w:rsidR="0058135C" w:rsidRPr="000628A0">
        <w:rPr>
          <w:rFonts w:asciiTheme="majorBidi" w:hAnsiTheme="majorBidi" w:cstheme="majorBidi"/>
        </w:rPr>
        <w:t xml:space="preserve"> but</w:t>
      </w:r>
      <w:r w:rsidR="0029407A" w:rsidRPr="000628A0">
        <w:rPr>
          <w:rFonts w:asciiTheme="majorBidi" w:hAnsiTheme="majorBidi" w:cstheme="majorBidi"/>
        </w:rPr>
        <w:t xml:space="preserve"> rather to </w:t>
      </w:r>
      <w:r w:rsidR="00221FEC" w:rsidRPr="000628A0">
        <w:rPr>
          <w:rFonts w:asciiTheme="majorBidi" w:hAnsiTheme="majorBidi" w:cstheme="majorBidi"/>
        </w:rPr>
        <w:t>the partnership</w:t>
      </w:r>
      <w:r w:rsidR="0029407A" w:rsidRPr="000628A0">
        <w:rPr>
          <w:rFonts w:asciiTheme="majorBidi" w:hAnsiTheme="majorBidi" w:cstheme="majorBidi"/>
        </w:rPr>
        <w:t xml:space="preserve"> in the provision of collective goods between</w:t>
      </w:r>
      <w:r w:rsidR="0058135C" w:rsidRPr="000628A0">
        <w:rPr>
          <w:rFonts w:asciiTheme="majorBidi" w:hAnsiTheme="majorBidi" w:cstheme="majorBidi"/>
        </w:rPr>
        <w:t xml:space="preserve"> </w:t>
      </w:r>
      <w:r w:rsidR="003F59AC" w:rsidRPr="000628A0">
        <w:rPr>
          <w:rFonts w:asciiTheme="majorBidi" w:hAnsiTheme="majorBidi" w:cstheme="majorBidi"/>
        </w:rPr>
        <w:t>individual donors, trusts and government.</w:t>
      </w:r>
    </w:p>
    <w:p w:rsidR="00D57398" w:rsidRPr="000628A0" w:rsidRDefault="00D57398" w:rsidP="00D57398">
      <w:pPr>
        <w:autoSpaceDE w:val="0"/>
        <w:autoSpaceDN w:val="0"/>
        <w:adjustRightInd w:val="0"/>
        <w:spacing w:line="480" w:lineRule="auto"/>
        <w:rPr>
          <w:rFonts w:asciiTheme="majorBidi" w:hAnsiTheme="majorBidi" w:cstheme="majorBidi"/>
        </w:rPr>
      </w:pPr>
    </w:p>
    <w:p w:rsidR="003F59AC" w:rsidRPr="000628A0" w:rsidRDefault="003F59AC" w:rsidP="004815C7">
      <w:pPr>
        <w:autoSpaceDE w:val="0"/>
        <w:autoSpaceDN w:val="0"/>
        <w:adjustRightInd w:val="0"/>
        <w:spacing w:line="480" w:lineRule="auto"/>
        <w:rPr>
          <w:rFonts w:asciiTheme="majorBidi" w:hAnsiTheme="majorBidi" w:cstheme="majorBidi"/>
        </w:rPr>
      </w:pPr>
      <w:r w:rsidRPr="000628A0">
        <w:rPr>
          <w:rFonts w:asciiTheme="majorBidi" w:hAnsiTheme="majorBidi" w:cstheme="majorBidi"/>
        </w:rPr>
        <w:t xml:space="preserve">Of the charitable fields considered, charities involved in culture and arts show the highest proportion </w:t>
      </w:r>
      <w:r w:rsidR="004815C7" w:rsidRPr="000628A0">
        <w:rPr>
          <w:rFonts w:asciiTheme="majorBidi" w:hAnsiTheme="majorBidi" w:cstheme="majorBidi"/>
        </w:rPr>
        <w:t>(3</w:t>
      </w:r>
      <w:r w:rsidR="004815C7" w:rsidRPr="000628A0">
        <w:rPr>
          <w:rFonts w:asciiTheme="majorBidi" w:eastAsia="PMingLiU" w:hAnsiTheme="majorBidi" w:cstheme="majorBidi"/>
          <w:lang w:eastAsia="zh-TW"/>
        </w:rPr>
        <w:t>7</w:t>
      </w:r>
      <w:r w:rsidR="004815C7" w:rsidRPr="000628A0">
        <w:rPr>
          <w:rFonts w:asciiTheme="majorBidi" w:hAnsiTheme="majorBidi" w:cstheme="majorBidi"/>
        </w:rPr>
        <w:t>%)</w:t>
      </w:r>
      <w:r w:rsidR="004815C7">
        <w:rPr>
          <w:rFonts w:asciiTheme="majorBidi" w:hAnsiTheme="majorBidi" w:cstheme="majorBidi"/>
        </w:rPr>
        <w:t xml:space="preserve"> </w:t>
      </w:r>
      <w:r w:rsidRPr="000628A0">
        <w:rPr>
          <w:rFonts w:asciiTheme="majorBidi" w:hAnsiTheme="majorBidi" w:cstheme="majorBidi"/>
        </w:rPr>
        <w:t xml:space="preserve">that have more than one </w:t>
      </w:r>
      <w:r w:rsidR="004815C7">
        <w:rPr>
          <w:rFonts w:asciiTheme="majorBidi" w:hAnsiTheme="majorBidi" w:cstheme="majorBidi"/>
        </w:rPr>
        <w:t xml:space="preserve">important </w:t>
      </w:r>
      <w:r w:rsidRPr="000628A0">
        <w:rPr>
          <w:rFonts w:asciiTheme="majorBidi" w:hAnsiTheme="majorBidi" w:cstheme="majorBidi"/>
        </w:rPr>
        <w:t xml:space="preserve">source of income. This reflects a variety of subpopulations of organisations with different combinations of </w:t>
      </w:r>
      <w:r w:rsidR="004815C7">
        <w:rPr>
          <w:rFonts w:asciiTheme="majorBidi" w:hAnsiTheme="majorBidi" w:cstheme="majorBidi"/>
        </w:rPr>
        <w:t>important</w:t>
      </w:r>
      <w:r w:rsidRPr="000628A0">
        <w:rPr>
          <w:rFonts w:asciiTheme="majorBidi" w:hAnsiTheme="majorBidi" w:cstheme="majorBidi"/>
        </w:rPr>
        <w:t xml:space="preserve"> income sources, including both individual fees and government (9%), both individual fees and individual donations/fundraising (5%), and both government and the voluntary sector (5%). These results are consistent with theory explaining the role that voluntary organisations play in providing goods </w:t>
      </w:r>
      <w:r w:rsidRPr="000628A0">
        <w:rPr>
          <w:rFonts w:asciiTheme="majorBidi" w:eastAsia="PMingLiU" w:hAnsiTheme="majorBidi" w:cstheme="majorBidi"/>
          <w:lang w:eastAsia="zh-TW"/>
        </w:rPr>
        <w:t>which are excludable but still nonrival</w:t>
      </w:r>
      <w:r w:rsidRPr="000628A0">
        <w:rPr>
          <w:rFonts w:asciiTheme="majorBidi" w:hAnsiTheme="majorBidi" w:cstheme="majorBidi"/>
        </w:rPr>
        <w:t>. An example is the performing arts,</w:t>
      </w:r>
      <w:r w:rsidRPr="000628A0">
        <w:rPr>
          <w:rFonts w:asciiTheme="majorBidi" w:eastAsia="PMingLiU" w:hAnsiTheme="majorBidi" w:cstheme="majorBidi"/>
          <w:lang w:eastAsia="zh-TW"/>
        </w:rPr>
        <w:t xml:space="preserve"> where ticket receipts alone are often insufficient to cover the significant fixed costs involved such that other income is required (Hansmann, 1981).</w:t>
      </w:r>
    </w:p>
    <w:p w:rsidR="0075027F" w:rsidRPr="000628A0" w:rsidRDefault="0075027F" w:rsidP="00FC6B07">
      <w:pPr>
        <w:spacing w:line="480" w:lineRule="auto"/>
        <w:rPr>
          <w:rFonts w:asciiTheme="majorBidi" w:eastAsia="PMingLiU" w:hAnsiTheme="majorBidi" w:cstheme="majorBidi"/>
          <w:b/>
          <w:bCs/>
          <w:lang w:eastAsia="zh-TW"/>
        </w:rPr>
      </w:pPr>
      <w:r w:rsidRPr="000628A0">
        <w:rPr>
          <w:rFonts w:asciiTheme="majorBidi" w:eastAsia="PMingLiU" w:hAnsiTheme="majorBidi" w:cstheme="majorBidi"/>
          <w:b/>
          <w:bCs/>
          <w:lang w:eastAsia="zh-TW"/>
        </w:rPr>
        <w:lastRenderedPageBreak/>
        <w:t xml:space="preserve">Discussion </w:t>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There is currently considerable substantive interest in the role and contribution of voluntary organisations</w:t>
      </w:r>
      <w:r w:rsidR="000C4691" w:rsidRPr="000628A0">
        <w:rPr>
          <w:rFonts w:asciiTheme="majorBidi" w:eastAsia="PMingLiU" w:hAnsiTheme="majorBidi" w:cstheme="majorBidi"/>
          <w:lang w:eastAsia="zh-TW"/>
        </w:rPr>
        <w:t xml:space="preserve">, but </w:t>
      </w:r>
      <w:r w:rsidRPr="000628A0">
        <w:rPr>
          <w:rFonts w:asciiTheme="majorBidi" w:eastAsia="PMingLiU" w:hAnsiTheme="majorBidi" w:cstheme="majorBidi"/>
          <w:lang w:eastAsia="zh-TW"/>
        </w:rPr>
        <w:t>little information has been available on questions such as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the extent to which different types of organisations rely on particular sorts of funding, on the extent to which there are different combinations of funding mix between organisations, or on whether there are charitable organisations which </w:t>
      </w:r>
      <w:r w:rsidR="000C4691" w:rsidRPr="000628A0">
        <w:rPr>
          <w:rFonts w:asciiTheme="majorBidi" w:eastAsia="PMingLiU" w:hAnsiTheme="majorBidi" w:cstheme="majorBidi"/>
          <w:lang w:eastAsia="zh-TW"/>
        </w:rPr>
        <w:t xml:space="preserve">rely </w:t>
      </w:r>
      <w:r w:rsidRPr="000628A0">
        <w:rPr>
          <w:rFonts w:asciiTheme="majorBidi" w:eastAsia="PMingLiU" w:hAnsiTheme="majorBidi" w:cstheme="majorBidi"/>
          <w:lang w:eastAsia="zh-TW"/>
        </w:rPr>
        <w:t xml:space="preserve">almost exclusively on government funding. These issues can only be tackled by examining the </w:t>
      </w:r>
      <w:r w:rsidRPr="000628A0">
        <w:rPr>
          <w:rFonts w:asciiTheme="majorBidi" w:eastAsia="PMingLiU" w:hAnsiTheme="majorBidi" w:cstheme="majorBidi"/>
          <w:i/>
          <w:iCs/>
          <w:lang w:eastAsia="zh-TW"/>
        </w:rPr>
        <w:t>distribution</w:t>
      </w:r>
      <w:r w:rsidRPr="000628A0">
        <w:rPr>
          <w:rFonts w:asciiTheme="majorBidi" w:eastAsia="PMingLiU" w:hAnsiTheme="majorBidi" w:cstheme="majorBidi"/>
          <w:lang w:eastAsia="zh-TW"/>
        </w:rPr>
        <w:t xml:space="preserve"> of organisations according to their income composition, in keeping with the statistical concern for understanding the variation underlying aggregate statistics. Using unique and recently collected data, this paper is able to answer these questions for the first time. </w:t>
      </w:r>
    </w:p>
    <w:p w:rsidR="0075027F" w:rsidRPr="000628A0" w:rsidRDefault="0075027F" w:rsidP="00FC6B07">
      <w:pPr>
        <w:spacing w:line="480" w:lineRule="auto"/>
        <w:rPr>
          <w:rFonts w:asciiTheme="majorBidi" w:eastAsia="PMingLiU" w:hAnsiTheme="majorBidi" w:cstheme="majorBidi"/>
          <w:lang w:eastAsia="zh-TW"/>
        </w:rPr>
      </w:pPr>
    </w:p>
    <w:p w:rsidR="006F158D" w:rsidRPr="000628A0" w:rsidRDefault="0075027F" w:rsidP="00D446A8">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Our results illustrate influential theories which explain the reasons for the existence of the voluntary organisations with reference to the roles that they play alongside the market and the state.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For 18% of the charities considered, donations/fundraising was their only </w:t>
      </w:r>
      <w:r w:rsidR="00D446A8">
        <w:rPr>
          <w:rFonts w:asciiTheme="majorBidi" w:eastAsia="PMingLiU" w:hAnsiTheme="majorBidi" w:cstheme="majorBidi"/>
          <w:lang w:eastAsia="zh-TW"/>
        </w:rPr>
        <w:t xml:space="preserve">important </w:t>
      </w:r>
      <w:r w:rsidRPr="000628A0">
        <w:rPr>
          <w:rFonts w:asciiTheme="majorBidi" w:eastAsia="PMingLiU" w:hAnsiTheme="majorBidi" w:cstheme="majorBidi"/>
          <w:lang w:eastAsia="zh-TW"/>
        </w:rPr>
        <w:t>source of income</w:t>
      </w:r>
      <w:r w:rsidR="0068305B" w:rsidRPr="000628A0">
        <w:rPr>
          <w:rFonts w:asciiTheme="majorBidi" w:eastAsia="PMingLiU" w:hAnsiTheme="majorBidi" w:cstheme="majorBidi"/>
          <w:lang w:eastAsia="zh-TW"/>
        </w:rPr>
        <w:t xml:space="preserve"> </w:t>
      </w:r>
      <w:r w:rsidR="00D446A8">
        <w:rPr>
          <w:rFonts w:asciiTheme="majorBidi" w:eastAsia="PMingLiU" w:hAnsiTheme="majorBidi" w:cstheme="majorBidi"/>
          <w:lang w:eastAsia="zh-TW"/>
        </w:rPr>
        <w:t>(</w:t>
      </w:r>
      <w:r w:rsidR="0068305B" w:rsidRPr="000628A0">
        <w:rPr>
          <w:rFonts w:asciiTheme="majorBidi" w:eastAsia="PMingLiU" w:hAnsiTheme="majorBidi" w:cstheme="majorBidi"/>
          <w:lang w:eastAsia="zh-TW"/>
        </w:rPr>
        <w:t xml:space="preserve">which </w:t>
      </w:r>
      <w:r w:rsidR="00D446A8">
        <w:rPr>
          <w:rFonts w:asciiTheme="majorBidi" w:eastAsia="PMingLiU" w:hAnsiTheme="majorBidi" w:cstheme="majorBidi"/>
          <w:lang w:eastAsia="zh-TW"/>
        </w:rPr>
        <w:t>an ‘important’ source represents at least 25% of total income)</w:t>
      </w:r>
      <w:r w:rsidRPr="000628A0">
        <w:rPr>
          <w:rFonts w:asciiTheme="majorBidi" w:eastAsia="PMingLiU" w:hAnsiTheme="majorBidi" w:cstheme="majorBidi"/>
          <w:lang w:eastAsia="zh-TW"/>
        </w:rPr>
        <w:t xml:space="preserve">, a result which is consistent with the provision of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collective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or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quasi-collective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goods undersupplied by the market and the state (Weisbrod, 1975; 1988).</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This group is </w:t>
      </w:r>
      <w:r w:rsidR="00736356" w:rsidRPr="000628A0">
        <w:rPr>
          <w:rFonts w:asciiTheme="majorBidi" w:eastAsia="PMingLiU" w:hAnsiTheme="majorBidi" w:cstheme="majorBidi"/>
          <w:lang w:eastAsia="zh-TW"/>
        </w:rPr>
        <w:t xml:space="preserve">relatively </w:t>
      </w:r>
      <w:r w:rsidRPr="000628A0">
        <w:rPr>
          <w:rFonts w:asciiTheme="majorBidi" w:eastAsia="PMingLiU" w:hAnsiTheme="majorBidi" w:cstheme="majorBidi"/>
          <w:lang w:eastAsia="zh-TW"/>
        </w:rPr>
        <w:t xml:space="preserve">common, for example, among </w:t>
      </w:r>
      <w:r w:rsidR="0091653E" w:rsidRPr="000628A0">
        <w:rPr>
          <w:rFonts w:asciiTheme="majorBidi" w:eastAsia="PMingLiU" w:hAnsiTheme="majorBidi" w:cstheme="majorBidi"/>
          <w:lang w:eastAsia="zh-TW"/>
        </w:rPr>
        <w:t>organisations</w:t>
      </w:r>
      <w:r w:rsidRPr="000628A0">
        <w:rPr>
          <w:rFonts w:asciiTheme="majorBidi" w:eastAsia="PMingLiU" w:hAnsiTheme="majorBidi" w:cstheme="majorBidi"/>
          <w:lang w:eastAsia="zh-TW"/>
        </w:rPr>
        <w:t xml:space="preserve"> working internationally in relief and development</w:t>
      </w:r>
      <w:r w:rsidR="0091653E" w:rsidRPr="000628A0">
        <w:rPr>
          <w:rFonts w:asciiTheme="majorBidi" w:eastAsia="PMingLiU" w:hAnsiTheme="majorBidi" w:cstheme="majorBidi"/>
          <w:lang w:eastAsia="zh-TW"/>
        </w:rPr>
        <w:t>, representing 35% of charities working in this field</w:t>
      </w:r>
      <w:r w:rsidRPr="000628A0">
        <w:rPr>
          <w:rFonts w:asciiTheme="majorBidi" w:eastAsia="PMingLiU" w:hAnsiTheme="majorBidi" w:cstheme="majorBidi"/>
          <w:lang w:eastAsia="zh-TW"/>
        </w:rPr>
        <w:t>.</w:t>
      </w:r>
      <w:r w:rsidR="003014DD" w:rsidRPr="000628A0">
        <w:rPr>
          <w:rFonts w:asciiTheme="majorBidi" w:eastAsia="PMingLiU" w:hAnsiTheme="majorBidi" w:cstheme="majorBidi"/>
          <w:lang w:eastAsia="zh-TW"/>
        </w:rPr>
        <w:t xml:space="preserve"> </w:t>
      </w:r>
      <w:r w:rsidR="00432FBE" w:rsidRPr="000628A0">
        <w:rPr>
          <w:rFonts w:asciiTheme="majorBidi" w:eastAsia="PMingLiU" w:hAnsiTheme="majorBidi" w:cstheme="majorBidi"/>
          <w:lang w:eastAsia="zh-TW"/>
        </w:rPr>
        <w:t xml:space="preserve">Theoretical work suggests that the involvement of charities in the provision of overseas welfare is </w:t>
      </w:r>
      <w:r w:rsidR="00221FEC" w:rsidRPr="000628A0">
        <w:rPr>
          <w:rFonts w:asciiTheme="majorBidi" w:eastAsia="PMingLiU" w:hAnsiTheme="majorBidi" w:cstheme="majorBidi"/>
          <w:lang w:eastAsia="zh-TW"/>
        </w:rPr>
        <w:t>promoted by</w:t>
      </w:r>
      <w:r w:rsidR="00432FBE" w:rsidRPr="000628A0">
        <w:rPr>
          <w:rFonts w:asciiTheme="majorBidi" w:eastAsia="PMingLiU" w:hAnsiTheme="majorBidi" w:cstheme="majorBidi"/>
          <w:lang w:eastAsia="zh-TW"/>
        </w:rPr>
        <w:t xml:space="preserve"> the non-profit distributing characteristic, which acts as a signal of trustworthiness for donors who have little contact with the overseas ‘third party’ receiving assistance (Hansmann, 1996).  </w:t>
      </w:r>
      <w:r w:rsidRPr="000628A0">
        <w:rPr>
          <w:rFonts w:asciiTheme="majorBidi" w:eastAsia="PMingLiU" w:hAnsiTheme="majorBidi" w:cstheme="majorBidi"/>
          <w:lang w:eastAsia="zh-TW"/>
        </w:rPr>
        <w:t xml:space="preserve">For a further 18% of the </w:t>
      </w:r>
      <w:r w:rsidRPr="000628A0">
        <w:rPr>
          <w:rFonts w:asciiTheme="majorBidi" w:eastAsia="PMingLiU" w:hAnsiTheme="majorBidi" w:cstheme="majorBidi"/>
          <w:lang w:eastAsia="zh-TW"/>
        </w:rPr>
        <w:lastRenderedPageBreak/>
        <w:t xml:space="preserve">charities considered, fees in connection with their charitable activities was the only </w:t>
      </w:r>
      <w:r w:rsidR="004815C7">
        <w:rPr>
          <w:rFonts w:asciiTheme="majorBidi" w:eastAsia="PMingLiU" w:hAnsiTheme="majorBidi" w:cstheme="majorBidi"/>
          <w:lang w:eastAsia="zh-TW"/>
        </w:rPr>
        <w:t>‘important’</w:t>
      </w:r>
      <w:r w:rsidRPr="000628A0">
        <w:rPr>
          <w:rFonts w:asciiTheme="majorBidi" w:eastAsia="PMingLiU" w:hAnsiTheme="majorBidi" w:cstheme="majorBidi"/>
          <w:lang w:eastAsia="zh-TW"/>
        </w:rPr>
        <w:t xml:space="preserve"> source of income, consistent with the provision of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private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goods</w:t>
      </w:r>
      <w:r w:rsidR="0068305B" w:rsidRPr="000628A0">
        <w:rPr>
          <w:rFonts w:asciiTheme="majorBidi" w:eastAsia="PMingLiU" w:hAnsiTheme="majorBidi" w:cstheme="majorBidi"/>
          <w:lang w:eastAsia="zh-TW"/>
        </w:rPr>
        <w:t>, such as education and health care, largely benefiting individual purchase</w:t>
      </w:r>
      <w:r w:rsidR="00FD3CB9" w:rsidRPr="000628A0">
        <w:rPr>
          <w:rFonts w:asciiTheme="majorBidi" w:eastAsia="PMingLiU" w:hAnsiTheme="majorBidi" w:cstheme="majorBidi"/>
          <w:lang w:eastAsia="zh-TW"/>
        </w:rPr>
        <w:t>r</w:t>
      </w:r>
      <w:r w:rsidR="0068305B" w:rsidRPr="000628A0">
        <w:rPr>
          <w:rFonts w:asciiTheme="majorBidi" w:eastAsia="PMingLiU" w:hAnsiTheme="majorBidi" w:cstheme="majorBidi"/>
          <w:lang w:eastAsia="zh-TW"/>
        </w:rPr>
        <w:t>s</w:t>
      </w:r>
      <w:r w:rsidR="00D32EF1" w:rsidRPr="000628A0">
        <w:rPr>
          <w:rFonts w:asciiTheme="majorBidi" w:eastAsia="PMingLiU" w:hAnsiTheme="majorBidi" w:cstheme="majorBidi"/>
          <w:lang w:eastAsia="zh-TW"/>
        </w:rPr>
        <w:t xml:space="preserve">. </w:t>
      </w:r>
      <w:r w:rsidR="00CB4F19"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For 27% of the charities considered, government was the only </w:t>
      </w:r>
      <w:r w:rsidR="00D446A8">
        <w:rPr>
          <w:rFonts w:asciiTheme="majorBidi" w:eastAsia="PMingLiU" w:hAnsiTheme="majorBidi" w:cstheme="majorBidi"/>
          <w:lang w:eastAsia="zh-TW"/>
        </w:rPr>
        <w:t>important</w:t>
      </w:r>
      <w:r w:rsidRPr="000628A0">
        <w:rPr>
          <w:rFonts w:asciiTheme="majorBidi" w:eastAsia="PMingLiU" w:hAnsiTheme="majorBidi" w:cstheme="majorBidi"/>
          <w:lang w:eastAsia="zh-TW"/>
        </w:rPr>
        <w:t xml:space="preserve"> source of income.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The high number of these organisations</w:t>
      </w:r>
      <w:r w:rsidR="00200529" w:rsidRPr="000628A0">
        <w:rPr>
          <w:rFonts w:asciiTheme="majorBidi" w:eastAsia="PMingLiU" w:hAnsiTheme="majorBidi" w:cstheme="majorBidi"/>
          <w:lang w:eastAsia="zh-TW"/>
        </w:rPr>
        <w:t>, particularly in the social services field,</w:t>
      </w:r>
      <w:r w:rsidRPr="000628A0">
        <w:rPr>
          <w:rFonts w:asciiTheme="majorBidi" w:eastAsia="PMingLiU" w:hAnsiTheme="majorBidi" w:cstheme="majorBidi"/>
          <w:lang w:eastAsia="zh-TW"/>
        </w:rPr>
        <w:t xml:space="preserve"> reflects the </w:t>
      </w:r>
      <w:r w:rsidR="00200529" w:rsidRPr="000628A0">
        <w:rPr>
          <w:rFonts w:asciiTheme="majorBidi" w:eastAsia="PMingLiU" w:hAnsiTheme="majorBidi" w:cstheme="majorBidi"/>
          <w:lang w:eastAsia="zh-TW"/>
        </w:rPr>
        <w:t>UK’s</w:t>
      </w:r>
      <w:r w:rsidRPr="000628A0">
        <w:rPr>
          <w:rFonts w:asciiTheme="majorBidi" w:eastAsia="PMingLiU" w:hAnsiTheme="majorBidi" w:cstheme="majorBidi"/>
          <w:lang w:eastAsia="zh-TW"/>
        </w:rPr>
        <w:t xml:space="preserv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mixed economy</w:t>
      </w:r>
      <w:r w:rsidR="003014DD" w:rsidRPr="000628A0">
        <w:rPr>
          <w:rFonts w:asciiTheme="majorBidi" w:eastAsia="PMingLiU" w:hAnsiTheme="majorBidi" w:cstheme="majorBidi"/>
          <w:lang w:eastAsia="zh-TW"/>
        </w:rPr>
        <w:t>’</w:t>
      </w:r>
      <w:r w:rsidR="00200529" w:rsidRPr="000628A0">
        <w:rPr>
          <w:rFonts w:asciiTheme="majorBidi" w:eastAsia="PMingLiU" w:hAnsiTheme="majorBidi" w:cstheme="majorBidi"/>
          <w:lang w:eastAsia="zh-TW"/>
        </w:rPr>
        <w:t xml:space="preserve"> of welfare</w:t>
      </w:r>
      <w:r w:rsidRPr="000628A0">
        <w:rPr>
          <w:rFonts w:asciiTheme="majorBidi" w:eastAsia="PMingLiU" w:hAnsiTheme="majorBidi" w:cstheme="majorBidi"/>
          <w:lang w:eastAsia="zh-TW"/>
        </w:rPr>
        <w:t xml:space="preserve"> or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third party government</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in which government is the funder, but not necessarily the deliverer, of public services (Salamon, 1987; Lewis, 1993; Harris, 2010).</w:t>
      </w:r>
      <w:r w:rsidR="003014DD" w:rsidRPr="000628A0">
        <w:rPr>
          <w:rFonts w:asciiTheme="majorBidi" w:eastAsia="PMingLiU" w:hAnsiTheme="majorBidi" w:cstheme="majorBidi"/>
          <w:lang w:eastAsia="zh-TW"/>
        </w:rPr>
        <w:t xml:space="preserve"> </w:t>
      </w:r>
      <w:r w:rsidR="006F158D" w:rsidRPr="000628A0">
        <w:rPr>
          <w:rFonts w:asciiTheme="majorBidi" w:eastAsia="PMingLiU" w:hAnsiTheme="majorBidi" w:cstheme="majorBidi"/>
          <w:lang w:eastAsia="zh-TW"/>
        </w:rPr>
        <w:t xml:space="preserve"> Meanwhile a significant fraction of charities –</w:t>
      </w:r>
      <w:r w:rsidR="007B37B2" w:rsidRPr="000628A0">
        <w:rPr>
          <w:rFonts w:asciiTheme="majorBidi" w:eastAsia="PMingLiU" w:hAnsiTheme="majorBidi" w:cstheme="majorBidi"/>
          <w:lang w:eastAsia="zh-TW"/>
        </w:rPr>
        <w:t xml:space="preserve"> </w:t>
      </w:r>
      <w:r w:rsidR="006F158D" w:rsidRPr="000628A0">
        <w:rPr>
          <w:rFonts w:asciiTheme="majorBidi" w:eastAsia="PMingLiU" w:hAnsiTheme="majorBidi" w:cstheme="majorBidi"/>
          <w:lang w:eastAsia="zh-TW"/>
        </w:rPr>
        <w:t xml:space="preserve">a quarter </w:t>
      </w:r>
      <w:r w:rsidR="00BF4DFB" w:rsidRPr="000628A0">
        <w:rPr>
          <w:rFonts w:asciiTheme="majorBidi" w:eastAsia="PMingLiU" w:hAnsiTheme="majorBidi" w:cstheme="majorBidi"/>
          <w:lang w:eastAsia="zh-TW"/>
        </w:rPr>
        <w:t>–</w:t>
      </w:r>
      <w:r w:rsidR="006F158D" w:rsidRPr="000628A0">
        <w:rPr>
          <w:rFonts w:asciiTheme="majorBidi" w:eastAsia="PMingLiU" w:hAnsiTheme="majorBidi" w:cstheme="majorBidi"/>
          <w:lang w:eastAsia="zh-TW"/>
        </w:rPr>
        <w:t xml:space="preserve"> </w:t>
      </w:r>
      <w:r w:rsidR="00BF4DFB" w:rsidRPr="000628A0">
        <w:rPr>
          <w:rFonts w:asciiTheme="majorBidi" w:eastAsia="PMingLiU" w:hAnsiTheme="majorBidi" w:cstheme="majorBidi"/>
          <w:lang w:eastAsia="zh-TW"/>
        </w:rPr>
        <w:t xml:space="preserve">have </w:t>
      </w:r>
      <w:r w:rsidR="007B37B2" w:rsidRPr="000628A0">
        <w:rPr>
          <w:rFonts w:asciiTheme="majorBidi" w:eastAsia="PMingLiU" w:hAnsiTheme="majorBidi" w:cstheme="majorBidi"/>
          <w:lang w:eastAsia="zh-TW"/>
        </w:rPr>
        <w:t>two sources</w:t>
      </w:r>
      <w:r w:rsidR="00BF4DFB" w:rsidRPr="000628A0">
        <w:rPr>
          <w:rFonts w:asciiTheme="majorBidi" w:eastAsia="PMingLiU" w:hAnsiTheme="majorBidi" w:cstheme="majorBidi"/>
          <w:lang w:eastAsia="zh-TW"/>
        </w:rPr>
        <w:t xml:space="preserve"> of income </w:t>
      </w:r>
      <w:r w:rsidR="007B37B2" w:rsidRPr="000628A0">
        <w:rPr>
          <w:rFonts w:asciiTheme="majorBidi" w:eastAsia="PMingLiU" w:hAnsiTheme="majorBidi" w:cstheme="majorBidi"/>
          <w:lang w:eastAsia="zh-TW"/>
        </w:rPr>
        <w:t>that each make up at least 25% of their total revenue</w:t>
      </w:r>
      <w:r w:rsidR="003E23DC" w:rsidRPr="000628A0">
        <w:rPr>
          <w:rFonts w:asciiTheme="majorBidi" w:eastAsia="PMingLiU" w:hAnsiTheme="majorBidi" w:cstheme="majorBidi"/>
          <w:lang w:eastAsia="zh-TW"/>
        </w:rPr>
        <w:t>, providing important</w:t>
      </w:r>
      <w:r w:rsidR="006F158D" w:rsidRPr="000628A0">
        <w:rPr>
          <w:rFonts w:asciiTheme="majorBidi" w:eastAsia="PMingLiU" w:hAnsiTheme="majorBidi" w:cstheme="majorBidi"/>
          <w:lang w:eastAsia="zh-TW"/>
        </w:rPr>
        <w:t xml:space="preserve"> empirical context to research which discusses the diversity of voluntary organisations’ income sources (</w:t>
      </w:r>
      <w:r w:rsidR="006F158D" w:rsidRPr="000628A0">
        <w:rPr>
          <w:rFonts w:asciiTheme="majorBidi" w:hAnsiTheme="majorBidi" w:cstheme="majorBidi"/>
          <w:color w:val="231F20"/>
        </w:rPr>
        <w:t xml:space="preserve">Froelich, 1999; Carroll and Stater, 2009; Chang and Tuckman, 1994; Hager, 2001).  </w:t>
      </w:r>
    </w:p>
    <w:p w:rsidR="000260D7" w:rsidRPr="000628A0" w:rsidRDefault="000260D7" w:rsidP="00FC6B07">
      <w:pPr>
        <w:spacing w:line="480" w:lineRule="auto"/>
        <w:rPr>
          <w:rFonts w:asciiTheme="majorBidi" w:eastAsia="PMingLiU" w:hAnsiTheme="majorBidi" w:cstheme="majorBidi"/>
          <w:lang w:eastAsia="zh-TW"/>
        </w:rPr>
      </w:pPr>
    </w:p>
    <w:p w:rsidR="0075027F" w:rsidRPr="000628A0" w:rsidRDefault="0075027F" w:rsidP="00597836">
      <w:pPr>
        <w:spacing w:line="480" w:lineRule="auto"/>
        <w:rPr>
          <w:rFonts w:asciiTheme="majorBidi" w:eastAsia="PMingLiU" w:hAnsiTheme="majorBidi" w:cstheme="majorBidi"/>
          <w:lang w:eastAsia="zh-TW"/>
        </w:rPr>
      </w:pPr>
      <w:r w:rsidRPr="000628A0">
        <w:rPr>
          <w:rFonts w:asciiTheme="majorBidi" w:eastAsia="PMingLiU" w:hAnsiTheme="majorBidi" w:cstheme="majorBidi"/>
          <w:shd w:val="clear" w:color="auto" w:fill="FFFFFF"/>
          <w:lang w:eastAsia="zh-TW"/>
        </w:rPr>
        <w:t xml:space="preserve">The results also provide important empirical context for prominent substantive discussions relating to the identity of the </w:t>
      </w:r>
      <w:r w:rsidR="003014DD" w:rsidRPr="000628A0">
        <w:rPr>
          <w:rFonts w:asciiTheme="majorBidi" w:eastAsia="PMingLiU" w:hAnsiTheme="majorBidi" w:cstheme="majorBidi"/>
          <w:shd w:val="clear" w:color="auto" w:fill="FFFFFF"/>
          <w:lang w:eastAsia="zh-TW"/>
        </w:rPr>
        <w:t>‘</w:t>
      </w:r>
      <w:r w:rsidRPr="000628A0">
        <w:rPr>
          <w:rFonts w:asciiTheme="majorBidi" w:eastAsia="PMingLiU" w:hAnsiTheme="majorBidi" w:cstheme="majorBidi"/>
          <w:shd w:val="clear" w:color="auto" w:fill="FFFFFF"/>
          <w:lang w:eastAsia="zh-TW"/>
        </w:rPr>
        <w:t>charitable sector</w:t>
      </w:r>
      <w:r w:rsidR="003014DD" w:rsidRPr="000628A0">
        <w:rPr>
          <w:rFonts w:asciiTheme="majorBidi" w:eastAsia="PMingLiU" w:hAnsiTheme="majorBidi" w:cstheme="majorBidi"/>
          <w:shd w:val="clear" w:color="auto" w:fill="FFFFFF"/>
          <w:lang w:eastAsia="zh-TW"/>
        </w:rPr>
        <w:t>’</w:t>
      </w:r>
      <w:r w:rsidRPr="000628A0">
        <w:rPr>
          <w:rFonts w:asciiTheme="majorBidi" w:eastAsia="PMingLiU" w:hAnsiTheme="majorBidi" w:cstheme="majorBidi"/>
          <w:shd w:val="clear" w:color="auto" w:fill="FFFFFF"/>
          <w:lang w:eastAsia="zh-TW"/>
        </w:rPr>
        <w:t>.</w:t>
      </w:r>
      <w:r w:rsidR="003014DD" w:rsidRPr="000628A0">
        <w:rPr>
          <w:rFonts w:asciiTheme="majorBidi" w:eastAsia="PMingLiU" w:hAnsiTheme="majorBidi" w:cstheme="majorBidi"/>
          <w:shd w:val="clear" w:color="auto" w:fill="FFFFFF"/>
          <w:lang w:eastAsia="zh-TW"/>
        </w:rPr>
        <w:t xml:space="preserve"> </w:t>
      </w:r>
      <w:r w:rsidRPr="000628A0">
        <w:rPr>
          <w:rFonts w:asciiTheme="majorBidi" w:eastAsia="PMingLiU" w:hAnsiTheme="majorBidi" w:cstheme="majorBidi"/>
          <w:shd w:val="clear" w:color="auto" w:fill="FFFFFF"/>
          <w:lang w:eastAsia="zh-TW"/>
        </w:rPr>
        <w:t xml:space="preserve">Many see voluntary organisations in general, and charities in particular, as essentially private suppliers of </w:t>
      </w:r>
      <w:r w:rsidR="003014DD" w:rsidRPr="000628A0">
        <w:rPr>
          <w:rFonts w:asciiTheme="majorBidi" w:eastAsia="PMingLiU" w:hAnsiTheme="majorBidi" w:cstheme="majorBidi"/>
          <w:shd w:val="clear" w:color="auto" w:fill="FFFFFF"/>
          <w:lang w:eastAsia="zh-TW"/>
        </w:rPr>
        <w:t>‘</w:t>
      </w:r>
      <w:r w:rsidRPr="000628A0">
        <w:rPr>
          <w:rFonts w:asciiTheme="majorBidi" w:eastAsia="PMingLiU" w:hAnsiTheme="majorBidi" w:cstheme="majorBidi"/>
          <w:shd w:val="clear" w:color="auto" w:fill="FFFFFF"/>
          <w:lang w:eastAsia="zh-TW"/>
        </w:rPr>
        <w:t>collective</w:t>
      </w:r>
      <w:r w:rsidR="003014DD" w:rsidRPr="000628A0">
        <w:rPr>
          <w:rFonts w:asciiTheme="majorBidi" w:eastAsia="PMingLiU" w:hAnsiTheme="majorBidi" w:cstheme="majorBidi"/>
          <w:shd w:val="clear" w:color="auto" w:fill="FFFFFF"/>
          <w:lang w:eastAsia="zh-TW"/>
        </w:rPr>
        <w:t>’</w:t>
      </w:r>
      <w:r w:rsidRPr="000628A0">
        <w:rPr>
          <w:rFonts w:asciiTheme="majorBidi" w:eastAsia="PMingLiU" w:hAnsiTheme="majorBidi" w:cstheme="majorBidi"/>
          <w:shd w:val="clear" w:color="auto" w:fill="FFFFFF"/>
          <w:lang w:eastAsia="zh-TW"/>
        </w:rPr>
        <w:t xml:space="preserve"> goods.</w:t>
      </w:r>
      <w:r w:rsidR="003014DD" w:rsidRPr="000628A0">
        <w:rPr>
          <w:rFonts w:asciiTheme="majorBidi" w:eastAsia="PMingLiU" w:hAnsiTheme="majorBidi" w:cstheme="majorBidi"/>
          <w:shd w:val="clear" w:color="auto" w:fill="FFFFFF"/>
          <w:lang w:eastAsia="zh-TW"/>
        </w:rPr>
        <w:t xml:space="preserve"> </w:t>
      </w:r>
      <w:r w:rsidRPr="000628A0">
        <w:rPr>
          <w:rFonts w:asciiTheme="majorBidi" w:eastAsia="PMingLiU" w:hAnsiTheme="majorBidi" w:cstheme="majorBidi"/>
          <w:shd w:val="clear" w:color="auto" w:fill="FFFFFF"/>
          <w:lang w:eastAsia="zh-TW"/>
        </w:rPr>
        <w:t xml:space="preserve">Thus </w:t>
      </w:r>
      <w:r w:rsidRPr="000628A0">
        <w:rPr>
          <w:rFonts w:asciiTheme="majorBidi" w:eastAsia="PMingLiU" w:hAnsiTheme="majorBidi" w:cstheme="majorBidi"/>
          <w:lang w:eastAsia="zh-TW"/>
        </w:rPr>
        <w:t xml:space="preserve">Robin Guthrie, the former Chief Charity Commissioner, argued that </w:t>
      </w:r>
      <w:r w:rsidR="007060B6"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charity is best defined as an action or gift to others</w:t>
      </w:r>
      <w:r w:rsidR="007060B6"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(1988, page 17) </w:t>
      </w:r>
      <w:r w:rsidR="007060B6"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reflecting the expectation of public, rather than private, benefit.</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However, this paper shows that, of registered charities with an income over </w:t>
      </w:r>
      <w:r w:rsidRPr="000628A0">
        <w:rPr>
          <w:rStyle w:val="st"/>
          <w:rFonts w:asciiTheme="majorBidi" w:hAnsiTheme="majorBidi" w:cstheme="majorBidi"/>
        </w:rPr>
        <w:t>£</w:t>
      </w:r>
      <w:r w:rsidRPr="000628A0">
        <w:rPr>
          <w:rFonts w:asciiTheme="majorBidi" w:eastAsia="PMingLiU" w:hAnsiTheme="majorBidi" w:cstheme="majorBidi"/>
          <w:lang w:eastAsia="zh-TW"/>
        </w:rPr>
        <w:t xml:space="preserve">500,000, the majority (60%) do not receive any significant income from charitable giving or fundraising (if by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significant</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we mean at least 10% of total income).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Meanwhile, William Shawcross, the chair of the Charity Commission, points out that </w:t>
      </w:r>
      <w:r w:rsidR="007060B6"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most members of the public, when asked, would say a charity is an organisation funded from priva</w:t>
      </w:r>
      <w:r w:rsidR="0068305B" w:rsidRPr="000628A0">
        <w:rPr>
          <w:rFonts w:asciiTheme="majorBidi" w:eastAsia="PMingLiU" w:hAnsiTheme="majorBidi" w:cstheme="majorBidi"/>
          <w:lang w:eastAsia="zh-TW"/>
        </w:rPr>
        <w:t xml:space="preserve">te donations, not public </w:t>
      </w:r>
      <w:r w:rsidR="00975741" w:rsidRPr="000628A0">
        <w:rPr>
          <w:rFonts w:asciiTheme="majorBidi" w:eastAsia="PMingLiU" w:hAnsiTheme="majorBidi" w:cstheme="majorBidi"/>
          <w:lang w:eastAsia="zh-TW"/>
        </w:rPr>
        <w:t>funds</w:t>
      </w:r>
      <w:r w:rsidR="007060B6" w:rsidRPr="000628A0">
        <w:rPr>
          <w:rFonts w:asciiTheme="majorBidi" w:eastAsia="PMingLiU" w:hAnsiTheme="majorBidi" w:cstheme="majorBidi"/>
          <w:lang w:eastAsia="zh-TW"/>
        </w:rPr>
        <w:t>”.</w:t>
      </w:r>
      <w:r w:rsidR="00C6542E" w:rsidRPr="000628A0">
        <w:rPr>
          <w:rStyle w:val="EndnoteReference"/>
          <w:rFonts w:asciiTheme="majorBidi" w:eastAsia="PMingLiU" w:hAnsiTheme="majorBidi" w:cstheme="majorBidi"/>
          <w:lang w:eastAsia="zh-TW"/>
        </w:rPr>
        <w:endnoteReference w:id="12"/>
      </w:r>
      <w:r w:rsidR="00975741"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Yet, in contrast to this public perception, the material presented here </w:t>
      </w:r>
      <w:r w:rsidRPr="000628A0">
        <w:rPr>
          <w:rFonts w:asciiTheme="majorBidi" w:eastAsia="PMingLiU" w:hAnsiTheme="majorBidi" w:cstheme="majorBidi"/>
          <w:lang w:eastAsia="zh-TW"/>
        </w:rPr>
        <w:lastRenderedPageBreak/>
        <w:t xml:space="preserve">shows that 32% of registered charities with an income over </w:t>
      </w:r>
      <w:r w:rsidRPr="000628A0">
        <w:rPr>
          <w:rStyle w:val="st"/>
          <w:rFonts w:asciiTheme="majorBidi" w:hAnsiTheme="majorBidi" w:cstheme="majorBidi"/>
          <w:color w:val="222222"/>
        </w:rPr>
        <w:t>£</w:t>
      </w:r>
      <w:r w:rsidRPr="000628A0">
        <w:rPr>
          <w:rFonts w:asciiTheme="majorBidi" w:eastAsia="PMingLiU" w:hAnsiTheme="majorBidi" w:cstheme="majorBidi"/>
          <w:lang w:eastAsia="zh-TW"/>
        </w:rPr>
        <w:t>500,000 receive the majority of their income from government</w:t>
      </w:r>
      <w:r w:rsidR="002A6057" w:rsidRPr="000628A0">
        <w:rPr>
          <w:rFonts w:asciiTheme="majorBidi" w:eastAsia="PMingLiU" w:hAnsiTheme="majorBidi" w:cstheme="majorBidi"/>
          <w:lang w:eastAsia="zh-TW"/>
        </w:rPr>
        <w:t xml:space="preserve"> (some of these may have more than one </w:t>
      </w:r>
      <w:r w:rsidR="003014DD" w:rsidRPr="000628A0">
        <w:rPr>
          <w:rFonts w:asciiTheme="majorBidi" w:eastAsia="PMingLiU" w:hAnsiTheme="majorBidi" w:cstheme="majorBidi"/>
          <w:lang w:eastAsia="zh-TW"/>
        </w:rPr>
        <w:t>“</w:t>
      </w:r>
      <w:r w:rsidR="00D446A8">
        <w:rPr>
          <w:rFonts w:asciiTheme="majorBidi" w:eastAsia="PMingLiU" w:hAnsiTheme="majorBidi" w:cstheme="majorBidi"/>
          <w:lang w:eastAsia="zh-TW"/>
        </w:rPr>
        <w:t>important</w:t>
      </w:r>
      <w:r w:rsidR="003014DD" w:rsidRPr="000628A0">
        <w:rPr>
          <w:rFonts w:asciiTheme="majorBidi" w:eastAsia="PMingLiU" w:hAnsiTheme="majorBidi" w:cstheme="majorBidi"/>
          <w:lang w:eastAsia="zh-TW"/>
        </w:rPr>
        <w:t>”</w:t>
      </w:r>
      <w:r w:rsidR="002A6057" w:rsidRPr="000628A0">
        <w:rPr>
          <w:rFonts w:asciiTheme="majorBidi" w:eastAsia="PMingLiU" w:hAnsiTheme="majorBidi" w:cstheme="majorBidi"/>
          <w:lang w:eastAsia="zh-TW"/>
        </w:rPr>
        <w:t xml:space="preserve"> source of income, which explains why this proportion is larger than the 27% for which government is </w:t>
      </w:r>
      <w:r w:rsidR="00675458" w:rsidRPr="000628A0">
        <w:rPr>
          <w:rFonts w:asciiTheme="majorBidi" w:eastAsia="PMingLiU" w:hAnsiTheme="majorBidi" w:cstheme="majorBidi"/>
          <w:lang w:eastAsia="zh-TW"/>
        </w:rPr>
        <w:t xml:space="preserve">identified as </w:t>
      </w:r>
      <w:r w:rsidR="002A6057" w:rsidRPr="000628A0">
        <w:rPr>
          <w:rFonts w:asciiTheme="majorBidi" w:eastAsia="PMingLiU" w:hAnsiTheme="majorBidi" w:cstheme="majorBidi"/>
          <w:lang w:eastAsia="zh-TW"/>
        </w:rPr>
        <w:t xml:space="preserve">the single </w:t>
      </w:r>
      <w:r w:rsidR="007060B6" w:rsidRPr="000628A0">
        <w:rPr>
          <w:rFonts w:asciiTheme="majorBidi" w:eastAsia="PMingLiU" w:hAnsiTheme="majorBidi" w:cstheme="majorBidi"/>
          <w:lang w:eastAsia="zh-TW"/>
        </w:rPr>
        <w:t>‘</w:t>
      </w:r>
      <w:r w:rsidR="00D446A8">
        <w:rPr>
          <w:rFonts w:asciiTheme="majorBidi" w:eastAsia="PMingLiU" w:hAnsiTheme="majorBidi" w:cstheme="majorBidi"/>
          <w:lang w:eastAsia="zh-TW"/>
        </w:rPr>
        <w:t>important</w:t>
      </w:r>
      <w:r w:rsidR="007060B6" w:rsidRPr="000628A0">
        <w:rPr>
          <w:rFonts w:asciiTheme="majorBidi" w:eastAsia="PMingLiU" w:hAnsiTheme="majorBidi" w:cstheme="majorBidi"/>
          <w:lang w:eastAsia="zh-TW"/>
        </w:rPr>
        <w:t>’</w:t>
      </w:r>
      <w:r w:rsidR="002A6057" w:rsidRPr="000628A0">
        <w:rPr>
          <w:rFonts w:asciiTheme="majorBidi" w:eastAsia="PMingLiU" w:hAnsiTheme="majorBidi" w:cstheme="majorBidi"/>
          <w:lang w:eastAsia="zh-TW"/>
        </w:rPr>
        <w:t xml:space="preserve"> source)</w:t>
      </w:r>
      <w:r w:rsidRPr="000628A0">
        <w:rPr>
          <w:rFonts w:asciiTheme="majorBidi" w:eastAsia="PMingLiU" w:hAnsiTheme="majorBidi" w:cstheme="majorBidi"/>
          <w:lang w:eastAsia="zh-TW"/>
        </w:rPr>
        <w:t>; 22% receive at least 75% of their income, and 13% receive at least 90% of their income, from government.</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Given Shawcross</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s emphasis on private donations, it is also interesting to note the significance of fees paid by individuals for the services of charitable organisations, such as private schools; </w:t>
      </w:r>
      <w:r w:rsidR="00597836" w:rsidRPr="000628A0">
        <w:rPr>
          <w:rFonts w:asciiTheme="majorBidi" w:eastAsia="PMingLiU" w:hAnsiTheme="majorBidi" w:cstheme="majorBidi"/>
          <w:lang w:eastAsia="zh-TW"/>
        </w:rPr>
        <w:t>for 18% of charities</w:t>
      </w:r>
      <w:r w:rsidR="00597836">
        <w:rPr>
          <w:rFonts w:asciiTheme="majorBidi" w:eastAsia="PMingLiU" w:hAnsiTheme="majorBidi" w:cstheme="majorBidi"/>
          <w:lang w:eastAsia="zh-TW"/>
        </w:rPr>
        <w:t>, fees</w:t>
      </w:r>
      <w:r w:rsidRPr="000628A0">
        <w:rPr>
          <w:rFonts w:asciiTheme="majorBidi" w:eastAsia="PMingLiU" w:hAnsiTheme="majorBidi" w:cstheme="majorBidi"/>
          <w:lang w:eastAsia="zh-TW"/>
        </w:rPr>
        <w:t xml:space="preserve"> are the </w:t>
      </w:r>
      <w:r w:rsidR="00597836">
        <w:rPr>
          <w:rFonts w:asciiTheme="majorBidi" w:eastAsia="PMingLiU" w:hAnsiTheme="majorBidi" w:cstheme="majorBidi"/>
          <w:lang w:eastAsia="zh-TW"/>
        </w:rPr>
        <w:t>only ‘</w:t>
      </w:r>
      <w:r w:rsidRPr="000628A0">
        <w:rPr>
          <w:rFonts w:asciiTheme="majorBidi" w:eastAsia="PMingLiU" w:hAnsiTheme="majorBidi" w:cstheme="majorBidi"/>
          <w:lang w:eastAsia="zh-TW"/>
        </w:rPr>
        <w:t>important</w:t>
      </w:r>
      <w:r w:rsidR="00597836">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income source.</w:t>
      </w:r>
      <w:r w:rsidR="00675458" w:rsidRPr="000628A0">
        <w:rPr>
          <w:rFonts w:asciiTheme="majorBidi" w:eastAsia="PMingLiU" w:hAnsiTheme="majorBidi" w:cstheme="majorBidi"/>
          <w:lang w:eastAsia="zh-TW"/>
        </w:rPr>
        <w:t xml:space="preserve"> Because the benefits of these institutions – particularly private schools – accrue principally to individuals from the better off sections of society, the extent to which they should continue to enjoy the tax privileges of charitable status has being questioned from time to time, though a recent judgment has affirmed that they </w:t>
      </w:r>
      <w:r w:rsidR="00975741" w:rsidRPr="000628A0">
        <w:rPr>
          <w:rFonts w:asciiTheme="majorBidi" w:eastAsia="PMingLiU" w:hAnsiTheme="majorBidi" w:cstheme="majorBidi"/>
          <w:lang w:eastAsia="zh-TW"/>
        </w:rPr>
        <w:t>should</w:t>
      </w:r>
      <w:r w:rsidR="007060B6" w:rsidRPr="000628A0">
        <w:rPr>
          <w:rFonts w:asciiTheme="majorBidi" w:eastAsia="PMingLiU" w:hAnsiTheme="majorBidi" w:cstheme="majorBidi"/>
          <w:lang w:eastAsia="zh-TW"/>
        </w:rPr>
        <w:t>.</w:t>
      </w:r>
      <w:r w:rsidR="00C6542E" w:rsidRPr="000628A0">
        <w:rPr>
          <w:rStyle w:val="EndnoteReference"/>
          <w:rFonts w:asciiTheme="majorBidi" w:eastAsia="PMingLiU" w:hAnsiTheme="majorBidi" w:cstheme="majorBidi"/>
          <w:lang w:eastAsia="zh-TW"/>
        </w:rPr>
        <w:endnoteReference w:id="13"/>
      </w:r>
    </w:p>
    <w:p w:rsidR="0075027F" w:rsidRPr="000628A0" w:rsidRDefault="0075027F" w:rsidP="00FC6B07">
      <w:pPr>
        <w:spacing w:line="480" w:lineRule="auto"/>
        <w:rPr>
          <w:rFonts w:asciiTheme="majorBidi" w:eastAsia="PMingLiU" w:hAnsiTheme="majorBidi" w:cstheme="majorBidi"/>
          <w:lang w:eastAsia="zh-TW"/>
        </w:rPr>
      </w:pPr>
    </w:p>
    <w:p w:rsidR="0075027F" w:rsidRPr="000628A0" w:rsidRDefault="0075027F" w:rsidP="00FC6B07">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Note that, in relation to these issues, there are very different normative views of what the funding picture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should</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be.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Thus, in relation to government funding, there are splits on the left between those who favour direct state provision of welfare services and those who take a modernising third way position, and tensions on the right between those who are in favour of the marketi</w:t>
      </w:r>
      <w:r w:rsidR="007060B6" w:rsidRPr="000628A0">
        <w:rPr>
          <w:rFonts w:asciiTheme="majorBidi" w:eastAsia="PMingLiU" w:hAnsiTheme="majorBidi" w:cstheme="majorBidi"/>
          <w:lang w:eastAsia="zh-TW"/>
        </w:rPr>
        <w:t>s</w:t>
      </w:r>
      <w:r w:rsidRPr="000628A0">
        <w:rPr>
          <w:rFonts w:asciiTheme="majorBidi" w:eastAsia="PMingLiU" w:hAnsiTheme="majorBidi" w:cstheme="majorBidi"/>
          <w:lang w:eastAsia="zh-TW"/>
        </w:rPr>
        <w:t xml:space="preserve">ation and privatisation of welfare services, and those who argue that charities should be free of state interference (see Teasdale </w:t>
      </w:r>
      <w:r w:rsidRPr="000628A0">
        <w:rPr>
          <w:rFonts w:asciiTheme="majorBidi" w:eastAsia="PMingLiU" w:hAnsiTheme="majorBidi" w:cstheme="majorBidi"/>
          <w:i/>
          <w:iCs/>
          <w:lang w:eastAsia="zh-TW"/>
        </w:rPr>
        <w:t>et al</w:t>
      </w:r>
      <w:r w:rsidRPr="000628A0">
        <w:rPr>
          <w:rFonts w:asciiTheme="majorBidi" w:eastAsia="PMingLiU" w:hAnsiTheme="majorBidi" w:cstheme="majorBidi"/>
          <w:lang w:eastAsia="zh-TW"/>
        </w:rPr>
        <w:t>., 2013; Smith and Teasdale, 2012).</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This paper does not aim to evaluate these different views.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Instead, the paper provides an evidence base, in the absence of previous empirical information, by clearly describing the current distribution of charities according to their income composition.</w:t>
      </w:r>
      <w:r w:rsidR="003014DD" w:rsidRPr="000628A0">
        <w:rPr>
          <w:rFonts w:asciiTheme="majorBidi" w:eastAsia="PMingLiU" w:hAnsiTheme="majorBidi" w:cstheme="majorBidi"/>
          <w:lang w:eastAsia="zh-TW"/>
        </w:rPr>
        <w:t xml:space="preserve"> </w:t>
      </w:r>
    </w:p>
    <w:p w:rsidR="0075027F" w:rsidRPr="000628A0" w:rsidRDefault="0075027F" w:rsidP="00FC6B07">
      <w:pPr>
        <w:spacing w:line="480" w:lineRule="auto"/>
        <w:rPr>
          <w:rFonts w:asciiTheme="majorBidi" w:eastAsia="PMingLiU" w:hAnsiTheme="majorBidi" w:cstheme="majorBidi"/>
          <w:lang w:eastAsia="zh-TW"/>
        </w:rPr>
      </w:pPr>
    </w:p>
    <w:p w:rsidR="00F66281" w:rsidRPr="000628A0" w:rsidRDefault="0075027F" w:rsidP="008E59AA">
      <w:pPr>
        <w:spacing w:line="480" w:lineRule="auto"/>
        <w:rPr>
          <w:rFonts w:asciiTheme="majorBidi" w:eastAsia="PMingLiU" w:hAnsiTheme="majorBidi" w:cstheme="majorBidi"/>
          <w:iCs/>
          <w:lang w:eastAsia="zh-TW"/>
        </w:rPr>
      </w:pPr>
      <w:r w:rsidRPr="000628A0">
        <w:rPr>
          <w:rFonts w:asciiTheme="majorBidi" w:eastAsia="PMingLiU" w:hAnsiTheme="majorBidi" w:cstheme="majorBidi"/>
          <w:lang w:eastAsia="zh-TW"/>
        </w:rPr>
        <w:lastRenderedPageBreak/>
        <w:t xml:space="preserve">Importantly, the nature of this distribution reveals the </w:t>
      </w:r>
      <w:r w:rsidRPr="000628A0">
        <w:rPr>
          <w:rFonts w:asciiTheme="majorBidi" w:eastAsia="PMingLiU" w:hAnsiTheme="majorBidi" w:cstheme="majorBidi"/>
          <w:i/>
          <w:iCs/>
          <w:lang w:eastAsia="zh-TW"/>
        </w:rPr>
        <w:t>diversity</w:t>
      </w:r>
      <w:r w:rsidRPr="000628A0">
        <w:rPr>
          <w:rFonts w:asciiTheme="majorBidi" w:eastAsia="PMingLiU" w:hAnsiTheme="majorBidi" w:cstheme="majorBidi"/>
          <w:lang w:eastAsia="zh-TW"/>
        </w:rPr>
        <w:t xml:space="preserve"> of organisations that have charitable status.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For each of the six income sources considered, most charities did not receive any significant income from that source.</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Correspondingly, most charities receive the </w:t>
      </w:r>
      <w:r w:rsidR="00061FAB" w:rsidRPr="000628A0">
        <w:rPr>
          <w:rFonts w:asciiTheme="majorBidi" w:eastAsia="PMingLiU" w:hAnsiTheme="majorBidi" w:cstheme="majorBidi"/>
          <w:lang w:eastAsia="zh-TW"/>
        </w:rPr>
        <w:t xml:space="preserve">principal part </w:t>
      </w:r>
      <w:r w:rsidRPr="000628A0">
        <w:rPr>
          <w:rFonts w:asciiTheme="majorBidi" w:eastAsia="PMingLiU" w:hAnsiTheme="majorBidi" w:cstheme="majorBidi"/>
          <w:lang w:eastAsia="zh-TW"/>
        </w:rPr>
        <w:t xml:space="preserve">of </w:t>
      </w:r>
      <w:r w:rsidR="007060B6" w:rsidRPr="000628A0">
        <w:rPr>
          <w:rFonts w:asciiTheme="majorBidi" w:eastAsia="PMingLiU" w:hAnsiTheme="majorBidi" w:cstheme="majorBidi"/>
          <w:lang w:eastAsia="zh-TW"/>
        </w:rPr>
        <w:t xml:space="preserve">their </w:t>
      </w:r>
      <w:r w:rsidRPr="000628A0">
        <w:rPr>
          <w:rFonts w:asciiTheme="majorBidi" w:eastAsia="PMingLiU" w:hAnsiTheme="majorBidi" w:cstheme="majorBidi"/>
          <w:lang w:eastAsia="zh-TW"/>
        </w:rPr>
        <w:t xml:space="preserve">income from just one of these six income sources. </w:t>
      </w:r>
      <w:r w:rsidR="006F158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Thus the population of charities with an income of at least </w:t>
      </w:r>
      <w:r w:rsidRPr="000628A0">
        <w:rPr>
          <w:rStyle w:val="st"/>
          <w:rFonts w:asciiTheme="majorBidi" w:hAnsiTheme="majorBidi" w:cstheme="majorBidi"/>
        </w:rPr>
        <w:t>£</w:t>
      </w:r>
      <w:r w:rsidRPr="000628A0">
        <w:rPr>
          <w:rFonts w:asciiTheme="majorBidi" w:eastAsia="PMingLiU" w:hAnsiTheme="majorBidi" w:cstheme="majorBidi"/>
          <w:lang w:eastAsia="zh-TW"/>
        </w:rPr>
        <w:t xml:space="preserve">500,000 is made up of quite </w:t>
      </w:r>
      <w:r w:rsidRPr="000628A0">
        <w:rPr>
          <w:rFonts w:asciiTheme="majorBidi" w:eastAsia="PMingLiU" w:hAnsiTheme="majorBidi" w:cstheme="majorBidi"/>
          <w:iCs/>
          <w:lang w:eastAsia="zh-TW"/>
        </w:rPr>
        <w:t>distinct</w:t>
      </w:r>
      <w:r w:rsidRPr="000628A0">
        <w:rPr>
          <w:rFonts w:asciiTheme="majorBidi" w:eastAsia="PMingLiU" w:hAnsiTheme="majorBidi" w:cstheme="majorBidi"/>
          <w:i/>
          <w:iCs/>
          <w:lang w:eastAsia="zh-TW"/>
        </w:rPr>
        <w:t xml:space="preserve"> </w:t>
      </w:r>
      <w:r w:rsidRPr="000628A0">
        <w:rPr>
          <w:rFonts w:asciiTheme="majorBidi" w:eastAsia="PMingLiU" w:hAnsiTheme="majorBidi" w:cstheme="majorBidi"/>
          <w:lang w:eastAsia="zh-TW"/>
        </w:rPr>
        <w:t>groups of organisations with very different funding profiles.</w:t>
      </w:r>
      <w:r w:rsidR="003014DD"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Notably, relatively few organisations have both donations/fundraising and fees as </w:t>
      </w:r>
      <w:r w:rsidR="00D446A8">
        <w:rPr>
          <w:rFonts w:asciiTheme="majorBidi" w:eastAsia="PMingLiU" w:hAnsiTheme="majorBidi" w:cstheme="majorBidi"/>
          <w:lang w:eastAsia="zh-TW"/>
        </w:rPr>
        <w:t>important</w:t>
      </w:r>
      <w:r w:rsidRPr="000628A0">
        <w:rPr>
          <w:rFonts w:asciiTheme="majorBidi" w:eastAsia="PMingLiU" w:hAnsiTheme="majorBidi" w:cstheme="majorBidi"/>
          <w:lang w:eastAsia="zh-TW"/>
        </w:rPr>
        <w:t xml:space="preserve"> sources of income.</w:t>
      </w:r>
      <w:r w:rsidR="00B70459" w:rsidRPr="000628A0">
        <w:rPr>
          <w:rFonts w:asciiTheme="majorBidi" w:eastAsia="PMingLiU" w:hAnsiTheme="majorBidi" w:cstheme="majorBidi"/>
          <w:lang w:eastAsia="zh-TW"/>
        </w:rPr>
        <w:t xml:space="preserve">  </w:t>
      </w:r>
      <w:r w:rsidR="006F158D" w:rsidRPr="000628A0">
        <w:rPr>
          <w:rFonts w:asciiTheme="majorBidi" w:eastAsia="PMingLiU" w:hAnsiTheme="majorBidi" w:cstheme="majorBidi"/>
          <w:lang w:eastAsia="zh-TW"/>
        </w:rPr>
        <w:t>Given the hypothesised link between the income mix of organisations and the mix of services that organisations provide (</w:t>
      </w:r>
      <w:r w:rsidR="00347F3C">
        <w:rPr>
          <w:rFonts w:asciiTheme="majorBidi" w:hAnsiTheme="majorBidi" w:cstheme="majorBidi"/>
          <w:color w:val="231F20"/>
        </w:rPr>
        <w:t>Young, 2007</w:t>
      </w:r>
      <w:r w:rsidR="006F158D" w:rsidRPr="000628A0">
        <w:rPr>
          <w:rFonts w:asciiTheme="majorBidi" w:hAnsiTheme="majorBidi" w:cstheme="majorBidi"/>
          <w:color w:val="231F20"/>
        </w:rPr>
        <w:t xml:space="preserve">; Weisbrod, 1988; Fischer </w:t>
      </w:r>
      <w:r w:rsidR="006F158D" w:rsidRPr="000628A0">
        <w:rPr>
          <w:rFonts w:asciiTheme="majorBidi" w:hAnsiTheme="majorBidi" w:cstheme="majorBidi"/>
          <w:i/>
          <w:iCs/>
          <w:color w:val="231F20"/>
        </w:rPr>
        <w:t>et al.</w:t>
      </w:r>
      <w:r w:rsidR="006F158D" w:rsidRPr="000628A0">
        <w:rPr>
          <w:rFonts w:asciiTheme="majorBidi" w:hAnsiTheme="majorBidi" w:cstheme="majorBidi"/>
          <w:color w:val="231F20"/>
        </w:rPr>
        <w:t>, 201</w:t>
      </w:r>
      <w:r w:rsidR="008E59AA">
        <w:rPr>
          <w:rFonts w:asciiTheme="majorBidi" w:hAnsiTheme="majorBidi" w:cstheme="majorBidi"/>
          <w:color w:val="231F20"/>
        </w:rPr>
        <w:t>1</w:t>
      </w:r>
      <w:r w:rsidR="006F158D" w:rsidRPr="000628A0">
        <w:rPr>
          <w:rFonts w:asciiTheme="majorBidi" w:hAnsiTheme="majorBidi" w:cstheme="majorBidi"/>
          <w:color w:val="231F20"/>
        </w:rPr>
        <w:t>; Wilsker and Young, 2010), t</w:t>
      </w:r>
      <w:r w:rsidR="00B70459" w:rsidRPr="000628A0">
        <w:rPr>
          <w:rFonts w:asciiTheme="majorBidi" w:eastAsia="PMingLiU" w:hAnsiTheme="majorBidi" w:cstheme="majorBidi"/>
          <w:lang w:eastAsia="zh-TW"/>
        </w:rPr>
        <w:t>his suggests that relatively few organisations</w:t>
      </w:r>
      <w:r w:rsidR="006F158D" w:rsidRPr="000628A0">
        <w:rPr>
          <w:rFonts w:asciiTheme="majorBidi" w:eastAsia="PMingLiU" w:hAnsiTheme="majorBidi" w:cstheme="majorBidi"/>
          <w:lang w:eastAsia="zh-TW"/>
        </w:rPr>
        <w:t xml:space="preserve"> combine - as comparably important elements in their mission - both the provision of private benefits and the provision of collective benefits. </w:t>
      </w:r>
      <w:r w:rsidRPr="000628A0">
        <w:rPr>
          <w:rFonts w:asciiTheme="majorBidi" w:eastAsia="PMingLiU" w:hAnsiTheme="majorBidi" w:cstheme="majorBidi"/>
          <w:lang w:eastAsia="zh-TW"/>
        </w:rPr>
        <w:t>In this way, Hansmann</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s (1996) distinction </w:t>
      </w:r>
      <w:r w:rsidR="007060B6" w:rsidRPr="000628A0">
        <w:rPr>
          <w:rFonts w:asciiTheme="majorBidi" w:eastAsia="PMingLiU" w:hAnsiTheme="majorBidi" w:cstheme="majorBidi"/>
          <w:lang w:eastAsia="zh-TW"/>
        </w:rPr>
        <w:t xml:space="preserve">– </w:t>
      </w:r>
      <w:r w:rsidRPr="000628A0">
        <w:rPr>
          <w:rFonts w:asciiTheme="majorBidi" w:eastAsia="PMingLiU" w:hAnsiTheme="majorBidi" w:cstheme="majorBidi"/>
          <w:lang w:eastAsia="zh-TW"/>
        </w:rPr>
        <w:t xml:space="preserve">between </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donative</w:t>
      </w:r>
      <w:r w:rsidR="003014DD" w:rsidRPr="000628A0">
        <w:rPr>
          <w:rFonts w:asciiTheme="majorBidi" w:eastAsia="PMingLiU" w:hAnsiTheme="majorBidi" w:cstheme="majorBidi"/>
          <w:lang w:eastAsia="zh-TW"/>
        </w:rPr>
        <w:t>’</w:t>
      </w:r>
      <w:r w:rsidRPr="000628A0">
        <w:rPr>
          <w:rFonts w:asciiTheme="majorBidi" w:eastAsia="PMingLiU" w:hAnsiTheme="majorBidi" w:cstheme="majorBidi"/>
          <w:lang w:eastAsia="zh-TW"/>
        </w:rPr>
        <w:t xml:space="preserve"> organisations, </w:t>
      </w:r>
      <w:r w:rsidR="007060B6"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whose income depends heavily on voluntary contributions that are not closely conditioned on the delivery of specific goods or services to the patron</w:t>
      </w:r>
      <w:r w:rsidR="007060B6"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and </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commercial</w:t>
      </w:r>
      <w:r w:rsidR="003014DD"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organisations which </w:t>
      </w:r>
      <w:r w:rsidR="00A035E8"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receive no significant amount from donations, but derive their income almost exclusively from prices charged for private goods and services they deliver to paying customers</w:t>
      </w:r>
      <w:r w:rsidR="00A035E8" w:rsidRPr="000628A0">
        <w:rPr>
          <w:rFonts w:asciiTheme="majorBidi" w:eastAsia="PMingLiU" w:hAnsiTheme="majorBidi" w:cstheme="majorBidi"/>
          <w:iCs/>
          <w:lang w:eastAsia="zh-TW"/>
        </w:rPr>
        <w:t>”</w:t>
      </w:r>
      <w:r w:rsidRPr="000628A0">
        <w:rPr>
          <w:rFonts w:asciiTheme="majorBidi" w:eastAsia="PMingLiU" w:hAnsiTheme="majorBidi" w:cstheme="majorBidi"/>
          <w:iCs/>
          <w:lang w:eastAsia="zh-TW"/>
        </w:rPr>
        <w:t xml:space="preserve"> (p</w:t>
      </w:r>
      <w:r w:rsidR="00A035E8" w:rsidRPr="000628A0">
        <w:rPr>
          <w:rFonts w:asciiTheme="majorBidi" w:eastAsia="PMingLiU" w:hAnsiTheme="majorBidi" w:cstheme="majorBidi"/>
          <w:iCs/>
          <w:lang w:eastAsia="zh-TW"/>
        </w:rPr>
        <w:t xml:space="preserve">age </w:t>
      </w:r>
      <w:r w:rsidRPr="000628A0">
        <w:rPr>
          <w:rFonts w:asciiTheme="majorBidi" w:eastAsia="PMingLiU" w:hAnsiTheme="majorBidi" w:cstheme="majorBidi"/>
          <w:iCs/>
          <w:lang w:eastAsia="zh-TW"/>
        </w:rPr>
        <w:t>234) – is a helpful one, though it is important to also separate this latter category into income from individuals and income from government.</w:t>
      </w:r>
      <w:r w:rsidR="003014DD" w:rsidRPr="000628A0">
        <w:rPr>
          <w:rFonts w:asciiTheme="majorBidi" w:eastAsia="PMingLiU" w:hAnsiTheme="majorBidi" w:cstheme="majorBidi"/>
          <w:iCs/>
          <w:lang w:eastAsia="zh-TW"/>
        </w:rPr>
        <w:t xml:space="preserve"> </w:t>
      </w:r>
      <w:r w:rsidRPr="000628A0">
        <w:rPr>
          <w:rFonts w:asciiTheme="majorBidi" w:eastAsia="PMingLiU" w:hAnsiTheme="majorBidi" w:cstheme="majorBidi"/>
          <w:iCs/>
          <w:lang w:eastAsia="zh-TW"/>
        </w:rPr>
        <w:t xml:space="preserve">Overall, </w:t>
      </w:r>
      <w:r w:rsidR="00F66281" w:rsidRPr="000628A0">
        <w:rPr>
          <w:rFonts w:asciiTheme="majorBidi" w:eastAsia="PMingLiU" w:hAnsiTheme="majorBidi" w:cstheme="majorBidi"/>
          <w:iCs/>
          <w:lang w:eastAsia="zh-TW"/>
        </w:rPr>
        <w:t xml:space="preserve">it is clear that the common legal framework provided by charity law, and the voluntarism involved in the governance of charities, represent stronger unifying characteristics of charitable organisations than do their revenue profiles. </w:t>
      </w:r>
    </w:p>
    <w:p w:rsidR="0075027F" w:rsidRPr="000628A0" w:rsidRDefault="0075027F" w:rsidP="00FC6B07">
      <w:pPr>
        <w:spacing w:line="480" w:lineRule="auto"/>
        <w:rPr>
          <w:rFonts w:asciiTheme="majorBidi" w:eastAsia="PMingLiU" w:hAnsiTheme="majorBidi" w:cstheme="majorBidi"/>
          <w:iCs/>
          <w:lang w:eastAsia="zh-TW"/>
        </w:rPr>
      </w:pPr>
    </w:p>
    <w:p w:rsidR="006661CA" w:rsidRPr="000628A0" w:rsidRDefault="00890CEE" w:rsidP="00566031">
      <w:pPr>
        <w:spacing w:line="480" w:lineRule="auto"/>
        <w:rPr>
          <w:rFonts w:asciiTheme="majorBidi" w:eastAsia="PMingLiU" w:hAnsiTheme="majorBidi" w:cstheme="majorBidi"/>
          <w:iCs/>
          <w:lang w:eastAsia="zh-TW"/>
        </w:rPr>
      </w:pPr>
      <w:r w:rsidRPr="000628A0">
        <w:rPr>
          <w:rFonts w:asciiTheme="majorBidi" w:eastAsia="PMingLiU" w:hAnsiTheme="majorBidi" w:cstheme="majorBidi"/>
          <w:iCs/>
          <w:lang w:eastAsia="zh-TW"/>
        </w:rPr>
        <w:lastRenderedPageBreak/>
        <w:t>W</w:t>
      </w:r>
      <w:r w:rsidR="0075027F" w:rsidRPr="000628A0">
        <w:rPr>
          <w:rFonts w:asciiTheme="majorBidi" w:eastAsia="PMingLiU" w:hAnsiTheme="majorBidi" w:cstheme="majorBidi"/>
          <w:iCs/>
          <w:lang w:eastAsia="zh-TW"/>
        </w:rPr>
        <w:t xml:space="preserve">e </w:t>
      </w:r>
      <w:r w:rsidRPr="000628A0">
        <w:rPr>
          <w:rFonts w:asciiTheme="majorBidi" w:eastAsia="PMingLiU" w:hAnsiTheme="majorBidi" w:cstheme="majorBidi"/>
          <w:iCs/>
          <w:lang w:eastAsia="zh-TW"/>
        </w:rPr>
        <w:t xml:space="preserve">turn to </w:t>
      </w:r>
      <w:r w:rsidR="0075027F" w:rsidRPr="000628A0">
        <w:rPr>
          <w:rFonts w:asciiTheme="majorBidi" w:eastAsia="PMingLiU" w:hAnsiTheme="majorBidi" w:cstheme="majorBidi"/>
          <w:iCs/>
          <w:lang w:eastAsia="zh-TW"/>
        </w:rPr>
        <w:t xml:space="preserve">consider </w:t>
      </w:r>
      <w:r w:rsidR="00A310CD" w:rsidRPr="000628A0">
        <w:rPr>
          <w:rFonts w:asciiTheme="majorBidi" w:eastAsia="PMingLiU" w:hAnsiTheme="majorBidi" w:cstheme="majorBidi"/>
          <w:iCs/>
          <w:lang w:eastAsia="zh-TW"/>
        </w:rPr>
        <w:t xml:space="preserve">limitations of the analysis and </w:t>
      </w:r>
      <w:r w:rsidR="0075027F" w:rsidRPr="000628A0">
        <w:rPr>
          <w:rFonts w:asciiTheme="majorBidi" w:eastAsia="PMingLiU" w:hAnsiTheme="majorBidi" w:cstheme="majorBidi"/>
          <w:iCs/>
          <w:lang w:eastAsia="zh-TW"/>
        </w:rPr>
        <w:t xml:space="preserve">possible extensions of this work and its potential contribution to other debates. </w:t>
      </w:r>
      <w:r w:rsidR="00A310CD" w:rsidRPr="000628A0">
        <w:rPr>
          <w:rFonts w:asciiTheme="majorBidi" w:eastAsia="PMingLiU" w:hAnsiTheme="majorBidi" w:cstheme="majorBidi"/>
          <w:iCs/>
          <w:lang w:eastAsia="zh-TW"/>
        </w:rPr>
        <w:t xml:space="preserve"> </w:t>
      </w:r>
      <w:r w:rsidR="00CB7F03" w:rsidRPr="000628A0">
        <w:rPr>
          <w:rFonts w:asciiTheme="majorBidi" w:eastAsia="PMingLiU" w:hAnsiTheme="majorBidi" w:cstheme="majorBidi"/>
          <w:iCs/>
          <w:lang w:eastAsia="zh-TW"/>
        </w:rPr>
        <w:t>In terms of limitations, it should be emphasised that the</w:t>
      </w:r>
      <w:r w:rsidR="004D0E0D" w:rsidRPr="000628A0">
        <w:rPr>
          <w:rFonts w:asciiTheme="majorBidi" w:eastAsia="PMingLiU" w:hAnsiTheme="majorBidi" w:cstheme="majorBidi"/>
          <w:iCs/>
          <w:lang w:eastAsia="zh-TW"/>
        </w:rPr>
        <w:t xml:space="preserve"> results presented here relate specifically to the population of charities with an annu</w:t>
      </w:r>
      <w:r w:rsidR="004A0846" w:rsidRPr="000628A0">
        <w:rPr>
          <w:rFonts w:asciiTheme="majorBidi" w:eastAsia="PMingLiU" w:hAnsiTheme="majorBidi" w:cstheme="majorBidi"/>
          <w:iCs/>
          <w:lang w:eastAsia="zh-TW"/>
        </w:rPr>
        <w:t>al income of at least £500,000</w:t>
      </w:r>
      <w:r w:rsidR="00BC3992" w:rsidRPr="000628A0">
        <w:rPr>
          <w:rFonts w:asciiTheme="majorBidi" w:eastAsia="PMingLiU" w:hAnsiTheme="majorBidi" w:cstheme="majorBidi"/>
          <w:iCs/>
          <w:lang w:eastAsia="zh-TW"/>
        </w:rPr>
        <w:t>.  The</w:t>
      </w:r>
      <w:r w:rsidR="004A0846" w:rsidRPr="000628A0">
        <w:rPr>
          <w:rFonts w:asciiTheme="majorBidi" w:eastAsia="PMingLiU" w:hAnsiTheme="majorBidi" w:cstheme="majorBidi"/>
          <w:iCs/>
          <w:lang w:eastAsia="zh-TW"/>
        </w:rPr>
        <w:t xml:space="preserve"> </w:t>
      </w:r>
      <w:r w:rsidR="00A50FF2" w:rsidRPr="000628A0">
        <w:rPr>
          <w:rFonts w:asciiTheme="majorBidi" w:eastAsia="PMingLiU" w:hAnsiTheme="majorBidi" w:cstheme="majorBidi"/>
          <w:iCs/>
          <w:lang w:eastAsia="zh-TW"/>
        </w:rPr>
        <w:t>patterns for</w:t>
      </w:r>
      <w:r w:rsidR="004A0846" w:rsidRPr="000628A0">
        <w:rPr>
          <w:rFonts w:asciiTheme="majorBidi" w:eastAsia="PMingLiU" w:hAnsiTheme="majorBidi" w:cstheme="majorBidi"/>
          <w:iCs/>
          <w:lang w:eastAsia="zh-TW"/>
        </w:rPr>
        <w:t xml:space="preserve"> smaller charities </w:t>
      </w:r>
      <w:r w:rsidR="00A50FF2" w:rsidRPr="000628A0">
        <w:rPr>
          <w:rFonts w:asciiTheme="majorBidi" w:eastAsia="PMingLiU" w:hAnsiTheme="majorBidi" w:cstheme="majorBidi"/>
          <w:iCs/>
          <w:lang w:eastAsia="zh-TW"/>
        </w:rPr>
        <w:t>are likely to</w:t>
      </w:r>
      <w:r w:rsidR="004A0846" w:rsidRPr="000628A0">
        <w:rPr>
          <w:rFonts w:asciiTheme="majorBidi" w:eastAsia="PMingLiU" w:hAnsiTheme="majorBidi" w:cstheme="majorBidi"/>
          <w:iCs/>
          <w:lang w:eastAsia="zh-TW"/>
        </w:rPr>
        <w:t xml:space="preserve"> be different. </w:t>
      </w:r>
      <w:r w:rsidR="00954EB9" w:rsidRPr="000628A0">
        <w:rPr>
          <w:rFonts w:asciiTheme="majorBidi" w:eastAsia="PMingLiU" w:hAnsiTheme="majorBidi" w:cstheme="majorBidi"/>
          <w:iCs/>
          <w:lang w:eastAsia="zh-TW"/>
        </w:rPr>
        <w:t xml:space="preserve"> </w:t>
      </w:r>
      <w:r w:rsidR="00A50FF2" w:rsidRPr="000628A0">
        <w:rPr>
          <w:rFonts w:asciiTheme="majorBidi" w:eastAsia="PMingLiU" w:hAnsiTheme="majorBidi" w:cstheme="majorBidi"/>
          <w:iCs/>
          <w:lang w:eastAsia="zh-TW"/>
        </w:rPr>
        <w:t xml:space="preserve">In terms of </w:t>
      </w:r>
      <w:r w:rsidR="003F18B9" w:rsidRPr="000628A0">
        <w:rPr>
          <w:rFonts w:asciiTheme="majorBidi" w:eastAsia="PMingLiU" w:hAnsiTheme="majorBidi" w:cstheme="majorBidi"/>
          <w:iCs/>
          <w:lang w:eastAsia="zh-TW"/>
        </w:rPr>
        <w:t xml:space="preserve">the </w:t>
      </w:r>
      <w:r w:rsidR="00A50FF2" w:rsidRPr="000628A0">
        <w:rPr>
          <w:rFonts w:asciiTheme="majorBidi" w:eastAsia="PMingLiU" w:hAnsiTheme="majorBidi" w:cstheme="majorBidi"/>
          <w:iCs/>
          <w:lang w:eastAsia="zh-TW"/>
        </w:rPr>
        <w:t xml:space="preserve">diversity of income, </w:t>
      </w:r>
      <w:r w:rsidR="004A2689" w:rsidRPr="000628A0">
        <w:rPr>
          <w:rFonts w:asciiTheme="majorBidi" w:eastAsia="PMingLiU" w:hAnsiTheme="majorBidi" w:cstheme="majorBidi"/>
          <w:iCs/>
          <w:lang w:eastAsia="zh-TW"/>
        </w:rPr>
        <w:t xml:space="preserve">Fischer </w:t>
      </w:r>
      <w:r w:rsidR="004A2689" w:rsidRPr="000628A0">
        <w:rPr>
          <w:rFonts w:asciiTheme="majorBidi" w:eastAsia="PMingLiU" w:hAnsiTheme="majorBidi" w:cstheme="majorBidi"/>
          <w:i/>
          <w:lang w:eastAsia="zh-TW"/>
        </w:rPr>
        <w:t>et al.</w:t>
      </w:r>
      <w:r w:rsidR="008E59AA">
        <w:rPr>
          <w:rFonts w:asciiTheme="majorBidi" w:eastAsia="PMingLiU" w:hAnsiTheme="majorBidi" w:cstheme="majorBidi"/>
          <w:iCs/>
          <w:lang w:eastAsia="zh-TW"/>
        </w:rPr>
        <w:t xml:space="preserve"> (2011</w:t>
      </w:r>
      <w:r w:rsidR="004A2689" w:rsidRPr="000628A0">
        <w:rPr>
          <w:rFonts w:asciiTheme="majorBidi" w:eastAsia="PMingLiU" w:hAnsiTheme="majorBidi" w:cstheme="majorBidi"/>
          <w:iCs/>
          <w:lang w:eastAsia="zh-TW"/>
        </w:rPr>
        <w:t>) hypothesise</w:t>
      </w:r>
      <w:r w:rsidR="00A50FF2" w:rsidRPr="000628A0">
        <w:rPr>
          <w:rFonts w:asciiTheme="majorBidi" w:eastAsia="PMingLiU" w:hAnsiTheme="majorBidi" w:cstheme="majorBidi"/>
          <w:iCs/>
          <w:lang w:eastAsia="zh-TW"/>
        </w:rPr>
        <w:t xml:space="preserve"> that, since larger organisations may have greater ‘slack’ in the form of reserves and infrastructure, </w:t>
      </w:r>
      <w:r w:rsidR="003F18B9" w:rsidRPr="000628A0">
        <w:rPr>
          <w:rFonts w:asciiTheme="majorBidi" w:eastAsia="PMingLiU" w:hAnsiTheme="majorBidi" w:cstheme="majorBidi"/>
          <w:iCs/>
          <w:lang w:eastAsia="zh-TW"/>
        </w:rPr>
        <w:t xml:space="preserve">their income portfolios may be more concentrated since </w:t>
      </w:r>
      <w:r w:rsidR="00A50FF2" w:rsidRPr="000628A0">
        <w:rPr>
          <w:rFonts w:asciiTheme="majorBidi" w:eastAsia="PMingLiU" w:hAnsiTheme="majorBidi" w:cstheme="majorBidi"/>
          <w:iCs/>
          <w:lang w:eastAsia="zh-TW"/>
        </w:rPr>
        <w:t xml:space="preserve">there is less need </w:t>
      </w:r>
      <w:r w:rsidR="00954EB9" w:rsidRPr="000628A0">
        <w:rPr>
          <w:rFonts w:asciiTheme="majorBidi" w:eastAsia="PMingLiU" w:hAnsiTheme="majorBidi" w:cstheme="majorBidi"/>
          <w:iCs/>
          <w:lang w:eastAsia="zh-TW"/>
        </w:rPr>
        <w:t>to adopt</w:t>
      </w:r>
      <w:r w:rsidR="00A50FF2" w:rsidRPr="000628A0">
        <w:rPr>
          <w:rFonts w:asciiTheme="majorBidi" w:eastAsia="PMingLiU" w:hAnsiTheme="majorBidi" w:cstheme="majorBidi"/>
          <w:iCs/>
          <w:lang w:eastAsia="zh-TW"/>
        </w:rPr>
        <w:t xml:space="preserve"> income diversification strategies to mitigate against risk</w:t>
      </w:r>
      <w:r w:rsidR="003F18B9" w:rsidRPr="000628A0">
        <w:rPr>
          <w:rFonts w:asciiTheme="majorBidi" w:eastAsia="PMingLiU" w:hAnsiTheme="majorBidi" w:cstheme="majorBidi"/>
          <w:iCs/>
          <w:lang w:eastAsia="zh-TW"/>
        </w:rPr>
        <w:t xml:space="preserve">.  In terms of receiving income from particular sources, previous analysis using survey data shows that </w:t>
      </w:r>
      <w:r w:rsidR="00D37579" w:rsidRPr="000628A0">
        <w:rPr>
          <w:rFonts w:asciiTheme="majorBidi" w:eastAsia="PMingLiU" w:hAnsiTheme="majorBidi" w:cstheme="majorBidi"/>
          <w:iCs/>
          <w:lang w:eastAsia="zh-TW"/>
        </w:rPr>
        <w:t>smaller organisations</w:t>
      </w:r>
      <w:r w:rsidR="003F18B9" w:rsidRPr="000628A0">
        <w:rPr>
          <w:rFonts w:asciiTheme="majorBidi" w:eastAsia="PMingLiU" w:hAnsiTheme="majorBidi" w:cstheme="majorBidi"/>
          <w:iCs/>
          <w:lang w:eastAsia="zh-TW"/>
        </w:rPr>
        <w:t xml:space="preserve">, </w:t>
      </w:r>
      <w:r w:rsidR="00BC3992" w:rsidRPr="000628A0">
        <w:rPr>
          <w:rFonts w:asciiTheme="majorBidi" w:eastAsia="PMingLiU" w:hAnsiTheme="majorBidi" w:cstheme="majorBidi"/>
          <w:iCs/>
          <w:lang w:eastAsia="zh-TW"/>
        </w:rPr>
        <w:t>under t</w:t>
      </w:r>
      <w:r w:rsidR="003F18B9" w:rsidRPr="000628A0">
        <w:rPr>
          <w:rFonts w:asciiTheme="majorBidi" w:eastAsia="PMingLiU" w:hAnsiTheme="majorBidi" w:cstheme="majorBidi"/>
          <w:iCs/>
          <w:lang w:eastAsia="zh-TW"/>
        </w:rPr>
        <w:t>he</w:t>
      </w:r>
      <w:r w:rsidR="00BC3992" w:rsidRPr="000628A0">
        <w:rPr>
          <w:rFonts w:asciiTheme="majorBidi" w:eastAsia="PMingLiU" w:hAnsiTheme="majorBidi" w:cstheme="majorBidi"/>
          <w:iCs/>
          <w:lang w:eastAsia="zh-TW"/>
        </w:rPr>
        <w:t xml:space="preserve"> </w:t>
      </w:r>
      <w:r w:rsidR="003F18B9" w:rsidRPr="000628A0">
        <w:rPr>
          <w:rFonts w:asciiTheme="majorBidi" w:eastAsia="PMingLiU" w:hAnsiTheme="majorBidi" w:cstheme="majorBidi"/>
          <w:iCs/>
          <w:lang w:eastAsia="zh-TW"/>
        </w:rPr>
        <w:t xml:space="preserve">£500,000 </w:t>
      </w:r>
      <w:r w:rsidR="00BC3992" w:rsidRPr="000628A0">
        <w:rPr>
          <w:rFonts w:asciiTheme="majorBidi" w:eastAsia="PMingLiU" w:hAnsiTheme="majorBidi" w:cstheme="majorBidi"/>
          <w:iCs/>
          <w:lang w:eastAsia="zh-TW"/>
        </w:rPr>
        <w:t>threshol</w:t>
      </w:r>
      <w:r w:rsidR="003F18B9" w:rsidRPr="000628A0">
        <w:rPr>
          <w:rFonts w:asciiTheme="majorBidi" w:eastAsia="PMingLiU" w:hAnsiTheme="majorBidi" w:cstheme="majorBidi"/>
          <w:iCs/>
          <w:lang w:eastAsia="zh-TW"/>
        </w:rPr>
        <w:t>d,</w:t>
      </w:r>
      <w:r w:rsidR="00D37579" w:rsidRPr="000628A0">
        <w:rPr>
          <w:rFonts w:asciiTheme="majorBidi" w:eastAsia="PMingLiU" w:hAnsiTheme="majorBidi" w:cstheme="majorBidi"/>
          <w:iCs/>
          <w:lang w:eastAsia="zh-TW"/>
        </w:rPr>
        <w:t xml:space="preserve"> are less likely to be in receipt of government funding</w:t>
      </w:r>
      <w:r w:rsidR="00BC3992" w:rsidRPr="000628A0">
        <w:rPr>
          <w:rFonts w:asciiTheme="majorBidi" w:eastAsia="PMingLiU" w:hAnsiTheme="majorBidi" w:cstheme="majorBidi"/>
          <w:iCs/>
          <w:lang w:eastAsia="zh-TW"/>
        </w:rPr>
        <w:t xml:space="preserve"> than </w:t>
      </w:r>
      <w:r w:rsidR="00912FF2" w:rsidRPr="000628A0">
        <w:rPr>
          <w:rFonts w:asciiTheme="majorBidi" w:eastAsia="PMingLiU" w:hAnsiTheme="majorBidi" w:cstheme="majorBidi"/>
          <w:iCs/>
          <w:lang w:eastAsia="zh-TW"/>
        </w:rPr>
        <w:t xml:space="preserve">are </w:t>
      </w:r>
      <w:r w:rsidR="003F18B9" w:rsidRPr="000628A0">
        <w:rPr>
          <w:rFonts w:asciiTheme="majorBidi" w:eastAsia="PMingLiU" w:hAnsiTheme="majorBidi" w:cstheme="majorBidi"/>
          <w:iCs/>
          <w:lang w:eastAsia="zh-TW"/>
        </w:rPr>
        <w:t xml:space="preserve">larger organisations </w:t>
      </w:r>
      <w:r w:rsidR="00D37579" w:rsidRPr="000628A0">
        <w:rPr>
          <w:rFonts w:asciiTheme="majorBidi" w:eastAsia="PMingLiU" w:hAnsiTheme="majorBidi" w:cstheme="majorBidi"/>
          <w:iCs/>
          <w:lang w:eastAsia="zh-TW"/>
        </w:rPr>
        <w:t>(</w:t>
      </w:r>
      <w:r w:rsidR="003F18B9" w:rsidRPr="000628A0">
        <w:rPr>
          <w:rFonts w:asciiTheme="majorBidi" w:eastAsia="PMingLiU" w:hAnsiTheme="majorBidi" w:cstheme="majorBidi"/>
          <w:iCs/>
          <w:lang w:eastAsia="zh-TW"/>
        </w:rPr>
        <w:t xml:space="preserve">see </w:t>
      </w:r>
      <w:r w:rsidR="00D37579" w:rsidRPr="000628A0">
        <w:rPr>
          <w:rFonts w:asciiTheme="majorBidi" w:eastAsia="PMingLiU" w:hAnsiTheme="majorBidi" w:cstheme="majorBidi"/>
          <w:iCs/>
          <w:lang w:eastAsia="zh-TW"/>
        </w:rPr>
        <w:t xml:space="preserve">Clifford </w:t>
      </w:r>
      <w:r w:rsidR="00D37579" w:rsidRPr="000628A0">
        <w:rPr>
          <w:rFonts w:asciiTheme="majorBidi" w:eastAsia="PMingLiU" w:hAnsiTheme="majorBidi" w:cstheme="majorBidi"/>
          <w:i/>
          <w:lang w:eastAsia="zh-TW"/>
        </w:rPr>
        <w:t>et al.</w:t>
      </w:r>
      <w:r w:rsidR="00D37579" w:rsidRPr="000628A0">
        <w:rPr>
          <w:rFonts w:asciiTheme="majorBidi" w:eastAsia="PMingLiU" w:hAnsiTheme="majorBidi" w:cstheme="majorBidi"/>
          <w:iCs/>
          <w:lang w:eastAsia="zh-TW"/>
        </w:rPr>
        <w:t>, 201</w:t>
      </w:r>
      <w:r w:rsidR="00566031">
        <w:rPr>
          <w:rFonts w:asciiTheme="majorBidi" w:eastAsia="PMingLiU" w:hAnsiTheme="majorBidi" w:cstheme="majorBidi"/>
          <w:iCs/>
          <w:lang w:eastAsia="zh-TW"/>
        </w:rPr>
        <w:t>3</w:t>
      </w:r>
      <w:r w:rsidR="00D37579" w:rsidRPr="000628A0">
        <w:rPr>
          <w:rFonts w:asciiTheme="majorBidi" w:eastAsia="PMingLiU" w:hAnsiTheme="majorBidi" w:cstheme="majorBidi"/>
          <w:iCs/>
          <w:lang w:eastAsia="zh-TW"/>
        </w:rPr>
        <w:t>)</w:t>
      </w:r>
      <w:r w:rsidR="003F18B9" w:rsidRPr="000628A0">
        <w:rPr>
          <w:rFonts w:asciiTheme="majorBidi" w:eastAsia="PMingLiU" w:hAnsiTheme="majorBidi" w:cstheme="majorBidi"/>
          <w:iCs/>
          <w:lang w:eastAsia="zh-TW"/>
        </w:rPr>
        <w:t xml:space="preserve">.  </w:t>
      </w:r>
      <w:r w:rsidR="00954EB9" w:rsidRPr="000628A0">
        <w:rPr>
          <w:rFonts w:asciiTheme="majorBidi" w:eastAsia="PMingLiU" w:hAnsiTheme="majorBidi" w:cstheme="majorBidi"/>
          <w:iCs/>
          <w:lang w:eastAsia="zh-TW"/>
        </w:rPr>
        <w:t xml:space="preserve">Therefore the narrative that </w:t>
      </w:r>
      <w:r w:rsidR="00912FF2" w:rsidRPr="000628A0">
        <w:rPr>
          <w:rFonts w:asciiTheme="majorBidi" w:eastAsia="PMingLiU" w:hAnsiTheme="majorBidi" w:cstheme="majorBidi"/>
          <w:iCs/>
          <w:lang w:eastAsia="zh-TW"/>
        </w:rPr>
        <w:t>emerges from this paper -</w:t>
      </w:r>
      <w:r w:rsidR="006661CA" w:rsidRPr="000628A0">
        <w:rPr>
          <w:rFonts w:asciiTheme="majorBidi" w:eastAsia="PMingLiU" w:hAnsiTheme="majorBidi" w:cstheme="majorBidi"/>
          <w:iCs/>
          <w:lang w:eastAsia="zh-TW"/>
        </w:rPr>
        <w:t xml:space="preserve"> about the importance of public funding to</w:t>
      </w:r>
      <w:r w:rsidR="00912FF2" w:rsidRPr="000628A0">
        <w:rPr>
          <w:rFonts w:asciiTheme="majorBidi" w:eastAsia="PMingLiU" w:hAnsiTheme="majorBidi" w:cstheme="majorBidi"/>
          <w:iCs/>
          <w:lang w:eastAsia="zh-TW"/>
        </w:rPr>
        <w:t xml:space="preserve"> </w:t>
      </w:r>
      <w:r w:rsidR="006661CA" w:rsidRPr="000628A0">
        <w:rPr>
          <w:rFonts w:asciiTheme="majorBidi" w:eastAsia="PMingLiU" w:hAnsiTheme="majorBidi" w:cstheme="majorBidi"/>
          <w:iCs/>
          <w:lang w:eastAsia="zh-TW"/>
        </w:rPr>
        <w:t>charitable organisations</w:t>
      </w:r>
      <w:r w:rsidR="00912FF2" w:rsidRPr="000628A0">
        <w:rPr>
          <w:rFonts w:asciiTheme="majorBidi" w:eastAsia="PMingLiU" w:hAnsiTheme="majorBidi" w:cstheme="majorBidi"/>
          <w:iCs/>
          <w:lang w:eastAsia="zh-TW"/>
        </w:rPr>
        <w:t xml:space="preserve"> -</w:t>
      </w:r>
      <w:r w:rsidR="006661CA" w:rsidRPr="000628A0">
        <w:rPr>
          <w:rFonts w:asciiTheme="majorBidi" w:eastAsia="PMingLiU" w:hAnsiTheme="majorBidi" w:cstheme="majorBidi"/>
          <w:iCs/>
          <w:lang w:eastAsia="zh-TW"/>
        </w:rPr>
        <w:t xml:space="preserve"> would be less relevant to these smaller organisations.  </w:t>
      </w:r>
      <w:r w:rsidR="00F06FE4">
        <w:rPr>
          <w:rFonts w:asciiTheme="majorBidi" w:eastAsia="PMingLiU" w:hAnsiTheme="majorBidi" w:cstheme="majorBidi"/>
          <w:iCs/>
          <w:lang w:eastAsia="zh-TW"/>
        </w:rPr>
        <w:t xml:space="preserve">Nevertheless, while the organisations selected represent </w:t>
      </w:r>
      <w:r w:rsidR="00A04072" w:rsidRPr="000628A0">
        <w:rPr>
          <w:rFonts w:asciiTheme="majorBidi" w:eastAsia="PMingLiU" w:hAnsiTheme="majorBidi" w:cstheme="majorBidi"/>
          <w:iCs/>
          <w:lang w:eastAsia="zh-TW"/>
        </w:rPr>
        <w:t xml:space="preserve">a minority of the number of charities </w:t>
      </w:r>
      <w:r w:rsidR="00F06FE4">
        <w:rPr>
          <w:rFonts w:asciiTheme="majorBidi" w:eastAsia="PMingLiU" w:hAnsiTheme="majorBidi" w:cstheme="majorBidi"/>
          <w:iCs/>
          <w:lang w:eastAsia="zh-TW"/>
        </w:rPr>
        <w:t xml:space="preserve">in England and Wales, they account for </w:t>
      </w:r>
      <w:r w:rsidR="00912FF2" w:rsidRPr="000628A0">
        <w:rPr>
          <w:rFonts w:asciiTheme="majorBidi" w:eastAsia="PMingLiU" w:hAnsiTheme="majorBidi" w:cstheme="majorBidi"/>
          <w:iCs/>
          <w:lang w:eastAsia="zh-TW"/>
        </w:rPr>
        <w:t>the</w:t>
      </w:r>
      <w:r w:rsidR="00A04072" w:rsidRPr="000628A0">
        <w:rPr>
          <w:rFonts w:asciiTheme="majorBidi" w:eastAsia="PMingLiU" w:hAnsiTheme="majorBidi" w:cstheme="majorBidi"/>
          <w:iCs/>
          <w:lang w:eastAsia="zh-TW"/>
        </w:rPr>
        <w:t xml:space="preserve"> vast majority of the</w:t>
      </w:r>
      <w:r w:rsidR="00912FF2" w:rsidRPr="000628A0">
        <w:rPr>
          <w:rFonts w:asciiTheme="majorBidi" w:eastAsia="PMingLiU" w:hAnsiTheme="majorBidi" w:cstheme="majorBidi"/>
          <w:iCs/>
          <w:lang w:eastAsia="zh-TW"/>
        </w:rPr>
        <w:t xml:space="preserve"> economic w</w:t>
      </w:r>
      <w:r w:rsidR="00A04072" w:rsidRPr="000628A0">
        <w:rPr>
          <w:rFonts w:asciiTheme="majorBidi" w:eastAsia="PMingLiU" w:hAnsiTheme="majorBidi" w:cstheme="majorBidi"/>
          <w:iCs/>
          <w:lang w:eastAsia="zh-TW"/>
        </w:rPr>
        <w:t>eight of the voluntary sector.</w:t>
      </w:r>
    </w:p>
    <w:p w:rsidR="00E70851" w:rsidRPr="000628A0" w:rsidRDefault="00E70851" w:rsidP="00FC6B07">
      <w:pPr>
        <w:spacing w:line="480" w:lineRule="auto"/>
        <w:rPr>
          <w:rFonts w:asciiTheme="majorBidi" w:eastAsia="PMingLiU" w:hAnsiTheme="majorBidi" w:cstheme="majorBidi"/>
          <w:iCs/>
          <w:lang w:eastAsia="zh-TW"/>
        </w:rPr>
      </w:pPr>
    </w:p>
    <w:p w:rsidR="0075027F" w:rsidRPr="000628A0" w:rsidRDefault="00645015" w:rsidP="007255AD">
      <w:pPr>
        <w:spacing w:line="480" w:lineRule="auto"/>
        <w:rPr>
          <w:rFonts w:asciiTheme="majorBidi" w:eastAsia="PMingLiU" w:hAnsiTheme="majorBidi" w:cstheme="majorBidi"/>
          <w:iCs/>
          <w:lang w:eastAsia="zh-TW"/>
        </w:rPr>
      </w:pPr>
      <w:r>
        <w:rPr>
          <w:rFonts w:asciiTheme="majorBidi" w:eastAsia="PMingLiU" w:hAnsiTheme="majorBidi" w:cstheme="majorBidi"/>
          <w:iCs/>
          <w:lang w:eastAsia="zh-TW"/>
        </w:rPr>
        <w:t xml:space="preserve">Possible extensions of </w:t>
      </w:r>
      <w:r w:rsidR="00A310CD" w:rsidRPr="000628A0">
        <w:rPr>
          <w:rFonts w:asciiTheme="majorBidi" w:eastAsia="PMingLiU" w:hAnsiTheme="majorBidi" w:cstheme="majorBidi"/>
          <w:iCs/>
          <w:lang w:eastAsia="zh-TW"/>
        </w:rPr>
        <w:t xml:space="preserve">this work </w:t>
      </w:r>
      <w:r>
        <w:rPr>
          <w:rFonts w:asciiTheme="majorBidi" w:eastAsia="PMingLiU" w:hAnsiTheme="majorBidi" w:cstheme="majorBidi"/>
          <w:iCs/>
          <w:lang w:eastAsia="zh-TW"/>
        </w:rPr>
        <w:t xml:space="preserve">would include </w:t>
      </w:r>
      <w:r w:rsidR="00A310CD" w:rsidRPr="000628A0">
        <w:rPr>
          <w:rFonts w:asciiTheme="majorBidi" w:eastAsia="PMingLiU" w:hAnsiTheme="majorBidi" w:cstheme="majorBidi"/>
          <w:iCs/>
          <w:lang w:eastAsia="zh-TW"/>
        </w:rPr>
        <w:t>l</w:t>
      </w:r>
      <w:r w:rsidR="0075027F" w:rsidRPr="000628A0">
        <w:rPr>
          <w:rFonts w:asciiTheme="majorBidi" w:eastAsia="PMingLiU" w:hAnsiTheme="majorBidi" w:cstheme="majorBidi"/>
          <w:iCs/>
          <w:lang w:eastAsia="zh-TW"/>
        </w:rPr>
        <w:t>ongitudinal</w:t>
      </w:r>
      <w:r w:rsidR="00A310CD" w:rsidRPr="000628A0">
        <w:rPr>
          <w:rFonts w:asciiTheme="majorBidi" w:eastAsia="PMingLiU" w:hAnsiTheme="majorBidi" w:cstheme="majorBidi"/>
          <w:iCs/>
          <w:lang w:eastAsia="zh-TW"/>
        </w:rPr>
        <w:t xml:space="preserve"> analysis</w:t>
      </w:r>
      <w:r w:rsidR="0075027F" w:rsidRPr="000628A0">
        <w:rPr>
          <w:rFonts w:asciiTheme="majorBidi" w:eastAsia="PMingLiU" w:hAnsiTheme="majorBidi" w:cstheme="majorBidi"/>
          <w:iCs/>
          <w:lang w:eastAsia="zh-TW"/>
        </w:rPr>
        <w:t xml:space="preserve">, particularly in terms of evaluating whether individual income sources were more or less likely to fluctuate over time. Depending on the funding mix of individual organisations, this would have implications for their financial viability and growth. </w:t>
      </w:r>
      <w:r>
        <w:rPr>
          <w:rFonts w:asciiTheme="majorBidi" w:eastAsia="PMingLiU" w:hAnsiTheme="majorBidi" w:cstheme="majorBidi"/>
          <w:iCs/>
          <w:lang w:eastAsia="zh-TW"/>
        </w:rPr>
        <w:t xml:space="preserve">Our intention in sampling charity accounts was also to produce an evidence base for longitudinal work, and as that evidence base builds up, </w:t>
      </w:r>
      <w:r w:rsidR="0075027F" w:rsidRPr="000628A0">
        <w:rPr>
          <w:rFonts w:asciiTheme="majorBidi" w:eastAsia="PMingLiU" w:hAnsiTheme="majorBidi" w:cstheme="majorBidi"/>
          <w:iCs/>
          <w:lang w:eastAsia="zh-TW"/>
        </w:rPr>
        <w:t xml:space="preserve">future </w:t>
      </w:r>
      <w:r>
        <w:rPr>
          <w:rFonts w:asciiTheme="majorBidi" w:eastAsia="PMingLiU" w:hAnsiTheme="majorBidi" w:cstheme="majorBidi"/>
          <w:iCs/>
          <w:lang w:eastAsia="zh-TW"/>
        </w:rPr>
        <w:t xml:space="preserve">analyses </w:t>
      </w:r>
      <w:r w:rsidR="0075027F" w:rsidRPr="000628A0">
        <w:rPr>
          <w:rFonts w:asciiTheme="majorBidi" w:eastAsia="PMingLiU" w:hAnsiTheme="majorBidi" w:cstheme="majorBidi"/>
          <w:iCs/>
          <w:lang w:eastAsia="zh-TW"/>
        </w:rPr>
        <w:t xml:space="preserve">could explore </w:t>
      </w:r>
      <w:r>
        <w:rPr>
          <w:rFonts w:asciiTheme="majorBidi" w:eastAsia="PMingLiU" w:hAnsiTheme="majorBidi" w:cstheme="majorBidi"/>
          <w:iCs/>
          <w:lang w:eastAsia="zh-TW"/>
        </w:rPr>
        <w:t>relationships between the income mix of organisations and their external environment (e.g. changes in public expenditure, or regional variations in economic prosperity)</w:t>
      </w:r>
      <w:r w:rsidR="0075027F" w:rsidRPr="000628A0">
        <w:rPr>
          <w:rFonts w:asciiTheme="majorBidi" w:eastAsia="PMingLiU" w:hAnsiTheme="majorBidi" w:cstheme="majorBidi"/>
          <w:iCs/>
          <w:lang w:eastAsia="zh-TW"/>
        </w:rPr>
        <w:t xml:space="preserve">. It would also be </w:t>
      </w:r>
      <w:r w:rsidR="0075027F" w:rsidRPr="000628A0">
        <w:rPr>
          <w:rFonts w:asciiTheme="majorBidi" w:eastAsia="PMingLiU" w:hAnsiTheme="majorBidi" w:cstheme="majorBidi"/>
          <w:iCs/>
          <w:lang w:eastAsia="zh-TW"/>
        </w:rPr>
        <w:lastRenderedPageBreak/>
        <w:t xml:space="preserve">useful to explore </w:t>
      </w:r>
      <w:r>
        <w:rPr>
          <w:rFonts w:asciiTheme="majorBidi" w:eastAsia="PMingLiU" w:hAnsiTheme="majorBidi" w:cstheme="majorBidi"/>
          <w:iCs/>
          <w:lang w:eastAsia="zh-TW"/>
        </w:rPr>
        <w:t xml:space="preserve">changes in </w:t>
      </w:r>
      <w:r w:rsidR="0075027F" w:rsidRPr="000628A0">
        <w:rPr>
          <w:rFonts w:asciiTheme="majorBidi" w:eastAsia="PMingLiU" w:hAnsiTheme="majorBidi" w:cstheme="majorBidi"/>
          <w:iCs/>
          <w:lang w:eastAsia="zh-TW"/>
        </w:rPr>
        <w:t>the nature of the organisations receiving particular sources of income over time. For example, is the aggregate growt</w:t>
      </w:r>
      <w:r w:rsidR="006C6F0E" w:rsidRPr="000628A0">
        <w:rPr>
          <w:rFonts w:asciiTheme="majorBidi" w:eastAsia="PMingLiU" w:hAnsiTheme="majorBidi" w:cstheme="majorBidi"/>
          <w:iCs/>
          <w:lang w:eastAsia="zh-TW"/>
        </w:rPr>
        <w:t xml:space="preserve">h of the role of public funding </w:t>
      </w:r>
      <w:r w:rsidR="0075027F" w:rsidRPr="000628A0">
        <w:rPr>
          <w:rFonts w:asciiTheme="majorBidi" w:eastAsia="PMingLiU" w:hAnsiTheme="majorBidi" w:cstheme="majorBidi"/>
          <w:iCs/>
          <w:lang w:eastAsia="zh-TW"/>
        </w:rPr>
        <w:t xml:space="preserve">a function of greater uptake of funding from the state by pre-existing organisations, </w:t>
      </w:r>
      <w:r>
        <w:rPr>
          <w:rFonts w:asciiTheme="majorBidi" w:eastAsia="PMingLiU" w:hAnsiTheme="majorBidi" w:cstheme="majorBidi"/>
          <w:iCs/>
          <w:lang w:eastAsia="zh-TW"/>
        </w:rPr>
        <w:t>or</w:t>
      </w:r>
      <w:r w:rsidR="0075027F" w:rsidRPr="000628A0">
        <w:rPr>
          <w:rFonts w:asciiTheme="majorBidi" w:eastAsia="PMingLiU" w:hAnsiTheme="majorBidi" w:cstheme="majorBidi"/>
          <w:iCs/>
          <w:lang w:eastAsia="zh-TW"/>
        </w:rPr>
        <w:t xml:space="preserve"> is it a result of the establishment of new organisations whose principal (even only) source of funding is national or local government? Given the widespread interest in the virtues of social enterprise models of third sector development, questions could also be asked about whether or not organisations are able to develop a sustainable future through the generation of income from fees for their services. These and other questions will be the subject of future longitudinal research.</w:t>
      </w:r>
    </w:p>
    <w:p w:rsidR="00890CEE" w:rsidRPr="000628A0" w:rsidRDefault="0075027F" w:rsidP="00890CEE">
      <w:pPr>
        <w:spacing w:line="480" w:lineRule="auto"/>
        <w:rPr>
          <w:rFonts w:asciiTheme="majorBidi" w:eastAsia="PMingLiU" w:hAnsiTheme="majorBidi" w:cstheme="majorBidi"/>
          <w:lang w:eastAsia="zh-TW"/>
        </w:rPr>
      </w:pPr>
      <w:r w:rsidRPr="000628A0">
        <w:rPr>
          <w:rFonts w:asciiTheme="majorBidi" w:eastAsia="PMingLiU" w:hAnsiTheme="majorBidi" w:cstheme="majorBidi"/>
          <w:iCs/>
          <w:lang w:eastAsia="zh-TW"/>
        </w:rPr>
        <w:t xml:space="preserve"> </w:t>
      </w:r>
    </w:p>
    <w:p w:rsidR="008E12DA" w:rsidRDefault="00AA7480" w:rsidP="005C6848">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Finally, we note two implications of this research for studies of volun</w:t>
      </w:r>
      <w:r w:rsidR="00034F41" w:rsidRPr="000628A0">
        <w:rPr>
          <w:rFonts w:asciiTheme="majorBidi" w:eastAsia="PMingLiU" w:hAnsiTheme="majorBidi" w:cstheme="majorBidi"/>
          <w:lang w:eastAsia="zh-TW"/>
        </w:rPr>
        <w:t>t</w:t>
      </w:r>
      <w:r w:rsidRPr="000628A0">
        <w:rPr>
          <w:rFonts w:asciiTheme="majorBidi" w:eastAsia="PMingLiU" w:hAnsiTheme="majorBidi" w:cstheme="majorBidi"/>
          <w:lang w:eastAsia="zh-TW"/>
        </w:rPr>
        <w:t>ary organisations in other countries.  First,</w:t>
      </w:r>
      <w:r w:rsidR="004E25BA" w:rsidRPr="000628A0">
        <w:rPr>
          <w:rFonts w:asciiTheme="majorBidi" w:eastAsia="PMingLiU" w:hAnsiTheme="majorBidi" w:cstheme="majorBidi"/>
          <w:lang w:eastAsia="zh-TW"/>
        </w:rPr>
        <w:t xml:space="preserve"> in presenting statistics for the UK,</w:t>
      </w:r>
      <w:r w:rsidRPr="000628A0">
        <w:rPr>
          <w:rFonts w:asciiTheme="majorBidi" w:eastAsia="PMingLiU" w:hAnsiTheme="majorBidi" w:cstheme="majorBidi"/>
          <w:lang w:eastAsia="zh-TW"/>
        </w:rPr>
        <w:t xml:space="preserve"> it provides a </w:t>
      </w:r>
      <w:r w:rsidR="0060283D" w:rsidRPr="000628A0">
        <w:rPr>
          <w:rFonts w:asciiTheme="majorBidi" w:eastAsia="PMingLiU" w:hAnsiTheme="majorBidi" w:cstheme="majorBidi"/>
          <w:lang w:eastAsia="zh-TW"/>
        </w:rPr>
        <w:t>fra</w:t>
      </w:r>
      <w:r w:rsidR="007255AD" w:rsidRPr="000628A0">
        <w:rPr>
          <w:rFonts w:asciiTheme="majorBidi" w:eastAsia="PMingLiU" w:hAnsiTheme="majorBidi" w:cstheme="majorBidi"/>
          <w:lang w:eastAsia="zh-TW"/>
        </w:rPr>
        <w:t xml:space="preserve">me of reference </w:t>
      </w:r>
      <w:r w:rsidR="0060283D" w:rsidRPr="000628A0">
        <w:rPr>
          <w:rFonts w:asciiTheme="majorBidi" w:eastAsia="PMingLiU" w:hAnsiTheme="majorBidi" w:cstheme="majorBidi"/>
          <w:lang w:eastAsia="zh-TW"/>
        </w:rPr>
        <w:t>which can</w:t>
      </w:r>
      <w:r w:rsidR="004E25BA" w:rsidRPr="000628A0">
        <w:rPr>
          <w:rFonts w:asciiTheme="majorBidi" w:eastAsia="PMingLiU" w:hAnsiTheme="majorBidi" w:cstheme="majorBidi"/>
          <w:lang w:eastAsia="zh-TW"/>
        </w:rPr>
        <w:t xml:space="preserve"> serve as a </w:t>
      </w:r>
      <w:r w:rsidRPr="000628A0">
        <w:rPr>
          <w:rFonts w:asciiTheme="majorBidi" w:eastAsia="PMingLiU" w:hAnsiTheme="majorBidi" w:cstheme="majorBidi"/>
          <w:lang w:eastAsia="zh-TW"/>
        </w:rPr>
        <w:t>basis for cross-count</w:t>
      </w:r>
      <w:r w:rsidR="007255AD" w:rsidRPr="000628A0">
        <w:rPr>
          <w:rFonts w:asciiTheme="majorBidi" w:eastAsia="PMingLiU" w:hAnsiTheme="majorBidi" w:cstheme="majorBidi"/>
          <w:lang w:eastAsia="zh-TW"/>
        </w:rPr>
        <w:t xml:space="preserve">ry comparative research </w:t>
      </w:r>
      <w:r w:rsidRPr="000628A0">
        <w:rPr>
          <w:rFonts w:asciiTheme="majorBidi" w:eastAsia="PMingLiU" w:hAnsiTheme="majorBidi" w:cstheme="majorBidi"/>
          <w:lang w:eastAsia="zh-TW"/>
        </w:rPr>
        <w:t xml:space="preserve"> exami</w:t>
      </w:r>
      <w:r w:rsidR="007255AD" w:rsidRPr="000628A0">
        <w:rPr>
          <w:rFonts w:asciiTheme="majorBidi" w:eastAsia="PMingLiU" w:hAnsiTheme="majorBidi" w:cstheme="majorBidi"/>
          <w:lang w:eastAsia="zh-TW"/>
        </w:rPr>
        <w:t>ning</w:t>
      </w:r>
      <w:r w:rsidRPr="000628A0">
        <w:rPr>
          <w:rFonts w:asciiTheme="majorBidi" w:eastAsia="PMingLiU" w:hAnsiTheme="majorBidi" w:cstheme="majorBidi"/>
          <w:lang w:eastAsia="zh-TW"/>
        </w:rPr>
        <w:t xml:space="preserve"> differences</w:t>
      </w:r>
      <w:r w:rsidR="004E25BA" w:rsidRPr="000628A0">
        <w:rPr>
          <w:rFonts w:asciiTheme="majorBidi" w:eastAsia="PMingLiU" w:hAnsiTheme="majorBidi" w:cstheme="majorBidi"/>
          <w:lang w:eastAsia="zh-TW"/>
        </w:rPr>
        <w:t xml:space="preserve"> between countries</w:t>
      </w:r>
      <w:r w:rsidRPr="000628A0">
        <w:rPr>
          <w:rFonts w:asciiTheme="majorBidi" w:eastAsia="PMingLiU" w:hAnsiTheme="majorBidi" w:cstheme="majorBidi"/>
          <w:lang w:eastAsia="zh-TW"/>
        </w:rPr>
        <w:t xml:space="preserve"> in the income composition of voluntary organisations</w:t>
      </w:r>
      <w:r w:rsidR="004E25BA" w:rsidRPr="000628A0">
        <w:rPr>
          <w:rFonts w:asciiTheme="majorBidi" w:eastAsia="PMingLiU" w:hAnsiTheme="majorBidi" w:cstheme="majorBidi"/>
          <w:lang w:eastAsia="zh-TW"/>
        </w:rPr>
        <w:t>.  This is</w:t>
      </w:r>
      <w:r w:rsidRPr="000628A0">
        <w:rPr>
          <w:rFonts w:asciiTheme="majorBidi" w:eastAsia="PMingLiU" w:hAnsiTheme="majorBidi" w:cstheme="majorBidi"/>
          <w:lang w:eastAsia="zh-TW"/>
        </w:rPr>
        <w:t xml:space="preserve"> relevant to theoretical work which seeks to compare the nature of the voluntary sector in different country contexts (Salamon and Anheier, 1998)</w:t>
      </w:r>
      <w:r w:rsidR="004E25BA" w:rsidRPr="000628A0">
        <w:rPr>
          <w:rFonts w:asciiTheme="majorBidi" w:eastAsia="PMingLiU" w:hAnsiTheme="majorBidi" w:cstheme="majorBidi"/>
          <w:lang w:eastAsia="zh-TW"/>
        </w:rPr>
        <w:t xml:space="preserve">.  Second, </w:t>
      </w:r>
      <w:r w:rsidR="00034F41" w:rsidRPr="000628A0">
        <w:rPr>
          <w:rFonts w:asciiTheme="majorBidi" w:eastAsia="PMingLiU" w:hAnsiTheme="majorBidi" w:cstheme="majorBidi"/>
          <w:lang w:eastAsia="zh-TW"/>
        </w:rPr>
        <w:t xml:space="preserve">it </w:t>
      </w:r>
      <w:r w:rsidR="004E25BA" w:rsidRPr="000628A0">
        <w:rPr>
          <w:rFonts w:asciiTheme="majorBidi" w:eastAsia="PMingLiU" w:hAnsiTheme="majorBidi" w:cstheme="majorBidi"/>
          <w:lang w:eastAsia="zh-TW"/>
        </w:rPr>
        <w:t>provide</w:t>
      </w:r>
      <w:r w:rsidR="00034F41" w:rsidRPr="000628A0">
        <w:rPr>
          <w:rFonts w:asciiTheme="majorBidi" w:eastAsia="PMingLiU" w:hAnsiTheme="majorBidi" w:cstheme="majorBidi"/>
          <w:lang w:eastAsia="zh-TW"/>
        </w:rPr>
        <w:t>s lessons about how empirical work</w:t>
      </w:r>
      <w:r w:rsidR="004E25BA" w:rsidRPr="000628A0">
        <w:rPr>
          <w:rFonts w:asciiTheme="majorBidi" w:eastAsia="PMingLiU" w:hAnsiTheme="majorBidi" w:cstheme="majorBidi"/>
          <w:lang w:eastAsia="zh-TW"/>
        </w:rPr>
        <w:t xml:space="preserve"> </w:t>
      </w:r>
      <w:r w:rsidR="00034F41" w:rsidRPr="000628A0">
        <w:rPr>
          <w:rFonts w:asciiTheme="majorBidi" w:eastAsia="PMingLiU" w:hAnsiTheme="majorBidi" w:cstheme="majorBidi"/>
          <w:lang w:eastAsia="zh-TW"/>
        </w:rPr>
        <w:t>in other countries might proceed</w:t>
      </w:r>
      <w:r w:rsidR="004E25BA" w:rsidRPr="000628A0">
        <w:rPr>
          <w:rFonts w:asciiTheme="majorBidi" w:eastAsia="PMingLiU" w:hAnsiTheme="majorBidi" w:cstheme="majorBidi"/>
          <w:lang w:eastAsia="zh-TW"/>
        </w:rPr>
        <w:t xml:space="preserve">.   </w:t>
      </w:r>
      <w:r w:rsidR="00034F41" w:rsidRPr="000628A0">
        <w:rPr>
          <w:rFonts w:asciiTheme="majorBidi" w:eastAsia="PMingLiU" w:hAnsiTheme="majorBidi" w:cstheme="majorBidi"/>
          <w:lang w:eastAsia="zh-TW"/>
        </w:rPr>
        <w:t>In particular, this</w:t>
      </w:r>
      <w:r w:rsidR="004E25BA" w:rsidRPr="000628A0">
        <w:rPr>
          <w:rFonts w:asciiTheme="majorBidi" w:eastAsia="PMingLiU" w:hAnsiTheme="majorBidi" w:cstheme="majorBidi"/>
          <w:lang w:eastAsia="zh-TW"/>
        </w:rPr>
        <w:t xml:space="preserve"> </w:t>
      </w:r>
      <w:r w:rsidR="00034F41" w:rsidRPr="000628A0">
        <w:rPr>
          <w:rFonts w:asciiTheme="majorBidi" w:eastAsia="PMingLiU" w:hAnsiTheme="majorBidi" w:cstheme="majorBidi"/>
          <w:lang w:eastAsia="zh-TW"/>
        </w:rPr>
        <w:t>paper has illu</w:t>
      </w:r>
      <w:r w:rsidR="004E25BA" w:rsidRPr="000628A0">
        <w:rPr>
          <w:rFonts w:asciiTheme="majorBidi" w:eastAsia="PMingLiU" w:hAnsiTheme="majorBidi" w:cstheme="majorBidi"/>
          <w:lang w:eastAsia="zh-TW"/>
        </w:rPr>
        <w:t xml:space="preserve">strated </w:t>
      </w:r>
      <w:r w:rsidR="00034F41" w:rsidRPr="000628A0">
        <w:rPr>
          <w:rFonts w:asciiTheme="majorBidi" w:eastAsia="PMingLiU" w:hAnsiTheme="majorBidi" w:cstheme="majorBidi"/>
          <w:lang w:eastAsia="zh-TW"/>
        </w:rPr>
        <w:t xml:space="preserve">the value </w:t>
      </w:r>
      <w:r w:rsidR="00F06FE4">
        <w:rPr>
          <w:rFonts w:asciiTheme="majorBidi" w:eastAsia="PMingLiU" w:hAnsiTheme="majorBidi" w:cstheme="majorBidi"/>
          <w:lang w:eastAsia="zh-TW"/>
        </w:rPr>
        <w:t xml:space="preserve">of </w:t>
      </w:r>
      <w:r w:rsidR="00034F41" w:rsidRPr="000628A0">
        <w:rPr>
          <w:rFonts w:asciiTheme="majorBidi" w:eastAsia="PMingLiU" w:hAnsiTheme="majorBidi" w:cstheme="majorBidi"/>
          <w:lang w:eastAsia="zh-TW"/>
        </w:rPr>
        <w:t>examining</w:t>
      </w:r>
      <w:r w:rsidR="0060283D" w:rsidRPr="000628A0">
        <w:rPr>
          <w:rFonts w:asciiTheme="majorBidi" w:eastAsia="PMingLiU" w:hAnsiTheme="majorBidi" w:cstheme="majorBidi"/>
          <w:lang w:eastAsia="zh-TW"/>
        </w:rPr>
        <w:t xml:space="preserve"> </w:t>
      </w:r>
      <w:r w:rsidR="00034F41" w:rsidRPr="000628A0">
        <w:rPr>
          <w:rFonts w:asciiTheme="majorBidi" w:eastAsia="PMingLiU" w:hAnsiTheme="majorBidi" w:cstheme="majorBidi"/>
          <w:lang w:eastAsia="zh-TW"/>
        </w:rPr>
        <w:t xml:space="preserve">income source composition at the level of the organisation, and not just the sector as a whole; </w:t>
      </w:r>
      <w:r w:rsidR="0060283D" w:rsidRPr="000628A0">
        <w:rPr>
          <w:rFonts w:asciiTheme="majorBidi" w:eastAsia="PMingLiU" w:hAnsiTheme="majorBidi" w:cstheme="majorBidi"/>
          <w:lang w:eastAsia="zh-TW"/>
        </w:rPr>
        <w:t xml:space="preserve">the value of disaggregating </w:t>
      </w:r>
      <w:r w:rsidR="00034F41" w:rsidRPr="000628A0">
        <w:rPr>
          <w:rFonts w:asciiTheme="majorBidi" w:eastAsia="PMingLiU" w:hAnsiTheme="majorBidi" w:cstheme="majorBidi"/>
          <w:lang w:eastAsia="zh-TW"/>
        </w:rPr>
        <w:t xml:space="preserve">patterns according to charitable subsectors; </w:t>
      </w:r>
      <w:r w:rsidR="0060283D" w:rsidRPr="000628A0">
        <w:rPr>
          <w:rFonts w:asciiTheme="majorBidi" w:eastAsia="PMingLiU" w:hAnsiTheme="majorBidi" w:cstheme="majorBidi"/>
          <w:lang w:eastAsia="zh-TW"/>
        </w:rPr>
        <w:t xml:space="preserve"> </w:t>
      </w:r>
      <w:r w:rsidR="00034F41" w:rsidRPr="000628A0">
        <w:rPr>
          <w:rFonts w:asciiTheme="majorBidi" w:eastAsia="PMingLiU" w:hAnsiTheme="majorBidi" w:cstheme="majorBidi"/>
          <w:lang w:eastAsia="zh-TW"/>
        </w:rPr>
        <w:t>and the value of data which</w:t>
      </w:r>
      <w:r w:rsidR="00A01538" w:rsidRPr="000628A0">
        <w:rPr>
          <w:rFonts w:asciiTheme="majorBidi" w:eastAsia="PMingLiU" w:hAnsiTheme="majorBidi" w:cstheme="majorBidi"/>
          <w:lang w:eastAsia="zh-TW"/>
        </w:rPr>
        <w:t xml:space="preserve"> is able to identify income from government, </w:t>
      </w:r>
      <w:r w:rsidR="00034F41" w:rsidRPr="000628A0">
        <w:rPr>
          <w:rFonts w:asciiTheme="majorBidi" w:eastAsia="PMingLiU" w:hAnsiTheme="majorBidi" w:cstheme="majorBidi"/>
          <w:lang w:eastAsia="zh-TW"/>
        </w:rPr>
        <w:t xml:space="preserve"> </w:t>
      </w:r>
      <w:r w:rsidR="00A01538" w:rsidRPr="000628A0">
        <w:rPr>
          <w:rFonts w:asciiTheme="majorBidi" w:eastAsia="PMingLiU" w:hAnsiTheme="majorBidi" w:cstheme="majorBidi"/>
          <w:lang w:eastAsia="zh-TW"/>
        </w:rPr>
        <w:t>as distinct from private fees from individuals</w:t>
      </w:r>
      <w:r w:rsidR="0060283D" w:rsidRPr="000628A0">
        <w:rPr>
          <w:rFonts w:asciiTheme="majorBidi" w:eastAsia="PMingLiU" w:hAnsiTheme="majorBidi" w:cstheme="majorBidi"/>
          <w:lang w:eastAsia="zh-TW"/>
        </w:rPr>
        <w:t>.</w:t>
      </w:r>
    </w:p>
    <w:p w:rsidR="008E12DA" w:rsidRDefault="008E12DA" w:rsidP="005C6848">
      <w:pPr>
        <w:spacing w:line="480" w:lineRule="auto"/>
        <w:rPr>
          <w:rFonts w:asciiTheme="majorBidi" w:eastAsia="PMingLiU" w:hAnsiTheme="majorBidi" w:cstheme="majorBidi"/>
          <w:lang w:eastAsia="zh-TW"/>
        </w:rPr>
      </w:pPr>
    </w:p>
    <w:p w:rsidR="008E12DA" w:rsidRDefault="00034F41" w:rsidP="005C6848">
      <w:pPr>
        <w:spacing w:line="480" w:lineRule="auto"/>
        <w:rPr>
          <w:rFonts w:asciiTheme="majorBidi" w:eastAsia="PMingLiU" w:hAnsiTheme="majorBidi" w:cstheme="majorBidi"/>
          <w:lang w:eastAsia="zh-TW"/>
        </w:rPr>
      </w:pPr>
      <w:r w:rsidRPr="000628A0">
        <w:rPr>
          <w:rFonts w:asciiTheme="majorBidi" w:eastAsia="PMingLiU" w:hAnsiTheme="majorBidi" w:cstheme="majorBidi"/>
          <w:lang w:eastAsia="zh-TW"/>
        </w:rPr>
        <w:t xml:space="preserve"> </w:t>
      </w:r>
      <w:r w:rsidR="008E12DA">
        <w:rPr>
          <w:rFonts w:asciiTheme="majorBidi" w:eastAsia="PMingLiU" w:hAnsiTheme="majorBidi" w:cstheme="majorBidi"/>
          <w:lang w:eastAsia="zh-TW"/>
        </w:rPr>
        <w:br w:type="page"/>
      </w:r>
    </w:p>
    <w:p w:rsidR="0051606D" w:rsidRPr="008E12DA" w:rsidRDefault="008E12DA" w:rsidP="005C6848">
      <w:pPr>
        <w:spacing w:line="480" w:lineRule="auto"/>
        <w:rPr>
          <w:rFonts w:asciiTheme="majorBidi" w:eastAsia="PMingLiU" w:hAnsiTheme="majorBidi" w:cstheme="majorBidi"/>
          <w:b/>
          <w:bCs/>
          <w:lang w:eastAsia="zh-TW"/>
        </w:rPr>
      </w:pPr>
      <w:r>
        <w:rPr>
          <w:rFonts w:asciiTheme="majorBidi" w:eastAsia="PMingLiU" w:hAnsiTheme="majorBidi" w:cstheme="majorBidi"/>
          <w:b/>
          <w:bCs/>
          <w:lang w:eastAsia="zh-TW"/>
        </w:rPr>
        <w:lastRenderedPageBreak/>
        <w:t>Notes</w:t>
      </w:r>
    </w:p>
    <w:p w:rsidR="008E12DA" w:rsidRDefault="008E12DA" w:rsidP="005C6848">
      <w:pPr>
        <w:spacing w:line="480" w:lineRule="auto"/>
        <w:rPr>
          <w:rFonts w:asciiTheme="majorBidi" w:eastAsia="PMingLiU" w:hAnsiTheme="majorBidi" w:cstheme="majorBidi"/>
          <w:lang w:eastAsia="zh-TW"/>
        </w:rPr>
        <w:sectPr w:rsidR="008E12DA">
          <w:headerReference w:type="default" r:id="rId9"/>
          <w:endnotePr>
            <w:numFmt w:val="decimal"/>
          </w:endnotePr>
          <w:pgSz w:w="11906" w:h="16838"/>
          <w:pgMar w:top="1440" w:right="1800" w:bottom="1440" w:left="1800" w:header="708" w:footer="708" w:gutter="0"/>
          <w:cols w:space="708"/>
          <w:docGrid w:linePitch="360"/>
        </w:sectPr>
      </w:pPr>
    </w:p>
    <w:p w:rsidR="009A0BAE" w:rsidRDefault="009A0BAE" w:rsidP="0024124F">
      <w:pPr>
        <w:spacing w:line="480" w:lineRule="auto"/>
        <w:ind w:left="720" w:hanging="720"/>
        <w:contextualSpacing/>
        <w:rPr>
          <w:rFonts w:asciiTheme="majorBidi" w:eastAsia="PMingLiU" w:hAnsiTheme="majorBidi" w:cstheme="majorBidi"/>
          <w:b/>
          <w:bCs/>
          <w:lang w:eastAsia="zh-TW"/>
        </w:rPr>
      </w:pPr>
      <w:r w:rsidRPr="000628A0">
        <w:rPr>
          <w:rFonts w:asciiTheme="majorBidi" w:eastAsia="PMingLiU" w:hAnsiTheme="majorBidi" w:cstheme="majorBidi"/>
          <w:b/>
          <w:bCs/>
          <w:lang w:eastAsia="zh-TW"/>
        </w:rPr>
        <w:lastRenderedPageBreak/>
        <w:t>References</w:t>
      </w:r>
    </w:p>
    <w:p w:rsidR="0024124F" w:rsidRPr="000628A0" w:rsidRDefault="0024124F" w:rsidP="0024124F">
      <w:pPr>
        <w:spacing w:line="480" w:lineRule="auto"/>
        <w:ind w:left="720" w:hanging="720"/>
        <w:contextualSpacing/>
        <w:rPr>
          <w:rFonts w:asciiTheme="majorBidi" w:eastAsia="PMingLiU" w:hAnsiTheme="majorBidi" w:cstheme="majorBidi"/>
          <w:lang w:eastAsia="zh-TW"/>
        </w:rPr>
      </w:pPr>
    </w:p>
    <w:p w:rsidR="009A0BAE" w:rsidRPr="000628A0" w:rsidRDefault="009A0BAE" w:rsidP="0024124F">
      <w:pPr>
        <w:spacing w:line="480" w:lineRule="auto"/>
        <w:ind w:left="720" w:hanging="720"/>
        <w:contextualSpacing/>
        <w:rPr>
          <w:rFonts w:asciiTheme="majorBidi" w:hAnsiTheme="majorBidi" w:cstheme="majorBidi"/>
          <w:noProof/>
        </w:rPr>
      </w:pPr>
      <w:r w:rsidRPr="000628A0">
        <w:rPr>
          <w:rFonts w:asciiTheme="majorBidi" w:hAnsiTheme="majorBidi" w:cstheme="majorBidi"/>
          <w:noProof/>
        </w:rPr>
        <w:t xml:space="preserve">Aitchison, J. (1986). </w:t>
      </w:r>
      <w:r w:rsidRPr="000628A0">
        <w:rPr>
          <w:rFonts w:asciiTheme="majorBidi" w:hAnsiTheme="majorBidi" w:cstheme="majorBidi"/>
          <w:i/>
          <w:noProof/>
        </w:rPr>
        <w:t>The Statistical Analysis of Compositional Data</w:t>
      </w:r>
      <w:r w:rsidRPr="000628A0">
        <w:rPr>
          <w:rFonts w:asciiTheme="majorBidi" w:hAnsiTheme="majorBidi" w:cstheme="majorBidi"/>
          <w:noProof/>
        </w:rPr>
        <w:t>, Chapman &amp; Hall, Ltd, London.</w:t>
      </w:r>
    </w:p>
    <w:p w:rsidR="009A0BAE" w:rsidRPr="000628A0" w:rsidRDefault="009A0BAE" w:rsidP="0024124F">
      <w:pPr>
        <w:spacing w:line="480" w:lineRule="auto"/>
        <w:ind w:left="720" w:hanging="720"/>
        <w:contextualSpacing/>
        <w:rPr>
          <w:rFonts w:asciiTheme="majorBidi" w:hAnsiTheme="majorBidi" w:cstheme="majorBidi"/>
          <w:noProof/>
        </w:rPr>
      </w:pPr>
      <w:r w:rsidRPr="000628A0">
        <w:rPr>
          <w:rFonts w:asciiTheme="majorBidi" w:hAnsiTheme="majorBidi" w:cstheme="majorBidi"/>
          <w:noProof/>
        </w:rPr>
        <w:t xml:space="preserve">Aitchison, J., and Egozcue, J. (2005). Compositional data analysis: Where are we and where should we be heading? </w:t>
      </w:r>
      <w:r w:rsidRPr="000628A0">
        <w:rPr>
          <w:rFonts w:asciiTheme="majorBidi" w:hAnsiTheme="majorBidi" w:cstheme="majorBidi"/>
          <w:i/>
          <w:noProof/>
        </w:rPr>
        <w:t>Mathematical Geology</w:t>
      </w:r>
      <w:r w:rsidRPr="000628A0">
        <w:rPr>
          <w:rFonts w:asciiTheme="majorBidi" w:hAnsiTheme="majorBidi" w:cstheme="majorBidi"/>
          <w:noProof/>
        </w:rPr>
        <w:t>, 37, 829–850.</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Alcock, P. (2008). </w:t>
      </w:r>
      <w:r w:rsidRPr="000628A0">
        <w:rPr>
          <w:rFonts w:asciiTheme="majorBidi" w:hAnsiTheme="majorBidi" w:cstheme="majorBidi"/>
          <w:i/>
          <w:noProof/>
        </w:rPr>
        <w:t>Social Policy in Britain</w:t>
      </w:r>
      <w:r w:rsidRPr="000628A0">
        <w:rPr>
          <w:rFonts w:asciiTheme="majorBidi" w:hAnsiTheme="majorBidi" w:cstheme="majorBidi"/>
          <w:noProof/>
        </w:rPr>
        <w:t>, Palgrave Macmillan, Basingstoke.</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Alcock, P. (2010a). Building the Big Society: a new policy environment for the third sector in England. </w:t>
      </w:r>
      <w:r w:rsidRPr="000628A0">
        <w:rPr>
          <w:rFonts w:asciiTheme="majorBidi" w:hAnsiTheme="majorBidi" w:cstheme="majorBidi"/>
          <w:i/>
          <w:noProof/>
        </w:rPr>
        <w:t>Voluntary Sector Review</w:t>
      </w:r>
      <w:r w:rsidRPr="000628A0">
        <w:rPr>
          <w:rFonts w:asciiTheme="majorBidi" w:hAnsiTheme="majorBidi" w:cstheme="majorBidi"/>
          <w:noProof/>
        </w:rPr>
        <w:t>, 1, 379–389.</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Alcock, P. (2010b). Partnership and mainstreaming: voluntary action under New Labour. </w:t>
      </w:r>
      <w:r w:rsidRPr="000628A0">
        <w:rPr>
          <w:rFonts w:asciiTheme="majorBidi" w:hAnsiTheme="majorBidi" w:cstheme="majorBidi"/>
          <w:i/>
          <w:noProof/>
        </w:rPr>
        <w:t xml:space="preserve">Third Sector Research Centre Working Paper </w:t>
      </w:r>
      <w:r w:rsidRPr="000628A0">
        <w:rPr>
          <w:rFonts w:asciiTheme="majorBidi" w:hAnsiTheme="majorBidi" w:cstheme="majorBidi"/>
          <w:noProof/>
        </w:rPr>
        <w:t>32.</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Alcock, P., and Kendall, J. (2011). Constituting the third sector: processes of decontestation and contention under the UK Labour governments in England. </w:t>
      </w:r>
      <w:r w:rsidRPr="000628A0">
        <w:rPr>
          <w:rFonts w:asciiTheme="majorBidi" w:hAnsiTheme="majorBidi" w:cstheme="majorBidi"/>
          <w:i/>
          <w:noProof/>
        </w:rPr>
        <w:t>Voluntas: International Journal of Voluntary and Nonprofit Organizations</w:t>
      </w:r>
      <w:r w:rsidRPr="000628A0">
        <w:rPr>
          <w:rFonts w:asciiTheme="majorBidi" w:hAnsiTheme="majorBidi" w:cstheme="majorBidi"/>
          <w:noProof/>
        </w:rPr>
        <w:t>, 22, 450–469.</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Bartholomew, D., Steele, F., Galbraith, J., and Moustaki, I. (2008). </w:t>
      </w:r>
      <w:r w:rsidRPr="000628A0">
        <w:rPr>
          <w:rFonts w:asciiTheme="majorBidi" w:hAnsiTheme="majorBidi" w:cstheme="majorBidi"/>
          <w:i/>
          <w:noProof/>
        </w:rPr>
        <w:t>Analysis of Multivariate Social Science Data</w:t>
      </w:r>
      <w:r w:rsidRPr="000628A0">
        <w:rPr>
          <w:rFonts w:asciiTheme="majorBidi" w:hAnsiTheme="majorBidi" w:cstheme="majorBidi"/>
          <w:noProof/>
        </w:rPr>
        <w:t>, Routledge, Abingdon.</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Beveridge, W. (1948). </w:t>
      </w:r>
      <w:r w:rsidRPr="000628A0">
        <w:rPr>
          <w:rFonts w:asciiTheme="majorBidi" w:hAnsiTheme="majorBidi" w:cstheme="majorBidi"/>
          <w:i/>
          <w:noProof/>
        </w:rPr>
        <w:t>Voluntary Action: A Report on Methods of Social Advance</w:t>
      </w:r>
      <w:r w:rsidRPr="000628A0">
        <w:rPr>
          <w:rFonts w:asciiTheme="majorBidi" w:hAnsiTheme="majorBidi" w:cstheme="majorBidi"/>
          <w:noProof/>
        </w:rPr>
        <w:t>, Allen and Unwin, London.</w:t>
      </w:r>
    </w:p>
    <w:p w:rsidR="009A0BAE"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Billis, D. (2010). </w:t>
      </w:r>
      <w:r w:rsidRPr="000628A0">
        <w:rPr>
          <w:rFonts w:asciiTheme="majorBidi" w:hAnsiTheme="majorBidi" w:cstheme="majorBidi"/>
          <w:i/>
          <w:noProof/>
        </w:rPr>
        <w:t>Hybrid Organizations and the Third Sector: Challenges for Practice, Theory and Policy</w:t>
      </w:r>
      <w:r w:rsidRPr="000628A0">
        <w:rPr>
          <w:rFonts w:asciiTheme="majorBidi" w:hAnsiTheme="majorBidi" w:cstheme="majorBidi"/>
          <w:noProof/>
        </w:rPr>
        <w:t>, Palgrave Macmillan, Basingstoke.</w:t>
      </w:r>
    </w:p>
    <w:p w:rsidR="008E59AA" w:rsidRDefault="008E59AA" w:rsidP="008E59AA">
      <w:pPr>
        <w:spacing w:line="480" w:lineRule="auto"/>
        <w:ind w:left="720" w:hanging="720"/>
        <w:rPr>
          <w:rFonts w:asciiTheme="majorBidi" w:hAnsiTheme="majorBidi" w:cstheme="majorBidi"/>
          <w:noProof/>
        </w:rPr>
      </w:pPr>
      <w:r>
        <w:rPr>
          <w:rFonts w:asciiTheme="majorBidi" w:hAnsiTheme="majorBidi" w:cstheme="majorBidi"/>
          <w:noProof/>
        </w:rPr>
        <w:t xml:space="preserve">Buckingham, H. (2011).  </w:t>
      </w:r>
      <w:r w:rsidRPr="008E59AA">
        <w:rPr>
          <w:rFonts w:asciiTheme="majorBidi" w:hAnsiTheme="majorBidi" w:cstheme="majorBidi"/>
          <w:noProof/>
        </w:rPr>
        <w:t>Hybridity, diversity and the division of labour in the third sector: what can we learn from homelessness organisations in the UK?</w:t>
      </w:r>
      <w:r>
        <w:rPr>
          <w:rFonts w:asciiTheme="majorBidi" w:hAnsiTheme="majorBidi" w:cstheme="majorBidi"/>
          <w:i/>
          <w:iCs/>
          <w:noProof/>
        </w:rPr>
        <w:t xml:space="preserve">  </w:t>
      </w:r>
      <w:r w:rsidRPr="008E59AA">
        <w:rPr>
          <w:rFonts w:asciiTheme="majorBidi" w:hAnsiTheme="majorBidi" w:cstheme="majorBidi"/>
          <w:i/>
          <w:iCs/>
          <w:noProof/>
        </w:rPr>
        <w:t>Voluntary Sector Review</w:t>
      </w:r>
      <w:r>
        <w:rPr>
          <w:rFonts w:asciiTheme="majorBidi" w:hAnsiTheme="majorBidi" w:cstheme="majorBidi"/>
          <w:noProof/>
        </w:rPr>
        <w:t xml:space="preserve">, 2, </w:t>
      </w:r>
      <w:r w:rsidRPr="008E59AA">
        <w:rPr>
          <w:rFonts w:asciiTheme="majorBidi" w:hAnsiTheme="majorBidi" w:cstheme="majorBidi"/>
          <w:noProof/>
        </w:rPr>
        <w:t>157–</w:t>
      </w:r>
      <w:r>
        <w:rPr>
          <w:rFonts w:asciiTheme="majorBidi" w:hAnsiTheme="majorBidi" w:cstheme="majorBidi"/>
          <w:noProof/>
        </w:rPr>
        <w:t>1</w:t>
      </w:r>
      <w:r w:rsidRPr="008E59AA">
        <w:rPr>
          <w:rFonts w:asciiTheme="majorBidi" w:hAnsiTheme="majorBidi" w:cstheme="majorBidi"/>
          <w:noProof/>
        </w:rPr>
        <w:t>75</w:t>
      </w:r>
      <w:r>
        <w:rPr>
          <w:rFonts w:asciiTheme="majorBidi" w:hAnsiTheme="majorBidi" w:cstheme="majorBidi"/>
          <w:noProof/>
        </w:rPr>
        <w:t>.</w:t>
      </w:r>
    </w:p>
    <w:p w:rsidR="007C02B0" w:rsidRDefault="007C02B0" w:rsidP="00171A07">
      <w:pPr>
        <w:spacing w:line="480" w:lineRule="auto"/>
        <w:ind w:left="720" w:hanging="720"/>
        <w:rPr>
          <w:rFonts w:asciiTheme="majorBidi" w:hAnsiTheme="majorBidi" w:cstheme="majorBidi"/>
          <w:noProof/>
        </w:rPr>
      </w:pPr>
      <w:r>
        <w:rPr>
          <w:rFonts w:asciiTheme="majorBidi" w:hAnsiTheme="majorBidi" w:cstheme="majorBidi"/>
          <w:noProof/>
        </w:rPr>
        <w:lastRenderedPageBreak/>
        <w:t xml:space="preserve">Carroll, D.A. and Stater, K.J. (2009).  </w:t>
      </w:r>
      <w:r>
        <w:t xml:space="preserve">Revenue </w:t>
      </w:r>
      <w:r w:rsidR="00171A07">
        <w:t>d</w:t>
      </w:r>
      <w:r>
        <w:t xml:space="preserve">iversification in </w:t>
      </w:r>
      <w:r w:rsidR="00171A07">
        <w:t>n</w:t>
      </w:r>
      <w:r>
        <w:t xml:space="preserve">onprofit </w:t>
      </w:r>
      <w:r w:rsidR="00171A07">
        <w:t>o</w:t>
      </w:r>
      <w:r>
        <w:t xml:space="preserve">rganizations: </w:t>
      </w:r>
      <w:r w:rsidR="00171A07">
        <w:t>d</w:t>
      </w:r>
      <w:r>
        <w:t xml:space="preserve">oes it </w:t>
      </w:r>
      <w:r w:rsidR="00171A07">
        <w:t>l</w:t>
      </w:r>
      <w:r>
        <w:t xml:space="preserve">ead to </w:t>
      </w:r>
      <w:r w:rsidR="00171A07">
        <w:t>f</w:t>
      </w:r>
      <w:r>
        <w:t xml:space="preserve">inancial </w:t>
      </w:r>
      <w:r w:rsidR="00171A07">
        <w:t>s</w:t>
      </w:r>
      <w:r>
        <w:t>tability?</w:t>
      </w:r>
      <w:r w:rsidR="00171A07">
        <w:t xml:space="preserve">  </w:t>
      </w:r>
      <w:r w:rsidR="00171A07" w:rsidRPr="00171A07">
        <w:rPr>
          <w:i/>
          <w:iCs/>
        </w:rPr>
        <w:t>Journal of Public Administration Research and Theory</w:t>
      </w:r>
      <w:r w:rsidR="00171A07">
        <w:t>,</w:t>
      </w:r>
      <w:r w:rsidR="00171A07" w:rsidRPr="00171A07">
        <w:t xml:space="preserve"> </w:t>
      </w:r>
      <w:r w:rsidR="00171A07">
        <w:t>19, 947–966.</w:t>
      </w:r>
    </w:p>
    <w:p w:rsidR="00962978" w:rsidRPr="000628A0" w:rsidRDefault="00962978" w:rsidP="00962978">
      <w:pPr>
        <w:spacing w:line="480" w:lineRule="auto"/>
        <w:ind w:left="720" w:hanging="720"/>
        <w:rPr>
          <w:rFonts w:asciiTheme="majorBidi" w:hAnsiTheme="majorBidi" w:cstheme="majorBidi"/>
          <w:noProof/>
        </w:rPr>
      </w:pPr>
      <w:r>
        <w:rPr>
          <w:rFonts w:asciiTheme="majorBidi" w:hAnsiTheme="majorBidi" w:cstheme="majorBidi"/>
          <w:noProof/>
        </w:rPr>
        <w:t xml:space="preserve">Chang, C.F. and Tuckman, H.P. (1994).  Revenue diversification among non-profits.  </w:t>
      </w:r>
      <w:r w:rsidRPr="00962978">
        <w:rPr>
          <w:rFonts w:asciiTheme="majorBidi" w:hAnsiTheme="majorBidi" w:cstheme="majorBidi"/>
          <w:i/>
          <w:iCs/>
          <w:noProof/>
        </w:rPr>
        <w:t>Voluntas: International Journal of Voluntary and Nonprofit Organizations</w:t>
      </w:r>
      <w:r>
        <w:rPr>
          <w:rFonts w:asciiTheme="majorBidi" w:hAnsiTheme="majorBidi" w:cstheme="majorBidi"/>
          <w:noProof/>
        </w:rPr>
        <w:t xml:space="preserve">, </w:t>
      </w:r>
      <w:r w:rsidRPr="00962978">
        <w:rPr>
          <w:rFonts w:asciiTheme="majorBidi" w:hAnsiTheme="majorBidi" w:cstheme="majorBidi"/>
          <w:noProof/>
        </w:rPr>
        <w:t>5, 273-290</w:t>
      </w:r>
      <w:r>
        <w:rPr>
          <w:rFonts w:asciiTheme="majorBidi" w:hAnsiTheme="majorBidi" w:cstheme="majorBidi"/>
          <w:noProof/>
        </w:rPr>
        <w:t>.</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Charity Commission (2005). </w:t>
      </w:r>
      <w:r w:rsidRPr="000628A0">
        <w:rPr>
          <w:rFonts w:asciiTheme="majorBidi" w:hAnsiTheme="majorBidi" w:cstheme="majorBidi"/>
          <w:i/>
          <w:noProof/>
        </w:rPr>
        <w:t>Accounting and Reporting by Charities: Statement of Recommended Practice</w:t>
      </w:r>
      <w:r w:rsidRPr="000628A0">
        <w:rPr>
          <w:rFonts w:asciiTheme="majorBidi" w:hAnsiTheme="majorBidi" w:cstheme="majorBidi"/>
          <w:noProof/>
        </w:rPr>
        <w:t>, Charity Commission, London.</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Clark, J., Kane, D., Wilding, K., and Bass, P. (2012). </w:t>
      </w:r>
      <w:r w:rsidRPr="000628A0">
        <w:rPr>
          <w:rFonts w:asciiTheme="majorBidi" w:hAnsiTheme="majorBidi" w:cstheme="majorBidi"/>
          <w:i/>
          <w:noProof/>
        </w:rPr>
        <w:t>UK Civil Society Almanac 2012</w:t>
      </w:r>
      <w:r w:rsidRPr="000628A0">
        <w:rPr>
          <w:rFonts w:asciiTheme="majorBidi" w:hAnsiTheme="majorBidi" w:cstheme="majorBidi"/>
          <w:noProof/>
        </w:rPr>
        <w:t>, National Council of Voluntary Organisations, London.</w:t>
      </w:r>
    </w:p>
    <w:p w:rsidR="00AA3C9F" w:rsidRDefault="00AA3C9F" w:rsidP="00AA3C9F">
      <w:pPr>
        <w:spacing w:line="480" w:lineRule="auto"/>
        <w:ind w:left="720" w:hanging="720"/>
        <w:rPr>
          <w:rFonts w:asciiTheme="majorBidi" w:eastAsia="PMingLiU" w:hAnsiTheme="majorBidi" w:cstheme="majorBidi"/>
          <w:noProof/>
          <w:lang w:eastAsia="zh-TW"/>
        </w:rPr>
      </w:pPr>
      <w:r w:rsidRPr="000628A0">
        <w:rPr>
          <w:rFonts w:asciiTheme="majorBidi" w:eastAsia="PMingLiU" w:hAnsiTheme="majorBidi" w:cstheme="majorBidi"/>
          <w:noProof/>
          <w:lang w:eastAsia="zh-TW"/>
        </w:rPr>
        <w:t>Clifford, D., Geyne-Rahme, F. and Mohan, J. (2013)</w:t>
      </w:r>
      <w:r w:rsidR="00962978">
        <w:rPr>
          <w:rFonts w:asciiTheme="majorBidi" w:eastAsia="PMingLiU" w:hAnsiTheme="majorBidi" w:cstheme="majorBidi"/>
          <w:noProof/>
          <w:lang w:eastAsia="zh-TW"/>
        </w:rPr>
        <w:t>.</w:t>
      </w:r>
      <w:r w:rsidRPr="000628A0">
        <w:rPr>
          <w:rFonts w:asciiTheme="majorBidi" w:eastAsia="PMingLiU" w:hAnsiTheme="majorBidi" w:cstheme="majorBidi"/>
          <w:noProof/>
          <w:lang w:eastAsia="zh-TW"/>
        </w:rPr>
        <w:t xml:space="preserve"> Variations between organisations and localities in government funding of third-sector activity: evidence from the national survey of third-sector organisations in England. </w:t>
      </w:r>
      <w:r w:rsidRPr="000628A0">
        <w:rPr>
          <w:rFonts w:asciiTheme="majorBidi" w:eastAsia="PMingLiU" w:hAnsiTheme="majorBidi" w:cstheme="majorBidi"/>
          <w:i/>
          <w:iCs/>
          <w:noProof/>
          <w:lang w:eastAsia="zh-TW"/>
        </w:rPr>
        <w:t>Urban Studies</w:t>
      </w:r>
      <w:r w:rsidRPr="000628A0">
        <w:rPr>
          <w:rFonts w:asciiTheme="majorBidi" w:eastAsia="PMingLiU" w:hAnsiTheme="majorBidi" w:cstheme="majorBidi"/>
          <w:noProof/>
          <w:lang w:eastAsia="zh-TW"/>
        </w:rPr>
        <w:t>, 50, 959-976.</w:t>
      </w:r>
    </w:p>
    <w:p w:rsidR="00171A07" w:rsidRPr="00171A07" w:rsidRDefault="00171A07" w:rsidP="00171A07">
      <w:pPr>
        <w:spacing w:line="480" w:lineRule="auto"/>
        <w:ind w:left="720" w:hanging="720"/>
        <w:rPr>
          <w:rFonts w:asciiTheme="majorBidi" w:eastAsia="PMingLiU" w:hAnsiTheme="majorBidi" w:cstheme="majorBidi"/>
          <w:noProof/>
          <w:lang w:eastAsia="zh-TW"/>
        </w:rPr>
      </w:pPr>
      <w:r>
        <w:rPr>
          <w:rFonts w:asciiTheme="majorBidi" w:eastAsia="PMingLiU" w:hAnsiTheme="majorBidi" w:cstheme="majorBidi"/>
          <w:noProof/>
          <w:lang w:eastAsia="zh-TW"/>
        </w:rPr>
        <w:t xml:space="preserve">Conservative Party.  (2010). </w:t>
      </w:r>
      <w:r w:rsidRPr="00171A07">
        <w:rPr>
          <w:rFonts w:asciiTheme="majorBidi" w:eastAsia="PMingLiU" w:hAnsiTheme="majorBidi" w:cstheme="majorBidi"/>
          <w:i/>
          <w:iCs/>
          <w:noProof/>
          <w:lang w:eastAsia="zh-TW"/>
        </w:rPr>
        <w:t>Building the Big Society</w:t>
      </w:r>
      <w:r>
        <w:rPr>
          <w:rFonts w:asciiTheme="majorBidi" w:eastAsia="PMingLiU" w:hAnsiTheme="majorBidi" w:cstheme="majorBidi"/>
          <w:noProof/>
          <w:lang w:eastAsia="zh-TW"/>
        </w:rPr>
        <w:t xml:space="preserve">, Conservative Party, London. </w:t>
      </w:r>
    </w:p>
    <w:p w:rsidR="009A0BAE" w:rsidRDefault="009A0BAE" w:rsidP="00962978">
      <w:pPr>
        <w:spacing w:line="480" w:lineRule="auto"/>
        <w:ind w:left="720" w:hanging="720"/>
        <w:rPr>
          <w:rFonts w:asciiTheme="majorBidi" w:hAnsiTheme="majorBidi" w:cstheme="majorBidi"/>
          <w:noProof/>
        </w:rPr>
      </w:pPr>
      <w:r w:rsidRPr="000E6F8C">
        <w:rPr>
          <w:rFonts w:asciiTheme="majorBidi" w:hAnsiTheme="majorBidi" w:cstheme="majorBidi"/>
          <w:noProof/>
          <w:lang w:val="de-DE"/>
        </w:rPr>
        <w:t xml:space="preserve">Fischer, R. L., Wilsker, A.. </w:t>
      </w:r>
      <w:r w:rsidRPr="000628A0">
        <w:rPr>
          <w:rFonts w:asciiTheme="majorBidi" w:hAnsiTheme="majorBidi" w:cstheme="majorBidi"/>
          <w:noProof/>
        </w:rPr>
        <w:t xml:space="preserve">and Young, D. R. (2011). Exploring the revenue mix of nonprofit organizations: does it relate to publicness?. </w:t>
      </w:r>
      <w:r w:rsidRPr="000628A0">
        <w:rPr>
          <w:rFonts w:asciiTheme="majorBidi" w:hAnsiTheme="majorBidi" w:cstheme="majorBidi"/>
          <w:i/>
          <w:noProof/>
        </w:rPr>
        <w:t>Nonprofit and Voluntary SectorQuarterly</w:t>
      </w:r>
      <w:r w:rsidRPr="000628A0">
        <w:rPr>
          <w:rFonts w:asciiTheme="majorBidi" w:hAnsiTheme="majorBidi" w:cstheme="majorBidi"/>
          <w:noProof/>
        </w:rPr>
        <w:t>, 40, 662–681.</w:t>
      </w:r>
    </w:p>
    <w:p w:rsidR="0051181E" w:rsidRDefault="0051181E" w:rsidP="0051181E">
      <w:pPr>
        <w:spacing w:line="480" w:lineRule="auto"/>
        <w:ind w:left="720" w:hanging="720"/>
        <w:rPr>
          <w:rFonts w:asciiTheme="majorBidi" w:hAnsiTheme="majorBidi" w:cstheme="majorBidi"/>
          <w:noProof/>
        </w:rPr>
      </w:pPr>
      <w:r>
        <w:rPr>
          <w:rFonts w:asciiTheme="majorBidi" w:hAnsiTheme="majorBidi" w:cstheme="majorBidi"/>
          <w:noProof/>
        </w:rPr>
        <w:t>Froelich, K. A. (1999)</w:t>
      </w:r>
      <w:r w:rsidR="00FE32A3">
        <w:rPr>
          <w:rFonts w:asciiTheme="majorBidi" w:hAnsiTheme="majorBidi" w:cstheme="majorBidi"/>
          <w:noProof/>
        </w:rPr>
        <w:t>.</w:t>
      </w:r>
      <w:r>
        <w:rPr>
          <w:rFonts w:asciiTheme="majorBidi" w:hAnsiTheme="majorBidi" w:cstheme="majorBidi"/>
          <w:noProof/>
        </w:rPr>
        <w:t xml:space="preserve"> Diversification of revenue strategies: evolving resource dependence in nonprofit organizations.  </w:t>
      </w:r>
      <w:r w:rsidR="00962978">
        <w:rPr>
          <w:rFonts w:asciiTheme="majorBidi" w:hAnsiTheme="majorBidi" w:cstheme="majorBidi"/>
          <w:i/>
          <w:noProof/>
        </w:rPr>
        <w:t xml:space="preserve">Nonprofit and Voluntary Sector </w:t>
      </w:r>
      <w:r w:rsidRPr="000628A0">
        <w:rPr>
          <w:rFonts w:asciiTheme="majorBidi" w:hAnsiTheme="majorBidi" w:cstheme="majorBidi"/>
          <w:i/>
          <w:noProof/>
        </w:rPr>
        <w:t>Quarterly</w:t>
      </w:r>
      <w:r>
        <w:rPr>
          <w:rFonts w:asciiTheme="majorBidi" w:hAnsiTheme="majorBidi" w:cstheme="majorBidi"/>
          <w:noProof/>
        </w:rPr>
        <w:t>, 28, 246–268</w:t>
      </w:r>
      <w:r w:rsidRPr="000628A0">
        <w:rPr>
          <w:rFonts w:asciiTheme="majorBidi" w:hAnsiTheme="majorBidi" w:cstheme="majorBidi"/>
          <w:noProof/>
        </w:rPr>
        <w:t>.</w:t>
      </w:r>
    </w:p>
    <w:p w:rsidR="00962978" w:rsidRDefault="00962978" w:rsidP="00962978">
      <w:pPr>
        <w:spacing w:line="480" w:lineRule="auto"/>
        <w:ind w:left="720" w:hanging="720"/>
        <w:rPr>
          <w:rFonts w:asciiTheme="majorBidi" w:hAnsiTheme="majorBidi" w:cstheme="majorBidi"/>
          <w:noProof/>
        </w:rPr>
      </w:pPr>
      <w:r>
        <w:rPr>
          <w:rFonts w:asciiTheme="majorBidi" w:hAnsiTheme="majorBidi" w:cstheme="majorBidi"/>
          <w:noProof/>
        </w:rPr>
        <w:t>Frumkin, P. and Keating, E.K. (2011).  Diversification r</w:t>
      </w:r>
      <w:r w:rsidRPr="00962978">
        <w:rPr>
          <w:rFonts w:asciiTheme="majorBidi" w:hAnsiTheme="majorBidi" w:cstheme="majorBidi"/>
          <w:noProof/>
        </w:rPr>
        <w:t xml:space="preserve">econsidered: </w:t>
      </w:r>
      <w:r>
        <w:rPr>
          <w:rFonts w:asciiTheme="majorBidi" w:hAnsiTheme="majorBidi" w:cstheme="majorBidi"/>
          <w:noProof/>
        </w:rPr>
        <w:t>t</w:t>
      </w:r>
      <w:r w:rsidRPr="00962978">
        <w:rPr>
          <w:rFonts w:asciiTheme="majorBidi" w:hAnsiTheme="majorBidi" w:cstheme="majorBidi"/>
          <w:noProof/>
        </w:rPr>
        <w:t xml:space="preserve">he </w:t>
      </w:r>
      <w:r>
        <w:rPr>
          <w:rFonts w:asciiTheme="majorBidi" w:hAnsiTheme="majorBidi" w:cstheme="majorBidi"/>
          <w:noProof/>
        </w:rPr>
        <w:t>r</w:t>
      </w:r>
      <w:r w:rsidRPr="00962978">
        <w:rPr>
          <w:rFonts w:asciiTheme="majorBidi" w:hAnsiTheme="majorBidi" w:cstheme="majorBidi"/>
          <w:noProof/>
        </w:rPr>
        <w:t xml:space="preserve">isks and </w:t>
      </w:r>
      <w:r>
        <w:rPr>
          <w:rFonts w:asciiTheme="majorBidi" w:hAnsiTheme="majorBidi" w:cstheme="majorBidi"/>
          <w:noProof/>
        </w:rPr>
        <w:t>r</w:t>
      </w:r>
      <w:r w:rsidRPr="00962978">
        <w:rPr>
          <w:rFonts w:asciiTheme="majorBidi" w:hAnsiTheme="majorBidi" w:cstheme="majorBidi"/>
          <w:noProof/>
        </w:rPr>
        <w:t xml:space="preserve">ewards of </w:t>
      </w:r>
      <w:r>
        <w:rPr>
          <w:rFonts w:asciiTheme="majorBidi" w:hAnsiTheme="majorBidi" w:cstheme="majorBidi"/>
          <w:noProof/>
        </w:rPr>
        <w:t>revenue c</w:t>
      </w:r>
      <w:r w:rsidRPr="00962978">
        <w:rPr>
          <w:rFonts w:asciiTheme="majorBidi" w:hAnsiTheme="majorBidi" w:cstheme="majorBidi"/>
          <w:noProof/>
        </w:rPr>
        <w:t>oncentration</w:t>
      </w:r>
      <w:r>
        <w:rPr>
          <w:rFonts w:asciiTheme="majorBidi" w:hAnsiTheme="majorBidi" w:cstheme="majorBidi"/>
          <w:noProof/>
        </w:rPr>
        <w:t xml:space="preserve">.  </w:t>
      </w:r>
      <w:r w:rsidRPr="00962978">
        <w:rPr>
          <w:rFonts w:asciiTheme="majorBidi" w:hAnsiTheme="majorBidi" w:cstheme="majorBidi"/>
          <w:i/>
          <w:iCs/>
          <w:noProof/>
        </w:rPr>
        <w:t>Journal of Social Entrepreneurship</w:t>
      </w:r>
      <w:r>
        <w:rPr>
          <w:rFonts w:asciiTheme="majorBidi" w:hAnsiTheme="majorBidi" w:cstheme="majorBidi"/>
          <w:noProof/>
        </w:rPr>
        <w:t xml:space="preserve">, </w:t>
      </w:r>
      <w:r w:rsidRPr="00962978">
        <w:rPr>
          <w:rFonts w:asciiTheme="majorBidi" w:hAnsiTheme="majorBidi" w:cstheme="majorBidi"/>
          <w:noProof/>
        </w:rPr>
        <w:t xml:space="preserve">2, </w:t>
      </w:r>
      <w:r>
        <w:rPr>
          <w:rFonts w:asciiTheme="majorBidi" w:hAnsiTheme="majorBidi" w:cstheme="majorBidi"/>
          <w:noProof/>
        </w:rPr>
        <w:t xml:space="preserve">151-164. </w:t>
      </w:r>
    </w:p>
    <w:p w:rsidR="009A0BAE"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Guthrie, R. (1988). </w:t>
      </w:r>
      <w:r w:rsidRPr="000628A0">
        <w:rPr>
          <w:rFonts w:asciiTheme="majorBidi" w:hAnsiTheme="majorBidi" w:cstheme="majorBidi"/>
          <w:i/>
          <w:noProof/>
        </w:rPr>
        <w:t>Charity and the Nation</w:t>
      </w:r>
      <w:r w:rsidRPr="000628A0">
        <w:rPr>
          <w:rFonts w:asciiTheme="majorBidi" w:hAnsiTheme="majorBidi" w:cstheme="majorBidi"/>
          <w:noProof/>
        </w:rPr>
        <w:t>, Charities Aid Foundation, London.</w:t>
      </w:r>
    </w:p>
    <w:p w:rsidR="00FE32A3" w:rsidRPr="000628A0" w:rsidRDefault="00FE32A3" w:rsidP="00962978">
      <w:pPr>
        <w:spacing w:line="480" w:lineRule="auto"/>
        <w:ind w:left="720" w:hanging="720"/>
        <w:rPr>
          <w:rFonts w:asciiTheme="majorBidi" w:hAnsiTheme="majorBidi" w:cstheme="majorBidi"/>
          <w:noProof/>
        </w:rPr>
      </w:pPr>
      <w:r>
        <w:rPr>
          <w:rFonts w:asciiTheme="majorBidi" w:hAnsiTheme="majorBidi" w:cstheme="majorBidi"/>
          <w:noProof/>
        </w:rPr>
        <w:lastRenderedPageBreak/>
        <w:t xml:space="preserve">Hager, M. A. (2001). Financial vulnerability </w:t>
      </w:r>
      <w:r w:rsidR="00962978">
        <w:rPr>
          <w:rFonts w:asciiTheme="majorBidi" w:hAnsiTheme="majorBidi" w:cstheme="majorBidi"/>
          <w:noProof/>
        </w:rPr>
        <w:t xml:space="preserve">among arts organizations: a test of the Tuckman-Chang measures.  </w:t>
      </w:r>
      <w:r w:rsidR="00962978" w:rsidRPr="000628A0">
        <w:rPr>
          <w:rFonts w:asciiTheme="majorBidi" w:hAnsiTheme="majorBidi" w:cstheme="majorBidi"/>
          <w:i/>
          <w:noProof/>
        </w:rPr>
        <w:t>Nonprofit and</w:t>
      </w:r>
      <w:r w:rsidR="00962978">
        <w:rPr>
          <w:rFonts w:asciiTheme="majorBidi" w:hAnsiTheme="majorBidi" w:cstheme="majorBidi"/>
          <w:i/>
          <w:noProof/>
        </w:rPr>
        <w:t xml:space="preserve"> </w:t>
      </w:r>
      <w:r w:rsidR="00962978" w:rsidRPr="000628A0">
        <w:rPr>
          <w:rFonts w:asciiTheme="majorBidi" w:hAnsiTheme="majorBidi" w:cstheme="majorBidi"/>
          <w:i/>
          <w:noProof/>
        </w:rPr>
        <w:t>Voluntary</w:t>
      </w:r>
      <w:r w:rsidR="00962978">
        <w:rPr>
          <w:rFonts w:asciiTheme="majorBidi" w:hAnsiTheme="majorBidi" w:cstheme="majorBidi"/>
          <w:i/>
          <w:noProof/>
        </w:rPr>
        <w:t xml:space="preserve"> </w:t>
      </w:r>
      <w:r w:rsidR="00962978" w:rsidRPr="000628A0">
        <w:rPr>
          <w:rFonts w:asciiTheme="majorBidi" w:hAnsiTheme="majorBidi" w:cstheme="majorBidi"/>
          <w:i/>
          <w:noProof/>
        </w:rPr>
        <w:t>Sector</w:t>
      </w:r>
      <w:r w:rsidR="00962978">
        <w:rPr>
          <w:rFonts w:asciiTheme="majorBidi" w:hAnsiTheme="majorBidi" w:cstheme="majorBidi"/>
          <w:i/>
          <w:noProof/>
        </w:rPr>
        <w:t xml:space="preserve"> </w:t>
      </w:r>
      <w:r w:rsidR="00962978" w:rsidRPr="000628A0">
        <w:rPr>
          <w:rFonts w:asciiTheme="majorBidi" w:hAnsiTheme="majorBidi" w:cstheme="majorBidi"/>
          <w:i/>
          <w:noProof/>
        </w:rPr>
        <w:t>Quarterly</w:t>
      </w:r>
      <w:r w:rsidR="00962978">
        <w:rPr>
          <w:rFonts w:asciiTheme="majorBidi" w:hAnsiTheme="majorBidi" w:cstheme="majorBidi"/>
          <w:noProof/>
        </w:rPr>
        <w:t>, 30, 376-392</w:t>
      </w:r>
      <w:r w:rsidR="00962978" w:rsidRPr="000628A0">
        <w:rPr>
          <w:rFonts w:asciiTheme="majorBidi" w:hAnsiTheme="majorBidi" w:cstheme="majorBidi"/>
          <w:noProof/>
        </w:rPr>
        <w:t>.</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Hansmann, H. B. (1980). The role of nonprofit enterprise. </w:t>
      </w:r>
      <w:r w:rsidRPr="000628A0">
        <w:rPr>
          <w:rFonts w:asciiTheme="majorBidi" w:hAnsiTheme="majorBidi" w:cstheme="majorBidi"/>
          <w:i/>
          <w:noProof/>
        </w:rPr>
        <w:t>The Yale Law Journal</w:t>
      </w:r>
      <w:r w:rsidRPr="000628A0">
        <w:rPr>
          <w:rFonts w:asciiTheme="majorBidi" w:hAnsiTheme="majorBidi" w:cstheme="majorBidi"/>
          <w:noProof/>
        </w:rPr>
        <w:t>, 89, 835–901.</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Hansmann, H. B. (1981). Nonprofit enterprise in the performing arts. </w:t>
      </w:r>
      <w:r w:rsidRPr="000628A0">
        <w:rPr>
          <w:rFonts w:asciiTheme="majorBidi" w:hAnsiTheme="majorBidi" w:cstheme="majorBidi"/>
          <w:i/>
          <w:noProof/>
        </w:rPr>
        <w:t>The Bell Journal of Economics</w:t>
      </w:r>
      <w:r w:rsidRPr="000628A0">
        <w:rPr>
          <w:rFonts w:asciiTheme="majorBidi" w:hAnsiTheme="majorBidi" w:cstheme="majorBidi"/>
          <w:noProof/>
        </w:rPr>
        <w:t>, 341–361.</w:t>
      </w:r>
    </w:p>
    <w:p w:rsidR="009A0BAE" w:rsidRPr="000628A0" w:rsidRDefault="009A0BAE" w:rsidP="001C32C4">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Hansmann, H. (1996). </w:t>
      </w:r>
      <w:r w:rsidRPr="000628A0">
        <w:rPr>
          <w:rFonts w:asciiTheme="majorBidi" w:hAnsiTheme="majorBidi" w:cstheme="majorBidi"/>
          <w:i/>
          <w:noProof/>
        </w:rPr>
        <w:t>The Ownership of Enterprise</w:t>
      </w:r>
      <w:r w:rsidRPr="000628A0">
        <w:rPr>
          <w:rFonts w:asciiTheme="majorBidi" w:hAnsiTheme="majorBidi" w:cstheme="majorBidi"/>
          <w:noProof/>
        </w:rPr>
        <w:t>. Harvard University Press, Cambridge, MA.</w:t>
      </w:r>
    </w:p>
    <w:p w:rsidR="009A0BAE" w:rsidRDefault="009A0BAE" w:rsidP="001C32C4">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Harris, B. (2010). Voluntary action and the state in historical perspective. </w:t>
      </w:r>
      <w:r w:rsidRPr="000628A0">
        <w:rPr>
          <w:rFonts w:asciiTheme="majorBidi" w:hAnsiTheme="majorBidi" w:cstheme="majorBidi"/>
          <w:i/>
          <w:noProof/>
        </w:rPr>
        <w:t>Voluntary Sector Review</w:t>
      </w:r>
      <w:r w:rsidRPr="000628A0">
        <w:rPr>
          <w:rFonts w:asciiTheme="majorBidi" w:hAnsiTheme="majorBidi" w:cstheme="majorBidi"/>
          <w:noProof/>
        </w:rPr>
        <w:t>, 1, 25–40.</w:t>
      </w:r>
    </w:p>
    <w:p w:rsidR="00E957A1" w:rsidRPr="000628A0" w:rsidRDefault="00E957A1" w:rsidP="00E957A1">
      <w:pPr>
        <w:spacing w:line="480" w:lineRule="auto"/>
        <w:ind w:left="720" w:hanging="720"/>
        <w:rPr>
          <w:rFonts w:asciiTheme="majorBidi" w:hAnsiTheme="majorBidi" w:cstheme="majorBidi"/>
          <w:noProof/>
        </w:rPr>
      </w:pPr>
      <w:r>
        <w:rPr>
          <w:rFonts w:asciiTheme="majorBidi" w:hAnsiTheme="majorBidi" w:cstheme="majorBidi"/>
          <w:noProof/>
        </w:rPr>
        <w:t>Irvin, R.A. (2007</w:t>
      </w:r>
      <w:r w:rsidRPr="000628A0">
        <w:rPr>
          <w:rFonts w:asciiTheme="majorBidi" w:hAnsiTheme="majorBidi" w:cstheme="majorBidi"/>
          <w:noProof/>
        </w:rPr>
        <w:t xml:space="preserve">). </w:t>
      </w:r>
      <w:r>
        <w:rPr>
          <w:rFonts w:asciiTheme="majorBidi" w:hAnsiTheme="majorBidi" w:cstheme="majorBidi"/>
          <w:noProof/>
        </w:rPr>
        <w:t>Collaboration and barter. In D</w:t>
      </w:r>
      <w:r w:rsidRPr="000628A0">
        <w:rPr>
          <w:rFonts w:asciiTheme="majorBidi" w:hAnsiTheme="majorBidi" w:cstheme="majorBidi"/>
          <w:noProof/>
        </w:rPr>
        <w:t>.</w:t>
      </w:r>
      <w:r>
        <w:rPr>
          <w:rFonts w:asciiTheme="majorBidi" w:hAnsiTheme="majorBidi" w:cstheme="majorBidi"/>
          <w:noProof/>
        </w:rPr>
        <w:t xml:space="preserve">R. Young </w:t>
      </w:r>
      <w:r w:rsidRPr="000628A0">
        <w:rPr>
          <w:rFonts w:asciiTheme="majorBidi" w:hAnsiTheme="majorBidi" w:cstheme="majorBidi"/>
          <w:noProof/>
        </w:rPr>
        <w:t>(ed.),</w:t>
      </w:r>
      <w:r>
        <w:rPr>
          <w:rFonts w:asciiTheme="majorBidi" w:hAnsiTheme="majorBidi" w:cstheme="majorBidi"/>
          <w:noProof/>
        </w:rPr>
        <w:t xml:space="preserve"> </w:t>
      </w:r>
      <w:r>
        <w:rPr>
          <w:rFonts w:asciiTheme="majorBidi" w:hAnsiTheme="majorBidi" w:cstheme="majorBidi"/>
          <w:i/>
          <w:noProof/>
        </w:rPr>
        <w:t>Financing Nonprofits: Putting theory into practice</w:t>
      </w:r>
      <w:r w:rsidRPr="000628A0">
        <w:rPr>
          <w:rFonts w:asciiTheme="majorBidi" w:hAnsiTheme="majorBidi" w:cstheme="majorBidi"/>
          <w:noProof/>
        </w:rPr>
        <w:t>,</w:t>
      </w:r>
      <w:r w:rsidRPr="000628A0">
        <w:rPr>
          <w:rFonts w:asciiTheme="majorBidi" w:hAnsiTheme="majorBidi" w:cstheme="majorBidi"/>
          <w:i/>
          <w:noProof/>
        </w:rPr>
        <w:t xml:space="preserve"> </w:t>
      </w:r>
      <w:r>
        <w:rPr>
          <w:rFonts w:asciiTheme="majorBidi" w:hAnsiTheme="majorBidi" w:cstheme="majorBidi"/>
          <w:noProof/>
        </w:rPr>
        <w:t>pp. 207-226</w:t>
      </w:r>
      <w:r w:rsidRPr="000628A0">
        <w:rPr>
          <w:rFonts w:asciiTheme="majorBidi" w:hAnsiTheme="majorBidi" w:cstheme="majorBidi"/>
          <w:noProof/>
        </w:rPr>
        <w:t>. AltaMira Press, Lanham, MD.</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James, E. (1983). How nonprofits grow: a model. </w:t>
      </w:r>
      <w:r w:rsidRPr="000628A0">
        <w:rPr>
          <w:rFonts w:asciiTheme="majorBidi" w:hAnsiTheme="majorBidi" w:cstheme="majorBidi"/>
          <w:i/>
          <w:noProof/>
        </w:rPr>
        <w:t>Journal of Policy Analysis and Management</w:t>
      </w:r>
      <w:r w:rsidRPr="000628A0">
        <w:rPr>
          <w:rFonts w:asciiTheme="majorBidi" w:hAnsiTheme="majorBidi" w:cstheme="majorBidi"/>
          <w:noProof/>
        </w:rPr>
        <w:t>, 2, 350–366.</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James, E. (2003). Commercialism and the mission of nonprofits. </w:t>
      </w:r>
      <w:r w:rsidRPr="000628A0">
        <w:rPr>
          <w:rFonts w:asciiTheme="majorBidi" w:hAnsiTheme="majorBidi" w:cstheme="majorBidi"/>
          <w:i/>
          <w:noProof/>
        </w:rPr>
        <w:t>Society</w:t>
      </w:r>
      <w:r w:rsidRPr="000628A0">
        <w:rPr>
          <w:rFonts w:asciiTheme="majorBidi" w:hAnsiTheme="majorBidi" w:cstheme="majorBidi"/>
          <w:noProof/>
        </w:rPr>
        <w:t>, 40, 29–35.</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Kane, D. (2009). </w:t>
      </w:r>
      <w:r w:rsidRPr="000628A0">
        <w:rPr>
          <w:rFonts w:asciiTheme="majorBidi" w:hAnsiTheme="majorBidi" w:cstheme="majorBidi"/>
          <w:i/>
          <w:noProof/>
        </w:rPr>
        <w:t>Classification of Charities in England and Wales</w:t>
      </w:r>
      <w:r w:rsidRPr="000628A0">
        <w:rPr>
          <w:rFonts w:asciiTheme="majorBidi" w:hAnsiTheme="majorBidi" w:cstheme="majorBidi"/>
          <w:noProof/>
        </w:rPr>
        <w:t>, National Council of Voluntary Organisations, London.</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Kendall, J. (2003). </w:t>
      </w:r>
      <w:r w:rsidRPr="000628A0">
        <w:rPr>
          <w:rFonts w:asciiTheme="majorBidi" w:hAnsiTheme="majorBidi" w:cstheme="majorBidi"/>
          <w:i/>
          <w:noProof/>
        </w:rPr>
        <w:t>The Voluntary Sector: Comparative Perspectives in the UK</w:t>
      </w:r>
      <w:r w:rsidRPr="000628A0">
        <w:rPr>
          <w:rFonts w:asciiTheme="majorBidi" w:hAnsiTheme="majorBidi" w:cstheme="majorBidi"/>
          <w:noProof/>
        </w:rPr>
        <w:t>. Routledge, New York and London.</w:t>
      </w:r>
    </w:p>
    <w:p w:rsidR="009A0BAE"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Kendall, J., and Knapp, M. (1996). </w:t>
      </w:r>
      <w:r w:rsidRPr="000628A0">
        <w:rPr>
          <w:rFonts w:asciiTheme="majorBidi" w:hAnsiTheme="majorBidi" w:cstheme="majorBidi"/>
          <w:i/>
          <w:noProof/>
        </w:rPr>
        <w:t>The Voluntary Sector in the United Kingdom</w:t>
      </w:r>
      <w:r w:rsidRPr="000628A0">
        <w:rPr>
          <w:rFonts w:asciiTheme="majorBidi" w:hAnsiTheme="majorBidi" w:cstheme="majorBidi"/>
          <w:noProof/>
        </w:rPr>
        <w:t>. Manchester University Press, Manchester.</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lastRenderedPageBreak/>
        <w:t xml:space="preserve">Lane, J., Passey, A., and Saxon-Harrold, S. (1994). The resourcing of the charity sector: an overview of its income and expenditure. </w:t>
      </w:r>
      <w:r w:rsidRPr="000628A0">
        <w:rPr>
          <w:rFonts w:asciiTheme="majorBidi" w:hAnsiTheme="majorBidi" w:cstheme="majorBidi"/>
          <w:i/>
          <w:noProof/>
        </w:rPr>
        <w:t xml:space="preserve">Researching the Voluntary Sector </w:t>
      </w:r>
      <w:r w:rsidRPr="000628A0">
        <w:rPr>
          <w:rFonts w:asciiTheme="majorBidi" w:hAnsiTheme="majorBidi" w:cstheme="majorBidi"/>
          <w:noProof/>
        </w:rPr>
        <w:t>(2nd edn), Charities Aid Foundation, London.</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Lewis, J. (1993). Developing the mixed economy of care: emerging issues for voluntary organisations. </w:t>
      </w:r>
      <w:r w:rsidRPr="000628A0">
        <w:rPr>
          <w:rFonts w:asciiTheme="majorBidi" w:hAnsiTheme="majorBidi" w:cstheme="majorBidi"/>
          <w:i/>
          <w:noProof/>
        </w:rPr>
        <w:t>Journal of Social Policy</w:t>
      </w:r>
      <w:r w:rsidRPr="000628A0">
        <w:rPr>
          <w:rFonts w:asciiTheme="majorBidi" w:hAnsiTheme="majorBidi" w:cstheme="majorBidi"/>
          <w:noProof/>
        </w:rPr>
        <w:t>, 22, 173–192.</w:t>
      </w:r>
    </w:p>
    <w:p w:rsidR="009A0BAE"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Martin-Fernandez, J. A., Palarea-Albaladejo, J., and Antonio Olea, R. (2011). Dealing with zeros. In V. Pawlowsky-Glahn, and A. Buccianti (eds.),</w:t>
      </w:r>
      <w:r w:rsidRPr="000628A0">
        <w:rPr>
          <w:rFonts w:asciiTheme="majorBidi" w:hAnsiTheme="majorBidi" w:cstheme="majorBidi"/>
          <w:i/>
          <w:noProof/>
        </w:rPr>
        <w:t>Compositional Data Analysis: Theory and Applications</w:t>
      </w:r>
      <w:r w:rsidRPr="000628A0">
        <w:rPr>
          <w:rFonts w:asciiTheme="majorBidi" w:hAnsiTheme="majorBidi" w:cstheme="majorBidi"/>
          <w:noProof/>
        </w:rPr>
        <w:t>,</w:t>
      </w:r>
      <w:r w:rsidRPr="000628A0">
        <w:rPr>
          <w:rFonts w:asciiTheme="majorBidi" w:hAnsiTheme="majorBidi" w:cstheme="majorBidi"/>
          <w:i/>
          <w:noProof/>
        </w:rPr>
        <w:t xml:space="preserve"> </w:t>
      </w:r>
      <w:r w:rsidRPr="000628A0">
        <w:rPr>
          <w:rFonts w:asciiTheme="majorBidi" w:hAnsiTheme="majorBidi" w:cstheme="majorBidi"/>
          <w:noProof/>
        </w:rPr>
        <w:t>pp. 43–58. Chichester: Wiley.</w:t>
      </w:r>
    </w:p>
    <w:p w:rsidR="00E957A1" w:rsidRDefault="00E957A1" w:rsidP="00E957A1">
      <w:pPr>
        <w:spacing w:line="480" w:lineRule="auto"/>
        <w:ind w:left="720" w:hanging="720"/>
        <w:rPr>
          <w:rFonts w:asciiTheme="majorBidi" w:hAnsiTheme="majorBidi" w:cstheme="majorBidi"/>
          <w:noProof/>
        </w:rPr>
      </w:pPr>
      <w:r w:rsidRPr="00E957A1">
        <w:rPr>
          <w:rFonts w:asciiTheme="majorBidi" w:hAnsiTheme="majorBidi" w:cstheme="majorBidi"/>
          <w:noProof/>
        </w:rPr>
        <w:t>McKay, S., Moro, D., Teasdale, S. and Clifford, D.</w:t>
      </w:r>
      <w:r>
        <w:rPr>
          <w:rFonts w:asciiTheme="majorBidi" w:hAnsiTheme="majorBidi" w:cstheme="majorBidi"/>
          <w:noProof/>
        </w:rPr>
        <w:t xml:space="preserve"> (2015). </w:t>
      </w:r>
      <w:r w:rsidRPr="00E957A1">
        <w:rPr>
          <w:rFonts w:asciiTheme="majorBidi" w:hAnsiTheme="majorBidi" w:cstheme="majorBidi"/>
          <w:noProof/>
        </w:rPr>
        <w:t xml:space="preserve"> </w:t>
      </w:r>
      <w:r>
        <w:rPr>
          <w:rFonts w:asciiTheme="majorBidi" w:hAnsiTheme="majorBidi" w:cstheme="majorBidi"/>
          <w:noProof/>
        </w:rPr>
        <w:t>The m</w:t>
      </w:r>
      <w:r w:rsidRPr="00E957A1">
        <w:rPr>
          <w:rFonts w:asciiTheme="majorBidi" w:hAnsiTheme="majorBidi" w:cstheme="majorBidi"/>
          <w:noProof/>
        </w:rPr>
        <w:t xml:space="preserve">arketisation of </w:t>
      </w:r>
      <w:r>
        <w:rPr>
          <w:rFonts w:asciiTheme="majorBidi" w:hAnsiTheme="majorBidi" w:cstheme="majorBidi"/>
          <w:noProof/>
        </w:rPr>
        <w:t>c</w:t>
      </w:r>
      <w:r w:rsidRPr="00E957A1">
        <w:rPr>
          <w:rFonts w:asciiTheme="majorBidi" w:hAnsiTheme="majorBidi" w:cstheme="majorBidi"/>
          <w:noProof/>
        </w:rPr>
        <w:t>harities in England and Wales</w:t>
      </w:r>
      <w:r>
        <w:rPr>
          <w:rFonts w:asciiTheme="majorBidi" w:hAnsiTheme="majorBidi" w:cstheme="majorBidi"/>
          <w:noProof/>
        </w:rPr>
        <w:t xml:space="preserve">. </w:t>
      </w:r>
      <w:r w:rsidRPr="00E957A1">
        <w:rPr>
          <w:rFonts w:asciiTheme="majorBidi" w:hAnsiTheme="majorBidi" w:cstheme="majorBidi"/>
          <w:i/>
          <w:iCs/>
          <w:noProof/>
        </w:rPr>
        <w:t>Voluntas:</w:t>
      </w:r>
      <w:r>
        <w:rPr>
          <w:rFonts w:asciiTheme="majorBidi" w:hAnsiTheme="majorBidi" w:cstheme="majorBidi"/>
          <w:i/>
          <w:iCs/>
          <w:noProof/>
        </w:rPr>
        <w:t xml:space="preserve"> </w:t>
      </w:r>
      <w:r w:rsidRPr="00E957A1">
        <w:rPr>
          <w:rFonts w:asciiTheme="majorBidi" w:hAnsiTheme="majorBidi" w:cstheme="majorBidi"/>
          <w:i/>
          <w:iCs/>
          <w:noProof/>
        </w:rPr>
        <w:t>International</w:t>
      </w:r>
      <w:r w:rsidRPr="000628A0">
        <w:rPr>
          <w:rFonts w:asciiTheme="majorBidi" w:hAnsiTheme="majorBidi" w:cstheme="majorBidi"/>
          <w:i/>
          <w:noProof/>
        </w:rPr>
        <w:t xml:space="preserve"> Journal of Voluntary and Nonprofit Organizations</w:t>
      </w:r>
      <w:r>
        <w:rPr>
          <w:rFonts w:asciiTheme="majorBidi" w:hAnsiTheme="majorBidi" w:cstheme="majorBidi"/>
          <w:noProof/>
        </w:rPr>
        <w:t xml:space="preserve">, 26, </w:t>
      </w:r>
      <w:r w:rsidRPr="00E957A1">
        <w:rPr>
          <w:rFonts w:asciiTheme="majorBidi" w:hAnsiTheme="majorBidi" w:cstheme="majorBidi"/>
          <w:noProof/>
        </w:rPr>
        <w:t>336–354</w:t>
      </w:r>
      <w:r>
        <w:rPr>
          <w:rFonts w:asciiTheme="majorBidi" w:hAnsiTheme="majorBidi" w:cstheme="majorBidi"/>
          <w:noProof/>
        </w:rPr>
        <w:t>.</w:t>
      </w:r>
    </w:p>
    <w:p w:rsidR="00D84054" w:rsidRPr="00D84054" w:rsidRDefault="00D84054" w:rsidP="00E957A1">
      <w:pPr>
        <w:spacing w:line="480" w:lineRule="auto"/>
        <w:ind w:left="720" w:hanging="720"/>
        <w:rPr>
          <w:rFonts w:asciiTheme="majorBidi" w:hAnsiTheme="majorBidi" w:cstheme="majorBidi"/>
          <w:noProof/>
        </w:rPr>
      </w:pPr>
      <w:r>
        <w:rPr>
          <w:rFonts w:asciiTheme="majorBidi" w:hAnsiTheme="majorBidi" w:cstheme="majorBidi"/>
          <w:noProof/>
        </w:rPr>
        <w:t xml:space="preserve">Milbourne, L. (2013).  </w:t>
      </w:r>
      <w:r>
        <w:rPr>
          <w:rFonts w:asciiTheme="majorBidi" w:hAnsiTheme="majorBidi" w:cstheme="majorBidi"/>
          <w:i/>
          <w:iCs/>
          <w:noProof/>
        </w:rPr>
        <w:t>Voluntary Sector in Transition: Hard Times or New Opportunities?</w:t>
      </w:r>
      <w:r>
        <w:rPr>
          <w:rFonts w:asciiTheme="majorBidi" w:hAnsiTheme="majorBidi" w:cstheme="majorBidi"/>
          <w:noProof/>
        </w:rPr>
        <w:t xml:space="preserve">  Policy Press, Bristol.</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Morgan, G. G. (2010). The use of charitable status as a basis for regulation of nonprofit accounting. </w:t>
      </w:r>
      <w:r w:rsidRPr="000628A0">
        <w:rPr>
          <w:rFonts w:asciiTheme="majorBidi" w:hAnsiTheme="majorBidi" w:cstheme="majorBidi"/>
          <w:i/>
          <w:noProof/>
        </w:rPr>
        <w:t>Voluntary Sector Review</w:t>
      </w:r>
      <w:r w:rsidRPr="000628A0">
        <w:rPr>
          <w:rFonts w:asciiTheme="majorBidi" w:hAnsiTheme="majorBidi" w:cstheme="majorBidi"/>
          <w:noProof/>
        </w:rPr>
        <w:t>, 1, 209–232.</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Morgan, G. G. (2011). The use of UK charity accounts data for researching the performance of voluntary organisations. </w:t>
      </w:r>
      <w:r w:rsidRPr="000628A0">
        <w:rPr>
          <w:rFonts w:asciiTheme="majorBidi" w:hAnsiTheme="majorBidi" w:cstheme="majorBidi"/>
          <w:i/>
          <w:noProof/>
        </w:rPr>
        <w:t>Voluntary Sector Review</w:t>
      </w:r>
      <w:r w:rsidRPr="000628A0">
        <w:rPr>
          <w:rFonts w:asciiTheme="majorBidi" w:hAnsiTheme="majorBidi" w:cstheme="majorBidi"/>
          <w:noProof/>
        </w:rPr>
        <w:t>, 2, 213–230.</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Morgan, G. G. (2012). Public benefit and charitable status: assessing a 20-year process of reforming the primary legal framework for voluntary activity in the UK. </w:t>
      </w:r>
      <w:r w:rsidRPr="000628A0">
        <w:rPr>
          <w:rFonts w:asciiTheme="majorBidi" w:hAnsiTheme="majorBidi" w:cstheme="majorBidi"/>
          <w:i/>
          <w:noProof/>
        </w:rPr>
        <w:t>Voluntary Sector Review</w:t>
      </w:r>
      <w:r w:rsidRPr="000628A0">
        <w:rPr>
          <w:rFonts w:asciiTheme="majorBidi" w:hAnsiTheme="majorBidi" w:cstheme="majorBidi"/>
          <w:noProof/>
        </w:rPr>
        <w:t>, 3, 67-91.</w:t>
      </w:r>
    </w:p>
    <w:p w:rsidR="009A0BAE" w:rsidRPr="000628A0" w:rsidRDefault="009A0BAE" w:rsidP="00AA3C9F">
      <w:pPr>
        <w:spacing w:line="480" w:lineRule="auto"/>
        <w:ind w:left="720" w:hanging="720"/>
        <w:rPr>
          <w:rFonts w:asciiTheme="majorBidi" w:hAnsiTheme="majorBidi" w:cstheme="majorBidi"/>
          <w:b/>
          <w:noProof/>
          <w:color w:val="FF0000"/>
        </w:rPr>
      </w:pPr>
      <w:r w:rsidRPr="000628A0">
        <w:rPr>
          <w:rFonts w:asciiTheme="majorBidi" w:hAnsiTheme="majorBidi" w:cstheme="majorBidi"/>
          <w:noProof/>
        </w:rPr>
        <w:t xml:space="preserve">Noveck, B. S., and Goroff, D. L. (2013). Information for impact: liberating nonprofit sector data. Aspen Institute. (Available from www.independencepanel.org.uk/wp-content/uploads/2011/10/Independence-Panel_Report-webcopy.pdf) </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lastRenderedPageBreak/>
        <w:t xml:space="preserve">Osborne, S., and Hems, L. (1995). The economic structure of the charitable sector in the United Kingdom, </w:t>
      </w:r>
      <w:r w:rsidRPr="000628A0">
        <w:rPr>
          <w:rFonts w:asciiTheme="majorBidi" w:hAnsiTheme="majorBidi" w:cstheme="majorBidi"/>
          <w:i/>
          <w:noProof/>
        </w:rPr>
        <w:t>Nonprofit and Voluntary Sector Quarterly</w:t>
      </w:r>
      <w:r w:rsidRPr="000628A0">
        <w:rPr>
          <w:rFonts w:asciiTheme="majorBidi" w:hAnsiTheme="majorBidi" w:cstheme="majorBidi"/>
          <w:noProof/>
        </w:rPr>
        <w:t xml:space="preserve">, 24, 321–335. </w:t>
      </w:r>
    </w:p>
    <w:p w:rsidR="009A0BAE"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Posnett, J. (1993). The resources of registered charities in England and Wales – 1990/91. </w:t>
      </w:r>
      <w:r w:rsidRPr="000628A0">
        <w:rPr>
          <w:rFonts w:asciiTheme="majorBidi" w:hAnsiTheme="majorBidi" w:cstheme="majorBidi"/>
          <w:i/>
          <w:noProof/>
        </w:rPr>
        <w:t>Researching the Voluntary Sector</w:t>
      </w:r>
      <w:r w:rsidRPr="000628A0">
        <w:rPr>
          <w:rFonts w:asciiTheme="majorBidi" w:hAnsiTheme="majorBidi" w:cstheme="majorBidi"/>
          <w:noProof/>
        </w:rPr>
        <w:t>, Charities Aid Foundation, Tonbridge.</w:t>
      </w:r>
    </w:p>
    <w:p w:rsidR="00904119" w:rsidRPr="000628A0" w:rsidRDefault="00904119" w:rsidP="00904119">
      <w:pPr>
        <w:spacing w:line="480" w:lineRule="auto"/>
        <w:ind w:left="720" w:hanging="720"/>
        <w:rPr>
          <w:rFonts w:asciiTheme="majorBidi" w:hAnsiTheme="majorBidi" w:cstheme="majorBidi"/>
          <w:noProof/>
        </w:rPr>
      </w:pPr>
      <w:r>
        <w:t xml:space="preserve">Rao, J. N. K. and Scott, A. J. (1984).  </w:t>
      </w:r>
      <w:r>
        <w:rPr>
          <w:rFonts w:asciiTheme="majorBidi" w:hAnsiTheme="majorBidi" w:cstheme="majorBidi"/>
          <w:noProof/>
        </w:rPr>
        <w:t>On chi-squared tests for multiway contingency tables with cell proportions estimated from survey d</w:t>
      </w:r>
      <w:r w:rsidRPr="00904119">
        <w:rPr>
          <w:rFonts w:asciiTheme="majorBidi" w:hAnsiTheme="majorBidi" w:cstheme="majorBidi"/>
          <w:noProof/>
        </w:rPr>
        <w:t>ata</w:t>
      </w:r>
      <w:r>
        <w:rPr>
          <w:rFonts w:asciiTheme="majorBidi" w:hAnsiTheme="majorBidi" w:cstheme="majorBidi"/>
          <w:noProof/>
        </w:rPr>
        <w:t xml:space="preserve">,  </w:t>
      </w:r>
      <w:r>
        <w:rPr>
          <w:rFonts w:asciiTheme="majorBidi" w:hAnsiTheme="majorBidi" w:cstheme="majorBidi"/>
          <w:i/>
          <w:iCs/>
          <w:noProof/>
        </w:rPr>
        <w:t>The Annals of Statistics</w:t>
      </w:r>
      <w:r>
        <w:rPr>
          <w:rFonts w:asciiTheme="majorBidi" w:hAnsiTheme="majorBidi" w:cstheme="majorBidi"/>
          <w:noProof/>
        </w:rPr>
        <w:t xml:space="preserve">, </w:t>
      </w:r>
      <w:r w:rsidRPr="00904119">
        <w:rPr>
          <w:rFonts w:asciiTheme="majorBidi" w:hAnsiTheme="majorBidi" w:cstheme="majorBidi"/>
          <w:noProof/>
        </w:rPr>
        <w:t>12, 46-60.</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Salamon, L. M. (1987). Of market failure, voluntary failure, and third-party government: toward a theory of government-nonprofit relations in the modern welfare state. </w:t>
      </w:r>
      <w:r w:rsidRPr="000628A0">
        <w:rPr>
          <w:rFonts w:asciiTheme="majorBidi" w:hAnsiTheme="majorBidi" w:cstheme="majorBidi"/>
          <w:i/>
          <w:noProof/>
        </w:rPr>
        <w:t>Nonprofit and Voluntary Sector Quarterly</w:t>
      </w:r>
      <w:r w:rsidRPr="000628A0">
        <w:rPr>
          <w:rFonts w:asciiTheme="majorBidi" w:hAnsiTheme="majorBidi" w:cstheme="majorBidi"/>
          <w:noProof/>
        </w:rPr>
        <w:t>, 16, 29–49.</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Salamon, L., and Anheier, H. (1992). In search of the nonprofit sector II: the problem of classification. </w:t>
      </w:r>
      <w:r w:rsidRPr="000628A0">
        <w:rPr>
          <w:rFonts w:asciiTheme="majorBidi" w:hAnsiTheme="majorBidi" w:cstheme="majorBidi"/>
          <w:i/>
          <w:noProof/>
        </w:rPr>
        <w:t>Working Papers of the John Hopkins Comparative Nonprofit Sector Project</w:t>
      </w:r>
      <w:r w:rsidRPr="000628A0">
        <w:rPr>
          <w:rFonts w:asciiTheme="majorBidi" w:hAnsiTheme="majorBidi" w:cstheme="majorBidi"/>
          <w:noProof/>
        </w:rPr>
        <w:t>, no. 3. The Johns Hopkins Institue for Policy Studies, Baltimore, MD.</w:t>
      </w:r>
    </w:p>
    <w:p w:rsidR="009A0BAE"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Salamon, L., and Anheier, H. (1996). The international classification of nonprofit organizations: ICNPO-Revision 1, 1996. </w:t>
      </w:r>
      <w:r w:rsidRPr="000628A0">
        <w:rPr>
          <w:rFonts w:asciiTheme="majorBidi" w:hAnsiTheme="majorBidi" w:cstheme="majorBidi"/>
          <w:i/>
          <w:noProof/>
        </w:rPr>
        <w:t>Working Papers of the Johns Hopkins Comparative Nonprofit Sector Project</w:t>
      </w:r>
      <w:r w:rsidRPr="000628A0">
        <w:rPr>
          <w:rFonts w:asciiTheme="majorBidi" w:hAnsiTheme="majorBidi" w:cstheme="majorBidi"/>
          <w:noProof/>
        </w:rPr>
        <w:t>, no. 19. The Johns Hopkins Institue for Policy Studies, Baltimore, MD.</w:t>
      </w:r>
    </w:p>
    <w:p w:rsidR="008E63EA" w:rsidRPr="000628A0" w:rsidRDefault="008E63EA" w:rsidP="008E63EA">
      <w:pPr>
        <w:spacing w:line="480" w:lineRule="auto"/>
        <w:ind w:left="720" w:hanging="720"/>
        <w:rPr>
          <w:rFonts w:asciiTheme="majorBidi" w:hAnsiTheme="majorBidi" w:cstheme="majorBidi"/>
          <w:i/>
          <w:noProof/>
        </w:rPr>
      </w:pPr>
      <w:r w:rsidRPr="000628A0">
        <w:rPr>
          <w:rFonts w:asciiTheme="majorBidi" w:hAnsiTheme="majorBidi" w:cstheme="majorBidi"/>
          <w:noProof/>
        </w:rPr>
        <w:t>Sa</w:t>
      </w:r>
      <w:r>
        <w:rPr>
          <w:rFonts w:asciiTheme="majorBidi" w:hAnsiTheme="majorBidi" w:cstheme="majorBidi"/>
          <w:noProof/>
        </w:rPr>
        <w:t>lamon, L., and Anheier, H. (1998</w:t>
      </w:r>
      <w:r w:rsidRPr="000628A0">
        <w:rPr>
          <w:rFonts w:asciiTheme="majorBidi" w:hAnsiTheme="majorBidi" w:cstheme="majorBidi"/>
          <w:noProof/>
        </w:rPr>
        <w:t>).</w:t>
      </w:r>
      <w:r>
        <w:rPr>
          <w:rFonts w:asciiTheme="majorBidi" w:hAnsiTheme="majorBidi" w:cstheme="majorBidi"/>
          <w:noProof/>
        </w:rPr>
        <w:t xml:space="preserve">  </w:t>
      </w:r>
      <w:r w:rsidRPr="008E63EA">
        <w:rPr>
          <w:rFonts w:asciiTheme="majorBidi" w:hAnsiTheme="majorBidi" w:cstheme="majorBidi"/>
          <w:noProof/>
        </w:rPr>
        <w:t xml:space="preserve">Social </w:t>
      </w:r>
      <w:r>
        <w:rPr>
          <w:rFonts w:asciiTheme="majorBidi" w:hAnsiTheme="majorBidi" w:cstheme="majorBidi"/>
          <w:noProof/>
        </w:rPr>
        <w:t>o</w:t>
      </w:r>
      <w:r w:rsidRPr="008E63EA">
        <w:rPr>
          <w:rFonts w:asciiTheme="majorBidi" w:hAnsiTheme="majorBidi" w:cstheme="majorBidi"/>
          <w:noProof/>
        </w:rPr>
        <w:t xml:space="preserve">rigins of </w:t>
      </w:r>
      <w:r>
        <w:rPr>
          <w:rFonts w:asciiTheme="majorBidi" w:hAnsiTheme="majorBidi" w:cstheme="majorBidi"/>
          <w:noProof/>
        </w:rPr>
        <w:t>civil s</w:t>
      </w:r>
      <w:r w:rsidRPr="008E63EA">
        <w:rPr>
          <w:rFonts w:asciiTheme="majorBidi" w:hAnsiTheme="majorBidi" w:cstheme="majorBidi"/>
          <w:noProof/>
        </w:rPr>
        <w:t xml:space="preserve">ociety: </w:t>
      </w:r>
      <w:r>
        <w:rPr>
          <w:rFonts w:asciiTheme="majorBidi" w:hAnsiTheme="majorBidi" w:cstheme="majorBidi"/>
          <w:noProof/>
        </w:rPr>
        <w:t>e</w:t>
      </w:r>
      <w:r w:rsidRPr="008E63EA">
        <w:rPr>
          <w:rFonts w:asciiTheme="majorBidi" w:hAnsiTheme="majorBidi" w:cstheme="majorBidi"/>
          <w:noProof/>
        </w:rPr>
        <w:t>xplain</w:t>
      </w:r>
      <w:r>
        <w:rPr>
          <w:rFonts w:asciiTheme="majorBidi" w:hAnsiTheme="majorBidi" w:cstheme="majorBidi"/>
          <w:noProof/>
        </w:rPr>
        <w:t>ing the nonprofit sector cross-n</w:t>
      </w:r>
      <w:r w:rsidRPr="008E63EA">
        <w:rPr>
          <w:rFonts w:asciiTheme="majorBidi" w:hAnsiTheme="majorBidi" w:cstheme="majorBidi"/>
          <w:noProof/>
        </w:rPr>
        <w:t>ationally</w:t>
      </w:r>
      <w:r>
        <w:rPr>
          <w:rFonts w:asciiTheme="majorBidi" w:hAnsiTheme="majorBidi" w:cstheme="majorBidi"/>
          <w:noProof/>
        </w:rPr>
        <w:t xml:space="preserve">.  </w:t>
      </w:r>
      <w:r w:rsidRPr="008E63EA">
        <w:rPr>
          <w:rFonts w:asciiTheme="majorBidi" w:hAnsiTheme="majorBidi" w:cstheme="majorBidi"/>
          <w:i/>
          <w:iCs/>
          <w:noProof/>
        </w:rPr>
        <w:t>Voluntas: International Journal of Voluntary and Nonprofit Organizations</w:t>
      </w:r>
      <w:r>
        <w:rPr>
          <w:rFonts w:asciiTheme="majorBidi" w:hAnsiTheme="majorBidi" w:cstheme="majorBidi"/>
          <w:noProof/>
        </w:rPr>
        <w:t xml:space="preserve">, </w:t>
      </w:r>
      <w:r w:rsidRPr="008E63EA">
        <w:rPr>
          <w:rFonts w:asciiTheme="majorBidi" w:hAnsiTheme="majorBidi" w:cstheme="majorBidi"/>
          <w:noProof/>
        </w:rPr>
        <w:t>9, 213-248</w:t>
      </w:r>
      <w:r>
        <w:rPr>
          <w:rFonts w:asciiTheme="majorBidi" w:hAnsiTheme="majorBidi" w:cstheme="majorBidi"/>
          <w:noProof/>
        </w:rPr>
        <w:t>.</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Seaman, B. A., and Young, D. R. (2010). </w:t>
      </w:r>
      <w:r w:rsidRPr="000628A0">
        <w:rPr>
          <w:rFonts w:asciiTheme="majorBidi" w:hAnsiTheme="majorBidi" w:cstheme="majorBidi"/>
          <w:i/>
          <w:noProof/>
        </w:rPr>
        <w:t>Handbook of Research on Nonprofit Economics and Management</w:t>
      </w:r>
      <w:r w:rsidRPr="000628A0">
        <w:rPr>
          <w:rFonts w:asciiTheme="majorBidi" w:hAnsiTheme="majorBidi" w:cstheme="majorBidi"/>
          <w:noProof/>
        </w:rPr>
        <w:t>. Edward Elgar Publishing, Cheltenham.</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lastRenderedPageBreak/>
        <w:t xml:space="preserve">Smith, G., and Teasdale, S. (2012). Associative democracy and the social economy: exploring the regulatory challenge. </w:t>
      </w:r>
      <w:r w:rsidRPr="000628A0">
        <w:rPr>
          <w:rFonts w:asciiTheme="majorBidi" w:hAnsiTheme="majorBidi" w:cstheme="majorBidi"/>
          <w:i/>
          <w:noProof/>
        </w:rPr>
        <w:t>Economy and Society</w:t>
      </w:r>
      <w:r w:rsidRPr="000628A0">
        <w:rPr>
          <w:rFonts w:asciiTheme="majorBidi" w:hAnsiTheme="majorBidi" w:cstheme="majorBidi"/>
          <w:noProof/>
        </w:rPr>
        <w:t>, 41, 151–176.</w:t>
      </w:r>
    </w:p>
    <w:p w:rsidR="009A0BAE"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Steinberg, R. (2006). Economic theories of nonprofit organizations. In W. W. Powell, and R.</w:t>
      </w:r>
      <w:r w:rsidRPr="000628A0">
        <w:rPr>
          <w:rFonts w:asciiTheme="majorBidi" w:hAnsiTheme="majorBidi" w:cstheme="majorBidi"/>
          <w:i/>
          <w:noProof/>
        </w:rPr>
        <w:t xml:space="preserve"> </w:t>
      </w:r>
      <w:r w:rsidRPr="000628A0">
        <w:rPr>
          <w:rFonts w:asciiTheme="majorBidi" w:hAnsiTheme="majorBidi" w:cstheme="majorBidi"/>
          <w:noProof/>
        </w:rPr>
        <w:t xml:space="preserve">Steinberg (eds), </w:t>
      </w:r>
      <w:r w:rsidRPr="000628A0">
        <w:rPr>
          <w:rFonts w:asciiTheme="majorBidi" w:hAnsiTheme="majorBidi" w:cstheme="majorBidi"/>
          <w:i/>
          <w:noProof/>
        </w:rPr>
        <w:t>The Nonprofit Sector: A Research Handbook</w:t>
      </w:r>
      <w:r w:rsidRPr="000628A0">
        <w:rPr>
          <w:rFonts w:asciiTheme="majorBidi" w:hAnsiTheme="majorBidi" w:cstheme="majorBidi"/>
          <w:noProof/>
        </w:rPr>
        <w:t>, pp. 117–139. Yale University Press, New Haven, CT, and London.</w:t>
      </w:r>
    </w:p>
    <w:p w:rsidR="008E63EA" w:rsidRPr="000628A0" w:rsidRDefault="008E63EA" w:rsidP="008E63EA">
      <w:pPr>
        <w:spacing w:line="480" w:lineRule="auto"/>
        <w:ind w:left="720" w:hanging="720"/>
        <w:rPr>
          <w:rFonts w:asciiTheme="majorBidi" w:hAnsiTheme="majorBidi" w:cstheme="majorBidi"/>
          <w:noProof/>
        </w:rPr>
      </w:pPr>
      <w:r w:rsidRPr="000628A0">
        <w:rPr>
          <w:rFonts w:asciiTheme="majorBidi" w:hAnsiTheme="majorBidi" w:cstheme="majorBidi"/>
          <w:noProof/>
        </w:rPr>
        <w:t>Steinberg, R.</w:t>
      </w:r>
      <w:r>
        <w:rPr>
          <w:rFonts w:asciiTheme="majorBidi" w:hAnsiTheme="majorBidi" w:cstheme="majorBidi"/>
          <w:noProof/>
        </w:rPr>
        <w:t xml:space="preserve"> (2007</w:t>
      </w:r>
      <w:r w:rsidRPr="000628A0">
        <w:rPr>
          <w:rFonts w:asciiTheme="majorBidi" w:hAnsiTheme="majorBidi" w:cstheme="majorBidi"/>
          <w:noProof/>
        </w:rPr>
        <w:t xml:space="preserve">). </w:t>
      </w:r>
      <w:r>
        <w:rPr>
          <w:rFonts w:asciiTheme="majorBidi" w:hAnsiTheme="majorBidi" w:cstheme="majorBidi"/>
          <w:noProof/>
        </w:rPr>
        <w:t>Membership income. In D</w:t>
      </w:r>
      <w:r w:rsidRPr="000628A0">
        <w:rPr>
          <w:rFonts w:asciiTheme="majorBidi" w:hAnsiTheme="majorBidi" w:cstheme="majorBidi"/>
          <w:noProof/>
        </w:rPr>
        <w:t>.</w:t>
      </w:r>
      <w:r>
        <w:rPr>
          <w:rFonts w:asciiTheme="majorBidi" w:hAnsiTheme="majorBidi" w:cstheme="majorBidi"/>
          <w:noProof/>
        </w:rPr>
        <w:t xml:space="preserve">R. Young </w:t>
      </w:r>
      <w:r w:rsidRPr="000628A0">
        <w:rPr>
          <w:rFonts w:asciiTheme="majorBidi" w:hAnsiTheme="majorBidi" w:cstheme="majorBidi"/>
          <w:noProof/>
        </w:rPr>
        <w:t>(ed.),</w:t>
      </w:r>
      <w:r>
        <w:rPr>
          <w:rFonts w:asciiTheme="majorBidi" w:hAnsiTheme="majorBidi" w:cstheme="majorBidi"/>
          <w:noProof/>
        </w:rPr>
        <w:t xml:space="preserve"> </w:t>
      </w:r>
      <w:r>
        <w:rPr>
          <w:rFonts w:asciiTheme="majorBidi" w:hAnsiTheme="majorBidi" w:cstheme="majorBidi"/>
          <w:i/>
          <w:noProof/>
        </w:rPr>
        <w:t>Financing Nonprofits: Putting theory into practice</w:t>
      </w:r>
      <w:r w:rsidRPr="000628A0">
        <w:rPr>
          <w:rFonts w:asciiTheme="majorBidi" w:hAnsiTheme="majorBidi" w:cstheme="majorBidi"/>
          <w:noProof/>
        </w:rPr>
        <w:t>,</w:t>
      </w:r>
      <w:r w:rsidRPr="000628A0">
        <w:rPr>
          <w:rFonts w:asciiTheme="majorBidi" w:hAnsiTheme="majorBidi" w:cstheme="majorBidi"/>
          <w:i/>
          <w:noProof/>
        </w:rPr>
        <w:t xml:space="preserve"> </w:t>
      </w:r>
      <w:r>
        <w:rPr>
          <w:rFonts w:asciiTheme="majorBidi" w:hAnsiTheme="majorBidi" w:cstheme="majorBidi"/>
          <w:noProof/>
        </w:rPr>
        <w:t>pp. 121-156</w:t>
      </w:r>
      <w:r w:rsidRPr="000628A0">
        <w:rPr>
          <w:rFonts w:asciiTheme="majorBidi" w:hAnsiTheme="majorBidi" w:cstheme="majorBidi"/>
          <w:noProof/>
        </w:rPr>
        <w:t>. AltaMira Press, Lanham, MD.</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Tarling, R. (2000). Statistics on the voluntary sector in the UK. </w:t>
      </w:r>
      <w:r w:rsidRPr="000628A0">
        <w:rPr>
          <w:rFonts w:asciiTheme="majorBidi" w:hAnsiTheme="majorBidi" w:cstheme="majorBidi"/>
          <w:i/>
          <w:noProof/>
        </w:rPr>
        <w:t>Journal of the Royal Statistical Society, Series A</w:t>
      </w:r>
      <w:r w:rsidRPr="000628A0">
        <w:rPr>
          <w:rFonts w:asciiTheme="majorBidi" w:hAnsiTheme="majorBidi" w:cstheme="majorBidi"/>
          <w:noProof/>
        </w:rPr>
        <w:t>, 163, 255–261.</w:t>
      </w:r>
    </w:p>
    <w:p w:rsidR="009A0BAE" w:rsidRPr="000628A0" w:rsidRDefault="009A0BAE" w:rsidP="009A0BAE">
      <w:pPr>
        <w:spacing w:line="480" w:lineRule="auto"/>
        <w:ind w:left="720" w:hanging="720"/>
        <w:rPr>
          <w:rFonts w:asciiTheme="majorBidi" w:eastAsia="PMingLiU" w:hAnsiTheme="majorBidi" w:cstheme="majorBidi"/>
          <w:noProof/>
          <w:lang w:eastAsia="zh-TW"/>
        </w:rPr>
      </w:pPr>
      <w:r w:rsidRPr="000628A0">
        <w:rPr>
          <w:rFonts w:asciiTheme="majorBidi" w:hAnsiTheme="majorBidi" w:cstheme="majorBidi"/>
          <w:noProof/>
        </w:rPr>
        <w:t xml:space="preserve">Teasdale, S., Buckingham, H., and Rees, J. (2013). </w:t>
      </w:r>
      <w:r w:rsidRPr="000628A0">
        <w:rPr>
          <w:rFonts w:asciiTheme="majorBidi" w:hAnsiTheme="majorBidi" w:cstheme="majorBidi"/>
          <w:i/>
          <w:noProof/>
        </w:rPr>
        <w:t>Is the Third Sector Being Overwhelmed by the State and the Market?</w:t>
      </w:r>
      <w:r w:rsidRPr="000628A0">
        <w:rPr>
          <w:rFonts w:asciiTheme="majorBidi" w:hAnsiTheme="majorBidi" w:cstheme="majorBidi"/>
          <w:noProof/>
        </w:rPr>
        <w:t>. Third Sector Research Centre, University of Birmingham, Birmingham.</w:t>
      </w:r>
    </w:p>
    <w:p w:rsidR="00853B3D" w:rsidRPr="000628A0" w:rsidRDefault="00853B3D" w:rsidP="00853B3D">
      <w:pPr>
        <w:spacing w:line="480" w:lineRule="auto"/>
        <w:ind w:left="720" w:hanging="720"/>
        <w:rPr>
          <w:rFonts w:asciiTheme="majorBidi" w:eastAsia="PMingLiU" w:hAnsiTheme="majorBidi" w:cstheme="majorBidi"/>
          <w:noProof/>
          <w:lang w:eastAsia="zh-TW"/>
        </w:rPr>
      </w:pPr>
      <w:r w:rsidRPr="000628A0">
        <w:rPr>
          <w:rFonts w:asciiTheme="majorBidi" w:eastAsia="PMingLiU" w:hAnsiTheme="majorBidi" w:cstheme="majorBidi"/>
          <w:noProof/>
          <w:lang w:eastAsia="zh-TW"/>
        </w:rPr>
        <w:t xml:space="preserve">Teasdale, S., Kerlin, J., Young, D. and Soh, J. (2013). Oil and water rarely mix: exploring the relative stability of nonprofit revenue mixes over time.  </w:t>
      </w:r>
      <w:r w:rsidRPr="000628A0">
        <w:rPr>
          <w:rFonts w:asciiTheme="majorBidi" w:eastAsia="PMingLiU" w:hAnsiTheme="majorBidi" w:cstheme="majorBidi"/>
          <w:i/>
          <w:iCs/>
          <w:noProof/>
          <w:lang w:eastAsia="zh-TW"/>
        </w:rPr>
        <w:t>Journal of Social Entrepreneurship</w:t>
      </w:r>
      <w:r w:rsidRPr="000628A0">
        <w:rPr>
          <w:rFonts w:asciiTheme="majorBidi" w:eastAsia="PMingLiU" w:hAnsiTheme="majorBidi" w:cstheme="majorBidi"/>
          <w:noProof/>
          <w:lang w:eastAsia="zh-TW"/>
        </w:rPr>
        <w:t>, 4, 69-87.</w:t>
      </w:r>
    </w:p>
    <w:p w:rsidR="009A0BAE" w:rsidRPr="000628A0" w:rsidRDefault="009A0BAE" w:rsidP="00AA3C9F">
      <w:pPr>
        <w:spacing w:line="480" w:lineRule="auto"/>
        <w:ind w:left="720" w:hanging="720"/>
        <w:rPr>
          <w:rFonts w:asciiTheme="majorBidi" w:eastAsia="PMingLiU" w:hAnsiTheme="majorBidi" w:cstheme="majorBidi"/>
          <w:noProof/>
          <w:color w:val="FF0000"/>
          <w:lang w:eastAsia="zh-TW"/>
        </w:rPr>
      </w:pPr>
      <w:r w:rsidRPr="000628A0">
        <w:rPr>
          <w:rFonts w:asciiTheme="majorBidi" w:hAnsiTheme="majorBidi" w:cstheme="majorBidi"/>
          <w:noProof/>
        </w:rPr>
        <w:t>UK Statistics Authority (2012). Official statistics and the voluntary sector. (Available from www.statisticsauthority.gov.uk/reports---correspondence/correspondence/letter-from-andrew-dilnot-to-nick-hurd-03052012.pdf.)</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Weisbrod, B. A. (1975). Toward a theory of the voluntary non-profit sector. In </w:t>
      </w:r>
      <w:r w:rsidRPr="000628A0">
        <w:rPr>
          <w:rFonts w:asciiTheme="majorBidi" w:hAnsiTheme="majorBidi" w:cstheme="majorBidi"/>
          <w:i/>
          <w:noProof/>
        </w:rPr>
        <w:t>Altrusim, Morality and Economic Theory</w:t>
      </w:r>
      <w:r w:rsidRPr="000628A0">
        <w:rPr>
          <w:rFonts w:asciiTheme="majorBidi" w:hAnsiTheme="majorBidi" w:cstheme="majorBidi"/>
          <w:noProof/>
        </w:rPr>
        <w:t>. Russell Sage, New York.</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Weisbrod, B. A. (1988). </w:t>
      </w:r>
      <w:r w:rsidRPr="000628A0">
        <w:rPr>
          <w:rFonts w:asciiTheme="majorBidi" w:hAnsiTheme="majorBidi" w:cstheme="majorBidi"/>
          <w:i/>
          <w:noProof/>
        </w:rPr>
        <w:t>The Nonprofit Economy</w:t>
      </w:r>
      <w:r w:rsidRPr="000628A0">
        <w:rPr>
          <w:rFonts w:asciiTheme="majorBidi" w:hAnsiTheme="majorBidi" w:cstheme="majorBidi"/>
          <w:noProof/>
        </w:rPr>
        <w:t>, Harvard University Press, Cambridge, MA.</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lastRenderedPageBreak/>
        <w:t xml:space="preserve">Wilsker, A. L., and Young, D. R. (2010). How does program composition affect the revenues of nonprofit organizations? Investigating a benefits theory of nonprofit finance. </w:t>
      </w:r>
      <w:r w:rsidRPr="000628A0">
        <w:rPr>
          <w:rFonts w:asciiTheme="majorBidi" w:hAnsiTheme="majorBidi" w:cstheme="majorBidi"/>
          <w:i/>
          <w:noProof/>
        </w:rPr>
        <w:t>Public Finance Review</w:t>
      </w:r>
      <w:r w:rsidRPr="000628A0">
        <w:rPr>
          <w:rFonts w:asciiTheme="majorBidi" w:hAnsiTheme="majorBidi" w:cstheme="majorBidi"/>
          <w:noProof/>
        </w:rPr>
        <w:t>, 38, 193–216.</w:t>
      </w:r>
    </w:p>
    <w:p w:rsidR="009A0BAE" w:rsidRPr="000628A0"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Young, D. R. (2007). </w:t>
      </w:r>
      <w:r w:rsidRPr="000628A0">
        <w:rPr>
          <w:rFonts w:asciiTheme="majorBidi" w:hAnsiTheme="majorBidi" w:cstheme="majorBidi"/>
          <w:i/>
          <w:noProof/>
        </w:rPr>
        <w:t>Financing nonprofits: Putting theory into practice</w:t>
      </w:r>
      <w:r w:rsidRPr="000628A0">
        <w:rPr>
          <w:rFonts w:asciiTheme="majorBidi" w:hAnsiTheme="majorBidi" w:cstheme="majorBidi"/>
          <w:noProof/>
        </w:rPr>
        <w:t>: AltaMira Press, Lanham, MD.</w:t>
      </w:r>
    </w:p>
    <w:p w:rsidR="009F5906" w:rsidRDefault="009A0BAE" w:rsidP="009A0BAE">
      <w:pPr>
        <w:spacing w:line="480" w:lineRule="auto"/>
        <w:ind w:left="720" w:hanging="720"/>
        <w:rPr>
          <w:rFonts w:asciiTheme="majorBidi" w:hAnsiTheme="majorBidi" w:cstheme="majorBidi"/>
          <w:noProof/>
        </w:rPr>
      </w:pPr>
      <w:r w:rsidRPr="000628A0">
        <w:rPr>
          <w:rFonts w:asciiTheme="majorBidi" w:hAnsiTheme="majorBidi" w:cstheme="majorBidi"/>
          <w:noProof/>
        </w:rPr>
        <w:t xml:space="preserve">Young, D. R., Wilsker, A. L., and Grinsfelder, M. C. (2010). Understanding the determinants of nonprofit income portfolios. </w:t>
      </w:r>
      <w:r w:rsidRPr="000628A0">
        <w:rPr>
          <w:rFonts w:asciiTheme="majorBidi" w:hAnsiTheme="majorBidi" w:cstheme="majorBidi"/>
          <w:i/>
          <w:noProof/>
        </w:rPr>
        <w:t>Voluntary Sector Review</w:t>
      </w:r>
      <w:r w:rsidRPr="000628A0">
        <w:rPr>
          <w:rFonts w:asciiTheme="majorBidi" w:hAnsiTheme="majorBidi" w:cstheme="majorBidi"/>
          <w:noProof/>
        </w:rPr>
        <w:t>, 1, 161–173.</w:t>
      </w:r>
      <w:r w:rsidR="009F5906">
        <w:rPr>
          <w:rFonts w:asciiTheme="majorBidi" w:hAnsiTheme="majorBidi" w:cstheme="majorBidi"/>
          <w:noProof/>
        </w:rPr>
        <w:br w:type="page"/>
      </w:r>
    </w:p>
    <w:tbl>
      <w:tblPr>
        <w:tblStyle w:val="TableGrid"/>
        <w:tblpPr w:leftFromText="180" w:rightFromText="180" w:tblpY="420"/>
        <w:tblW w:w="0" w:type="auto"/>
        <w:tblLook w:val="04A0" w:firstRow="1" w:lastRow="0" w:firstColumn="1" w:lastColumn="0" w:noHBand="0" w:noVBand="1"/>
      </w:tblPr>
      <w:tblGrid>
        <w:gridCol w:w="8522"/>
      </w:tblGrid>
      <w:tr w:rsidR="009F5906" w:rsidTr="0057173F">
        <w:tc>
          <w:tcPr>
            <w:tcW w:w="8522" w:type="dxa"/>
          </w:tcPr>
          <w:p w:rsidR="009F5906" w:rsidRDefault="009F5906" w:rsidP="0057173F">
            <w:pPr>
              <w:rPr>
                <w:rFonts w:eastAsia="PMingLiU"/>
                <w:i/>
                <w:iCs/>
                <w:lang w:eastAsia="zh-TW"/>
              </w:rPr>
            </w:pPr>
            <w:r>
              <w:rPr>
                <w:rFonts w:eastAsia="PMingLiU"/>
                <w:b/>
                <w:bCs/>
                <w:lang w:eastAsia="zh-TW"/>
              </w:rPr>
              <w:lastRenderedPageBreak/>
              <w:t xml:space="preserve">1. </w:t>
            </w:r>
            <w:r>
              <w:rPr>
                <w:rFonts w:eastAsia="PMingLiU" w:hint="eastAsia"/>
                <w:b/>
                <w:bCs/>
                <w:lang w:eastAsia="zh-TW"/>
              </w:rPr>
              <w:t>Individuals</w:t>
            </w:r>
            <w:r>
              <w:rPr>
                <w:rFonts w:eastAsia="PMingLiU"/>
                <w:b/>
                <w:bCs/>
                <w:lang w:eastAsia="zh-TW"/>
              </w:rPr>
              <w:t>: donated/raised</w:t>
            </w:r>
          </w:p>
          <w:p w:rsidR="009F5906" w:rsidRDefault="009F5906" w:rsidP="0057173F">
            <w:pPr>
              <w:rPr>
                <w:rFonts w:eastAsia="PMingLiU"/>
                <w:lang w:eastAsia="zh-TW"/>
              </w:rPr>
            </w:pPr>
          </w:p>
          <w:p w:rsidR="009F5906" w:rsidRPr="00327016" w:rsidRDefault="009F5906" w:rsidP="0057173F">
            <w:pPr>
              <w:rPr>
                <w:rFonts w:eastAsia="PMingLiU"/>
                <w:lang w:eastAsia="zh-TW"/>
              </w:rPr>
            </w:pPr>
            <w:r>
              <w:rPr>
                <w:rFonts w:eastAsia="PMingLiU" w:hint="eastAsia"/>
                <w:lang w:eastAsia="zh-TW"/>
              </w:rPr>
              <w:t xml:space="preserve">Donated </w:t>
            </w:r>
            <w:r>
              <w:rPr>
                <w:rFonts w:eastAsia="PMingLiU" w:hint="eastAsia"/>
                <w:lang w:eastAsia="zh-TW"/>
              </w:rPr>
              <w:t>–</w:t>
            </w:r>
            <w:r>
              <w:rPr>
                <w:rFonts w:eastAsia="PMingLiU" w:hint="eastAsia"/>
                <w:lang w:eastAsia="zh-TW"/>
              </w:rPr>
              <w:t xml:space="preserve"> donations, including gift aid claimed; membership subscriptions where these are, in substance, donations rather than payment for goods or services. </w:t>
            </w:r>
            <w:r>
              <w:rPr>
                <w:rFonts w:eastAsia="PMingLiU"/>
                <w:lang w:eastAsia="zh-TW"/>
              </w:rPr>
              <w:t>Includes income from l</w:t>
            </w:r>
            <w:r w:rsidRPr="00213D6F">
              <w:rPr>
                <w:rFonts w:eastAsia="PMingLiU" w:hint="eastAsia"/>
                <w:lang w:eastAsia="zh-TW"/>
              </w:rPr>
              <w:t>egacies</w:t>
            </w:r>
            <w:r>
              <w:rPr>
                <w:rFonts w:eastAsia="PMingLiU" w:hint="eastAsia"/>
                <w:lang w:eastAsia="zh-TW"/>
              </w:rPr>
              <w:t>.</w:t>
            </w:r>
          </w:p>
          <w:p w:rsidR="009F5906" w:rsidRDefault="009F5906" w:rsidP="0057173F">
            <w:pPr>
              <w:rPr>
                <w:rFonts w:eastAsia="PMingLiU"/>
                <w:lang w:eastAsia="zh-TW"/>
              </w:rPr>
            </w:pPr>
          </w:p>
          <w:p w:rsidR="009F5906" w:rsidRPr="00D206B5" w:rsidRDefault="009F5906" w:rsidP="0057173F">
            <w:pPr>
              <w:rPr>
                <w:rFonts w:eastAsia="PMingLiU"/>
                <w:lang w:eastAsia="zh-TW"/>
              </w:rPr>
            </w:pPr>
            <w:r>
              <w:rPr>
                <w:rFonts w:eastAsia="PMingLiU" w:hint="eastAsia"/>
                <w:lang w:eastAsia="zh-TW"/>
              </w:rPr>
              <w:t xml:space="preserve">Raised (i.e. activities for generating funds) </w:t>
            </w:r>
            <w:r>
              <w:rPr>
                <w:rFonts w:eastAsia="PMingLiU"/>
                <w:lang w:eastAsia="zh-TW"/>
              </w:rPr>
              <w:t>–</w:t>
            </w:r>
            <w:r>
              <w:rPr>
                <w:rFonts w:eastAsia="PMingLiU" w:hint="eastAsia"/>
                <w:lang w:eastAsia="zh-TW"/>
              </w:rPr>
              <w:t xml:space="preserve"> the trading or other fundraising activities carried out by a charity primarily to generate incoming resources which will be used to undertake its charitable activities.</w:t>
            </w:r>
          </w:p>
          <w:p w:rsidR="009F5906" w:rsidRDefault="009F5906" w:rsidP="0057173F">
            <w:pPr>
              <w:rPr>
                <w:rFonts w:eastAsia="PMingLiU"/>
                <w:b/>
                <w:bCs/>
                <w:lang w:eastAsia="zh-TW"/>
              </w:rPr>
            </w:pPr>
          </w:p>
          <w:p w:rsidR="009F5906" w:rsidRDefault="009F5906" w:rsidP="0057173F">
            <w:pPr>
              <w:rPr>
                <w:rFonts w:eastAsia="PMingLiU"/>
                <w:b/>
                <w:bCs/>
                <w:lang w:eastAsia="zh-TW"/>
              </w:rPr>
            </w:pPr>
            <w:r>
              <w:rPr>
                <w:rFonts w:eastAsia="PMingLiU"/>
                <w:b/>
                <w:bCs/>
                <w:lang w:eastAsia="zh-TW"/>
              </w:rPr>
              <w:t>2. Individuals: charitable activities (income from fees)</w:t>
            </w:r>
          </w:p>
          <w:p w:rsidR="009F5906" w:rsidRPr="00E62B40" w:rsidRDefault="009F5906" w:rsidP="0057173F">
            <w:pPr>
              <w:rPr>
                <w:rFonts w:eastAsia="PMingLiU"/>
                <w:b/>
                <w:bCs/>
                <w:lang w:eastAsia="zh-TW"/>
              </w:rPr>
            </w:pPr>
          </w:p>
          <w:p w:rsidR="009F5906" w:rsidRPr="00145A0C" w:rsidRDefault="009F5906" w:rsidP="0057173F">
            <w:pPr>
              <w:rPr>
                <w:rFonts w:eastAsia="PMingLiU"/>
                <w:lang w:eastAsia="zh-TW"/>
              </w:rPr>
            </w:pPr>
            <w:r>
              <w:rPr>
                <w:rFonts w:eastAsia="PMingLiU" w:hint="eastAsia"/>
                <w:lang w:eastAsia="zh-TW"/>
              </w:rPr>
              <w:t>Payment for goods and services provided for the benefit of the charity</w:t>
            </w:r>
            <w:r>
              <w:rPr>
                <w:rFonts w:eastAsia="PMingLiU"/>
                <w:lang w:eastAsia="zh-TW"/>
              </w:rPr>
              <w:t>’</w:t>
            </w:r>
            <w:r>
              <w:rPr>
                <w:rFonts w:eastAsia="PMingLiU" w:hint="eastAsia"/>
                <w:lang w:eastAsia="zh-TW"/>
              </w:rPr>
              <w:t>s beneficiaries.</w:t>
            </w:r>
          </w:p>
          <w:p w:rsidR="009F5906" w:rsidRDefault="009F5906" w:rsidP="0057173F">
            <w:pPr>
              <w:rPr>
                <w:rFonts w:eastAsia="PMingLiU"/>
                <w:b/>
                <w:bCs/>
                <w:lang w:eastAsia="zh-TW"/>
              </w:rPr>
            </w:pPr>
          </w:p>
          <w:p w:rsidR="009F5906" w:rsidRDefault="009F5906" w:rsidP="0057173F">
            <w:pPr>
              <w:rPr>
                <w:rFonts w:eastAsia="PMingLiU"/>
                <w:b/>
                <w:bCs/>
                <w:lang w:eastAsia="zh-TW"/>
              </w:rPr>
            </w:pPr>
            <w:r>
              <w:rPr>
                <w:rFonts w:eastAsia="PMingLiU"/>
                <w:b/>
                <w:bCs/>
                <w:lang w:eastAsia="zh-TW"/>
              </w:rPr>
              <w:t xml:space="preserve">3. </w:t>
            </w:r>
            <w:r>
              <w:rPr>
                <w:rFonts w:eastAsia="PMingLiU" w:hint="eastAsia"/>
                <w:b/>
                <w:bCs/>
                <w:lang w:eastAsia="zh-TW"/>
              </w:rPr>
              <w:t>Government</w:t>
            </w:r>
          </w:p>
          <w:p w:rsidR="009F5906" w:rsidRDefault="009F5906" w:rsidP="0057173F">
            <w:pPr>
              <w:rPr>
                <w:rFonts w:eastAsia="PMingLiU"/>
                <w:lang w:eastAsia="zh-TW"/>
              </w:rPr>
            </w:pPr>
          </w:p>
          <w:p w:rsidR="009F5906" w:rsidRDefault="009F5906" w:rsidP="0057173F">
            <w:pPr>
              <w:rPr>
                <w:rFonts w:eastAsia="PMingLiU"/>
                <w:lang w:eastAsia="zh-TW"/>
              </w:rPr>
            </w:pPr>
            <w:r>
              <w:rPr>
                <w:rFonts w:eastAsia="PMingLiU" w:hint="eastAsia"/>
                <w:lang w:eastAsia="zh-TW"/>
              </w:rPr>
              <w:t xml:space="preserve">Includes income from: </w:t>
            </w:r>
            <w:r>
              <w:rPr>
                <w:rFonts w:eastAsia="PMingLiU"/>
                <w:lang w:eastAsia="zh-TW"/>
              </w:rPr>
              <w:t xml:space="preserve">central </w:t>
            </w:r>
            <w:r>
              <w:rPr>
                <w:rFonts w:eastAsia="PMingLiU" w:hint="eastAsia"/>
                <w:lang w:eastAsia="zh-TW"/>
              </w:rPr>
              <w:t xml:space="preserve">government; devolved government; regional government; local government; town and parish councils; European government; foreign government; National Health Service; </w:t>
            </w:r>
            <w:r>
              <w:rPr>
                <w:rFonts w:eastAsia="PMingLiU"/>
                <w:lang w:eastAsia="zh-TW"/>
              </w:rPr>
              <w:t xml:space="preserve">public </w:t>
            </w:r>
            <w:r>
              <w:rPr>
                <w:rFonts w:eastAsia="PMingLiU" w:hint="eastAsia"/>
                <w:lang w:eastAsia="zh-TW"/>
              </w:rPr>
              <w:t xml:space="preserve">corporations; Arts </w:t>
            </w:r>
            <w:r>
              <w:rPr>
                <w:rFonts w:eastAsia="PMingLiU"/>
                <w:lang w:eastAsia="zh-TW"/>
              </w:rPr>
              <w:t>Council</w:t>
            </w:r>
            <w:r>
              <w:rPr>
                <w:rFonts w:eastAsia="PMingLiU" w:hint="eastAsia"/>
                <w:lang w:eastAsia="zh-TW"/>
              </w:rPr>
              <w:t>; universities.</w:t>
            </w:r>
          </w:p>
          <w:p w:rsidR="009F5906" w:rsidRDefault="009F5906" w:rsidP="0057173F">
            <w:pPr>
              <w:rPr>
                <w:rFonts w:eastAsia="PMingLiU"/>
                <w:lang w:eastAsia="zh-TW"/>
              </w:rPr>
            </w:pPr>
          </w:p>
          <w:p w:rsidR="009F5906" w:rsidRPr="00451FF1" w:rsidRDefault="009F5906" w:rsidP="0057173F">
            <w:pPr>
              <w:rPr>
                <w:rFonts w:eastAsia="PMingLiU"/>
                <w:b/>
                <w:bCs/>
                <w:lang w:eastAsia="zh-TW"/>
              </w:rPr>
            </w:pPr>
            <w:r>
              <w:rPr>
                <w:rFonts w:eastAsia="PMingLiU"/>
                <w:b/>
                <w:bCs/>
                <w:lang w:eastAsia="zh-TW"/>
              </w:rPr>
              <w:t>4. Voluntary sector and National Lottery</w:t>
            </w:r>
          </w:p>
          <w:p w:rsidR="009F5906" w:rsidRDefault="009F5906" w:rsidP="0057173F">
            <w:pPr>
              <w:rPr>
                <w:rFonts w:eastAsia="PMingLiU"/>
                <w:lang w:eastAsia="zh-TW"/>
              </w:rPr>
            </w:pPr>
          </w:p>
          <w:p w:rsidR="009F5906" w:rsidRDefault="009F5906" w:rsidP="0057173F">
            <w:pPr>
              <w:rPr>
                <w:rFonts w:eastAsia="PMingLiU"/>
                <w:lang w:eastAsia="zh-TW"/>
              </w:rPr>
            </w:pPr>
            <w:r>
              <w:rPr>
                <w:rFonts w:eastAsia="PMingLiU"/>
                <w:lang w:eastAsia="zh-TW"/>
              </w:rPr>
              <w:t>Grants from charitable trusts; services provided under contract; grants from National Lottery distributors.</w:t>
            </w:r>
          </w:p>
          <w:p w:rsidR="009F5906" w:rsidRDefault="009F5906" w:rsidP="0057173F">
            <w:pPr>
              <w:rPr>
                <w:rFonts w:eastAsia="PMingLiU"/>
                <w:lang w:eastAsia="zh-TW"/>
              </w:rPr>
            </w:pPr>
          </w:p>
          <w:p w:rsidR="009F5906" w:rsidRDefault="009F5906" w:rsidP="0057173F">
            <w:pPr>
              <w:rPr>
                <w:rFonts w:eastAsia="PMingLiU"/>
                <w:b/>
                <w:bCs/>
                <w:lang w:eastAsia="zh-TW"/>
              </w:rPr>
            </w:pPr>
            <w:r>
              <w:rPr>
                <w:rFonts w:eastAsia="PMingLiU"/>
                <w:b/>
                <w:bCs/>
                <w:lang w:eastAsia="zh-TW"/>
              </w:rPr>
              <w:t>5. Internal</w:t>
            </w:r>
          </w:p>
          <w:p w:rsidR="009F5906" w:rsidRDefault="009F5906" w:rsidP="0057173F">
            <w:pPr>
              <w:rPr>
                <w:rFonts w:eastAsia="PMingLiU"/>
                <w:b/>
                <w:bCs/>
                <w:lang w:eastAsia="zh-TW"/>
              </w:rPr>
            </w:pPr>
          </w:p>
          <w:p w:rsidR="009F5906" w:rsidRPr="0032091A" w:rsidRDefault="009F5906" w:rsidP="0057173F">
            <w:pPr>
              <w:rPr>
                <w:rFonts w:eastAsia="PMingLiU"/>
                <w:lang w:eastAsia="zh-TW"/>
              </w:rPr>
            </w:pPr>
            <w:r>
              <w:rPr>
                <w:rFonts w:eastAsia="PMingLiU"/>
                <w:lang w:eastAsia="zh-TW"/>
              </w:rPr>
              <w:t xml:space="preserve">Includes income from </w:t>
            </w:r>
            <w:r>
              <w:rPr>
                <w:rFonts w:eastAsia="PMingLiU" w:hint="eastAsia"/>
                <w:lang w:eastAsia="zh-TW"/>
              </w:rPr>
              <w:t>investments (dividends; interests on deposits; rent from property; unclassified investments)</w:t>
            </w:r>
            <w:r>
              <w:rPr>
                <w:rFonts w:eastAsia="PMingLiU"/>
                <w:lang w:eastAsia="zh-TW"/>
              </w:rPr>
              <w:t xml:space="preserve"> and </w:t>
            </w:r>
            <w:r>
              <w:rPr>
                <w:rFonts w:eastAsia="PMingLiU" w:hint="eastAsia"/>
                <w:lang w:eastAsia="zh-TW"/>
              </w:rPr>
              <w:t xml:space="preserve">trading </w:t>
            </w:r>
            <w:r>
              <w:rPr>
                <w:rFonts w:eastAsia="PMingLiU"/>
                <w:lang w:eastAsia="zh-TW"/>
              </w:rPr>
              <w:t>s</w:t>
            </w:r>
            <w:r>
              <w:rPr>
                <w:rFonts w:eastAsia="PMingLiU" w:hint="eastAsia"/>
                <w:lang w:eastAsia="zh-TW"/>
              </w:rPr>
              <w:t>ubsidiar</w:t>
            </w:r>
            <w:r>
              <w:rPr>
                <w:rFonts w:eastAsia="PMingLiU"/>
                <w:lang w:eastAsia="zh-TW"/>
              </w:rPr>
              <w:t>ies.</w:t>
            </w:r>
          </w:p>
          <w:p w:rsidR="009F5906" w:rsidRPr="00145A0C" w:rsidRDefault="009F5906" w:rsidP="0057173F">
            <w:pPr>
              <w:rPr>
                <w:rFonts w:eastAsia="PMingLiU"/>
                <w:lang w:eastAsia="zh-TW"/>
              </w:rPr>
            </w:pPr>
          </w:p>
          <w:p w:rsidR="009F5906" w:rsidRDefault="009F5906" w:rsidP="0057173F">
            <w:pPr>
              <w:rPr>
                <w:rFonts w:eastAsia="PMingLiU"/>
                <w:b/>
                <w:bCs/>
                <w:lang w:eastAsia="zh-TW"/>
              </w:rPr>
            </w:pPr>
            <w:r>
              <w:rPr>
                <w:rFonts w:eastAsia="PMingLiU"/>
                <w:b/>
                <w:bCs/>
                <w:lang w:eastAsia="zh-TW"/>
              </w:rPr>
              <w:t xml:space="preserve">6. </w:t>
            </w:r>
            <w:r>
              <w:rPr>
                <w:rFonts w:eastAsia="PMingLiU" w:hint="eastAsia"/>
                <w:b/>
                <w:bCs/>
                <w:lang w:eastAsia="zh-TW"/>
              </w:rPr>
              <w:t>Other</w:t>
            </w:r>
          </w:p>
          <w:p w:rsidR="009F5906" w:rsidRDefault="009F5906" w:rsidP="0057173F">
            <w:pPr>
              <w:rPr>
                <w:rFonts w:eastAsia="PMingLiU"/>
                <w:lang w:eastAsia="zh-TW"/>
              </w:rPr>
            </w:pPr>
          </w:p>
          <w:p w:rsidR="009F5906" w:rsidRDefault="009F5906" w:rsidP="0057173F">
            <w:pPr>
              <w:rPr>
                <w:rFonts w:eastAsia="PMingLiU"/>
                <w:lang w:eastAsia="zh-TW"/>
              </w:rPr>
            </w:pPr>
            <w:r>
              <w:rPr>
                <w:rFonts w:eastAsia="PMingLiU" w:hint="eastAsia"/>
                <w:lang w:eastAsia="zh-TW"/>
              </w:rPr>
              <w:t>Includes income from: business sector; other income.</w:t>
            </w:r>
          </w:p>
        </w:tc>
      </w:tr>
    </w:tbl>
    <w:p w:rsidR="009F5906" w:rsidRDefault="009F5906" w:rsidP="009F5906">
      <w:pPr>
        <w:rPr>
          <w:rFonts w:eastAsia="PMingLiU"/>
          <w:b/>
          <w:bCs/>
          <w:lang w:eastAsia="zh-TW"/>
        </w:rPr>
      </w:pPr>
      <w:r>
        <w:rPr>
          <w:rFonts w:eastAsia="PMingLiU" w:hint="eastAsia"/>
          <w:b/>
          <w:bCs/>
          <w:lang w:eastAsia="zh-TW"/>
        </w:rPr>
        <w:t>Fig</w:t>
      </w:r>
      <w:r>
        <w:rPr>
          <w:rFonts w:eastAsia="PMingLiU"/>
          <w:b/>
          <w:bCs/>
          <w:lang w:eastAsia="zh-TW"/>
        </w:rPr>
        <w:t>ure</w:t>
      </w:r>
      <w:r>
        <w:rPr>
          <w:rFonts w:eastAsia="PMingLiU" w:hint="eastAsia"/>
          <w:b/>
          <w:bCs/>
          <w:lang w:eastAsia="zh-TW"/>
        </w:rPr>
        <w:t xml:space="preserve"> 1. </w:t>
      </w:r>
      <w:r w:rsidRPr="00EF7D96">
        <w:rPr>
          <w:rFonts w:eastAsia="PMingLiU" w:hint="eastAsia"/>
          <w:lang w:eastAsia="zh-TW"/>
        </w:rPr>
        <w:t>G</w:t>
      </w:r>
      <w:r>
        <w:rPr>
          <w:rFonts w:eastAsia="PMingLiU" w:hint="eastAsia"/>
          <w:lang w:eastAsia="zh-TW"/>
        </w:rPr>
        <w:t>uide to income sources</w:t>
      </w:r>
    </w:p>
    <w:p w:rsidR="009F5906" w:rsidRDefault="009F5906" w:rsidP="009F5906">
      <w:pPr>
        <w:rPr>
          <w:rFonts w:eastAsia="PMingLiU"/>
          <w:b/>
          <w:bCs/>
          <w:lang w:eastAsia="zh-TW"/>
        </w:rPr>
      </w:pPr>
    </w:p>
    <w:p w:rsidR="009F5906" w:rsidRDefault="009F5906" w:rsidP="009F5906">
      <w:pPr>
        <w:rPr>
          <w:rFonts w:eastAsia="PMingLiU"/>
          <w:sz w:val="20"/>
          <w:szCs w:val="20"/>
          <w:lang w:eastAsia="zh-TW"/>
        </w:rPr>
      </w:pPr>
      <w:r>
        <w:rPr>
          <w:rFonts w:eastAsia="PMingLiU" w:hint="eastAsia"/>
          <w:sz w:val="20"/>
          <w:szCs w:val="20"/>
          <w:lang w:eastAsia="zh-TW"/>
        </w:rPr>
        <w:t>Note: f</w:t>
      </w:r>
      <w:r w:rsidRPr="008F58CD">
        <w:rPr>
          <w:rFonts w:eastAsia="PMingLiU" w:hint="eastAsia"/>
          <w:sz w:val="20"/>
          <w:szCs w:val="20"/>
          <w:lang w:eastAsia="zh-TW"/>
        </w:rPr>
        <w:t xml:space="preserve">urther details </w:t>
      </w:r>
      <w:r>
        <w:rPr>
          <w:rFonts w:eastAsia="PMingLiU"/>
          <w:sz w:val="20"/>
          <w:szCs w:val="20"/>
          <w:lang w:eastAsia="zh-TW"/>
        </w:rPr>
        <w:t xml:space="preserve">on income types </w:t>
      </w:r>
      <w:r w:rsidRPr="008F58CD">
        <w:rPr>
          <w:rFonts w:eastAsia="PMingLiU" w:hint="eastAsia"/>
          <w:sz w:val="20"/>
          <w:szCs w:val="20"/>
          <w:lang w:eastAsia="zh-TW"/>
        </w:rPr>
        <w:t>are provided in relevant paragraphs within the Statement of Recommended Practice</w:t>
      </w:r>
      <w:r>
        <w:rPr>
          <w:rFonts w:eastAsia="PMingLiU"/>
          <w:sz w:val="20"/>
          <w:szCs w:val="20"/>
          <w:lang w:eastAsia="zh-TW"/>
        </w:rPr>
        <w:t xml:space="preserve"> (SORP)</w:t>
      </w:r>
      <w:r w:rsidRPr="008F58CD">
        <w:rPr>
          <w:rFonts w:eastAsia="PMingLiU" w:hint="eastAsia"/>
          <w:sz w:val="20"/>
          <w:szCs w:val="20"/>
          <w:lang w:eastAsia="zh-TW"/>
        </w:rPr>
        <w:t xml:space="preserve"> (Charity Commission, 2005): donated (paragraph </w:t>
      </w:r>
      <w:r>
        <w:rPr>
          <w:rFonts w:eastAsia="PMingLiU" w:hint="eastAsia"/>
          <w:sz w:val="20"/>
          <w:szCs w:val="20"/>
          <w:lang w:eastAsia="zh-TW"/>
        </w:rPr>
        <w:t>121); raised (paragraphs 143</w:t>
      </w:r>
      <w:r>
        <w:rPr>
          <w:rFonts w:eastAsia="PMingLiU" w:hint="eastAsia"/>
          <w:sz w:val="20"/>
          <w:szCs w:val="20"/>
          <w:lang w:eastAsia="zh-TW"/>
        </w:rPr>
        <w:t>–</w:t>
      </w:r>
      <w:r w:rsidRPr="008F58CD">
        <w:rPr>
          <w:rFonts w:eastAsia="PMingLiU" w:hint="eastAsia"/>
          <w:sz w:val="20"/>
          <w:szCs w:val="20"/>
          <w:lang w:eastAsia="zh-TW"/>
        </w:rPr>
        <w:t>145); legacies (paragraphs 123</w:t>
      </w:r>
      <w:r>
        <w:rPr>
          <w:rFonts w:eastAsia="PMingLiU" w:hint="eastAsia"/>
          <w:sz w:val="20"/>
          <w:szCs w:val="20"/>
          <w:lang w:eastAsia="zh-TW"/>
        </w:rPr>
        <w:t>–</w:t>
      </w:r>
      <w:r w:rsidRPr="008F58CD">
        <w:rPr>
          <w:rFonts w:eastAsia="PMingLiU" w:hint="eastAsia"/>
          <w:sz w:val="20"/>
          <w:szCs w:val="20"/>
          <w:lang w:eastAsia="zh-TW"/>
        </w:rPr>
        <w:t>127); charitable activities (143</w:t>
      </w:r>
      <w:r>
        <w:rPr>
          <w:rFonts w:eastAsia="PMingLiU" w:hint="eastAsia"/>
          <w:sz w:val="20"/>
          <w:szCs w:val="20"/>
          <w:lang w:eastAsia="zh-TW"/>
        </w:rPr>
        <w:t>–</w:t>
      </w:r>
      <w:r w:rsidRPr="008F58CD">
        <w:rPr>
          <w:rFonts w:eastAsia="PMingLiU" w:hint="eastAsia"/>
          <w:sz w:val="20"/>
          <w:szCs w:val="20"/>
          <w:lang w:eastAsia="zh-TW"/>
        </w:rPr>
        <w:t xml:space="preserve">145). </w:t>
      </w:r>
      <w:r>
        <w:rPr>
          <w:rFonts w:eastAsia="PMingLiU"/>
          <w:sz w:val="20"/>
          <w:szCs w:val="20"/>
          <w:lang w:eastAsia="zh-TW"/>
        </w:rPr>
        <w:t>N</w:t>
      </w:r>
      <w:r w:rsidRPr="008F58CD">
        <w:rPr>
          <w:rFonts w:eastAsia="PMingLiU" w:hint="eastAsia"/>
          <w:sz w:val="20"/>
          <w:szCs w:val="20"/>
          <w:lang w:eastAsia="zh-TW"/>
        </w:rPr>
        <w:t xml:space="preserve">ote that </w:t>
      </w:r>
      <w:r>
        <w:rPr>
          <w:rFonts w:eastAsia="PMingLiU" w:hint="eastAsia"/>
          <w:sz w:val="20"/>
          <w:szCs w:val="20"/>
          <w:lang w:eastAsia="zh-TW"/>
        </w:rPr>
        <w:t>th</w:t>
      </w:r>
      <w:r>
        <w:rPr>
          <w:rFonts w:eastAsia="PMingLiU"/>
          <w:sz w:val="20"/>
          <w:szCs w:val="20"/>
          <w:lang w:eastAsia="zh-TW"/>
        </w:rPr>
        <w:t>ese</w:t>
      </w:r>
      <w:r w:rsidRPr="008F58CD">
        <w:rPr>
          <w:rFonts w:eastAsia="PMingLiU" w:hint="eastAsia"/>
          <w:sz w:val="20"/>
          <w:szCs w:val="20"/>
          <w:lang w:eastAsia="zh-TW"/>
        </w:rPr>
        <w:t xml:space="preserve"> paragraphs</w:t>
      </w:r>
      <w:r>
        <w:rPr>
          <w:rFonts w:eastAsia="PMingLiU"/>
          <w:sz w:val="20"/>
          <w:szCs w:val="20"/>
          <w:lang w:eastAsia="zh-TW"/>
        </w:rPr>
        <w:t xml:space="preserve"> on income types</w:t>
      </w:r>
      <w:r w:rsidRPr="008F58CD">
        <w:rPr>
          <w:rFonts w:eastAsia="PMingLiU" w:hint="eastAsia"/>
          <w:sz w:val="20"/>
          <w:szCs w:val="20"/>
          <w:lang w:eastAsia="zh-TW"/>
        </w:rPr>
        <w:t xml:space="preserve"> </w:t>
      </w:r>
      <w:r>
        <w:rPr>
          <w:rFonts w:eastAsia="PMingLiU"/>
          <w:sz w:val="20"/>
          <w:szCs w:val="20"/>
          <w:lang w:eastAsia="zh-TW"/>
        </w:rPr>
        <w:t xml:space="preserve">relate to </w:t>
      </w:r>
      <w:r w:rsidRPr="008F58CD">
        <w:rPr>
          <w:rFonts w:eastAsia="PMingLiU" w:hint="eastAsia"/>
          <w:sz w:val="20"/>
          <w:szCs w:val="20"/>
          <w:lang w:eastAsia="zh-TW"/>
        </w:rPr>
        <w:t xml:space="preserve">income from </w:t>
      </w:r>
      <w:r>
        <w:rPr>
          <w:rFonts w:eastAsia="PMingLiU"/>
          <w:sz w:val="20"/>
          <w:szCs w:val="20"/>
          <w:lang w:eastAsia="zh-TW"/>
        </w:rPr>
        <w:t>a variety of sources, while in this analysis we separate income from individuals from those received from other sources.</w:t>
      </w:r>
    </w:p>
    <w:p w:rsidR="009F5906" w:rsidRDefault="009F5906" w:rsidP="009F5906"/>
    <w:p w:rsidR="009A0BAE" w:rsidRPr="000628A0" w:rsidRDefault="009A0BAE" w:rsidP="009A0BAE">
      <w:pPr>
        <w:spacing w:line="480" w:lineRule="auto"/>
        <w:ind w:left="720" w:hanging="720"/>
        <w:rPr>
          <w:rFonts w:asciiTheme="majorBidi" w:hAnsiTheme="majorBidi" w:cstheme="majorBidi"/>
          <w:noProof/>
        </w:rPr>
      </w:pPr>
    </w:p>
    <w:p w:rsidR="009F5906" w:rsidRDefault="009F5906" w:rsidP="00FC6B07">
      <w:pPr>
        <w:spacing w:line="480" w:lineRule="auto"/>
        <w:rPr>
          <w:rFonts w:asciiTheme="majorBidi" w:hAnsiTheme="majorBidi" w:cstheme="majorBidi"/>
        </w:rPr>
        <w:sectPr w:rsidR="009F5906">
          <w:endnotePr>
            <w:numFmt w:val="decimal"/>
          </w:endnotePr>
          <w:pgSz w:w="11906" w:h="16838"/>
          <w:pgMar w:top="1440" w:right="1800" w:bottom="1440" w:left="1800" w:header="708" w:footer="708" w:gutter="0"/>
          <w:cols w:space="708"/>
          <w:docGrid w:linePitch="360"/>
        </w:sectPr>
      </w:pPr>
    </w:p>
    <w:p w:rsidR="009F5906" w:rsidRPr="009D2BEB" w:rsidRDefault="009F5906" w:rsidP="009F5906">
      <w:pPr>
        <w:jc w:val="center"/>
        <w:rPr>
          <w:rFonts w:eastAsia="PMingLiU"/>
          <w:lang w:eastAsia="zh-TW"/>
        </w:rPr>
      </w:pPr>
      <w:r w:rsidRPr="0084064A">
        <w:rPr>
          <w:rFonts w:eastAsia="PMingLiU"/>
          <w:b/>
          <w:bCs/>
          <w:lang w:eastAsia="zh-TW"/>
        </w:rPr>
        <w:t xml:space="preserve">Table </w:t>
      </w:r>
      <w:r>
        <w:rPr>
          <w:rFonts w:eastAsia="PMingLiU" w:hint="eastAsia"/>
          <w:b/>
          <w:bCs/>
          <w:lang w:eastAsia="zh-TW"/>
        </w:rPr>
        <w:t>1.</w:t>
      </w:r>
      <w:r>
        <w:rPr>
          <w:rFonts w:eastAsia="PMingLiU"/>
          <w:b/>
          <w:bCs/>
          <w:lang w:eastAsia="zh-TW"/>
        </w:rPr>
        <w:t xml:space="preserve"> </w:t>
      </w:r>
      <w:r w:rsidRPr="003D7BF8">
        <w:rPr>
          <w:rFonts w:eastAsia="PMingLiU"/>
          <w:lang w:eastAsia="zh-TW"/>
        </w:rPr>
        <w:t>Percentage of charities</w:t>
      </w:r>
      <w:r>
        <w:rPr>
          <w:rFonts w:eastAsia="PMingLiU"/>
          <w:lang w:eastAsia="zh-TW"/>
        </w:rPr>
        <w:t xml:space="preserve"> </w:t>
      </w:r>
      <w:r w:rsidRPr="009D2BEB">
        <w:rPr>
          <w:rFonts w:eastAsia="PMingLiU"/>
          <w:lang w:eastAsia="zh-TW"/>
        </w:rPr>
        <w:t>that receive at least a certain share of total income from a particular source</w:t>
      </w:r>
    </w:p>
    <w:p w:rsidR="009F5906" w:rsidRPr="009D2BEB" w:rsidRDefault="009F5906" w:rsidP="009F5906">
      <w:pPr>
        <w:jc w:val="both"/>
        <w:rPr>
          <w:rFonts w:eastAsia="PMingLiU"/>
          <w:sz w:val="20"/>
          <w:szCs w:val="20"/>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1124"/>
        <w:gridCol w:w="1124"/>
        <w:gridCol w:w="1124"/>
        <w:gridCol w:w="1125"/>
        <w:gridCol w:w="1125"/>
      </w:tblGrid>
      <w:tr w:rsidR="009F5906" w:rsidTr="0057173F">
        <w:trPr>
          <w:trHeight w:val="356"/>
        </w:trPr>
        <w:tc>
          <w:tcPr>
            <w:tcW w:w="4933" w:type="dxa"/>
            <w:tcBorders>
              <w:top w:val="single" w:sz="4" w:space="0" w:color="auto"/>
            </w:tcBorders>
            <w:vAlign w:val="center"/>
          </w:tcPr>
          <w:p w:rsidR="009F5906" w:rsidRDefault="009F5906" w:rsidP="0057173F">
            <w:pPr>
              <w:jc w:val="both"/>
              <w:rPr>
                <w:rFonts w:eastAsia="PMingLiU"/>
                <w:i/>
                <w:iCs/>
                <w:lang w:eastAsia="zh-TW"/>
              </w:rPr>
            </w:pPr>
          </w:p>
        </w:tc>
        <w:tc>
          <w:tcPr>
            <w:tcW w:w="5622" w:type="dxa"/>
            <w:gridSpan w:val="5"/>
            <w:tcBorders>
              <w:top w:val="single" w:sz="4" w:space="0" w:color="auto"/>
            </w:tcBorders>
            <w:vAlign w:val="center"/>
          </w:tcPr>
          <w:p w:rsidR="009F5906" w:rsidRPr="0025115D" w:rsidRDefault="009F5906" w:rsidP="0057173F">
            <w:pPr>
              <w:rPr>
                <w:rFonts w:eastAsia="PMingLiU"/>
                <w:i/>
                <w:iCs/>
                <w:lang w:eastAsia="zh-TW"/>
              </w:rPr>
            </w:pPr>
            <w:r>
              <w:rPr>
                <w:rFonts w:eastAsia="PMingLiU"/>
                <w:i/>
                <w:iCs/>
                <w:lang w:eastAsia="zh-TW"/>
              </w:rPr>
              <w:t xml:space="preserve">          Share </w:t>
            </w:r>
            <w:r w:rsidRPr="0025115D">
              <w:rPr>
                <w:rFonts w:eastAsia="PMingLiU"/>
                <w:i/>
                <w:iCs/>
                <w:lang w:eastAsia="zh-TW"/>
              </w:rPr>
              <w:t>of total income from source</w:t>
            </w:r>
            <w:r>
              <w:rPr>
                <w:rFonts w:eastAsia="PMingLiU"/>
                <w:i/>
                <w:iCs/>
                <w:lang w:eastAsia="zh-TW"/>
              </w:rPr>
              <w:t xml:space="preserve"> (%)</w:t>
            </w:r>
          </w:p>
        </w:tc>
      </w:tr>
      <w:tr w:rsidR="009F5906" w:rsidTr="0057173F">
        <w:trPr>
          <w:trHeight w:val="340"/>
        </w:trPr>
        <w:tc>
          <w:tcPr>
            <w:tcW w:w="4933" w:type="dxa"/>
            <w:tcBorders>
              <w:bottom w:val="single" w:sz="4" w:space="0" w:color="auto"/>
            </w:tcBorders>
            <w:vAlign w:val="center"/>
          </w:tcPr>
          <w:p w:rsidR="009F5906" w:rsidRPr="00BD4376" w:rsidRDefault="009F5906" w:rsidP="0057173F">
            <w:pPr>
              <w:jc w:val="both"/>
              <w:rPr>
                <w:rFonts w:eastAsia="PMingLiU"/>
                <w:i/>
                <w:iCs/>
                <w:lang w:eastAsia="zh-TW"/>
              </w:rPr>
            </w:pPr>
            <w:r>
              <w:rPr>
                <w:rFonts w:eastAsia="PMingLiU"/>
                <w:i/>
                <w:iCs/>
                <w:lang w:eastAsia="zh-TW"/>
              </w:rPr>
              <w:t>Source</w:t>
            </w:r>
          </w:p>
        </w:tc>
        <w:tc>
          <w:tcPr>
            <w:tcW w:w="1124" w:type="dxa"/>
            <w:tcBorders>
              <w:bottom w:val="single" w:sz="4" w:space="0" w:color="auto"/>
            </w:tcBorders>
            <w:vAlign w:val="center"/>
          </w:tcPr>
          <w:p w:rsidR="009F5906" w:rsidRDefault="009F5906" w:rsidP="0057173F">
            <w:pPr>
              <w:jc w:val="right"/>
              <w:rPr>
                <w:rFonts w:eastAsia="PMingLiU"/>
                <w:lang w:eastAsia="zh-TW"/>
              </w:rPr>
            </w:pPr>
            <w:r>
              <w:rPr>
                <w:rFonts w:eastAsia="PMingLiU"/>
                <w:lang w:eastAsia="zh-TW"/>
              </w:rPr>
              <w:t>10</w:t>
            </w:r>
          </w:p>
        </w:tc>
        <w:tc>
          <w:tcPr>
            <w:tcW w:w="1124" w:type="dxa"/>
            <w:tcBorders>
              <w:bottom w:val="single" w:sz="4" w:space="0" w:color="auto"/>
            </w:tcBorders>
            <w:vAlign w:val="center"/>
          </w:tcPr>
          <w:p w:rsidR="009F5906" w:rsidRDefault="009F5906" w:rsidP="0057173F">
            <w:pPr>
              <w:jc w:val="right"/>
              <w:rPr>
                <w:rFonts w:eastAsia="PMingLiU"/>
                <w:lang w:eastAsia="zh-TW"/>
              </w:rPr>
            </w:pPr>
            <w:r>
              <w:rPr>
                <w:rFonts w:eastAsia="PMingLiU"/>
                <w:lang w:eastAsia="zh-TW"/>
              </w:rPr>
              <w:t>25</w:t>
            </w:r>
          </w:p>
        </w:tc>
        <w:tc>
          <w:tcPr>
            <w:tcW w:w="1124" w:type="dxa"/>
            <w:tcBorders>
              <w:bottom w:val="single" w:sz="4" w:space="0" w:color="auto"/>
            </w:tcBorders>
            <w:vAlign w:val="center"/>
          </w:tcPr>
          <w:p w:rsidR="009F5906" w:rsidRDefault="009F5906" w:rsidP="0057173F">
            <w:pPr>
              <w:jc w:val="right"/>
              <w:rPr>
                <w:rFonts w:eastAsia="PMingLiU"/>
                <w:lang w:eastAsia="zh-TW"/>
              </w:rPr>
            </w:pPr>
            <w:r>
              <w:rPr>
                <w:rFonts w:eastAsia="PMingLiU"/>
                <w:lang w:eastAsia="zh-TW"/>
              </w:rPr>
              <w:t>50</w:t>
            </w:r>
          </w:p>
        </w:tc>
        <w:tc>
          <w:tcPr>
            <w:tcW w:w="1125" w:type="dxa"/>
            <w:tcBorders>
              <w:bottom w:val="single" w:sz="4" w:space="0" w:color="auto"/>
            </w:tcBorders>
            <w:vAlign w:val="center"/>
          </w:tcPr>
          <w:p w:rsidR="009F5906" w:rsidRDefault="009F5906" w:rsidP="0057173F">
            <w:pPr>
              <w:jc w:val="right"/>
              <w:rPr>
                <w:rFonts w:eastAsia="PMingLiU"/>
                <w:lang w:eastAsia="zh-TW"/>
              </w:rPr>
            </w:pPr>
            <w:r>
              <w:rPr>
                <w:rFonts w:eastAsia="PMingLiU"/>
                <w:lang w:eastAsia="zh-TW"/>
              </w:rPr>
              <w:t>75</w:t>
            </w:r>
          </w:p>
        </w:tc>
        <w:tc>
          <w:tcPr>
            <w:tcW w:w="1125" w:type="dxa"/>
            <w:tcBorders>
              <w:bottom w:val="single" w:sz="4" w:space="0" w:color="auto"/>
            </w:tcBorders>
            <w:vAlign w:val="center"/>
          </w:tcPr>
          <w:p w:rsidR="009F5906" w:rsidRDefault="009F5906" w:rsidP="0057173F">
            <w:pPr>
              <w:jc w:val="right"/>
              <w:rPr>
                <w:rFonts w:eastAsia="PMingLiU"/>
                <w:lang w:eastAsia="zh-TW"/>
              </w:rPr>
            </w:pPr>
            <w:r>
              <w:rPr>
                <w:rFonts w:eastAsia="PMingLiU"/>
                <w:lang w:eastAsia="zh-TW"/>
              </w:rPr>
              <w:t>90</w:t>
            </w:r>
          </w:p>
        </w:tc>
      </w:tr>
      <w:tr w:rsidR="009F5906" w:rsidTr="0057173F">
        <w:trPr>
          <w:trHeight w:val="340"/>
        </w:trPr>
        <w:tc>
          <w:tcPr>
            <w:tcW w:w="4933" w:type="dxa"/>
            <w:tcBorders>
              <w:top w:val="single" w:sz="4" w:space="0" w:color="auto"/>
            </w:tcBorders>
            <w:vAlign w:val="center"/>
          </w:tcPr>
          <w:p w:rsidR="009F5906" w:rsidRDefault="009F5906" w:rsidP="0057173F">
            <w:pPr>
              <w:jc w:val="both"/>
              <w:rPr>
                <w:rFonts w:eastAsia="PMingLiU"/>
                <w:lang w:eastAsia="zh-TW"/>
              </w:rPr>
            </w:pPr>
          </w:p>
        </w:tc>
        <w:tc>
          <w:tcPr>
            <w:tcW w:w="1124" w:type="dxa"/>
            <w:tcBorders>
              <w:top w:val="single" w:sz="4" w:space="0" w:color="auto"/>
            </w:tcBorders>
            <w:vAlign w:val="center"/>
          </w:tcPr>
          <w:p w:rsidR="009F5906" w:rsidRDefault="009F5906" w:rsidP="0057173F">
            <w:pPr>
              <w:jc w:val="both"/>
              <w:rPr>
                <w:rFonts w:eastAsia="PMingLiU"/>
                <w:lang w:eastAsia="zh-TW"/>
              </w:rPr>
            </w:pPr>
          </w:p>
        </w:tc>
        <w:tc>
          <w:tcPr>
            <w:tcW w:w="1124" w:type="dxa"/>
            <w:tcBorders>
              <w:top w:val="single" w:sz="4" w:space="0" w:color="auto"/>
            </w:tcBorders>
            <w:vAlign w:val="center"/>
          </w:tcPr>
          <w:p w:rsidR="009F5906" w:rsidRDefault="009F5906" w:rsidP="0057173F">
            <w:pPr>
              <w:jc w:val="both"/>
              <w:rPr>
                <w:rFonts w:eastAsia="PMingLiU"/>
                <w:lang w:eastAsia="zh-TW"/>
              </w:rPr>
            </w:pPr>
          </w:p>
        </w:tc>
        <w:tc>
          <w:tcPr>
            <w:tcW w:w="1124" w:type="dxa"/>
            <w:tcBorders>
              <w:top w:val="single" w:sz="4" w:space="0" w:color="auto"/>
            </w:tcBorders>
            <w:vAlign w:val="center"/>
          </w:tcPr>
          <w:p w:rsidR="009F5906" w:rsidRDefault="009F5906" w:rsidP="0057173F">
            <w:pPr>
              <w:jc w:val="both"/>
              <w:rPr>
                <w:rFonts w:eastAsia="PMingLiU"/>
                <w:lang w:eastAsia="zh-TW"/>
              </w:rPr>
            </w:pPr>
          </w:p>
        </w:tc>
        <w:tc>
          <w:tcPr>
            <w:tcW w:w="1125" w:type="dxa"/>
            <w:tcBorders>
              <w:top w:val="single" w:sz="4" w:space="0" w:color="auto"/>
            </w:tcBorders>
            <w:vAlign w:val="center"/>
          </w:tcPr>
          <w:p w:rsidR="009F5906" w:rsidRDefault="009F5906" w:rsidP="0057173F">
            <w:pPr>
              <w:jc w:val="both"/>
              <w:rPr>
                <w:rFonts w:eastAsia="PMingLiU"/>
                <w:lang w:eastAsia="zh-TW"/>
              </w:rPr>
            </w:pPr>
          </w:p>
        </w:tc>
        <w:tc>
          <w:tcPr>
            <w:tcW w:w="1125" w:type="dxa"/>
            <w:tcBorders>
              <w:top w:val="single" w:sz="4" w:space="0" w:color="auto"/>
            </w:tcBorders>
            <w:vAlign w:val="center"/>
          </w:tcPr>
          <w:p w:rsidR="009F5906" w:rsidRDefault="009F5906" w:rsidP="0057173F">
            <w:pPr>
              <w:jc w:val="both"/>
              <w:rPr>
                <w:rFonts w:eastAsia="PMingLiU"/>
                <w:lang w:eastAsia="zh-TW"/>
              </w:rPr>
            </w:pPr>
          </w:p>
        </w:tc>
      </w:tr>
      <w:tr w:rsidR="009F5906" w:rsidTr="0057173F">
        <w:trPr>
          <w:trHeight w:val="340"/>
        </w:trPr>
        <w:tc>
          <w:tcPr>
            <w:tcW w:w="4933" w:type="dxa"/>
            <w:vAlign w:val="center"/>
          </w:tcPr>
          <w:p w:rsidR="009F5906" w:rsidRDefault="009F5906" w:rsidP="0057173F">
            <w:pPr>
              <w:rPr>
                <w:rFonts w:eastAsia="PMingLiU"/>
                <w:lang w:eastAsia="zh-TW"/>
              </w:rPr>
            </w:pPr>
            <w:r>
              <w:rPr>
                <w:rFonts w:eastAsia="PMingLiU"/>
                <w:lang w:eastAsia="zh-TW"/>
              </w:rPr>
              <w:t>1. Individuals: donated/raised</w:t>
            </w:r>
          </w:p>
        </w:tc>
        <w:tc>
          <w:tcPr>
            <w:tcW w:w="1124" w:type="dxa"/>
            <w:vAlign w:val="center"/>
          </w:tcPr>
          <w:p w:rsidR="009F5906" w:rsidRDefault="009F5906" w:rsidP="0057173F">
            <w:pPr>
              <w:jc w:val="right"/>
              <w:rPr>
                <w:rFonts w:eastAsia="PMingLiU"/>
                <w:lang w:eastAsia="zh-TW"/>
              </w:rPr>
            </w:pPr>
            <w:r>
              <w:rPr>
                <w:rFonts w:eastAsia="PMingLiU"/>
                <w:lang w:eastAsia="zh-TW"/>
              </w:rPr>
              <w:t>40</w:t>
            </w:r>
          </w:p>
        </w:tc>
        <w:tc>
          <w:tcPr>
            <w:tcW w:w="1124" w:type="dxa"/>
            <w:vAlign w:val="center"/>
          </w:tcPr>
          <w:p w:rsidR="009F5906" w:rsidRDefault="009F5906" w:rsidP="0057173F">
            <w:pPr>
              <w:jc w:val="right"/>
              <w:rPr>
                <w:rFonts w:eastAsia="PMingLiU"/>
                <w:lang w:eastAsia="zh-TW"/>
              </w:rPr>
            </w:pPr>
            <w:r>
              <w:rPr>
                <w:rFonts w:eastAsia="PMingLiU"/>
                <w:lang w:eastAsia="zh-TW"/>
              </w:rPr>
              <w:t>30</w:t>
            </w:r>
          </w:p>
        </w:tc>
        <w:tc>
          <w:tcPr>
            <w:tcW w:w="1124" w:type="dxa"/>
            <w:vAlign w:val="center"/>
          </w:tcPr>
          <w:p w:rsidR="009F5906" w:rsidRDefault="009F5906" w:rsidP="0057173F">
            <w:pPr>
              <w:jc w:val="right"/>
              <w:rPr>
                <w:rFonts w:eastAsia="PMingLiU"/>
                <w:lang w:eastAsia="zh-TW"/>
              </w:rPr>
            </w:pPr>
            <w:r>
              <w:rPr>
                <w:rFonts w:eastAsia="PMingLiU"/>
                <w:lang w:eastAsia="zh-TW"/>
              </w:rPr>
              <w:t>2</w:t>
            </w:r>
            <w:r>
              <w:rPr>
                <w:rFonts w:eastAsia="PMingLiU" w:hint="eastAsia"/>
                <w:lang w:eastAsia="zh-TW"/>
              </w:rPr>
              <w:t>3</w:t>
            </w:r>
          </w:p>
        </w:tc>
        <w:tc>
          <w:tcPr>
            <w:tcW w:w="1125" w:type="dxa"/>
            <w:vAlign w:val="center"/>
          </w:tcPr>
          <w:p w:rsidR="009F5906" w:rsidRDefault="009F5906" w:rsidP="0057173F">
            <w:pPr>
              <w:jc w:val="right"/>
              <w:rPr>
                <w:rFonts w:eastAsia="PMingLiU"/>
                <w:lang w:eastAsia="zh-TW"/>
              </w:rPr>
            </w:pPr>
            <w:r>
              <w:rPr>
                <w:rFonts w:eastAsia="PMingLiU"/>
                <w:lang w:eastAsia="zh-TW"/>
              </w:rPr>
              <w:t>1</w:t>
            </w:r>
            <w:r>
              <w:rPr>
                <w:rFonts w:eastAsia="PMingLiU" w:hint="eastAsia"/>
                <w:lang w:eastAsia="zh-TW"/>
              </w:rPr>
              <w:t>5</w:t>
            </w:r>
          </w:p>
        </w:tc>
        <w:tc>
          <w:tcPr>
            <w:tcW w:w="1125" w:type="dxa"/>
            <w:vAlign w:val="center"/>
          </w:tcPr>
          <w:p w:rsidR="009F5906" w:rsidRDefault="009F5906" w:rsidP="0057173F">
            <w:pPr>
              <w:jc w:val="right"/>
              <w:rPr>
                <w:rFonts w:eastAsia="PMingLiU"/>
                <w:lang w:eastAsia="zh-TW"/>
              </w:rPr>
            </w:pPr>
            <w:r>
              <w:rPr>
                <w:rFonts w:eastAsia="PMingLiU" w:hint="eastAsia"/>
                <w:lang w:eastAsia="zh-TW"/>
              </w:rPr>
              <w:t>10</w:t>
            </w:r>
          </w:p>
        </w:tc>
      </w:tr>
      <w:tr w:rsidR="009F5906" w:rsidTr="0057173F">
        <w:trPr>
          <w:trHeight w:val="340"/>
        </w:trPr>
        <w:tc>
          <w:tcPr>
            <w:tcW w:w="4933" w:type="dxa"/>
            <w:vAlign w:val="center"/>
          </w:tcPr>
          <w:p w:rsidR="009F5906" w:rsidRDefault="009F5906" w:rsidP="0057173F">
            <w:pPr>
              <w:rPr>
                <w:rFonts w:eastAsia="PMingLiU"/>
                <w:lang w:eastAsia="zh-TW"/>
              </w:rPr>
            </w:pPr>
            <w:r>
              <w:rPr>
                <w:rFonts w:eastAsia="PMingLiU"/>
                <w:lang w:eastAsia="zh-TW"/>
              </w:rPr>
              <w:t>2. Individuals: charitable activities (fee income)</w:t>
            </w:r>
          </w:p>
        </w:tc>
        <w:tc>
          <w:tcPr>
            <w:tcW w:w="1124" w:type="dxa"/>
            <w:vAlign w:val="center"/>
          </w:tcPr>
          <w:p w:rsidR="009F5906" w:rsidRDefault="009F5906" w:rsidP="0057173F">
            <w:pPr>
              <w:jc w:val="right"/>
              <w:rPr>
                <w:rFonts w:eastAsia="PMingLiU"/>
                <w:lang w:eastAsia="zh-TW"/>
              </w:rPr>
            </w:pPr>
            <w:r>
              <w:rPr>
                <w:rFonts w:eastAsia="PMingLiU"/>
                <w:lang w:eastAsia="zh-TW"/>
              </w:rPr>
              <w:t>3</w:t>
            </w:r>
            <w:r>
              <w:rPr>
                <w:rFonts w:eastAsia="PMingLiU" w:hint="eastAsia"/>
                <w:lang w:eastAsia="zh-TW"/>
              </w:rPr>
              <w:t>3</w:t>
            </w:r>
          </w:p>
        </w:tc>
        <w:tc>
          <w:tcPr>
            <w:tcW w:w="1124" w:type="dxa"/>
            <w:vAlign w:val="center"/>
          </w:tcPr>
          <w:p w:rsidR="009F5906" w:rsidRDefault="009F5906" w:rsidP="0057173F">
            <w:pPr>
              <w:jc w:val="right"/>
              <w:rPr>
                <w:rFonts w:eastAsia="PMingLiU"/>
                <w:lang w:eastAsia="zh-TW"/>
              </w:rPr>
            </w:pPr>
            <w:r>
              <w:rPr>
                <w:rFonts w:eastAsia="PMingLiU"/>
                <w:lang w:eastAsia="zh-TW"/>
              </w:rPr>
              <w:t>26</w:t>
            </w:r>
          </w:p>
        </w:tc>
        <w:tc>
          <w:tcPr>
            <w:tcW w:w="1124" w:type="dxa"/>
            <w:vAlign w:val="center"/>
          </w:tcPr>
          <w:p w:rsidR="009F5906" w:rsidRDefault="009F5906" w:rsidP="0057173F">
            <w:pPr>
              <w:jc w:val="right"/>
              <w:rPr>
                <w:rFonts w:eastAsia="PMingLiU"/>
                <w:lang w:eastAsia="zh-TW"/>
              </w:rPr>
            </w:pPr>
            <w:r>
              <w:rPr>
                <w:rFonts w:eastAsia="PMingLiU"/>
                <w:lang w:eastAsia="zh-TW"/>
              </w:rPr>
              <w:t>20</w:t>
            </w:r>
          </w:p>
        </w:tc>
        <w:tc>
          <w:tcPr>
            <w:tcW w:w="1125" w:type="dxa"/>
            <w:vAlign w:val="center"/>
          </w:tcPr>
          <w:p w:rsidR="009F5906" w:rsidRDefault="009F5906" w:rsidP="0057173F">
            <w:pPr>
              <w:jc w:val="right"/>
              <w:rPr>
                <w:rFonts w:eastAsia="PMingLiU"/>
                <w:lang w:eastAsia="zh-TW"/>
              </w:rPr>
            </w:pPr>
            <w:r>
              <w:rPr>
                <w:rFonts w:eastAsia="PMingLiU"/>
                <w:lang w:eastAsia="zh-TW"/>
              </w:rPr>
              <w:t>16</w:t>
            </w:r>
          </w:p>
        </w:tc>
        <w:tc>
          <w:tcPr>
            <w:tcW w:w="1125" w:type="dxa"/>
            <w:vAlign w:val="center"/>
          </w:tcPr>
          <w:p w:rsidR="009F5906" w:rsidRDefault="009F5906" w:rsidP="0057173F">
            <w:pPr>
              <w:jc w:val="right"/>
              <w:rPr>
                <w:rFonts w:eastAsia="PMingLiU"/>
                <w:lang w:eastAsia="zh-TW"/>
              </w:rPr>
            </w:pPr>
            <w:r>
              <w:rPr>
                <w:rFonts w:eastAsia="PMingLiU"/>
                <w:lang w:eastAsia="zh-TW"/>
              </w:rPr>
              <w:t>12</w:t>
            </w:r>
          </w:p>
        </w:tc>
      </w:tr>
      <w:tr w:rsidR="009F5906" w:rsidTr="0057173F">
        <w:trPr>
          <w:trHeight w:val="340"/>
        </w:trPr>
        <w:tc>
          <w:tcPr>
            <w:tcW w:w="4933" w:type="dxa"/>
            <w:vAlign w:val="center"/>
          </w:tcPr>
          <w:p w:rsidR="009F5906" w:rsidRDefault="009F5906" w:rsidP="0057173F">
            <w:pPr>
              <w:rPr>
                <w:rFonts w:eastAsia="PMingLiU"/>
                <w:lang w:eastAsia="zh-TW"/>
              </w:rPr>
            </w:pPr>
            <w:r>
              <w:rPr>
                <w:rFonts w:eastAsia="PMingLiU"/>
                <w:lang w:eastAsia="zh-TW"/>
              </w:rPr>
              <w:t>3. Government</w:t>
            </w:r>
          </w:p>
        </w:tc>
        <w:tc>
          <w:tcPr>
            <w:tcW w:w="1124" w:type="dxa"/>
            <w:vAlign w:val="center"/>
          </w:tcPr>
          <w:p w:rsidR="009F5906" w:rsidRDefault="009F5906" w:rsidP="0057173F">
            <w:pPr>
              <w:jc w:val="right"/>
              <w:rPr>
                <w:rFonts w:eastAsia="PMingLiU"/>
                <w:lang w:eastAsia="zh-TW"/>
              </w:rPr>
            </w:pPr>
            <w:r>
              <w:rPr>
                <w:rFonts w:eastAsia="PMingLiU"/>
                <w:lang w:eastAsia="zh-TW"/>
              </w:rPr>
              <w:t>48</w:t>
            </w:r>
          </w:p>
        </w:tc>
        <w:tc>
          <w:tcPr>
            <w:tcW w:w="1124" w:type="dxa"/>
            <w:vAlign w:val="center"/>
          </w:tcPr>
          <w:p w:rsidR="009F5906" w:rsidRDefault="009F5906" w:rsidP="0057173F">
            <w:pPr>
              <w:jc w:val="right"/>
              <w:rPr>
                <w:rFonts w:eastAsia="PMingLiU"/>
                <w:lang w:eastAsia="zh-TW"/>
              </w:rPr>
            </w:pPr>
            <w:r>
              <w:rPr>
                <w:rFonts w:eastAsia="PMingLiU"/>
                <w:lang w:eastAsia="zh-TW"/>
              </w:rPr>
              <w:t>4</w:t>
            </w:r>
            <w:r>
              <w:rPr>
                <w:rFonts w:eastAsia="PMingLiU" w:hint="eastAsia"/>
                <w:lang w:eastAsia="zh-TW"/>
              </w:rPr>
              <w:t>1</w:t>
            </w:r>
          </w:p>
        </w:tc>
        <w:tc>
          <w:tcPr>
            <w:tcW w:w="1124" w:type="dxa"/>
            <w:vAlign w:val="center"/>
          </w:tcPr>
          <w:p w:rsidR="009F5906" w:rsidRDefault="009F5906" w:rsidP="0057173F">
            <w:pPr>
              <w:jc w:val="right"/>
              <w:rPr>
                <w:rFonts w:eastAsia="PMingLiU"/>
                <w:lang w:eastAsia="zh-TW"/>
              </w:rPr>
            </w:pPr>
            <w:r>
              <w:rPr>
                <w:rFonts w:eastAsia="PMingLiU"/>
                <w:lang w:eastAsia="zh-TW"/>
              </w:rPr>
              <w:t>32</w:t>
            </w:r>
          </w:p>
        </w:tc>
        <w:tc>
          <w:tcPr>
            <w:tcW w:w="1125" w:type="dxa"/>
            <w:vAlign w:val="center"/>
          </w:tcPr>
          <w:p w:rsidR="009F5906" w:rsidRDefault="009F5906" w:rsidP="0057173F">
            <w:pPr>
              <w:jc w:val="right"/>
              <w:rPr>
                <w:rFonts w:eastAsia="PMingLiU"/>
                <w:lang w:eastAsia="zh-TW"/>
              </w:rPr>
            </w:pPr>
            <w:r>
              <w:rPr>
                <w:rFonts w:eastAsia="PMingLiU"/>
                <w:lang w:eastAsia="zh-TW"/>
              </w:rPr>
              <w:t>2</w:t>
            </w:r>
            <w:r>
              <w:rPr>
                <w:rFonts w:eastAsia="PMingLiU" w:hint="eastAsia"/>
                <w:lang w:eastAsia="zh-TW"/>
              </w:rPr>
              <w:t>2</w:t>
            </w:r>
          </w:p>
        </w:tc>
        <w:tc>
          <w:tcPr>
            <w:tcW w:w="1125" w:type="dxa"/>
            <w:vAlign w:val="center"/>
          </w:tcPr>
          <w:p w:rsidR="009F5906" w:rsidRDefault="009F5906" w:rsidP="0057173F">
            <w:pPr>
              <w:jc w:val="right"/>
              <w:rPr>
                <w:rFonts w:eastAsia="PMingLiU"/>
                <w:lang w:eastAsia="zh-TW"/>
              </w:rPr>
            </w:pPr>
            <w:r>
              <w:rPr>
                <w:rFonts w:eastAsia="PMingLiU"/>
                <w:lang w:eastAsia="zh-TW"/>
              </w:rPr>
              <w:t>1</w:t>
            </w:r>
            <w:r>
              <w:rPr>
                <w:rFonts w:eastAsia="PMingLiU" w:hint="eastAsia"/>
                <w:lang w:eastAsia="zh-TW"/>
              </w:rPr>
              <w:t>3</w:t>
            </w:r>
          </w:p>
        </w:tc>
      </w:tr>
      <w:tr w:rsidR="009F5906" w:rsidTr="0057173F">
        <w:trPr>
          <w:trHeight w:val="340"/>
        </w:trPr>
        <w:tc>
          <w:tcPr>
            <w:tcW w:w="4933" w:type="dxa"/>
            <w:vAlign w:val="center"/>
          </w:tcPr>
          <w:p w:rsidR="009F5906" w:rsidRDefault="009F5906" w:rsidP="0057173F">
            <w:pPr>
              <w:rPr>
                <w:rFonts w:eastAsia="PMingLiU"/>
                <w:lang w:eastAsia="zh-TW"/>
              </w:rPr>
            </w:pPr>
            <w:r>
              <w:rPr>
                <w:rFonts w:eastAsia="PMingLiU"/>
                <w:lang w:eastAsia="zh-TW"/>
              </w:rPr>
              <w:t>4. Voluntary sector/Lottery</w:t>
            </w:r>
          </w:p>
        </w:tc>
        <w:tc>
          <w:tcPr>
            <w:tcW w:w="1124" w:type="dxa"/>
            <w:vAlign w:val="center"/>
          </w:tcPr>
          <w:p w:rsidR="009F5906" w:rsidRDefault="009F5906" w:rsidP="0057173F">
            <w:pPr>
              <w:jc w:val="right"/>
              <w:rPr>
                <w:rFonts w:eastAsia="PMingLiU"/>
                <w:lang w:eastAsia="zh-TW"/>
              </w:rPr>
            </w:pPr>
            <w:r>
              <w:rPr>
                <w:rFonts w:eastAsia="PMingLiU"/>
                <w:lang w:eastAsia="zh-TW"/>
              </w:rPr>
              <w:t>2</w:t>
            </w:r>
            <w:r>
              <w:rPr>
                <w:rFonts w:eastAsia="PMingLiU" w:hint="eastAsia"/>
                <w:lang w:eastAsia="zh-TW"/>
              </w:rPr>
              <w:t>4</w:t>
            </w:r>
          </w:p>
        </w:tc>
        <w:tc>
          <w:tcPr>
            <w:tcW w:w="1124" w:type="dxa"/>
            <w:vAlign w:val="center"/>
          </w:tcPr>
          <w:p w:rsidR="009F5906" w:rsidRDefault="009F5906" w:rsidP="0057173F">
            <w:pPr>
              <w:jc w:val="right"/>
              <w:rPr>
                <w:rFonts w:eastAsia="PMingLiU"/>
                <w:lang w:eastAsia="zh-TW"/>
              </w:rPr>
            </w:pPr>
            <w:r>
              <w:rPr>
                <w:rFonts w:eastAsia="PMingLiU"/>
                <w:lang w:eastAsia="zh-TW"/>
              </w:rPr>
              <w:t>13</w:t>
            </w:r>
          </w:p>
        </w:tc>
        <w:tc>
          <w:tcPr>
            <w:tcW w:w="1124" w:type="dxa"/>
            <w:vAlign w:val="center"/>
          </w:tcPr>
          <w:p w:rsidR="009F5906" w:rsidRDefault="009F5906" w:rsidP="0057173F">
            <w:pPr>
              <w:jc w:val="right"/>
              <w:rPr>
                <w:rFonts w:eastAsia="PMingLiU"/>
                <w:lang w:eastAsia="zh-TW"/>
              </w:rPr>
            </w:pPr>
            <w:r>
              <w:rPr>
                <w:rFonts w:eastAsia="PMingLiU"/>
                <w:lang w:eastAsia="zh-TW"/>
              </w:rPr>
              <w:t>6</w:t>
            </w:r>
          </w:p>
        </w:tc>
        <w:tc>
          <w:tcPr>
            <w:tcW w:w="1125" w:type="dxa"/>
            <w:vAlign w:val="center"/>
          </w:tcPr>
          <w:p w:rsidR="009F5906" w:rsidRDefault="009F5906" w:rsidP="0057173F">
            <w:pPr>
              <w:jc w:val="right"/>
              <w:rPr>
                <w:rFonts w:eastAsia="PMingLiU"/>
                <w:lang w:eastAsia="zh-TW"/>
              </w:rPr>
            </w:pPr>
            <w:r>
              <w:rPr>
                <w:rFonts w:eastAsia="PMingLiU"/>
                <w:lang w:eastAsia="zh-TW"/>
              </w:rPr>
              <w:t>2</w:t>
            </w:r>
          </w:p>
        </w:tc>
        <w:tc>
          <w:tcPr>
            <w:tcW w:w="1125" w:type="dxa"/>
            <w:vAlign w:val="center"/>
          </w:tcPr>
          <w:p w:rsidR="009F5906" w:rsidRDefault="009F5906" w:rsidP="0057173F">
            <w:pPr>
              <w:jc w:val="right"/>
              <w:rPr>
                <w:rFonts w:eastAsia="PMingLiU"/>
                <w:lang w:eastAsia="zh-TW"/>
              </w:rPr>
            </w:pPr>
            <w:r>
              <w:rPr>
                <w:rFonts w:eastAsia="PMingLiU"/>
                <w:lang w:eastAsia="zh-TW"/>
              </w:rPr>
              <w:t>1</w:t>
            </w:r>
          </w:p>
        </w:tc>
      </w:tr>
      <w:tr w:rsidR="009F5906" w:rsidTr="0057173F">
        <w:trPr>
          <w:trHeight w:val="340"/>
        </w:trPr>
        <w:tc>
          <w:tcPr>
            <w:tcW w:w="4933" w:type="dxa"/>
            <w:vAlign w:val="center"/>
          </w:tcPr>
          <w:p w:rsidR="009F5906" w:rsidRDefault="009F5906" w:rsidP="0057173F">
            <w:pPr>
              <w:rPr>
                <w:rFonts w:eastAsia="PMingLiU"/>
                <w:lang w:eastAsia="zh-TW"/>
              </w:rPr>
            </w:pPr>
            <w:r>
              <w:rPr>
                <w:rFonts w:eastAsia="PMingLiU"/>
                <w:lang w:eastAsia="zh-TW"/>
              </w:rPr>
              <w:t>5. Internal</w:t>
            </w:r>
          </w:p>
        </w:tc>
        <w:tc>
          <w:tcPr>
            <w:tcW w:w="1124" w:type="dxa"/>
            <w:vAlign w:val="center"/>
          </w:tcPr>
          <w:p w:rsidR="009F5906" w:rsidRDefault="009F5906" w:rsidP="0057173F">
            <w:pPr>
              <w:jc w:val="right"/>
              <w:rPr>
                <w:rFonts w:eastAsia="PMingLiU"/>
                <w:lang w:eastAsia="zh-TW"/>
              </w:rPr>
            </w:pPr>
            <w:r>
              <w:rPr>
                <w:rFonts w:eastAsia="PMingLiU"/>
                <w:lang w:eastAsia="zh-TW"/>
              </w:rPr>
              <w:t>19</w:t>
            </w:r>
          </w:p>
        </w:tc>
        <w:tc>
          <w:tcPr>
            <w:tcW w:w="1124" w:type="dxa"/>
            <w:vAlign w:val="center"/>
          </w:tcPr>
          <w:p w:rsidR="009F5906" w:rsidRDefault="009F5906" w:rsidP="0057173F">
            <w:pPr>
              <w:jc w:val="right"/>
              <w:rPr>
                <w:rFonts w:eastAsia="PMingLiU"/>
                <w:lang w:eastAsia="zh-TW"/>
              </w:rPr>
            </w:pPr>
            <w:r>
              <w:rPr>
                <w:rFonts w:eastAsia="PMingLiU"/>
                <w:lang w:eastAsia="zh-TW"/>
              </w:rPr>
              <w:t>11</w:t>
            </w:r>
          </w:p>
        </w:tc>
        <w:tc>
          <w:tcPr>
            <w:tcW w:w="1124" w:type="dxa"/>
            <w:vAlign w:val="center"/>
          </w:tcPr>
          <w:p w:rsidR="009F5906" w:rsidRDefault="009F5906" w:rsidP="0057173F">
            <w:pPr>
              <w:jc w:val="right"/>
              <w:rPr>
                <w:rFonts w:eastAsia="PMingLiU"/>
                <w:lang w:eastAsia="zh-TW"/>
              </w:rPr>
            </w:pPr>
            <w:r>
              <w:rPr>
                <w:rFonts w:eastAsia="PMingLiU"/>
                <w:lang w:eastAsia="zh-TW"/>
              </w:rPr>
              <w:t>7</w:t>
            </w:r>
          </w:p>
        </w:tc>
        <w:tc>
          <w:tcPr>
            <w:tcW w:w="1125" w:type="dxa"/>
            <w:vAlign w:val="center"/>
          </w:tcPr>
          <w:p w:rsidR="009F5906" w:rsidRDefault="009F5906" w:rsidP="0057173F">
            <w:pPr>
              <w:jc w:val="right"/>
              <w:rPr>
                <w:rFonts w:eastAsia="PMingLiU"/>
                <w:lang w:eastAsia="zh-TW"/>
              </w:rPr>
            </w:pPr>
            <w:r>
              <w:rPr>
                <w:rFonts w:eastAsia="PMingLiU"/>
                <w:lang w:eastAsia="zh-TW"/>
              </w:rPr>
              <w:t>5</w:t>
            </w:r>
          </w:p>
        </w:tc>
        <w:tc>
          <w:tcPr>
            <w:tcW w:w="1125" w:type="dxa"/>
            <w:vAlign w:val="center"/>
          </w:tcPr>
          <w:p w:rsidR="009F5906" w:rsidRDefault="009F5906" w:rsidP="0057173F">
            <w:pPr>
              <w:jc w:val="right"/>
              <w:rPr>
                <w:rFonts w:eastAsia="PMingLiU"/>
                <w:lang w:eastAsia="zh-TW"/>
              </w:rPr>
            </w:pPr>
            <w:r>
              <w:rPr>
                <w:rFonts w:eastAsia="PMingLiU"/>
                <w:lang w:eastAsia="zh-TW"/>
              </w:rPr>
              <w:t>4</w:t>
            </w:r>
          </w:p>
        </w:tc>
      </w:tr>
      <w:tr w:rsidR="009F5906" w:rsidTr="0057173F">
        <w:trPr>
          <w:trHeight w:val="340"/>
        </w:trPr>
        <w:tc>
          <w:tcPr>
            <w:tcW w:w="4933" w:type="dxa"/>
            <w:vAlign w:val="center"/>
          </w:tcPr>
          <w:p w:rsidR="009F5906" w:rsidRDefault="009F5906" w:rsidP="0057173F">
            <w:pPr>
              <w:rPr>
                <w:rFonts w:eastAsia="PMingLiU"/>
                <w:lang w:eastAsia="zh-TW"/>
              </w:rPr>
            </w:pPr>
            <w:r>
              <w:rPr>
                <w:rFonts w:eastAsia="PMingLiU"/>
                <w:lang w:eastAsia="zh-TW"/>
              </w:rPr>
              <w:t>6. Other</w:t>
            </w:r>
          </w:p>
        </w:tc>
        <w:tc>
          <w:tcPr>
            <w:tcW w:w="1124" w:type="dxa"/>
            <w:vAlign w:val="center"/>
          </w:tcPr>
          <w:p w:rsidR="009F5906" w:rsidRDefault="009F5906" w:rsidP="0057173F">
            <w:pPr>
              <w:jc w:val="right"/>
              <w:rPr>
                <w:rFonts w:eastAsia="PMingLiU"/>
                <w:lang w:eastAsia="zh-TW"/>
              </w:rPr>
            </w:pPr>
            <w:r>
              <w:rPr>
                <w:rFonts w:eastAsia="PMingLiU"/>
                <w:lang w:eastAsia="zh-TW"/>
              </w:rPr>
              <w:t>9</w:t>
            </w:r>
          </w:p>
        </w:tc>
        <w:tc>
          <w:tcPr>
            <w:tcW w:w="1124" w:type="dxa"/>
            <w:vAlign w:val="center"/>
          </w:tcPr>
          <w:p w:rsidR="009F5906" w:rsidRDefault="009F5906" w:rsidP="0057173F">
            <w:pPr>
              <w:jc w:val="right"/>
              <w:rPr>
                <w:rFonts w:eastAsia="PMingLiU"/>
                <w:lang w:eastAsia="zh-TW"/>
              </w:rPr>
            </w:pPr>
            <w:r>
              <w:rPr>
                <w:rFonts w:eastAsia="PMingLiU"/>
                <w:lang w:eastAsia="zh-TW"/>
              </w:rPr>
              <w:t>5</w:t>
            </w:r>
          </w:p>
        </w:tc>
        <w:tc>
          <w:tcPr>
            <w:tcW w:w="1124" w:type="dxa"/>
            <w:vAlign w:val="center"/>
          </w:tcPr>
          <w:p w:rsidR="009F5906" w:rsidRDefault="009F5906" w:rsidP="0057173F">
            <w:pPr>
              <w:jc w:val="right"/>
              <w:rPr>
                <w:rFonts w:eastAsia="PMingLiU"/>
                <w:lang w:eastAsia="zh-TW"/>
              </w:rPr>
            </w:pPr>
            <w:r>
              <w:rPr>
                <w:rFonts w:eastAsia="PMingLiU" w:hint="eastAsia"/>
                <w:lang w:eastAsia="zh-TW"/>
              </w:rPr>
              <w:t>2</w:t>
            </w:r>
          </w:p>
        </w:tc>
        <w:tc>
          <w:tcPr>
            <w:tcW w:w="1125" w:type="dxa"/>
            <w:vAlign w:val="center"/>
          </w:tcPr>
          <w:p w:rsidR="009F5906" w:rsidRDefault="009F5906" w:rsidP="0057173F">
            <w:pPr>
              <w:jc w:val="right"/>
              <w:rPr>
                <w:rFonts w:eastAsia="PMingLiU"/>
                <w:lang w:eastAsia="zh-TW"/>
              </w:rPr>
            </w:pPr>
            <w:r>
              <w:rPr>
                <w:rFonts w:eastAsia="PMingLiU"/>
                <w:lang w:eastAsia="zh-TW"/>
              </w:rPr>
              <w:t>2</w:t>
            </w:r>
          </w:p>
        </w:tc>
        <w:tc>
          <w:tcPr>
            <w:tcW w:w="1125" w:type="dxa"/>
            <w:vAlign w:val="center"/>
          </w:tcPr>
          <w:p w:rsidR="009F5906" w:rsidRDefault="009F5906" w:rsidP="0057173F">
            <w:pPr>
              <w:jc w:val="right"/>
              <w:rPr>
                <w:rFonts w:eastAsia="PMingLiU"/>
                <w:lang w:eastAsia="zh-TW"/>
              </w:rPr>
            </w:pPr>
            <w:r>
              <w:rPr>
                <w:rFonts w:eastAsia="PMingLiU"/>
                <w:lang w:eastAsia="zh-TW"/>
              </w:rPr>
              <w:t>1</w:t>
            </w:r>
          </w:p>
        </w:tc>
      </w:tr>
      <w:tr w:rsidR="009F5906" w:rsidTr="0057173F">
        <w:trPr>
          <w:trHeight w:val="340"/>
        </w:trPr>
        <w:tc>
          <w:tcPr>
            <w:tcW w:w="4933" w:type="dxa"/>
            <w:tcBorders>
              <w:bottom w:val="single" w:sz="4" w:space="0" w:color="auto"/>
            </w:tcBorders>
            <w:vAlign w:val="center"/>
          </w:tcPr>
          <w:p w:rsidR="009F5906" w:rsidRDefault="009F5906" w:rsidP="0057173F">
            <w:pPr>
              <w:rPr>
                <w:rFonts w:eastAsia="PMingLiU"/>
                <w:lang w:eastAsia="zh-TW"/>
              </w:rPr>
            </w:pPr>
          </w:p>
        </w:tc>
        <w:tc>
          <w:tcPr>
            <w:tcW w:w="1124" w:type="dxa"/>
            <w:tcBorders>
              <w:bottom w:val="single" w:sz="4" w:space="0" w:color="auto"/>
            </w:tcBorders>
            <w:vAlign w:val="center"/>
          </w:tcPr>
          <w:p w:rsidR="009F5906" w:rsidRDefault="009F5906" w:rsidP="0057173F">
            <w:pPr>
              <w:jc w:val="right"/>
              <w:rPr>
                <w:rFonts w:eastAsia="PMingLiU"/>
                <w:lang w:eastAsia="zh-TW"/>
              </w:rPr>
            </w:pPr>
          </w:p>
        </w:tc>
        <w:tc>
          <w:tcPr>
            <w:tcW w:w="1124" w:type="dxa"/>
            <w:tcBorders>
              <w:bottom w:val="single" w:sz="4" w:space="0" w:color="auto"/>
            </w:tcBorders>
            <w:vAlign w:val="center"/>
          </w:tcPr>
          <w:p w:rsidR="009F5906" w:rsidRDefault="009F5906" w:rsidP="0057173F">
            <w:pPr>
              <w:jc w:val="right"/>
              <w:rPr>
                <w:rFonts w:eastAsia="PMingLiU"/>
                <w:lang w:eastAsia="zh-TW"/>
              </w:rPr>
            </w:pPr>
          </w:p>
        </w:tc>
        <w:tc>
          <w:tcPr>
            <w:tcW w:w="1124" w:type="dxa"/>
            <w:tcBorders>
              <w:bottom w:val="single" w:sz="4" w:space="0" w:color="auto"/>
            </w:tcBorders>
            <w:vAlign w:val="center"/>
          </w:tcPr>
          <w:p w:rsidR="009F5906" w:rsidRDefault="009F5906" w:rsidP="0057173F">
            <w:pPr>
              <w:jc w:val="right"/>
              <w:rPr>
                <w:rFonts w:eastAsia="PMingLiU"/>
                <w:lang w:eastAsia="zh-TW"/>
              </w:rPr>
            </w:pPr>
          </w:p>
        </w:tc>
        <w:tc>
          <w:tcPr>
            <w:tcW w:w="1125" w:type="dxa"/>
            <w:tcBorders>
              <w:bottom w:val="single" w:sz="4" w:space="0" w:color="auto"/>
            </w:tcBorders>
            <w:vAlign w:val="center"/>
          </w:tcPr>
          <w:p w:rsidR="009F5906" w:rsidRDefault="009F5906" w:rsidP="0057173F">
            <w:pPr>
              <w:jc w:val="right"/>
              <w:rPr>
                <w:rFonts w:eastAsia="PMingLiU"/>
                <w:lang w:eastAsia="zh-TW"/>
              </w:rPr>
            </w:pPr>
          </w:p>
        </w:tc>
        <w:tc>
          <w:tcPr>
            <w:tcW w:w="1125" w:type="dxa"/>
            <w:tcBorders>
              <w:bottom w:val="single" w:sz="4" w:space="0" w:color="auto"/>
            </w:tcBorders>
            <w:vAlign w:val="center"/>
          </w:tcPr>
          <w:p w:rsidR="009F5906" w:rsidRDefault="009F5906" w:rsidP="0057173F">
            <w:pPr>
              <w:jc w:val="right"/>
              <w:rPr>
                <w:rFonts w:eastAsia="PMingLiU"/>
                <w:lang w:eastAsia="zh-TW"/>
              </w:rPr>
            </w:pPr>
          </w:p>
        </w:tc>
      </w:tr>
      <w:tr w:rsidR="009F5906" w:rsidTr="0057173F">
        <w:trPr>
          <w:trHeight w:val="340"/>
        </w:trPr>
        <w:tc>
          <w:tcPr>
            <w:tcW w:w="4933" w:type="dxa"/>
            <w:tcBorders>
              <w:top w:val="single" w:sz="4" w:space="0" w:color="auto"/>
              <w:bottom w:val="single" w:sz="4" w:space="0" w:color="auto"/>
            </w:tcBorders>
            <w:vAlign w:val="center"/>
          </w:tcPr>
          <w:p w:rsidR="009F5906" w:rsidRPr="008B4CFE" w:rsidRDefault="009F5906" w:rsidP="0057173F">
            <w:pPr>
              <w:rPr>
                <w:rFonts w:eastAsia="PMingLiU"/>
                <w:i/>
                <w:iCs/>
                <w:lang w:eastAsia="zh-TW"/>
              </w:rPr>
            </w:pPr>
            <w:r>
              <w:rPr>
                <w:rFonts w:eastAsia="PMingLiU"/>
                <w:i/>
                <w:iCs/>
                <w:lang w:eastAsia="zh-TW"/>
              </w:rPr>
              <w:t>From any one of sources above</w:t>
            </w:r>
          </w:p>
        </w:tc>
        <w:tc>
          <w:tcPr>
            <w:tcW w:w="1124" w:type="dxa"/>
            <w:tcBorders>
              <w:top w:val="single" w:sz="4" w:space="0" w:color="auto"/>
              <w:bottom w:val="single" w:sz="4" w:space="0" w:color="auto"/>
            </w:tcBorders>
            <w:vAlign w:val="center"/>
          </w:tcPr>
          <w:p w:rsidR="009F5906" w:rsidRDefault="009F5906" w:rsidP="0057173F">
            <w:pPr>
              <w:jc w:val="right"/>
              <w:rPr>
                <w:rFonts w:eastAsia="PMingLiU"/>
                <w:lang w:eastAsia="zh-TW"/>
              </w:rPr>
            </w:pPr>
          </w:p>
        </w:tc>
        <w:tc>
          <w:tcPr>
            <w:tcW w:w="1124" w:type="dxa"/>
            <w:tcBorders>
              <w:top w:val="single" w:sz="4" w:space="0" w:color="auto"/>
              <w:bottom w:val="single" w:sz="4" w:space="0" w:color="auto"/>
            </w:tcBorders>
            <w:vAlign w:val="center"/>
          </w:tcPr>
          <w:p w:rsidR="009F5906" w:rsidRDefault="009F5906" w:rsidP="0057173F">
            <w:pPr>
              <w:jc w:val="right"/>
              <w:rPr>
                <w:rFonts w:eastAsia="PMingLiU"/>
                <w:lang w:eastAsia="zh-TW"/>
              </w:rPr>
            </w:pPr>
          </w:p>
        </w:tc>
        <w:tc>
          <w:tcPr>
            <w:tcW w:w="1124" w:type="dxa"/>
            <w:tcBorders>
              <w:top w:val="single" w:sz="4" w:space="0" w:color="auto"/>
              <w:bottom w:val="single" w:sz="4" w:space="0" w:color="auto"/>
            </w:tcBorders>
            <w:vAlign w:val="center"/>
          </w:tcPr>
          <w:p w:rsidR="009F5906" w:rsidRDefault="009F5906" w:rsidP="0057173F">
            <w:pPr>
              <w:jc w:val="right"/>
              <w:rPr>
                <w:rFonts w:eastAsia="PMingLiU"/>
                <w:lang w:eastAsia="zh-TW"/>
              </w:rPr>
            </w:pPr>
            <w:r>
              <w:rPr>
                <w:rFonts w:eastAsia="PMingLiU"/>
                <w:lang w:eastAsia="zh-TW"/>
              </w:rPr>
              <w:t>90</w:t>
            </w:r>
          </w:p>
        </w:tc>
        <w:tc>
          <w:tcPr>
            <w:tcW w:w="1125" w:type="dxa"/>
            <w:tcBorders>
              <w:top w:val="single" w:sz="4" w:space="0" w:color="auto"/>
              <w:bottom w:val="single" w:sz="4" w:space="0" w:color="auto"/>
            </w:tcBorders>
            <w:vAlign w:val="center"/>
          </w:tcPr>
          <w:p w:rsidR="009F5906" w:rsidRDefault="009F5906" w:rsidP="0057173F">
            <w:pPr>
              <w:jc w:val="right"/>
              <w:rPr>
                <w:rFonts w:eastAsia="PMingLiU"/>
                <w:lang w:eastAsia="zh-TW"/>
              </w:rPr>
            </w:pPr>
            <w:r>
              <w:rPr>
                <w:rFonts w:eastAsia="PMingLiU"/>
                <w:lang w:eastAsia="zh-TW"/>
              </w:rPr>
              <w:t>61</w:t>
            </w:r>
          </w:p>
        </w:tc>
        <w:tc>
          <w:tcPr>
            <w:tcW w:w="1125" w:type="dxa"/>
            <w:tcBorders>
              <w:top w:val="single" w:sz="4" w:space="0" w:color="auto"/>
              <w:bottom w:val="single" w:sz="4" w:space="0" w:color="auto"/>
            </w:tcBorders>
            <w:vAlign w:val="center"/>
          </w:tcPr>
          <w:p w:rsidR="009F5906" w:rsidRDefault="009F5906" w:rsidP="0057173F">
            <w:pPr>
              <w:jc w:val="right"/>
              <w:rPr>
                <w:rFonts w:eastAsia="PMingLiU"/>
                <w:lang w:eastAsia="zh-TW"/>
              </w:rPr>
            </w:pPr>
            <w:r>
              <w:rPr>
                <w:rFonts w:eastAsia="PMingLiU" w:hint="eastAsia"/>
                <w:lang w:eastAsia="zh-TW"/>
              </w:rPr>
              <w:t>41</w:t>
            </w:r>
          </w:p>
        </w:tc>
      </w:tr>
    </w:tbl>
    <w:p w:rsidR="009F5906" w:rsidRDefault="009F5906" w:rsidP="009F5906">
      <w:pPr>
        <w:jc w:val="both"/>
        <w:rPr>
          <w:rFonts w:eastAsia="PMingLiU"/>
          <w:lang w:eastAsia="zh-TW"/>
        </w:rPr>
      </w:pPr>
    </w:p>
    <w:p w:rsidR="009F5906" w:rsidRDefault="009F5906" w:rsidP="009F5906">
      <w:pPr>
        <w:jc w:val="both"/>
        <w:rPr>
          <w:rFonts w:eastAsia="PMingLiU"/>
          <w:sz w:val="20"/>
          <w:szCs w:val="20"/>
          <w:lang w:eastAsia="zh-TW"/>
        </w:rPr>
      </w:pPr>
      <w:r>
        <w:rPr>
          <w:rFonts w:eastAsia="PMingLiU"/>
          <w:sz w:val="20"/>
          <w:szCs w:val="20"/>
          <w:lang w:eastAsia="zh-TW"/>
        </w:rPr>
        <w:t xml:space="preserve">Note: Income sources are defined in Table </w:t>
      </w:r>
      <w:r>
        <w:rPr>
          <w:rFonts w:eastAsia="PMingLiU" w:hint="eastAsia"/>
          <w:sz w:val="20"/>
          <w:szCs w:val="20"/>
          <w:lang w:eastAsia="zh-TW"/>
        </w:rPr>
        <w:t>1</w:t>
      </w:r>
      <w:r>
        <w:rPr>
          <w:rFonts w:eastAsia="PMingLiU"/>
          <w:sz w:val="20"/>
          <w:szCs w:val="20"/>
          <w:lang w:eastAsia="zh-TW"/>
        </w:rPr>
        <w:t>.</w:t>
      </w:r>
      <w:r>
        <w:rPr>
          <w:rFonts w:eastAsia="PMingLiU" w:hint="eastAsia"/>
          <w:sz w:val="20"/>
          <w:szCs w:val="20"/>
          <w:lang w:eastAsia="zh-TW"/>
        </w:rPr>
        <w:t xml:space="preserve">  Estimated percentages have been adjusted to account for the sampling design.</w:t>
      </w:r>
    </w:p>
    <w:p w:rsidR="009F5906" w:rsidRDefault="009F5906" w:rsidP="009F5906">
      <w:pPr>
        <w:jc w:val="both"/>
        <w:rPr>
          <w:rFonts w:eastAsia="PMingLiU"/>
          <w:sz w:val="20"/>
          <w:szCs w:val="20"/>
          <w:lang w:eastAsia="zh-TW"/>
        </w:rPr>
      </w:pPr>
      <w:r w:rsidRPr="008E1BCB">
        <w:rPr>
          <w:rFonts w:eastAsia="PMingLiU"/>
          <w:sz w:val="20"/>
          <w:szCs w:val="20"/>
          <w:lang w:eastAsia="zh-TW"/>
        </w:rPr>
        <w:t xml:space="preserve">Source: analysis of the accounts of </w:t>
      </w:r>
      <w:r>
        <w:rPr>
          <w:rFonts w:eastAsia="PMingLiU" w:hint="eastAsia"/>
          <w:sz w:val="20"/>
          <w:szCs w:val="20"/>
          <w:lang w:eastAsia="zh-TW"/>
        </w:rPr>
        <w:t>7,039</w:t>
      </w:r>
      <w:r w:rsidRPr="008E1BCB">
        <w:rPr>
          <w:rFonts w:eastAsia="PMingLiU"/>
          <w:sz w:val="20"/>
          <w:szCs w:val="20"/>
          <w:lang w:eastAsia="zh-TW"/>
        </w:rPr>
        <w:t xml:space="preserve"> charities with an income o</w:t>
      </w:r>
      <w:r>
        <w:rPr>
          <w:rFonts w:eastAsia="PMingLiU"/>
          <w:sz w:val="20"/>
          <w:szCs w:val="20"/>
          <w:lang w:eastAsia="zh-TW"/>
        </w:rPr>
        <w:t>f at least £500,000 in the 2009–</w:t>
      </w:r>
      <w:r w:rsidRPr="008E1BCB">
        <w:rPr>
          <w:rFonts w:eastAsia="PMingLiU"/>
          <w:sz w:val="20"/>
          <w:szCs w:val="20"/>
          <w:lang w:eastAsia="zh-TW"/>
        </w:rPr>
        <w:t xml:space="preserve">10 financial year. </w:t>
      </w:r>
    </w:p>
    <w:p w:rsidR="009F5906" w:rsidRDefault="009F5906" w:rsidP="009F5906">
      <w:pPr>
        <w:jc w:val="both"/>
        <w:rPr>
          <w:rFonts w:eastAsia="PMingLiU"/>
          <w:sz w:val="20"/>
          <w:szCs w:val="20"/>
          <w:lang w:eastAsia="zh-TW"/>
        </w:rPr>
      </w:pPr>
    </w:p>
    <w:p w:rsidR="009F5906" w:rsidRDefault="009F5906" w:rsidP="009F5906">
      <w:pPr>
        <w:rPr>
          <w:rFonts w:eastAsia="PMingLiU"/>
          <w:sz w:val="20"/>
          <w:szCs w:val="20"/>
          <w:lang w:eastAsia="zh-TW"/>
        </w:rPr>
      </w:pPr>
      <w:r>
        <w:rPr>
          <w:rFonts w:eastAsia="PMingLiU"/>
          <w:sz w:val="20"/>
          <w:szCs w:val="20"/>
          <w:lang w:eastAsia="zh-TW"/>
        </w:rPr>
        <w:br w:type="page"/>
      </w:r>
    </w:p>
    <w:p w:rsidR="009F5906" w:rsidRDefault="009F5906" w:rsidP="009F5906">
      <w:pPr>
        <w:jc w:val="both"/>
        <w:rPr>
          <w:rFonts w:eastAsia="PMingLiU"/>
          <w:b/>
          <w:bCs/>
          <w:lang w:eastAsia="zh-TW"/>
        </w:rPr>
        <w:sectPr w:rsidR="009F5906" w:rsidSect="00C53450">
          <w:pgSz w:w="11906" w:h="16838"/>
          <w:pgMar w:top="720" w:right="720" w:bottom="720" w:left="720" w:header="708" w:footer="708" w:gutter="0"/>
          <w:cols w:space="708"/>
          <w:docGrid w:linePitch="360"/>
        </w:sectPr>
      </w:pPr>
    </w:p>
    <w:p w:rsidR="009F5906" w:rsidRPr="00C8158A" w:rsidRDefault="009F5906" w:rsidP="009F5906">
      <w:pPr>
        <w:jc w:val="center"/>
        <w:rPr>
          <w:rFonts w:eastAsia="PMingLiU"/>
          <w:lang w:eastAsia="zh-TW"/>
        </w:rPr>
      </w:pPr>
      <w:r>
        <w:rPr>
          <w:rFonts w:eastAsia="PMingLiU" w:hint="eastAsia"/>
          <w:b/>
          <w:bCs/>
          <w:lang w:eastAsia="zh-TW"/>
        </w:rPr>
        <w:t xml:space="preserve">Table 2. </w:t>
      </w:r>
      <w:r>
        <w:rPr>
          <w:rFonts w:eastAsia="PMingLiU" w:hint="eastAsia"/>
          <w:lang w:eastAsia="zh-TW"/>
        </w:rPr>
        <w:t xml:space="preserve">Percentage of charities according to </w:t>
      </w:r>
      <w:r>
        <w:rPr>
          <w:rFonts w:eastAsia="PMingLiU"/>
          <w:lang w:eastAsia="zh-TW"/>
        </w:rPr>
        <w:t>‘important’</w:t>
      </w:r>
      <w:r>
        <w:rPr>
          <w:rFonts w:eastAsia="PMingLiU" w:hint="eastAsia"/>
          <w:lang w:eastAsia="zh-TW"/>
        </w:rPr>
        <w:t xml:space="preserve"> income sources (</w:t>
      </w:r>
      <w:r>
        <w:rPr>
          <w:rFonts w:eastAsia="PMingLiU"/>
          <w:lang w:eastAsia="zh-TW"/>
        </w:rPr>
        <w:t>where an</w:t>
      </w:r>
      <w:r>
        <w:rPr>
          <w:rFonts w:eastAsia="PMingLiU" w:hint="eastAsia"/>
          <w:lang w:eastAsia="zh-TW"/>
        </w:rPr>
        <w:t xml:space="preserve"> </w:t>
      </w:r>
      <w:r>
        <w:rPr>
          <w:rFonts w:eastAsia="PMingLiU"/>
          <w:lang w:eastAsia="zh-TW"/>
        </w:rPr>
        <w:t>‘important’</w:t>
      </w:r>
      <w:r>
        <w:rPr>
          <w:rFonts w:eastAsia="PMingLiU" w:hint="eastAsia"/>
          <w:lang w:eastAsia="zh-TW"/>
        </w:rPr>
        <w:t xml:space="preserve"> source represents at least 25% of total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7513"/>
        <w:gridCol w:w="794"/>
        <w:gridCol w:w="510"/>
        <w:gridCol w:w="794"/>
        <w:gridCol w:w="794"/>
        <w:gridCol w:w="510"/>
        <w:gridCol w:w="794"/>
        <w:gridCol w:w="510"/>
        <w:gridCol w:w="794"/>
        <w:gridCol w:w="510"/>
        <w:gridCol w:w="794"/>
        <w:gridCol w:w="510"/>
      </w:tblGrid>
      <w:tr w:rsidR="009F5906" w:rsidRPr="00C8158A" w:rsidTr="0057173F">
        <w:trPr>
          <w:trHeight w:val="340"/>
        </w:trPr>
        <w:tc>
          <w:tcPr>
            <w:tcW w:w="392" w:type="dxa"/>
            <w:tcBorders>
              <w:bottom w:val="single" w:sz="4" w:space="0" w:color="auto"/>
            </w:tcBorders>
            <w:vAlign w:val="center"/>
          </w:tcPr>
          <w:p w:rsidR="009F5906" w:rsidRPr="00C8158A" w:rsidRDefault="009F5906" w:rsidP="0057173F">
            <w:pPr>
              <w:jc w:val="both"/>
              <w:rPr>
                <w:rFonts w:eastAsia="PMingLiU"/>
                <w:lang w:eastAsia="zh-TW"/>
              </w:rPr>
            </w:pPr>
          </w:p>
        </w:tc>
        <w:tc>
          <w:tcPr>
            <w:tcW w:w="7513" w:type="dxa"/>
            <w:tcBorders>
              <w:bottom w:val="single" w:sz="4" w:space="0" w:color="auto"/>
            </w:tcBorders>
            <w:vAlign w:val="center"/>
          </w:tcPr>
          <w:p w:rsidR="009F5906" w:rsidRPr="00C8158A" w:rsidRDefault="009F5906" w:rsidP="0057173F">
            <w:pPr>
              <w:jc w:val="both"/>
              <w:rPr>
                <w:rFonts w:eastAsia="PMingLiU"/>
                <w:b/>
                <w:bCs/>
                <w:lang w:eastAsia="zh-TW"/>
              </w:rPr>
            </w:pPr>
          </w:p>
        </w:tc>
        <w:tc>
          <w:tcPr>
            <w:tcW w:w="794" w:type="dxa"/>
            <w:tcBorders>
              <w:bottom w:val="single" w:sz="4" w:space="0" w:color="auto"/>
            </w:tcBorders>
            <w:vAlign w:val="center"/>
          </w:tcPr>
          <w:p w:rsidR="009F5906" w:rsidRPr="00C8158A" w:rsidRDefault="009F5906" w:rsidP="0057173F">
            <w:pPr>
              <w:jc w:val="right"/>
              <w:rPr>
                <w:rFonts w:eastAsia="PMingLiU"/>
                <w:lang w:eastAsia="zh-TW"/>
              </w:rPr>
            </w:pPr>
          </w:p>
        </w:tc>
        <w:tc>
          <w:tcPr>
            <w:tcW w:w="510" w:type="dxa"/>
            <w:tcBorders>
              <w:bottom w:val="single" w:sz="4" w:space="0" w:color="auto"/>
            </w:tcBorders>
            <w:vAlign w:val="center"/>
          </w:tcPr>
          <w:p w:rsidR="009F5906" w:rsidRPr="00C8158A" w:rsidRDefault="009F5906" w:rsidP="0057173F">
            <w:pPr>
              <w:jc w:val="both"/>
              <w:rPr>
                <w:rFonts w:eastAsia="PMingLiU"/>
                <w:lang w:eastAsia="zh-TW"/>
              </w:rPr>
            </w:pPr>
          </w:p>
        </w:tc>
        <w:tc>
          <w:tcPr>
            <w:tcW w:w="794" w:type="dxa"/>
            <w:tcBorders>
              <w:bottom w:val="single" w:sz="4" w:space="0" w:color="auto"/>
            </w:tcBorders>
          </w:tcPr>
          <w:p w:rsidR="009F5906" w:rsidRDefault="009F5906" w:rsidP="0057173F">
            <w:pPr>
              <w:jc w:val="both"/>
              <w:rPr>
                <w:rFonts w:eastAsia="PMingLiU"/>
                <w:lang w:eastAsia="zh-TW"/>
              </w:rPr>
            </w:pPr>
          </w:p>
        </w:tc>
        <w:tc>
          <w:tcPr>
            <w:tcW w:w="794" w:type="dxa"/>
            <w:tcBorders>
              <w:bottom w:val="single" w:sz="4" w:space="0" w:color="auto"/>
            </w:tcBorders>
          </w:tcPr>
          <w:p w:rsidR="009F5906" w:rsidRPr="00C8158A" w:rsidRDefault="009F5906" w:rsidP="0057173F">
            <w:pPr>
              <w:jc w:val="both"/>
              <w:rPr>
                <w:rFonts w:eastAsia="PMingLiU"/>
                <w:lang w:eastAsia="zh-TW"/>
              </w:rPr>
            </w:pPr>
          </w:p>
        </w:tc>
        <w:tc>
          <w:tcPr>
            <w:tcW w:w="510" w:type="dxa"/>
            <w:tcBorders>
              <w:bottom w:val="single" w:sz="4" w:space="0" w:color="auto"/>
            </w:tcBorders>
          </w:tcPr>
          <w:p w:rsidR="009F5906" w:rsidRPr="00C8158A" w:rsidRDefault="009F5906" w:rsidP="0057173F">
            <w:pPr>
              <w:jc w:val="both"/>
              <w:rPr>
                <w:rFonts w:eastAsia="PMingLiU"/>
                <w:lang w:eastAsia="zh-TW"/>
              </w:rPr>
            </w:pPr>
          </w:p>
        </w:tc>
        <w:tc>
          <w:tcPr>
            <w:tcW w:w="794" w:type="dxa"/>
            <w:tcBorders>
              <w:bottom w:val="single" w:sz="4" w:space="0" w:color="auto"/>
            </w:tcBorders>
          </w:tcPr>
          <w:p w:rsidR="009F5906" w:rsidRPr="00C8158A" w:rsidRDefault="009F5906" w:rsidP="0057173F">
            <w:pPr>
              <w:jc w:val="both"/>
              <w:rPr>
                <w:rFonts w:eastAsia="PMingLiU"/>
                <w:lang w:eastAsia="zh-TW"/>
              </w:rPr>
            </w:pPr>
          </w:p>
        </w:tc>
        <w:tc>
          <w:tcPr>
            <w:tcW w:w="510" w:type="dxa"/>
            <w:tcBorders>
              <w:bottom w:val="single" w:sz="4" w:space="0" w:color="auto"/>
            </w:tcBorders>
          </w:tcPr>
          <w:p w:rsidR="009F5906" w:rsidRPr="00C8158A" w:rsidRDefault="009F5906" w:rsidP="0057173F">
            <w:pPr>
              <w:jc w:val="both"/>
              <w:rPr>
                <w:rFonts w:eastAsia="PMingLiU"/>
                <w:lang w:eastAsia="zh-TW"/>
              </w:rPr>
            </w:pPr>
          </w:p>
        </w:tc>
        <w:tc>
          <w:tcPr>
            <w:tcW w:w="794" w:type="dxa"/>
            <w:tcBorders>
              <w:bottom w:val="single" w:sz="4" w:space="0" w:color="auto"/>
            </w:tcBorders>
          </w:tcPr>
          <w:p w:rsidR="009F5906" w:rsidRPr="00C8158A" w:rsidRDefault="009F5906" w:rsidP="0057173F">
            <w:pPr>
              <w:jc w:val="both"/>
              <w:rPr>
                <w:rFonts w:eastAsia="PMingLiU"/>
                <w:lang w:eastAsia="zh-TW"/>
              </w:rPr>
            </w:pPr>
          </w:p>
        </w:tc>
        <w:tc>
          <w:tcPr>
            <w:tcW w:w="510" w:type="dxa"/>
            <w:tcBorders>
              <w:bottom w:val="single" w:sz="4" w:space="0" w:color="auto"/>
            </w:tcBorders>
          </w:tcPr>
          <w:p w:rsidR="009F5906" w:rsidRPr="00C8158A" w:rsidRDefault="009F5906" w:rsidP="0057173F">
            <w:pPr>
              <w:jc w:val="both"/>
              <w:rPr>
                <w:rFonts w:eastAsia="PMingLiU"/>
                <w:lang w:eastAsia="zh-TW"/>
              </w:rPr>
            </w:pPr>
          </w:p>
        </w:tc>
        <w:tc>
          <w:tcPr>
            <w:tcW w:w="794" w:type="dxa"/>
            <w:tcBorders>
              <w:bottom w:val="single" w:sz="4" w:space="0" w:color="auto"/>
            </w:tcBorders>
          </w:tcPr>
          <w:p w:rsidR="009F5906" w:rsidRPr="00C8158A" w:rsidRDefault="009F5906" w:rsidP="0057173F">
            <w:pPr>
              <w:jc w:val="both"/>
              <w:rPr>
                <w:rFonts w:eastAsia="PMingLiU"/>
                <w:lang w:eastAsia="zh-TW"/>
              </w:rPr>
            </w:pPr>
          </w:p>
        </w:tc>
        <w:tc>
          <w:tcPr>
            <w:tcW w:w="510" w:type="dxa"/>
            <w:tcBorders>
              <w:bottom w:val="single" w:sz="4" w:space="0" w:color="auto"/>
            </w:tcBorders>
          </w:tcPr>
          <w:p w:rsidR="009F5906" w:rsidRPr="00C8158A" w:rsidRDefault="009F5906" w:rsidP="0057173F">
            <w:pPr>
              <w:jc w:val="both"/>
              <w:rPr>
                <w:rFonts w:eastAsia="PMingLiU"/>
                <w:lang w:eastAsia="zh-TW"/>
              </w:rPr>
            </w:pPr>
          </w:p>
        </w:tc>
      </w:tr>
      <w:tr w:rsidR="009F5906" w:rsidRPr="00512878" w:rsidTr="0057173F">
        <w:trPr>
          <w:trHeight w:val="340"/>
        </w:trPr>
        <w:tc>
          <w:tcPr>
            <w:tcW w:w="392" w:type="dxa"/>
            <w:tcBorders>
              <w:top w:val="single" w:sz="4" w:space="0" w:color="auto"/>
            </w:tcBorders>
            <w:vAlign w:val="center"/>
          </w:tcPr>
          <w:p w:rsidR="009F5906" w:rsidRPr="00C8158A" w:rsidRDefault="009F5906" w:rsidP="0057173F">
            <w:pPr>
              <w:jc w:val="both"/>
              <w:rPr>
                <w:rFonts w:eastAsia="PMingLiU"/>
                <w:lang w:eastAsia="zh-TW"/>
              </w:rPr>
            </w:pPr>
          </w:p>
        </w:tc>
        <w:tc>
          <w:tcPr>
            <w:tcW w:w="7513" w:type="dxa"/>
            <w:tcBorders>
              <w:top w:val="single" w:sz="4" w:space="0" w:color="auto"/>
            </w:tcBorders>
            <w:vAlign w:val="center"/>
          </w:tcPr>
          <w:p w:rsidR="009F5906" w:rsidRPr="00C8158A" w:rsidRDefault="009F5906" w:rsidP="0057173F">
            <w:pPr>
              <w:jc w:val="both"/>
              <w:rPr>
                <w:rFonts w:eastAsia="PMingLiU"/>
                <w:b/>
                <w:bCs/>
                <w:lang w:eastAsia="zh-TW"/>
              </w:rPr>
            </w:pPr>
          </w:p>
        </w:tc>
        <w:tc>
          <w:tcPr>
            <w:tcW w:w="1304" w:type="dxa"/>
            <w:gridSpan w:val="2"/>
            <w:tcBorders>
              <w:top w:val="single" w:sz="4" w:space="0" w:color="auto"/>
            </w:tcBorders>
            <w:vAlign w:val="center"/>
          </w:tcPr>
          <w:p w:rsidR="009F5906" w:rsidRDefault="009F5906" w:rsidP="0057173F">
            <w:pPr>
              <w:jc w:val="right"/>
              <w:rPr>
                <w:rFonts w:eastAsia="PMingLiU"/>
                <w:i/>
                <w:iCs/>
                <w:lang w:eastAsia="zh-TW"/>
              </w:rPr>
            </w:pPr>
          </w:p>
        </w:tc>
        <w:tc>
          <w:tcPr>
            <w:tcW w:w="794" w:type="dxa"/>
            <w:tcBorders>
              <w:top w:val="single" w:sz="4" w:space="0" w:color="auto"/>
            </w:tcBorders>
          </w:tcPr>
          <w:p w:rsidR="009F5906" w:rsidRDefault="009F5906" w:rsidP="0057173F">
            <w:pPr>
              <w:jc w:val="both"/>
              <w:rPr>
                <w:rFonts w:eastAsia="PMingLiU"/>
                <w:lang w:eastAsia="zh-TW"/>
              </w:rPr>
            </w:pPr>
          </w:p>
        </w:tc>
        <w:tc>
          <w:tcPr>
            <w:tcW w:w="5216" w:type="dxa"/>
            <w:gridSpan w:val="8"/>
            <w:tcBorders>
              <w:top w:val="single" w:sz="4" w:space="0" w:color="auto"/>
            </w:tcBorders>
          </w:tcPr>
          <w:p w:rsidR="009F5906" w:rsidRPr="00512878" w:rsidRDefault="009F5906" w:rsidP="0057173F">
            <w:pPr>
              <w:jc w:val="center"/>
              <w:rPr>
                <w:rFonts w:eastAsia="PMingLiU"/>
                <w:i/>
                <w:iCs/>
                <w:sz w:val="20"/>
                <w:szCs w:val="20"/>
                <w:lang w:eastAsia="zh-TW"/>
              </w:rPr>
            </w:pPr>
            <w:r>
              <w:rPr>
                <w:rFonts w:eastAsia="PMingLiU" w:hint="eastAsia"/>
                <w:i/>
                <w:iCs/>
                <w:sz w:val="20"/>
                <w:szCs w:val="20"/>
                <w:lang w:eastAsia="zh-TW"/>
              </w:rPr>
              <w:t>By charitable subsector</w:t>
            </w:r>
            <w:r>
              <w:rPr>
                <w:rFonts w:eastAsia="PMingLiU"/>
                <w:i/>
                <w:iCs/>
                <w:sz w:val="20"/>
                <w:szCs w:val="20"/>
                <w:lang w:eastAsia="zh-TW"/>
              </w:rPr>
              <w:t xml:space="preserve"> (ICNPO)</w:t>
            </w:r>
          </w:p>
        </w:tc>
      </w:tr>
      <w:tr w:rsidR="009F5906" w:rsidRPr="00512878" w:rsidTr="0057173F">
        <w:trPr>
          <w:trHeight w:val="340"/>
        </w:trPr>
        <w:tc>
          <w:tcPr>
            <w:tcW w:w="392" w:type="dxa"/>
            <w:tcBorders>
              <w:bottom w:val="single" w:sz="4" w:space="0" w:color="auto"/>
            </w:tcBorders>
            <w:vAlign w:val="center"/>
          </w:tcPr>
          <w:p w:rsidR="009F5906" w:rsidRPr="00C8158A" w:rsidRDefault="009F5906" w:rsidP="0057173F">
            <w:pPr>
              <w:jc w:val="both"/>
              <w:rPr>
                <w:rFonts w:eastAsia="PMingLiU"/>
                <w:lang w:eastAsia="zh-TW"/>
              </w:rPr>
            </w:pPr>
          </w:p>
        </w:tc>
        <w:tc>
          <w:tcPr>
            <w:tcW w:w="7513" w:type="dxa"/>
            <w:tcBorders>
              <w:bottom w:val="single" w:sz="4" w:space="0" w:color="auto"/>
            </w:tcBorders>
            <w:vAlign w:val="center"/>
          </w:tcPr>
          <w:p w:rsidR="009F5906" w:rsidRPr="00C8158A" w:rsidRDefault="009F5906" w:rsidP="0057173F">
            <w:pPr>
              <w:jc w:val="both"/>
              <w:rPr>
                <w:rFonts w:eastAsia="PMingLiU"/>
                <w:b/>
                <w:bCs/>
                <w:lang w:eastAsia="zh-TW"/>
              </w:rPr>
            </w:pPr>
          </w:p>
        </w:tc>
        <w:tc>
          <w:tcPr>
            <w:tcW w:w="1304" w:type="dxa"/>
            <w:gridSpan w:val="2"/>
            <w:tcBorders>
              <w:bottom w:val="single" w:sz="4" w:space="0" w:color="auto"/>
            </w:tcBorders>
            <w:vAlign w:val="center"/>
          </w:tcPr>
          <w:p w:rsidR="009F5906" w:rsidRPr="001B3BDA" w:rsidRDefault="009F5906" w:rsidP="0057173F">
            <w:pPr>
              <w:jc w:val="right"/>
              <w:rPr>
                <w:rFonts w:eastAsia="PMingLiU"/>
                <w:i/>
                <w:iCs/>
                <w:lang w:eastAsia="zh-TW"/>
              </w:rPr>
            </w:pPr>
            <w:r>
              <w:rPr>
                <w:rFonts w:eastAsia="PMingLiU" w:hint="eastAsia"/>
                <w:i/>
                <w:iCs/>
                <w:lang w:eastAsia="zh-TW"/>
              </w:rPr>
              <w:t>Overall</w:t>
            </w:r>
          </w:p>
        </w:tc>
        <w:tc>
          <w:tcPr>
            <w:tcW w:w="794" w:type="dxa"/>
            <w:tcBorders>
              <w:bottom w:val="single" w:sz="4" w:space="0" w:color="auto"/>
            </w:tcBorders>
          </w:tcPr>
          <w:p w:rsidR="009F5906" w:rsidRDefault="009F5906" w:rsidP="0057173F">
            <w:pPr>
              <w:jc w:val="both"/>
              <w:rPr>
                <w:rFonts w:eastAsia="PMingLiU"/>
                <w:lang w:eastAsia="zh-TW"/>
              </w:rPr>
            </w:pPr>
          </w:p>
        </w:tc>
        <w:tc>
          <w:tcPr>
            <w:tcW w:w="1304" w:type="dxa"/>
            <w:gridSpan w:val="2"/>
            <w:tcBorders>
              <w:bottom w:val="single" w:sz="4" w:space="0" w:color="auto"/>
            </w:tcBorders>
          </w:tcPr>
          <w:p w:rsidR="009F5906" w:rsidRPr="00512878" w:rsidRDefault="009F5906" w:rsidP="0057173F">
            <w:pPr>
              <w:jc w:val="right"/>
              <w:rPr>
                <w:rFonts w:eastAsia="PMingLiU"/>
                <w:i/>
                <w:iCs/>
                <w:sz w:val="20"/>
                <w:szCs w:val="20"/>
                <w:lang w:eastAsia="zh-TW"/>
              </w:rPr>
            </w:pPr>
            <w:r w:rsidRPr="00512878">
              <w:rPr>
                <w:rFonts w:eastAsia="PMingLiU" w:hint="eastAsia"/>
                <w:i/>
                <w:iCs/>
                <w:sz w:val="20"/>
                <w:szCs w:val="20"/>
                <w:lang w:eastAsia="zh-TW"/>
              </w:rPr>
              <w:t>Education</w:t>
            </w:r>
          </w:p>
        </w:tc>
        <w:tc>
          <w:tcPr>
            <w:tcW w:w="1304" w:type="dxa"/>
            <w:gridSpan w:val="2"/>
            <w:tcBorders>
              <w:bottom w:val="single" w:sz="4" w:space="0" w:color="auto"/>
            </w:tcBorders>
          </w:tcPr>
          <w:p w:rsidR="009F5906" w:rsidRPr="00512878" w:rsidRDefault="009F5906" w:rsidP="0057173F">
            <w:pPr>
              <w:jc w:val="right"/>
              <w:rPr>
                <w:rFonts w:eastAsia="PMingLiU"/>
                <w:i/>
                <w:iCs/>
                <w:sz w:val="20"/>
                <w:szCs w:val="20"/>
                <w:lang w:eastAsia="zh-TW"/>
              </w:rPr>
            </w:pPr>
            <w:r>
              <w:rPr>
                <w:rFonts w:eastAsia="PMingLiU" w:hint="eastAsia"/>
                <w:i/>
                <w:iCs/>
                <w:sz w:val="20"/>
                <w:szCs w:val="20"/>
                <w:lang w:eastAsia="zh-TW"/>
              </w:rPr>
              <w:t xml:space="preserve">Soc </w:t>
            </w:r>
            <w:r w:rsidRPr="00512878">
              <w:rPr>
                <w:rFonts w:eastAsia="PMingLiU" w:hint="eastAsia"/>
                <w:i/>
                <w:iCs/>
                <w:sz w:val="20"/>
                <w:szCs w:val="20"/>
                <w:lang w:eastAsia="zh-TW"/>
              </w:rPr>
              <w:t>Services</w:t>
            </w:r>
          </w:p>
        </w:tc>
        <w:tc>
          <w:tcPr>
            <w:tcW w:w="1304" w:type="dxa"/>
            <w:gridSpan w:val="2"/>
            <w:tcBorders>
              <w:bottom w:val="single" w:sz="4" w:space="0" w:color="auto"/>
            </w:tcBorders>
          </w:tcPr>
          <w:p w:rsidR="009F5906" w:rsidRPr="00512878" w:rsidRDefault="009F5906" w:rsidP="0057173F">
            <w:pPr>
              <w:jc w:val="right"/>
              <w:rPr>
                <w:rFonts w:eastAsia="PMingLiU"/>
                <w:i/>
                <w:iCs/>
                <w:sz w:val="20"/>
                <w:szCs w:val="20"/>
                <w:lang w:eastAsia="zh-TW"/>
              </w:rPr>
            </w:pPr>
            <w:r>
              <w:rPr>
                <w:rFonts w:eastAsia="PMingLiU" w:hint="eastAsia"/>
                <w:i/>
                <w:iCs/>
                <w:sz w:val="20"/>
                <w:szCs w:val="20"/>
                <w:lang w:eastAsia="zh-TW"/>
              </w:rPr>
              <w:t>International</w:t>
            </w:r>
          </w:p>
        </w:tc>
        <w:tc>
          <w:tcPr>
            <w:tcW w:w="1304" w:type="dxa"/>
            <w:gridSpan w:val="2"/>
            <w:tcBorders>
              <w:bottom w:val="single" w:sz="4" w:space="0" w:color="auto"/>
            </w:tcBorders>
          </w:tcPr>
          <w:p w:rsidR="009F5906" w:rsidRPr="00512878" w:rsidRDefault="009F5906" w:rsidP="0057173F">
            <w:pPr>
              <w:jc w:val="right"/>
              <w:rPr>
                <w:rFonts w:eastAsia="PMingLiU"/>
                <w:i/>
                <w:iCs/>
                <w:sz w:val="20"/>
                <w:szCs w:val="20"/>
                <w:lang w:eastAsia="zh-TW"/>
              </w:rPr>
            </w:pPr>
            <w:r w:rsidRPr="00512878">
              <w:rPr>
                <w:rFonts w:eastAsia="PMingLiU" w:hint="eastAsia"/>
                <w:i/>
                <w:iCs/>
                <w:sz w:val="20"/>
                <w:szCs w:val="20"/>
                <w:lang w:eastAsia="zh-TW"/>
              </w:rPr>
              <w:t>Culture/arts</w:t>
            </w:r>
          </w:p>
        </w:tc>
      </w:tr>
      <w:tr w:rsidR="009F5906" w:rsidRPr="00C8158A" w:rsidTr="0057173F">
        <w:trPr>
          <w:trHeight w:val="340"/>
        </w:trPr>
        <w:tc>
          <w:tcPr>
            <w:tcW w:w="7905" w:type="dxa"/>
            <w:gridSpan w:val="2"/>
            <w:tcBorders>
              <w:top w:val="single" w:sz="4" w:space="0" w:color="auto"/>
            </w:tcBorders>
            <w:vAlign w:val="center"/>
          </w:tcPr>
          <w:p w:rsidR="009F5906" w:rsidRPr="00B528C3" w:rsidRDefault="009F5906" w:rsidP="0057173F">
            <w:pPr>
              <w:jc w:val="both"/>
              <w:rPr>
                <w:rFonts w:eastAsia="PMingLiU"/>
                <w:i/>
                <w:iCs/>
                <w:lang w:eastAsia="zh-TW"/>
              </w:rPr>
            </w:pPr>
            <w:r>
              <w:rPr>
                <w:rFonts w:eastAsia="PMingLiU" w:hint="eastAsia"/>
                <w:i/>
                <w:iCs/>
                <w:lang w:eastAsia="zh-TW"/>
              </w:rPr>
              <w:t xml:space="preserve">Only one </w:t>
            </w:r>
            <w:r>
              <w:rPr>
                <w:rFonts w:eastAsia="PMingLiU"/>
                <w:i/>
                <w:iCs/>
                <w:lang w:eastAsia="zh-TW"/>
              </w:rPr>
              <w:t xml:space="preserve">important </w:t>
            </w:r>
            <w:r>
              <w:rPr>
                <w:rFonts w:eastAsia="PMingLiU" w:hint="eastAsia"/>
                <w:i/>
                <w:iCs/>
                <w:lang w:eastAsia="zh-TW"/>
              </w:rPr>
              <w:t>source</w:t>
            </w:r>
          </w:p>
        </w:tc>
        <w:tc>
          <w:tcPr>
            <w:tcW w:w="794" w:type="dxa"/>
            <w:tcBorders>
              <w:top w:val="single" w:sz="4" w:space="0" w:color="auto"/>
            </w:tcBorders>
            <w:vAlign w:val="center"/>
          </w:tcPr>
          <w:p w:rsidR="009F5906" w:rsidRPr="00C8158A" w:rsidRDefault="009F5906" w:rsidP="0057173F">
            <w:pPr>
              <w:jc w:val="right"/>
              <w:rPr>
                <w:rFonts w:eastAsia="PMingLiU"/>
                <w:lang w:eastAsia="zh-TW"/>
              </w:rPr>
            </w:pPr>
          </w:p>
        </w:tc>
        <w:tc>
          <w:tcPr>
            <w:tcW w:w="510" w:type="dxa"/>
            <w:tcBorders>
              <w:top w:val="single" w:sz="4" w:space="0" w:color="auto"/>
            </w:tcBorders>
            <w:vAlign w:val="center"/>
          </w:tcPr>
          <w:p w:rsidR="009F5906" w:rsidRPr="00B87FC7" w:rsidRDefault="009F5906" w:rsidP="0057173F">
            <w:pPr>
              <w:jc w:val="right"/>
              <w:rPr>
                <w:rFonts w:eastAsia="PMingLiU"/>
                <w:i/>
                <w:iCs/>
                <w:lang w:eastAsia="zh-TW"/>
              </w:rPr>
            </w:pPr>
            <w:r w:rsidRPr="00B87FC7">
              <w:rPr>
                <w:rFonts w:eastAsia="PMingLiU" w:hint="eastAsia"/>
                <w:i/>
                <w:iCs/>
                <w:lang w:eastAsia="zh-TW"/>
              </w:rPr>
              <w:t>74</w:t>
            </w:r>
          </w:p>
        </w:tc>
        <w:tc>
          <w:tcPr>
            <w:tcW w:w="794" w:type="dxa"/>
            <w:tcBorders>
              <w:top w:val="single" w:sz="4" w:space="0" w:color="auto"/>
            </w:tcBorders>
          </w:tcPr>
          <w:p w:rsidR="009F5906" w:rsidRPr="00B87FC7" w:rsidRDefault="009F5906" w:rsidP="0057173F">
            <w:pPr>
              <w:jc w:val="right"/>
              <w:rPr>
                <w:rFonts w:eastAsia="PMingLiU"/>
                <w:i/>
                <w:iCs/>
                <w:lang w:eastAsia="zh-TW"/>
              </w:rPr>
            </w:pPr>
          </w:p>
        </w:tc>
        <w:tc>
          <w:tcPr>
            <w:tcW w:w="794" w:type="dxa"/>
            <w:tcBorders>
              <w:top w:val="single" w:sz="4" w:space="0" w:color="auto"/>
            </w:tcBorders>
            <w:vAlign w:val="center"/>
          </w:tcPr>
          <w:p w:rsidR="009F5906" w:rsidRPr="00EC77EE" w:rsidRDefault="009F5906" w:rsidP="0057173F">
            <w:pPr>
              <w:jc w:val="right"/>
              <w:rPr>
                <w:rFonts w:eastAsia="PMingLiU"/>
                <w:i/>
                <w:iCs/>
                <w:sz w:val="22"/>
                <w:szCs w:val="22"/>
                <w:lang w:eastAsia="zh-TW"/>
              </w:rPr>
            </w:pPr>
          </w:p>
        </w:tc>
        <w:tc>
          <w:tcPr>
            <w:tcW w:w="510" w:type="dxa"/>
            <w:tcBorders>
              <w:top w:val="single" w:sz="4" w:space="0" w:color="auto"/>
            </w:tcBorders>
            <w:vAlign w:val="center"/>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9</w:t>
            </w:r>
            <w:r>
              <w:rPr>
                <w:rFonts w:eastAsia="PMingLiU" w:hint="eastAsia"/>
                <w:i/>
                <w:iCs/>
                <w:sz w:val="22"/>
                <w:szCs w:val="22"/>
                <w:lang w:eastAsia="zh-TW"/>
              </w:rPr>
              <w:t>3</w:t>
            </w:r>
          </w:p>
        </w:tc>
        <w:tc>
          <w:tcPr>
            <w:tcW w:w="794" w:type="dxa"/>
            <w:tcBorders>
              <w:top w:val="single" w:sz="4" w:space="0" w:color="auto"/>
            </w:tcBorders>
            <w:vAlign w:val="center"/>
          </w:tcPr>
          <w:p w:rsidR="009F5906" w:rsidRPr="00EC77EE" w:rsidRDefault="009F5906" w:rsidP="0057173F">
            <w:pPr>
              <w:jc w:val="right"/>
              <w:rPr>
                <w:rFonts w:eastAsia="PMingLiU"/>
                <w:i/>
                <w:iCs/>
                <w:sz w:val="22"/>
                <w:szCs w:val="22"/>
                <w:lang w:eastAsia="zh-TW"/>
              </w:rPr>
            </w:pPr>
          </w:p>
        </w:tc>
        <w:tc>
          <w:tcPr>
            <w:tcW w:w="510" w:type="dxa"/>
            <w:tcBorders>
              <w:top w:val="single" w:sz="4" w:space="0" w:color="auto"/>
            </w:tcBorders>
            <w:vAlign w:val="center"/>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7</w:t>
            </w:r>
            <w:r>
              <w:rPr>
                <w:rFonts w:eastAsia="PMingLiU" w:hint="eastAsia"/>
                <w:i/>
                <w:iCs/>
                <w:sz w:val="22"/>
                <w:szCs w:val="22"/>
                <w:lang w:eastAsia="zh-TW"/>
              </w:rPr>
              <w:t>4</w:t>
            </w:r>
          </w:p>
        </w:tc>
        <w:tc>
          <w:tcPr>
            <w:tcW w:w="794" w:type="dxa"/>
            <w:tcBorders>
              <w:top w:val="single" w:sz="4" w:space="0" w:color="auto"/>
            </w:tcBorders>
            <w:vAlign w:val="center"/>
          </w:tcPr>
          <w:p w:rsidR="009F5906" w:rsidRPr="00EC77EE" w:rsidRDefault="009F5906" w:rsidP="0057173F">
            <w:pPr>
              <w:jc w:val="right"/>
              <w:rPr>
                <w:rFonts w:eastAsia="PMingLiU"/>
                <w:i/>
                <w:iCs/>
                <w:sz w:val="22"/>
                <w:szCs w:val="22"/>
                <w:lang w:eastAsia="zh-TW"/>
              </w:rPr>
            </w:pPr>
          </w:p>
        </w:tc>
        <w:tc>
          <w:tcPr>
            <w:tcW w:w="510" w:type="dxa"/>
            <w:tcBorders>
              <w:top w:val="single" w:sz="4" w:space="0" w:color="auto"/>
            </w:tcBorders>
            <w:vAlign w:val="center"/>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6</w:t>
            </w:r>
            <w:r>
              <w:rPr>
                <w:rFonts w:eastAsia="PMingLiU" w:hint="eastAsia"/>
                <w:i/>
                <w:iCs/>
                <w:sz w:val="22"/>
                <w:szCs w:val="22"/>
                <w:lang w:eastAsia="zh-TW"/>
              </w:rPr>
              <w:t>6</w:t>
            </w:r>
          </w:p>
        </w:tc>
        <w:tc>
          <w:tcPr>
            <w:tcW w:w="794" w:type="dxa"/>
            <w:tcBorders>
              <w:top w:val="single" w:sz="4" w:space="0" w:color="auto"/>
            </w:tcBorders>
          </w:tcPr>
          <w:p w:rsidR="009F5906" w:rsidRPr="00EC77EE" w:rsidRDefault="009F5906" w:rsidP="0057173F">
            <w:pPr>
              <w:jc w:val="right"/>
              <w:rPr>
                <w:rFonts w:eastAsia="PMingLiU"/>
                <w:i/>
                <w:iCs/>
                <w:sz w:val="22"/>
                <w:szCs w:val="22"/>
                <w:lang w:eastAsia="zh-TW"/>
              </w:rPr>
            </w:pPr>
          </w:p>
        </w:tc>
        <w:tc>
          <w:tcPr>
            <w:tcW w:w="510" w:type="dxa"/>
            <w:tcBorders>
              <w:top w:val="single" w:sz="4" w:space="0" w:color="auto"/>
            </w:tcBorders>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6</w:t>
            </w:r>
            <w:r>
              <w:rPr>
                <w:rFonts w:eastAsia="PMingLiU" w:hint="eastAsia"/>
                <w:i/>
                <w:iCs/>
                <w:sz w:val="22"/>
                <w:szCs w:val="22"/>
                <w:lang w:eastAsia="zh-TW"/>
              </w:rPr>
              <w:t>2</w:t>
            </w: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C8158A" w:rsidRDefault="009F5906" w:rsidP="0057173F">
            <w:pPr>
              <w:jc w:val="both"/>
              <w:rPr>
                <w:rFonts w:eastAsia="PMingLiU"/>
                <w:lang w:eastAsia="zh-TW"/>
              </w:rPr>
            </w:pPr>
            <w:r w:rsidRPr="00C8158A">
              <w:rPr>
                <w:rFonts w:eastAsia="PMingLiU" w:hint="eastAsia"/>
                <w:lang w:eastAsia="zh-TW"/>
              </w:rPr>
              <w:t xml:space="preserve">Government </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27</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13</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49</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15</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28</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C8158A" w:rsidRDefault="009F5906" w:rsidP="0057173F">
            <w:pPr>
              <w:jc w:val="both"/>
              <w:rPr>
                <w:rFonts w:eastAsia="PMingLiU"/>
                <w:lang w:eastAsia="zh-TW"/>
              </w:rPr>
            </w:pPr>
            <w:r>
              <w:rPr>
                <w:rFonts w:eastAsia="PMingLiU" w:hint="eastAsia"/>
                <w:lang w:eastAsia="zh-TW"/>
              </w:rPr>
              <w:t>Individuals: charitable activities</w:t>
            </w:r>
            <w:r>
              <w:rPr>
                <w:rFonts w:eastAsia="PMingLiU"/>
                <w:lang w:eastAsia="zh-TW"/>
              </w:rPr>
              <w:t xml:space="preserve"> (fee income)</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18</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7</w:t>
            </w:r>
            <w:r>
              <w:rPr>
                <w:rFonts w:eastAsia="PMingLiU" w:hint="eastAsia"/>
                <w:sz w:val="22"/>
                <w:szCs w:val="22"/>
                <w:lang w:eastAsia="zh-TW"/>
              </w:rPr>
              <w:t>4</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8</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2</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12</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C8158A" w:rsidRDefault="009F5906" w:rsidP="0057173F">
            <w:pPr>
              <w:jc w:val="both"/>
              <w:rPr>
                <w:rFonts w:eastAsia="PMingLiU"/>
                <w:lang w:eastAsia="zh-TW"/>
              </w:rPr>
            </w:pPr>
            <w:r>
              <w:rPr>
                <w:rFonts w:eastAsia="PMingLiU" w:hint="eastAsia"/>
                <w:lang w:eastAsia="zh-TW"/>
              </w:rPr>
              <w:t>Individuals: donated/raised</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18</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4</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10</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3</w:t>
            </w:r>
            <w:r>
              <w:rPr>
                <w:rFonts w:eastAsia="PMingLiU" w:hint="eastAsia"/>
                <w:sz w:val="22"/>
                <w:szCs w:val="22"/>
                <w:lang w:eastAsia="zh-TW"/>
              </w:rPr>
              <w:t>5</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8</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C8158A" w:rsidRDefault="009F5906" w:rsidP="0057173F">
            <w:pPr>
              <w:jc w:val="both"/>
              <w:rPr>
                <w:rFonts w:eastAsia="PMingLiU"/>
                <w:lang w:eastAsia="zh-TW"/>
              </w:rPr>
            </w:pPr>
            <w:r>
              <w:rPr>
                <w:rFonts w:eastAsia="PMingLiU" w:hint="eastAsia"/>
                <w:lang w:eastAsia="zh-TW"/>
              </w:rPr>
              <w:t>Internal</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5</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2</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5</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5</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C8158A" w:rsidRDefault="009F5906" w:rsidP="0057173F">
            <w:pPr>
              <w:jc w:val="both"/>
              <w:rPr>
                <w:rFonts w:eastAsia="PMingLiU"/>
                <w:lang w:eastAsia="zh-TW"/>
              </w:rPr>
            </w:pPr>
            <w:r>
              <w:rPr>
                <w:rFonts w:eastAsia="PMingLiU" w:hint="eastAsia"/>
                <w:lang w:eastAsia="zh-TW"/>
              </w:rPr>
              <w:t>Voluntary sector/Lottery</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4</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3</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7</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6</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C8158A" w:rsidRDefault="009F5906" w:rsidP="0057173F">
            <w:pPr>
              <w:jc w:val="both"/>
              <w:rPr>
                <w:rFonts w:eastAsia="PMingLiU"/>
                <w:lang w:eastAsia="zh-TW"/>
              </w:rPr>
            </w:pPr>
            <w:r>
              <w:rPr>
                <w:rFonts w:eastAsia="PMingLiU" w:hint="eastAsia"/>
                <w:lang w:eastAsia="zh-TW"/>
              </w:rPr>
              <w:t>Other</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2</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0</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3</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2</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B528C3" w:rsidRDefault="009F5906" w:rsidP="0057173F">
            <w:pPr>
              <w:jc w:val="both"/>
              <w:rPr>
                <w:rFonts w:eastAsia="PMingLiU"/>
                <w:i/>
                <w:iCs/>
                <w:lang w:eastAsia="zh-TW"/>
              </w:rPr>
            </w:pPr>
          </w:p>
        </w:tc>
        <w:tc>
          <w:tcPr>
            <w:tcW w:w="794" w:type="dxa"/>
            <w:vAlign w:val="center"/>
          </w:tcPr>
          <w:p w:rsidR="009F5906" w:rsidRPr="00C8158A" w:rsidRDefault="009F5906" w:rsidP="0057173F">
            <w:pPr>
              <w:jc w:val="right"/>
              <w:rPr>
                <w:rFonts w:eastAsia="PMingLiU"/>
                <w:lang w:eastAsia="zh-TW"/>
              </w:rPr>
            </w:pPr>
          </w:p>
        </w:tc>
        <w:tc>
          <w:tcPr>
            <w:tcW w:w="510" w:type="dxa"/>
            <w:vAlign w:val="center"/>
          </w:tcPr>
          <w:p w:rsidR="009F5906" w:rsidRPr="00B87FC7" w:rsidRDefault="009F5906" w:rsidP="0057173F">
            <w:pPr>
              <w:jc w:val="right"/>
              <w:rPr>
                <w:rFonts w:eastAsia="PMingLiU"/>
                <w:i/>
                <w:iCs/>
                <w:lang w:eastAsia="zh-TW"/>
              </w:rPr>
            </w:pPr>
          </w:p>
        </w:tc>
        <w:tc>
          <w:tcPr>
            <w:tcW w:w="794" w:type="dxa"/>
          </w:tcPr>
          <w:p w:rsidR="009F5906" w:rsidRPr="00B87FC7" w:rsidRDefault="009F5906" w:rsidP="0057173F">
            <w:pPr>
              <w:jc w:val="right"/>
              <w:rPr>
                <w:rFonts w:eastAsia="PMingLiU"/>
                <w:i/>
                <w:iCs/>
                <w:lang w:eastAsia="zh-TW"/>
              </w:rPr>
            </w:pPr>
          </w:p>
        </w:tc>
        <w:tc>
          <w:tcPr>
            <w:tcW w:w="794" w:type="dxa"/>
          </w:tcPr>
          <w:p w:rsidR="009F5906" w:rsidRPr="00EC77EE" w:rsidRDefault="009F5906" w:rsidP="0057173F">
            <w:pPr>
              <w:jc w:val="right"/>
              <w:rPr>
                <w:rFonts w:eastAsia="PMingLiU"/>
                <w:i/>
                <w:iCs/>
                <w:sz w:val="22"/>
                <w:szCs w:val="22"/>
                <w:lang w:eastAsia="zh-TW"/>
              </w:rPr>
            </w:pPr>
          </w:p>
        </w:tc>
        <w:tc>
          <w:tcPr>
            <w:tcW w:w="510" w:type="dxa"/>
            <w:vAlign w:val="center"/>
          </w:tcPr>
          <w:p w:rsidR="009F5906" w:rsidRPr="00EC77EE" w:rsidRDefault="009F5906" w:rsidP="0057173F">
            <w:pPr>
              <w:jc w:val="right"/>
              <w:rPr>
                <w:rFonts w:eastAsia="PMingLiU"/>
                <w:i/>
                <w:iCs/>
                <w:sz w:val="22"/>
                <w:szCs w:val="22"/>
                <w:lang w:eastAsia="zh-TW"/>
              </w:rPr>
            </w:pPr>
          </w:p>
        </w:tc>
        <w:tc>
          <w:tcPr>
            <w:tcW w:w="794" w:type="dxa"/>
            <w:vAlign w:val="center"/>
          </w:tcPr>
          <w:p w:rsidR="009F5906" w:rsidRPr="00EC77EE" w:rsidRDefault="009F5906" w:rsidP="0057173F">
            <w:pPr>
              <w:jc w:val="right"/>
              <w:rPr>
                <w:rFonts w:eastAsia="PMingLiU"/>
                <w:i/>
                <w:iCs/>
                <w:sz w:val="22"/>
                <w:szCs w:val="22"/>
                <w:lang w:eastAsia="zh-TW"/>
              </w:rPr>
            </w:pPr>
          </w:p>
        </w:tc>
        <w:tc>
          <w:tcPr>
            <w:tcW w:w="510" w:type="dxa"/>
            <w:vAlign w:val="center"/>
          </w:tcPr>
          <w:p w:rsidR="009F5906" w:rsidRPr="00EC77EE" w:rsidRDefault="009F5906" w:rsidP="0057173F">
            <w:pPr>
              <w:jc w:val="right"/>
              <w:rPr>
                <w:rFonts w:eastAsia="PMingLiU"/>
                <w:i/>
                <w:iCs/>
                <w:sz w:val="22"/>
                <w:szCs w:val="22"/>
                <w:lang w:eastAsia="zh-TW"/>
              </w:rPr>
            </w:pPr>
          </w:p>
        </w:tc>
        <w:tc>
          <w:tcPr>
            <w:tcW w:w="794" w:type="dxa"/>
            <w:vAlign w:val="center"/>
          </w:tcPr>
          <w:p w:rsidR="009F5906" w:rsidRPr="00EC77EE" w:rsidRDefault="009F5906" w:rsidP="0057173F">
            <w:pPr>
              <w:jc w:val="right"/>
              <w:rPr>
                <w:rFonts w:eastAsia="PMingLiU"/>
                <w:i/>
                <w:iCs/>
                <w:sz w:val="22"/>
                <w:szCs w:val="22"/>
                <w:lang w:eastAsia="zh-TW"/>
              </w:rPr>
            </w:pPr>
          </w:p>
        </w:tc>
        <w:tc>
          <w:tcPr>
            <w:tcW w:w="510" w:type="dxa"/>
            <w:vAlign w:val="center"/>
          </w:tcPr>
          <w:p w:rsidR="009F5906" w:rsidRPr="00EC77EE" w:rsidRDefault="009F5906" w:rsidP="0057173F">
            <w:pPr>
              <w:jc w:val="right"/>
              <w:rPr>
                <w:rFonts w:eastAsia="PMingLiU"/>
                <w:i/>
                <w:iCs/>
                <w:sz w:val="22"/>
                <w:szCs w:val="22"/>
                <w:lang w:eastAsia="zh-TW"/>
              </w:rPr>
            </w:pPr>
          </w:p>
        </w:tc>
        <w:tc>
          <w:tcPr>
            <w:tcW w:w="794" w:type="dxa"/>
            <w:vAlign w:val="center"/>
          </w:tcPr>
          <w:p w:rsidR="009F5906" w:rsidRPr="00EC77EE" w:rsidRDefault="009F5906" w:rsidP="0057173F">
            <w:pPr>
              <w:jc w:val="right"/>
              <w:rPr>
                <w:rFonts w:eastAsia="PMingLiU"/>
                <w:i/>
                <w:iCs/>
                <w:sz w:val="22"/>
                <w:szCs w:val="22"/>
                <w:lang w:eastAsia="zh-TW"/>
              </w:rPr>
            </w:pPr>
          </w:p>
        </w:tc>
        <w:tc>
          <w:tcPr>
            <w:tcW w:w="510" w:type="dxa"/>
          </w:tcPr>
          <w:p w:rsidR="009F5906" w:rsidRPr="00EC77EE" w:rsidRDefault="009F5906" w:rsidP="0057173F">
            <w:pPr>
              <w:jc w:val="right"/>
              <w:rPr>
                <w:rFonts w:eastAsia="PMingLiU"/>
                <w:i/>
                <w:iCs/>
                <w:sz w:val="22"/>
                <w:szCs w:val="22"/>
                <w:lang w:eastAsia="zh-TW"/>
              </w:rPr>
            </w:pPr>
          </w:p>
        </w:tc>
      </w:tr>
      <w:tr w:rsidR="009F5906" w:rsidRPr="00C8158A" w:rsidTr="0057173F">
        <w:trPr>
          <w:trHeight w:val="340"/>
        </w:trPr>
        <w:tc>
          <w:tcPr>
            <w:tcW w:w="7905" w:type="dxa"/>
            <w:gridSpan w:val="2"/>
            <w:vAlign w:val="center"/>
          </w:tcPr>
          <w:p w:rsidR="009F5906" w:rsidRPr="006361A4" w:rsidRDefault="009F5906" w:rsidP="0057173F">
            <w:pPr>
              <w:jc w:val="both"/>
              <w:rPr>
                <w:rFonts w:eastAsia="PMingLiU"/>
                <w:lang w:eastAsia="zh-TW"/>
              </w:rPr>
            </w:pPr>
            <w:r>
              <w:rPr>
                <w:rFonts w:eastAsia="PMingLiU" w:hint="eastAsia"/>
                <w:i/>
                <w:iCs/>
                <w:lang w:eastAsia="zh-TW"/>
              </w:rPr>
              <w:t xml:space="preserve">Two </w:t>
            </w:r>
            <w:r>
              <w:rPr>
                <w:rFonts w:eastAsia="PMingLiU"/>
                <w:i/>
                <w:iCs/>
                <w:lang w:eastAsia="zh-TW"/>
              </w:rPr>
              <w:t xml:space="preserve">important </w:t>
            </w:r>
            <w:r>
              <w:rPr>
                <w:rFonts w:eastAsia="PMingLiU" w:hint="eastAsia"/>
                <w:i/>
                <w:iCs/>
                <w:lang w:eastAsia="zh-TW"/>
              </w:rPr>
              <w:t>sources</w:t>
            </w:r>
          </w:p>
        </w:tc>
        <w:tc>
          <w:tcPr>
            <w:tcW w:w="794" w:type="dxa"/>
            <w:vAlign w:val="center"/>
          </w:tcPr>
          <w:p w:rsidR="009F5906" w:rsidRPr="00C8158A" w:rsidRDefault="009F5906" w:rsidP="0057173F">
            <w:pPr>
              <w:jc w:val="right"/>
              <w:rPr>
                <w:rFonts w:eastAsia="PMingLiU"/>
                <w:lang w:eastAsia="zh-TW"/>
              </w:rPr>
            </w:pPr>
          </w:p>
        </w:tc>
        <w:tc>
          <w:tcPr>
            <w:tcW w:w="510" w:type="dxa"/>
            <w:vAlign w:val="center"/>
          </w:tcPr>
          <w:p w:rsidR="009F5906" w:rsidRPr="00B87FC7" w:rsidRDefault="009F5906" w:rsidP="0057173F">
            <w:pPr>
              <w:jc w:val="right"/>
              <w:rPr>
                <w:rFonts w:eastAsia="PMingLiU"/>
                <w:i/>
                <w:iCs/>
                <w:lang w:eastAsia="zh-TW"/>
              </w:rPr>
            </w:pPr>
            <w:r>
              <w:rPr>
                <w:rFonts w:eastAsia="PMingLiU" w:hint="eastAsia"/>
                <w:i/>
                <w:iCs/>
                <w:lang w:eastAsia="zh-TW"/>
              </w:rPr>
              <w:t>25</w:t>
            </w:r>
          </w:p>
        </w:tc>
        <w:tc>
          <w:tcPr>
            <w:tcW w:w="794" w:type="dxa"/>
          </w:tcPr>
          <w:p w:rsidR="009F5906" w:rsidRDefault="009F5906" w:rsidP="0057173F">
            <w:pPr>
              <w:jc w:val="right"/>
              <w:rPr>
                <w:rFonts w:eastAsia="PMingLiU"/>
                <w:i/>
                <w:iCs/>
                <w:lang w:eastAsia="zh-TW"/>
              </w:rPr>
            </w:pPr>
          </w:p>
        </w:tc>
        <w:tc>
          <w:tcPr>
            <w:tcW w:w="794" w:type="dxa"/>
            <w:vAlign w:val="center"/>
          </w:tcPr>
          <w:p w:rsidR="009F5906" w:rsidRPr="00EC77EE" w:rsidRDefault="009F5906" w:rsidP="0057173F">
            <w:pPr>
              <w:jc w:val="right"/>
              <w:rPr>
                <w:rFonts w:eastAsia="PMingLiU"/>
                <w:i/>
                <w:iCs/>
                <w:sz w:val="22"/>
                <w:szCs w:val="22"/>
                <w:lang w:eastAsia="zh-TW"/>
              </w:rPr>
            </w:pPr>
          </w:p>
        </w:tc>
        <w:tc>
          <w:tcPr>
            <w:tcW w:w="510" w:type="dxa"/>
          </w:tcPr>
          <w:p w:rsidR="009F5906" w:rsidRPr="00EC77EE" w:rsidRDefault="009F5906" w:rsidP="0057173F">
            <w:pPr>
              <w:jc w:val="right"/>
              <w:rPr>
                <w:rFonts w:eastAsia="PMingLiU"/>
                <w:i/>
                <w:iCs/>
                <w:sz w:val="22"/>
                <w:szCs w:val="22"/>
                <w:lang w:eastAsia="zh-TW"/>
              </w:rPr>
            </w:pPr>
            <w:r>
              <w:rPr>
                <w:rFonts w:eastAsia="PMingLiU" w:hint="eastAsia"/>
                <w:i/>
                <w:iCs/>
                <w:sz w:val="22"/>
                <w:szCs w:val="22"/>
                <w:lang w:eastAsia="zh-TW"/>
              </w:rPr>
              <w:t>7</w:t>
            </w:r>
          </w:p>
        </w:tc>
        <w:tc>
          <w:tcPr>
            <w:tcW w:w="794" w:type="dxa"/>
            <w:vAlign w:val="center"/>
          </w:tcPr>
          <w:p w:rsidR="009F5906" w:rsidRPr="00EC77EE" w:rsidRDefault="009F5906" w:rsidP="0057173F">
            <w:pPr>
              <w:jc w:val="right"/>
              <w:rPr>
                <w:rFonts w:eastAsia="PMingLiU"/>
                <w:i/>
                <w:iCs/>
                <w:sz w:val="22"/>
                <w:szCs w:val="22"/>
                <w:lang w:eastAsia="zh-TW"/>
              </w:rPr>
            </w:pPr>
          </w:p>
        </w:tc>
        <w:tc>
          <w:tcPr>
            <w:tcW w:w="510" w:type="dxa"/>
            <w:vAlign w:val="center"/>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26</w:t>
            </w:r>
          </w:p>
        </w:tc>
        <w:tc>
          <w:tcPr>
            <w:tcW w:w="794" w:type="dxa"/>
            <w:vAlign w:val="center"/>
          </w:tcPr>
          <w:p w:rsidR="009F5906" w:rsidRPr="00EC77EE" w:rsidRDefault="009F5906" w:rsidP="0057173F">
            <w:pPr>
              <w:jc w:val="right"/>
              <w:rPr>
                <w:rFonts w:eastAsia="PMingLiU"/>
                <w:i/>
                <w:iCs/>
                <w:sz w:val="22"/>
                <w:szCs w:val="22"/>
                <w:lang w:eastAsia="zh-TW"/>
              </w:rPr>
            </w:pPr>
          </w:p>
        </w:tc>
        <w:tc>
          <w:tcPr>
            <w:tcW w:w="510" w:type="dxa"/>
            <w:vAlign w:val="center"/>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3</w:t>
            </w:r>
            <w:r>
              <w:rPr>
                <w:rFonts w:eastAsia="PMingLiU" w:hint="eastAsia"/>
                <w:i/>
                <w:iCs/>
                <w:sz w:val="22"/>
                <w:szCs w:val="22"/>
                <w:lang w:eastAsia="zh-TW"/>
              </w:rPr>
              <w:t>2</w:t>
            </w:r>
          </w:p>
        </w:tc>
        <w:tc>
          <w:tcPr>
            <w:tcW w:w="794" w:type="dxa"/>
          </w:tcPr>
          <w:p w:rsidR="009F5906" w:rsidRPr="00EC77EE" w:rsidRDefault="009F5906" w:rsidP="0057173F">
            <w:pPr>
              <w:jc w:val="right"/>
              <w:rPr>
                <w:rFonts w:eastAsia="PMingLiU"/>
                <w:i/>
                <w:iCs/>
                <w:sz w:val="22"/>
                <w:szCs w:val="22"/>
                <w:lang w:eastAsia="zh-TW"/>
              </w:rPr>
            </w:pPr>
          </w:p>
        </w:tc>
        <w:tc>
          <w:tcPr>
            <w:tcW w:w="510" w:type="dxa"/>
            <w:vAlign w:val="center"/>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3</w:t>
            </w:r>
            <w:r>
              <w:rPr>
                <w:rFonts w:eastAsia="PMingLiU" w:hint="eastAsia"/>
                <w:i/>
                <w:iCs/>
                <w:sz w:val="22"/>
                <w:szCs w:val="22"/>
                <w:lang w:eastAsia="zh-TW"/>
              </w:rPr>
              <w:t>7</w:t>
            </w: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B528C3" w:rsidRDefault="009F5906" w:rsidP="0057173F">
            <w:pPr>
              <w:jc w:val="both"/>
              <w:rPr>
                <w:rFonts w:eastAsia="PMingLiU"/>
                <w:lang w:eastAsia="zh-TW"/>
              </w:rPr>
            </w:pPr>
            <w:r>
              <w:rPr>
                <w:rFonts w:eastAsia="PMingLiU" w:hint="eastAsia"/>
                <w:lang w:eastAsia="zh-TW"/>
              </w:rPr>
              <w:t>Voluntary sector/Lottery</w:t>
            </w:r>
            <w:r>
              <w:rPr>
                <w:rFonts w:eastAsia="PMingLiU"/>
                <w:lang w:eastAsia="zh-TW"/>
              </w:rPr>
              <w:tab/>
            </w:r>
            <w:r>
              <w:rPr>
                <w:rFonts w:eastAsia="PMingLiU" w:hint="eastAsia"/>
                <w:lang w:eastAsia="zh-TW"/>
              </w:rPr>
              <w:tab/>
              <w:t xml:space="preserve">Government </w:t>
            </w:r>
            <w:r>
              <w:rPr>
                <w:rFonts w:eastAsia="PMingLiU"/>
                <w:lang w:eastAsia="zh-TW"/>
              </w:rPr>
              <w:tab/>
            </w:r>
            <w:r>
              <w:rPr>
                <w:rFonts w:eastAsia="PMingLiU" w:hint="eastAsia"/>
                <w:lang w:eastAsia="zh-TW"/>
              </w:rPr>
              <w:tab/>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4</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0</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6</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6</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5</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B528C3" w:rsidRDefault="009F5906" w:rsidP="0057173F">
            <w:pPr>
              <w:jc w:val="both"/>
              <w:rPr>
                <w:rFonts w:eastAsia="PMingLiU"/>
                <w:lang w:eastAsia="zh-TW"/>
              </w:rPr>
            </w:pPr>
            <w:r>
              <w:rPr>
                <w:rFonts w:eastAsia="PMingLiU" w:hint="eastAsia"/>
                <w:lang w:eastAsia="zh-TW"/>
              </w:rPr>
              <w:t xml:space="preserve">Individuals: donated/raised </w:t>
            </w:r>
            <w:r>
              <w:rPr>
                <w:rFonts w:eastAsia="PMingLiU" w:hint="eastAsia"/>
                <w:i/>
                <w:iCs/>
                <w:lang w:eastAsia="zh-TW"/>
              </w:rPr>
              <w:t xml:space="preserve"> </w:t>
            </w:r>
            <w:r>
              <w:rPr>
                <w:rFonts w:eastAsia="PMingLiU" w:hint="eastAsia"/>
                <w:lang w:eastAsia="zh-TW"/>
              </w:rPr>
              <w:t xml:space="preserve"> </w:t>
            </w:r>
            <w:r>
              <w:rPr>
                <w:rFonts w:eastAsia="PMingLiU"/>
                <w:lang w:eastAsia="zh-TW"/>
              </w:rPr>
              <w:tab/>
            </w:r>
            <w:r>
              <w:rPr>
                <w:rFonts w:eastAsia="PMingLiU" w:hint="eastAsia"/>
                <w:lang w:eastAsia="zh-TW"/>
              </w:rPr>
              <w:tab/>
              <w:t>Government</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4</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6</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7</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3</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B528C3" w:rsidRDefault="009F5906" w:rsidP="0057173F">
            <w:pPr>
              <w:jc w:val="both"/>
              <w:rPr>
                <w:rFonts w:eastAsia="PMingLiU"/>
                <w:lang w:eastAsia="zh-TW"/>
              </w:rPr>
            </w:pPr>
            <w:r>
              <w:rPr>
                <w:rFonts w:eastAsia="PMingLiU" w:hint="eastAsia"/>
                <w:lang w:eastAsia="zh-TW"/>
              </w:rPr>
              <w:t>Individuals: ch</w:t>
            </w:r>
            <w:r>
              <w:rPr>
                <w:rFonts w:eastAsia="PMingLiU"/>
                <w:lang w:eastAsia="zh-TW"/>
              </w:rPr>
              <w:t>ar.</w:t>
            </w:r>
            <w:r>
              <w:rPr>
                <w:rFonts w:eastAsia="PMingLiU" w:hint="eastAsia"/>
                <w:lang w:eastAsia="zh-TW"/>
              </w:rPr>
              <w:t xml:space="preserve"> </w:t>
            </w:r>
            <w:r>
              <w:rPr>
                <w:rFonts w:eastAsia="PMingLiU"/>
                <w:lang w:eastAsia="zh-TW"/>
              </w:rPr>
              <w:t>act.</w:t>
            </w:r>
            <w:r>
              <w:rPr>
                <w:rFonts w:eastAsia="PMingLiU" w:hint="eastAsia"/>
                <w:i/>
                <w:iCs/>
                <w:lang w:eastAsia="zh-TW"/>
              </w:rPr>
              <w:t xml:space="preserve"> </w:t>
            </w:r>
            <w:r>
              <w:rPr>
                <w:rFonts w:eastAsia="PMingLiU"/>
                <w:lang w:eastAsia="zh-TW"/>
              </w:rPr>
              <w:t>(fee income)</w:t>
            </w:r>
            <w:r>
              <w:rPr>
                <w:rFonts w:eastAsia="PMingLiU"/>
                <w:i/>
                <w:iCs/>
                <w:lang w:eastAsia="zh-TW"/>
              </w:rPr>
              <w:tab/>
            </w:r>
            <w:r>
              <w:rPr>
                <w:rFonts w:eastAsia="PMingLiU" w:hint="eastAsia"/>
                <w:lang w:eastAsia="zh-TW"/>
              </w:rPr>
              <w:t>Government</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3</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2</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4</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9</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B528C3" w:rsidRDefault="009F5906" w:rsidP="0057173F">
            <w:pPr>
              <w:jc w:val="both"/>
              <w:rPr>
                <w:rFonts w:eastAsia="PMingLiU"/>
                <w:lang w:eastAsia="zh-TW"/>
              </w:rPr>
            </w:pPr>
            <w:r>
              <w:rPr>
                <w:rFonts w:eastAsia="PMingLiU" w:hint="eastAsia"/>
                <w:lang w:eastAsia="zh-TW"/>
              </w:rPr>
              <w:t xml:space="preserve">Individuals: donated/raised </w:t>
            </w:r>
            <w:r>
              <w:rPr>
                <w:rFonts w:eastAsia="PMingLiU" w:hint="eastAsia"/>
                <w:i/>
                <w:iCs/>
                <w:lang w:eastAsia="zh-TW"/>
              </w:rPr>
              <w:t xml:space="preserve"> </w:t>
            </w:r>
            <w:r>
              <w:rPr>
                <w:rFonts w:eastAsia="PMingLiU" w:hint="eastAsia"/>
                <w:lang w:eastAsia="zh-TW"/>
              </w:rPr>
              <w:t xml:space="preserve">      </w:t>
            </w:r>
            <w:r>
              <w:rPr>
                <w:rFonts w:eastAsia="PMingLiU"/>
                <w:lang w:eastAsia="zh-TW"/>
              </w:rPr>
              <w:tab/>
            </w:r>
            <w:r>
              <w:rPr>
                <w:rFonts w:eastAsia="PMingLiU" w:hint="eastAsia"/>
                <w:lang w:eastAsia="zh-TW"/>
              </w:rPr>
              <w:t>Internal</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2</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0</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2</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2</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Pr="00C8158A" w:rsidRDefault="009F5906" w:rsidP="0057173F">
            <w:pPr>
              <w:jc w:val="both"/>
              <w:rPr>
                <w:rFonts w:eastAsia="PMingLiU"/>
                <w:lang w:eastAsia="zh-TW"/>
              </w:rPr>
            </w:pPr>
            <w:r>
              <w:rPr>
                <w:rFonts w:eastAsia="PMingLiU" w:hint="eastAsia"/>
                <w:lang w:eastAsia="zh-TW"/>
              </w:rPr>
              <w:t xml:space="preserve">Individuals: donated/raised </w:t>
            </w:r>
            <w:r>
              <w:rPr>
                <w:rFonts w:eastAsia="PMingLiU"/>
                <w:lang w:eastAsia="zh-TW"/>
              </w:rPr>
              <w:tab/>
            </w:r>
            <w:r>
              <w:rPr>
                <w:rFonts w:eastAsia="PMingLiU" w:hint="eastAsia"/>
                <w:lang w:eastAsia="zh-TW"/>
              </w:rPr>
              <w:tab/>
            </w:r>
            <w:r>
              <w:rPr>
                <w:rFonts w:eastAsia="PMingLiU"/>
                <w:lang w:eastAsia="zh-TW"/>
              </w:rPr>
              <w:t>Individuals: char. act. (fee income)</w:t>
            </w:r>
          </w:p>
        </w:tc>
        <w:tc>
          <w:tcPr>
            <w:tcW w:w="794" w:type="dxa"/>
            <w:vAlign w:val="center"/>
          </w:tcPr>
          <w:p w:rsidR="009F5906" w:rsidRPr="00C8158A" w:rsidRDefault="009F5906" w:rsidP="0057173F">
            <w:pPr>
              <w:jc w:val="right"/>
              <w:rPr>
                <w:rFonts w:eastAsia="PMingLiU"/>
                <w:lang w:eastAsia="zh-TW"/>
              </w:rPr>
            </w:pPr>
            <w:r>
              <w:rPr>
                <w:rFonts w:eastAsia="PMingLiU" w:hint="eastAsia"/>
                <w:lang w:eastAsia="zh-TW"/>
              </w:rPr>
              <w:t>2</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2</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0</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5</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Default="009F5906" w:rsidP="0057173F">
            <w:pPr>
              <w:jc w:val="both"/>
              <w:rPr>
                <w:rFonts w:eastAsia="PMingLiU"/>
                <w:lang w:eastAsia="zh-TW"/>
              </w:rPr>
            </w:pPr>
            <w:r>
              <w:rPr>
                <w:rFonts w:eastAsia="PMingLiU" w:hint="eastAsia"/>
                <w:lang w:eastAsia="zh-TW"/>
              </w:rPr>
              <w:t xml:space="preserve">Individuals: donated/raised </w:t>
            </w:r>
            <w:r>
              <w:rPr>
                <w:rFonts w:eastAsia="PMingLiU" w:hint="eastAsia"/>
                <w:i/>
                <w:iCs/>
                <w:lang w:eastAsia="zh-TW"/>
              </w:rPr>
              <w:t xml:space="preserve"> </w:t>
            </w:r>
            <w:r>
              <w:rPr>
                <w:rFonts w:eastAsia="PMingLiU" w:hint="eastAsia"/>
                <w:lang w:eastAsia="zh-TW"/>
              </w:rPr>
              <w:t xml:space="preserve">      </w:t>
            </w:r>
            <w:r>
              <w:rPr>
                <w:rFonts w:eastAsia="PMingLiU"/>
                <w:lang w:eastAsia="zh-TW"/>
              </w:rPr>
              <w:tab/>
            </w:r>
            <w:r>
              <w:rPr>
                <w:rFonts w:eastAsia="PMingLiU" w:hint="eastAsia"/>
                <w:lang w:eastAsia="zh-TW"/>
              </w:rPr>
              <w:t>Voluntary sector/Lottery</w:t>
            </w:r>
          </w:p>
        </w:tc>
        <w:tc>
          <w:tcPr>
            <w:tcW w:w="794" w:type="dxa"/>
            <w:vAlign w:val="center"/>
          </w:tcPr>
          <w:p w:rsidR="009F5906" w:rsidRDefault="009F5906" w:rsidP="0057173F">
            <w:pPr>
              <w:jc w:val="right"/>
              <w:rPr>
                <w:rFonts w:eastAsia="PMingLiU"/>
                <w:lang w:eastAsia="zh-TW"/>
              </w:rPr>
            </w:pPr>
            <w:r>
              <w:rPr>
                <w:rFonts w:eastAsia="PMingLiU" w:hint="eastAsia"/>
                <w:lang w:eastAsia="zh-TW"/>
              </w:rPr>
              <w:t>2</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2</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6</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3</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Default="009F5906" w:rsidP="0057173F">
            <w:pPr>
              <w:jc w:val="both"/>
              <w:rPr>
                <w:rFonts w:eastAsia="PMingLiU"/>
                <w:lang w:eastAsia="zh-TW"/>
              </w:rPr>
            </w:pPr>
            <w:r>
              <w:rPr>
                <w:rFonts w:eastAsia="PMingLiU" w:hint="eastAsia"/>
                <w:lang w:eastAsia="zh-TW"/>
              </w:rPr>
              <w:t xml:space="preserve">Other combinations of two </w:t>
            </w:r>
            <w:r>
              <w:rPr>
                <w:rFonts w:eastAsia="PMingLiU"/>
                <w:lang w:eastAsia="zh-TW"/>
              </w:rPr>
              <w:t>important</w:t>
            </w:r>
            <w:r>
              <w:rPr>
                <w:rFonts w:eastAsia="PMingLiU" w:hint="eastAsia"/>
                <w:lang w:eastAsia="zh-TW"/>
              </w:rPr>
              <w:t xml:space="preserve"> income sources</w:t>
            </w:r>
          </w:p>
        </w:tc>
        <w:tc>
          <w:tcPr>
            <w:tcW w:w="794" w:type="dxa"/>
            <w:vAlign w:val="center"/>
          </w:tcPr>
          <w:p w:rsidR="009F5906" w:rsidRDefault="009F5906" w:rsidP="0057173F">
            <w:pPr>
              <w:jc w:val="right"/>
              <w:rPr>
                <w:rFonts w:eastAsia="PMingLiU"/>
                <w:lang w:eastAsia="zh-TW"/>
              </w:rPr>
            </w:pPr>
            <w:r>
              <w:rPr>
                <w:rFonts w:eastAsia="PMingLiU" w:hint="eastAsia"/>
                <w:lang w:eastAsia="zh-TW"/>
              </w:rPr>
              <w:t>7</w:t>
            </w: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Default="009F5906" w:rsidP="0057173F">
            <w:pPr>
              <w:jc w:val="right"/>
              <w:rPr>
                <w:rFonts w:eastAsia="PMingLiU"/>
                <w:lang w:eastAsia="zh-TW"/>
              </w:rPr>
            </w:pPr>
          </w:p>
        </w:tc>
        <w:tc>
          <w:tcPr>
            <w:tcW w:w="794" w:type="dxa"/>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2</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Pr>
                <w:rFonts w:eastAsia="PMingLiU" w:hint="eastAsia"/>
                <w:sz w:val="22"/>
                <w:szCs w:val="22"/>
                <w:lang w:eastAsia="zh-TW"/>
              </w:rPr>
              <w:t>4</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w:t>
            </w:r>
            <w:r>
              <w:rPr>
                <w:rFonts w:eastAsia="PMingLiU" w:hint="eastAsia"/>
                <w:sz w:val="22"/>
                <w:szCs w:val="22"/>
                <w:lang w:eastAsia="zh-TW"/>
              </w:rPr>
              <w:t>0</w:t>
            </w: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r w:rsidRPr="00EC77EE">
              <w:rPr>
                <w:rFonts w:eastAsia="PMingLiU" w:hint="eastAsia"/>
                <w:sz w:val="22"/>
                <w:szCs w:val="22"/>
                <w:lang w:eastAsia="zh-TW"/>
              </w:rPr>
              <w:t>10</w:t>
            </w: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392" w:type="dxa"/>
            <w:vAlign w:val="center"/>
          </w:tcPr>
          <w:p w:rsidR="009F5906" w:rsidRPr="00C8158A" w:rsidRDefault="009F5906" w:rsidP="0057173F">
            <w:pPr>
              <w:jc w:val="both"/>
              <w:rPr>
                <w:rFonts w:eastAsia="PMingLiU"/>
                <w:lang w:eastAsia="zh-TW"/>
              </w:rPr>
            </w:pPr>
          </w:p>
        </w:tc>
        <w:tc>
          <w:tcPr>
            <w:tcW w:w="7513" w:type="dxa"/>
            <w:vAlign w:val="center"/>
          </w:tcPr>
          <w:p w:rsidR="009F5906" w:rsidRDefault="009F5906" w:rsidP="0057173F">
            <w:pPr>
              <w:jc w:val="both"/>
              <w:rPr>
                <w:rFonts w:eastAsia="PMingLiU"/>
                <w:lang w:eastAsia="zh-TW"/>
              </w:rPr>
            </w:pPr>
          </w:p>
        </w:tc>
        <w:tc>
          <w:tcPr>
            <w:tcW w:w="794" w:type="dxa"/>
            <w:vAlign w:val="center"/>
          </w:tcPr>
          <w:p w:rsidR="009F5906" w:rsidRDefault="009F5906" w:rsidP="0057173F">
            <w:pPr>
              <w:jc w:val="right"/>
              <w:rPr>
                <w:rFonts w:eastAsia="PMingLiU"/>
                <w:lang w:eastAsia="zh-TW"/>
              </w:rPr>
            </w:pPr>
          </w:p>
        </w:tc>
        <w:tc>
          <w:tcPr>
            <w:tcW w:w="510" w:type="dxa"/>
            <w:vAlign w:val="center"/>
          </w:tcPr>
          <w:p w:rsidR="009F5906" w:rsidRPr="00C8158A" w:rsidRDefault="009F5906" w:rsidP="0057173F">
            <w:pPr>
              <w:jc w:val="right"/>
              <w:rPr>
                <w:rFonts w:eastAsia="PMingLiU"/>
                <w:lang w:eastAsia="zh-TW"/>
              </w:rPr>
            </w:pPr>
          </w:p>
        </w:tc>
        <w:tc>
          <w:tcPr>
            <w:tcW w:w="794" w:type="dxa"/>
          </w:tcPr>
          <w:p w:rsidR="009F5906" w:rsidRPr="00C8158A" w:rsidRDefault="009F5906" w:rsidP="0057173F">
            <w:pPr>
              <w:jc w:val="right"/>
              <w:rPr>
                <w:rFonts w:eastAsia="PMingLiU"/>
                <w:lang w:eastAsia="zh-TW"/>
              </w:rPr>
            </w:pPr>
          </w:p>
        </w:tc>
        <w:tc>
          <w:tcPr>
            <w:tcW w:w="794" w:type="dxa"/>
            <w:vAlign w:val="center"/>
          </w:tcPr>
          <w:p w:rsidR="009F5906" w:rsidRPr="00EC77EE" w:rsidRDefault="009F5906" w:rsidP="0057173F">
            <w:pPr>
              <w:jc w:val="right"/>
              <w:rPr>
                <w:rFonts w:eastAsia="PMingLiU"/>
                <w:sz w:val="22"/>
                <w:szCs w:val="22"/>
                <w:lang w:eastAsia="zh-TW"/>
              </w:rPr>
            </w:pP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p>
        </w:tc>
        <w:tc>
          <w:tcPr>
            <w:tcW w:w="510" w:type="dxa"/>
            <w:vAlign w:val="center"/>
          </w:tcPr>
          <w:p w:rsidR="009F5906" w:rsidRPr="00EC77EE" w:rsidRDefault="009F5906" w:rsidP="0057173F">
            <w:pPr>
              <w:jc w:val="right"/>
              <w:rPr>
                <w:rFonts w:eastAsia="PMingLiU"/>
                <w:sz w:val="22"/>
                <w:szCs w:val="22"/>
                <w:lang w:eastAsia="zh-TW"/>
              </w:rPr>
            </w:pPr>
          </w:p>
        </w:tc>
        <w:tc>
          <w:tcPr>
            <w:tcW w:w="794" w:type="dxa"/>
            <w:vAlign w:val="center"/>
          </w:tcPr>
          <w:p w:rsidR="009F5906" w:rsidRPr="00EC77EE" w:rsidRDefault="009F5906" w:rsidP="0057173F">
            <w:pPr>
              <w:jc w:val="right"/>
              <w:rPr>
                <w:rFonts w:eastAsia="PMingLiU"/>
                <w:sz w:val="22"/>
                <w:szCs w:val="22"/>
                <w:lang w:eastAsia="zh-TW"/>
              </w:rPr>
            </w:pPr>
          </w:p>
        </w:tc>
        <w:tc>
          <w:tcPr>
            <w:tcW w:w="510" w:type="dxa"/>
            <w:vAlign w:val="center"/>
          </w:tcPr>
          <w:p w:rsidR="009F5906" w:rsidRPr="00EC77EE" w:rsidRDefault="009F5906" w:rsidP="0057173F">
            <w:pPr>
              <w:jc w:val="right"/>
              <w:rPr>
                <w:rFonts w:eastAsia="PMingLiU"/>
                <w:sz w:val="22"/>
                <w:szCs w:val="22"/>
                <w:lang w:eastAsia="zh-TW"/>
              </w:rPr>
            </w:pPr>
          </w:p>
        </w:tc>
        <w:tc>
          <w:tcPr>
            <w:tcW w:w="794" w:type="dxa"/>
          </w:tcPr>
          <w:p w:rsidR="009F5906" w:rsidRPr="00EC77EE" w:rsidRDefault="009F5906" w:rsidP="0057173F">
            <w:pPr>
              <w:jc w:val="right"/>
              <w:rPr>
                <w:rFonts w:eastAsia="PMingLiU"/>
                <w:sz w:val="22"/>
                <w:szCs w:val="22"/>
                <w:lang w:eastAsia="zh-TW"/>
              </w:rPr>
            </w:pPr>
          </w:p>
        </w:tc>
        <w:tc>
          <w:tcPr>
            <w:tcW w:w="510" w:type="dxa"/>
          </w:tcPr>
          <w:p w:rsidR="009F5906" w:rsidRPr="00EC77EE" w:rsidRDefault="009F5906" w:rsidP="0057173F">
            <w:pPr>
              <w:jc w:val="right"/>
              <w:rPr>
                <w:rFonts w:eastAsia="PMingLiU"/>
                <w:sz w:val="22"/>
                <w:szCs w:val="22"/>
                <w:lang w:eastAsia="zh-TW"/>
              </w:rPr>
            </w:pPr>
          </w:p>
        </w:tc>
      </w:tr>
      <w:tr w:rsidR="009F5906" w:rsidRPr="00C8158A" w:rsidTr="0057173F">
        <w:trPr>
          <w:trHeight w:val="340"/>
        </w:trPr>
        <w:tc>
          <w:tcPr>
            <w:tcW w:w="7905" w:type="dxa"/>
            <w:gridSpan w:val="2"/>
            <w:tcBorders>
              <w:bottom w:val="single" w:sz="4" w:space="0" w:color="auto"/>
            </w:tcBorders>
            <w:vAlign w:val="center"/>
          </w:tcPr>
          <w:p w:rsidR="009F5906" w:rsidRPr="00B87FC7" w:rsidRDefault="009F5906" w:rsidP="0057173F">
            <w:pPr>
              <w:jc w:val="both"/>
              <w:rPr>
                <w:rFonts w:eastAsia="PMingLiU"/>
                <w:lang w:eastAsia="zh-TW"/>
              </w:rPr>
            </w:pPr>
            <w:r>
              <w:rPr>
                <w:rFonts w:eastAsia="PMingLiU" w:hint="eastAsia"/>
                <w:i/>
                <w:iCs/>
                <w:lang w:eastAsia="zh-TW"/>
              </w:rPr>
              <w:t xml:space="preserve">Three </w:t>
            </w:r>
            <w:r>
              <w:rPr>
                <w:rFonts w:eastAsia="PMingLiU"/>
                <w:i/>
                <w:iCs/>
                <w:lang w:eastAsia="zh-TW"/>
              </w:rPr>
              <w:t>important</w:t>
            </w:r>
            <w:r>
              <w:rPr>
                <w:rFonts w:eastAsia="PMingLiU" w:hint="eastAsia"/>
                <w:i/>
                <w:iCs/>
                <w:lang w:eastAsia="zh-TW"/>
              </w:rPr>
              <w:t xml:space="preserve"> sources</w:t>
            </w:r>
          </w:p>
        </w:tc>
        <w:tc>
          <w:tcPr>
            <w:tcW w:w="794" w:type="dxa"/>
            <w:tcBorders>
              <w:bottom w:val="single" w:sz="4" w:space="0" w:color="auto"/>
            </w:tcBorders>
            <w:vAlign w:val="center"/>
          </w:tcPr>
          <w:p w:rsidR="009F5906" w:rsidRDefault="009F5906" w:rsidP="0057173F">
            <w:pPr>
              <w:jc w:val="right"/>
              <w:rPr>
                <w:rFonts w:eastAsia="PMingLiU"/>
                <w:lang w:eastAsia="zh-TW"/>
              </w:rPr>
            </w:pPr>
          </w:p>
        </w:tc>
        <w:tc>
          <w:tcPr>
            <w:tcW w:w="510" w:type="dxa"/>
            <w:tcBorders>
              <w:bottom w:val="single" w:sz="4" w:space="0" w:color="auto"/>
            </w:tcBorders>
            <w:vAlign w:val="center"/>
          </w:tcPr>
          <w:p w:rsidR="009F5906" w:rsidRPr="00C84EA5" w:rsidRDefault="009F5906" w:rsidP="0057173F">
            <w:pPr>
              <w:jc w:val="right"/>
              <w:rPr>
                <w:rFonts w:eastAsia="PMingLiU"/>
                <w:i/>
                <w:iCs/>
                <w:lang w:eastAsia="zh-TW"/>
              </w:rPr>
            </w:pPr>
            <w:r>
              <w:rPr>
                <w:rFonts w:eastAsia="PMingLiU" w:hint="eastAsia"/>
                <w:i/>
                <w:iCs/>
                <w:lang w:eastAsia="zh-TW"/>
              </w:rPr>
              <w:t>1</w:t>
            </w:r>
          </w:p>
        </w:tc>
        <w:tc>
          <w:tcPr>
            <w:tcW w:w="794" w:type="dxa"/>
            <w:tcBorders>
              <w:bottom w:val="single" w:sz="4" w:space="0" w:color="auto"/>
            </w:tcBorders>
          </w:tcPr>
          <w:p w:rsidR="009F5906" w:rsidRDefault="009F5906" w:rsidP="0057173F">
            <w:pPr>
              <w:jc w:val="right"/>
              <w:rPr>
                <w:rFonts w:eastAsia="PMingLiU"/>
                <w:i/>
                <w:iCs/>
                <w:lang w:eastAsia="zh-TW"/>
              </w:rPr>
            </w:pPr>
          </w:p>
        </w:tc>
        <w:tc>
          <w:tcPr>
            <w:tcW w:w="794" w:type="dxa"/>
            <w:tcBorders>
              <w:bottom w:val="single" w:sz="4" w:space="0" w:color="auto"/>
            </w:tcBorders>
            <w:vAlign w:val="center"/>
          </w:tcPr>
          <w:p w:rsidR="009F5906" w:rsidRPr="00EC77EE" w:rsidRDefault="009F5906" w:rsidP="0057173F">
            <w:pPr>
              <w:jc w:val="right"/>
              <w:rPr>
                <w:rFonts w:eastAsia="PMingLiU"/>
                <w:i/>
                <w:iCs/>
                <w:sz w:val="22"/>
                <w:szCs w:val="22"/>
                <w:lang w:eastAsia="zh-TW"/>
              </w:rPr>
            </w:pPr>
          </w:p>
        </w:tc>
        <w:tc>
          <w:tcPr>
            <w:tcW w:w="510" w:type="dxa"/>
            <w:tcBorders>
              <w:bottom w:val="single" w:sz="4" w:space="0" w:color="auto"/>
            </w:tcBorders>
            <w:vAlign w:val="center"/>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0</w:t>
            </w:r>
          </w:p>
        </w:tc>
        <w:tc>
          <w:tcPr>
            <w:tcW w:w="794" w:type="dxa"/>
            <w:tcBorders>
              <w:bottom w:val="single" w:sz="4" w:space="0" w:color="auto"/>
            </w:tcBorders>
            <w:vAlign w:val="center"/>
          </w:tcPr>
          <w:p w:rsidR="009F5906" w:rsidRPr="00EC77EE" w:rsidRDefault="009F5906" w:rsidP="0057173F">
            <w:pPr>
              <w:jc w:val="right"/>
              <w:rPr>
                <w:rFonts w:eastAsia="PMingLiU"/>
                <w:i/>
                <w:iCs/>
                <w:sz w:val="22"/>
                <w:szCs w:val="22"/>
                <w:lang w:eastAsia="zh-TW"/>
              </w:rPr>
            </w:pPr>
          </w:p>
        </w:tc>
        <w:tc>
          <w:tcPr>
            <w:tcW w:w="510" w:type="dxa"/>
            <w:tcBorders>
              <w:bottom w:val="single" w:sz="4" w:space="0" w:color="auto"/>
            </w:tcBorders>
            <w:vAlign w:val="center"/>
          </w:tcPr>
          <w:p w:rsidR="009F5906" w:rsidRPr="00EC77EE" w:rsidRDefault="009F5906" w:rsidP="0057173F">
            <w:pPr>
              <w:jc w:val="right"/>
              <w:rPr>
                <w:rFonts w:eastAsia="PMingLiU"/>
                <w:i/>
                <w:iCs/>
                <w:sz w:val="22"/>
                <w:szCs w:val="22"/>
                <w:lang w:eastAsia="zh-TW"/>
              </w:rPr>
            </w:pPr>
            <w:r>
              <w:rPr>
                <w:rFonts w:eastAsia="PMingLiU" w:hint="eastAsia"/>
                <w:i/>
                <w:iCs/>
                <w:sz w:val="22"/>
                <w:szCs w:val="22"/>
                <w:lang w:eastAsia="zh-TW"/>
              </w:rPr>
              <w:t>0</w:t>
            </w:r>
          </w:p>
        </w:tc>
        <w:tc>
          <w:tcPr>
            <w:tcW w:w="794" w:type="dxa"/>
            <w:tcBorders>
              <w:bottom w:val="single" w:sz="4" w:space="0" w:color="auto"/>
            </w:tcBorders>
            <w:vAlign w:val="center"/>
          </w:tcPr>
          <w:p w:rsidR="009F5906" w:rsidRPr="00EC77EE" w:rsidRDefault="009F5906" w:rsidP="0057173F">
            <w:pPr>
              <w:jc w:val="right"/>
              <w:rPr>
                <w:rFonts w:eastAsia="PMingLiU"/>
                <w:i/>
                <w:iCs/>
                <w:sz w:val="22"/>
                <w:szCs w:val="22"/>
                <w:lang w:eastAsia="zh-TW"/>
              </w:rPr>
            </w:pPr>
          </w:p>
        </w:tc>
        <w:tc>
          <w:tcPr>
            <w:tcW w:w="510" w:type="dxa"/>
            <w:tcBorders>
              <w:bottom w:val="single" w:sz="4" w:space="0" w:color="auto"/>
            </w:tcBorders>
            <w:vAlign w:val="center"/>
          </w:tcPr>
          <w:p w:rsidR="009F5906" w:rsidRPr="00EC77EE" w:rsidRDefault="009F5906" w:rsidP="0057173F">
            <w:pPr>
              <w:jc w:val="right"/>
              <w:rPr>
                <w:rFonts w:eastAsia="PMingLiU"/>
                <w:i/>
                <w:iCs/>
                <w:sz w:val="22"/>
                <w:szCs w:val="22"/>
                <w:lang w:eastAsia="zh-TW"/>
              </w:rPr>
            </w:pPr>
            <w:r>
              <w:rPr>
                <w:rFonts w:eastAsia="PMingLiU" w:hint="eastAsia"/>
                <w:i/>
                <w:iCs/>
                <w:sz w:val="22"/>
                <w:szCs w:val="22"/>
                <w:lang w:eastAsia="zh-TW"/>
              </w:rPr>
              <w:t>2</w:t>
            </w:r>
          </w:p>
        </w:tc>
        <w:tc>
          <w:tcPr>
            <w:tcW w:w="794" w:type="dxa"/>
            <w:tcBorders>
              <w:bottom w:val="single" w:sz="4" w:space="0" w:color="auto"/>
            </w:tcBorders>
          </w:tcPr>
          <w:p w:rsidR="009F5906" w:rsidRPr="00EC77EE" w:rsidRDefault="009F5906" w:rsidP="0057173F">
            <w:pPr>
              <w:jc w:val="right"/>
              <w:rPr>
                <w:rFonts w:eastAsia="PMingLiU"/>
                <w:i/>
                <w:iCs/>
                <w:sz w:val="22"/>
                <w:szCs w:val="22"/>
                <w:lang w:eastAsia="zh-TW"/>
              </w:rPr>
            </w:pPr>
          </w:p>
        </w:tc>
        <w:tc>
          <w:tcPr>
            <w:tcW w:w="510" w:type="dxa"/>
            <w:tcBorders>
              <w:bottom w:val="single" w:sz="4" w:space="0" w:color="auto"/>
            </w:tcBorders>
          </w:tcPr>
          <w:p w:rsidR="009F5906" w:rsidRPr="00EC77EE" w:rsidRDefault="009F5906" w:rsidP="0057173F">
            <w:pPr>
              <w:jc w:val="right"/>
              <w:rPr>
                <w:rFonts w:eastAsia="PMingLiU"/>
                <w:i/>
                <w:iCs/>
                <w:sz w:val="22"/>
                <w:szCs w:val="22"/>
                <w:lang w:eastAsia="zh-TW"/>
              </w:rPr>
            </w:pPr>
            <w:r w:rsidRPr="00EC77EE">
              <w:rPr>
                <w:rFonts w:eastAsia="PMingLiU" w:hint="eastAsia"/>
                <w:i/>
                <w:iCs/>
                <w:sz w:val="22"/>
                <w:szCs w:val="22"/>
                <w:lang w:eastAsia="zh-TW"/>
              </w:rPr>
              <w:t>1</w:t>
            </w:r>
          </w:p>
        </w:tc>
      </w:tr>
      <w:tr w:rsidR="009F5906" w:rsidRPr="00C8158A" w:rsidTr="0057173F">
        <w:trPr>
          <w:trHeight w:val="340"/>
        </w:trPr>
        <w:tc>
          <w:tcPr>
            <w:tcW w:w="7905" w:type="dxa"/>
            <w:gridSpan w:val="2"/>
            <w:tcBorders>
              <w:top w:val="single" w:sz="4" w:space="0" w:color="auto"/>
              <w:bottom w:val="single" w:sz="4" w:space="0" w:color="auto"/>
            </w:tcBorders>
            <w:vAlign w:val="center"/>
          </w:tcPr>
          <w:p w:rsidR="009F5906" w:rsidRPr="005311DF" w:rsidRDefault="009F5906" w:rsidP="0057173F">
            <w:pPr>
              <w:jc w:val="both"/>
              <w:rPr>
                <w:rFonts w:eastAsia="PMingLiU"/>
                <w:i/>
                <w:iCs/>
                <w:sz w:val="22"/>
                <w:szCs w:val="22"/>
                <w:lang w:eastAsia="zh-TW"/>
              </w:rPr>
            </w:pPr>
            <w:r w:rsidRPr="005311DF">
              <w:rPr>
                <w:rFonts w:eastAsia="PMingLiU" w:hint="eastAsia"/>
                <w:i/>
                <w:iCs/>
                <w:sz w:val="22"/>
                <w:szCs w:val="22"/>
                <w:lang w:eastAsia="zh-TW"/>
              </w:rPr>
              <w:t xml:space="preserve">      N</w:t>
            </w:r>
          </w:p>
        </w:tc>
        <w:tc>
          <w:tcPr>
            <w:tcW w:w="1304" w:type="dxa"/>
            <w:gridSpan w:val="2"/>
            <w:tcBorders>
              <w:top w:val="single" w:sz="4" w:space="0" w:color="auto"/>
              <w:bottom w:val="single" w:sz="4" w:space="0" w:color="auto"/>
            </w:tcBorders>
            <w:vAlign w:val="center"/>
          </w:tcPr>
          <w:p w:rsidR="009F5906" w:rsidRPr="005311DF" w:rsidRDefault="009F5906" w:rsidP="0057173F">
            <w:pPr>
              <w:jc w:val="center"/>
              <w:rPr>
                <w:rFonts w:eastAsia="PMingLiU"/>
                <w:i/>
                <w:iCs/>
                <w:sz w:val="22"/>
                <w:szCs w:val="22"/>
                <w:lang w:eastAsia="zh-TW"/>
              </w:rPr>
            </w:pPr>
            <w:r>
              <w:rPr>
                <w:rFonts w:eastAsia="PMingLiU" w:hint="eastAsia"/>
                <w:i/>
                <w:iCs/>
                <w:sz w:val="22"/>
                <w:szCs w:val="22"/>
                <w:lang w:eastAsia="zh-TW"/>
              </w:rPr>
              <w:t>7,039</w:t>
            </w:r>
          </w:p>
        </w:tc>
        <w:tc>
          <w:tcPr>
            <w:tcW w:w="794" w:type="dxa"/>
            <w:tcBorders>
              <w:top w:val="single" w:sz="4" w:space="0" w:color="auto"/>
              <w:bottom w:val="single" w:sz="4" w:space="0" w:color="auto"/>
            </w:tcBorders>
            <w:vAlign w:val="center"/>
          </w:tcPr>
          <w:p w:rsidR="009F5906" w:rsidRPr="005311DF" w:rsidRDefault="009F5906" w:rsidP="0057173F">
            <w:pPr>
              <w:jc w:val="center"/>
              <w:rPr>
                <w:rFonts w:eastAsia="PMingLiU"/>
                <w:i/>
                <w:iCs/>
                <w:sz w:val="22"/>
                <w:szCs w:val="22"/>
                <w:lang w:eastAsia="zh-TW"/>
              </w:rPr>
            </w:pPr>
          </w:p>
        </w:tc>
        <w:tc>
          <w:tcPr>
            <w:tcW w:w="1304" w:type="dxa"/>
            <w:gridSpan w:val="2"/>
            <w:tcBorders>
              <w:top w:val="single" w:sz="4" w:space="0" w:color="auto"/>
              <w:bottom w:val="single" w:sz="4" w:space="0" w:color="auto"/>
            </w:tcBorders>
            <w:vAlign w:val="center"/>
          </w:tcPr>
          <w:p w:rsidR="009F5906" w:rsidRPr="005311DF" w:rsidRDefault="009F5906" w:rsidP="0057173F">
            <w:pPr>
              <w:jc w:val="center"/>
              <w:rPr>
                <w:rFonts w:eastAsia="PMingLiU"/>
                <w:i/>
                <w:iCs/>
                <w:sz w:val="22"/>
                <w:szCs w:val="22"/>
                <w:lang w:eastAsia="zh-TW"/>
              </w:rPr>
            </w:pPr>
            <w:r>
              <w:rPr>
                <w:rFonts w:eastAsia="PMingLiU" w:hint="eastAsia"/>
                <w:i/>
                <w:iCs/>
                <w:sz w:val="22"/>
                <w:szCs w:val="22"/>
                <w:lang w:eastAsia="zh-TW"/>
              </w:rPr>
              <w:t>971</w:t>
            </w:r>
          </w:p>
        </w:tc>
        <w:tc>
          <w:tcPr>
            <w:tcW w:w="1304" w:type="dxa"/>
            <w:gridSpan w:val="2"/>
            <w:tcBorders>
              <w:top w:val="single" w:sz="4" w:space="0" w:color="auto"/>
              <w:bottom w:val="single" w:sz="4" w:space="0" w:color="auto"/>
            </w:tcBorders>
            <w:vAlign w:val="center"/>
          </w:tcPr>
          <w:p w:rsidR="009F5906" w:rsidRPr="005311DF" w:rsidRDefault="009F5906" w:rsidP="0057173F">
            <w:pPr>
              <w:jc w:val="center"/>
              <w:rPr>
                <w:rFonts w:eastAsia="PMingLiU"/>
                <w:i/>
                <w:iCs/>
                <w:sz w:val="22"/>
                <w:szCs w:val="22"/>
                <w:lang w:eastAsia="zh-TW"/>
              </w:rPr>
            </w:pPr>
            <w:r w:rsidRPr="005311DF">
              <w:rPr>
                <w:rFonts w:eastAsia="PMingLiU" w:hint="eastAsia"/>
                <w:i/>
                <w:iCs/>
                <w:sz w:val="22"/>
                <w:szCs w:val="22"/>
                <w:lang w:eastAsia="zh-TW"/>
              </w:rPr>
              <w:t>1,0</w:t>
            </w:r>
            <w:r>
              <w:rPr>
                <w:rFonts w:eastAsia="PMingLiU" w:hint="eastAsia"/>
                <w:i/>
                <w:iCs/>
                <w:sz w:val="22"/>
                <w:szCs w:val="22"/>
                <w:lang w:eastAsia="zh-TW"/>
              </w:rPr>
              <w:t>00</w:t>
            </w:r>
          </w:p>
        </w:tc>
        <w:tc>
          <w:tcPr>
            <w:tcW w:w="1304" w:type="dxa"/>
            <w:gridSpan w:val="2"/>
            <w:tcBorders>
              <w:top w:val="single" w:sz="4" w:space="0" w:color="auto"/>
              <w:bottom w:val="single" w:sz="4" w:space="0" w:color="auto"/>
            </w:tcBorders>
            <w:vAlign w:val="center"/>
          </w:tcPr>
          <w:p w:rsidR="009F5906" w:rsidRPr="005311DF" w:rsidRDefault="009F5906" w:rsidP="0057173F">
            <w:pPr>
              <w:jc w:val="center"/>
              <w:rPr>
                <w:rFonts w:eastAsia="PMingLiU"/>
                <w:i/>
                <w:iCs/>
                <w:sz w:val="22"/>
                <w:szCs w:val="22"/>
                <w:lang w:eastAsia="zh-TW"/>
              </w:rPr>
            </w:pPr>
            <w:r w:rsidRPr="005311DF">
              <w:rPr>
                <w:rFonts w:eastAsia="PMingLiU" w:hint="eastAsia"/>
                <w:i/>
                <w:iCs/>
                <w:sz w:val="22"/>
                <w:szCs w:val="22"/>
                <w:lang w:eastAsia="zh-TW"/>
              </w:rPr>
              <w:t>2</w:t>
            </w:r>
            <w:r>
              <w:rPr>
                <w:rFonts w:eastAsia="PMingLiU" w:hint="eastAsia"/>
                <w:i/>
                <w:iCs/>
                <w:sz w:val="22"/>
                <w:szCs w:val="22"/>
                <w:lang w:eastAsia="zh-TW"/>
              </w:rPr>
              <w:t>8</w:t>
            </w:r>
            <w:r w:rsidRPr="005311DF">
              <w:rPr>
                <w:rFonts w:eastAsia="PMingLiU" w:hint="eastAsia"/>
                <w:i/>
                <w:iCs/>
                <w:sz w:val="22"/>
                <w:szCs w:val="22"/>
                <w:lang w:eastAsia="zh-TW"/>
              </w:rPr>
              <w:t>7</w:t>
            </w:r>
          </w:p>
        </w:tc>
        <w:tc>
          <w:tcPr>
            <w:tcW w:w="1304" w:type="dxa"/>
            <w:gridSpan w:val="2"/>
            <w:tcBorders>
              <w:top w:val="single" w:sz="4" w:space="0" w:color="auto"/>
              <w:bottom w:val="single" w:sz="4" w:space="0" w:color="auto"/>
            </w:tcBorders>
            <w:vAlign w:val="center"/>
          </w:tcPr>
          <w:p w:rsidR="009F5906" w:rsidRPr="005311DF" w:rsidRDefault="009F5906" w:rsidP="0057173F">
            <w:pPr>
              <w:jc w:val="center"/>
              <w:rPr>
                <w:rFonts w:eastAsia="PMingLiU"/>
                <w:i/>
                <w:iCs/>
                <w:sz w:val="22"/>
                <w:szCs w:val="22"/>
                <w:lang w:eastAsia="zh-TW"/>
              </w:rPr>
            </w:pPr>
            <w:r>
              <w:rPr>
                <w:rFonts w:eastAsia="PMingLiU" w:hint="eastAsia"/>
                <w:i/>
                <w:iCs/>
                <w:sz w:val="22"/>
                <w:szCs w:val="22"/>
                <w:lang w:eastAsia="zh-TW"/>
              </w:rPr>
              <w:t>502</w:t>
            </w:r>
          </w:p>
        </w:tc>
      </w:tr>
    </w:tbl>
    <w:p w:rsidR="009F5906" w:rsidRPr="00C53450" w:rsidRDefault="009F5906" w:rsidP="009F5906">
      <w:pPr>
        <w:jc w:val="both"/>
        <w:rPr>
          <w:rFonts w:eastAsia="PMingLiU"/>
          <w:lang w:eastAsia="zh-TW"/>
        </w:rPr>
      </w:pPr>
    </w:p>
    <w:p w:rsidR="009F5906" w:rsidRDefault="009F5906" w:rsidP="009F5906">
      <w:pPr>
        <w:jc w:val="both"/>
        <w:rPr>
          <w:rFonts w:eastAsia="PMingLiU"/>
          <w:sz w:val="20"/>
          <w:szCs w:val="20"/>
          <w:lang w:eastAsia="zh-TW"/>
        </w:rPr>
      </w:pPr>
      <w:r>
        <w:rPr>
          <w:rFonts w:eastAsia="PMingLiU"/>
          <w:sz w:val="20"/>
          <w:szCs w:val="20"/>
          <w:lang w:eastAsia="zh-TW"/>
        </w:rPr>
        <w:t xml:space="preserve">Note: Income sources are defined in Table </w:t>
      </w:r>
      <w:r>
        <w:rPr>
          <w:rFonts w:eastAsia="PMingLiU" w:hint="eastAsia"/>
          <w:sz w:val="20"/>
          <w:szCs w:val="20"/>
          <w:lang w:eastAsia="zh-TW"/>
        </w:rPr>
        <w:t>1</w:t>
      </w:r>
      <w:r>
        <w:rPr>
          <w:rFonts w:eastAsia="PMingLiU"/>
          <w:sz w:val="20"/>
          <w:szCs w:val="20"/>
          <w:lang w:eastAsia="zh-TW"/>
        </w:rPr>
        <w:t xml:space="preserve">. ICNPO is the International </w:t>
      </w:r>
      <w:r w:rsidRPr="00D36171">
        <w:rPr>
          <w:rFonts w:eastAsia="PMingLiU"/>
          <w:sz w:val="20"/>
          <w:szCs w:val="20"/>
          <w:lang w:eastAsia="zh-TW"/>
        </w:rPr>
        <w:t>Classification of Nonprofit Organisations</w:t>
      </w:r>
      <w:r w:rsidRPr="00D36171">
        <w:rPr>
          <w:rFonts w:eastAsia="PMingLiU" w:hint="eastAsia"/>
          <w:sz w:val="20"/>
          <w:szCs w:val="20"/>
          <w:lang w:eastAsia="zh-TW"/>
        </w:rPr>
        <w:t xml:space="preserve"> (</w:t>
      </w:r>
      <w:r w:rsidRPr="00D36171">
        <w:rPr>
          <w:rFonts w:asciiTheme="majorBidi" w:hAnsiTheme="majorBidi" w:cstheme="majorBidi"/>
          <w:sz w:val="20"/>
          <w:szCs w:val="20"/>
        </w:rPr>
        <w:t>Salamon and Anheier, 1992; 1996</w:t>
      </w:r>
      <w:r w:rsidRPr="00D36171">
        <w:rPr>
          <w:rFonts w:asciiTheme="majorBidi" w:eastAsia="PMingLiU" w:hAnsiTheme="majorBidi" w:cstheme="majorBidi" w:hint="eastAsia"/>
          <w:sz w:val="20"/>
          <w:szCs w:val="20"/>
          <w:lang w:eastAsia="zh-TW"/>
        </w:rPr>
        <w:t>)</w:t>
      </w:r>
      <w:r w:rsidRPr="00D36171">
        <w:rPr>
          <w:rFonts w:eastAsia="PMingLiU"/>
          <w:sz w:val="20"/>
          <w:szCs w:val="20"/>
          <w:lang w:eastAsia="zh-TW"/>
        </w:rPr>
        <w:t>.</w:t>
      </w:r>
      <w:r>
        <w:rPr>
          <w:rFonts w:eastAsia="PMingLiU" w:hint="eastAsia"/>
          <w:sz w:val="20"/>
          <w:szCs w:val="20"/>
          <w:lang w:eastAsia="zh-TW"/>
        </w:rPr>
        <w:t xml:space="preserve"> Charitable subsectors are illustrative, but not exhaustive: not all charitable subsectors are shown.  Estimated percentages have been adjusted to account for the sampling design.</w:t>
      </w:r>
      <w:r>
        <w:rPr>
          <w:rFonts w:eastAsia="PMingLiU"/>
          <w:sz w:val="20"/>
          <w:szCs w:val="20"/>
          <w:lang w:eastAsia="zh-TW"/>
        </w:rPr>
        <w:t xml:space="preserve">  A chi-squared test, which takes into account the nature of the survey design (Rao and Scott, 1984), provides </w:t>
      </w:r>
      <w:r w:rsidRPr="00794984">
        <w:rPr>
          <w:rFonts w:eastAsia="PMingLiU"/>
          <w:sz w:val="20"/>
          <w:szCs w:val="20"/>
          <w:lang w:eastAsia="zh-TW"/>
        </w:rPr>
        <w:t>evidence</w:t>
      </w:r>
      <w:r w:rsidRPr="00794984">
        <w:rPr>
          <w:sz w:val="20"/>
          <w:szCs w:val="20"/>
        </w:rPr>
        <w:t xml:space="preserve"> that </w:t>
      </w:r>
      <w:r w:rsidRPr="00794984">
        <w:rPr>
          <w:rFonts w:eastAsia="PMingLiU"/>
          <w:sz w:val="20"/>
          <w:szCs w:val="20"/>
          <w:lang w:eastAsia="zh-TW"/>
        </w:rPr>
        <w:t>income profile varies significan</w:t>
      </w:r>
      <w:r>
        <w:rPr>
          <w:rFonts w:eastAsia="PMingLiU"/>
          <w:sz w:val="20"/>
          <w:szCs w:val="20"/>
          <w:lang w:eastAsia="zh-TW"/>
        </w:rPr>
        <w:t>tly according to</w:t>
      </w:r>
      <w:r w:rsidRPr="00794984">
        <w:rPr>
          <w:rFonts w:eastAsia="PMingLiU"/>
          <w:sz w:val="20"/>
          <w:szCs w:val="20"/>
          <w:lang w:eastAsia="zh-TW"/>
        </w:rPr>
        <w:t xml:space="preserve"> charitable subsector</w:t>
      </w:r>
      <w:r>
        <w:rPr>
          <w:rFonts w:eastAsia="PMingLiU"/>
          <w:sz w:val="20"/>
          <w:szCs w:val="20"/>
          <w:lang w:eastAsia="zh-TW"/>
        </w:rPr>
        <w:t xml:space="preserve"> (p&lt;0.000). </w:t>
      </w:r>
    </w:p>
    <w:p w:rsidR="009F5906" w:rsidRDefault="009F5906" w:rsidP="009F5906">
      <w:pPr>
        <w:jc w:val="both"/>
        <w:rPr>
          <w:rFonts w:eastAsia="PMingLiU"/>
          <w:sz w:val="20"/>
          <w:szCs w:val="20"/>
          <w:lang w:eastAsia="zh-TW"/>
        </w:rPr>
      </w:pPr>
      <w:r w:rsidRPr="008E1BCB">
        <w:rPr>
          <w:rFonts w:eastAsia="PMingLiU"/>
          <w:sz w:val="20"/>
          <w:szCs w:val="20"/>
          <w:lang w:eastAsia="zh-TW"/>
        </w:rPr>
        <w:t xml:space="preserve">Source: </w:t>
      </w:r>
      <w:r>
        <w:rPr>
          <w:rFonts w:eastAsia="PMingLiU"/>
          <w:sz w:val="20"/>
          <w:szCs w:val="20"/>
          <w:lang w:eastAsia="zh-TW"/>
        </w:rPr>
        <w:t xml:space="preserve">analysis of the accounts of </w:t>
      </w:r>
      <w:r>
        <w:rPr>
          <w:rFonts w:eastAsia="PMingLiU" w:hint="eastAsia"/>
          <w:sz w:val="20"/>
          <w:szCs w:val="20"/>
          <w:lang w:eastAsia="zh-TW"/>
        </w:rPr>
        <w:t>7,039</w:t>
      </w:r>
      <w:r w:rsidRPr="008E1BCB">
        <w:rPr>
          <w:rFonts w:eastAsia="PMingLiU"/>
          <w:sz w:val="20"/>
          <w:szCs w:val="20"/>
          <w:lang w:eastAsia="zh-TW"/>
        </w:rPr>
        <w:t xml:space="preserve"> charities with an income of at least £500,000 in the 2009</w:t>
      </w:r>
      <w:r>
        <w:rPr>
          <w:rFonts w:eastAsia="PMingLiU"/>
          <w:sz w:val="20"/>
          <w:szCs w:val="20"/>
          <w:lang w:eastAsia="zh-TW"/>
        </w:rPr>
        <w:t>–</w:t>
      </w:r>
      <w:r w:rsidRPr="008E1BCB">
        <w:rPr>
          <w:rFonts w:eastAsia="PMingLiU"/>
          <w:sz w:val="20"/>
          <w:szCs w:val="20"/>
          <w:lang w:eastAsia="zh-TW"/>
        </w:rPr>
        <w:t>10 financial year</w:t>
      </w:r>
      <w:r>
        <w:rPr>
          <w:rFonts w:eastAsia="PMingLiU" w:hint="eastAsia"/>
          <w:sz w:val="20"/>
          <w:szCs w:val="20"/>
          <w:lang w:eastAsia="zh-TW"/>
        </w:rPr>
        <w:t>.</w:t>
      </w:r>
    </w:p>
    <w:p w:rsidR="009F3134" w:rsidRPr="000628A0" w:rsidRDefault="009F3134" w:rsidP="00FC6B07">
      <w:pPr>
        <w:spacing w:line="480" w:lineRule="auto"/>
        <w:rPr>
          <w:rFonts w:asciiTheme="majorBidi" w:hAnsiTheme="majorBidi" w:cstheme="majorBidi"/>
        </w:rPr>
      </w:pPr>
      <w:bookmarkStart w:id="0" w:name="_GoBack"/>
      <w:bookmarkEnd w:id="0"/>
    </w:p>
    <w:sectPr w:rsidR="009F3134" w:rsidRPr="000628A0" w:rsidSect="00C5345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4C" w:rsidRDefault="00596C4C" w:rsidP="0075027F">
      <w:r>
        <w:separator/>
      </w:r>
    </w:p>
  </w:endnote>
  <w:endnote w:type="continuationSeparator" w:id="0">
    <w:p w:rsidR="00596C4C" w:rsidRDefault="00596C4C" w:rsidP="0075027F">
      <w:r>
        <w:continuationSeparator/>
      </w:r>
    </w:p>
  </w:endnote>
  <w:endnote w:id="1">
    <w:p w:rsidR="00A8631F" w:rsidRPr="000628A0" w:rsidRDefault="00A8631F" w:rsidP="000628A0">
      <w:pPr>
        <w:pStyle w:val="EndnoteText"/>
        <w:spacing w:line="480" w:lineRule="auto"/>
        <w:rPr>
          <w:sz w:val="24"/>
          <w:szCs w:val="24"/>
        </w:rPr>
      </w:pPr>
      <w:r w:rsidRPr="000628A0">
        <w:rPr>
          <w:rStyle w:val="EndnoteReference"/>
          <w:sz w:val="24"/>
          <w:szCs w:val="24"/>
        </w:rPr>
        <w:endnoteRef/>
      </w:r>
      <w:r w:rsidRPr="000628A0">
        <w:rPr>
          <w:sz w:val="24"/>
          <w:szCs w:val="24"/>
        </w:rPr>
        <w:t xml:space="preserve"> </w:t>
      </w:r>
      <w:r w:rsidRPr="000628A0">
        <w:rPr>
          <w:rFonts w:eastAsia="PMingLiU"/>
          <w:sz w:val="24"/>
          <w:szCs w:val="24"/>
          <w:lang w:eastAsia="zh-TW"/>
        </w:rPr>
        <w:t xml:space="preserve">Note that these figures relate to ‘general charities’, a definition which does not include all registered charities. Notably, this definition excludes certain kinds of organisations, which are regarded as belonging to other parts of civil society but not the voluntary sector: faith groups, trade associations, mutuals, housing associations, and independent schools. In this paper, we do not apply the ‘general charities’ definition: our target population is all registered charities above </w:t>
      </w:r>
      <w:r w:rsidRPr="000628A0">
        <w:rPr>
          <w:rStyle w:val="st"/>
          <w:color w:val="222222"/>
          <w:sz w:val="24"/>
          <w:szCs w:val="24"/>
        </w:rPr>
        <w:t>£</w:t>
      </w:r>
      <w:r w:rsidRPr="000628A0">
        <w:rPr>
          <w:rFonts w:eastAsia="PMingLiU"/>
          <w:sz w:val="24"/>
          <w:szCs w:val="24"/>
          <w:lang w:eastAsia="zh-TW"/>
        </w:rPr>
        <w:t>500,000 in income.</w:t>
      </w:r>
    </w:p>
  </w:endnote>
  <w:endnote w:id="2">
    <w:p w:rsidR="00A8631F" w:rsidRPr="000628A0" w:rsidRDefault="00A8631F" w:rsidP="000628A0">
      <w:pPr>
        <w:pStyle w:val="EndnoteText"/>
        <w:spacing w:line="480" w:lineRule="auto"/>
        <w:rPr>
          <w:sz w:val="24"/>
          <w:szCs w:val="24"/>
        </w:rPr>
      </w:pPr>
      <w:r w:rsidRPr="000628A0">
        <w:rPr>
          <w:rStyle w:val="EndnoteReference"/>
          <w:sz w:val="24"/>
          <w:szCs w:val="24"/>
        </w:rPr>
        <w:endnoteRef/>
      </w:r>
      <w:r w:rsidRPr="000628A0">
        <w:rPr>
          <w:sz w:val="24"/>
          <w:szCs w:val="24"/>
        </w:rPr>
        <w:t xml:space="preserve"> Charities are voluntary organisations which benefit the public in a way which the law says is charitable. Their purposes should be charitable, and these include the four heads of charity: the relief of poverty; the advancement of education; the advancement of religion; and other purposes beneficial to the community. There is particular substantive interest in charities since they represent a fundamental feature of a wide range of voluntary activity – and because benefits are directly related to their charitable status, which ‘provides a means by which the state grants protection for specific types of gifts, which in turn leads to benefits of regulation, reputation and tax relief’ (Morgan, 2012, page 67). Noncharitable organisations, which do not receive the same benefits, are not subject to the same accounting and reporting requirements (Morgan, 2010) and for whom detailed data are not available, are not included here.</w:t>
      </w:r>
    </w:p>
  </w:endnote>
  <w:endnote w:id="3">
    <w:p w:rsidR="00A8631F" w:rsidRPr="000628A0" w:rsidRDefault="00A8631F" w:rsidP="000628A0">
      <w:pPr>
        <w:spacing w:line="480" w:lineRule="auto"/>
      </w:pPr>
      <w:r w:rsidRPr="000628A0">
        <w:rPr>
          <w:rStyle w:val="EndnoteReference"/>
        </w:rPr>
        <w:endnoteRef/>
      </w:r>
      <w:r w:rsidRPr="000628A0">
        <w:t xml:space="preserve"> </w:t>
      </w:r>
      <w:r w:rsidRPr="000628A0">
        <w:rPr>
          <w:rFonts w:eastAsia="PMingLiU"/>
          <w:lang w:eastAsia="zh-TW"/>
        </w:rPr>
        <w:t>In reality, as Teasdale</w:t>
      </w:r>
      <w:r w:rsidRPr="000628A0">
        <w:rPr>
          <w:rFonts w:eastAsia="PMingLiU"/>
          <w:i/>
          <w:iCs/>
          <w:lang w:eastAsia="zh-TW"/>
        </w:rPr>
        <w:t xml:space="preserve"> et al.</w:t>
      </w:r>
      <w:r w:rsidRPr="000628A0">
        <w:rPr>
          <w:rFonts w:eastAsia="PMingLiU"/>
          <w:lang w:eastAsia="zh-TW"/>
        </w:rPr>
        <w:t xml:space="preserve"> (2013) point out, this conceptual bifurcation is a seen as a simplification of a complex market reality: in practice, the boundaries between these ‘ideal types’ may be blurred.</w:t>
      </w:r>
    </w:p>
  </w:endnote>
  <w:endnote w:id="4">
    <w:p w:rsidR="00A8631F" w:rsidRPr="000628A0" w:rsidRDefault="00A8631F" w:rsidP="000628A0">
      <w:pPr>
        <w:spacing w:line="480" w:lineRule="auto"/>
      </w:pPr>
      <w:r w:rsidRPr="000628A0">
        <w:rPr>
          <w:rStyle w:val="EndnoteReference"/>
        </w:rPr>
        <w:endnoteRef/>
      </w:r>
      <w:r w:rsidRPr="000628A0">
        <w:t xml:space="preserve"> </w:t>
      </w:r>
      <w:r w:rsidRPr="000628A0">
        <w:rPr>
          <w:rFonts w:eastAsia="PMingLiU"/>
          <w:lang w:eastAsia="zh-TW"/>
        </w:rPr>
        <w:t xml:space="preserve">One possible way to examine organisations providing specifically group benefits would be to identify ‘member-serving’ organisations that provide excludable collective goods to their members.  Under the benefits theory of nonprofit finance, the provision of these benefits is associated with income from membership dues that are distinct from member purchases.  However, our data do not allow us to separate out membership dues from individual donations and fees </w:t>
      </w:r>
      <w:r w:rsidR="00221FEC" w:rsidRPr="000628A0">
        <w:rPr>
          <w:rFonts w:eastAsia="PMingLiU"/>
          <w:lang w:eastAsia="zh-TW"/>
        </w:rPr>
        <w:t>- a</w:t>
      </w:r>
      <w:r w:rsidRPr="000628A0">
        <w:rPr>
          <w:rFonts w:eastAsia="PMingLiU"/>
          <w:lang w:eastAsia="zh-TW"/>
        </w:rPr>
        <w:t xml:space="preserve"> common issue given the ‘blurred lines’ between these categories (Steinberg, 2007, page 121).</w:t>
      </w:r>
    </w:p>
  </w:endnote>
  <w:endnote w:id="5">
    <w:p w:rsidR="00C6542E" w:rsidRPr="000628A0" w:rsidRDefault="00C6542E" w:rsidP="00146846">
      <w:pPr>
        <w:spacing w:line="480" w:lineRule="auto"/>
      </w:pPr>
      <w:r w:rsidRPr="000628A0">
        <w:rPr>
          <w:rStyle w:val="EndnoteReference"/>
        </w:rPr>
        <w:endnoteRef/>
      </w:r>
      <w:r w:rsidRPr="000628A0">
        <w:t xml:space="preserve"> </w:t>
      </w:r>
      <w:r w:rsidRPr="000628A0">
        <w:rPr>
          <w:rFonts w:eastAsia="PMingLiU"/>
          <w:lang w:eastAsia="zh-TW"/>
        </w:rPr>
        <w:t>Using our sample, after accounting for the survey design and using the inco</w:t>
      </w:r>
      <w:r w:rsidR="005D3637" w:rsidRPr="000628A0">
        <w:rPr>
          <w:rFonts w:eastAsia="PMingLiU"/>
          <w:lang w:eastAsia="zh-TW"/>
        </w:rPr>
        <w:t>me source categories in Figure 1</w:t>
      </w:r>
      <w:r w:rsidRPr="000628A0">
        <w:rPr>
          <w:rFonts w:eastAsia="PMingLiU"/>
          <w:lang w:eastAsia="zh-TW"/>
        </w:rPr>
        <w:t xml:space="preserve">, we estimate that 46% of total income across the sector as a whole comes from individuals (21% from donations/fundraising; 25% </w:t>
      </w:r>
      <w:r w:rsidR="00221FEC" w:rsidRPr="000628A0">
        <w:rPr>
          <w:rFonts w:eastAsia="PMingLiU"/>
          <w:lang w:eastAsia="zh-TW"/>
        </w:rPr>
        <w:t>from fees</w:t>
      </w:r>
      <w:r w:rsidRPr="000628A0">
        <w:rPr>
          <w:rFonts w:eastAsia="PMingLiU"/>
          <w:lang w:eastAsia="zh-TW"/>
        </w:rPr>
        <w:t xml:space="preserve">), and 34% comes from government, with 7% from the voluntary sector/national lottery; 7% from internal sources; and 6% from other sources.  Note the difference between the percentages for our sample, and those reported in NCVO’s figures (page </w:t>
      </w:r>
      <w:r w:rsidR="00146846">
        <w:rPr>
          <w:rFonts w:eastAsia="PMingLiU"/>
          <w:lang w:eastAsia="zh-TW"/>
        </w:rPr>
        <w:t>3</w:t>
      </w:r>
      <w:r w:rsidRPr="000628A0">
        <w:rPr>
          <w:rFonts w:eastAsia="PMingLiU"/>
          <w:lang w:eastAsia="zh-TW"/>
        </w:rPr>
        <w:t>), relate to the difference in the population of charities considered.  While NCVO restrict analysis to the ‘general charities’ definition (</w:t>
      </w:r>
      <w:r w:rsidR="00146846">
        <w:rPr>
          <w:rFonts w:eastAsia="PMingLiU"/>
          <w:lang w:eastAsia="zh-TW"/>
        </w:rPr>
        <w:t xml:space="preserve">see </w:t>
      </w:r>
      <w:r w:rsidRPr="000628A0">
        <w:rPr>
          <w:rFonts w:eastAsia="PMingLiU"/>
          <w:lang w:eastAsia="zh-TW"/>
        </w:rPr>
        <w:t xml:space="preserve">endnote </w:t>
      </w:r>
      <w:r w:rsidR="00146846">
        <w:rPr>
          <w:rFonts w:eastAsia="PMingLiU"/>
          <w:lang w:eastAsia="zh-TW"/>
        </w:rPr>
        <w:t>1</w:t>
      </w:r>
      <w:r w:rsidRPr="000628A0">
        <w:rPr>
          <w:rFonts w:eastAsia="PMingLiU"/>
          <w:lang w:eastAsia="zh-TW"/>
        </w:rPr>
        <w:t>) – we are interested in the charitable population as a whole and therefore examine all registered charities.</w:t>
      </w:r>
    </w:p>
  </w:endnote>
  <w:endnote w:id="6">
    <w:p w:rsidR="00C6542E" w:rsidRPr="000628A0" w:rsidRDefault="00C6542E" w:rsidP="000628A0">
      <w:pPr>
        <w:spacing w:line="480" w:lineRule="auto"/>
      </w:pPr>
      <w:r w:rsidRPr="000628A0">
        <w:rPr>
          <w:rStyle w:val="EndnoteReference"/>
        </w:rPr>
        <w:endnoteRef/>
      </w:r>
      <w:r w:rsidRPr="000628A0">
        <w:t xml:space="preserve"> </w:t>
      </w:r>
      <w:r w:rsidRPr="000628A0">
        <w:rPr>
          <w:rFonts w:eastAsia="PMingLiU"/>
          <w:lang w:eastAsia="zh-TW"/>
        </w:rPr>
        <w:t xml:space="preserve">Aitchison (1986) showed that compositional data could be analysed statistically by first transforming the data into log-ratios of the proportions. However, this approach breaks down where the data contain ‘essential zeros’ – as in this context, where each charity tends to receive income from only a small number of the possible income sources – and as yet there is no general methodology for dealing with essential zeros in multivariate models for compositional data (Martin-Fernandez </w:t>
      </w:r>
      <w:r w:rsidRPr="000628A0">
        <w:rPr>
          <w:rFonts w:eastAsia="PMingLiU"/>
          <w:i/>
          <w:iCs/>
          <w:lang w:eastAsia="zh-TW"/>
        </w:rPr>
        <w:t>et al</w:t>
      </w:r>
      <w:r w:rsidRPr="000628A0">
        <w:rPr>
          <w:rFonts w:eastAsia="PMingLiU"/>
          <w:lang w:eastAsia="zh-TW"/>
        </w:rPr>
        <w:t xml:space="preserve">., 2011). </w:t>
      </w:r>
    </w:p>
  </w:endnote>
  <w:endnote w:id="7">
    <w:p w:rsidR="00C6542E" w:rsidRPr="000628A0" w:rsidRDefault="00C6542E" w:rsidP="00D446A8">
      <w:pPr>
        <w:spacing w:line="480" w:lineRule="auto"/>
      </w:pPr>
      <w:r w:rsidRPr="000628A0">
        <w:rPr>
          <w:rStyle w:val="EndnoteReference"/>
        </w:rPr>
        <w:endnoteRef/>
      </w:r>
      <w:r w:rsidRPr="000628A0">
        <w:t xml:space="preserve"> </w:t>
      </w:r>
      <w:r w:rsidRPr="000628A0">
        <w:rPr>
          <w:rFonts w:eastAsia="PMingLiU"/>
          <w:lang w:eastAsia="zh-TW"/>
        </w:rPr>
        <w:t>The level of the 25% threshold, as a basis for identifying a</w:t>
      </w:r>
      <w:r w:rsidR="003619B2">
        <w:rPr>
          <w:rFonts w:eastAsia="PMingLiU"/>
          <w:lang w:eastAsia="zh-TW"/>
        </w:rPr>
        <w:t>n</w:t>
      </w:r>
      <w:r w:rsidRPr="000628A0">
        <w:rPr>
          <w:rFonts w:eastAsia="PMingLiU"/>
          <w:lang w:eastAsia="zh-TW"/>
        </w:rPr>
        <w:t xml:space="preserve"> </w:t>
      </w:r>
      <w:r w:rsidR="003619B2">
        <w:rPr>
          <w:rFonts w:eastAsia="PMingLiU"/>
          <w:lang w:eastAsia="zh-TW"/>
        </w:rPr>
        <w:t>‘important’</w:t>
      </w:r>
      <w:r w:rsidRPr="000628A0">
        <w:rPr>
          <w:rFonts w:eastAsia="PMingLiU"/>
          <w:lang w:eastAsia="zh-TW"/>
        </w:rPr>
        <w:t xml:space="preserve"> source, is chosen to provide meaningful insights about the </w:t>
      </w:r>
      <w:r w:rsidRPr="000628A0">
        <w:rPr>
          <w:rFonts w:eastAsia="PMingLiU"/>
          <w:i/>
          <w:iCs/>
          <w:lang w:eastAsia="zh-TW"/>
        </w:rPr>
        <w:t>combinations</w:t>
      </w:r>
      <w:r w:rsidRPr="000628A0">
        <w:rPr>
          <w:rFonts w:eastAsia="PMingLiU"/>
          <w:lang w:eastAsia="zh-TW"/>
        </w:rPr>
        <w:t xml:space="preserve"> of important income sources that make up an organisations’ revenue portfolio.  It reflects a middle ground along the continuum between the 10% and 50% thresholds.  On the one hand - on the basis of Teasdale </w:t>
      </w:r>
      <w:r w:rsidRPr="00655D69">
        <w:rPr>
          <w:rFonts w:eastAsia="PMingLiU"/>
          <w:i/>
          <w:iCs/>
          <w:lang w:eastAsia="zh-TW"/>
        </w:rPr>
        <w:t>et al.</w:t>
      </w:r>
      <w:r w:rsidRPr="000628A0">
        <w:rPr>
          <w:rFonts w:eastAsia="PMingLiU"/>
          <w:lang w:eastAsia="zh-TW"/>
        </w:rPr>
        <w:t xml:space="preserve">’s (2013) work which defines organisations as ‘donative’ or ‘commercial’ nonprofits if they receive 90% of their income from one of these sources - using a 10% threshold would be too low.  This is because an organisation with portfolio of 90% fees/10% donations would be regarded as having two important sources of income, even though it would be categorised as a clearly ‘commercial’ nonprofit under Teasdale </w:t>
      </w:r>
      <w:r w:rsidRPr="00655D69">
        <w:rPr>
          <w:rFonts w:eastAsia="PMingLiU"/>
          <w:i/>
          <w:iCs/>
          <w:lang w:eastAsia="zh-TW"/>
        </w:rPr>
        <w:t>et al.</w:t>
      </w:r>
      <w:r w:rsidRPr="000628A0">
        <w:rPr>
          <w:rFonts w:eastAsia="PMingLiU"/>
          <w:lang w:eastAsia="zh-TW"/>
        </w:rPr>
        <w:t>’s (2013) schema given the dominance of fee income.  On the other hand, by definition</w:t>
      </w:r>
      <w:r w:rsidR="003619B2">
        <w:rPr>
          <w:rFonts w:eastAsia="PMingLiU"/>
          <w:lang w:eastAsia="zh-TW"/>
        </w:rPr>
        <w:t>,</w:t>
      </w:r>
      <w:r w:rsidRPr="000628A0">
        <w:rPr>
          <w:rFonts w:eastAsia="PMingLiU"/>
          <w:lang w:eastAsia="zh-TW"/>
        </w:rPr>
        <w:t xml:space="preserve"> using anything above the 50% threshold to identify</w:t>
      </w:r>
      <w:r w:rsidR="00D446A8">
        <w:rPr>
          <w:rFonts w:eastAsia="PMingLiU"/>
          <w:lang w:eastAsia="zh-TW"/>
        </w:rPr>
        <w:t xml:space="preserve"> an important</w:t>
      </w:r>
      <w:r w:rsidRPr="000628A0">
        <w:rPr>
          <w:rFonts w:eastAsia="PMingLiU"/>
          <w:lang w:eastAsia="zh-TW"/>
        </w:rPr>
        <w:t xml:space="preserve"> income source would preclude any analysis of </w:t>
      </w:r>
      <w:r w:rsidRPr="000628A0">
        <w:rPr>
          <w:rFonts w:eastAsia="PMingLiU"/>
          <w:i/>
          <w:iCs/>
          <w:lang w:eastAsia="zh-TW"/>
        </w:rPr>
        <w:t>combinations</w:t>
      </w:r>
      <w:r w:rsidRPr="000628A0">
        <w:rPr>
          <w:rFonts w:eastAsia="PMingLiU"/>
          <w:lang w:eastAsia="zh-TW"/>
        </w:rPr>
        <w:t xml:space="preserve"> of </w:t>
      </w:r>
      <w:r w:rsidR="003619B2">
        <w:rPr>
          <w:rFonts w:eastAsia="PMingLiU"/>
          <w:lang w:eastAsia="zh-TW"/>
        </w:rPr>
        <w:t>important</w:t>
      </w:r>
      <w:r w:rsidRPr="000628A0">
        <w:rPr>
          <w:rFonts w:eastAsia="PMingLiU"/>
          <w:lang w:eastAsia="zh-TW"/>
        </w:rPr>
        <w:t xml:space="preserve"> sources.  Between these two extremes, using the 25% threshold provides meaningful insights about combinations of important income sources in organisations’ portfolios. </w:t>
      </w:r>
    </w:p>
  </w:endnote>
  <w:endnote w:id="8">
    <w:p w:rsidR="005C6848" w:rsidRPr="000628A0" w:rsidRDefault="005C6848" w:rsidP="000628A0">
      <w:pPr>
        <w:spacing w:line="480" w:lineRule="auto"/>
      </w:pPr>
      <w:r w:rsidRPr="000628A0">
        <w:rPr>
          <w:rStyle w:val="EndnoteReference"/>
        </w:rPr>
        <w:endnoteRef/>
      </w:r>
      <w:r w:rsidRPr="000628A0">
        <w:t xml:space="preserve"> </w:t>
      </w:r>
      <w:r w:rsidRPr="000628A0">
        <w:rPr>
          <w:rFonts w:eastAsia="PMingLiU"/>
          <w:color w:val="000000"/>
          <w:lang w:eastAsia="zh-TW"/>
        </w:rPr>
        <w:t>While it would be desirable to disaggregate government income by separating out government contracts from government grants, our data do not make this possible since the distinction is not always made in the charities’ accounts.</w:t>
      </w:r>
    </w:p>
  </w:endnote>
  <w:endnote w:id="9">
    <w:p w:rsidR="005C6848" w:rsidRPr="000628A0" w:rsidRDefault="005C6848" w:rsidP="000628A0">
      <w:pPr>
        <w:spacing w:line="480" w:lineRule="auto"/>
      </w:pPr>
      <w:r w:rsidRPr="000628A0">
        <w:rPr>
          <w:rStyle w:val="EndnoteReference"/>
        </w:rPr>
        <w:endnoteRef/>
      </w:r>
      <w:r w:rsidRPr="000628A0">
        <w:t xml:space="preserve"> </w:t>
      </w:r>
      <w:r w:rsidRPr="000628A0">
        <w:rPr>
          <w:rFonts w:eastAsia="PMingLiU"/>
          <w:lang w:eastAsia="zh-TW"/>
        </w:rPr>
        <w:t>The other category includes income from forprofit businesses.  Therefore, to the extent to which organisations receive financial support from businesses in exchange for the provision of trade benefits, this represents a small part of their income mix.</w:t>
      </w:r>
    </w:p>
  </w:endnote>
  <w:endnote w:id="10">
    <w:p w:rsidR="005D3637" w:rsidRPr="000628A0" w:rsidRDefault="005D3637" w:rsidP="000628A0">
      <w:pPr>
        <w:pStyle w:val="EndnoteText"/>
        <w:spacing w:line="480" w:lineRule="auto"/>
        <w:rPr>
          <w:sz w:val="24"/>
          <w:szCs w:val="24"/>
        </w:rPr>
      </w:pPr>
      <w:r w:rsidRPr="000628A0">
        <w:rPr>
          <w:rStyle w:val="EndnoteReference"/>
          <w:sz w:val="24"/>
          <w:szCs w:val="24"/>
        </w:rPr>
        <w:endnoteRef/>
      </w:r>
      <w:r w:rsidRPr="000628A0">
        <w:rPr>
          <w:sz w:val="24"/>
          <w:szCs w:val="24"/>
        </w:rPr>
        <w:t xml:space="preserve"> </w:t>
      </w:r>
      <w:r w:rsidRPr="000628A0">
        <w:rPr>
          <w:rFonts w:eastAsia="PMingLiU"/>
          <w:sz w:val="24"/>
          <w:szCs w:val="24"/>
          <w:lang w:eastAsia="zh-TW"/>
        </w:rPr>
        <w:t xml:space="preserve">Teasdale </w:t>
      </w:r>
      <w:r w:rsidRPr="000628A0">
        <w:rPr>
          <w:rFonts w:eastAsia="PMingLiU"/>
          <w:i/>
          <w:iCs/>
          <w:sz w:val="24"/>
          <w:szCs w:val="24"/>
          <w:lang w:eastAsia="zh-TW"/>
        </w:rPr>
        <w:t>et al.</w:t>
      </w:r>
      <w:r w:rsidRPr="000628A0">
        <w:rPr>
          <w:rFonts w:eastAsia="PMingLiU"/>
          <w:sz w:val="24"/>
          <w:szCs w:val="24"/>
          <w:lang w:eastAsia="zh-TW"/>
        </w:rPr>
        <w:t xml:space="preserve"> (2013) use this threshold to distinguish commercial from donative and donative revenue, but do not disaggregate separately between income from individuals and government.</w:t>
      </w:r>
    </w:p>
  </w:endnote>
  <w:endnote w:id="11">
    <w:p w:rsidR="00C6542E" w:rsidRPr="000628A0" w:rsidRDefault="00C6542E" w:rsidP="000628A0">
      <w:pPr>
        <w:pStyle w:val="EndnoteText"/>
        <w:spacing w:line="480" w:lineRule="auto"/>
        <w:rPr>
          <w:sz w:val="24"/>
          <w:szCs w:val="24"/>
        </w:rPr>
      </w:pPr>
      <w:r w:rsidRPr="000628A0">
        <w:rPr>
          <w:rStyle w:val="EndnoteReference"/>
          <w:sz w:val="24"/>
          <w:szCs w:val="24"/>
        </w:rPr>
        <w:endnoteRef/>
      </w:r>
      <w:r w:rsidRPr="000628A0">
        <w:rPr>
          <w:sz w:val="24"/>
          <w:szCs w:val="24"/>
        </w:rPr>
        <w:t xml:space="preserve"> </w:t>
      </w:r>
      <w:r w:rsidRPr="000628A0">
        <w:rPr>
          <w:rFonts w:eastAsia="PMingLiU"/>
          <w:sz w:val="24"/>
          <w:szCs w:val="24"/>
          <w:lang w:eastAsia="zh-TW"/>
        </w:rPr>
        <w:t xml:space="preserve">Note that we considered a latent class model to group charities according to their income sources </w:t>
      </w:r>
      <w:r w:rsidRPr="000628A0">
        <w:rPr>
          <w:rFonts w:eastAsia="PMingLiU"/>
          <w:i/>
          <w:iCs/>
          <w:sz w:val="24"/>
          <w:szCs w:val="24"/>
          <w:lang w:eastAsia="zh-TW"/>
        </w:rPr>
        <w:t>i</w:t>
      </w:r>
      <w:r w:rsidRPr="000628A0">
        <w:rPr>
          <w:rFonts w:eastAsia="PMingLiU"/>
          <w:sz w:val="24"/>
          <w:szCs w:val="24"/>
          <w:lang w:eastAsia="zh-TW"/>
        </w:rPr>
        <w:t xml:space="preserve">. In the latent class approach, the observed response pattern of binary variables </w:t>
      </w:r>
      <w:r w:rsidRPr="000628A0">
        <w:rPr>
          <w:rFonts w:eastAsia="PMingLiU"/>
          <w:i/>
          <w:iCs/>
          <w:sz w:val="24"/>
          <w:szCs w:val="24"/>
          <w:lang w:eastAsia="zh-TW"/>
        </w:rPr>
        <w:t>x</w:t>
      </w:r>
      <w:r w:rsidRPr="000628A0">
        <w:rPr>
          <w:rFonts w:eastAsia="PMingLiU"/>
          <w:i/>
          <w:iCs/>
          <w:sz w:val="24"/>
          <w:szCs w:val="24"/>
          <w:vertAlign w:val="subscript"/>
          <w:lang w:eastAsia="zh-TW"/>
        </w:rPr>
        <w:t>i</w:t>
      </w:r>
      <w:r w:rsidRPr="000628A0">
        <w:rPr>
          <w:rFonts w:eastAsia="PMingLiU"/>
          <w:sz w:val="24"/>
          <w:szCs w:val="24"/>
          <w:lang w:eastAsia="zh-TW"/>
        </w:rPr>
        <w:t xml:space="preserve"> is seen as the outcome of a stochastic process, drawn from a population of charities belonging to </w:t>
      </w:r>
      <w:r w:rsidRPr="000628A0">
        <w:rPr>
          <w:rFonts w:eastAsia="PMingLiU"/>
          <w:i/>
          <w:iCs/>
          <w:sz w:val="24"/>
          <w:szCs w:val="24"/>
          <w:lang w:eastAsia="zh-TW"/>
        </w:rPr>
        <w:t>J</w:t>
      </w:r>
      <w:r w:rsidRPr="000628A0">
        <w:rPr>
          <w:rFonts w:eastAsia="PMingLiU"/>
          <w:sz w:val="24"/>
          <w:szCs w:val="24"/>
          <w:lang w:eastAsia="zh-TW"/>
        </w:rPr>
        <w:t xml:space="preserve"> latent classes of an underlying categorical variable </w:t>
      </w:r>
      <w:r w:rsidRPr="000628A0">
        <w:rPr>
          <w:rFonts w:eastAsia="PMingLiU"/>
          <w:i/>
          <w:iCs/>
          <w:sz w:val="24"/>
          <w:szCs w:val="24"/>
          <w:lang w:eastAsia="zh-TW"/>
        </w:rPr>
        <w:t>y</w:t>
      </w:r>
      <w:r w:rsidRPr="000628A0">
        <w:rPr>
          <w:rFonts w:eastAsia="PMingLiU"/>
          <w:sz w:val="24"/>
          <w:szCs w:val="24"/>
          <w:lang w:eastAsia="zh-TW"/>
        </w:rPr>
        <w:t xml:space="preserve">. However, the model was not easily identified. In any case, since we would expect a non-small number of </w:t>
      </w:r>
      <w:r w:rsidRPr="000628A0">
        <w:rPr>
          <w:rFonts w:eastAsia="PMingLiU"/>
          <w:i/>
          <w:iCs/>
          <w:sz w:val="24"/>
          <w:szCs w:val="24"/>
          <w:lang w:eastAsia="zh-TW"/>
        </w:rPr>
        <w:t>J</w:t>
      </w:r>
      <w:r w:rsidRPr="000628A0">
        <w:rPr>
          <w:rFonts w:eastAsia="PMingLiU"/>
          <w:sz w:val="24"/>
          <w:szCs w:val="24"/>
          <w:lang w:eastAsia="zh-TW"/>
        </w:rPr>
        <w:t xml:space="preserve"> categories, reflecting the variety of income profiles, model selection would have been inhibited by a lack of degrees of freedom to assess model fit. As Bartholomew </w:t>
      </w:r>
      <w:r w:rsidRPr="000628A0">
        <w:rPr>
          <w:rFonts w:eastAsia="PMingLiU"/>
          <w:i/>
          <w:iCs/>
          <w:sz w:val="24"/>
          <w:szCs w:val="24"/>
          <w:lang w:eastAsia="zh-TW"/>
        </w:rPr>
        <w:t>et al</w:t>
      </w:r>
      <w:r w:rsidRPr="000628A0">
        <w:rPr>
          <w:rFonts w:eastAsia="PMingLiU"/>
          <w:iCs/>
          <w:sz w:val="24"/>
          <w:szCs w:val="24"/>
          <w:lang w:eastAsia="zh-TW"/>
        </w:rPr>
        <w:t>.</w:t>
      </w:r>
      <w:r w:rsidRPr="000628A0">
        <w:rPr>
          <w:rFonts w:eastAsia="PMingLiU"/>
          <w:sz w:val="24"/>
          <w:szCs w:val="24"/>
          <w:lang w:eastAsia="zh-TW"/>
        </w:rPr>
        <w:t xml:space="preserve"> (2008) point out, there are practical limitations on the complexity of models that can be used in the latent class approach.</w:t>
      </w:r>
    </w:p>
  </w:endnote>
  <w:endnote w:id="12">
    <w:p w:rsidR="00C6542E" w:rsidRPr="000628A0" w:rsidRDefault="00C6542E" w:rsidP="000628A0">
      <w:pPr>
        <w:pStyle w:val="EndnoteText"/>
        <w:spacing w:line="480" w:lineRule="auto"/>
        <w:rPr>
          <w:sz w:val="24"/>
          <w:szCs w:val="24"/>
        </w:rPr>
      </w:pPr>
      <w:r w:rsidRPr="000628A0">
        <w:rPr>
          <w:rStyle w:val="EndnoteReference"/>
          <w:sz w:val="24"/>
          <w:szCs w:val="24"/>
        </w:rPr>
        <w:endnoteRef/>
      </w:r>
      <w:r w:rsidRPr="000628A0">
        <w:rPr>
          <w:sz w:val="24"/>
          <w:szCs w:val="24"/>
        </w:rPr>
        <w:t xml:space="preserve"> Speech by William Shawcross, Chair of the Charity Commission, to the Association of Chief Executives of Voluntary Organisations, 29th November 2012, available online at: https://apps.charitycommission.gov.uk/About_us/About_the_Commission/Speeches/william_shawcross_291112.aspx</w:t>
      </w:r>
    </w:p>
  </w:endnote>
  <w:endnote w:id="13">
    <w:p w:rsidR="00C6542E" w:rsidRPr="000628A0" w:rsidRDefault="00C6542E" w:rsidP="006E5E0F">
      <w:pPr>
        <w:pStyle w:val="EndnoteText"/>
        <w:spacing w:line="480" w:lineRule="auto"/>
        <w:rPr>
          <w:sz w:val="24"/>
          <w:szCs w:val="24"/>
        </w:rPr>
      </w:pPr>
      <w:r w:rsidRPr="000628A0">
        <w:rPr>
          <w:rStyle w:val="EndnoteReference"/>
          <w:sz w:val="24"/>
          <w:szCs w:val="24"/>
        </w:rPr>
        <w:endnoteRef/>
      </w:r>
      <w:r w:rsidRPr="000628A0">
        <w:rPr>
          <w:sz w:val="24"/>
          <w:szCs w:val="24"/>
        </w:rPr>
        <w:t xml:space="preserve"> www.charitycommission.gov.uk/About_us/Contacting_us/p_brief_public_benefit.aspx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4C" w:rsidRDefault="00596C4C" w:rsidP="0075027F">
      <w:r>
        <w:separator/>
      </w:r>
    </w:p>
  </w:footnote>
  <w:footnote w:type="continuationSeparator" w:id="0">
    <w:p w:rsidR="00596C4C" w:rsidRDefault="00596C4C" w:rsidP="0075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91207"/>
      <w:docPartObj>
        <w:docPartGallery w:val="Page Numbers (Top of Page)"/>
        <w:docPartUnique/>
      </w:docPartObj>
    </w:sdtPr>
    <w:sdtEndPr>
      <w:rPr>
        <w:noProof/>
      </w:rPr>
    </w:sdtEndPr>
    <w:sdtContent>
      <w:p w:rsidR="006755B8" w:rsidRDefault="006755B8">
        <w:pPr>
          <w:pStyle w:val="Header"/>
        </w:pPr>
        <w:r>
          <w:fldChar w:fldCharType="begin"/>
        </w:r>
        <w:r>
          <w:instrText xml:space="preserve"> PAGE   \* MERGEFORMAT </w:instrText>
        </w:r>
        <w:r>
          <w:fldChar w:fldCharType="separate"/>
        </w:r>
        <w:r w:rsidR="009F5906">
          <w:rPr>
            <w:noProof/>
          </w:rPr>
          <w:t>2</w:t>
        </w:r>
        <w:r>
          <w:rPr>
            <w:noProof/>
          </w:rPr>
          <w:fldChar w:fldCharType="end"/>
        </w:r>
      </w:p>
    </w:sdtContent>
  </w:sdt>
  <w:p w:rsidR="006755B8" w:rsidRDefault="00675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B199F"/>
    <w:multiLevelType w:val="hybridMultilevel"/>
    <w:tmpl w:val="6734A09A"/>
    <w:lvl w:ilvl="0" w:tplc="7432046E">
      <w:start w:val="5"/>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7D7983"/>
    <w:multiLevelType w:val="hybridMultilevel"/>
    <w:tmpl w:val="01C2C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427CF7"/>
    <w:multiLevelType w:val="hybridMultilevel"/>
    <w:tmpl w:val="6F7C6AF0"/>
    <w:lvl w:ilvl="0" w:tplc="2D963D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44F01B-0EA0-4355-9ADE-F9D2286FD15A}"/>
    <w:docVar w:name="dgnword-eventsink" w:val="91471824"/>
  </w:docVars>
  <w:rsids>
    <w:rsidRoot w:val="0075027F"/>
    <w:rsid w:val="00005DBB"/>
    <w:rsid w:val="00006DA2"/>
    <w:rsid w:val="0001562D"/>
    <w:rsid w:val="000260D7"/>
    <w:rsid w:val="00034F41"/>
    <w:rsid w:val="00035017"/>
    <w:rsid w:val="00036563"/>
    <w:rsid w:val="000510B8"/>
    <w:rsid w:val="000525D1"/>
    <w:rsid w:val="00054D47"/>
    <w:rsid w:val="00057EFE"/>
    <w:rsid w:val="00060846"/>
    <w:rsid w:val="00061FAB"/>
    <w:rsid w:val="000628A0"/>
    <w:rsid w:val="00067569"/>
    <w:rsid w:val="000A0B21"/>
    <w:rsid w:val="000B421A"/>
    <w:rsid w:val="000C2EB9"/>
    <w:rsid w:val="000C4691"/>
    <w:rsid w:val="000C69EB"/>
    <w:rsid w:val="000D01D0"/>
    <w:rsid w:val="000D6927"/>
    <w:rsid w:val="000E6F8C"/>
    <w:rsid w:val="001014BB"/>
    <w:rsid w:val="00103D51"/>
    <w:rsid w:val="00113CA3"/>
    <w:rsid w:val="00120CAA"/>
    <w:rsid w:val="00130DC8"/>
    <w:rsid w:val="00145AEE"/>
    <w:rsid w:val="00146846"/>
    <w:rsid w:val="00152AA8"/>
    <w:rsid w:val="00165C33"/>
    <w:rsid w:val="00171A07"/>
    <w:rsid w:val="001767BB"/>
    <w:rsid w:val="001826A0"/>
    <w:rsid w:val="001944FC"/>
    <w:rsid w:val="001A48DC"/>
    <w:rsid w:val="001A5E38"/>
    <w:rsid w:val="001C32C4"/>
    <w:rsid w:val="001E6E1A"/>
    <w:rsid w:val="001F0716"/>
    <w:rsid w:val="00200529"/>
    <w:rsid w:val="00207360"/>
    <w:rsid w:val="00221FEC"/>
    <w:rsid w:val="00230CDB"/>
    <w:rsid w:val="00232436"/>
    <w:rsid w:val="002401F0"/>
    <w:rsid w:val="0024124F"/>
    <w:rsid w:val="002447BF"/>
    <w:rsid w:val="00256C23"/>
    <w:rsid w:val="00260E09"/>
    <w:rsid w:val="0026783A"/>
    <w:rsid w:val="00267CCF"/>
    <w:rsid w:val="00284601"/>
    <w:rsid w:val="00285FD1"/>
    <w:rsid w:val="002912FD"/>
    <w:rsid w:val="0029407A"/>
    <w:rsid w:val="00296A53"/>
    <w:rsid w:val="002A6057"/>
    <w:rsid w:val="002D4714"/>
    <w:rsid w:val="002E268F"/>
    <w:rsid w:val="002E4EB1"/>
    <w:rsid w:val="003009FF"/>
    <w:rsid w:val="003014DD"/>
    <w:rsid w:val="00306267"/>
    <w:rsid w:val="00310A3C"/>
    <w:rsid w:val="00317A24"/>
    <w:rsid w:val="0032137B"/>
    <w:rsid w:val="00333988"/>
    <w:rsid w:val="00334B5A"/>
    <w:rsid w:val="003446D6"/>
    <w:rsid w:val="00347F3C"/>
    <w:rsid w:val="00355AFA"/>
    <w:rsid w:val="00356630"/>
    <w:rsid w:val="003619B2"/>
    <w:rsid w:val="003659D3"/>
    <w:rsid w:val="00372F45"/>
    <w:rsid w:val="003755AC"/>
    <w:rsid w:val="00381AE8"/>
    <w:rsid w:val="003A5078"/>
    <w:rsid w:val="003A5DCC"/>
    <w:rsid w:val="003A61FA"/>
    <w:rsid w:val="003D4F96"/>
    <w:rsid w:val="003E02D5"/>
    <w:rsid w:val="003E23DC"/>
    <w:rsid w:val="003F18B9"/>
    <w:rsid w:val="003F59AC"/>
    <w:rsid w:val="0041153B"/>
    <w:rsid w:val="004301F1"/>
    <w:rsid w:val="00432FBE"/>
    <w:rsid w:val="0046021F"/>
    <w:rsid w:val="004609BC"/>
    <w:rsid w:val="00466C47"/>
    <w:rsid w:val="004815C7"/>
    <w:rsid w:val="0048365E"/>
    <w:rsid w:val="004906BB"/>
    <w:rsid w:val="004934DE"/>
    <w:rsid w:val="0049421F"/>
    <w:rsid w:val="004A0846"/>
    <w:rsid w:val="004A2689"/>
    <w:rsid w:val="004A75C0"/>
    <w:rsid w:val="004B40F5"/>
    <w:rsid w:val="004B79E6"/>
    <w:rsid w:val="004D0E0D"/>
    <w:rsid w:val="004E14F5"/>
    <w:rsid w:val="004E25BA"/>
    <w:rsid w:val="004E3461"/>
    <w:rsid w:val="004F310F"/>
    <w:rsid w:val="004F487D"/>
    <w:rsid w:val="004F4AC8"/>
    <w:rsid w:val="005079F3"/>
    <w:rsid w:val="0051181E"/>
    <w:rsid w:val="005157B2"/>
    <w:rsid w:val="0051606D"/>
    <w:rsid w:val="005171BA"/>
    <w:rsid w:val="00521F9E"/>
    <w:rsid w:val="00525A23"/>
    <w:rsid w:val="0056219E"/>
    <w:rsid w:val="00566031"/>
    <w:rsid w:val="0057246C"/>
    <w:rsid w:val="00572B24"/>
    <w:rsid w:val="005733A0"/>
    <w:rsid w:val="0058135C"/>
    <w:rsid w:val="0058158F"/>
    <w:rsid w:val="00583815"/>
    <w:rsid w:val="00583F32"/>
    <w:rsid w:val="00596C4C"/>
    <w:rsid w:val="00597836"/>
    <w:rsid w:val="005A19E2"/>
    <w:rsid w:val="005C5834"/>
    <w:rsid w:val="005C6848"/>
    <w:rsid w:val="005D0292"/>
    <w:rsid w:val="005D3637"/>
    <w:rsid w:val="005F78BF"/>
    <w:rsid w:val="0060283D"/>
    <w:rsid w:val="00611B37"/>
    <w:rsid w:val="0061617D"/>
    <w:rsid w:val="00625196"/>
    <w:rsid w:val="00630AE2"/>
    <w:rsid w:val="00645015"/>
    <w:rsid w:val="00655D69"/>
    <w:rsid w:val="00657A2D"/>
    <w:rsid w:val="006661CA"/>
    <w:rsid w:val="00675458"/>
    <w:rsid w:val="006755B8"/>
    <w:rsid w:val="0068305B"/>
    <w:rsid w:val="0068710D"/>
    <w:rsid w:val="00692F55"/>
    <w:rsid w:val="006C6F0E"/>
    <w:rsid w:val="006D549F"/>
    <w:rsid w:val="006E5E0F"/>
    <w:rsid w:val="006F158D"/>
    <w:rsid w:val="006F1E23"/>
    <w:rsid w:val="006F312B"/>
    <w:rsid w:val="007060B6"/>
    <w:rsid w:val="007073E4"/>
    <w:rsid w:val="0072021A"/>
    <w:rsid w:val="0072251E"/>
    <w:rsid w:val="007255AD"/>
    <w:rsid w:val="00733F4A"/>
    <w:rsid w:val="00736356"/>
    <w:rsid w:val="00745AC6"/>
    <w:rsid w:val="0075027F"/>
    <w:rsid w:val="0075177E"/>
    <w:rsid w:val="007649A0"/>
    <w:rsid w:val="00767807"/>
    <w:rsid w:val="0079148F"/>
    <w:rsid w:val="0079778C"/>
    <w:rsid w:val="007A0175"/>
    <w:rsid w:val="007A3F94"/>
    <w:rsid w:val="007B3353"/>
    <w:rsid w:val="007B37B2"/>
    <w:rsid w:val="007B7D77"/>
    <w:rsid w:val="007C02B0"/>
    <w:rsid w:val="007C2BD4"/>
    <w:rsid w:val="007C3247"/>
    <w:rsid w:val="007D7988"/>
    <w:rsid w:val="007F0C84"/>
    <w:rsid w:val="008000BC"/>
    <w:rsid w:val="008108EA"/>
    <w:rsid w:val="00811D8B"/>
    <w:rsid w:val="008177F3"/>
    <w:rsid w:val="00820CBA"/>
    <w:rsid w:val="008310A6"/>
    <w:rsid w:val="0085023E"/>
    <w:rsid w:val="00853B3D"/>
    <w:rsid w:val="00860FD4"/>
    <w:rsid w:val="00871A0A"/>
    <w:rsid w:val="00876E71"/>
    <w:rsid w:val="00877C46"/>
    <w:rsid w:val="00890CEE"/>
    <w:rsid w:val="00893C08"/>
    <w:rsid w:val="008C5D9F"/>
    <w:rsid w:val="008E12DA"/>
    <w:rsid w:val="008E59AA"/>
    <w:rsid w:val="008E63EA"/>
    <w:rsid w:val="00903F7E"/>
    <w:rsid w:val="00904119"/>
    <w:rsid w:val="00906EED"/>
    <w:rsid w:val="009103B7"/>
    <w:rsid w:val="00912FF2"/>
    <w:rsid w:val="0091653E"/>
    <w:rsid w:val="009237F1"/>
    <w:rsid w:val="00926390"/>
    <w:rsid w:val="00932AEB"/>
    <w:rsid w:val="00946D92"/>
    <w:rsid w:val="0095237D"/>
    <w:rsid w:val="00954EB9"/>
    <w:rsid w:val="00962978"/>
    <w:rsid w:val="009673F5"/>
    <w:rsid w:val="0097042B"/>
    <w:rsid w:val="009744DA"/>
    <w:rsid w:val="00975741"/>
    <w:rsid w:val="00986203"/>
    <w:rsid w:val="00994647"/>
    <w:rsid w:val="009A0BAE"/>
    <w:rsid w:val="009B0067"/>
    <w:rsid w:val="009B5A61"/>
    <w:rsid w:val="009D5AA4"/>
    <w:rsid w:val="009F3134"/>
    <w:rsid w:val="009F5906"/>
    <w:rsid w:val="00A01538"/>
    <w:rsid w:val="00A035E8"/>
    <w:rsid w:val="00A04072"/>
    <w:rsid w:val="00A17F52"/>
    <w:rsid w:val="00A21AF3"/>
    <w:rsid w:val="00A310CD"/>
    <w:rsid w:val="00A405A5"/>
    <w:rsid w:val="00A50FF2"/>
    <w:rsid w:val="00A57792"/>
    <w:rsid w:val="00A609B8"/>
    <w:rsid w:val="00A60F09"/>
    <w:rsid w:val="00A82EF4"/>
    <w:rsid w:val="00A8631F"/>
    <w:rsid w:val="00A9554D"/>
    <w:rsid w:val="00AA3C9F"/>
    <w:rsid w:val="00AA7480"/>
    <w:rsid w:val="00AC06E9"/>
    <w:rsid w:val="00AE2F4D"/>
    <w:rsid w:val="00AE4BEC"/>
    <w:rsid w:val="00B116EE"/>
    <w:rsid w:val="00B2410A"/>
    <w:rsid w:val="00B37C49"/>
    <w:rsid w:val="00B56F7C"/>
    <w:rsid w:val="00B6428B"/>
    <w:rsid w:val="00B70459"/>
    <w:rsid w:val="00B8138D"/>
    <w:rsid w:val="00BA27D3"/>
    <w:rsid w:val="00BA3902"/>
    <w:rsid w:val="00BB05E3"/>
    <w:rsid w:val="00BB083C"/>
    <w:rsid w:val="00BB14D9"/>
    <w:rsid w:val="00BB257F"/>
    <w:rsid w:val="00BB4652"/>
    <w:rsid w:val="00BC3992"/>
    <w:rsid w:val="00BC4401"/>
    <w:rsid w:val="00BF4DFB"/>
    <w:rsid w:val="00BF5F07"/>
    <w:rsid w:val="00C01820"/>
    <w:rsid w:val="00C07241"/>
    <w:rsid w:val="00C130CC"/>
    <w:rsid w:val="00C6542E"/>
    <w:rsid w:val="00C736DC"/>
    <w:rsid w:val="00C95421"/>
    <w:rsid w:val="00CB4F19"/>
    <w:rsid w:val="00CB7F03"/>
    <w:rsid w:val="00CC0BCE"/>
    <w:rsid w:val="00CC4535"/>
    <w:rsid w:val="00CC4E66"/>
    <w:rsid w:val="00CD1F15"/>
    <w:rsid w:val="00CE05ED"/>
    <w:rsid w:val="00CF4ABA"/>
    <w:rsid w:val="00D05D04"/>
    <w:rsid w:val="00D07A6D"/>
    <w:rsid w:val="00D13E3F"/>
    <w:rsid w:val="00D32EF1"/>
    <w:rsid w:val="00D37579"/>
    <w:rsid w:val="00D42480"/>
    <w:rsid w:val="00D446A8"/>
    <w:rsid w:val="00D557F8"/>
    <w:rsid w:val="00D57398"/>
    <w:rsid w:val="00D810B4"/>
    <w:rsid w:val="00D84054"/>
    <w:rsid w:val="00D8537B"/>
    <w:rsid w:val="00D90117"/>
    <w:rsid w:val="00D9677B"/>
    <w:rsid w:val="00DB62F3"/>
    <w:rsid w:val="00DD1349"/>
    <w:rsid w:val="00DE6F3D"/>
    <w:rsid w:val="00E2639B"/>
    <w:rsid w:val="00E44A0F"/>
    <w:rsid w:val="00E556C1"/>
    <w:rsid w:val="00E61494"/>
    <w:rsid w:val="00E70851"/>
    <w:rsid w:val="00E738BF"/>
    <w:rsid w:val="00E835B7"/>
    <w:rsid w:val="00E83C59"/>
    <w:rsid w:val="00E957A1"/>
    <w:rsid w:val="00E9789F"/>
    <w:rsid w:val="00EA2995"/>
    <w:rsid w:val="00EB17A8"/>
    <w:rsid w:val="00EB4003"/>
    <w:rsid w:val="00EB69CF"/>
    <w:rsid w:val="00EF1C3B"/>
    <w:rsid w:val="00EF4B3B"/>
    <w:rsid w:val="00EF5ADC"/>
    <w:rsid w:val="00EF72B3"/>
    <w:rsid w:val="00EF7F00"/>
    <w:rsid w:val="00F00BAF"/>
    <w:rsid w:val="00F06FE4"/>
    <w:rsid w:val="00F328A4"/>
    <w:rsid w:val="00F438F4"/>
    <w:rsid w:val="00F55FB4"/>
    <w:rsid w:val="00F65A77"/>
    <w:rsid w:val="00F66281"/>
    <w:rsid w:val="00F76A80"/>
    <w:rsid w:val="00FA7810"/>
    <w:rsid w:val="00FB7F5B"/>
    <w:rsid w:val="00FC6B07"/>
    <w:rsid w:val="00FD2E3F"/>
    <w:rsid w:val="00FD3CB9"/>
    <w:rsid w:val="00FD47E6"/>
    <w:rsid w:val="00FD4A2B"/>
    <w:rsid w:val="00FE32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7F"/>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750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2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29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5027F"/>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27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75027F"/>
    <w:rPr>
      <w:rFonts w:ascii="Times New Roman" w:eastAsia="Times New Roman" w:hAnsi="Times New Roman" w:cs="Times New Roman"/>
      <w:b/>
      <w:bCs/>
      <w:sz w:val="24"/>
      <w:szCs w:val="24"/>
    </w:rPr>
  </w:style>
  <w:style w:type="paragraph" w:styleId="NormalWeb">
    <w:name w:val="Normal (Web)"/>
    <w:basedOn w:val="Normal"/>
    <w:uiPriority w:val="99"/>
    <w:unhideWhenUsed/>
    <w:rsid w:val="0075027F"/>
    <w:pPr>
      <w:spacing w:before="100" w:beforeAutospacing="1" w:after="100" w:afterAutospacing="1"/>
    </w:pPr>
    <w:rPr>
      <w:rFonts w:eastAsia="Times New Roman"/>
    </w:rPr>
  </w:style>
  <w:style w:type="character" w:styleId="Emphasis">
    <w:name w:val="Emphasis"/>
    <w:basedOn w:val="DefaultParagraphFont"/>
    <w:uiPriority w:val="20"/>
    <w:qFormat/>
    <w:rsid w:val="0075027F"/>
    <w:rPr>
      <w:i/>
      <w:iCs/>
    </w:rPr>
  </w:style>
  <w:style w:type="paragraph" w:styleId="ListParagraph">
    <w:name w:val="List Paragraph"/>
    <w:basedOn w:val="Normal"/>
    <w:uiPriority w:val="34"/>
    <w:qFormat/>
    <w:rsid w:val="0075027F"/>
    <w:pPr>
      <w:ind w:left="720"/>
      <w:contextualSpacing/>
    </w:pPr>
  </w:style>
  <w:style w:type="paragraph" w:styleId="Header">
    <w:name w:val="header"/>
    <w:basedOn w:val="Normal"/>
    <w:link w:val="HeaderChar"/>
    <w:uiPriority w:val="99"/>
    <w:rsid w:val="0075027F"/>
    <w:pPr>
      <w:tabs>
        <w:tab w:val="center" w:pos="4513"/>
        <w:tab w:val="right" w:pos="9026"/>
      </w:tabs>
    </w:pPr>
  </w:style>
  <w:style w:type="character" w:customStyle="1" w:styleId="HeaderChar">
    <w:name w:val="Header Char"/>
    <w:basedOn w:val="DefaultParagraphFont"/>
    <w:link w:val="Header"/>
    <w:uiPriority w:val="99"/>
    <w:rsid w:val="0075027F"/>
    <w:rPr>
      <w:rFonts w:ascii="Times New Roman" w:eastAsia="SimSun" w:hAnsi="Times New Roman" w:cs="Times New Roman"/>
      <w:sz w:val="24"/>
      <w:szCs w:val="24"/>
    </w:rPr>
  </w:style>
  <w:style w:type="paragraph" w:styleId="Footer">
    <w:name w:val="footer"/>
    <w:basedOn w:val="Normal"/>
    <w:link w:val="FooterChar"/>
    <w:rsid w:val="0075027F"/>
    <w:pPr>
      <w:tabs>
        <w:tab w:val="center" w:pos="4513"/>
        <w:tab w:val="right" w:pos="9026"/>
      </w:tabs>
    </w:pPr>
  </w:style>
  <w:style w:type="character" w:customStyle="1" w:styleId="FooterChar">
    <w:name w:val="Footer Char"/>
    <w:basedOn w:val="DefaultParagraphFont"/>
    <w:link w:val="Footer"/>
    <w:rsid w:val="0075027F"/>
    <w:rPr>
      <w:rFonts w:ascii="Times New Roman" w:eastAsia="SimSun" w:hAnsi="Times New Roman" w:cs="Times New Roman"/>
      <w:sz w:val="24"/>
      <w:szCs w:val="24"/>
    </w:rPr>
  </w:style>
  <w:style w:type="paragraph" w:styleId="EndnoteText">
    <w:name w:val="endnote text"/>
    <w:basedOn w:val="Normal"/>
    <w:link w:val="EndnoteTextChar"/>
    <w:rsid w:val="0075027F"/>
    <w:rPr>
      <w:sz w:val="20"/>
      <w:szCs w:val="20"/>
    </w:rPr>
  </w:style>
  <w:style w:type="character" w:customStyle="1" w:styleId="EndnoteTextChar">
    <w:name w:val="Endnote Text Char"/>
    <w:basedOn w:val="DefaultParagraphFont"/>
    <w:link w:val="EndnoteText"/>
    <w:rsid w:val="0075027F"/>
    <w:rPr>
      <w:rFonts w:ascii="Times New Roman" w:eastAsia="SimSun" w:hAnsi="Times New Roman" w:cs="Times New Roman"/>
      <w:sz w:val="20"/>
      <w:szCs w:val="20"/>
    </w:rPr>
  </w:style>
  <w:style w:type="character" w:styleId="EndnoteReference">
    <w:name w:val="endnote reference"/>
    <w:basedOn w:val="DefaultParagraphFont"/>
    <w:rsid w:val="0075027F"/>
    <w:rPr>
      <w:vertAlign w:val="superscript"/>
    </w:rPr>
  </w:style>
  <w:style w:type="character" w:styleId="Hyperlink">
    <w:name w:val="Hyperlink"/>
    <w:basedOn w:val="DefaultParagraphFont"/>
    <w:uiPriority w:val="99"/>
    <w:unhideWhenUsed/>
    <w:rsid w:val="0075027F"/>
    <w:rPr>
      <w:color w:val="0000FF"/>
      <w:u w:val="single"/>
    </w:rPr>
  </w:style>
  <w:style w:type="character" w:customStyle="1" w:styleId="st">
    <w:name w:val="st"/>
    <w:basedOn w:val="DefaultParagraphFont"/>
    <w:rsid w:val="0075027F"/>
  </w:style>
  <w:style w:type="character" w:styleId="PlaceholderText">
    <w:name w:val="Placeholder Text"/>
    <w:basedOn w:val="DefaultParagraphFont"/>
    <w:uiPriority w:val="99"/>
    <w:semiHidden/>
    <w:rsid w:val="0075027F"/>
    <w:rPr>
      <w:color w:val="808080"/>
    </w:rPr>
  </w:style>
  <w:style w:type="paragraph" w:styleId="BalloonText">
    <w:name w:val="Balloon Text"/>
    <w:basedOn w:val="Normal"/>
    <w:link w:val="BalloonTextChar"/>
    <w:rsid w:val="0075027F"/>
    <w:rPr>
      <w:rFonts w:ascii="Tahoma" w:hAnsi="Tahoma" w:cs="Tahoma"/>
      <w:sz w:val="16"/>
      <w:szCs w:val="16"/>
    </w:rPr>
  </w:style>
  <w:style w:type="character" w:customStyle="1" w:styleId="BalloonTextChar">
    <w:name w:val="Balloon Text Char"/>
    <w:basedOn w:val="DefaultParagraphFont"/>
    <w:link w:val="BalloonText"/>
    <w:rsid w:val="0075027F"/>
    <w:rPr>
      <w:rFonts w:ascii="Tahoma" w:eastAsia="SimSun" w:hAnsi="Tahoma" w:cs="Tahoma"/>
      <w:sz w:val="16"/>
      <w:szCs w:val="16"/>
    </w:rPr>
  </w:style>
  <w:style w:type="character" w:styleId="Strong">
    <w:name w:val="Strong"/>
    <w:basedOn w:val="DefaultParagraphFont"/>
    <w:uiPriority w:val="22"/>
    <w:qFormat/>
    <w:rsid w:val="0075027F"/>
    <w:rPr>
      <w:b/>
      <w:bCs/>
    </w:rPr>
  </w:style>
  <w:style w:type="character" w:styleId="CommentReference">
    <w:name w:val="annotation reference"/>
    <w:basedOn w:val="DefaultParagraphFont"/>
    <w:rsid w:val="0075027F"/>
    <w:rPr>
      <w:sz w:val="16"/>
      <w:szCs w:val="16"/>
    </w:rPr>
  </w:style>
  <w:style w:type="paragraph" w:styleId="CommentText">
    <w:name w:val="annotation text"/>
    <w:basedOn w:val="Normal"/>
    <w:link w:val="CommentTextChar"/>
    <w:rsid w:val="0075027F"/>
    <w:rPr>
      <w:sz w:val="20"/>
      <w:szCs w:val="20"/>
    </w:rPr>
  </w:style>
  <w:style w:type="character" w:customStyle="1" w:styleId="CommentTextChar">
    <w:name w:val="Comment Text Char"/>
    <w:basedOn w:val="DefaultParagraphFont"/>
    <w:link w:val="CommentText"/>
    <w:rsid w:val="0075027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rsid w:val="0075027F"/>
    <w:rPr>
      <w:b/>
      <w:bCs/>
    </w:rPr>
  </w:style>
  <w:style w:type="character" w:customStyle="1" w:styleId="CommentSubjectChar">
    <w:name w:val="Comment Subject Char"/>
    <w:basedOn w:val="CommentTextChar"/>
    <w:link w:val="CommentSubject"/>
    <w:rsid w:val="0075027F"/>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975741"/>
    <w:rPr>
      <w:color w:val="800080" w:themeColor="followedHyperlink"/>
      <w:u w:val="single"/>
    </w:rPr>
  </w:style>
  <w:style w:type="character" w:customStyle="1" w:styleId="Heading2Char">
    <w:name w:val="Heading 2 Char"/>
    <w:basedOn w:val="DefaultParagraphFont"/>
    <w:link w:val="Heading2"/>
    <w:uiPriority w:val="9"/>
    <w:semiHidden/>
    <w:rsid w:val="00962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2978"/>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904119"/>
  </w:style>
  <w:style w:type="table" w:styleId="TableGrid">
    <w:name w:val="Table Grid"/>
    <w:basedOn w:val="TableNormal"/>
    <w:rsid w:val="009F590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7F"/>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750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2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29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5027F"/>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27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75027F"/>
    <w:rPr>
      <w:rFonts w:ascii="Times New Roman" w:eastAsia="Times New Roman" w:hAnsi="Times New Roman" w:cs="Times New Roman"/>
      <w:b/>
      <w:bCs/>
      <w:sz w:val="24"/>
      <w:szCs w:val="24"/>
    </w:rPr>
  </w:style>
  <w:style w:type="paragraph" w:styleId="NormalWeb">
    <w:name w:val="Normal (Web)"/>
    <w:basedOn w:val="Normal"/>
    <w:uiPriority w:val="99"/>
    <w:unhideWhenUsed/>
    <w:rsid w:val="0075027F"/>
    <w:pPr>
      <w:spacing w:before="100" w:beforeAutospacing="1" w:after="100" w:afterAutospacing="1"/>
    </w:pPr>
    <w:rPr>
      <w:rFonts w:eastAsia="Times New Roman"/>
    </w:rPr>
  </w:style>
  <w:style w:type="character" w:styleId="Emphasis">
    <w:name w:val="Emphasis"/>
    <w:basedOn w:val="DefaultParagraphFont"/>
    <w:uiPriority w:val="20"/>
    <w:qFormat/>
    <w:rsid w:val="0075027F"/>
    <w:rPr>
      <w:i/>
      <w:iCs/>
    </w:rPr>
  </w:style>
  <w:style w:type="paragraph" w:styleId="ListParagraph">
    <w:name w:val="List Paragraph"/>
    <w:basedOn w:val="Normal"/>
    <w:uiPriority w:val="34"/>
    <w:qFormat/>
    <w:rsid w:val="0075027F"/>
    <w:pPr>
      <w:ind w:left="720"/>
      <w:contextualSpacing/>
    </w:pPr>
  </w:style>
  <w:style w:type="paragraph" w:styleId="Header">
    <w:name w:val="header"/>
    <w:basedOn w:val="Normal"/>
    <w:link w:val="HeaderChar"/>
    <w:uiPriority w:val="99"/>
    <w:rsid w:val="0075027F"/>
    <w:pPr>
      <w:tabs>
        <w:tab w:val="center" w:pos="4513"/>
        <w:tab w:val="right" w:pos="9026"/>
      </w:tabs>
    </w:pPr>
  </w:style>
  <w:style w:type="character" w:customStyle="1" w:styleId="HeaderChar">
    <w:name w:val="Header Char"/>
    <w:basedOn w:val="DefaultParagraphFont"/>
    <w:link w:val="Header"/>
    <w:uiPriority w:val="99"/>
    <w:rsid w:val="0075027F"/>
    <w:rPr>
      <w:rFonts w:ascii="Times New Roman" w:eastAsia="SimSun" w:hAnsi="Times New Roman" w:cs="Times New Roman"/>
      <w:sz w:val="24"/>
      <w:szCs w:val="24"/>
    </w:rPr>
  </w:style>
  <w:style w:type="paragraph" w:styleId="Footer">
    <w:name w:val="footer"/>
    <w:basedOn w:val="Normal"/>
    <w:link w:val="FooterChar"/>
    <w:rsid w:val="0075027F"/>
    <w:pPr>
      <w:tabs>
        <w:tab w:val="center" w:pos="4513"/>
        <w:tab w:val="right" w:pos="9026"/>
      </w:tabs>
    </w:pPr>
  </w:style>
  <w:style w:type="character" w:customStyle="1" w:styleId="FooterChar">
    <w:name w:val="Footer Char"/>
    <w:basedOn w:val="DefaultParagraphFont"/>
    <w:link w:val="Footer"/>
    <w:rsid w:val="0075027F"/>
    <w:rPr>
      <w:rFonts w:ascii="Times New Roman" w:eastAsia="SimSun" w:hAnsi="Times New Roman" w:cs="Times New Roman"/>
      <w:sz w:val="24"/>
      <w:szCs w:val="24"/>
    </w:rPr>
  </w:style>
  <w:style w:type="paragraph" w:styleId="EndnoteText">
    <w:name w:val="endnote text"/>
    <w:basedOn w:val="Normal"/>
    <w:link w:val="EndnoteTextChar"/>
    <w:rsid w:val="0075027F"/>
    <w:rPr>
      <w:sz w:val="20"/>
      <w:szCs w:val="20"/>
    </w:rPr>
  </w:style>
  <w:style w:type="character" w:customStyle="1" w:styleId="EndnoteTextChar">
    <w:name w:val="Endnote Text Char"/>
    <w:basedOn w:val="DefaultParagraphFont"/>
    <w:link w:val="EndnoteText"/>
    <w:rsid w:val="0075027F"/>
    <w:rPr>
      <w:rFonts w:ascii="Times New Roman" w:eastAsia="SimSun" w:hAnsi="Times New Roman" w:cs="Times New Roman"/>
      <w:sz w:val="20"/>
      <w:szCs w:val="20"/>
    </w:rPr>
  </w:style>
  <w:style w:type="character" w:styleId="EndnoteReference">
    <w:name w:val="endnote reference"/>
    <w:basedOn w:val="DefaultParagraphFont"/>
    <w:rsid w:val="0075027F"/>
    <w:rPr>
      <w:vertAlign w:val="superscript"/>
    </w:rPr>
  </w:style>
  <w:style w:type="character" w:styleId="Hyperlink">
    <w:name w:val="Hyperlink"/>
    <w:basedOn w:val="DefaultParagraphFont"/>
    <w:uiPriority w:val="99"/>
    <w:unhideWhenUsed/>
    <w:rsid w:val="0075027F"/>
    <w:rPr>
      <w:color w:val="0000FF"/>
      <w:u w:val="single"/>
    </w:rPr>
  </w:style>
  <w:style w:type="character" w:customStyle="1" w:styleId="st">
    <w:name w:val="st"/>
    <w:basedOn w:val="DefaultParagraphFont"/>
    <w:rsid w:val="0075027F"/>
  </w:style>
  <w:style w:type="character" w:styleId="PlaceholderText">
    <w:name w:val="Placeholder Text"/>
    <w:basedOn w:val="DefaultParagraphFont"/>
    <w:uiPriority w:val="99"/>
    <w:semiHidden/>
    <w:rsid w:val="0075027F"/>
    <w:rPr>
      <w:color w:val="808080"/>
    </w:rPr>
  </w:style>
  <w:style w:type="paragraph" w:styleId="BalloonText">
    <w:name w:val="Balloon Text"/>
    <w:basedOn w:val="Normal"/>
    <w:link w:val="BalloonTextChar"/>
    <w:rsid w:val="0075027F"/>
    <w:rPr>
      <w:rFonts w:ascii="Tahoma" w:hAnsi="Tahoma" w:cs="Tahoma"/>
      <w:sz w:val="16"/>
      <w:szCs w:val="16"/>
    </w:rPr>
  </w:style>
  <w:style w:type="character" w:customStyle="1" w:styleId="BalloonTextChar">
    <w:name w:val="Balloon Text Char"/>
    <w:basedOn w:val="DefaultParagraphFont"/>
    <w:link w:val="BalloonText"/>
    <w:rsid w:val="0075027F"/>
    <w:rPr>
      <w:rFonts w:ascii="Tahoma" w:eastAsia="SimSun" w:hAnsi="Tahoma" w:cs="Tahoma"/>
      <w:sz w:val="16"/>
      <w:szCs w:val="16"/>
    </w:rPr>
  </w:style>
  <w:style w:type="character" w:styleId="Strong">
    <w:name w:val="Strong"/>
    <w:basedOn w:val="DefaultParagraphFont"/>
    <w:uiPriority w:val="22"/>
    <w:qFormat/>
    <w:rsid w:val="0075027F"/>
    <w:rPr>
      <w:b/>
      <w:bCs/>
    </w:rPr>
  </w:style>
  <w:style w:type="character" w:styleId="CommentReference">
    <w:name w:val="annotation reference"/>
    <w:basedOn w:val="DefaultParagraphFont"/>
    <w:rsid w:val="0075027F"/>
    <w:rPr>
      <w:sz w:val="16"/>
      <w:szCs w:val="16"/>
    </w:rPr>
  </w:style>
  <w:style w:type="paragraph" w:styleId="CommentText">
    <w:name w:val="annotation text"/>
    <w:basedOn w:val="Normal"/>
    <w:link w:val="CommentTextChar"/>
    <w:rsid w:val="0075027F"/>
    <w:rPr>
      <w:sz w:val="20"/>
      <w:szCs w:val="20"/>
    </w:rPr>
  </w:style>
  <w:style w:type="character" w:customStyle="1" w:styleId="CommentTextChar">
    <w:name w:val="Comment Text Char"/>
    <w:basedOn w:val="DefaultParagraphFont"/>
    <w:link w:val="CommentText"/>
    <w:rsid w:val="0075027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rsid w:val="0075027F"/>
    <w:rPr>
      <w:b/>
      <w:bCs/>
    </w:rPr>
  </w:style>
  <w:style w:type="character" w:customStyle="1" w:styleId="CommentSubjectChar">
    <w:name w:val="Comment Subject Char"/>
    <w:basedOn w:val="CommentTextChar"/>
    <w:link w:val="CommentSubject"/>
    <w:rsid w:val="0075027F"/>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975741"/>
    <w:rPr>
      <w:color w:val="800080" w:themeColor="followedHyperlink"/>
      <w:u w:val="single"/>
    </w:rPr>
  </w:style>
  <w:style w:type="character" w:customStyle="1" w:styleId="Heading2Char">
    <w:name w:val="Heading 2 Char"/>
    <w:basedOn w:val="DefaultParagraphFont"/>
    <w:link w:val="Heading2"/>
    <w:uiPriority w:val="9"/>
    <w:semiHidden/>
    <w:rsid w:val="00962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2978"/>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904119"/>
  </w:style>
  <w:style w:type="table" w:styleId="TableGrid">
    <w:name w:val="Table Grid"/>
    <w:basedOn w:val="TableNormal"/>
    <w:rsid w:val="009F590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845">
      <w:bodyDiv w:val="1"/>
      <w:marLeft w:val="0"/>
      <w:marRight w:val="0"/>
      <w:marTop w:val="0"/>
      <w:marBottom w:val="0"/>
      <w:divBdr>
        <w:top w:val="none" w:sz="0" w:space="0" w:color="auto"/>
        <w:left w:val="none" w:sz="0" w:space="0" w:color="auto"/>
        <w:bottom w:val="none" w:sz="0" w:space="0" w:color="auto"/>
        <w:right w:val="none" w:sz="0" w:space="0" w:color="auto"/>
      </w:divBdr>
    </w:div>
    <w:div w:id="224217577">
      <w:bodyDiv w:val="1"/>
      <w:marLeft w:val="0"/>
      <w:marRight w:val="0"/>
      <w:marTop w:val="0"/>
      <w:marBottom w:val="0"/>
      <w:divBdr>
        <w:top w:val="none" w:sz="0" w:space="0" w:color="auto"/>
        <w:left w:val="none" w:sz="0" w:space="0" w:color="auto"/>
        <w:bottom w:val="none" w:sz="0" w:space="0" w:color="auto"/>
        <w:right w:val="none" w:sz="0" w:space="0" w:color="auto"/>
      </w:divBdr>
    </w:div>
    <w:div w:id="483593651">
      <w:bodyDiv w:val="1"/>
      <w:marLeft w:val="0"/>
      <w:marRight w:val="0"/>
      <w:marTop w:val="0"/>
      <w:marBottom w:val="0"/>
      <w:divBdr>
        <w:top w:val="none" w:sz="0" w:space="0" w:color="auto"/>
        <w:left w:val="none" w:sz="0" w:space="0" w:color="auto"/>
        <w:bottom w:val="none" w:sz="0" w:space="0" w:color="auto"/>
        <w:right w:val="none" w:sz="0" w:space="0" w:color="auto"/>
      </w:divBdr>
    </w:div>
    <w:div w:id="540441535">
      <w:bodyDiv w:val="1"/>
      <w:marLeft w:val="0"/>
      <w:marRight w:val="0"/>
      <w:marTop w:val="0"/>
      <w:marBottom w:val="0"/>
      <w:divBdr>
        <w:top w:val="none" w:sz="0" w:space="0" w:color="auto"/>
        <w:left w:val="none" w:sz="0" w:space="0" w:color="auto"/>
        <w:bottom w:val="none" w:sz="0" w:space="0" w:color="auto"/>
        <w:right w:val="none" w:sz="0" w:space="0" w:color="auto"/>
      </w:divBdr>
    </w:div>
    <w:div w:id="726149181">
      <w:bodyDiv w:val="1"/>
      <w:marLeft w:val="0"/>
      <w:marRight w:val="0"/>
      <w:marTop w:val="0"/>
      <w:marBottom w:val="0"/>
      <w:divBdr>
        <w:top w:val="none" w:sz="0" w:space="0" w:color="auto"/>
        <w:left w:val="none" w:sz="0" w:space="0" w:color="auto"/>
        <w:bottom w:val="none" w:sz="0" w:space="0" w:color="auto"/>
        <w:right w:val="none" w:sz="0" w:space="0" w:color="auto"/>
      </w:divBdr>
      <w:divsChild>
        <w:div w:id="839466833">
          <w:marLeft w:val="0"/>
          <w:marRight w:val="0"/>
          <w:marTop w:val="0"/>
          <w:marBottom w:val="0"/>
          <w:divBdr>
            <w:top w:val="none" w:sz="0" w:space="0" w:color="auto"/>
            <w:left w:val="none" w:sz="0" w:space="0" w:color="auto"/>
            <w:bottom w:val="none" w:sz="0" w:space="0" w:color="auto"/>
            <w:right w:val="none" w:sz="0" w:space="0" w:color="auto"/>
          </w:divBdr>
        </w:div>
      </w:divsChild>
    </w:div>
    <w:div w:id="787897360">
      <w:bodyDiv w:val="1"/>
      <w:marLeft w:val="0"/>
      <w:marRight w:val="0"/>
      <w:marTop w:val="0"/>
      <w:marBottom w:val="0"/>
      <w:divBdr>
        <w:top w:val="none" w:sz="0" w:space="0" w:color="auto"/>
        <w:left w:val="none" w:sz="0" w:space="0" w:color="auto"/>
        <w:bottom w:val="none" w:sz="0" w:space="0" w:color="auto"/>
        <w:right w:val="none" w:sz="0" w:space="0" w:color="auto"/>
      </w:divBdr>
    </w:div>
    <w:div w:id="991786227">
      <w:bodyDiv w:val="1"/>
      <w:marLeft w:val="0"/>
      <w:marRight w:val="0"/>
      <w:marTop w:val="0"/>
      <w:marBottom w:val="0"/>
      <w:divBdr>
        <w:top w:val="none" w:sz="0" w:space="0" w:color="auto"/>
        <w:left w:val="none" w:sz="0" w:space="0" w:color="auto"/>
        <w:bottom w:val="none" w:sz="0" w:space="0" w:color="auto"/>
        <w:right w:val="none" w:sz="0" w:space="0" w:color="auto"/>
      </w:divBdr>
      <w:divsChild>
        <w:div w:id="631206011">
          <w:marLeft w:val="0"/>
          <w:marRight w:val="0"/>
          <w:marTop w:val="0"/>
          <w:marBottom w:val="0"/>
          <w:divBdr>
            <w:top w:val="none" w:sz="0" w:space="0" w:color="auto"/>
            <w:left w:val="none" w:sz="0" w:space="0" w:color="auto"/>
            <w:bottom w:val="none" w:sz="0" w:space="0" w:color="auto"/>
            <w:right w:val="none" w:sz="0" w:space="0" w:color="auto"/>
          </w:divBdr>
        </w:div>
      </w:divsChild>
    </w:div>
    <w:div w:id="15412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1EF53-2560-433E-A362-5D02E7E0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9793</Words>
  <Characters>53672</Characters>
  <Application>Microsoft Office Word</Application>
  <DocSecurity>0</DocSecurity>
  <Lines>1012</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J.F.</dc:creator>
  <cp:lastModifiedBy>Clifford D.M.</cp:lastModifiedBy>
  <cp:revision>2</cp:revision>
  <dcterms:created xsi:type="dcterms:W3CDTF">2016-03-23T18:51:00Z</dcterms:created>
  <dcterms:modified xsi:type="dcterms:W3CDTF">2016-03-23T18:51:00Z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