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DE" w:rsidRPr="00520053" w:rsidRDefault="00FE6ADE" w:rsidP="00FE6ADE">
      <w:pPr>
        <w:spacing w:line="240" w:lineRule="auto"/>
        <w:rPr>
          <w:rFonts w:ascii="Garamond" w:hAnsi="Garamond"/>
          <w:b/>
        </w:rPr>
      </w:pPr>
      <w:bookmarkStart w:id="0" w:name="_GoBack"/>
      <w:bookmarkEnd w:id="0"/>
      <w:r w:rsidRPr="00520053">
        <w:rPr>
          <w:rFonts w:ascii="Garamond" w:hAnsi="Garamond"/>
          <w:b/>
        </w:rPr>
        <w:t>Table 1:  Pearson correlations</w:t>
      </w:r>
      <w:r w:rsidRPr="00520053">
        <w:rPr>
          <w:rFonts w:ascii="Garamond" w:hAnsi="Garamond"/>
          <w:b/>
          <w:vertAlign w:val="superscript"/>
        </w:rPr>
        <w:t>1</w:t>
      </w:r>
      <w:r w:rsidRPr="00520053">
        <w:rPr>
          <w:rFonts w:ascii="Garamond" w:hAnsi="Garamond"/>
          <w:b/>
        </w:rPr>
        <w:t xml:space="preserve"> among choice reaction time at age 1</w:t>
      </w:r>
      <w:r w:rsidR="00503D9F" w:rsidRPr="00520053">
        <w:rPr>
          <w:rFonts w:ascii="Garamond" w:hAnsi="Garamond"/>
          <w:b/>
        </w:rPr>
        <w:t>6</w:t>
      </w:r>
      <w:r w:rsidRPr="00520053">
        <w:rPr>
          <w:rFonts w:ascii="Garamond" w:hAnsi="Garamond"/>
          <w:b/>
        </w:rPr>
        <w:t xml:space="preserve"> years, </w:t>
      </w:r>
      <w:r w:rsidR="00426A58" w:rsidRPr="00520053">
        <w:rPr>
          <w:rFonts w:ascii="Garamond" w:hAnsi="Garamond"/>
          <w:b/>
        </w:rPr>
        <w:t>GHQ and HADS scores</w:t>
      </w:r>
      <w:r w:rsidRPr="00520053">
        <w:rPr>
          <w:rFonts w:ascii="Garamond" w:hAnsi="Garamond"/>
          <w:b/>
        </w:rPr>
        <w:t xml:space="preserve"> at age 36 years and the covariates   </w:t>
      </w:r>
    </w:p>
    <w:tbl>
      <w:tblPr>
        <w:tblW w:w="1545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134"/>
        <w:gridCol w:w="992"/>
        <w:gridCol w:w="1276"/>
        <w:gridCol w:w="1134"/>
        <w:gridCol w:w="1134"/>
        <w:gridCol w:w="1134"/>
        <w:gridCol w:w="1134"/>
        <w:gridCol w:w="1134"/>
        <w:gridCol w:w="1134"/>
        <w:gridCol w:w="1276"/>
        <w:gridCol w:w="1134"/>
      </w:tblGrid>
      <w:tr w:rsidR="003C577C" w:rsidRPr="00520053" w:rsidTr="00FC545E"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3C577C" w:rsidRPr="00520053" w:rsidRDefault="003C577C" w:rsidP="00FE6AD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C577C" w:rsidRPr="00520053" w:rsidRDefault="003C577C" w:rsidP="00FE6ADE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1482" w:type="dxa"/>
            <w:gridSpan w:val="10"/>
            <w:tcBorders>
              <w:top w:val="single" w:sz="4" w:space="0" w:color="auto"/>
              <w:bottom w:val="nil"/>
            </w:tcBorders>
          </w:tcPr>
          <w:p w:rsidR="003C577C" w:rsidRPr="00520053" w:rsidRDefault="003C577C" w:rsidP="00FE6AD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520053">
              <w:rPr>
                <w:rFonts w:ascii="Garamond" w:hAnsi="Garamond"/>
                <w:b/>
              </w:rPr>
              <w:t>Correlation coefficients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C577C" w:rsidRPr="00520053" w:rsidRDefault="003C577C" w:rsidP="00FE6AD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3C577C" w:rsidRPr="00520053" w:rsidTr="00FC545E">
        <w:tc>
          <w:tcPr>
            <w:tcW w:w="1702" w:type="dxa"/>
            <w:tcBorders>
              <w:top w:val="nil"/>
              <w:bottom w:val="single" w:sz="4" w:space="0" w:color="auto"/>
            </w:tcBorders>
          </w:tcPr>
          <w:p w:rsidR="003C577C" w:rsidRPr="00520053" w:rsidRDefault="003C577C" w:rsidP="00FE6ADE">
            <w:pPr>
              <w:spacing w:after="0" w:line="240" w:lineRule="auto"/>
              <w:rPr>
                <w:rFonts w:ascii="Garamond" w:hAnsi="Garamond"/>
                <w:b/>
              </w:rPr>
            </w:pPr>
            <w:r w:rsidRPr="00520053">
              <w:rPr>
                <w:rFonts w:ascii="Garamond" w:hAnsi="Garamond"/>
                <w:b/>
              </w:rPr>
              <w:t>Variable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C577C" w:rsidRPr="00520053" w:rsidRDefault="003C577C" w:rsidP="00FE6ADE">
            <w:pPr>
              <w:spacing w:after="0" w:line="240" w:lineRule="auto"/>
              <w:rPr>
                <w:rFonts w:ascii="Garamond" w:hAnsi="Garamond"/>
                <w:b/>
              </w:rPr>
            </w:pPr>
            <w:r w:rsidRPr="00520053">
              <w:rPr>
                <w:rFonts w:ascii="Garamond" w:hAnsi="Garamond"/>
                <w:b/>
              </w:rPr>
              <w:t>Choice reaction time at 16 yrs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C577C" w:rsidRPr="00520053" w:rsidRDefault="003C577C" w:rsidP="00FC545E">
            <w:pPr>
              <w:spacing w:after="0" w:line="240" w:lineRule="auto"/>
              <w:rPr>
                <w:rFonts w:ascii="Garamond" w:hAnsi="Garamond"/>
                <w:b/>
              </w:rPr>
            </w:pPr>
            <w:r w:rsidRPr="00520053">
              <w:rPr>
                <w:rFonts w:ascii="Garamond" w:hAnsi="Garamond"/>
                <w:b/>
              </w:rPr>
              <w:t>GHQ at 3</w:t>
            </w:r>
            <w:r w:rsidR="00FC545E" w:rsidRPr="00520053">
              <w:rPr>
                <w:rFonts w:ascii="Garamond" w:hAnsi="Garamond"/>
                <w:b/>
              </w:rPr>
              <w:t>6</w:t>
            </w:r>
            <w:r w:rsidRPr="00520053">
              <w:rPr>
                <w:rFonts w:ascii="Garamond" w:hAnsi="Garamond"/>
                <w:b/>
              </w:rPr>
              <w:t xml:space="preserve"> yrs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C577C" w:rsidRPr="00520053" w:rsidRDefault="003C577C" w:rsidP="00FC545E">
            <w:pPr>
              <w:spacing w:after="0" w:line="240" w:lineRule="auto"/>
              <w:rPr>
                <w:rFonts w:ascii="Garamond" w:hAnsi="Garamond"/>
                <w:b/>
              </w:rPr>
            </w:pPr>
            <w:r w:rsidRPr="00520053">
              <w:rPr>
                <w:rFonts w:ascii="Garamond" w:hAnsi="Garamond"/>
                <w:b/>
              </w:rPr>
              <w:t>HADS anxiety at 3</w:t>
            </w:r>
            <w:r w:rsidR="00FC545E" w:rsidRPr="00520053">
              <w:rPr>
                <w:rFonts w:ascii="Garamond" w:hAnsi="Garamond"/>
                <w:b/>
              </w:rPr>
              <w:t>6</w:t>
            </w:r>
            <w:r w:rsidRPr="00520053">
              <w:rPr>
                <w:rFonts w:ascii="Garamond" w:hAnsi="Garamond"/>
                <w:b/>
              </w:rPr>
              <w:t xml:space="preserve"> yrs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C577C" w:rsidRPr="00520053" w:rsidRDefault="003C577C" w:rsidP="00FC545E">
            <w:pPr>
              <w:spacing w:after="0" w:line="240" w:lineRule="auto"/>
              <w:rPr>
                <w:rFonts w:ascii="Garamond" w:hAnsi="Garamond"/>
                <w:b/>
              </w:rPr>
            </w:pPr>
            <w:r w:rsidRPr="00520053">
              <w:rPr>
                <w:rFonts w:ascii="Garamond" w:hAnsi="Garamond"/>
                <w:b/>
              </w:rPr>
              <w:t>HADS depression at 3</w:t>
            </w:r>
            <w:r w:rsidR="00FC545E" w:rsidRPr="00520053">
              <w:rPr>
                <w:rFonts w:ascii="Garamond" w:hAnsi="Garamond"/>
                <w:b/>
              </w:rPr>
              <w:t>6</w:t>
            </w:r>
            <w:r w:rsidRPr="00520053">
              <w:rPr>
                <w:rFonts w:ascii="Garamond" w:hAnsi="Garamond"/>
                <w:b/>
              </w:rPr>
              <w:t xml:space="preserve"> yrs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C577C" w:rsidRPr="00980105" w:rsidRDefault="003C577C" w:rsidP="00FE6ADE">
            <w:pPr>
              <w:spacing w:after="0" w:line="240" w:lineRule="auto"/>
              <w:rPr>
                <w:rFonts w:ascii="Garamond" w:hAnsi="Garamond"/>
                <w:b/>
                <w:vertAlign w:val="superscript"/>
              </w:rPr>
            </w:pPr>
            <w:r w:rsidRPr="00520053">
              <w:rPr>
                <w:rFonts w:ascii="Garamond" w:hAnsi="Garamond"/>
                <w:b/>
              </w:rPr>
              <w:t>Parental social class at 16 yrs</w:t>
            </w:r>
            <w:r w:rsidR="00980105">
              <w:rPr>
                <w:rFonts w:ascii="Garamond" w:hAnsi="Garamond"/>
                <w:b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C577C" w:rsidRPr="00520053" w:rsidRDefault="003C577C" w:rsidP="00FE6ADE">
            <w:pPr>
              <w:spacing w:after="0" w:line="240" w:lineRule="auto"/>
              <w:rPr>
                <w:rFonts w:ascii="Garamond" w:hAnsi="Garamond"/>
                <w:b/>
              </w:rPr>
            </w:pPr>
            <w:r w:rsidRPr="00520053">
              <w:rPr>
                <w:rFonts w:ascii="Garamond" w:hAnsi="Garamond"/>
                <w:b/>
              </w:rPr>
              <w:t>GHQ at 16 yrs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C577C" w:rsidRPr="00520053" w:rsidRDefault="003C577C" w:rsidP="00FE6ADE">
            <w:pPr>
              <w:spacing w:after="0" w:line="240" w:lineRule="auto"/>
              <w:rPr>
                <w:rFonts w:ascii="Garamond" w:hAnsi="Garamond"/>
                <w:b/>
              </w:rPr>
            </w:pPr>
            <w:r w:rsidRPr="00520053">
              <w:rPr>
                <w:rFonts w:ascii="Garamond" w:hAnsi="Garamond"/>
                <w:b/>
              </w:rPr>
              <w:t>Allostatic load at 3</w:t>
            </w:r>
            <w:r w:rsidR="00FC545E" w:rsidRPr="00520053">
              <w:rPr>
                <w:rFonts w:ascii="Garamond" w:hAnsi="Garamond"/>
                <w:b/>
              </w:rPr>
              <w:t>6</w:t>
            </w:r>
            <w:r w:rsidRPr="00520053">
              <w:rPr>
                <w:rFonts w:ascii="Garamond" w:hAnsi="Garamond"/>
                <w:b/>
              </w:rPr>
              <w:t xml:space="preserve"> yrs</w:t>
            </w:r>
          </w:p>
          <w:p w:rsidR="003C577C" w:rsidRPr="00520053" w:rsidRDefault="003C577C" w:rsidP="00FE6ADE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C577C" w:rsidRPr="00520053" w:rsidRDefault="003C577C" w:rsidP="00FE6ADE">
            <w:pPr>
              <w:spacing w:after="0" w:line="240" w:lineRule="auto"/>
              <w:rPr>
                <w:rFonts w:ascii="Garamond" w:hAnsi="Garamond"/>
                <w:b/>
              </w:rPr>
            </w:pPr>
            <w:r w:rsidRPr="00520053">
              <w:rPr>
                <w:rFonts w:ascii="Garamond" w:hAnsi="Garamond"/>
                <w:b/>
              </w:rPr>
              <w:t>Smoking status at 3</w:t>
            </w:r>
            <w:r w:rsidR="00FC545E" w:rsidRPr="00520053">
              <w:rPr>
                <w:rFonts w:ascii="Garamond" w:hAnsi="Garamond"/>
                <w:b/>
              </w:rPr>
              <w:t>6</w:t>
            </w:r>
            <w:r w:rsidRPr="00520053">
              <w:rPr>
                <w:rFonts w:ascii="Garamond" w:hAnsi="Garamond"/>
                <w:b/>
              </w:rPr>
              <w:t xml:space="preserve"> yrs</w:t>
            </w:r>
            <w:r w:rsidR="00980105" w:rsidRPr="00980105">
              <w:rPr>
                <w:rFonts w:ascii="Garamond" w:hAnsi="Garamond"/>
                <w:b/>
                <w:vertAlign w:val="superscript"/>
              </w:rPr>
              <w:t>3</w:t>
            </w:r>
            <w:r w:rsidRPr="00520053">
              <w:rPr>
                <w:rFonts w:ascii="Garamond" w:hAnsi="Garamond"/>
                <w:b/>
              </w:rPr>
              <w:t xml:space="preserve"> </w:t>
            </w:r>
          </w:p>
          <w:p w:rsidR="003C577C" w:rsidRPr="00520053" w:rsidRDefault="003C577C" w:rsidP="00FE6ADE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C577C" w:rsidRPr="00520053" w:rsidRDefault="003C577C" w:rsidP="00FE6ADE">
            <w:pPr>
              <w:spacing w:after="0" w:line="240" w:lineRule="auto"/>
              <w:rPr>
                <w:rFonts w:ascii="Garamond" w:hAnsi="Garamond"/>
                <w:b/>
              </w:rPr>
            </w:pPr>
            <w:r w:rsidRPr="00520053">
              <w:rPr>
                <w:rFonts w:ascii="Garamond" w:hAnsi="Garamond"/>
                <w:b/>
              </w:rPr>
              <w:t xml:space="preserve">Alcohol units per wk </w:t>
            </w:r>
            <w:r w:rsidR="00FC545E" w:rsidRPr="00520053">
              <w:rPr>
                <w:rFonts w:ascii="Garamond" w:hAnsi="Garamond"/>
                <w:b/>
              </w:rPr>
              <w:t>at 36</w:t>
            </w:r>
            <w:r w:rsidRPr="00520053">
              <w:rPr>
                <w:rFonts w:ascii="Garamond" w:hAnsi="Garamond"/>
                <w:b/>
              </w:rPr>
              <w:t xml:space="preserve"> yrs</w:t>
            </w:r>
          </w:p>
          <w:p w:rsidR="003C577C" w:rsidRPr="00520053" w:rsidRDefault="003C577C" w:rsidP="00FE6ADE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C577C" w:rsidRPr="00520053" w:rsidRDefault="003C577C" w:rsidP="00FE6ADE">
            <w:pPr>
              <w:spacing w:after="0" w:line="240" w:lineRule="auto"/>
              <w:rPr>
                <w:rFonts w:ascii="Garamond" w:hAnsi="Garamond"/>
                <w:b/>
              </w:rPr>
            </w:pPr>
            <w:r w:rsidRPr="00520053">
              <w:rPr>
                <w:rFonts w:ascii="Garamond" w:hAnsi="Garamond"/>
                <w:b/>
              </w:rPr>
              <w:t>Exercise, days per wk at 3</w:t>
            </w:r>
            <w:r w:rsidR="00FC545E" w:rsidRPr="00520053">
              <w:rPr>
                <w:rFonts w:ascii="Garamond" w:hAnsi="Garamond"/>
                <w:b/>
              </w:rPr>
              <w:t>6</w:t>
            </w:r>
            <w:r w:rsidRPr="00520053">
              <w:rPr>
                <w:rFonts w:ascii="Garamond" w:hAnsi="Garamond"/>
                <w:b/>
              </w:rPr>
              <w:t xml:space="preserve"> yrs</w:t>
            </w:r>
          </w:p>
          <w:p w:rsidR="003C577C" w:rsidRPr="00520053" w:rsidRDefault="003C577C" w:rsidP="00FE6ADE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C577C" w:rsidRPr="00520053" w:rsidRDefault="003C577C" w:rsidP="00FE6ADE">
            <w:pPr>
              <w:spacing w:after="0" w:line="240" w:lineRule="auto"/>
              <w:rPr>
                <w:rFonts w:ascii="Garamond" w:hAnsi="Garamond"/>
                <w:b/>
              </w:rPr>
            </w:pPr>
            <w:r w:rsidRPr="00520053">
              <w:rPr>
                <w:rFonts w:ascii="Garamond" w:hAnsi="Garamond"/>
                <w:b/>
              </w:rPr>
              <w:t>Years of full-time education by 3</w:t>
            </w:r>
            <w:r w:rsidR="00FC545E" w:rsidRPr="00520053">
              <w:rPr>
                <w:rFonts w:ascii="Garamond" w:hAnsi="Garamond"/>
                <w:b/>
              </w:rPr>
              <w:t>6</w:t>
            </w:r>
            <w:r w:rsidRPr="00520053">
              <w:rPr>
                <w:rFonts w:ascii="Garamond" w:hAnsi="Garamond"/>
                <w:b/>
              </w:rPr>
              <w:t xml:space="preserve"> yrs</w:t>
            </w:r>
          </w:p>
          <w:p w:rsidR="003C577C" w:rsidRPr="00520053" w:rsidRDefault="003C577C" w:rsidP="00FE6ADE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C577C" w:rsidRPr="00520053" w:rsidRDefault="005C510D" w:rsidP="005C510D">
            <w:pPr>
              <w:spacing w:after="0" w:line="240" w:lineRule="auto"/>
              <w:rPr>
                <w:rFonts w:ascii="Garamond" w:hAnsi="Garamond"/>
                <w:b/>
              </w:rPr>
            </w:pPr>
            <w:r w:rsidRPr="00520053">
              <w:rPr>
                <w:rFonts w:ascii="Garamond" w:hAnsi="Garamond"/>
                <w:b/>
              </w:rPr>
              <w:t xml:space="preserve">Mean (SD) or median (IQR) </w:t>
            </w:r>
          </w:p>
        </w:tc>
      </w:tr>
      <w:tr w:rsidR="003C577C" w:rsidRPr="00520053" w:rsidTr="00FC545E">
        <w:tc>
          <w:tcPr>
            <w:tcW w:w="1702" w:type="dxa"/>
            <w:tcBorders>
              <w:top w:val="single" w:sz="4" w:space="0" w:color="auto"/>
            </w:tcBorders>
          </w:tcPr>
          <w:p w:rsidR="003C577C" w:rsidRPr="00520053" w:rsidRDefault="003C577C" w:rsidP="003C577C">
            <w:pPr>
              <w:spacing w:after="0" w:line="240" w:lineRule="auto"/>
              <w:rPr>
                <w:rFonts w:ascii="Garamond" w:hAnsi="Garamond"/>
                <w:b/>
              </w:rPr>
            </w:pPr>
            <w:r w:rsidRPr="00520053">
              <w:rPr>
                <w:rFonts w:ascii="Garamond" w:hAnsi="Garamond"/>
                <w:b/>
              </w:rPr>
              <w:t>Choice reaction time at 16 yrs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577C" w:rsidRPr="00520053" w:rsidRDefault="003C577C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577C" w:rsidRPr="00520053" w:rsidRDefault="003C577C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C577C" w:rsidRPr="00520053" w:rsidRDefault="003C577C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577C" w:rsidRPr="00520053" w:rsidRDefault="003C577C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577C" w:rsidRPr="00520053" w:rsidRDefault="003C577C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577C" w:rsidRPr="00520053" w:rsidRDefault="003C577C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577C" w:rsidRPr="00520053" w:rsidRDefault="003C577C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577C" w:rsidRPr="00520053" w:rsidRDefault="003C577C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577C" w:rsidRPr="00520053" w:rsidRDefault="003C577C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577C" w:rsidRPr="00520053" w:rsidRDefault="003C577C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577C" w:rsidRPr="00520053" w:rsidRDefault="003C577C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577C" w:rsidRPr="00520053" w:rsidRDefault="003C577C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3C577C" w:rsidRPr="00520053" w:rsidTr="00FC545E">
        <w:tc>
          <w:tcPr>
            <w:tcW w:w="1702" w:type="dxa"/>
          </w:tcPr>
          <w:p w:rsidR="003C577C" w:rsidRPr="00520053" w:rsidRDefault="003C577C" w:rsidP="00FC545E">
            <w:pPr>
              <w:spacing w:after="0" w:line="240" w:lineRule="auto"/>
              <w:rPr>
                <w:rFonts w:ascii="Garamond" w:hAnsi="Garamond"/>
                <w:b/>
              </w:rPr>
            </w:pPr>
            <w:r w:rsidRPr="00520053">
              <w:rPr>
                <w:rFonts w:ascii="Garamond" w:hAnsi="Garamond"/>
                <w:b/>
              </w:rPr>
              <w:t>GHQ at 3</w:t>
            </w:r>
            <w:r w:rsidR="00FC545E" w:rsidRPr="00520053">
              <w:rPr>
                <w:rFonts w:ascii="Garamond" w:hAnsi="Garamond"/>
                <w:b/>
              </w:rPr>
              <w:t>6</w:t>
            </w:r>
            <w:r w:rsidRPr="00520053">
              <w:rPr>
                <w:rFonts w:ascii="Garamond" w:hAnsi="Garamond"/>
                <w:b/>
              </w:rPr>
              <w:t xml:space="preserve"> yrs</w:t>
            </w:r>
          </w:p>
        </w:tc>
        <w:tc>
          <w:tcPr>
            <w:tcW w:w="1134" w:type="dxa"/>
          </w:tcPr>
          <w:p w:rsidR="003C577C" w:rsidRPr="00520053" w:rsidRDefault="002B62C5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0.146***</w:t>
            </w:r>
          </w:p>
        </w:tc>
        <w:tc>
          <w:tcPr>
            <w:tcW w:w="1134" w:type="dxa"/>
          </w:tcPr>
          <w:p w:rsidR="003C577C" w:rsidRPr="00520053" w:rsidRDefault="00426A58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-</w:t>
            </w:r>
          </w:p>
        </w:tc>
        <w:tc>
          <w:tcPr>
            <w:tcW w:w="992" w:type="dxa"/>
          </w:tcPr>
          <w:p w:rsidR="003C577C" w:rsidRPr="00520053" w:rsidRDefault="003C577C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3C577C" w:rsidRPr="00520053" w:rsidRDefault="003C577C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3C577C" w:rsidRPr="00520053" w:rsidRDefault="003C577C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3C577C" w:rsidRPr="00520053" w:rsidRDefault="003C577C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3C577C" w:rsidRPr="00520053" w:rsidRDefault="003C577C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3C577C" w:rsidRPr="00520053" w:rsidRDefault="003C577C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3C577C" w:rsidRPr="00520053" w:rsidRDefault="003C577C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3C577C" w:rsidRPr="00520053" w:rsidRDefault="003C577C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3C577C" w:rsidRPr="00520053" w:rsidRDefault="003C577C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3C577C" w:rsidRPr="00520053" w:rsidRDefault="003C577C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3C577C" w:rsidRPr="00520053" w:rsidTr="00FC545E">
        <w:tc>
          <w:tcPr>
            <w:tcW w:w="1702" w:type="dxa"/>
          </w:tcPr>
          <w:p w:rsidR="003C577C" w:rsidRPr="00520053" w:rsidRDefault="003C577C" w:rsidP="00FC545E">
            <w:pPr>
              <w:spacing w:after="0" w:line="240" w:lineRule="auto"/>
              <w:rPr>
                <w:rFonts w:ascii="Garamond" w:hAnsi="Garamond"/>
                <w:b/>
              </w:rPr>
            </w:pPr>
            <w:r w:rsidRPr="00520053">
              <w:rPr>
                <w:rFonts w:ascii="Garamond" w:hAnsi="Garamond"/>
                <w:b/>
              </w:rPr>
              <w:t>HADS anxiety at 3</w:t>
            </w:r>
            <w:r w:rsidR="00FC545E" w:rsidRPr="00520053">
              <w:rPr>
                <w:rFonts w:ascii="Garamond" w:hAnsi="Garamond"/>
                <w:b/>
              </w:rPr>
              <w:t>6</w:t>
            </w:r>
            <w:r w:rsidRPr="00520053">
              <w:rPr>
                <w:rFonts w:ascii="Garamond" w:hAnsi="Garamond"/>
                <w:b/>
              </w:rPr>
              <w:t xml:space="preserve"> yrs</w:t>
            </w:r>
          </w:p>
        </w:tc>
        <w:tc>
          <w:tcPr>
            <w:tcW w:w="1134" w:type="dxa"/>
          </w:tcPr>
          <w:p w:rsidR="003C577C" w:rsidRPr="00520053" w:rsidRDefault="002B62C5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0.104***</w:t>
            </w:r>
          </w:p>
        </w:tc>
        <w:tc>
          <w:tcPr>
            <w:tcW w:w="1134" w:type="dxa"/>
          </w:tcPr>
          <w:p w:rsidR="003C577C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0.612***</w:t>
            </w:r>
          </w:p>
        </w:tc>
        <w:tc>
          <w:tcPr>
            <w:tcW w:w="992" w:type="dxa"/>
          </w:tcPr>
          <w:p w:rsidR="003C577C" w:rsidRPr="00520053" w:rsidRDefault="00426A58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-</w:t>
            </w:r>
          </w:p>
        </w:tc>
        <w:tc>
          <w:tcPr>
            <w:tcW w:w="1276" w:type="dxa"/>
          </w:tcPr>
          <w:p w:rsidR="003C577C" w:rsidRPr="00520053" w:rsidRDefault="003C577C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3C577C" w:rsidRPr="00520053" w:rsidRDefault="003C577C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3C577C" w:rsidRPr="00520053" w:rsidRDefault="003C577C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3C577C" w:rsidRPr="00520053" w:rsidRDefault="003C577C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3C577C" w:rsidRPr="00520053" w:rsidRDefault="003C577C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3C577C" w:rsidRPr="00520053" w:rsidRDefault="003C577C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3C577C" w:rsidRPr="00520053" w:rsidRDefault="003C577C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3C577C" w:rsidRPr="00520053" w:rsidRDefault="003C577C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3C577C" w:rsidRPr="00520053" w:rsidRDefault="003C577C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902AC8" w:rsidRPr="00520053" w:rsidTr="00FC545E">
        <w:tc>
          <w:tcPr>
            <w:tcW w:w="1702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  <w:b/>
              </w:rPr>
            </w:pPr>
            <w:r w:rsidRPr="00520053">
              <w:rPr>
                <w:rFonts w:ascii="Garamond" w:hAnsi="Garamond"/>
                <w:b/>
              </w:rPr>
              <w:t>HADS depression at 36 yr</w:t>
            </w: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0.118***</w:t>
            </w:r>
          </w:p>
        </w:tc>
        <w:tc>
          <w:tcPr>
            <w:tcW w:w="1134" w:type="dxa"/>
          </w:tcPr>
          <w:p w:rsidR="00902AC8" w:rsidRPr="00520053" w:rsidRDefault="00902AC8" w:rsidP="00312B9F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0.634***</w:t>
            </w:r>
          </w:p>
        </w:tc>
        <w:tc>
          <w:tcPr>
            <w:tcW w:w="992" w:type="dxa"/>
          </w:tcPr>
          <w:p w:rsidR="00902AC8" w:rsidRPr="00520053" w:rsidRDefault="00902AC8" w:rsidP="00312B9F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0.634***</w:t>
            </w:r>
          </w:p>
        </w:tc>
        <w:tc>
          <w:tcPr>
            <w:tcW w:w="1276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-</w:t>
            </w: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902AC8" w:rsidRPr="00520053" w:rsidTr="00FC545E">
        <w:tc>
          <w:tcPr>
            <w:tcW w:w="1702" w:type="dxa"/>
          </w:tcPr>
          <w:p w:rsidR="00902AC8" w:rsidRPr="00980105" w:rsidRDefault="00902AC8" w:rsidP="00FE6ADE">
            <w:pPr>
              <w:spacing w:after="0" w:line="240" w:lineRule="auto"/>
              <w:rPr>
                <w:rFonts w:ascii="Garamond" w:hAnsi="Garamond"/>
                <w:b/>
                <w:vertAlign w:val="superscript"/>
              </w:rPr>
            </w:pPr>
            <w:r w:rsidRPr="00520053">
              <w:rPr>
                <w:rFonts w:ascii="Garamond" w:hAnsi="Garamond"/>
                <w:b/>
              </w:rPr>
              <w:t>Parental social class at 16 yrs</w:t>
            </w:r>
            <w:r w:rsidR="00980105">
              <w:rPr>
                <w:rFonts w:ascii="Garamond" w:hAnsi="Garamond"/>
                <w:b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0.162***</w:t>
            </w: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0.004</w:t>
            </w:r>
          </w:p>
        </w:tc>
        <w:tc>
          <w:tcPr>
            <w:tcW w:w="992" w:type="dxa"/>
          </w:tcPr>
          <w:p w:rsidR="00902AC8" w:rsidRPr="00520053" w:rsidRDefault="00DF7BCE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-0.029</w:t>
            </w:r>
          </w:p>
        </w:tc>
        <w:tc>
          <w:tcPr>
            <w:tcW w:w="1276" w:type="dxa"/>
          </w:tcPr>
          <w:p w:rsidR="00902AC8" w:rsidRPr="00520053" w:rsidRDefault="00DF7BCE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0.104***</w:t>
            </w: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-</w:t>
            </w: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902AC8" w:rsidRPr="00520053" w:rsidTr="00FC545E">
        <w:tc>
          <w:tcPr>
            <w:tcW w:w="1702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  <w:b/>
              </w:rPr>
            </w:pPr>
            <w:r w:rsidRPr="00520053">
              <w:rPr>
                <w:rFonts w:ascii="Garamond" w:hAnsi="Garamond"/>
                <w:b/>
              </w:rPr>
              <w:t>GHQ at 16 yrs</w:t>
            </w: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0.039</w:t>
            </w: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0.129***</w:t>
            </w:r>
          </w:p>
        </w:tc>
        <w:tc>
          <w:tcPr>
            <w:tcW w:w="992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0.151***</w:t>
            </w:r>
          </w:p>
        </w:tc>
        <w:tc>
          <w:tcPr>
            <w:tcW w:w="1276" w:type="dxa"/>
          </w:tcPr>
          <w:p w:rsidR="00902AC8" w:rsidRPr="00520053" w:rsidRDefault="00902AC8" w:rsidP="00312B9F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0.089***</w:t>
            </w: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-0.061</w:t>
            </w: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-</w:t>
            </w: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902AC8" w:rsidRPr="00520053" w:rsidTr="00FC545E">
        <w:tc>
          <w:tcPr>
            <w:tcW w:w="1702" w:type="dxa"/>
          </w:tcPr>
          <w:p w:rsidR="00902AC8" w:rsidRPr="00520053" w:rsidRDefault="00902AC8" w:rsidP="00FC545E">
            <w:pPr>
              <w:spacing w:after="0" w:line="240" w:lineRule="auto"/>
              <w:rPr>
                <w:rFonts w:ascii="Garamond" w:hAnsi="Garamond"/>
                <w:b/>
              </w:rPr>
            </w:pPr>
            <w:r w:rsidRPr="00520053">
              <w:rPr>
                <w:rFonts w:ascii="Garamond" w:hAnsi="Garamond"/>
                <w:b/>
              </w:rPr>
              <w:t>Allostatic load at 36 yrs</w:t>
            </w: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0.126***</w:t>
            </w: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0.098***</w:t>
            </w:r>
          </w:p>
        </w:tc>
        <w:tc>
          <w:tcPr>
            <w:tcW w:w="992" w:type="dxa"/>
          </w:tcPr>
          <w:p w:rsidR="00902AC8" w:rsidRPr="00520053" w:rsidRDefault="00DF7BCE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0.041</w:t>
            </w:r>
          </w:p>
        </w:tc>
        <w:tc>
          <w:tcPr>
            <w:tcW w:w="1276" w:type="dxa"/>
          </w:tcPr>
          <w:p w:rsidR="00902AC8" w:rsidRPr="00520053" w:rsidRDefault="00DF7BCE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0.167***</w:t>
            </w:r>
          </w:p>
        </w:tc>
        <w:tc>
          <w:tcPr>
            <w:tcW w:w="1134" w:type="dxa"/>
          </w:tcPr>
          <w:p w:rsidR="00902AC8" w:rsidRPr="00520053" w:rsidRDefault="0047524B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0.173***</w:t>
            </w: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-0.033</w:t>
            </w: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-</w:t>
            </w: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902AC8" w:rsidRPr="00520053" w:rsidTr="00FC545E">
        <w:tc>
          <w:tcPr>
            <w:tcW w:w="1702" w:type="dxa"/>
          </w:tcPr>
          <w:p w:rsidR="00902AC8" w:rsidRPr="00520053" w:rsidRDefault="00902AC8" w:rsidP="00FC545E">
            <w:pPr>
              <w:spacing w:after="0" w:line="240" w:lineRule="auto"/>
              <w:rPr>
                <w:rFonts w:ascii="Garamond" w:hAnsi="Garamond"/>
                <w:b/>
              </w:rPr>
            </w:pPr>
            <w:r w:rsidRPr="00520053">
              <w:rPr>
                <w:rFonts w:ascii="Garamond" w:hAnsi="Garamond"/>
                <w:b/>
              </w:rPr>
              <w:t>Smoking status at 36 yrs</w:t>
            </w:r>
            <w:r w:rsidR="00980105">
              <w:rPr>
                <w:rFonts w:ascii="Garamond" w:hAnsi="Garamond"/>
                <w:b/>
                <w:vertAlign w:val="superscript"/>
              </w:rPr>
              <w:t>3</w:t>
            </w:r>
            <w:r w:rsidRPr="00520053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0.187***</w:t>
            </w: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0.130***</w:t>
            </w:r>
          </w:p>
        </w:tc>
        <w:tc>
          <w:tcPr>
            <w:tcW w:w="992" w:type="dxa"/>
          </w:tcPr>
          <w:p w:rsidR="00902AC8" w:rsidRPr="00520053" w:rsidRDefault="00DF7BCE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0.120***</w:t>
            </w:r>
          </w:p>
        </w:tc>
        <w:tc>
          <w:tcPr>
            <w:tcW w:w="1276" w:type="dxa"/>
          </w:tcPr>
          <w:p w:rsidR="00902AC8" w:rsidRPr="00520053" w:rsidRDefault="00DF7BCE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0.141***</w:t>
            </w:r>
          </w:p>
        </w:tc>
        <w:tc>
          <w:tcPr>
            <w:tcW w:w="1134" w:type="dxa"/>
          </w:tcPr>
          <w:p w:rsidR="00902AC8" w:rsidRPr="00520053" w:rsidRDefault="00C130CA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0.101***</w:t>
            </w: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0.001</w:t>
            </w:r>
          </w:p>
        </w:tc>
        <w:tc>
          <w:tcPr>
            <w:tcW w:w="1134" w:type="dxa"/>
          </w:tcPr>
          <w:p w:rsidR="00902AC8" w:rsidRPr="00520053" w:rsidRDefault="00C130CA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0.150***</w:t>
            </w: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-</w:t>
            </w: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902AC8" w:rsidRPr="00520053" w:rsidTr="00FC545E">
        <w:tc>
          <w:tcPr>
            <w:tcW w:w="1702" w:type="dxa"/>
          </w:tcPr>
          <w:p w:rsidR="00902AC8" w:rsidRPr="00520053" w:rsidRDefault="00902AC8" w:rsidP="00FC545E">
            <w:pPr>
              <w:spacing w:after="0" w:line="240" w:lineRule="auto"/>
              <w:rPr>
                <w:rFonts w:ascii="Garamond" w:hAnsi="Garamond"/>
                <w:b/>
              </w:rPr>
            </w:pPr>
            <w:r w:rsidRPr="00520053">
              <w:rPr>
                <w:rFonts w:ascii="Garamond" w:hAnsi="Garamond"/>
                <w:b/>
              </w:rPr>
              <w:t>Alcohol units per wk at 36 yrs</w:t>
            </w: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0.015</w:t>
            </w:r>
          </w:p>
        </w:tc>
        <w:tc>
          <w:tcPr>
            <w:tcW w:w="1134" w:type="dxa"/>
          </w:tcPr>
          <w:p w:rsidR="00902AC8" w:rsidRPr="00520053" w:rsidRDefault="00902AC8" w:rsidP="00902AC8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0.063</w:t>
            </w:r>
          </w:p>
        </w:tc>
        <w:tc>
          <w:tcPr>
            <w:tcW w:w="992" w:type="dxa"/>
          </w:tcPr>
          <w:p w:rsidR="00902AC8" w:rsidRPr="00520053" w:rsidRDefault="00DF7BCE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0.025</w:t>
            </w:r>
          </w:p>
        </w:tc>
        <w:tc>
          <w:tcPr>
            <w:tcW w:w="1276" w:type="dxa"/>
          </w:tcPr>
          <w:p w:rsidR="00902AC8" w:rsidRPr="00520053" w:rsidRDefault="00DF7BCE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0.037</w:t>
            </w:r>
          </w:p>
        </w:tc>
        <w:tc>
          <w:tcPr>
            <w:tcW w:w="1134" w:type="dxa"/>
          </w:tcPr>
          <w:p w:rsidR="00902AC8" w:rsidRPr="00520053" w:rsidRDefault="00C130CA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0.014</w:t>
            </w: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-0.036</w:t>
            </w:r>
          </w:p>
        </w:tc>
        <w:tc>
          <w:tcPr>
            <w:tcW w:w="1134" w:type="dxa"/>
          </w:tcPr>
          <w:p w:rsidR="00902AC8" w:rsidRPr="00520053" w:rsidRDefault="00C130CA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0.179***</w:t>
            </w:r>
          </w:p>
        </w:tc>
        <w:tc>
          <w:tcPr>
            <w:tcW w:w="1134" w:type="dxa"/>
          </w:tcPr>
          <w:p w:rsidR="00902AC8" w:rsidRPr="00520053" w:rsidRDefault="00C130CA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0.145***</w:t>
            </w: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-</w:t>
            </w: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276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902AC8" w:rsidRPr="00520053" w:rsidTr="00FC545E">
        <w:tc>
          <w:tcPr>
            <w:tcW w:w="1702" w:type="dxa"/>
          </w:tcPr>
          <w:p w:rsidR="00902AC8" w:rsidRPr="00520053" w:rsidRDefault="00902AC8" w:rsidP="00FC545E">
            <w:pPr>
              <w:spacing w:after="0" w:line="240" w:lineRule="auto"/>
              <w:rPr>
                <w:rFonts w:ascii="Garamond" w:hAnsi="Garamond"/>
                <w:b/>
              </w:rPr>
            </w:pPr>
            <w:r w:rsidRPr="00520053">
              <w:rPr>
                <w:rFonts w:ascii="Garamond" w:hAnsi="Garamond"/>
                <w:b/>
              </w:rPr>
              <w:t>Exercise, days per wk at 36 yrs</w:t>
            </w: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-0.018</w:t>
            </w: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-0.044</w:t>
            </w:r>
          </w:p>
        </w:tc>
        <w:tc>
          <w:tcPr>
            <w:tcW w:w="992" w:type="dxa"/>
          </w:tcPr>
          <w:p w:rsidR="00902AC8" w:rsidRPr="00520053" w:rsidRDefault="00DF7BCE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-0.074*</w:t>
            </w:r>
          </w:p>
        </w:tc>
        <w:tc>
          <w:tcPr>
            <w:tcW w:w="1276" w:type="dxa"/>
          </w:tcPr>
          <w:p w:rsidR="00902AC8" w:rsidRPr="00520053" w:rsidRDefault="00DF7BCE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-0.141***</w:t>
            </w:r>
          </w:p>
        </w:tc>
        <w:tc>
          <w:tcPr>
            <w:tcW w:w="1134" w:type="dxa"/>
          </w:tcPr>
          <w:p w:rsidR="00902AC8" w:rsidRPr="00520053" w:rsidRDefault="00C130CA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-0.088***</w:t>
            </w: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-0.016</w:t>
            </w:r>
          </w:p>
        </w:tc>
        <w:tc>
          <w:tcPr>
            <w:tcW w:w="1134" w:type="dxa"/>
          </w:tcPr>
          <w:p w:rsidR="00902AC8" w:rsidRPr="00520053" w:rsidRDefault="00C130CA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-0.075*</w:t>
            </w:r>
          </w:p>
        </w:tc>
        <w:tc>
          <w:tcPr>
            <w:tcW w:w="1134" w:type="dxa"/>
          </w:tcPr>
          <w:p w:rsidR="00902AC8" w:rsidRPr="00520053" w:rsidRDefault="00C130CA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0.054</w:t>
            </w:r>
          </w:p>
        </w:tc>
        <w:tc>
          <w:tcPr>
            <w:tcW w:w="1134" w:type="dxa"/>
          </w:tcPr>
          <w:p w:rsidR="00902AC8" w:rsidRPr="00520053" w:rsidRDefault="00C130CA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-0.013</w:t>
            </w:r>
          </w:p>
        </w:tc>
        <w:tc>
          <w:tcPr>
            <w:tcW w:w="1134" w:type="dxa"/>
          </w:tcPr>
          <w:p w:rsidR="00902AC8" w:rsidRPr="00520053" w:rsidRDefault="00C130CA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-</w:t>
            </w:r>
          </w:p>
        </w:tc>
        <w:tc>
          <w:tcPr>
            <w:tcW w:w="1276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902AC8" w:rsidRPr="00520053" w:rsidTr="00FC545E">
        <w:tc>
          <w:tcPr>
            <w:tcW w:w="1702" w:type="dxa"/>
          </w:tcPr>
          <w:p w:rsidR="00902AC8" w:rsidRPr="00520053" w:rsidRDefault="00902AC8" w:rsidP="00FC545E">
            <w:pPr>
              <w:spacing w:after="0" w:line="240" w:lineRule="auto"/>
              <w:rPr>
                <w:rFonts w:ascii="Garamond" w:hAnsi="Garamond"/>
                <w:b/>
              </w:rPr>
            </w:pPr>
            <w:r w:rsidRPr="00520053">
              <w:rPr>
                <w:rFonts w:ascii="Garamond" w:hAnsi="Garamond"/>
                <w:b/>
              </w:rPr>
              <w:t>Years of full-time education by 36 yrs</w:t>
            </w: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-0.234***</w:t>
            </w: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-0.056</w:t>
            </w:r>
          </w:p>
        </w:tc>
        <w:tc>
          <w:tcPr>
            <w:tcW w:w="992" w:type="dxa"/>
          </w:tcPr>
          <w:p w:rsidR="00902AC8" w:rsidRPr="00520053" w:rsidRDefault="00DF7BCE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-0.029</w:t>
            </w:r>
          </w:p>
        </w:tc>
        <w:tc>
          <w:tcPr>
            <w:tcW w:w="1276" w:type="dxa"/>
          </w:tcPr>
          <w:p w:rsidR="00902AC8" w:rsidRPr="00520053" w:rsidRDefault="00DF7BCE" w:rsidP="00DF7BC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-0.121***</w:t>
            </w:r>
          </w:p>
        </w:tc>
        <w:tc>
          <w:tcPr>
            <w:tcW w:w="1134" w:type="dxa"/>
          </w:tcPr>
          <w:p w:rsidR="00902AC8" w:rsidRPr="00520053" w:rsidRDefault="00C130CA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-0.385***</w:t>
            </w: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0.056</w:t>
            </w:r>
          </w:p>
        </w:tc>
        <w:tc>
          <w:tcPr>
            <w:tcW w:w="1134" w:type="dxa"/>
          </w:tcPr>
          <w:p w:rsidR="00902AC8" w:rsidRPr="00520053" w:rsidRDefault="00C130CA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-0.194***</w:t>
            </w:r>
          </w:p>
        </w:tc>
        <w:tc>
          <w:tcPr>
            <w:tcW w:w="1134" w:type="dxa"/>
          </w:tcPr>
          <w:p w:rsidR="00902AC8" w:rsidRPr="00520053" w:rsidRDefault="00C130CA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-0.179***</w:t>
            </w:r>
          </w:p>
        </w:tc>
        <w:tc>
          <w:tcPr>
            <w:tcW w:w="1134" w:type="dxa"/>
          </w:tcPr>
          <w:p w:rsidR="00902AC8" w:rsidRPr="00520053" w:rsidRDefault="00C130CA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-0.038</w:t>
            </w:r>
          </w:p>
        </w:tc>
        <w:tc>
          <w:tcPr>
            <w:tcW w:w="1134" w:type="dxa"/>
          </w:tcPr>
          <w:p w:rsidR="00902AC8" w:rsidRPr="00520053" w:rsidRDefault="00C130CA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0.112***</w:t>
            </w:r>
          </w:p>
        </w:tc>
        <w:tc>
          <w:tcPr>
            <w:tcW w:w="1276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-</w:t>
            </w: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902AC8" w:rsidRPr="00520053" w:rsidTr="00FC545E">
        <w:tc>
          <w:tcPr>
            <w:tcW w:w="1702" w:type="dxa"/>
          </w:tcPr>
          <w:p w:rsidR="00902AC8" w:rsidRPr="00520053" w:rsidRDefault="00902AC8" w:rsidP="004708A9">
            <w:pPr>
              <w:spacing w:after="0" w:line="240" w:lineRule="auto"/>
              <w:rPr>
                <w:rFonts w:ascii="Garamond" w:hAnsi="Garamond"/>
                <w:b/>
              </w:rPr>
            </w:pPr>
            <w:r w:rsidRPr="00520053">
              <w:rPr>
                <w:rFonts w:ascii="Garamond" w:hAnsi="Garamond"/>
                <w:b/>
              </w:rPr>
              <w:t>Mean (SD) or median (IQR)</w:t>
            </w:r>
            <w:r w:rsidR="000E4704" w:rsidRPr="00520053">
              <w:rPr>
                <w:rFonts w:ascii="Garamond" w:hAnsi="Garamond"/>
                <w:b/>
                <w:vertAlign w:val="superscript"/>
              </w:rPr>
              <w:t>2</w:t>
            </w:r>
            <w:r w:rsidRPr="00520053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134" w:type="dxa"/>
          </w:tcPr>
          <w:p w:rsidR="00902AC8" w:rsidRPr="00520053" w:rsidRDefault="000E4704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10.6 (4.88)</w:t>
            </w:r>
          </w:p>
        </w:tc>
        <w:tc>
          <w:tcPr>
            <w:tcW w:w="1134" w:type="dxa"/>
          </w:tcPr>
          <w:p w:rsidR="00902AC8" w:rsidRPr="00520053" w:rsidRDefault="000E4704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10 (7-12)</w:t>
            </w:r>
          </w:p>
        </w:tc>
        <w:tc>
          <w:tcPr>
            <w:tcW w:w="992" w:type="dxa"/>
          </w:tcPr>
          <w:p w:rsidR="00902AC8" w:rsidRPr="00520053" w:rsidRDefault="000E4704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7 (4-9)</w:t>
            </w:r>
          </w:p>
        </w:tc>
        <w:tc>
          <w:tcPr>
            <w:tcW w:w="1276" w:type="dxa"/>
          </w:tcPr>
          <w:p w:rsidR="00902AC8" w:rsidRPr="00520053" w:rsidRDefault="000E4704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2 (1-5)</w:t>
            </w:r>
          </w:p>
        </w:tc>
        <w:tc>
          <w:tcPr>
            <w:tcW w:w="1134" w:type="dxa"/>
          </w:tcPr>
          <w:p w:rsidR="00902AC8" w:rsidRPr="00520053" w:rsidRDefault="000E4704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4 (2-4)</w:t>
            </w:r>
          </w:p>
        </w:tc>
        <w:tc>
          <w:tcPr>
            <w:tcW w:w="1134" w:type="dxa"/>
          </w:tcPr>
          <w:p w:rsidR="00902AC8" w:rsidRPr="00520053" w:rsidRDefault="000E4704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8 (6-11)</w:t>
            </w:r>
          </w:p>
        </w:tc>
        <w:tc>
          <w:tcPr>
            <w:tcW w:w="1134" w:type="dxa"/>
          </w:tcPr>
          <w:p w:rsidR="00902AC8" w:rsidRPr="00520053" w:rsidRDefault="000E4704" w:rsidP="00475E82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 xml:space="preserve">0.031 </w:t>
            </w:r>
            <w:r w:rsidR="00475E82" w:rsidRPr="00520053">
              <w:rPr>
                <w:rFonts w:ascii="Garamond" w:hAnsi="Garamond"/>
              </w:rPr>
              <w:t>(</w:t>
            </w:r>
            <w:r w:rsidRPr="00520053">
              <w:rPr>
                <w:rFonts w:ascii="Garamond" w:hAnsi="Garamond"/>
              </w:rPr>
              <w:t>4.20)</w:t>
            </w:r>
          </w:p>
        </w:tc>
        <w:tc>
          <w:tcPr>
            <w:tcW w:w="1134" w:type="dxa"/>
          </w:tcPr>
          <w:p w:rsidR="00902AC8" w:rsidRPr="00520053" w:rsidRDefault="00475E82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1 (1-3)</w:t>
            </w:r>
          </w:p>
        </w:tc>
        <w:tc>
          <w:tcPr>
            <w:tcW w:w="1134" w:type="dxa"/>
          </w:tcPr>
          <w:p w:rsidR="00902AC8" w:rsidRPr="00520053" w:rsidRDefault="00475E82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6 (0-15)</w:t>
            </w:r>
          </w:p>
        </w:tc>
        <w:tc>
          <w:tcPr>
            <w:tcW w:w="1134" w:type="dxa"/>
          </w:tcPr>
          <w:p w:rsidR="00902AC8" w:rsidRPr="00520053" w:rsidRDefault="00475E82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3 (2-5)</w:t>
            </w:r>
          </w:p>
        </w:tc>
        <w:tc>
          <w:tcPr>
            <w:tcW w:w="1276" w:type="dxa"/>
          </w:tcPr>
          <w:p w:rsidR="00902AC8" w:rsidRPr="00520053" w:rsidRDefault="00475E82" w:rsidP="00FE6ADE">
            <w:pPr>
              <w:spacing w:after="0" w:line="240" w:lineRule="auto"/>
              <w:rPr>
                <w:rFonts w:ascii="Garamond" w:hAnsi="Garamond"/>
              </w:rPr>
            </w:pPr>
            <w:r w:rsidRPr="00520053">
              <w:rPr>
                <w:rFonts w:ascii="Garamond" w:hAnsi="Garamond"/>
              </w:rPr>
              <w:t>13 (11-17)</w:t>
            </w:r>
          </w:p>
        </w:tc>
        <w:tc>
          <w:tcPr>
            <w:tcW w:w="1134" w:type="dxa"/>
          </w:tcPr>
          <w:p w:rsidR="00902AC8" w:rsidRPr="00520053" w:rsidRDefault="00902AC8" w:rsidP="00FE6ADE">
            <w:pPr>
              <w:spacing w:after="0" w:line="240" w:lineRule="auto"/>
              <w:rPr>
                <w:rFonts w:ascii="Garamond" w:hAnsi="Garamond"/>
                <w:b/>
              </w:rPr>
            </w:pPr>
            <w:r w:rsidRPr="00520053">
              <w:rPr>
                <w:rFonts w:ascii="Garamond" w:hAnsi="Garamond"/>
                <w:b/>
              </w:rPr>
              <w:t>-</w:t>
            </w:r>
          </w:p>
        </w:tc>
      </w:tr>
    </w:tbl>
    <w:p w:rsidR="00074333" w:rsidRDefault="00FE6ADE" w:rsidP="004373C1">
      <w:r w:rsidRPr="00520053">
        <w:rPr>
          <w:rFonts w:ascii="Garamond" w:hAnsi="Garamond"/>
          <w:sz w:val="24"/>
          <w:szCs w:val="24"/>
          <w:vertAlign w:val="superscript"/>
        </w:rPr>
        <w:t>1</w:t>
      </w:r>
      <w:r w:rsidRPr="00520053">
        <w:rPr>
          <w:rFonts w:ascii="Garamond" w:hAnsi="Garamond"/>
          <w:sz w:val="24"/>
          <w:szCs w:val="24"/>
        </w:rPr>
        <w:t xml:space="preserve">P values:  *** p&lt;.001, **p&lt;.01, *p&lt;.05.  </w:t>
      </w:r>
      <w:r w:rsidR="000E4704" w:rsidRPr="00520053">
        <w:rPr>
          <w:rFonts w:ascii="Garamond" w:hAnsi="Garamond"/>
          <w:b/>
          <w:sz w:val="24"/>
          <w:szCs w:val="24"/>
          <w:vertAlign w:val="superscript"/>
        </w:rPr>
        <w:t xml:space="preserve">2 </w:t>
      </w:r>
      <w:r w:rsidR="000E4704" w:rsidRPr="00520053">
        <w:rPr>
          <w:rFonts w:ascii="Garamond" w:hAnsi="Garamond"/>
          <w:sz w:val="24"/>
          <w:szCs w:val="24"/>
        </w:rPr>
        <w:t xml:space="preserve">Median (IQR) was used instead of mean (SD) for ordinal variables or </w:t>
      </w:r>
      <w:r w:rsidR="00475E82" w:rsidRPr="00520053">
        <w:rPr>
          <w:rFonts w:ascii="Garamond" w:hAnsi="Garamond"/>
          <w:sz w:val="24"/>
          <w:szCs w:val="24"/>
        </w:rPr>
        <w:t xml:space="preserve">continuous variables </w:t>
      </w:r>
      <w:r w:rsidR="000E4704" w:rsidRPr="00520053">
        <w:rPr>
          <w:rFonts w:ascii="Garamond" w:hAnsi="Garamond"/>
          <w:sz w:val="24"/>
          <w:szCs w:val="24"/>
        </w:rPr>
        <w:t>that were not</w:t>
      </w:r>
      <w:r w:rsidR="000E4704" w:rsidRPr="00520053">
        <w:rPr>
          <w:rFonts w:ascii="Garamond" w:hAnsi="Garamond"/>
          <w:b/>
          <w:sz w:val="24"/>
          <w:szCs w:val="24"/>
        </w:rPr>
        <w:t xml:space="preserve"> </w:t>
      </w:r>
      <w:r w:rsidR="000E4704" w:rsidRPr="00520053">
        <w:rPr>
          <w:rFonts w:ascii="Garamond" w:hAnsi="Garamond"/>
          <w:sz w:val="24"/>
          <w:szCs w:val="24"/>
        </w:rPr>
        <w:t>normally distributed</w:t>
      </w:r>
      <w:r w:rsidR="00980105">
        <w:rPr>
          <w:rFonts w:ascii="Garamond" w:hAnsi="Garamond"/>
          <w:sz w:val="24"/>
          <w:szCs w:val="24"/>
        </w:rPr>
        <w:t xml:space="preserve">.  </w:t>
      </w:r>
      <w:r w:rsidR="00980105" w:rsidRPr="00B611A5">
        <w:rPr>
          <w:rFonts w:ascii="Garamond" w:hAnsi="Garamond"/>
          <w:sz w:val="24"/>
          <w:szCs w:val="24"/>
          <w:highlight w:val="yellow"/>
          <w:vertAlign w:val="superscript"/>
        </w:rPr>
        <w:t>3</w:t>
      </w:r>
      <w:r w:rsidR="00980105" w:rsidRPr="00B611A5">
        <w:rPr>
          <w:rFonts w:ascii="Garamond" w:hAnsi="Garamond"/>
          <w:sz w:val="24"/>
          <w:szCs w:val="24"/>
          <w:highlight w:val="yellow"/>
        </w:rPr>
        <w:t xml:space="preserve">Parental social class and smoking status should be interpreted here as if they were continuous variables.   Higher values of each variable indicate greater socioeconomic disadvantage or greater exposure to </w:t>
      </w:r>
      <w:r w:rsidR="00B611A5" w:rsidRPr="00B611A5">
        <w:rPr>
          <w:rFonts w:ascii="Garamond" w:hAnsi="Garamond"/>
          <w:sz w:val="24"/>
          <w:szCs w:val="24"/>
          <w:highlight w:val="yellow"/>
        </w:rPr>
        <w:t>smoking respectively.</w:t>
      </w:r>
    </w:p>
    <w:sectPr w:rsidR="00074333" w:rsidSect="004373C1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FC4" w:rsidRDefault="005A6FC4" w:rsidP="00FE6ADE">
      <w:pPr>
        <w:spacing w:after="0" w:line="240" w:lineRule="auto"/>
      </w:pPr>
      <w:r>
        <w:separator/>
      </w:r>
    </w:p>
  </w:endnote>
  <w:endnote w:type="continuationSeparator" w:id="0">
    <w:p w:rsidR="005A6FC4" w:rsidRDefault="005A6FC4" w:rsidP="00FE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CD" w:rsidRDefault="001200C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B72EF">
      <w:rPr>
        <w:noProof/>
      </w:rPr>
      <w:t>1</w:t>
    </w:r>
    <w:r>
      <w:rPr>
        <w:noProof/>
      </w:rPr>
      <w:fldChar w:fldCharType="end"/>
    </w:r>
  </w:p>
  <w:p w:rsidR="001200CD" w:rsidRDefault="001200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FC4" w:rsidRDefault="005A6FC4" w:rsidP="00FE6ADE">
      <w:pPr>
        <w:spacing w:after="0" w:line="240" w:lineRule="auto"/>
      </w:pPr>
      <w:r>
        <w:separator/>
      </w:r>
    </w:p>
  </w:footnote>
  <w:footnote w:type="continuationSeparator" w:id="0">
    <w:p w:rsidR="005A6FC4" w:rsidRDefault="005A6FC4" w:rsidP="00FE6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B7BFB"/>
    <w:multiLevelType w:val="hybridMultilevel"/>
    <w:tmpl w:val="62829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15D77"/>
    <w:multiLevelType w:val="hybridMultilevel"/>
    <w:tmpl w:val="2B5AA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sychosomatic Medicine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5pwtstelpfp2devdd3pva0tf2a52x202vpv&quot;&gt;cog.convert&lt;record-ids&gt;&lt;item&gt;118&lt;/item&gt;&lt;item&gt;384&lt;/item&gt;&lt;item&gt;415&lt;/item&gt;&lt;item&gt;506&lt;/item&gt;&lt;item&gt;577&lt;/item&gt;&lt;item&gt;622&lt;/item&gt;&lt;item&gt;633&lt;/item&gt;&lt;item&gt;647&lt;/item&gt;&lt;item&gt;713&lt;/item&gt;&lt;item&gt;739&lt;/item&gt;&lt;item&gt;794&lt;/item&gt;&lt;item&gt;1056&lt;/item&gt;&lt;item&gt;1142&lt;/item&gt;&lt;item&gt;1143&lt;/item&gt;&lt;item&gt;1145&lt;/item&gt;&lt;item&gt;1147&lt;/item&gt;&lt;item&gt;1148&lt;/item&gt;&lt;item&gt;1150&lt;/item&gt;&lt;item&gt;1155&lt;/item&gt;&lt;item&gt;1156&lt;/item&gt;&lt;item&gt;1177&lt;/item&gt;&lt;item&gt;1178&lt;/item&gt;&lt;item&gt;1179&lt;/item&gt;&lt;item&gt;1180&lt;/item&gt;&lt;item&gt;1181&lt;/item&gt;&lt;item&gt;1182&lt;/item&gt;&lt;item&gt;1184&lt;/item&gt;&lt;item&gt;1185&lt;/item&gt;&lt;item&gt;1186&lt;/item&gt;&lt;item&gt;1189&lt;/item&gt;&lt;item&gt;1190&lt;/item&gt;&lt;item&gt;1192&lt;/item&gt;&lt;item&gt;1195&lt;/item&gt;&lt;item&gt;1196&lt;/item&gt;&lt;item&gt;1197&lt;/item&gt;&lt;item&gt;1198&lt;/item&gt;&lt;item&gt;1199&lt;/item&gt;&lt;item&gt;1205&lt;/item&gt;&lt;item&gt;1207&lt;/item&gt;&lt;item&gt;1208&lt;/item&gt;&lt;item&gt;1398&lt;/item&gt;&lt;item&gt;1399&lt;/item&gt;&lt;item&gt;1400&lt;/item&gt;&lt;item&gt;1401&lt;/item&gt;&lt;item&gt;1402&lt;/item&gt;&lt;item&gt;1403&lt;/item&gt;&lt;item&gt;1405&lt;/item&gt;&lt;item&gt;1406&lt;/item&gt;&lt;item&gt;1408&lt;/item&gt;&lt;item&gt;1409&lt;/item&gt;&lt;item&gt;1410&lt;/item&gt;&lt;/record-ids&gt;&lt;/item&gt;&lt;/Libraries&gt;"/>
  </w:docVars>
  <w:rsids>
    <w:rsidRoot w:val="00005A19"/>
    <w:rsid w:val="00005A19"/>
    <w:rsid w:val="00011BDC"/>
    <w:rsid w:val="00012CA9"/>
    <w:rsid w:val="0002621F"/>
    <w:rsid w:val="000277CA"/>
    <w:rsid w:val="00032001"/>
    <w:rsid w:val="00040712"/>
    <w:rsid w:val="00041B29"/>
    <w:rsid w:val="0004671A"/>
    <w:rsid w:val="000606B7"/>
    <w:rsid w:val="00066D97"/>
    <w:rsid w:val="000735F3"/>
    <w:rsid w:val="00074333"/>
    <w:rsid w:val="0008074B"/>
    <w:rsid w:val="00090BB9"/>
    <w:rsid w:val="0009670A"/>
    <w:rsid w:val="000A7D6E"/>
    <w:rsid w:val="000B3D11"/>
    <w:rsid w:val="000B3FD0"/>
    <w:rsid w:val="000C337B"/>
    <w:rsid w:val="000C36DE"/>
    <w:rsid w:val="000C464F"/>
    <w:rsid w:val="000C65B7"/>
    <w:rsid w:val="000D419B"/>
    <w:rsid w:val="000E4704"/>
    <w:rsid w:val="000E470A"/>
    <w:rsid w:val="000F2ACB"/>
    <w:rsid w:val="000F6424"/>
    <w:rsid w:val="00100B7D"/>
    <w:rsid w:val="00102685"/>
    <w:rsid w:val="00105F19"/>
    <w:rsid w:val="00114EB3"/>
    <w:rsid w:val="001163F1"/>
    <w:rsid w:val="001179D2"/>
    <w:rsid w:val="001200CD"/>
    <w:rsid w:val="00121C52"/>
    <w:rsid w:val="00137F37"/>
    <w:rsid w:val="00145C7F"/>
    <w:rsid w:val="00157AA3"/>
    <w:rsid w:val="00165662"/>
    <w:rsid w:val="001845B6"/>
    <w:rsid w:val="0018527F"/>
    <w:rsid w:val="0019234D"/>
    <w:rsid w:val="001A2907"/>
    <w:rsid w:val="001A7AD5"/>
    <w:rsid w:val="001C2C4C"/>
    <w:rsid w:val="001C3F8E"/>
    <w:rsid w:val="001D32B8"/>
    <w:rsid w:val="001E282A"/>
    <w:rsid w:val="001F0A01"/>
    <w:rsid w:val="001F0C88"/>
    <w:rsid w:val="001F49B4"/>
    <w:rsid w:val="001F73B3"/>
    <w:rsid w:val="002051E5"/>
    <w:rsid w:val="00213C23"/>
    <w:rsid w:val="00216197"/>
    <w:rsid w:val="002230A5"/>
    <w:rsid w:val="00226DD3"/>
    <w:rsid w:val="00231BFC"/>
    <w:rsid w:val="002336DB"/>
    <w:rsid w:val="0023510A"/>
    <w:rsid w:val="00241A0D"/>
    <w:rsid w:val="00243725"/>
    <w:rsid w:val="0025324F"/>
    <w:rsid w:val="00253A61"/>
    <w:rsid w:val="00266B99"/>
    <w:rsid w:val="0028255C"/>
    <w:rsid w:val="002833AE"/>
    <w:rsid w:val="002945A5"/>
    <w:rsid w:val="002A5606"/>
    <w:rsid w:val="002A7EBF"/>
    <w:rsid w:val="002B0E46"/>
    <w:rsid w:val="002B1326"/>
    <w:rsid w:val="002B32BD"/>
    <w:rsid w:val="002B4D58"/>
    <w:rsid w:val="002B62C5"/>
    <w:rsid w:val="002B6E54"/>
    <w:rsid w:val="002D5897"/>
    <w:rsid w:val="002D7999"/>
    <w:rsid w:val="002E7FB0"/>
    <w:rsid w:val="002F0682"/>
    <w:rsid w:val="002F0729"/>
    <w:rsid w:val="002F6AA2"/>
    <w:rsid w:val="00304689"/>
    <w:rsid w:val="00306192"/>
    <w:rsid w:val="003064D9"/>
    <w:rsid w:val="00312B9F"/>
    <w:rsid w:val="003131E8"/>
    <w:rsid w:val="003232D8"/>
    <w:rsid w:val="00326A08"/>
    <w:rsid w:val="003379E7"/>
    <w:rsid w:val="00337FBE"/>
    <w:rsid w:val="00344550"/>
    <w:rsid w:val="003465BF"/>
    <w:rsid w:val="00351181"/>
    <w:rsid w:val="00365236"/>
    <w:rsid w:val="003661B0"/>
    <w:rsid w:val="00371888"/>
    <w:rsid w:val="00371AE8"/>
    <w:rsid w:val="00376A01"/>
    <w:rsid w:val="003927EB"/>
    <w:rsid w:val="003A0599"/>
    <w:rsid w:val="003A1C78"/>
    <w:rsid w:val="003A693A"/>
    <w:rsid w:val="003B0D39"/>
    <w:rsid w:val="003B38A0"/>
    <w:rsid w:val="003B55F8"/>
    <w:rsid w:val="003C042C"/>
    <w:rsid w:val="003C4180"/>
    <w:rsid w:val="003C577C"/>
    <w:rsid w:val="003D4DA1"/>
    <w:rsid w:val="003E09F9"/>
    <w:rsid w:val="003F35F5"/>
    <w:rsid w:val="003F4087"/>
    <w:rsid w:val="00420211"/>
    <w:rsid w:val="004261E3"/>
    <w:rsid w:val="00426A58"/>
    <w:rsid w:val="00430FA2"/>
    <w:rsid w:val="004325D4"/>
    <w:rsid w:val="00433585"/>
    <w:rsid w:val="004373C1"/>
    <w:rsid w:val="00441733"/>
    <w:rsid w:val="0044389D"/>
    <w:rsid w:val="00452B27"/>
    <w:rsid w:val="00457797"/>
    <w:rsid w:val="0046433B"/>
    <w:rsid w:val="0046612E"/>
    <w:rsid w:val="004708A9"/>
    <w:rsid w:val="0047524B"/>
    <w:rsid w:val="00475E82"/>
    <w:rsid w:val="004807A8"/>
    <w:rsid w:val="00485021"/>
    <w:rsid w:val="0048683F"/>
    <w:rsid w:val="004A5059"/>
    <w:rsid w:val="004B6F94"/>
    <w:rsid w:val="004C3CF7"/>
    <w:rsid w:val="004D0F47"/>
    <w:rsid w:val="004D7FA4"/>
    <w:rsid w:val="004E092D"/>
    <w:rsid w:val="004E5702"/>
    <w:rsid w:val="004F1CD3"/>
    <w:rsid w:val="004F483E"/>
    <w:rsid w:val="00503D9F"/>
    <w:rsid w:val="00510421"/>
    <w:rsid w:val="00513911"/>
    <w:rsid w:val="00520053"/>
    <w:rsid w:val="00521B10"/>
    <w:rsid w:val="0052226C"/>
    <w:rsid w:val="00523D04"/>
    <w:rsid w:val="00530415"/>
    <w:rsid w:val="00537F3B"/>
    <w:rsid w:val="005401C2"/>
    <w:rsid w:val="0054550A"/>
    <w:rsid w:val="0056799F"/>
    <w:rsid w:val="0057200D"/>
    <w:rsid w:val="00572AF9"/>
    <w:rsid w:val="00575656"/>
    <w:rsid w:val="0059476E"/>
    <w:rsid w:val="005A0B56"/>
    <w:rsid w:val="005A3148"/>
    <w:rsid w:val="005A6FC4"/>
    <w:rsid w:val="005B0E82"/>
    <w:rsid w:val="005B481D"/>
    <w:rsid w:val="005B72EF"/>
    <w:rsid w:val="005B799E"/>
    <w:rsid w:val="005B7AE9"/>
    <w:rsid w:val="005C2FD3"/>
    <w:rsid w:val="005C510D"/>
    <w:rsid w:val="005D0706"/>
    <w:rsid w:val="005D465A"/>
    <w:rsid w:val="005E18B4"/>
    <w:rsid w:val="005E2E43"/>
    <w:rsid w:val="005E576A"/>
    <w:rsid w:val="005E615C"/>
    <w:rsid w:val="005F2849"/>
    <w:rsid w:val="005F460E"/>
    <w:rsid w:val="005F7878"/>
    <w:rsid w:val="006074AF"/>
    <w:rsid w:val="00610404"/>
    <w:rsid w:val="006256E4"/>
    <w:rsid w:val="00634A8F"/>
    <w:rsid w:val="0064013C"/>
    <w:rsid w:val="006412E5"/>
    <w:rsid w:val="00645158"/>
    <w:rsid w:val="006540C6"/>
    <w:rsid w:val="0065469D"/>
    <w:rsid w:val="006548F7"/>
    <w:rsid w:val="00655CB9"/>
    <w:rsid w:val="00666A45"/>
    <w:rsid w:val="0067378A"/>
    <w:rsid w:val="00675FA9"/>
    <w:rsid w:val="00683925"/>
    <w:rsid w:val="006861AE"/>
    <w:rsid w:val="00687B1D"/>
    <w:rsid w:val="00693343"/>
    <w:rsid w:val="006938EB"/>
    <w:rsid w:val="00697051"/>
    <w:rsid w:val="006A0922"/>
    <w:rsid w:val="006A1026"/>
    <w:rsid w:val="006A3A16"/>
    <w:rsid w:val="006A7008"/>
    <w:rsid w:val="006B5818"/>
    <w:rsid w:val="006C1970"/>
    <w:rsid w:val="006D089F"/>
    <w:rsid w:val="006D1499"/>
    <w:rsid w:val="006D3A10"/>
    <w:rsid w:val="006D55D9"/>
    <w:rsid w:val="006D62C2"/>
    <w:rsid w:val="006E0D9E"/>
    <w:rsid w:val="006E4175"/>
    <w:rsid w:val="006E5661"/>
    <w:rsid w:val="007110C5"/>
    <w:rsid w:val="00715233"/>
    <w:rsid w:val="007177FF"/>
    <w:rsid w:val="007448FB"/>
    <w:rsid w:val="00744C82"/>
    <w:rsid w:val="0075124E"/>
    <w:rsid w:val="00772902"/>
    <w:rsid w:val="00784BE1"/>
    <w:rsid w:val="00790166"/>
    <w:rsid w:val="0079116B"/>
    <w:rsid w:val="007969D3"/>
    <w:rsid w:val="007A44A1"/>
    <w:rsid w:val="007A5D77"/>
    <w:rsid w:val="007A6FB4"/>
    <w:rsid w:val="007A7F8D"/>
    <w:rsid w:val="007A7FBB"/>
    <w:rsid w:val="007C07DE"/>
    <w:rsid w:val="007C4FEE"/>
    <w:rsid w:val="007C6F93"/>
    <w:rsid w:val="007E1F3D"/>
    <w:rsid w:val="007F7B79"/>
    <w:rsid w:val="008046B4"/>
    <w:rsid w:val="00807922"/>
    <w:rsid w:val="00810726"/>
    <w:rsid w:val="008224EF"/>
    <w:rsid w:val="0082650A"/>
    <w:rsid w:val="0083621B"/>
    <w:rsid w:val="00840CEA"/>
    <w:rsid w:val="0084540A"/>
    <w:rsid w:val="00860AF8"/>
    <w:rsid w:val="00863481"/>
    <w:rsid w:val="008636FC"/>
    <w:rsid w:val="00865C98"/>
    <w:rsid w:val="0087549D"/>
    <w:rsid w:val="008764CE"/>
    <w:rsid w:val="008973F7"/>
    <w:rsid w:val="008975BD"/>
    <w:rsid w:val="008979D9"/>
    <w:rsid w:val="008A3433"/>
    <w:rsid w:val="008A7D76"/>
    <w:rsid w:val="008B16DC"/>
    <w:rsid w:val="008B6207"/>
    <w:rsid w:val="008B66EC"/>
    <w:rsid w:val="008B6886"/>
    <w:rsid w:val="008C34E7"/>
    <w:rsid w:val="008D7467"/>
    <w:rsid w:val="008E2620"/>
    <w:rsid w:val="008E52A9"/>
    <w:rsid w:val="008F24DA"/>
    <w:rsid w:val="008F4461"/>
    <w:rsid w:val="00902AC8"/>
    <w:rsid w:val="009171F1"/>
    <w:rsid w:val="00917828"/>
    <w:rsid w:val="009328A7"/>
    <w:rsid w:val="0094167B"/>
    <w:rsid w:val="0094253E"/>
    <w:rsid w:val="009466C7"/>
    <w:rsid w:val="00950E7D"/>
    <w:rsid w:val="00977311"/>
    <w:rsid w:val="00980105"/>
    <w:rsid w:val="009807BA"/>
    <w:rsid w:val="00981CFA"/>
    <w:rsid w:val="009827FC"/>
    <w:rsid w:val="009975E8"/>
    <w:rsid w:val="009A029A"/>
    <w:rsid w:val="009A27BA"/>
    <w:rsid w:val="009A54A5"/>
    <w:rsid w:val="009B32C2"/>
    <w:rsid w:val="009D1E40"/>
    <w:rsid w:val="009D3A02"/>
    <w:rsid w:val="009E24BE"/>
    <w:rsid w:val="009E47DF"/>
    <w:rsid w:val="009F1918"/>
    <w:rsid w:val="009F618B"/>
    <w:rsid w:val="00A00E97"/>
    <w:rsid w:val="00A0533C"/>
    <w:rsid w:val="00A117ED"/>
    <w:rsid w:val="00A121AB"/>
    <w:rsid w:val="00A32067"/>
    <w:rsid w:val="00A42803"/>
    <w:rsid w:val="00A436DC"/>
    <w:rsid w:val="00A47ABC"/>
    <w:rsid w:val="00A643A0"/>
    <w:rsid w:val="00A658A4"/>
    <w:rsid w:val="00A854E9"/>
    <w:rsid w:val="00A86E87"/>
    <w:rsid w:val="00A90C19"/>
    <w:rsid w:val="00AA2039"/>
    <w:rsid w:val="00AA3935"/>
    <w:rsid w:val="00AA7B43"/>
    <w:rsid w:val="00AC5FA9"/>
    <w:rsid w:val="00AD20DA"/>
    <w:rsid w:val="00AD2275"/>
    <w:rsid w:val="00AE56F8"/>
    <w:rsid w:val="00AE79C0"/>
    <w:rsid w:val="00AF167C"/>
    <w:rsid w:val="00B05E7C"/>
    <w:rsid w:val="00B06C19"/>
    <w:rsid w:val="00B15951"/>
    <w:rsid w:val="00B16F5B"/>
    <w:rsid w:val="00B23341"/>
    <w:rsid w:val="00B255ED"/>
    <w:rsid w:val="00B33A19"/>
    <w:rsid w:val="00B362F2"/>
    <w:rsid w:val="00B40D14"/>
    <w:rsid w:val="00B431AF"/>
    <w:rsid w:val="00B44472"/>
    <w:rsid w:val="00B5457A"/>
    <w:rsid w:val="00B54C89"/>
    <w:rsid w:val="00B57D51"/>
    <w:rsid w:val="00B6086B"/>
    <w:rsid w:val="00B611A5"/>
    <w:rsid w:val="00B62DFA"/>
    <w:rsid w:val="00B72256"/>
    <w:rsid w:val="00B7279C"/>
    <w:rsid w:val="00B7659E"/>
    <w:rsid w:val="00B82A68"/>
    <w:rsid w:val="00B83BE6"/>
    <w:rsid w:val="00B92537"/>
    <w:rsid w:val="00B95E3A"/>
    <w:rsid w:val="00BC4254"/>
    <w:rsid w:val="00BC7685"/>
    <w:rsid w:val="00BD16E9"/>
    <w:rsid w:val="00BD3841"/>
    <w:rsid w:val="00BD48B8"/>
    <w:rsid w:val="00BD6DBF"/>
    <w:rsid w:val="00BE6341"/>
    <w:rsid w:val="00BE7587"/>
    <w:rsid w:val="00BF2F87"/>
    <w:rsid w:val="00BF4D81"/>
    <w:rsid w:val="00BF5919"/>
    <w:rsid w:val="00C025E6"/>
    <w:rsid w:val="00C05A10"/>
    <w:rsid w:val="00C07548"/>
    <w:rsid w:val="00C077B2"/>
    <w:rsid w:val="00C10E25"/>
    <w:rsid w:val="00C130CA"/>
    <w:rsid w:val="00C32D02"/>
    <w:rsid w:val="00C63CF0"/>
    <w:rsid w:val="00C652D0"/>
    <w:rsid w:val="00C817B8"/>
    <w:rsid w:val="00C85AAD"/>
    <w:rsid w:val="00C93F05"/>
    <w:rsid w:val="00C953B9"/>
    <w:rsid w:val="00CA2AC9"/>
    <w:rsid w:val="00CA4875"/>
    <w:rsid w:val="00CA6019"/>
    <w:rsid w:val="00CD4699"/>
    <w:rsid w:val="00CD5EA1"/>
    <w:rsid w:val="00CE131B"/>
    <w:rsid w:val="00CE1ABB"/>
    <w:rsid w:val="00CE3D88"/>
    <w:rsid w:val="00CE46EE"/>
    <w:rsid w:val="00CF5080"/>
    <w:rsid w:val="00CF6F05"/>
    <w:rsid w:val="00D0515B"/>
    <w:rsid w:val="00D13F45"/>
    <w:rsid w:val="00D14DB1"/>
    <w:rsid w:val="00D1753C"/>
    <w:rsid w:val="00D20D89"/>
    <w:rsid w:val="00D30799"/>
    <w:rsid w:val="00D34EDF"/>
    <w:rsid w:val="00D4067B"/>
    <w:rsid w:val="00D5174F"/>
    <w:rsid w:val="00D642CA"/>
    <w:rsid w:val="00D67997"/>
    <w:rsid w:val="00D70514"/>
    <w:rsid w:val="00D70D4C"/>
    <w:rsid w:val="00D71D80"/>
    <w:rsid w:val="00D72805"/>
    <w:rsid w:val="00D74EFE"/>
    <w:rsid w:val="00D753A0"/>
    <w:rsid w:val="00D76479"/>
    <w:rsid w:val="00D77C9E"/>
    <w:rsid w:val="00D85407"/>
    <w:rsid w:val="00D977D5"/>
    <w:rsid w:val="00DA47A8"/>
    <w:rsid w:val="00DB0F9C"/>
    <w:rsid w:val="00DB10C3"/>
    <w:rsid w:val="00DB4BFA"/>
    <w:rsid w:val="00DB7FED"/>
    <w:rsid w:val="00DC2D29"/>
    <w:rsid w:val="00DC4E49"/>
    <w:rsid w:val="00DD67D3"/>
    <w:rsid w:val="00DE11A1"/>
    <w:rsid w:val="00DE1912"/>
    <w:rsid w:val="00DE6905"/>
    <w:rsid w:val="00DE729F"/>
    <w:rsid w:val="00DF07AE"/>
    <w:rsid w:val="00DF1386"/>
    <w:rsid w:val="00DF7BCE"/>
    <w:rsid w:val="00E01BB0"/>
    <w:rsid w:val="00E05191"/>
    <w:rsid w:val="00E14166"/>
    <w:rsid w:val="00E206EC"/>
    <w:rsid w:val="00E20ED7"/>
    <w:rsid w:val="00E264AD"/>
    <w:rsid w:val="00E321EA"/>
    <w:rsid w:val="00E51ABB"/>
    <w:rsid w:val="00E55620"/>
    <w:rsid w:val="00E55E67"/>
    <w:rsid w:val="00E64A56"/>
    <w:rsid w:val="00E70063"/>
    <w:rsid w:val="00E72498"/>
    <w:rsid w:val="00E775A8"/>
    <w:rsid w:val="00E860D3"/>
    <w:rsid w:val="00E90126"/>
    <w:rsid w:val="00E92B08"/>
    <w:rsid w:val="00E93A82"/>
    <w:rsid w:val="00EA218E"/>
    <w:rsid w:val="00EA79E7"/>
    <w:rsid w:val="00EA7F2F"/>
    <w:rsid w:val="00EB34AC"/>
    <w:rsid w:val="00EB370B"/>
    <w:rsid w:val="00EC34DE"/>
    <w:rsid w:val="00ED6F71"/>
    <w:rsid w:val="00EF11F3"/>
    <w:rsid w:val="00EF6CD0"/>
    <w:rsid w:val="00F07337"/>
    <w:rsid w:val="00F0742C"/>
    <w:rsid w:val="00F121B9"/>
    <w:rsid w:val="00F22980"/>
    <w:rsid w:val="00F23CA8"/>
    <w:rsid w:val="00F24865"/>
    <w:rsid w:val="00F40945"/>
    <w:rsid w:val="00F42E5C"/>
    <w:rsid w:val="00F53237"/>
    <w:rsid w:val="00F5379C"/>
    <w:rsid w:val="00F6091B"/>
    <w:rsid w:val="00F7362D"/>
    <w:rsid w:val="00F838BC"/>
    <w:rsid w:val="00F8785F"/>
    <w:rsid w:val="00F97D72"/>
    <w:rsid w:val="00FA68D6"/>
    <w:rsid w:val="00FB23E9"/>
    <w:rsid w:val="00FB4ECB"/>
    <w:rsid w:val="00FC032D"/>
    <w:rsid w:val="00FC04C8"/>
    <w:rsid w:val="00FC545E"/>
    <w:rsid w:val="00FD5F43"/>
    <w:rsid w:val="00FE08AC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2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D5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D59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2F20C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13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9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139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9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39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9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39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4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9"/>
  </w:style>
  <w:style w:type="paragraph" w:styleId="Footer">
    <w:name w:val="footer"/>
    <w:basedOn w:val="Normal"/>
    <w:link w:val="FooterChar"/>
    <w:uiPriority w:val="99"/>
    <w:unhideWhenUsed/>
    <w:rsid w:val="002C4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9"/>
  </w:style>
  <w:style w:type="character" w:styleId="Hyperlink">
    <w:name w:val="Hyperlink"/>
    <w:uiPriority w:val="99"/>
    <w:unhideWhenUsed/>
    <w:rsid w:val="003B6773"/>
    <w:rPr>
      <w:color w:val="0000FF"/>
      <w:u w:val="single"/>
    </w:rPr>
  </w:style>
  <w:style w:type="character" w:styleId="Strong">
    <w:name w:val="Strong"/>
    <w:uiPriority w:val="22"/>
    <w:qFormat/>
    <w:rsid w:val="002F1F98"/>
    <w:rPr>
      <w:b/>
      <w:bCs/>
    </w:rPr>
  </w:style>
  <w:style w:type="table" w:customStyle="1" w:styleId="LightShading1">
    <w:name w:val="Light Shading1"/>
    <w:basedOn w:val="TableNormal"/>
    <w:uiPriority w:val="60"/>
    <w:rsid w:val="0072498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1Char">
    <w:name w:val="Heading 1 Char"/>
    <w:link w:val="Heading1"/>
    <w:uiPriority w:val="9"/>
    <w:rsid w:val="001D59A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1D59A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ighlight">
    <w:name w:val="highlight"/>
    <w:rsid w:val="001D59A3"/>
  </w:style>
  <w:style w:type="paragraph" w:styleId="NormalWeb">
    <w:name w:val="Normal (Web)"/>
    <w:basedOn w:val="Normal"/>
    <w:uiPriority w:val="99"/>
    <w:semiHidden/>
    <w:unhideWhenUsed/>
    <w:rsid w:val="001D59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3A1C78"/>
    <w:rPr>
      <w:sz w:val="22"/>
      <w:szCs w:val="22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D70D4C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har">
    <w:name w:val="EndNote Bibliography Title Char"/>
    <w:link w:val="EndNoteBibliographyTitle"/>
    <w:rsid w:val="00D70D4C"/>
    <w:rPr>
      <w:rFonts w:cs="Calibri"/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D70D4C"/>
    <w:pPr>
      <w:spacing w:line="240" w:lineRule="auto"/>
    </w:pPr>
    <w:rPr>
      <w:rFonts w:cs="Calibri"/>
      <w:noProof/>
      <w:lang w:val="en-US"/>
    </w:rPr>
  </w:style>
  <w:style w:type="character" w:customStyle="1" w:styleId="EndNoteBibliographyChar">
    <w:name w:val="EndNote Bibliography Char"/>
    <w:link w:val="EndNoteBibliography"/>
    <w:rsid w:val="00D70D4C"/>
    <w:rPr>
      <w:rFonts w:cs="Calibri"/>
      <w:noProof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2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D5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D59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2F20C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13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9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139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9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39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9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39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4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9"/>
  </w:style>
  <w:style w:type="paragraph" w:styleId="Footer">
    <w:name w:val="footer"/>
    <w:basedOn w:val="Normal"/>
    <w:link w:val="FooterChar"/>
    <w:uiPriority w:val="99"/>
    <w:unhideWhenUsed/>
    <w:rsid w:val="002C4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9"/>
  </w:style>
  <w:style w:type="character" w:styleId="Hyperlink">
    <w:name w:val="Hyperlink"/>
    <w:uiPriority w:val="99"/>
    <w:unhideWhenUsed/>
    <w:rsid w:val="003B6773"/>
    <w:rPr>
      <w:color w:val="0000FF"/>
      <w:u w:val="single"/>
    </w:rPr>
  </w:style>
  <w:style w:type="character" w:styleId="Strong">
    <w:name w:val="Strong"/>
    <w:uiPriority w:val="22"/>
    <w:qFormat/>
    <w:rsid w:val="002F1F98"/>
    <w:rPr>
      <w:b/>
      <w:bCs/>
    </w:rPr>
  </w:style>
  <w:style w:type="table" w:customStyle="1" w:styleId="LightShading1">
    <w:name w:val="Light Shading1"/>
    <w:basedOn w:val="TableNormal"/>
    <w:uiPriority w:val="60"/>
    <w:rsid w:val="0072498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1Char">
    <w:name w:val="Heading 1 Char"/>
    <w:link w:val="Heading1"/>
    <w:uiPriority w:val="9"/>
    <w:rsid w:val="001D59A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1D59A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ighlight">
    <w:name w:val="highlight"/>
    <w:rsid w:val="001D59A3"/>
  </w:style>
  <w:style w:type="paragraph" w:styleId="NormalWeb">
    <w:name w:val="Normal (Web)"/>
    <w:basedOn w:val="Normal"/>
    <w:uiPriority w:val="99"/>
    <w:semiHidden/>
    <w:unhideWhenUsed/>
    <w:rsid w:val="001D59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3A1C78"/>
    <w:rPr>
      <w:sz w:val="22"/>
      <w:szCs w:val="22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D70D4C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har">
    <w:name w:val="EndNote Bibliography Title Char"/>
    <w:link w:val="EndNoteBibliographyTitle"/>
    <w:rsid w:val="00D70D4C"/>
    <w:rPr>
      <w:rFonts w:cs="Calibri"/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D70D4C"/>
    <w:pPr>
      <w:spacing w:line="240" w:lineRule="auto"/>
    </w:pPr>
    <w:rPr>
      <w:rFonts w:cs="Calibri"/>
      <w:noProof/>
      <w:lang w:val="en-US"/>
    </w:rPr>
  </w:style>
  <w:style w:type="character" w:customStyle="1" w:styleId="EndNoteBibliographyChar">
    <w:name w:val="EndNote Bibliography Char"/>
    <w:link w:val="EndNoteBibliography"/>
    <w:rsid w:val="00D70D4C"/>
    <w:rPr>
      <w:rFonts w:cs="Calibri"/>
      <w:noProof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8E0E8-1951-499F-80F7-E970E703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Links>
    <vt:vector size="318" baseType="variant">
      <vt:variant>
        <vt:i4>3670125</vt:i4>
      </vt:variant>
      <vt:variant>
        <vt:i4>323</vt:i4>
      </vt:variant>
      <vt:variant>
        <vt:i4>0</vt:i4>
      </vt:variant>
      <vt:variant>
        <vt:i4>5</vt:i4>
      </vt:variant>
      <vt:variant>
        <vt:lpwstr>http://medweb.bham.ac.uk/easdec/prevention/HBA1c &amp; type 2 diabetes.htm</vt:lpwstr>
      </vt:variant>
      <vt:variant>
        <vt:lpwstr/>
      </vt:variant>
      <vt:variant>
        <vt:i4>4194315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4456459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4456459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4521995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4521995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4521995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4521995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4521995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4521995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4587531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4718603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4521995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4718603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4521995</vt:i4>
      </vt:variant>
      <vt:variant>
        <vt:i4>235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229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4390923</vt:i4>
      </vt:variant>
      <vt:variant>
        <vt:i4>223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4325387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4194315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4325387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4390923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4784139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 Catharine</dc:creator>
  <cp:lastModifiedBy>Karen Drake</cp:lastModifiedBy>
  <cp:revision>2</cp:revision>
  <cp:lastPrinted>2015-01-07T11:20:00Z</cp:lastPrinted>
  <dcterms:created xsi:type="dcterms:W3CDTF">2015-07-15T14:25:00Z</dcterms:created>
  <dcterms:modified xsi:type="dcterms:W3CDTF">2015-07-15T14:25:00Z</dcterms:modified>
</cp:coreProperties>
</file>