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0A" w:rsidRPr="00E02FD7" w:rsidRDefault="0094430A" w:rsidP="0094430A">
      <w:pPr>
        <w:autoSpaceDE w:val="0"/>
        <w:autoSpaceDN w:val="0"/>
        <w:adjustRightInd w:val="0"/>
        <w:spacing w:line="480" w:lineRule="auto"/>
        <w:jc w:val="center"/>
        <w:rPr>
          <w:b/>
          <w:color w:val="000000"/>
          <w:sz w:val="24"/>
          <w:szCs w:val="24"/>
        </w:rPr>
      </w:pPr>
      <w:r w:rsidRPr="00E02FD7">
        <w:rPr>
          <w:b/>
          <w:color w:val="000000"/>
          <w:sz w:val="24"/>
          <w:szCs w:val="24"/>
        </w:rPr>
        <w:t>Title Page</w:t>
      </w:r>
    </w:p>
    <w:p w:rsidR="007F4FDF" w:rsidRPr="00E02FD7" w:rsidRDefault="006D6712" w:rsidP="00A640FB">
      <w:pPr>
        <w:autoSpaceDE w:val="0"/>
        <w:autoSpaceDN w:val="0"/>
        <w:adjustRightInd w:val="0"/>
        <w:spacing w:line="480" w:lineRule="auto"/>
        <w:rPr>
          <w:color w:val="000000"/>
          <w:sz w:val="24"/>
          <w:szCs w:val="24"/>
        </w:rPr>
      </w:pPr>
      <w:r w:rsidRPr="00E02FD7">
        <w:rPr>
          <w:color w:val="000000"/>
          <w:sz w:val="24"/>
          <w:szCs w:val="24"/>
        </w:rPr>
        <w:t xml:space="preserve">Evaluating the </w:t>
      </w:r>
      <w:r w:rsidR="007F4FDF" w:rsidRPr="00E02FD7">
        <w:rPr>
          <w:color w:val="000000"/>
          <w:sz w:val="24"/>
          <w:szCs w:val="24"/>
        </w:rPr>
        <w:t xml:space="preserve">feasibility and effectiveness of a critical care discharge information pack for patients and their families; a </w:t>
      </w:r>
      <w:r w:rsidR="006C4488" w:rsidRPr="00E02FD7">
        <w:rPr>
          <w:color w:val="000000"/>
          <w:sz w:val="24"/>
          <w:szCs w:val="24"/>
        </w:rPr>
        <w:t xml:space="preserve">pilot </w:t>
      </w:r>
      <w:r w:rsidR="005154A2" w:rsidRPr="00E02FD7">
        <w:rPr>
          <w:color w:val="000000"/>
          <w:sz w:val="24"/>
          <w:szCs w:val="24"/>
        </w:rPr>
        <w:t xml:space="preserve">cluster </w:t>
      </w:r>
      <w:r w:rsidR="007F4FDF" w:rsidRPr="00E02FD7">
        <w:rPr>
          <w:color w:val="000000"/>
          <w:sz w:val="24"/>
          <w:szCs w:val="24"/>
        </w:rPr>
        <w:t>randomized controlled trial</w:t>
      </w:r>
    </w:p>
    <w:p w:rsidR="0094430A" w:rsidRPr="00E02FD7" w:rsidRDefault="0094430A" w:rsidP="0094430A">
      <w:pPr>
        <w:autoSpaceDE w:val="0"/>
        <w:autoSpaceDN w:val="0"/>
        <w:adjustRightInd w:val="0"/>
        <w:spacing w:after="0" w:line="360" w:lineRule="auto"/>
        <w:rPr>
          <w:b/>
          <w:bCs/>
          <w:color w:val="000000"/>
        </w:rPr>
      </w:pPr>
      <w:r w:rsidRPr="00E02FD7">
        <w:rPr>
          <w:b/>
          <w:bCs/>
          <w:color w:val="000000"/>
        </w:rPr>
        <w:t xml:space="preserve">Corresponding Author </w:t>
      </w:r>
    </w:p>
    <w:p w:rsidR="0094430A" w:rsidRPr="00E02FD7" w:rsidRDefault="0094430A" w:rsidP="0094430A">
      <w:pPr>
        <w:pStyle w:val="ListParagraph"/>
        <w:numPr>
          <w:ilvl w:val="0"/>
          <w:numId w:val="12"/>
        </w:numPr>
        <w:autoSpaceDE w:val="0"/>
        <w:autoSpaceDN w:val="0"/>
        <w:adjustRightInd w:val="0"/>
        <w:spacing w:after="0" w:line="360" w:lineRule="auto"/>
        <w:ind w:hanging="720"/>
        <w:rPr>
          <w:color w:val="000000"/>
        </w:rPr>
      </w:pPr>
      <w:r w:rsidRPr="00E02FD7">
        <w:rPr>
          <w:b/>
          <w:bCs/>
          <w:color w:val="000000"/>
        </w:rPr>
        <w:t xml:space="preserve">Dr Suzanne Bench </w:t>
      </w:r>
    </w:p>
    <w:p w:rsidR="0094430A" w:rsidRPr="00E02FD7" w:rsidRDefault="0094430A" w:rsidP="0094430A">
      <w:pPr>
        <w:autoSpaceDE w:val="0"/>
        <w:autoSpaceDN w:val="0"/>
        <w:adjustRightInd w:val="0"/>
        <w:spacing w:after="0" w:line="360" w:lineRule="auto"/>
        <w:rPr>
          <w:color w:val="000000"/>
        </w:rPr>
      </w:pPr>
      <w:r w:rsidRPr="00E02FD7">
        <w:rPr>
          <w:color w:val="000000"/>
        </w:rPr>
        <w:t xml:space="preserve">PhD, MSc, </w:t>
      </w:r>
      <w:proofErr w:type="spellStart"/>
      <w:r w:rsidRPr="00E02FD7">
        <w:rPr>
          <w:color w:val="000000"/>
        </w:rPr>
        <w:t>PGDipHE</w:t>
      </w:r>
      <w:proofErr w:type="spellEnd"/>
      <w:r w:rsidRPr="00E02FD7">
        <w:rPr>
          <w:color w:val="000000"/>
        </w:rPr>
        <w:t>, BSc (Hons), RGN, ENB 100 (Intensive Care Nursing)</w:t>
      </w:r>
    </w:p>
    <w:p w:rsidR="0094430A" w:rsidRPr="00E02FD7" w:rsidRDefault="0094430A" w:rsidP="0094430A">
      <w:pPr>
        <w:autoSpaceDE w:val="0"/>
        <w:autoSpaceDN w:val="0"/>
        <w:adjustRightInd w:val="0"/>
        <w:spacing w:after="0" w:line="360" w:lineRule="auto"/>
        <w:rPr>
          <w:color w:val="000000"/>
        </w:rPr>
      </w:pPr>
      <w:r w:rsidRPr="00E02FD7">
        <w:rPr>
          <w:color w:val="000000"/>
        </w:rPr>
        <w:t>Lecturer in nursing</w:t>
      </w:r>
    </w:p>
    <w:p w:rsidR="0094430A" w:rsidRPr="00E02FD7" w:rsidRDefault="0094430A" w:rsidP="0094430A">
      <w:pPr>
        <w:autoSpaceDE w:val="0"/>
        <w:autoSpaceDN w:val="0"/>
        <w:adjustRightInd w:val="0"/>
        <w:spacing w:after="0" w:line="360" w:lineRule="auto"/>
        <w:rPr>
          <w:color w:val="000000"/>
        </w:rPr>
      </w:pPr>
      <w:r w:rsidRPr="00E02FD7">
        <w:rPr>
          <w:color w:val="000000"/>
        </w:rPr>
        <w:t>Florence Nightingale Faculty of Nursing and Midwifery, King’s College, London</w:t>
      </w:r>
    </w:p>
    <w:p w:rsidR="0094430A" w:rsidRPr="00E02FD7" w:rsidRDefault="0094430A" w:rsidP="0094430A">
      <w:pPr>
        <w:autoSpaceDE w:val="0"/>
        <w:autoSpaceDN w:val="0"/>
        <w:adjustRightInd w:val="0"/>
        <w:spacing w:after="0" w:line="360" w:lineRule="auto"/>
        <w:rPr>
          <w:color w:val="000000"/>
        </w:rPr>
      </w:pPr>
      <w:r w:rsidRPr="00E02FD7">
        <w:rPr>
          <w:color w:val="000000"/>
        </w:rPr>
        <w:t>57 Waterloo Road, London</w:t>
      </w:r>
    </w:p>
    <w:p w:rsidR="0094430A" w:rsidRPr="00E02FD7" w:rsidRDefault="0094430A" w:rsidP="0094430A">
      <w:pPr>
        <w:autoSpaceDE w:val="0"/>
        <w:autoSpaceDN w:val="0"/>
        <w:adjustRightInd w:val="0"/>
        <w:spacing w:after="0" w:line="360" w:lineRule="auto"/>
        <w:rPr>
          <w:color w:val="000000"/>
        </w:rPr>
      </w:pPr>
      <w:proofErr w:type="gramStart"/>
      <w:r w:rsidRPr="00E02FD7">
        <w:rPr>
          <w:color w:val="000000"/>
        </w:rPr>
        <w:t>SE1 8WA, U.K.</w:t>
      </w:r>
      <w:proofErr w:type="gramEnd"/>
    </w:p>
    <w:p w:rsidR="0094430A" w:rsidRPr="005741FB" w:rsidRDefault="0094430A" w:rsidP="0094430A">
      <w:pPr>
        <w:autoSpaceDE w:val="0"/>
        <w:autoSpaceDN w:val="0"/>
        <w:adjustRightInd w:val="0"/>
        <w:spacing w:after="0" w:line="360" w:lineRule="auto"/>
        <w:rPr>
          <w:lang w:val="fr-FR"/>
        </w:rPr>
      </w:pPr>
      <w:r w:rsidRPr="005741FB">
        <w:rPr>
          <w:lang w:val="fr-FR"/>
        </w:rPr>
        <w:t>Email: suzanne.bench@kcl.ac.uk</w:t>
      </w:r>
    </w:p>
    <w:p w:rsidR="0094430A" w:rsidRPr="00E02FD7" w:rsidRDefault="0094430A" w:rsidP="0094430A">
      <w:pPr>
        <w:autoSpaceDE w:val="0"/>
        <w:autoSpaceDN w:val="0"/>
        <w:adjustRightInd w:val="0"/>
        <w:spacing w:after="0" w:line="360" w:lineRule="auto"/>
        <w:rPr>
          <w:color w:val="000000"/>
        </w:rPr>
      </w:pPr>
      <w:r w:rsidRPr="00E02FD7">
        <w:rPr>
          <w:color w:val="000000"/>
        </w:rPr>
        <w:t xml:space="preserve">Tel: 0044 207 848 3550 </w:t>
      </w:r>
    </w:p>
    <w:p w:rsidR="0094430A" w:rsidRPr="00E02FD7" w:rsidRDefault="0094430A" w:rsidP="0094430A">
      <w:pPr>
        <w:autoSpaceDE w:val="0"/>
        <w:autoSpaceDN w:val="0"/>
        <w:adjustRightInd w:val="0"/>
        <w:spacing w:after="0" w:line="360" w:lineRule="auto"/>
        <w:rPr>
          <w:b/>
          <w:bCs/>
          <w:color w:val="000000"/>
        </w:rPr>
      </w:pPr>
    </w:p>
    <w:p w:rsidR="0094430A" w:rsidRPr="00E02FD7" w:rsidRDefault="0094430A" w:rsidP="0094430A">
      <w:pPr>
        <w:autoSpaceDE w:val="0"/>
        <w:autoSpaceDN w:val="0"/>
        <w:adjustRightInd w:val="0"/>
        <w:spacing w:after="0" w:line="360" w:lineRule="auto"/>
        <w:rPr>
          <w:b/>
          <w:bCs/>
          <w:color w:val="000000"/>
        </w:rPr>
      </w:pPr>
      <w:r w:rsidRPr="00E02FD7">
        <w:rPr>
          <w:b/>
          <w:bCs/>
          <w:color w:val="000000"/>
        </w:rPr>
        <w:t>Co-authors</w:t>
      </w:r>
    </w:p>
    <w:p w:rsidR="0094430A" w:rsidRPr="00E02FD7" w:rsidRDefault="0094430A" w:rsidP="0094430A">
      <w:pPr>
        <w:pStyle w:val="ListParagraph"/>
        <w:numPr>
          <w:ilvl w:val="0"/>
          <w:numId w:val="13"/>
        </w:numPr>
        <w:autoSpaceDE w:val="0"/>
        <w:autoSpaceDN w:val="0"/>
        <w:adjustRightInd w:val="0"/>
        <w:spacing w:after="0" w:line="360" w:lineRule="auto"/>
        <w:ind w:hanging="720"/>
        <w:rPr>
          <w:b/>
          <w:bCs/>
          <w:color w:val="000000"/>
        </w:rPr>
      </w:pPr>
      <w:proofErr w:type="spellStart"/>
      <w:r w:rsidRPr="00E02FD7">
        <w:rPr>
          <w:b/>
          <w:bCs/>
          <w:color w:val="000000"/>
        </w:rPr>
        <w:t>Dr.</w:t>
      </w:r>
      <w:proofErr w:type="spellEnd"/>
      <w:r w:rsidRPr="00E02FD7">
        <w:rPr>
          <w:b/>
          <w:bCs/>
          <w:color w:val="000000"/>
        </w:rPr>
        <w:t xml:space="preserve"> Tina Day</w:t>
      </w:r>
    </w:p>
    <w:p w:rsidR="0094430A" w:rsidRPr="00E02FD7" w:rsidRDefault="0094430A" w:rsidP="0094430A">
      <w:pPr>
        <w:autoSpaceDE w:val="0"/>
        <w:autoSpaceDN w:val="0"/>
        <w:adjustRightInd w:val="0"/>
        <w:spacing w:after="0" w:line="360" w:lineRule="auto"/>
        <w:rPr>
          <w:color w:val="000000"/>
        </w:rPr>
      </w:pPr>
      <w:r w:rsidRPr="00E02FD7">
        <w:rPr>
          <w:color w:val="000000"/>
        </w:rPr>
        <w:t>PhD, MSc, BSc, RN, Cert Ed. RNT, ENB100 (Intensive Care Nursing)</w:t>
      </w:r>
    </w:p>
    <w:p w:rsidR="0094430A" w:rsidRPr="00E02FD7" w:rsidRDefault="0094430A" w:rsidP="0094430A">
      <w:pPr>
        <w:autoSpaceDE w:val="0"/>
        <w:autoSpaceDN w:val="0"/>
        <w:adjustRightInd w:val="0"/>
        <w:spacing w:after="0" w:line="360" w:lineRule="auto"/>
        <w:rPr>
          <w:color w:val="000000"/>
        </w:rPr>
      </w:pPr>
      <w:r w:rsidRPr="00E02FD7">
        <w:rPr>
          <w:color w:val="000000"/>
        </w:rPr>
        <w:t>Lecturer in nursing</w:t>
      </w:r>
    </w:p>
    <w:p w:rsidR="0094430A" w:rsidRPr="00E02FD7" w:rsidRDefault="0094430A" w:rsidP="0094430A">
      <w:pPr>
        <w:autoSpaceDE w:val="0"/>
        <w:autoSpaceDN w:val="0"/>
        <w:adjustRightInd w:val="0"/>
        <w:spacing w:after="0" w:line="360" w:lineRule="auto"/>
        <w:rPr>
          <w:color w:val="000000"/>
        </w:rPr>
      </w:pPr>
      <w:r w:rsidRPr="00E02FD7">
        <w:rPr>
          <w:color w:val="000000"/>
        </w:rPr>
        <w:t>Florence Nightingale School of Nursing and Midwifery, King’s College, London</w:t>
      </w:r>
    </w:p>
    <w:p w:rsidR="0094430A" w:rsidRPr="00E02FD7" w:rsidRDefault="0094430A" w:rsidP="0094430A">
      <w:pPr>
        <w:autoSpaceDE w:val="0"/>
        <w:autoSpaceDN w:val="0"/>
        <w:adjustRightInd w:val="0"/>
        <w:spacing w:after="0" w:line="360" w:lineRule="auto"/>
        <w:rPr>
          <w:color w:val="000000"/>
        </w:rPr>
      </w:pPr>
      <w:r w:rsidRPr="00E02FD7">
        <w:rPr>
          <w:color w:val="000000"/>
        </w:rPr>
        <w:t>U.K.</w:t>
      </w:r>
    </w:p>
    <w:p w:rsidR="0094430A" w:rsidRPr="00E02FD7" w:rsidRDefault="0094430A" w:rsidP="0094430A">
      <w:pPr>
        <w:autoSpaceDE w:val="0"/>
        <w:autoSpaceDN w:val="0"/>
        <w:adjustRightInd w:val="0"/>
        <w:spacing w:after="0" w:line="360" w:lineRule="auto"/>
        <w:rPr>
          <w:color w:val="000000"/>
        </w:rPr>
      </w:pPr>
    </w:p>
    <w:p w:rsidR="0094430A" w:rsidRPr="00E02FD7" w:rsidRDefault="0094430A" w:rsidP="0094430A">
      <w:pPr>
        <w:pStyle w:val="ListParagraph"/>
        <w:widowControl w:val="0"/>
        <w:numPr>
          <w:ilvl w:val="0"/>
          <w:numId w:val="12"/>
        </w:numPr>
        <w:autoSpaceDE w:val="0"/>
        <w:autoSpaceDN w:val="0"/>
        <w:adjustRightInd w:val="0"/>
        <w:spacing w:after="0" w:line="360" w:lineRule="auto"/>
        <w:ind w:right="46" w:hanging="720"/>
        <w:rPr>
          <w:b/>
        </w:rPr>
      </w:pPr>
      <w:r w:rsidRPr="00E02FD7">
        <w:rPr>
          <w:b/>
        </w:rPr>
        <w:t xml:space="preserve">Karina </w:t>
      </w:r>
      <w:proofErr w:type="spellStart"/>
      <w:r w:rsidRPr="00E02FD7">
        <w:rPr>
          <w:b/>
        </w:rPr>
        <w:t>Heelas</w:t>
      </w:r>
      <w:proofErr w:type="spellEnd"/>
    </w:p>
    <w:p w:rsidR="0094430A" w:rsidRPr="00E02FD7" w:rsidRDefault="0094430A" w:rsidP="0094430A">
      <w:pPr>
        <w:widowControl w:val="0"/>
        <w:autoSpaceDE w:val="0"/>
        <w:autoSpaceDN w:val="0"/>
        <w:adjustRightInd w:val="0"/>
        <w:spacing w:after="0" w:line="360" w:lineRule="auto"/>
        <w:ind w:right="46"/>
      </w:pPr>
      <w:r w:rsidRPr="00E02FD7">
        <w:t xml:space="preserve">BSc, RN. </w:t>
      </w:r>
    </w:p>
    <w:p w:rsidR="0094430A" w:rsidRPr="00E02FD7" w:rsidRDefault="0094430A" w:rsidP="0094430A">
      <w:pPr>
        <w:widowControl w:val="0"/>
        <w:autoSpaceDE w:val="0"/>
        <w:autoSpaceDN w:val="0"/>
        <w:adjustRightInd w:val="0"/>
        <w:spacing w:after="0" w:line="360" w:lineRule="auto"/>
        <w:ind w:right="46"/>
      </w:pPr>
      <w:r w:rsidRPr="00E02FD7">
        <w:t>Critical Care Unit</w:t>
      </w:r>
    </w:p>
    <w:p w:rsidR="0094430A" w:rsidRPr="00E02FD7" w:rsidRDefault="0094430A" w:rsidP="0094430A">
      <w:pPr>
        <w:widowControl w:val="0"/>
        <w:autoSpaceDE w:val="0"/>
        <w:autoSpaceDN w:val="0"/>
        <w:adjustRightInd w:val="0"/>
        <w:spacing w:after="0" w:line="360" w:lineRule="auto"/>
        <w:ind w:right="46"/>
      </w:pPr>
      <w:r w:rsidRPr="00E02FD7">
        <w:t>King’s College Hospital NHS Foundation Trust,</w:t>
      </w:r>
    </w:p>
    <w:p w:rsidR="0094430A" w:rsidRPr="00E02FD7" w:rsidRDefault="0094430A" w:rsidP="0094430A">
      <w:pPr>
        <w:widowControl w:val="0"/>
        <w:autoSpaceDE w:val="0"/>
        <w:autoSpaceDN w:val="0"/>
        <w:adjustRightInd w:val="0"/>
        <w:spacing w:after="0" w:line="360" w:lineRule="auto"/>
        <w:ind w:right="46"/>
      </w:pPr>
      <w:r w:rsidRPr="00E02FD7">
        <w:t>London, U.K.</w:t>
      </w:r>
    </w:p>
    <w:p w:rsidR="0094430A" w:rsidRPr="00E02FD7" w:rsidRDefault="0094430A" w:rsidP="0094430A">
      <w:pPr>
        <w:widowControl w:val="0"/>
        <w:autoSpaceDE w:val="0"/>
        <w:autoSpaceDN w:val="0"/>
        <w:adjustRightInd w:val="0"/>
        <w:spacing w:after="0" w:line="360" w:lineRule="auto"/>
        <w:ind w:right="46"/>
      </w:pPr>
    </w:p>
    <w:p w:rsidR="0094430A" w:rsidRPr="00E02FD7" w:rsidRDefault="0094430A" w:rsidP="0094430A">
      <w:pPr>
        <w:pStyle w:val="ListParagraph"/>
        <w:widowControl w:val="0"/>
        <w:numPr>
          <w:ilvl w:val="0"/>
          <w:numId w:val="12"/>
        </w:numPr>
        <w:autoSpaceDE w:val="0"/>
        <w:autoSpaceDN w:val="0"/>
        <w:adjustRightInd w:val="0"/>
        <w:spacing w:after="0" w:line="360" w:lineRule="auto"/>
        <w:ind w:right="46" w:hanging="720"/>
        <w:rPr>
          <w:b/>
        </w:rPr>
      </w:pPr>
      <w:proofErr w:type="spellStart"/>
      <w:r w:rsidRPr="00E02FD7">
        <w:rPr>
          <w:b/>
        </w:rPr>
        <w:t>Dr.</w:t>
      </w:r>
      <w:proofErr w:type="spellEnd"/>
      <w:r w:rsidRPr="00E02FD7">
        <w:rPr>
          <w:b/>
        </w:rPr>
        <w:t xml:space="preserve"> Philip </w:t>
      </w:r>
      <w:bookmarkStart w:id="0" w:name="_GoBack"/>
      <w:r w:rsidRPr="00E02FD7">
        <w:rPr>
          <w:b/>
        </w:rPr>
        <w:t>Hopkins</w:t>
      </w:r>
      <w:bookmarkEnd w:id="0"/>
    </w:p>
    <w:p w:rsidR="0094430A" w:rsidRPr="00E02FD7" w:rsidRDefault="0094430A" w:rsidP="0094430A">
      <w:pPr>
        <w:widowControl w:val="0"/>
        <w:autoSpaceDE w:val="0"/>
        <w:autoSpaceDN w:val="0"/>
        <w:adjustRightInd w:val="0"/>
        <w:spacing w:after="0" w:line="360" w:lineRule="auto"/>
        <w:ind w:right="46"/>
      </w:pPr>
      <w:r w:rsidRPr="00E02FD7">
        <w:t>PhD, MB, BS (Hons), MRCP, FRCA, DICM</w:t>
      </w:r>
    </w:p>
    <w:p w:rsidR="0094430A" w:rsidRPr="00E02FD7" w:rsidRDefault="0094430A" w:rsidP="0094430A">
      <w:pPr>
        <w:widowControl w:val="0"/>
        <w:autoSpaceDE w:val="0"/>
        <w:autoSpaceDN w:val="0"/>
        <w:adjustRightInd w:val="0"/>
        <w:spacing w:after="0" w:line="360" w:lineRule="auto"/>
        <w:ind w:right="46"/>
      </w:pPr>
      <w:r w:rsidRPr="00E02FD7">
        <w:t xml:space="preserve">Consultant </w:t>
      </w:r>
    </w:p>
    <w:p w:rsidR="0094430A" w:rsidRPr="00E02FD7" w:rsidRDefault="0094430A" w:rsidP="0094430A">
      <w:pPr>
        <w:widowControl w:val="0"/>
        <w:autoSpaceDE w:val="0"/>
        <w:autoSpaceDN w:val="0"/>
        <w:adjustRightInd w:val="0"/>
        <w:spacing w:after="0" w:line="360" w:lineRule="auto"/>
        <w:ind w:right="46"/>
      </w:pPr>
      <w:r w:rsidRPr="00E02FD7">
        <w:t>Critical Care Unit</w:t>
      </w:r>
    </w:p>
    <w:p w:rsidR="0094430A" w:rsidRPr="00E02FD7" w:rsidRDefault="0094430A" w:rsidP="0094430A">
      <w:pPr>
        <w:widowControl w:val="0"/>
        <w:autoSpaceDE w:val="0"/>
        <w:autoSpaceDN w:val="0"/>
        <w:adjustRightInd w:val="0"/>
        <w:spacing w:after="0" w:line="360" w:lineRule="auto"/>
        <w:ind w:right="46"/>
      </w:pPr>
      <w:r w:rsidRPr="00E02FD7">
        <w:t>King’s College Hospital NHS Foundation Trust</w:t>
      </w:r>
    </w:p>
    <w:p w:rsidR="0094430A" w:rsidRPr="00E02FD7" w:rsidRDefault="0094430A" w:rsidP="0094430A">
      <w:pPr>
        <w:widowControl w:val="0"/>
        <w:autoSpaceDE w:val="0"/>
        <w:autoSpaceDN w:val="0"/>
        <w:adjustRightInd w:val="0"/>
        <w:spacing w:after="0" w:line="360" w:lineRule="auto"/>
        <w:ind w:right="46"/>
      </w:pPr>
      <w:r w:rsidRPr="00E02FD7">
        <w:t>London, U.K.</w:t>
      </w:r>
    </w:p>
    <w:p w:rsidR="0094430A" w:rsidRPr="00E02FD7" w:rsidRDefault="0094430A" w:rsidP="0094430A">
      <w:pPr>
        <w:pStyle w:val="ListParagraph"/>
        <w:widowControl w:val="0"/>
        <w:numPr>
          <w:ilvl w:val="0"/>
          <w:numId w:val="12"/>
        </w:numPr>
        <w:autoSpaceDE w:val="0"/>
        <w:autoSpaceDN w:val="0"/>
        <w:adjustRightInd w:val="0"/>
        <w:spacing w:after="0" w:line="360" w:lineRule="auto"/>
        <w:ind w:right="46" w:hanging="720"/>
        <w:rPr>
          <w:b/>
        </w:rPr>
      </w:pPr>
      <w:r w:rsidRPr="00E02FD7">
        <w:rPr>
          <w:b/>
        </w:rPr>
        <w:lastRenderedPageBreak/>
        <w:t>Catherine White</w:t>
      </w:r>
    </w:p>
    <w:p w:rsidR="0094430A" w:rsidRPr="00E02FD7" w:rsidRDefault="0094430A" w:rsidP="0094430A">
      <w:pPr>
        <w:widowControl w:val="0"/>
        <w:autoSpaceDE w:val="0"/>
        <w:autoSpaceDN w:val="0"/>
        <w:adjustRightInd w:val="0"/>
        <w:spacing w:after="0" w:line="360" w:lineRule="auto"/>
        <w:ind w:right="46"/>
      </w:pPr>
      <w:r w:rsidRPr="00E02FD7">
        <w:t xml:space="preserve">Information Manager, </w:t>
      </w:r>
      <w:proofErr w:type="spellStart"/>
      <w:r w:rsidRPr="00E02FD7">
        <w:t>ICUsteps</w:t>
      </w:r>
      <w:proofErr w:type="spellEnd"/>
      <w:r w:rsidRPr="00E02FD7">
        <w:t xml:space="preserve"> charity</w:t>
      </w:r>
    </w:p>
    <w:p w:rsidR="0094430A" w:rsidRPr="00E02FD7" w:rsidRDefault="0094430A" w:rsidP="0094430A">
      <w:pPr>
        <w:widowControl w:val="0"/>
        <w:autoSpaceDE w:val="0"/>
        <w:autoSpaceDN w:val="0"/>
        <w:adjustRightInd w:val="0"/>
        <w:spacing w:after="0" w:line="360" w:lineRule="auto"/>
        <w:ind w:right="46"/>
      </w:pPr>
      <w:r w:rsidRPr="00E02FD7">
        <w:t>Milton Keynes, U.K.</w:t>
      </w:r>
    </w:p>
    <w:p w:rsidR="0094430A" w:rsidRPr="00E02FD7" w:rsidRDefault="0094430A" w:rsidP="0094430A">
      <w:pPr>
        <w:widowControl w:val="0"/>
        <w:autoSpaceDE w:val="0"/>
        <w:autoSpaceDN w:val="0"/>
        <w:adjustRightInd w:val="0"/>
        <w:spacing w:after="0" w:line="360" w:lineRule="auto"/>
        <w:ind w:right="46"/>
      </w:pPr>
    </w:p>
    <w:p w:rsidR="0094430A" w:rsidRPr="00E02FD7" w:rsidRDefault="0094430A" w:rsidP="0094430A">
      <w:pPr>
        <w:pStyle w:val="ListParagraph"/>
        <w:numPr>
          <w:ilvl w:val="0"/>
          <w:numId w:val="12"/>
        </w:numPr>
        <w:autoSpaceDE w:val="0"/>
        <w:autoSpaceDN w:val="0"/>
        <w:adjustRightInd w:val="0"/>
        <w:spacing w:after="0" w:line="360" w:lineRule="auto"/>
        <w:ind w:hanging="720"/>
        <w:rPr>
          <w:b/>
          <w:bCs/>
          <w:color w:val="000000"/>
        </w:rPr>
      </w:pPr>
      <w:r w:rsidRPr="00E02FD7">
        <w:rPr>
          <w:b/>
          <w:bCs/>
          <w:color w:val="000000"/>
        </w:rPr>
        <w:t>Professor Peter Griffiths</w:t>
      </w:r>
    </w:p>
    <w:p w:rsidR="0094430A" w:rsidRPr="00E02FD7" w:rsidRDefault="0094430A" w:rsidP="0094430A">
      <w:pPr>
        <w:autoSpaceDE w:val="0"/>
        <w:autoSpaceDN w:val="0"/>
        <w:adjustRightInd w:val="0"/>
        <w:spacing w:after="0" w:line="360" w:lineRule="auto"/>
        <w:rPr>
          <w:color w:val="000000"/>
        </w:rPr>
      </w:pPr>
      <w:r w:rsidRPr="00E02FD7">
        <w:rPr>
          <w:color w:val="000000"/>
        </w:rPr>
        <w:t>PhD, BA (Hons), RN</w:t>
      </w:r>
    </w:p>
    <w:p w:rsidR="0094430A" w:rsidRPr="00E02FD7" w:rsidRDefault="0094430A" w:rsidP="0094430A">
      <w:pPr>
        <w:autoSpaceDE w:val="0"/>
        <w:autoSpaceDN w:val="0"/>
        <w:adjustRightInd w:val="0"/>
        <w:spacing w:after="0" w:line="360" w:lineRule="auto"/>
        <w:rPr>
          <w:color w:val="000000"/>
        </w:rPr>
      </w:pPr>
      <w:r w:rsidRPr="00E02FD7">
        <w:rPr>
          <w:color w:val="000000"/>
        </w:rPr>
        <w:t>Professor of Health Services Research</w:t>
      </w:r>
    </w:p>
    <w:p w:rsidR="0094430A" w:rsidRPr="00E02FD7" w:rsidRDefault="0094430A" w:rsidP="0094430A">
      <w:pPr>
        <w:autoSpaceDE w:val="0"/>
        <w:autoSpaceDN w:val="0"/>
        <w:adjustRightInd w:val="0"/>
        <w:spacing w:after="0" w:line="360" w:lineRule="auto"/>
        <w:rPr>
          <w:color w:val="000000"/>
        </w:rPr>
      </w:pPr>
      <w:proofErr w:type="gramStart"/>
      <w:r w:rsidRPr="00E02FD7">
        <w:rPr>
          <w:color w:val="000000"/>
        </w:rPr>
        <w:t>Faculty of Health Sciences, University of Southampton, U.K.</w:t>
      </w:r>
      <w:proofErr w:type="gramEnd"/>
    </w:p>
    <w:p w:rsidR="0094430A" w:rsidRPr="00E02FD7" w:rsidRDefault="0094430A" w:rsidP="0094430A">
      <w:pPr>
        <w:widowControl w:val="0"/>
        <w:autoSpaceDE w:val="0"/>
        <w:autoSpaceDN w:val="0"/>
        <w:adjustRightInd w:val="0"/>
        <w:spacing w:after="0" w:line="360" w:lineRule="auto"/>
        <w:ind w:right="46"/>
        <w:rPr>
          <w:b/>
        </w:rPr>
      </w:pPr>
    </w:p>
    <w:p w:rsidR="0094430A" w:rsidRPr="00E02FD7" w:rsidRDefault="0094430A" w:rsidP="0094430A">
      <w:pPr>
        <w:widowControl w:val="0"/>
        <w:autoSpaceDE w:val="0"/>
        <w:autoSpaceDN w:val="0"/>
        <w:adjustRightInd w:val="0"/>
        <w:spacing w:after="0" w:line="360" w:lineRule="auto"/>
        <w:ind w:right="46"/>
        <w:rPr>
          <w:b/>
        </w:rPr>
      </w:pPr>
    </w:p>
    <w:p w:rsidR="0094430A" w:rsidRPr="00E02FD7" w:rsidRDefault="0094430A" w:rsidP="0094430A">
      <w:pPr>
        <w:widowControl w:val="0"/>
        <w:autoSpaceDE w:val="0"/>
        <w:autoSpaceDN w:val="0"/>
        <w:adjustRightInd w:val="0"/>
        <w:spacing w:after="0" w:line="360" w:lineRule="auto"/>
        <w:ind w:right="46"/>
        <w:rPr>
          <w:b/>
        </w:rPr>
      </w:pPr>
      <w:r w:rsidRPr="00E02FD7">
        <w:rPr>
          <w:b/>
        </w:rPr>
        <w:t>Key words</w:t>
      </w:r>
    </w:p>
    <w:p w:rsidR="0094430A" w:rsidRPr="00E02FD7" w:rsidRDefault="0094430A" w:rsidP="0094430A">
      <w:pPr>
        <w:widowControl w:val="0"/>
        <w:autoSpaceDE w:val="0"/>
        <w:autoSpaceDN w:val="0"/>
        <w:adjustRightInd w:val="0"/>
        <w:spacing w:after="0" w:line="360" w:lineRule="auto"/>
        <w:ind w:right="46"/>
      </w:pPr>
      <w:r w:rsidRPr="00E02FD7">
        <w:t xml:space="preserve">Randomized Controlled Trial </w:t>
      </w:r>
    </w:p>
    <w:p w:rsidR="0094430A" w:rsidRPr="00E02FD7" w:rsidRDefault="0094430A" w:rsidP="0094430A">
      <w:pPr>
        <w:widowControl w:val="0"/>
        <w:autoSpaceDE w:val="0"/>
        <w:autoSpaceDN w:val="0"/>
        <w:adjustRightInd w:val="0"/>
        <w:spacing w:after="0" w:line="360" w:lineRule="auto"/>
        <w:ind w:right="46"/>
      </w:pPr>
      <w:r w:rsidRPr="00E02FD7">
        <w:t>Critical illness</w:t>
      </w:r>
    </w:p>
    <w:p w:rsidR="0094430A" w:rsidRPr="005741FB" w:rsidRDefault="0094430A" w:rsidP="0094430A">
      <w:pPr>
        <w:widowControl w:val="0"/>
        <w:autoSpaceDE w:val="0"/>
        <w:autoSpaceDN w:val="0"/>
        <w:adjustRightInd w:val="0"/>
        <w:spacing w:after="0" w:line="360" w:lineRule="auto"/>
        <w:ind w:right="46"/>
        <w:rPr>
          <w:lang w:val="fr-FR"/>
        </w:rPr>
      </w:pPr>
      <w:r w:rsidRPr="005741FB">
        <w:rPr>
          <w:lang w:val="fr-FR"/>
        </w:rPr>
        <w:t xml:space="preserve">Patient </w:t>
      </w:r>
      <w:proofErr w:type="spellStart"/>
      <w:r w:rsidRPr="005741FB">
        <w:rPr>
          <w:lang w:val="fr-FR"/>
        </w:rPr>
        <w:t>discharge</w:t>
      </w:r>
      <w:proofErr w:type="spellEnd"/>
      <w:r w:rsidRPr="005741FB">
        <w:rPr>
          <w:lang w:val="fr-FR"/>
        </w:rPr>
        <w:t xml:space="preserve"> </w:t>
      </w:r>
    </w:p>
    <w:p w:rsidR="0094430A" w:rsidRPr="005741FB" w:rsidRDefault="0094430A" w:rsidP="0094430A">
      <w:pPr>
        <w:widowControl w:val="0"/>
        <w:autoSpaceDE w:val="0"/>
        <w:autoSpaceDN w:val="0"/>
        <w:adjustRightInd w:val="0"/>
        <w:spacing w:after="0" w:line="360" w:lineRule="auto"/>
        <w:ind w:right="46"/>
        <w:rPr>
          <w:lang w:val="fr-FR"/>
        </w:rPr>
      </w:pPr>
      <w:r w:rsidRPr="005741FB">
        <w:rPr>
          <w:lang w:val="fr-FR"/>
        </w:rPr>
        <w:t xml:space="preserve">Patient </w:t>
      </w:r>
      <w:proofErr w:type="spellStart"/>
      <w:r w:rsidRPr="005741FB">
        <w:rPr>
          <w:lang w:val="fr-FR"/>
        </w:rPr>
        <w:t>education</w:t>
      </w:r>
      <w:proofErr w:type="spellEnd"/>
      <w:r w:rsidRPr="005741FB">
        <w:rPr>
          <w:lang w:val="fr-FR"/>
        </w:rPr>
        <w:t xml:space="preserve"> </w:t>
      </w:r>
      <w:proofErr w:type="spellStart"/>
      <w:r w:rsidRPr="005741FB">
        <w:rPr>
          <w:lang w:val="fr-FR"/>
        </w:rPr>
        <w:t>handout</w:t>
      </w:r>
      <w:proofErr w:type="spellEnd"/>
    </w:p>
    <w:p w:rsidR="0094430A" w:rsidRPr="005741FB" w:rsidRDefault="0094430A" w:rsidP="0094430A">
      <w:pPr>
        <w:widowControl w:val="0"/>
        <w:autoSpaceDE w:val="0"/>
        <w:autoSpaceDN w:val="0"/>
        <w:adjustRightInd w:val="0"/>
        <w:spacing w:after="0" w:line="360" w:lineRule="auto"/>
        <w:ind w:right="46"/>
        <w:rPr>
          <w:lang w:val="fr-FR"/>
        </w:rPr>
      </w:pPr>
      <w:proofErr w:type="spellStart"/>
      <w:r w:rsidRPr="005741FB">
        <w:rPr>
          <w:lang w:val="fr-FR"/>
        </w:rPr>
        <w:t>Rehabilitation</w:t>
      </w:r>
      <w:proofErr w:type="spellEnd"/>
    </w:p>
    <w:p w:rsidR="0094430A" w:rsidRPr="005741FB" w:rsidRDefault="0094430A" w:rsidP="0094430A">
      <w:pPr>
        <w:widowControl w:val="0"/>
        <w:autoSpaceDE w:val="0"/>
        <w:autoSpaceDN w:val="0"/>
        <w:adjustRightInd w:val="0"/>
        <w:spacing w:after="0" w:line="360" w:lineRule="auto"/>
        <w:ind w:right="46"/>
        <w:rPr>
          <w:b/>
          <w:lang w:val="fr-FR"/>
        </w:rPr>
      </w:pPr>
    </w:p>
    <w:p w:rsidR="0094430A" w:rsidRPr="00E02FD7" w:rsidRDefault="0094430A" w:rsidP="0094430A">
      <w:pPr>
        <w:widowControl w:val="0"/>
        <w:autoSpaceDE w:val="0"/>
        <w:autoSpaceDN w:val="0"/>
        <w:adjustRightInd w:val="0"/>
        <w:spacing w:after="0" w:line="360" w:lineRule="auto"/>
        <w:ind w:right="46"/>
        <w:rPr>
          <w:b/>
        </w:rPr>
      </w:pPr>
      <w:r w:rsidRPr="00E02FD7">
        <w:rPr>
          <w:b/>
        </w:rPr>
        <w:t xml:space="preserve">Word count </w:t>
      </w:r>
    </w:p>
    <w:p w:rsidR="0094430A" w:rsidRPr="00E02FD7" w:rsidRDefault="00BD75F0" w:rsidP="0094430A">
      <w:pPr>
        <w:widowControl w:val="0"/>
        <w:autoSpaceDE w:val="0"/>
        <w:autoSpaceDN w:val="0"/>
        <w:adjustRightInd w:val="0"/>
        <w:spacing w:after="0" w:line="360" w:lineRule="auto"/>
        <w:ind w:right="46"/>
      </w:pPr>
      <w:r>
        <w:t>5472</w:t>
      </w:r>
    </w:p>
    <w:p w:rsidR="006B63F3" w:rsidRPr="00E02FD7" w:rsidRDefault="006B63F3" w:rsidP="006B63F3">
      <w:pPr>
        <w:widowControl w:val="0"/>
        <w:autoSpaceDE w:val="0"/>
        <w:autoSpaceDN w:val="0"/>
        <w:adjustRightInd w:val="0"/>
        <w:spacing w:after="0" w:line="480" w:lineRule="auto"/>
        <w:ind w:right="45"/>
        <w:jc w:val="center"/>
        <w:rPr>
          <w:rFonts w:cs="Times New Roman"/>
          <w:b/>
          <w:bCs/>
          <w:sz w:val="24"/>
          <w:szCs w:val="24"/>
          <w:lang w:val="en-US"/>
        </w:rPr>
      </w:pPr>
    </w:p>
    <w:p w:rsidR="0094430A" w:rsidRPr="00E02FD7" w:rsidRDefault="0094430A">
      <w:pPr>
        <w:rPr>
          <w:rFonts w:cs="Times New Roman"/>
          <w:b/>
          <w:bCs/>
          <w:sz w:val="24"/>
          <w:szCs w:val="24"/>
          <w:lang w:val="en-US"/>
        </w:rPr>
      </w:pPr>
      <w:r w:rsidRPr="00E02FD7">
        <w:rPr>
          <w:rFonts w:cs="Times New Roman"/>
          <w:b/>
          <w:bCs/>
          <w:sz w:val="24"/>
          <w:szCs w:val="24"/>
          <w:lang w:val="en-US"/>
        </w:rPr>
        <w:br w:type="page"/>
      </w:r>
    </w:p>
    <w:p w:rsidR="006B63F3" w:rsidRPr="00E02FD7" w:rsidRDefault="006B63F3" w:rsidP="00E02FD7">
      <w:pPr>
        <w:widowControl w:val="0"/>
        <w:autoSpaceDE w:val="0"/>
        <w:autoSpaceDN w:val="0"/>
        <w:adjustRightInd w:val="0"/>
        <w:spacing w:after="0" w:line="480" w:lineRule="auto"/>
        <w:ind w:right="45"/>
        <w:jc w:val="center"/>
        <w:rPr>
          <w:rFonts w:cs="Times New Roman"/>
          <w:b/>
          <w:bCs/>
          <w:sz w:val="24"/>
          <w:szCs w:val="24"/>
          <w:lang w:val="en-US"/>
        </w:rPr>
      </w:pPr>
      <w:r w:rsidRPr="00E02FD7">
        <w:rPr>
          <w:rFonts w:cs="Times New Roman"/>
          <w:b/>
          <w:bCs/>
          <w:sz w:val="24"/>
          <w:szCs w:val="24"/>
          <w:lang w:val="en-US"/>
        </w:rPr>
        <w:t>ABSTRACT</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rFonts w:cs="Times New Roman"/>
          <w:b/>
          <w:sz w:val="24"/>
          <w:szCs w:val="24"/>
          <w:lang w:val="en-US"/>
        </w:rPr>
        <w:t>Objectives</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sz w:val="24"/>
          <w:szCs w:val="24"/>
          <w:lang w:val="en-US"/>
        </w:rPr>
      </w:pPr>
      <w:r w:rsidRPr="00E02FD7">
        <w:rPr>
          <w:rFonts w:cs="Times New Roman"/>
          <w:sz w:val="24"/>
          <w:szCs w:val="24"/>
          <w:lang w:val="en-US"/>
        </w:rPr>
        <w:t>To evaluate the feasibility and effectiveness of an information pack, based on self-regulation theory, designed to support patients and their families immediately before, during and after discharge from a</w:t>
      </w:r>
      <w:r w:rsidR="001340BA" w:rsidRPr="00E02FD7">
        <w:rPr>
          <w:rFonts w:cs="Times New Roman"/>
          <w:sz w:val="24"/>
          <w:szCs w:val="24"/>
          <w:lang w:val="en-US"/>
        </w:rPr>
        <w:t>n</w:t>
      </w:r>
      <w:r w:rsidRPr="00E02FD7">
        <w:rPr>
          <w:rFonts w:cs="Times New Roman"/>
          <w:sz w:val="24"/>
          <w:szCs w:val="24"/>
          <w:lang w:val="en-US"/>
        </w:rPr>
        <w:t xml:space="preserve"> </w:t>
      </w:r>
      <w:r w:rsidR="001340BA" w:rsidRPr="00E02FD7">
        <w:rPr>
          <w:rFonts w:cs="Times New Roman"/>
          <w:sz w:val="24"/>
          <w:szCs w:val="24"/>
          <w:lang w:val="en-US"/>
        </w:rPr>
        <w:t xml:space="preserve">intensive </w:t>
      </w:r>
      <w:r w:rsidRPr="00E02FD7">
        <w:rPr>
          <w:rFonts w:cs="Times New Roman"/>
          <w:sz w:val="24"/>
          <w:szCs w:val="24"/>
          <w:lang w:val="en-US"/>
        </w:rPr>
        <w:t xml:space="preserve">care unit. </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rFonts w:cs="Times New Roman"/>
          <w:b/>
          <w:sz w:val="24"/>
          <w:szCs w:val="24"/>
          <w:lang w:val="en-US"/>
        </w:rPr>
        <w:t>Design and setting</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sz w:val="24"/>
          <w:szCs w:val="24"/>
          <w:lang w:val="en-US"/>
        </w:rPr>
      </w:pPr>
      <w:r w:rsidRPr="00E02FD7">
        <w:rPr>
          <w:rFonts w:cs="Times New Roman"/>
          <w:sz w:val="24"/>
          <w:szCs w:val="24"/>
          <w:lang w:val="en-US"/>
        </w:rPr>
        <w:t>Prospective assessor-blinded pilot cluster randomized controlled trial</w:t>
      </w:r>
      <w:r w:rsidR="007E33CE" w:rsidRPr="00E02FD7">
        <w:rPr>
          <w:rFonts w:cs="Times New Roman"/>
          <w:sz w:val="24"/>
          <w:szCs w:val="24"/>
          <w:lang w:val="en-US"/>
        </w:rPr>
        <w:t xml:space="preserve"> (</w:t>
      </w:r>
      <w:r w:rsidR="00093DB2">
        <w:rPr>
          <w:rFonts w:cs="Times New Roman"/>
          <w:sz w:val="24"/>
          <w:szCs w:val="24"/>
          <w:lang w:val="en-US"/>
        </w:rPr>
        <w:t xml:space="preserve">in conjunction </w:t>
      </w:r>
      <w:r w:rsidR="007E33CE" w:rsidRPr="00E02FD7">
        <w:rPr>
          <w:rFonts w:cs="Times New Roman"/>
          <w:sz w:val="24"/>
          <w:szCs w:val="24"/>
          <w:lang w:val="en-US"/>
        </w:rPr>
        <w:t>with a questionnaire survey of trial participants’ experience)</w:t>
      </w:r>
      <w:r w:rsidRPr="00E02FD7">
        <w:rPr>
          <w:rFonts w:cs="Times New Roman"/>
          <w:sz w:val="24"/>
          <w:szCs w:val="24"/>
          <w:lang w:val="en-US"/>
        </w:rPr>
        <w:t xml:space="preserve"> in two </w:t>
      </w:r>
      <w:r w:rsidR="00304B42" w:rsidRPr="00E02FD7">
        <w:rPr>
          <w:rFonts w:cs="Times New Roman"/>
          <w:sz w:val="24"/>
          <w:szCs w:val="24"/>
          <w:lang w:val="en-US"/>
        </w:rPr>
        <w:t xml:space="preserve">intensive </w:t>
      </w:r>
      <w:r w:rsidRPr="00E02FD7">
        <w:rPr>
          <w:rFonts w:cs="Times New Roman"/>
          <w:sz w:val="24"/>
          <w:szCs w:val="24"/>
          <w:lang w:val="en-US"/>
        </w:rPr>
        <w:t xml:space="preserve">care units in England. </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rFonts w:cs="Times New Roman"/>
          <w:b/>
          <w:sz w:val="24"/>
          <w:szCs w:val="24"/>
          <w:lang w:val="en-US"/>
        </w:rPr>
        <w:t>Participants</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sz w:val="24"/>
          <w:szCs w:val="24"/>
          <w:lang w:val="en-US"/>
        </w:rPr>
      </w:pPr>
      <w:r w:rsidRPr="00E02FD7">
        <w:rPr>
          <w:rFonts w:cs="Times New Roman"/>
          <w:sz w:val="24"/>
          <w:szCs w:val="24"/>
          <w:lang w:val="en-US"/>
        </w:rPr>
        <w:t>Patients (+/- a family member) who had spent at least 72 hours in a</w:t>
      </w:r>
      <w:r w:rsidR="00304B42" w:rsidRPr="00E02FD7">
        <w:rPr>
          <w:rFonts w:cs="Times New Roman"/>
          <w:sz w:val="24"/>
          <w:szCs w:val="24"/>
          <w:lang w:val="en-US"/>
        </w:rPr>
        <w:t>n</w:t>
      </w:r>
      <w:r w:rsidRPr="00E02FD7">
        <w:rPr>
          <w:rFonts w:cs="Times New Roman"/>
          <w:sz w:val="24"/>
          <w:szCs w:val="24"/>
          <w:lang w:val="en-US"/>
        </w:rPr>
        <w:t xml:space="preserve"> </w:t>
      </w:r>
      <w:r w:rsidR="00304B42" w:rsidRPr="00E02FD7">
        <w:rPr>
          <w:rFonts w:cs="Times New Roman"/>
          <w:sz w:val="24"/>
          <w:szCs w:val="24"/>
          <w:lang w:val="en-US"/>
        </w:rPr>
        <w:t xml:space="preserve">intensive </w:t>
      </w:r>
      <w:r w:rsidRPr="00E02FD7">
        <w:rPr>
          <w:rFonts w:cs="Times New Roman"/>
          <w:sz w:val="24"/>
          <w:szCs w:val="24"/>
          <w:lang w:val="en-US"/>
        </w:rPr>
        <w:t>care unit, declared medically fit for discharge to a general ward.</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rFonts w:cs="Times New Roman"/>
          <w:b/>
          <w:sz w:val="24"/>
          <w:szCs w:val="24"/>
          <w:lang w:val="en-US"/>
        </w:rPr>
        <w:t>Randomization</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sz w:val="24"/>
          <w:szCs w:val="24"/>
          <w:lang w:val="en-US"/>
        </w:rPr>
      </w:pPr>
      <w:r w:rsidRPr="00E02FD7">
        <w:rPr>
          <w:rFonts w:cs="Times New Roman"/>
          <w:sz w:val="24"/>
          <w:szCs w:val="24"/>
          <w:lang w:val="en-US"/>
        </w:rPr>
        <w:t xml:space="preserve">Cluster randomization (by day of discharge decision) was used to allocate participants to one of three study groups. </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rFonts w:cs="Times New Roman"/>
          <w:b/>
          <w:sz w:val="24"/>
          <w:szCs w:val="24"/>
          <w:lang w:val="en-US"/>
        </w:rPr>
        <w:t>Intervention</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sz w:val="24"/>
          <w:szCs w:val="24"/>
          <w:lang w:val="en-US"/>
        </w:rPr>
      </w:pPr>
      <w:r w:rsidRPr="00E02FD7">
        <w:rPr>
          <w:rFonts w:cs="Times New Roman"/>
          <w:sz w:val="24"/>
          <w:szCs w:val="24"/>
          <w:lang w:val="en-US"/>
        </w:rPr>
        <w:t xml:space="preserve">A user </w:t>
      </w:r>
      <w:proofErr w:type="spellStart"/>
      <w:r w:rsidRPr="00E02FD7">
        <w:rPr>
          <w:rFonts w:cs="Times New Roman"/>
          <w:sz w:val="24"/>
          <w:szCs w:val="24"/>
          <w:lang w:val="en-US"/>
        </w:rPr>
        <w:t>centred</w:t>
      </w:r>
      <w:proofErr w:type="spellEnd"/>
      <w:r w:rsidRPr="00E02FD7">
        <w:rPr>
          <w:rFonts w:cs="Times New Roman"/>
          <w:sz w:val="24"/>
          <w:szCs w:val="24"/>
          <w:lang w:val="en-US"/>
        </w:rPr>
        <w:t xml:space="preserve"> critical care discharge information pack (UCCDIP) containing two booklets; one for the patient (</w:t>
      </w:r>
      <w:r w:rsidR="00574D8C" w:rsidRPr="00E02FD7">
        <w:rPr>
          <w:rFonts w:cs="Times New Roman"/>
          <w:sz w:val="24"/>
          <w:szCs w:val="24"/>
          <w:lang w:val="en-US"/>
        </w:rPr>
        <w:t xml:space="preserve">which </w:t>
      </w:r>
      <w:r w:rsidRPr="00E02FD7">
        <w:rPr>
          <w:rFonts w:cs="Times New Roman"/>
          <w:sz w:val="24"/>
          <w:szCs w:val="24"/>
          <w:lang w:val="en-US"/>
        </w:rPr>
        <w:t xml:space="preserve">included a personalized discharge summary) and one for the family, given prior to discharge to the ward. </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rFonts w:cs="Times New Roman"/>
          <w:b/>
          <w:sz w:val="24"/>
          <w:szCs w:val="24"/>
          <w:lang w:val="en-US"/>
        </w:rPr>
        <w:t>Primary outcome</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sz w:val="24"/>
          <w:szCs w:val="24"/>
          <w:lang w:val="en-US"/>
        </w:rPr>
      </w:pPr>
      <w:r w:rsidRPr="00E02FD7">
        <w:rPr>
          <w:rFonts w:cs="Times New Roman"/>
          <w:sz w:val="24"/>
          <w:szCs w:val="24"/>
          <w:lang w:val="en-US"/>
        </w:rPr>
        <w:t>Psychological well-being measured using hospital anxiety and depression scores (HADS), assessed at 5+/-1 days post unit discharge and 28 days/hospital discharge. Statistical significance (</w:t>
      </w:r>
      <w:r w:rsidRPr="00E02FD7">
        <w:rPr>
          <w:rFonts w:cs="Times New Roman"/>
          <w:i/>
          <w:sz w:val="24"/>
          <w:szCs w:val="24"/>
          <w:lang w:val="en-US"/>
        </w:rPr>
        <w:t>p</w:t>
      </w:r>
      <w:r w:rsidRPr="00E02FD7">
        <w:rPr>
          <w:rFonts w:cs="Times New Roman"/>
          <w:sz w:val="24"/>
          <w:szCs w:val="24"/>
          <w:lang w:val="en-US"/>
        </w:rPr>
        <w:t xml:space="preserve"> </w:t>
      </w:r>
      <w:r w:rsidR="002F66C2" w:rsidRPr="00E02FD7">
        <w:rPr>
          <w:rFonts w:cs="Times New Roman"/>
          <w:sz w:val="24"/>
          <w:szCs w:val="24"/>
          <w:lang w:val="en-US"/>
        </w:rPr>
        <w:t>≤</w:t>
      </w:r>
      <w:r w:rsidRPr="00E02FD7">
        <w:rPr>
          <w:rFonts w:cs="Times New Roman"/>
          <w:sz w:val="24"/>
          <w:szCs w:val="24"/>
          <w:lang w:val="en-US"/>
        </w:rPr>
        <w:t xml:space="preserve"> 0.05) was determined using Chi Square (</w:t>
      </w:r>
      <w:r w:rsidRPr="00E02FD7">
        <w:rPr>
          <w:rFonts w:cs="Times New Roman"/>
          <w:i/>
          <w:sz w:val="24"/>
          <w:szCs w:val="24"/>
          <w:lang w:val="en-US"/>
        </w:rPr>
        <w:t>χ2</w:t>
      </w:r>
      <w:r w:rsidRPr="00E02FD7">
        <w:rPr>
          <w:rFonts w:cs="Times New Roman"/>
          <w:sz w:val="24"/>
          <w:szCs w:val="24"/>
          <w:lang w:val="en-US"/>
        </w:rPr>
        <w:t xml:space="preserve">) and </w:t>
      </w:r>
      <w:proofErr w:type="spellStart"/>
      <w:r w:rsidRPr="00E02FD7">
        <w:rPr>
          <w:rFonts w:cs="Times New Roman"/>
          <w:sz w:val="24"/>
          <w:szCs w:val="24"/>
          <w:lang w:val="en-US"/>
        </w:rPr>
        <w:t>Kruskal</w:t>
      </w:r>
      <w:proofErr w:type="spellEnd"/>
      <w:r w:rsidRPr="00E02FD7">
        <w:rPr>
          <w:rFonts w:cs="Times New Roman"/>
          <w:sz w:val="24"/>
          <w:szCs w:val="24"/>
          <w:lang w:val="en-US"/>
        </w:rPr>
        <w:t xml:space="preserve"> Wallis (</w:t>
      </w:r>
      <w:r w:rsidRPr="00E02FD7">
        <w:rPr>
          <w:rFonts w:cs="Times New Roman"/>
          <w:i/>
          <w:sz w:val="24"/>
          <w:szCs w:val="24"/>
          <w:lang w:val="en-US"/>
        </w:rPr>
        <w:t>H</w:t>
      </w:r>
      <w:r w:rsidRPr="00E02FD7">
        <w:rPr>
          <w:rFonts w:cs="Times New Roman"/>
          <w:sz w:val="24"/>
          <w:szCs w:val="24"/>
          <w:lang w:val="en-US"/>
        </w:rPr>
        <w:t>).</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rFonts w:cs="Times New Roman"/>
          <w:b/>
          <w:sz w:val="24"/>
          <w:szCs w:val="24"/>
          <w:lang w:val="en-US"/>
        </w:rPr>
        <w:t xml:space="preserve">Results </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sz w:val="24"/>
          <w:szCs w:val="24"/>
          <w:lang w:val="en-US"/>
        </w:rPr>
      </w:pPr>
      <w:r w:rsidRPr="00E02FD7">
        <w:rPr>
          <w:rFonts w:cs="Times New Roman"/>
          <w:sz w:val="24"/>
          <w:szCs w:val="24"/>
          <w:lang w:val="en-US"/>
        </w:rPr>
        <w:t>One hundred and fifty eight patients were allocated to: intervention (UCCDIP) (</w:t>
      </w:r>
      <w:r w:rsidRPr="00E02FD7">
        <w:rPr>
          <w:rFonts w:cs="Times New Roman"/>
          <w:i/>
          <w:sz w:val="24"/>
          <w:szCs w:val="24"/>
          <w:lang w:val="en-US"/>
        </w:rPr>
        <w:t>n</w:t>
      </w:r>
      <w:r w:rsidRPr="00E02FD7">
        <w:rPr>
          <w:rFonts w:cs="Times New Roman"/>
          <w:sz w:val="24"/>
          <w:szCs w:val="24"/>
          <w:lang w:val="en-US"/>
        </w:rPr>
        <w:t>=5</w:t>
      </w:r>
      <w:r w:rsidR="00304B42" w:rsidRPr="00E02FD7">
        <w:rPr>
          <w:rFonts w:cs="Times New Roman"/>
          <w:sz w:val="24"/>
          <w:szCs w:val="24"/>
          <w:lang w:val="en-US"/>
        </w:rPr>
        <w:t>1</w:t>
      </w:r>
      <w:r w:rsidRPr="00E02FD7">
        <w:rPr>
          <w:rFonts w:cs="Times New Roman"/>
          <w:sz w:val="24"/>
          <w:szCs w:val="24"/>
          <w:lang w:val="en-US"/>
        </w:rPr>
        <w:t>), control 1: ad-hoc verbal information (</w:t>
      </w:r>
      <w:r w:rsidRPr="00E02FD7">
        <w:rPr>
          <w:rFonts w:cs="Times New Roman"/>
          <w:i/>
          <w:sz w:val="24"/>
          <w:szCs w:val="24"/>
          <w:lang w:val="en-US"/>
        </w:rPr>
        <w:t>n</w:t>
      </w:r>
      <w:r w:rsidRPr="00E02FD7">
        <w:rPr>
          <w:rFonts w:cs="Times New Roman"/>
          <w:sz w:val="24"/>
          <w:szCs w:val="24"/>
          <w:lang w:val="en-US"/>
        </w:rPr>
        <w:t xml:space="preserve">=59), control 2: booklet published by </w:t>
      </w:r>
      <w:proofErr w:type="spellStart"/>
      <w:r w:rsidRPr="00E02FD7">
        <w:rPr>
          <w:rFonts w:cs="Times New Roman"/>
          <w:sz w:val="24"/>
          <w:szCs w:val="24"/>
          <w:lang w:val="en-US"/>
        </w:rPr>
        <w:t>ICUsteps</w:t>
      </w:r>
      <w:proofErr w:type="spellEnd"/>
      <w:r w:rsidRPr="00E02FD7">
        <w:rPr>
          <w:rFonts w:cs="Times New Roman"/>
          <w:sz w:val="24"/>
          <w:szCs w:val="24"/>
          <w:lang w:val="en-US"/>
        </w:rPr>
        <w:t xml:space="preserve"> (</w:t>
      </w:r>
      <w:r w:rsidRPr="00E02FD7">
        <w:rPr>
          <w:rFonts w:cs="Times New Roman"/>
          <w:i/>
          <w:sz w:val="24"/>
          <w:szCs w:val="24"/>
          <w:lang w:val="en-US"/>
        </w:rPr>
        <w:t>n</w:t>
      </w:r>
      <w:r w:rsidRPr="00E02FD7">
        <w:rPr>
          <w:rFonts w:cs="Times New Roman"/>
          <w:sz w:val="24"/>
          <w:szCs w:val="24"/>
          <w:lang w:val="en-US"/>
        </w:rPr>
        <w:t xml:space="preserve">=48). There were no statistically significant differences in the primary outcome. The </w:t>
      </w:r>
      <w:r w:rsidRPr="00E02FD7">
        <w:rPr>
          <w:rFonts w:cs="Times New Roman"/>
          <w:i/>
          <w:sz w:val="24"/>
          <w:szCs w:val="24"/>
          <w:lang w:val="en-US"/>
        </w:rPr>
        <w:t>a priori</w:t>
      </w:r>
      <w:r w:rsidRPr="00E02FD7">
        <w:rPr>
          <w:rFonts w:cs="Times New Roman"/>
          <w:sz w:val="24"/>
          <w:szCs w:val="24"/>
          <w:lang w:val="en-US"/>
        </w:rPr>
        <w:t xml:space="preserve"> enrolment goal was not reached and attrition was high. </w:t>
      </w:r>
      <w:r w:rsidRPr="00E02FD7">
        <w:rPr>
          <w:sz w:val="24"/>
          <w:szCs w:val="24"/>
          <w:lang w:val="en-US"/>
        </w:rPr>
        <w:t>Using HADS as a primary outcome measure, an estimated sample size of 286 is required to power a definitive trial.</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sz w:val="24"/>
          <w:szCs w:val="24"/>
          <w:lang w:val="en-US"/>
        </w:rPr>
      </w:pPr>
      <w:r w:rsidRPr="00E02FD7">
        <w:rPr>
          <w:rFonts w:cs="Times New Roman"/>
          <w:b/>
          <w:sz w:val="24"/>
          <w:szCs w:val="24"/>
          <w:lang w:val="en-US"/>
        </w:rPr>
        <w:t>Conclusions</w:t>
      </w:r>
    </w:p>
    <w:p w:rsidR="006B63F3" w:rsidRPr="00E02FD7" w:rsidRDefault="006B63F3" w:rsidP="00E02FD7">
      <w:pPr>
        <w:spacing w:line="360" w:lineRule="auto"/>
        <w:outlineLvl w:val="0"/>
        <w:rPr>
          <w:rFonts w:cs="Times New Roman"/>
          <w:b/>
          <w:sz w:val="24"/>
          <w:szCs w:val="24"/>
          <w:lang w:val="en-US"/>
        </w:rPr>
      </w:pPr>
      <w:r w:rsidRPr="00E02FD7">
        <w:rPr>
          <w:rFonts w:cs="Times New Roman"/>
          <w:sz w:val="24"/>
          <w:szCs w:val="24"/>
          <w:lang w:val="en-US"/>
        </w:rPr>
        <w:t xml:space="preserve">Findings from this pilot RCT </w:t>
      </w:r>
      <w:r w:rsidRPr="00E02FD7">
        <w:rPr>
          <w:sz w:val="24"/>
          <w:szCs w:val="24"/>
        </w:rPr>
        <w:t>provide important preliminary data regarding the circumstances under which an intervention based on the principles of UCCDIP could be effective, an</w:t>
      </w:r>
      <w:r w:rsidRPr="00E02FD7">
        <w:rPr>
          <w:rFonts w:cs="Times New Roman"/>
          <w:sz w:val="24"/>
          <w:szCs w:val="24"/>
          <w:lang w:val="en-US"/>
        </w:rPr>
        <w:t>d the sample size required to demonstrate this.</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rFonts w:cs="Times New Roman"/>
          <w:b/>
          <w:sz w:val="24"/>
          <w:szCs w:val="24"/>
          <w:lang w:val="en-US"/>
        </w:rPr>
        <w:t>Trial registration</w:t>
      </w: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sz w:val="24"/>
          <w:szCs w:val="24"/>
          <w:lang w:val="en-US"/>
        </w:rPr>
      </w:pPr>
      <w:proofErr w:type="gramStart"/>
      <w:r w:rsidRPr="00E02FD7">
        <w:rPr>
          <w:rFonts w:cs="Times New Roman"/>
          <w:sz w:val="24"/>
          <w:szCs w:val="24"/>
          <w:lang w:val="en-US"/>
        </w:rPr>
        <w:t>Current Controlled Trials ISRCTN47262088.</w:t>
      </w:r>
      <w:proofErr w:type="gramEnd"/>
    </w:p>
    <w:p w:rsidR="00B57D18" w:rsidRPr="00E02FD7" w:rsidRDefault="00B57D18"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b/>
          <w:sz w:val="24"/>
          <w:szCs w:val="24"/>
          <w:lang w:val="en-US"/>
        </w:rPr>
      </w:pP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b/>
          <w:sz w:val="24"/>
          <w:szCs w:val="24"/>
          <w:lang w:val="en-US"/>
        </w:rPr>
        <w:t>Strengths and limitations of this study</w:t>
      </w:r>
    </w:p>
    <w:p w:rsidR="006B63F3" w:rsidRPr="00E02FD7" w:rsidRDefault="006B63F3" w:rsidP="00E02FD7">
      <w:pPr>
        <w:numPr>
          <w:ilvl w:val="0"/>
          <w:numId w:val="11"/>
        </w:numPr>
        <w:spacing w:after="0" w:line="360" w:lineRule="auto"/>
        <w:contextualSpacing/>
        <w:rPr>
          <w:rFonts w:eastAsia="Times New Roman" w:cs="Arial"/>
          <w:sz w:val="24"/>
          <w:szCs w:val="24"/>
        </w:rPr>
      </w:pPr>
      <w:r w:rsidRPr="00E02FD7">
        <w:rPr>
          <w:rFonts w:eastAsia="Times New Roman" w:cs="Arial"/>
          <w:sz w:val="24"/>
          <w:szCs w:val="24"/>
        </w:rPr>
        <w:t xml:space="preserve">This is one of few randomized controlled trials that have evaluated critical care discharge information resources and the first to evaluate the use of </w:t>
      </w:r>
      <w:r w:rsidR="00574D8C" w:rsidRPr="00E02FD7">
        <w:rPr>
          <w:rFonts w:eastAsia="Times New Roman" w:cs="Arial"/>
          <w:sz w:val="24"/>
          <w:szCs w:val="24"/>
        </w:rPr>
        <w:t xml:space="preserve">an intervention, which includes a </w:t>
      </w:r>
      <w:r w:rsidRPr="00E02FD7">
        <w:rPr>
          <w:rFonts w:eastAsia="Times New Roman" w:cs="Arial"/>
          <w:sz w:val="24"/>
          <w:szCs w:val="24"/>
        </w:rPr>
        <w:t>personalized patient discharge summar</w:t>
      </w:r>
      <w:r w:rsidR="00574D8C" w:rsidRPr="00E02FD7">
        <w:rPr>
          <w:rFonts w:eastAsia="Times New Roman" w:cs="Arial"/>
          <w:sz w:val="24"/>
          <w:szCs w:val="24"/>
        </w:rPr>
        <w:t>y</w:t>
      </w:r>
      <w:r w:rsidRPr="00E02FD7">
        <w:rPr>
          <w:rFonts w:eastAsia="Times New Roman" w:cs="Arial"/>
          <w:sz w:val="24"/>
          <w:szCs w:val="24"/>
        </w:rPr>
        <w:t xml:space="preserve">.  </w:t>
      </w:r>
    </w:p>
    <w:p w:rsidR="006B63F3" w:rsidRPr="00E02FD7" w:rsidRDefault="006B63F3" w:rsidP="00E02FD7">
      <w:pPr>
        <w:numPr>
          <w:ilvl w:val="0"/>
          <w:numId w:val="11"/>
        </w:numPr>
        <w:spacing w:after="0" w:line="360" w:lineRule="auto"/>
        <w:ind w:left="714" w:hanging="357"/>
        <w:contextualSpacing/>
        <w:rPr>
          <w:rFonts w:eastAsia="Times New Roman" w:cs="Arial"/>
          <w:sz w:val="24"/>
          <w:szCs w:val="24"/>
        </w:rPr>
      </w:pPr>
      <w:r w:rsidRPr="00E02FD7">
        <w:rPr>
          <w:rFonts w:eastAsia="Times New Roman" w:cs="Arial"/>
          <w:sz w:val="24"/>
          <w:szCs w:val="24"/>
        </w:rPr>
        <w:t>Results suggest that information based on self-regulation theory is feasible to deliver, may improve patients’ understanding of their critical illness and may help optimize critical illness rehabilitation.</w:t>
      </w:r>
    </w:p>
    <w:p w:rsidR="006B63F3" w:rsidRPr="00E02FD7" w:rsidRDefault="006B63F3" w:rsidP="00E02FD7">
      <w:pPr>
        <w:numPr>
          <w:ilvl w:val="0"/>
          <w:numId w:val="11"/>
        </w:numPr>
        <w:spacing w:after="0" w:line="360" w:lineRule="auto"/>
        <w:contextualSpacing/>
        <w:rPr>
          <w:rFonts w:eastAsia="Times New Roman" w:cs="Arial"/>
          <w:sz w:val="24"/>
          <w:szCs w:val="24"/>
        </w:rPr>
      </w:pPr>
      <w:r w:rsidRPr="00E02FD7">
        <w:rPr>
          <w:rFonts w:cs="Times New Roman"/>
          <w:sz w:val="24"/>
          <w:szCs w:val="24"/>
          <w:lang w:val="en-US"/>
        </w:rPr>
        <w:t xml:space="preserve">The </w:t>
      </w:r>
      <w:r w:rsidRPr="00E02FD7">
        <w:rPr>
          <w:rFonts w:cs="Times New Roman"/>
          <w:i/>
          <w:sz w:val="24"/>
          <w:szCs w:val="24"/>
          <w:lang w:val="en-US"/>
        </w:rPr>
        <w:t>a priori</w:t>
      </w:r>
      <w:r w:rsidRPr="00E02FD7">
        <w:rPr>
          <w:rFonts w:cs="Times New Roman"/>
          <w:sz w:val="24"/>
          <w:szCs w:val="24"/>
          <w:lang w:val="en-US"/>
        </w:rPr>
        <w:t xml:space="preserve"> enrolment goal was not reached and attrition was high.</w:t>
      </w:r>
    </w:p>
    <w:p w:rsidR="006B63F3" w:rsidRPr="00E02FD7" w:rsidRDefault="006B63F3" w:rsidP="00E02FD7">
      <w:pPr>
        <w:numPr>
          <w:ilvl w:val="0"/>
          <w:numId w:val="11"/>
        </w:numPr>
        <w:spacing w:after="0" w:line="360" w:lineRule="auto"/>
        <w:contextualSpacing/>
        <w:rPr>
          <w:rFonts w:eastAsia="Times New Roman" w:cs="Arial"/>
          <w:sz w:val="24"/>
          <w:szCs w:val="24"/>
        </w:rPr>
      </w:pPr>
      <w:r w:rsidRPr="00E02FD7">
        <w:rPr>
          <w:rFonts w:eastAsia="Times New Roman" w:cs="Arial"/>
          <w:sz w:val="24"/>
          <w:szCs w:val="24"/>
        </w:rPr>
        <w:t>The study had insufficient statistical power to determine any outcome benefit.</w:t>
      </w:r>
    </w:p>
    <w:p w:rsidR="006B63F3" w:rsidRPr="00E02FD7" w:rsidRDefault="006B63F3" w:rsidP="00E02FD7">
      <w:pPr>
        <w:spacing w:after="0" w:line="360" w:lineRule="auto"/>
        <w:ind w:left="720"/>
        <w:contextualSpacing/>
        <w:rPr>
          <w:rFonts w:eastAsia="Times New Roman" w:cs="Arial"/>
          <w:sz w:val="24"/>
          <w:szCs w:val="24"/>
        </w:rPr>
      </w:pPr>
    </w:p>
    <w:p w:rsidR="006B63F3" w:rsidRPr="00E02FD7" w:rsidRDefault="006B63F3"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45"/>
        <w:rPr>
          <w:rFonts w:cs="Times New Roman"/>
          <w:b/>
          <w:sz w:val="24"/>
          <w:szCs w:val="24"/>
          <w:lang w:val="en-US"/>
        </w:rPr>
      </w:pPr>
      <w:r w:rsidRPr="00E02FD7">
        <w:rPr>
          <w:rFonts w:cs="Times New Roman"/>
          <w:b/>
          <w:sz w:val="24"/>
          <w:szCs w:val="24"/>
          <w:lang w:val="en-US"/>
        </w:rPr>
        <w:t>Funding statement</w:t>
      </w:r>
    </w:p>
    <w:p w:rsidR="006B63F3" w:rsidRPr="00E02FD7" w:rsidRDefault="006B63F3" w:rsidP="00E02FD7">
      <w:pPr>
        <w:spacing w:after="0" w:line="360" w:lineRule="auto"/>
        <w:rPr>
          <w:rFonts w:eastAsia="Calibri" w:cs="Arial"/>
          <w:sz w:val="24"/>
          <w:szCs w:val="24"/>
        </w:rPr>
      </w:pPr>
      <w:r w:rsidRPr="00E02FD7">
        <w:rPr>
          <w:rFonts w:eastAsia="Calibri" w:cs="Arial"/>
          <w:sz w:val="24"/>
          <w:szCs w:val="24"/>
        </w:rPr>
        <w:t>This report presents independent research commissioned by the NIHR under its Research for Patient Benefit (</w:t>
      </w:r>
      <w:proofErr w:type="spellStart"/>
      <w:r w:rsidRPr="00E02FD7">
        <w:rPr>
          <w:rFonts w:eastAsia="Calibri" w:cs="Arial"/>
          <w:sz w:val="24"/>
          <w:szCs w:val="24"/>
        </w:rPr>
        <w:t>RfPB</w:t>
      </w:r>
      <w:proofErr w:type="spellEnd"/>
      <w:r w:rsidRPr="00E02FD7">
        <w:rPr>
          <w:rFonts w:eastAsia="Calibri" w:cs="Arial"/>
          <w:sz w:val="24"/>
          <w:szCs w:val="24"/>
        </w:rPr>
        <w:t>) Programme (Grant Reference Number PB-PG-0110-21026). The views expressed are those of the authors and not necessarily those of the NHS, the NIHR or the Department of Health.</w:t>
      </w:r>
    </w:p>
    <w:p w:rsidR="006864F6" w:rsidRPr="00E02FD7" w:rsidRDefault="006864F6" w:rsidP="00E02FD7">
      <w:pPr>
        <w:spacing w:line="480" w:lineRule="auto"/>
        <w:rPr>
          <w:b/>
          <w:sz w:val="24"/>
          <w:szCs w:val="24"/>
        </w:rPr>
      </w:pPr>
    </w:p>
    <w:p w:rsidR="006B63F3" w:rsidRPr="00E02FD7" w:rsidRDefault="006B63F3" w:rsidP="00E02FD7">
      <w:pPr>
        <w:spacing w:line="360" w:lineRule="auto"/>
        <w:rPr>
          <w:b/>
          <w:sz w:val="24"/>
          <w:szCs w:val="24"/>
        </w:rPr>
      </w:pPr>
      <w:r w:rsidRPr="00E02FD7">
        <w:rPr>
          <w:b/>
          <w:sz w:val="24"/>
          <w:szCs w:val="24"/>
        </w:rPr>
        <w:t>Competing interests</w:t>
      </w:r>
    </w:p>
    <w:p w:rsidR="006B63F3" w:rsidRPr="00E02FD7" w:rsidRDefault="006B63F3" w:rsidP="00E02FD7">
      <w:pPr>
        <w:spacing w:line="480" w:lineRule="auto"/>
        <w:rPr>
          <w:sz w:val="24"/>
          <w:szCs w:val="24"/>
        </w:rPr>
      </w:pPr>
      <w:r w:rsidRPr="00E02FD7">
        <w:rPr>
          <w:sz w:val="24"/>
          <w:szCs w:val="24"/>
        </w:rPr>
        <w:t xml:space="preserve">The authors declare that they have no competing interests </w:t>
      </w:r>
    </w:p>
    <w:p w:rsidR="00B57D18" w:rsidRPr="00E02FD7" w:rsidRDefault="00B57D18" w:rsidP="00E02FD7">
      <w:pPr>
        <w:rPr>
          <w:b/>
          <w:sz w:val="24"/>
          <w:szCs w:val="24"/>
        </w:rPr>
      </w:pPr>
      <w:r w:rsidRPr="00E02FD7">
        <w:rPr>
          <w:b/>
          <w:sz w:val="24"/>
          <w:szCs w:val="24"/>
        </w:rPr>
        <w:br w:type="page"/>
      </w:r>
    </w:p>
    <w:p w:rsidR="00AB6CE0" w:rsidRPr="00E02FD7" w:rsidRDefault="0004113F" w:rsidP="00E02FD7">
      <w:pPr>
        <w:autoSpaceDE w:val="0"/>
        <w:autoSpaceDN w:val="0"/>
        <w:adjustRightInd w:val="0"/>
        <w:spacing w:line="480" w:lineRule="auto"/>
        <w:rPr>
          <w:b/>
          <w:sz w:val="24"/>
          <w:szCs w:val="24"/>
        </w:rPr>
      </w:pPr>
      <w:r w:rsidRPr="00E02FD7">
        <w:rPr>
          <w:b/>
          <w:sz w:val="24"/>
          <w:szCs w:val="24"/>
        </w:rPr>
        <w:t>INTRODUCTION AND BACKGROUND</w:t>
      </w:r>
    </w:p>
    <w:p w:rsidR="00F317D9" w:rsidRPr="00E02FD7" w:rsidRDefault="00654828" w:rsidP="00E02FD7">
      <w:pPr>
        <w:spacing w:line="480" w:lineRule="auto"/>
        <w:rPr>
          <w:bCs/>
          <w:sz w:val="24"/>
          <w:szCs w:val="24"/>
        </w:rPr>
      </w:pPr>
      <w:r w:rsidRPr="00E02FD7">
        <w:rPr>
          <w:sz w:val="24"/>
          <w:szCs w:val="24"/>
        </w:rPr>
        <w:t>P</w:t>
      </w:r>
      <w:r w:rsidR="00610DA7" w:rsidRPr="00E02FD7">
        <w:rPr>
          <w:sz w:val="24"/>
          <w:szCs w:val="24"/>
        </w:rPr>
        <w:t>rovid</w:t>
      </w:r>
      <w:r w:rsidR="00942E10" w:rsidRPr="00E02FD7">
        <w:rPr>
          <w:sz w:val="24"/>
          <w:szCs w:val="24"/>
        </w:rPr>
        <w:t xml:space="preserve">ing </w:t>
      </w:r>
      <w:r w:rsidRPr="00E02FD7">
        <w:rPr>
          <w:sz w:val="24"/>
          <w:szCs w:val="24"/>
        </w:rPr>
        <w:t>information</w:t>
      </w:r>
      <w:r w:rsidR="00595806" w:rsidRPr="00E02FD7">
        <w:rPr>
          <w:sz w:val="24"/>
          <w:szCs w:val="24"/>
        </w:rPr>
        <w:t xml:space="preserve"> </w:t>
      </w:r>
      <w:r w:rsidRPr="00E02FD7">
        <w:rPr>
          <w:sz w:val="24"/>
          <w:szCs w:val="24"/>
        </w:rPr>
        <w:t>is a</w:t>
      </w:r>
      <w:r w:rsidR="008A47B8" w:rsidRPr="00E02FD7">
        <w:rPr>
          <w:sz w:val="24"/>
          <w:szCs w:val="24"/>
        </w:rPr>
        <w:t xml:space="preserve">n important </w:t>
      </w:r>
      <w:r w:rsidR="009F6660" w:rsidRPr="00E02FD7">
        <w:rPr>
          <w:sz w:val="24"/>
          <w:szCs w:val="24"/>
        </w:rPr>
        <w:t xml:space="preserve">element </w:t>
      </w:r>
      <w:r w:rsidR="000F7F3A" w:rsidRPr="00E02FD7">
        <w:rPr>
          <w:sz w:val="24"/>
          <w:szCs w:val="24"/>
        </w:rPr>
        <w:t xml:space="preserve">of </w:t>
      </w:r>
      <w:r w:rsidR="009F6660" w:rsidRPr="00E02FD7">
        <w:rPr>
          <w:sz w:val="24"/>
          <w:szCs w:val="24"/>
        </w:rPr>
        <w:t xml:space="preserve">effective </w:t>
      </w:r>
      <w:r w:rsidR="00243CCF" w:rsidRPr="00E02FD7">
        <w:rPr>
          <w:sz w:val="24"/>
          <w:szCs w:val="24"/>
        </w:rPr>
        <w:t xml:space="preserve">critical illness </w:t>
      </w:r>
      <w:r w:rsidR="000F7F3A" w:rsidRPr="00E02FD7">
        <w:rPr>
          <w:sz w:val="24"/>
          <w:szCs w:val="24"/>
        </w:rPr>
        <w:t xml:space="preserve">rehabilitation </w:t>
      </w:r>
      <w:r w:rsidR="002C1A61" w:rsidRPr="00E02FD7">
        <w:rPr>
          <w:sz w:val="24"/>
          <w:szCs w:val="24"/>
        </w:rPr>
        <w:t>care</w:t>
      </w:r>
      <w:r w:rsidR="00D2669F" w:rsidRPr="00E02FD7">
        <w:rPr>
          <w:sz w:val="24"/>
          <w:szCs w:val="24"/>
        </w:rPr>
        <w:t xml:space="preserve"> [1,2)</w:t>
      </w:r>
      <w:r w:rsidR="00BD713D" w:rsidRPr="00E02FD7">
        <w:rPr>
          <w:sz w:val="24"/>
          <w:szCs w:val="24"/>
        </w:rPr>
        <w:t>, yet a</w:t>
      </w:r>
      <w:r w:rsidR="00EA4D14" w:rsidRPr="00E02FD7">
        <w:rPr>
          <w:sz w:val="24"/>
          <w:szCs w:val="24"/>
        </w:rPr>
        <w:t>t the time of discharge from a</w:t>
      </w:r>
      <w:r w:rsidR="003A0392" w:rsidRPr="00E02FD7">
        <w:rPr>
          <w:sz w:val="24"/>
          <w:szCs w:val="24"/>
        </w:rPr>
        <w:t xml:space="preserve">n Intensive Care Unit </w:t>
      </w:r>
      <w:r w:rsidR="00CF77A3" w:rsidRPr="00E02FD7">
        <w:rPr>
          <w:sz w:val="24"/>
          <w:szCs w:val="24"/>
        </w:rPr>
        <w:t>(</w:t>
      </w:r>
      <w:r w:rsidR="003A0392" w:rsidRPr="00E02FD7">
        <w:rPr>
          <w:sz w:val="24"/>
          <w:szCs w:val="24"/>
        </w:rPr>
        <w:t>ICU</w:t>
      </w:r>
      <w:r w:rsidR="00CF77A3" w:rsidRPr="00E02FD7">
        <w:rPr>
          <w:sz w:val="24"/>
          <w:szCs w:val="24"/>
        </w:rPr>
        <w:t xml:space="preserve">) to a general </w:t>
      </w:r>
      <w:r w:rsidR="008A47B8" w:rsidRPr="00E02FD7">
        <w:rPr>
          <w:sz w:val="24"/>
          <w:szCs w:val="24"/>
        </w:rPr>
        <w:t xml:space="preserve">care </w:t>
      </w:r>
      <w:r w:rsidR="008935AE" w:rsidRPr="00E02FD7">
        <w:rPr>
          <w:sz w:val="24"/>
          <w:szCs w:val="24"/>
        </w:rPr>
        <w:t xml:space="preserve">environment </w:t>
      </w:r>
      <w:r w:rsidR="008A47B8" w:rsidRPr="00E02FD7">
        <w:rPr>
          <w:sz w:val="24"/>
          <w:szCs w:val="24"/>
        </w:rPr>
        <w:t>(ward)</w:t>
      </w:r>
      <w:r w:rsidR="00CF77A3" w:rsidRPr="00E02FD7">
        <w:rPr>
          <w:sz w:val="24"/>
          <w:szCs w:val="24"/>
        </w:rPr>
        <w:t xml:space="preserve">, </w:t>
      </w:r>
      <w:r w:rsidR="00BD713D" w:rsidRPr="00E02FD7">
        <w:rPr>
          <w:bCs/>
          <w:sz w:val="24"/>
          <w:szCs w:val="24"/>
        </w:rPr>
        <w:t xml:space="preserve">some patients and relatives report not receiving any information </w:t>
      </w:r>
      <w:r w:rsidR="00BD713D" w:rsidRPr="00E02FD7">
        <w:rPr>
          <w:sz w:val="24"/>
          <w:szCs w:val="24"/>
        </w:rPr>
        <w:t>[</w:t>
      </w:r>
      <w:r w:rsidR="001609A9" w:rsidRPr="00E02FD7">
        <w:rPr>
          <w:sz w:val="24"/>
          <w:szCs w:val="24"/>
        </w:rPr>
        <w:t>3</w:t>
      </w:r>
      <w:r w:rsidR="004049A8" w:rsidRPr="00E02FD7">
        <w:rPr>
          <w:sz w:val="24"/>
          <w:szCs w:val="24"/>
        </w:rPr>
        <w:t>,4</w:t>
      </w:r>
      <w:r w:rsidR="009D6B65" w:rsidRPr="00E02FD7">
        <w:rPr>
          <w:sz w:val="24"/>
          <w:szCs w:val="24"/>
        </w:rPr>
        <w:t>]</w:t>
      </w:r>
      <w:r w:rsidR="000A19E3" w:rsidRPr="00E02FD7">
        <w:rPr>
          <w:sz w:val="24"/>
          <w:szCs w:val="24"/>
        </w:rPr>
        <w:t xml:space="preserve"> or receiving </w:t>
      </w:r>
      <w:r w:rsidR="00BD713D" w:rsidRPr="00E02FD7">
        <w:rPr>
          <w:sz w:val="24"/>
          <w:szCs w:val="24"/>
        </w:rPr>
        <w:t xml:space="preserve"> </w:t>
      </w:r>
      <w:r w:rsidR="00CF77A3" w:rsidRPr="00E02FD7">
        <w:rPr>
          <w:sz w:val="24"/>
          <w:szCs w:val="24"/>
        </w:rPr>
        <w:t>a</w:t>
      </w:r>
      <w:r w:rsidR="008300B6" w:rsidRPr="00E02FD7">
        <w:rPr>
          <w:sz w:val="24"/>
          <w:szCs w:val="24"/>
        </w:rPr>
        <w:t>d-hoc verbal information, sometimes accompanied by a leaflet or booklet</w:t>
      </w:r>
      <w:r w:rsidR="008935AE" w:rsidRPr="00E02FD7">
        <w:rPr>
          <w:sz w:val="24"/>
          <w:szCs w:val="24"/>
        </w:rPr>
        <w:t xml:space="preserve"> [</w:t>
      </w:r>
      <w:r w:rsidR="004049A8" w:rsidRPr="00E02FD7">
        <w:rPr>
          <w:sz w:val="24"/>
          <w:szCs w:val="24"/>
        </w:rPr>
        <w:t>5</w:t>
      </w:r>
      <w:r w:rsidR="003B508A" w:rsidRPr="00E02FD7">
        <w:rPr>
          <w:sz w:val="24"/>
          <w:szCs w:val="24"/>
        </w:rPr>
        <w:t>]</w:t>
      </w:r>
      <w:r w:rsidR="00F317D9" w:rsidRPr="00E02FD7">
        <w:rPr>
          <w:bCs/>
          <w:sz w:val="24"/>
          <w:szCs w:val="24"/>
        </w:rPr>
        <w:t xml:space="preserve">. </w:t>
      </w:r>
    </w:p>
    <w:p w:rsidR="00840538" w:rsidRPr="00E02FD7" w:rsidRDefault="00394CB0" w:rsidP="00E02FD7">
      <w:pPr>
        <w:spacing w:line="480" w:lineRule="auto"/>
        <w:rPr>
          <w:bCs/>
          <w:sz w:val="24"/>
          <w:szCs w:val="24"/>
        </w:rPr>
      </w:pPr>
      <w:r w:rsidRPr="00E02FD7">
        <w:rPr>
          <w:sz w:val="24"/>
          <w:szCs w:val="24"/>
        </w:rPr>
        <w:t>Patient</w:t>
      </w:r>
      <w:r w:rsidR="00C77E16" w:rsidRPr="00E02FD7">
        <w:rPr>
          <w:sz w:val="24"/>
          <w:szCs w:val="24"/>
        </w:rPr>
        <w:t>-</w:t>
      </w:r>
      <w:r w:rsidRPr="00E02FD7">
        <w:rPr>
          <w:sz w:val="24"/>
          <w:szCs w:val="24"/>
        </w:rPr>
        <w:t>focused health care provision, which promotes shared decision-making, is widely advocated [6</w:t>
      </w:r>
      <w:r w:rsidR="002D6871" w:rsidRPr="00E02FD7">
        <w:rPr>
          <w:sz w:val="24"/>
          <w:szCs w:val="24"/>
        </w:rPr>
        <w:t>-</w:t>
      </w:r>
      <w:r w:rsidR="004049A8" w:rsidRPr="00E02FD7">
        <w:rPr>
          <w:sz w:val="24"/>
          <w:szCs w:val="24"/>
        </w:rPr>
        <w:t>9</w:t>
      </w:r>
      <w:r w:rsidRPr="00E02FD7">
        <w:rPr>
          <w:sz w:val="24"/>
          <w:szCs w:val="24"/>
        </w:rPr>
        <w:t>]</w:t>
      </w:r>
      <w:r w:rsidR="00C77E16" w:rsidRPr="00E02FD7">
        <w:rPr>
          <w:sz w:val="24"/>
          <w:szCs w:val="24"/>
        </w:rPr>
        <w:t>. G</w:t>
      </w:r>
      <w:r w:rsidRPr="00E02FD7">
        <w:rPr>
          <w:bCs/>
          <w:sz w:val="24"/>
          <w:szCs w:val="24"/>
        </w:rPr>
        <w:t xml:space="preserve">uidelines from the Department of Health in England (p16) recommend that acutely ill patients should be </w:t>
      </w:r>
      <w:r w:rsidRPr="00E02FD7">
        <w:rPr>
          <w:bCs/>
          <w:i/>
          <w:sz w:val="24"/>
          <w:szCs w:val="24"/>
        </w:rPr>
        <w:t>“encouraged to actively participate in decisions related to their recovery…</w:t>
      </w:r>
      <w:r w:rsidRPr="00E02FD7">
        <w:rPr>
          <w:bCs/>
          <w:sz w:val="24"/>
          <w:szCs w:val="24"/>
        </w:rPr>
        <w:t>” [</w:t>
      </w:r>
      <w:r w:rsidR="004049A8" w:rsidRPr="00E02FD7">
        <w:rPr>
          <w:bCs/>
          <w:sz w:val="24"/>
          <w:szCs w:val="24"/>
        </w:rPr>
        <w:t>10</w:t>
      </w:r>
      <w:r w:rsidRPr="00E02FD7">
        <w:rPr>
          <w:bCs/>
          <w:sz w:val="24"/>
          <w:szCs w:val="24"/>
        </w:rPr>
        <w:t>]</w:t>
      </w:r>
      <w:r w:rsidR="00DD1409" w:rsidRPr="00E02FD7">
        <w:rPr>
          <w:bCs/>
          <w:sz w:val="24"/>
          <w:szCs w:val="24"/>
        </w:rPr>
        <w:t>; this</w:t>
      </w:r>
      <w:r w:rsidR="00C77E16" w:rsidRPr="00E02FD7">
        <w:rPr>
          <w:bCs/>
          <w:sz w:val="24"/>
          <w:szCs w:val="24"/>
        </w:rPr>
        <w:t xml:space="preserve">, however, </w:t>
      </w:r>
      <w:r w:rsidR="00DD1409" w:rsidRPr="00E02FD7">
        <w:rPr>
          <w:bCs/>
          <w:sz w:val="24"/>
          <w:szCs w:val="24"/>
        </w:rPr>
        <w:t xml:space="preserve">requires </w:t>
      </w:r>
      <w:r w:rsidR="00C77E16" w:rsidRPr="00E02FD7">
        <w:rPr>
          <w:bCs/>
          <w:sz w:val="24"/>
          <w:szCs w:val="24"/>
        </w:rPr>
        <w:t xml:space="preserve">the provision of </w:t>
      </w:r>
      <w:r w:rsidR="00DD1409" w:rsidRPr="00E02FD7">
        <w:rPr>
          <w:bCs/>
          <w:sz w:val="24"/>
          <w:szCs w:val="24"/>
        </w:rPr>
        <w:t>appropriate information</w:t>
      </w:r>
      <w:r w:rsidRPr="00E02FD7">
        <w:rPr>
          <w:bCs/>
          <w:sz w:val="24"/>
          <w:szCs w:val="24"/>
        </w:rPr>
        <w:t xml:space="preserve">. </w:t>
      </w:r>
      <w:r w:rsidR="003452F3" w:rsidRPr="00E02FD7">
        <w:rPr>
          <w:bCs/>
          <w:sz w:val="24"/>
          <w:szCs w:val="24"/>
        </w:rPr>
        <w:t>T</w:t>
      </w:r>
      <w:r w:rsidR="00797E00" w:rsidRPr="00E02FD7">
        <w:rPr>
          <w:sz w:val="24"/>
          <w:szCs w:val="24"/>
        </w:rPr>
        <w:t xml:space="preserve">o be effective, </w:t>
      </w:r>
      <w:r w:rsidR="003A0392" w:rsidRPr="00E02FD7">
        <w:rPr>
          <w:sz w:val="24"/>
          <w:szCs w:val="24"/>
        </w:rPr>
        <w:t xml:space="preserve">ICU </w:t>
      </w:r>
      <w:r w:rsidR="007D4207" w:rsidRPr="00E02FD7">
        <w:rPr>
          <w:sz w:val="24"/>
          <w:szCs w:val="24"/>
        </w:rPr>
        <w:t xml:space="preserve">discharge </w:t>
      </w:r>
      <w:r w:rsidR="00797E00" w:rsidRPr="00E02FD7">
        <w:rPr>
          <w:sz w:val="24"/>
          <w:szCs w:val="24"/>
        </w:rPr>
        <w:t xml:space="preserve">information needs to take account of the </w:t>
      </w:r>
      <w:r w:rsidR="003452F3" w:rsidRPr="00E02FD7">
        <w:rPr>
          <w:sz w:val="24"/>
          <w:szCs w:val="24"/>
        </w:rPr>
        <w:t>cognitive</w:t>
      </w:r>
      <w:r w:rsidR="00797E00" w:rsidRPr="00E02FD7">
        <w:rPr>
          <w:sz w:val="24"/>
          <w:szCs w:val="24"/>
        </w:rPr>
        <w:t xml:space="preserve"> problems</w:t>
      </w:r>
      <w:r w:rsidR="003452F3" w:rsidRPr="00E02FD7">
        <w:rPr>
          <w:sz w:val="24"/>
          <w:szCs w:val="24"/>
        </w:rPr>
        <w:t xml:space="preserve"> and fatigue</w:t>
      </w:r>
      <w:r w:rsidR="00797E00" w:rsidRPr="00E02FD7">
        <w:rPr>
          <w:sz w:val="24"/>
          <w:szCs w:val="24"/>
        </w:rPr>
        <w:t xml:space="preserve"> apparent in many patients</w:t>
      </w:r>
      <w:r w:rsidR="009131F2" w:rsidRPr="00E02FD7">
        <w:rPr>
          <w:sz w:val="24"/>
          <w:szCs w:val="24"/>
        </w:rPr>
        <w:t xml:space="preserve"> recovering from critical illness</w:t>
      </w:r>
      <w:r w:rsidR="00D2669F" w:rsidRPr="00E02FD7">
        <w:rPr>
          <w:sz w:val="24"/>
          <w:szCs w:val="24"/>
        </w:rPr>
        <w:t xml:space="preserve"> [</w:t>
      </w:r>
      <w:r w:rsidR="00AF48C1" w:rsidRPr="00E02FD7">
        <w:rPr>
          <w:sz w:val="24"/>
          <w:szCs w:val="24"/>
        </w:rPr>
        <w:t>1</w:t>
      </w:r>
      <w:r w:rsidR="00CC1329" w:rsidRPr="00E02FD7">
        <w:rPr>
          <w:sz w:val="24"/>
          <w:szCs w:val="24"/>
        </w:rPr>
        <w:t>1</w:t>
      </w:r>
      <w:r w:rsidR="00D2669F" w:rsidRPr="00E02FD7">
        <w:rPr>
          <w:sz w:val="24"/>
          <w:szCs w:val="24"/>
        </w:rPr>
        <w:t>]</w:t>
      </w:r>
      <w:r w:rsidR="00797E00" w:rsidRPr="00E02FD7">
        <w:rPr>
          <w:sz w:val="24"/>
          <w:szCs w:val="24"/>
        </w:rPr>
        <w:t xml:space="preserve">. </w:t>
      </w:r>
      <w:r w:rsidR="003452F3" w:rsidRPr="00E02FD7">
        <w:rPr>
          <w:sz w:val="24"/>
          <w:szCs w:val="24"/>
        </w:rPr>
        <w:t>Any w</w:t>
      </w:r>
      <w:r w:rsidR="0097168E" w:rsidRPr="00E02FD7">
        <w:rPr>
          <w:sz w:val="24"/>
          <w:szCs w:val="24"/>
        </w:rPr>
        <w:t xml:space="preserve">ritten information </w:t>
      </w:r>
      <w:r w:rsidR="00797E00" w:rsidRPr="00E02FD7">
        <w:rPr>
          <w:sz w:val="24"/>
          <w:szCs w:val="24"/>
        </w:rPr>
        <w:t xml:space="preserve">must </w:t>
      </w:r>
      <w:r w:rsidR="00F07BC1" w:rsidRPr="00E02FD7">
        <w:rPr>
          <w:sz w:val="24"/>
          <w:szCs w:val="24"/>
        </w:rPr>
        <w:t xml:space="preserve">also </w:t>
      </w:r>
      <w:r w:rsidR="00797E00" w:rsidRPr="00E02FD7">
        <w:rPr>
          <w:sz w:val="24"/>
          <w:szCs w:val="24"/>
        </w:rPr>
        <w:t>acknowledge the heightened anxiety experienced by both patients and relatives at this time</w:t>
      </w:r>
      <w:r w:rsidR="003452F3" w:rsidRPr="00E02FD7">
        <w:rPr>
          <w:sz w:val="24"/>
          <w:szCs w:val="24"/>
        </w:rPr>
        <w:t xml:space="preserve"> </w:t>
      </w:r>
      <w:r w:rsidR="00CC1329" w:rsidRPr="00E02FD7">
        <w:rPr>
          <w:sz w:val="24"/>
          <w:szCs w:val="24"/>
        </w:rPr>
        <w:t xml:space="preserve">[11] </w:t>
      </w:r>
      <w:r w:rsidR="003452F3" w:rsidRPr="00E02FD7">
        <w:rPr>
          <w:sz w:val="24"/>
          <w:szCs w:val="24"/>
        </w:rPr>
        <w:t xml:space="preserve">and </w:t>
      </w:r>
      <w:r w:rsidR="00797E00" w:rsidRPr="00E02FD7">
        <w:rPr>
          <w:sz w:val="24"/>
          <w:szCs w:val="24"/>
        </w:rPr>
        <w:t xml:space="preserve">reflect the differing information needs </w:t>
      </w:r>
      <w:r w:rsidR="000A19E3" w:rsidRPr="00E02FD7">
        <w:rPr>
          <w:sz w:val="24"/>
          <w:szCs w:val="24"/>
        </w:rPr>
        <w:t xml:space="preserve">of both groups </w:t>
      </w:r>
      <w:r w:rsidR="00A31E31" w:rsidRPr="00E02FD7">
        <w:rPr>
          <w:sz w:val="24"/>
          <w:szCs w:val="24"/>
        </w:rPr>
        <w:t>at various time-points</w:t>
      </w:r>
      <w:r w:rsidR="00D2669F" w:rsidRPr="00E02FD7">
        <w:rPr>
          <w:sz w:val="24"/>
          <w:szCs w:val="24"/>
        </w:rPr>
        <w:t xml:space="preserve"> [</w:t>
      </w:r>
      <w:r w:rsidR="004049A8" w:rsidRPr="00E02FD7">
        <w:rPr>
          <w:sz w:val="24"/>
          <w:szCs w:val="24"/>
        </w:rPr>
        <w:t>4,5</w:t>
      </w:r>
      <w:r w:rsidR="00D2669F" w:rsidRPr="00E02FD7">
        <w:rPr>
          <w:sz w:val="24"/>
          <w:szCs w:val="24"/>
        </w:rPr>
        <w:t>]</w:t>
      </w:r>
      <w:r w:rsidR="00797E00" w:rsidRPr="00E02FD7">
        <w:rPr>
          <w:sz w:val="24"/>
          <w:szCs w:val="24"/>
        </w:rPr>
        <w:t xml:space="preserve">. </w:t>
      </w:r>
      <w:r w:rsidR="006C3ABB" w:rsidRPr="006C3ABB">
        <w:rPr>
          <w:sz w:val="24"/>
          <w:szCs w:val="24"/>
        </w:rPr>
        <w:t>Our intervention was designed to address all of these elements, in contrast to the interventions described in the few studies which have previously evaluated written ICU discharge information resources [12-15].</w:t>
      </w:r>
    </w:p>
    <w:p w:rsidR="00F607BA" w:rsidRPr="00E02FD7" w:rsidRDefault="00C606C5" w:rsidP="00E02FD7">
      <w:pPr>
        <w:spacing w:line="480" w:lineRule="auto"/>
        <w:rPr>
          <w:bCs/>
          <w:sz w:val="24"/>
          <w:szCs w:val="24"/>
        </w:rPr>
      </w:pPr>
      <w:r w:rsidRPr="00E02FD7">
        <w:rPr>
          <w:sz w:val="24"/>
          <w:szCs w:val="24"/>
        </w:rPr>
        <w:t xml:space="preserve">There is currently little evidence to support best practice with regards to </w:t>
      </w:r>
      <w:r w:rsidR="003A0392" w:rsidRPr="00E02FD7">
        <w:rPr>
          <w:sz w:val="24"/>
          <w:szCs w:val="24"/>
        </w:rPr>
        <w:t xml:space="preserve">ICU </w:t>
      </w:r>
      <w:r w:rsidRPr="00E02FD7">
        <w:rPr>
          <w:sz w:val="24"/>
          <w:szCs w:val="24"/>
        </w:rPr>
        <w:t>discharge information delivery [</w:t>
      </w:r>
      <w:r w:rsidR="004049A8" w:rsidRPr="00E02FD7">
        <w:rPr>
          <w:sz w:val="24"/>
          <w:szCs w:val="24"/>
        </w:rPr>
        <w:t>5</w:t>
      </w:r>
      <w:r w:rsidRPr="00E02FD7">
        <w:rPr>
          <w:sz w:val="24"/>
          <w:szCs w:val="24"/>
        </w:rPr>
        <w:t xml:space="preserve">]. </w:t>
      </w:r>
      <w:r w:rsidRPr="00E02FD7">
        <w:rPr>
          <w:bCs/>
          <w:sz w:val="24"/>
          <w:szCs w:val="24"/>
        </w:rPr>
        <w:t xml:space="preserve">Data from the few </w:t>
      </w:r>
      <w:r w:rsidR="003A11F4" w:rsidRPr="00E02FD7">
        <w:rPr>
          <w:bCs/>
          <w:sz w:val="24"/>
          <w:szCs w:val="24"/>
        </w:rPr>
        <w:t xml:space="preserve">studies, which have evaluated </w:t>
      </w:r>
      <w:r w:rsidR="00726565" w:rsidRPr="00E02FD7">
        <w:rPr>
          <w:bCs/>
          <w:sz w:val="24"/>
          <w:szCs w:val="24"/>
        </w:rPr>
        <w:t>w</w:t>
      </w:r>
      <w:r w:rsidR="00487E6B" w:rsidRPr="00E02FD7">
        <w:rPr>
          <w:bCs/>
          <w:sz w:val="24"/>
          <w:szCs w:val="24"/>
        </w:rPr>
        <w:t xml:space="preserve">ritten </w:t>
      </w:r>
      <w:r w:rsidRPr="00E02FD7">
        <w:rPr>
          <w:bCs/>
          <w:sz w:val="24"/>
          <w:szCs w:val="24"/>
        </w:rPr>
        <w:t>resources,</w:t>
      </w:r>
      <w:r w:rsidR="00487E6B" w:rsidRPr="00E02FD7">
        <w:rPr>
          <w:bCs/>
          <w:sz w:val="24"/>
          <w:szCs w:val="24"/>
        </w:rPr>
        <w:t xml:space="preserve"> </w:t>
      </w:r>
      <w:r w:rsidR="003A11F4" w:rsidRPr="00E02FD7">
        <w:rPr>
          <w:bCs/>
          <w:sz w:val="24"/>
          <w:szCs w:val="24"/>
        </w:rPr>
        <w:t xml:space="preserve">suggest that it can </w:t>
      </w:r>
      <w:r w:rsidR="006C5E96" w:rsidRPr="00E02FD7">
        <w:rPr>
          <w:sz w:val="24"/>
          <w:szCs w:val="24"/>
        </w:rPr>
        <w:t xml:space="preserve">improve </w:t>
      </w:r>
      <w:r w:rsidRPr="00E02FD7">
        <w:rPr>
          <w:bCs/>
          <w:sz w:val="24"/>
          <w:szCs w:val="24"/>
        </w:rPr>
        <w:t>family members’</w:t>
      </w:r>
      <w:r w:rsidRPr="00E02FD7">
        <w:rPr>
          <w:sz w:val="24"/>
          <w:szCs w:val="24"/>
        </w:rPr>
        <w:t xml:space="preserve"> </w:t>
      </w:r>
      <w:r w:rsidR="00677A4E" w:rsidRPr="00E02FD7">
        <w:rPr>
          <w:sz w:val="24"/>
          <w:szCs w:val="24"/>
        </w:rPr>
        <w:t xml:space="preserve">knowledge and </w:t>
      </w:r>
      <w:r w:rsidR="006C5E96" w:rsidRPr="00E02FD7">
        <w:rPr>
          <w:sz w:val="24"/>
          <w:szCs w:val="24"/>
        </w:rPr>
        <w:t xml:space="preserve">satisfaction </w:t>
      </w:r>
      <w:r w:rsidR="00D2669F" w:rsidRPr="00E02FD7">
        <w:rPr>
          <w:sz w:val="24"/>
          <w:szCs w:val="24"/>
        </w:rPr>
        <w:t>[</w:t>
      </w:r>
      <w:r w:rsidR="006C5E96" w:rsidRPr="00E02FD7">
        <w:rPr>
          <w:sz w:val="24"/>
          <w:szCs w:val="24"/>
        </w:rPr>
        <w:t>1</w:t>
      </w:r>
      <w:r w:rsidR="00677A4E" w:rsidRPr="00E02FD7">
        <w:rPr>
          <w:sz w:val="24"/>
          <w:szCs w:val="24"/>
        </w:rPr>
        <w:t>3</w:t>
      </w:r>
      <w:r w:rsidR="00AF48C1" w:rsidRPr="00E02FD7">
        <w:rPr>
          <w:sz w:val="24"/>
          <w:szCs w:val="24"/>
        </w:rPr>
        <w:t>,</w:t>
      </w:r>
      <w:r w:rsidR="001340BA" w:rsidRPr="00E02FD7">
        <w:rPr>
          <w:sz w:val="24"/>
          <w:szCs w:val="24"/>
        </w:rPr>
        <w:t xml:space="preserve"> </w:t>
      </w:r>
      <w:r w:rsidR="00AF48C1" w:rsidRPr="00E02FD7">
        <w:rPr>
          <w:sz w:val="24"/>
          <w:szCs w:val="24"/>
        </w:rPr>
        <w:t>14</w:t>
      </w:r>
      <w:r w:rsidR="00D2669F" w:rsidRPr="00E02FD7">
        <w:rPr>
          <w:sz w:val="24"/>
          <w:szCs w:val="24"/>
        </w:rPr>
        <w:t>]</w:t>
      </w:r>
      <w:r w:rsidR="00487E6B" w:rsidRPr="00E02FD7">
        <w:rPr>
          <w:sz w:val="24"/>
          <w:szCs w:val="24"/>
        </w:rPr>
        <w:t xml:space="preserve"> </w:t>
      </w:r>
      <w:r w:rsidR="00677A4E" w:rsidRPr="00E02FD7">
        <w:rPr>
          <w:sz w:val="24"/>
          <w:szCs w:val="24"/>
        </w:rPr>
        <w:t>and reduce their anxiety [1</w:t>
      </w:r>
      <w:r w:rsidR="00AF48C1" w:rsidRPr="00E02FD7">
        <w:rPr>
          <w:sz w:val="24"/>
          <w:szCs w:val="24"/>
        </w:rPr>
        <w:t>5</w:t>
      </w:r>
      <w:r w:rsidR="00677A4E" w:rsidRPr="00E02FD7">
        <w:rPr>
          <w:sz w:val="24"/>
          <w:szCs w:val="24"/>
        </w:rPr>
        <w:t xml:space="preserve">] during and after </w:t>
      </w:r>
      <w:r w:rsidR="003A0392" w:rsidRPr="00E02FD7">
        <w:rPr>
          <w:sz w:val="24"/>
          <w:szCs w:val="24"/>
        </w:rPr>
        <w:t xml:space="preserve">ICU </w:t>
      </w:r>
      <w:r w:rsidR="00677A4E" w:rsidRPr="00E02FD7">
        <w:rPr>
          <w:sz w:val="24"/>
          <w:szCs w:val="24"/>
        </w:rPr>
        <w:t xml:space="preserve">discharge. </w:t>
      </w:r>
      <w:r w:rsidRPr="00E02FD7">
        <w:rPr>
          <w:sz w:val="24"/>
          <w:szCs w:val="24"/>
        </w:rPr>
        <w:t xml:space="preserve">The results of </w:t>
      </w:r>
      <w:r w:rsidR="006D6712" w:rsidRPr="00E02FD7">
        <w:rPr>
          <w:sz w:val="24"/>
          <w:szCs w:val="24"/>
        </w:rPr>
        <w:t xml:space="preserve">a </w:t>
      </w:r>
      <w:r w:rsidR="00F418E6" w:rsidRPr="00E02FD7">
        <w:rPr>
          <w:sz w:val="24"/>
          <w:szCs w:val="24"/>
        </w:rPr>
        <w:t xml:space="preserve">multi-centre </w:t>
      </w:r>
      <w:r w:rsidRPr="00E02FD7">
        <w:rPr>
          <w:sz w:val="24"/>
          <w:szCs w:val="24"/>
        </w:rPr>
        <w:t xml:space="preserve">U.K. </w:t>
      </w:r>
      <w:r w:rsidR="00726565" w:rsidRPr="00E02FD7">
        <w:rPr>
          <w:sz w:val="24"/>
          <w:szCs w:val="24"/>
        </w:rPr>
        <w:t xml:space="preserve">Randomized Controlled Trial (RCT) </w:t>
      </w:r>
      <w:r w:rsidR="00677A4E" w:rsidRPr="00E02FD7">
        <w:rPr>
          <w:sz w:val="24"/>
          <w:szCs w:val="24"/>
        </w:rPr>
        <w:t xml:space="preserve">also </w:t>
      </w:r>
      <w:r w:rsidR="003452F3" w:rsidRPr="00E02FD7">
        <w:rPr>
          <w:sz w:val="24"/>
          <w:szCs w:val="24"/>
        </w:rPr>
        <w:t xml:space="preserve">suggest </w:t>
      </w:r>
      <w:r w:rsidR="000A19E3" w:rsidRPr="00E02FD7">
        <w:rPr>
          <w:sz w:val="24"/>
          <w:szCs w:val="24"/>
        </w:rPr>
        <w:t>that</w:t>
      </w:r>
      <w:r w:rsidR="00726565" w:rsidRPr="00E02FD7">
        <w:rPr>
          <w:sz w:val="24"/>
          <w:szCs w:val="24"/>
        </w:rPr>
        <w:t xml:space="preserve"> </w:t>
      </w:r>
      <w:r w:rsidRPr="00E02FD7">
        <w:rPr>
          <w:sz w:val="24"/>
          <w:szCs w:val="24"/>
        </w:rPr>
        <w:t xml:space="preserve">written information </w:t>
      </w:r>
      <w:r w:rsidR="00726565" w:rsidRPr="00E02FD7">
        <w:rPr>
          <w:sz w:val="24"/>
          <w:szCs w:val="24"/>
        </w:rPr>
        <w:t xml:space="preserve">may help </w:t>
      </w:r>
      <w:r w:rsidR="006C5E96" w:rsidRPr="00E02FD7">
        <w:rPr>
          <w:sz w:val="24"/>
          <w:szCs w:val="24"/>
        </w:rPr>
        <w:t xml:space="preserve">lower </w:t>
      </w:r>
      <w:r w:rsidR="00726565" w:rsidRPr="00E02FD7">
        <w:rPr>
          <w:sz w:val="24"/>
          <w:szCs w:val="24"/>
        </w:rPr>
        <w:t xml:space="preserve">patients’ </w:t>
      </w:r>
      <w:r w:rsidR="006C5E96" w:rsidRPr="00E02FD7">
        <w:rPr>
          <w:sz w:val="24"/>
          <w:szCs w:val="24"/>
        </w:rPr>
        <w:t xml:space="preserve">levels of </w:t>
      </w:r>
      <w:r w:rsidR="00487E6B" w:rsidRPr="00E02FD7">
        <w:rPr>
          <w:sz w:val="24"/>
          <w:szCs w:val="24"/>
        </w:rPr>
        <w:t>depression</w:t>
      </w:r>
      <w:r w:rsidR="00D2669F" w:rsidRPr="00E02FD7">
        <w:rPr>
          <w:sz w:val="24"/>
          <w:szCs w:val="24"/>
        </w:rPr>
        <w:t xml:space="preserve"> </w:t>
      </w:r>
      <w:r w:rsidR="00487E6B" w:rsidRPr="00E02FD7">
        <w:rPr>
          <w:sz w:val="24"/>
          <w:szCs w:val="24"/>
        </w:rPr>
        <w:t xml:space="preserve">and symptoms of </w:t>
      </w:r>
      <w:r w:rsidR="006E014F" w:rsidRPr="00E02FD7">
        <w:rPr>
          <w:sz w:val="24"/>
          <w:szCs w:val="24"/>
        </w:rPr>
        <w:t>P</w:t>
      </w:r>
      <w:r w:rsidR="00EA4D14" w:rsidRPr="00E02FD7">
        <w:rPr>
          <w:sz w:val="24"/>
          <w:szCs w:val="24"/>
        </w:rPr>
        <w:t>ost-</w:t>
      </w:r>
      <w:r w:rsidR="006E014F" w:rsidRPr="00E02FD7">
        <w:rPr>
          <w:sz w:val="24"/>
          <w:szCs w:val="24"/>
        </w:rPr>
        <w:t>T</w:t>
      </w:r>
      <w:r w:rsidR="00EA4D14" w:rsidRPr="00E02FD7">
        <w:rPr>
          <w:sz w:val="24"/>
          <w:szCs w:val="24"/>
        </w:rPr>
        <w:t xml:space="preserve">raumatic </w:t>
      </w:r>
      <w:r w:rsidR="006E014F" w:rsidRPr="00E02FD7">
        <w:rPr>
          <w:sz w:val="24"/>
          <w:szCs w:val="24"/>
        </w:rPr>
        <w:t>S</w:t>
      </w:r>
      <w:r w:rsidR="00EA4D14" w:rsidRPr="00E02FD7">
        <w:rPr>
          <w:sz w:val="24"/>
          <w:szCs w:val="24"/>
        </w:rPr>
        <w:t xml:space="preserve">tress </w:t>
      </w:r>
      <w:r w:rsidR="006E014F" w:rsidRPr="00E02FD7">
        <w:rPr>
          <w:sz w:val="24"/>
          <w:szCs w:val="24"/>
        </w:rPr>
        <w:t>D</w:t>
      </w:r>
      <w:r w:rsidR="00EA4D14" w:rsidRPr="00E02FD7">
        <w:rPr>
          <w:sz w:val="24"/>
          <w:szCs w:val="24"/>
        </w:rPr>
        <w:t>isorder</w:t>
      </w:r>
      <w:r w:rsidR="006E014F" w:rsidRPr="00E02FD7">
        <w:rPr>
          <w:sz w:val="24"/>
          <w:szCs w:val="24"/>
        </w:rPr>
        <w:t xml:space="preserve"> (PTSD)</w:t>
      </w:r>
      <w:r w:rsidR="00E55C49" w:rsidRPr="00E02FD7">
        <w:rPr>
          <w:sz w:val="24"/>
          <w:szCs w:val="24"/>
        </w:rPr>
        <w:t>,</w:t>
      </w:r>
      <w:r w:rsidR="002D28CF" w:rsidRPr="00E02FD7">
        <w:rPr>
          <w:sz w:val="24"/>
          <w:szCs w:val="24"/>
        </w:rPr>
        <w:t xml:space="preserve"> when provided as part of a broader rehabilitation strategy</w:t>
      </w:r>
      <w:r w:rsidR="00487E6B" w:rsidRPr="00E02FD7">
        <w:rPr>
          <w:sz w:val="24"/>
          <w:szCs w:val="24"/>
        </w:rPr>
        <w:t xml:space="preserve"> </w:t>
      </w:r>
      <w:r w:rsidR="00D2669F" w:rsidRPr="00E02FD7">
        <w:rPr>
          <w:sz w:val="24"/>
          <w:szCs w:val="24"/>
        </w:rPr>
        <w:t>[1</w:t>
      </w:r>
      <w:r w:rsidR="00AF48C1" w:rsidRPr="00E02FD7">
        <w:rPr>
          <w:sz w:val="24"/>
          <w:szCs w:val="24"/>
        </w:rPr>
        <w:t>2</w:t>
      </w:r>
      <w:r w:rsidR="00D2669F" w:rsidRPr="00E02FD7">
        <w:rPr>
          <w:sz w:val="24"/>
          <w:szCs w:val="24"/>
        </w:rPr>
        <w:t>]</w:t>
      </w:r>
      <w:r w:rsidR="00766164" w:rsidRPr="00E02FD7">
        <w:rPr>
          <w:sz w:val="24"/>
          <w:szCs w:val="24"/>
        </w:rPr>
        <w:t xml:space="preserve">. </w:t>
      </w:r>
      <w:r w:rsidR="00303F7A" w:rsidRPr="00E02FD7">
        <w:rPr>
          <w:sz w:val="24"/>
          <w:szCs w:val="24"/>
        </w:rPr>
        <w:t xml:space="preserve">These limited </w:t>
      </w:r>
      <w:r w:rsidR="003F5148" w:rsidRPr="00E02FD7">
        <w:rPr>
          <w:sz w:val="24"/>
          <w:szCs w:val="24"/>
        </w:rPr>
        <w:t xml:space="preserve">data </w:t>
      </w:r>
      <w:r w:rsidR="00D31CA5" w:rsidRPr="00E02FD7">
        <w:rPr>
          <w:sz w:val="24"/>
          <w:szCs w:val="24"/>
        </w:rPr>
        <w:t>justify</w:t>
      </w:r>
      <w:r w:rsidR="00303F7A" w:rsidRPr="00E02FD7">
        <w:rPr>
          <w:sz w:val="24"/>
          <w:szCs w:val="24"/>
        </w:rPr>
        <w:t xml:space="preserve"> </w:t>
      </w:r>
      <w:r w:rsidR="00D31CA5" w:rsidRPr="00E02FD7">
        <w:rPr>
          <w:sz w:val="24"/>
          <w:szCs w:val="24"/>
        </w:rPr>
        <w:t xml:space="preserve">further investigation of </w:t>
      </w:r>
      <w:r w:rsidR="00303F7A" w:rsidRPr="00E02FD7">
        <w:rPr>
          <w:sz w:val="24"/>
          <w:szCs w:val="24"/>
        </w:rPr>
        <w:t xml:space="preserve">the </w:t>
      </w:r>
      <w:r w:rsidR="00E348D3" w:rsidRPr="00E02FD7">
        <w:rPr>
          <w:sz w:val="24"/>
          <w:szCs w:val="24"/>
        </w:rPr>
        <w:t xml:space="preserve">key elements </w:t>
      </w:r>
      <w:r w:rsidR="00303F7A" w:rsidRPr="00E02FD7">
        <w:rPr>
          <w:sz w:val="24"/>
          <w:szCs w:val="24"/>
        </w:rPr>
        <w:t xml:space="preserve">of </w:t>
      </w:r>
      <w:r w:rsidR="003A0392" w:rsidRPr="00E02FD7">
        <w:rPr>
          <w:sz w:val="24"/>
          <w:szCs w:val="24"/>
        </w:rPr>
        <w:t xml:space="preserve">ICU </w:t>
      </w:r>
      <w:r w:rsidR="00303F7A" w:rsidRPr="00E02FD7">
        <w:rPr>
          <w:sz w:val="24"/>
          <w:szCs w:val="24"/>
        </w:rPr>
        <w:t>discharge information</w:t>
      </w:r>
      <w:r w:rsidR="002D28CF" w:rsidRPr="00E02FD7">
        <w:rPr>
          <w:sz w:val="24"/>
          <w:szCs w:val="24"/>
        </w:rPr>
        <w:t xml:space="preserve"> that</w:t>
      </w:r>
      <w:r w:rsidR="00303F7A" w:rsidRPr="00E02FD7">
        <w:rPr>
          <w:sz w:val="24"/>
          <w:szCs w:val="24"/>
        </w:rPr>
        <w:t xml:space="preserve"> </w:t>
      </w:r>
      <w:r w:rsidR="00677A4E" w:rsidRPr="00E02FD7">
        <w:rPr>
          <w:sz w:val="24"/>
          <w:szCs w:val="24"/>
        </w:rPr>
        <w:t>lead</w:t>
      </w:r>
      <w:r w:rsidR="00E348D3" w:rsidRPr="00E02FD7">
        <w:rPr>
          <w:sz w:val="24"/>
          <w:szCs w:val="24"/>
        </w:rPr>
        <w:t xml:space="preserve"> to positive health outcomes</w:t>
      </w:r>
      <w:r w:rsidR="00487E6B" w:rsidRPr="00E02FD7">
        <w:rPr>
          <w:sz w:val="24"/>
          <w:szCs w:val="24"/>
        </w:rPr>
        <w:t xml:space="preserve">. </w:t>
      </w:r>
    </w:p>
    <w:p w:rsidR="002C2F9A" w:rsidRPr="00E02FD7" w:rsidRDefault="0004113F" w:rsidP="00E02FD7">
      <w:pPr>
        <w:spacing w:line="480" w:lineRule="auto"/>
        <w:rPr>
          <w:b/>
          <w:bCs/>
          <w:sz w:val="24"/>
          <w:szCs w:val="24"/>
        </w:rPr>
      </w:pPr>
      <w:r w:rsidRPr="00E02FD7">
        <w:rPr>
          <w:b/>
          <w:bCs/>
          <w:sz w:val="24"/>
          <w:szCs w:val="24"/>
        </w:rPr>
        <w:t>OBJECTIVES</w:t>
      </w:r>
    </w:p>
    <w:p w:rsidR="00CC5ACE" w:rsidRPr="00E02FD7" w:rsidRDefault="00951B8B" w:rsidP="00E02FD7">
      <w:pPr>
        <w:spacing w:line="480" w:lineRule="auto"/>
        <w:rPr>
          <w:sz w:val="24"/>
          <w:szCs w:val="24"/>
        </w:rPr>
      </w:pPr>
      <w:r w:rsidRPr="00E02FD7">
        <w:rPr>
          <w:bCs/>
          <w:sz w:val="24"/>
          <w:szCs w:val="24"/>
        </w:rPr>
        <w:t>Th</w:t>
      </w:r>
      <w:r w:rsidR="002C1A61" w:rsidRPr="00E02FD7">
        <w:rPr>
          <w:bCs/>
          <w:sz w:val="24"/>
          <w:szCs w:val="24"/>
        </w:rPr>
        <w:t>is</w:t>
      </w:r>
      <w:r w:rsidRPr="00E02FD7">
        <w:rPr>
          <w:bCs/>
          <w:sz w:val="24"/>
          <w:szCs w:val="24"/>
        </w:rPr>
        <w:t xml:space="preserve"> paper </w:t>
      </w:r>
      <w:r w:rsidR="00DA05E7" w:rsidRPr="00E02FD7">
        <w:rPr>
          <w:bCs/>
          <w:sz w:val="24"/>
          <w:szCs w:val="24"/>
        </w:rPr>
        <w:t xml:space="preserve">reports </w:t>
      </w:r>
      <w:r w:rsidRPr="00E02FD7">
        <w:rPr>
          <w:bCs/>
          <w:sz w:val="24"/>
          <w:szCs w:val="24"/>
        </w:rPr>
        <w:t xml:space="preserve">a </w:t>
      </w:r>
      <w:r w:rsidR="00797E00" w:rsidRPr="00E02FD7">
        <w:rPr>
          <w:bCs/>
          <w:sz w:val="24"/>
          <w:szCs w:val="24"/>
        </w:rPr>
        <w:t>RCT</w:t>
      </w:r>
      <w:r w:rsidR="00385FA3" w:rsidRPr="00E02FD7">
        <w:rPr>
          <w:bCs/>
          <w:sz w:val="24"/>
          <w:szCs w:val="24"/>
        </w:rPr>
        <w:t xml:space="preserve"> designed to </w:t>
      </w:r>
      <w:r w:rsidR="003F5A14" w:rsidRPr="00E02FD7">
        <w:rPr>
          <w:sz w:val="24"/>
          <w:szCs w:val="24"/>
        </w:rPr>
        <w:t>(1) provide an init</w:t>
      </w:r>
      <w:r w:rsidR="002247FA" w:rsidRPr="00E02FD7">
        <w:rPr>
          <w:sz w:val="24"/>
          <w:szCs w:val="24"/>
        </w:rPr>
        <w:t xml:space="preserve">ial evaluation of </w:t>
      </w:r>
      <w:r w:rsidR="00344378" w:rsidRPr="00E02FD7">
        <w:rPr>
          <w:bCs/>
          <w:sz w:val="24"/>
          <w:szCs w:val="24"/>
        </w:rPr>
        <w:t xml:space="preserve">a </w:t>
      </w:r>
      <w:r w:rsidR="00EA4D14" w:rsidRPr="00E02FD7">
        <w:rPr>
          <w:bCs/>
          <w:sz w:val="24"/>
          <w:szCs w:val="24"/>
        </w:rPr>
        <w:t>User Centred Critical Care Discharge Information P</w:t>
      </w:r>
      <w:r w:rsidR="00344378" w:rsidRPr="00E02FD7">
        <w:rPr>
          <w:bCs/>
          <w:sz w:val="24"/>
          <w:szCs w:val="24"/>
        </w:rPr>
        <w:t xml:space="preserve">ack (UCCDIP) </w:t>
      </w:r>
      <w:r w:rsidR="009F6660" w:rsidRPr="00E02FD7">
        <w:rPr>
          <w:sz w:val="24"/>
          <w:szCs w:val="24"/>
        </w:rPr>
        <w:t xml:space="preserve">(2) inform </w:t>
      </w:r>
      <w:r w:rsidR="003F5A14" w:rsidRPr="00E02FD7">
        <w:rPr>
          <w:sz w:val="24"/>
          <w:szCs w:val="24"/>
        </w:rPr>
        <w:t xml:space="preserve">decisions regarding </w:t>
      </w:r>
      <w:r w:rsidR="00303F7A" w:rsidRPr="00E02FD7">
        <w:rPr>
          <w:sz w:val="24"/>
          <w:szCs w:val="24"/>
        </w:rPr>
        <w:t>its</w:t>
      </w:r>
      <w:r w:rsidR="009F6660" w:rsidRPr="00E02FD7">
        <w:rPr>
          <w:sz w:val="24"/>
          <w:szCs w:val="24"/>
        </w:rPr>
        <w:t xml:space="preserve"> </w:t>
      </w:r>
      <w:r w:rsidR="003F5A14" w:rsidRPr="00E02FD7">
        <w:rPr>
          <w:sz w:val="24"/>
          <w:szCs w:val="24"/>
        </w:rPr>
        <w:t xml:space="preserve">further development and evaluation </w:t>
      </w:r>
      <w:r w:rsidR="00942E10" w:rsidRPr="00E02FD7">
        <w:rPr>
          <w:sz w:val="24"/>
          <w:szCs w:val="24"/>
        </w:rPr>
        <w:t>and (3</w:t>
      </w:r>
      <w:r w:rsidR="003F5A14" w:rsidRPr="00E02FD7">
        <w:rPr>
          <w:sz w:val="24"/>
          <w:szCs w:val="24"/>
        </w:rPr>
        <w:t xml:space="preserve">) estimate the sample size required to power a definitive </w:t>
      </w:r>
      <w:r w:rsidR="00635B32" w:rsidRPr="00E02FD7">
        <w:rPr>
          <w:sz w:val="24"/>
          <w:szCs w:val="24"/>
        </w:rPr>
        <w:t>trial</w:t>
      </w:r>
      <w:r w:rsidR="003F5A14" w:rsidRPr="00E02FD7">
        <w:rPr>
          <w:sz w:val="24"/>
          <w:szCs w:val="24"/>
        </w:rPr>
        <w:t>.</w:t>
      </w:r>
      <w:r w:rsidR="00CC5ACE" w:rsidRPr="00E02FD7">
        <w:rPr>
          <w:sz w:val="24"/>
          <w:szCs w:val="24"/>
        </w:rPr>
        <w:t xml:space="preserve"> </w:t>
      </w:r>
    </w:p>
    <w:p w:rsidR="00DC2738" w:rsidRPr="00E02FD7" w:rsidRDefault="0004113F" w:rsidP="00E02FD7">
      <w:pPr>
        <w:spacing w:line="480" w:lineRule="auto"/>
        <w:outlineLvl w:val="0"/>
        <w:rPr>
          <w:b/>
          <w:sz w:val="24"/>
          <w:szCs w:val="24"/>
        </w:rPr>
      </w:pPr>
      <w:r w:rsidRPr="00E02FD7">
        <w:rPr>
          <w:b/>
          <w:sz w:val="24"/>
          <w:szCs w:val="24"/>
        </w:rPr>
        <w:t>METHODS</w:t>
      </w:r>
    </w:p>
    <w:p w:rsidR="002C2F9A" w:rsidRPr="00E02FD7" w:rsidRDefault="002C2F9A" w:rsidP="00E02FD7">
      <w:pPr>
        <w:spacing w:line="480" w:lineRule="auto"/>
        <w:outlineLvl w:val="0"/>
        <w:rPr>
          <w:b/>
          <w:sz w:val="24"/>
          <w:szCs w:val="24"/>
        </w:rPr>
      </w:pPr>
      <w:r w:rsidRPr="00E02FD7">
        <w:rPr>
          <w:b/>
          <w:sz w:val="24"/>
          <w:szCs w:val="24"/>
        </w:rPr>
        <w:t>Design</w:t>
      </w:r>
    </w:p>
    <w:p w:rsidR="002C2F9A" w:rsidRPr="00E02FD7" w:rsidRDefault="009036D8" w:rsidP="00E02FD7">
      <w:pPr>
        <w:spacing w:line="480" w:lineRule="auto"/>
        <w:rPr>
          <w:sz w:val="24"/>
          <w:szCs w:val="24"/>
        </w:rPr>
      </w:pPr>
      <w:r w:rsidRPr="00E02FD7">
        <w:rPr>
          <w:sz w:val="24"/>
          <w:szCs w:val="24"/>
        </w:rPr>
        <w:t>W</w:t>
      </w:r>
      <w:r w:rsidR="00CF77A3" w:rsidRPr="00E02FD7">
        <w:rPr>
          <w:sz w:val="24"/>
          <w:szCs w:val="24"/>
        </w:rPr>
        <w:t xml:space="preserve">e </w:t>
      </w:r>
      <w:r w:rsidRPr="00E02FD7">
        <w:rPr>
          <w:sz w:val="24"/>
          <w:szCs w:val="24"/>
        </w:rPr>
        <w:t xml:space="preserve">designed </w:t>
      </w:r>
      <w:r w:rsidR="000D3577" w:rsidRPr="00E02FD7">
        <w:rPr>
          <w:sz w:val="24"/>
          <w:szCs w:val="24"/>
        </w:rPr>
        <w:t>an</w:t>
      </w:r>
      <w:r w:rsidR="00AF7316" w:rsidRPr="00E02FD7">
        <w:rPr>
          <w:sz w:val="24"/>
          <w:szCs w:val="24"/>
        </w:rPr>
        <w:t xml:space="preserve"> external pilot pragmatic RCT</w:t>
      </w:r>
      <w:r w:rsidR="00F15E22" w:rsidRPr="00E02FD7">
        <w:rPr>
          <w:sz w:val="24"/>
          <w:szCs w:val="24"/>
        </w:rPr>
        <w:t xml:space="preserve"> </w:t>
      </w:r>
      <w:r w:rsidR="00303A4C" w:rsidRPr="00E02FD7">
        <w:rPr>
          <w:sz w:val="24"/>
          <w:szCs w:val="24"/>
        </w:rPr>
        <w:t xml:space="preserve">(Figure 1) </w:t>
      </w:r>
      <w:r w:rsidR="00F15E22" w:rsidRPr="00E02FD7">
        <w:rPr>
          <w:sz w:val="24"/>
          <w:szCs w:val="24"/>
        </w:rPr>
        <w:t>to</w:t>
      </w:r>
      <w:r w:rsidR="008E6004" w:rsidRPr="00E02FD7">
        <w:rPr>
          <w:sz w:val="24"/>
          <w:szCs w:val="24"/>
        </w:rPr>
        <w:t xml:space="preserve"> </w:t>
      </w:r>
      <w:r w:rsidR="00F15E22" w:rsidRPr="00E02FD7">
        <w:rPr>
          <w:sz w:val="24"/>
          <w:szCs w:val="24"/>
        </w:rPr>
        <w:t>provide initial data regarding the feasibility and effectiveness of UCCDIP</w:t>
      </w:r>
      <w:r w:rsidR="008E6004" w:rsidRPr="00E02FD7">
        <w:rPr>
          <w:sz w:val="24"/>
          <w:szCs w:val="24"/>
        </w:rPr>
        <w:t>. In accordance with the definition of an external pilot</w:t>
      </w:r>
      <w:r w:rsidR="00681D0C" w:rsidRPr="00E02FD7">
        <w:rPr>
          <w:sz w:val="24"/>
          <w:szCs w:val="24"/>
        </w:rPr>
        <w:t xml:space="preserve"> [1</w:t>
      </w:r>
      <w:r w:rsidR="00E021B7" w:rsidRPr="00E02FD7">
        <w:rPr>
          <w:sz w:val="24"/>
          <w:szCs w:val="24"/>
        </w:rPr>
        <w:t>6</w:t>
      </w:r>
      <w:r w:rsidR="00681D0C" w:rsidRPr="00E02FD7">
        <w:rPr>
          <w:sz w:val="24"/>
          <w:szCs w:val="24"/>
        </w:rPr>
        <w:t>]</w:t>
      </w:r>
      <w:r w:rsidR="008E6004" w:rsidRPr="00E02FD7">
        <w:rPr>
          <w:sz w:val="24"/>
          <w:szCs w:val="24"/>
        </w:rPr>
        <w:t xml:space="preserve">, </w:t>
      </w:r>
      <w:r w:rsidR="00337B0D" w:rsidRPr="00E02FD7">
        <w:rPr>
          <w:sz w:val="24"/>
          <w:szCs w:val="24"/>
        </w:rPr>
        <w:t>an assessment of the primary outcome</w:t>
      </w:r>
      <w:r w:rsidRPr="00E02FD7">
        <w:rPr>
          <w:sz w:val="24"/>
          <w:szCs w:val="24"/>
        </w:rPr>
        <w:t xml:space="preserve"> was included</w:t>
      </w:r>
      <w:r w:rsidR="00337B0D" w:rsidRPr="00E02FD7">
        <w:rPr>
          <w:sz w:val="24"/>
          <w:szCs w:val="24"/>
        </w:rPr>
        <w:t xml:space="preserve">. </w:t>
      </w:r>
      <w:r w:rsidR="002C2F9A" w:rsidRPr="00E02FD7">
        <w:rPr>
          <w:sz w:val="24"/>
          <w:szCs w:val="24"/>
        </w:rPr>
        <w:t>T</w:t>
      </w:r>
      <w:r w:rsidR="00136110" w:rsidRPr="00E02FD7">
        <w:rPr>
          <w:sz w:val="24"/>
          <w:szCs w:val="24"/>
        </w:rPr>
        <w:t>o reduce t</w:t>
      </w:r>
      <w:r w:rsidR="002C2F9A" w:rsidRPr="00E02FD7">
        <w:rPr>
          <w:sz w:val="24"/>
          <w:szCs w:val="24"/>
        </w:rPr>
        <w:t xml:space="preserve">he </w:t>
      </w:r>
      <w:r w:rsidR="00136110" w:rsidRPr="00E02FD7">
        <w:rPr>
          <w:sz w:val="24"/>
          <w:szCs w:val="24"/>
        </w:rPr>
        <w:t xml:space="preserve">chance of </w:t>
      </w:r>
      <w:r w:rsidR="00B42AF0" w:rsidRPr="00E02FD7">
        <w:rPr>
          <w:sz w:val="24"/>
          <w:szCs w:val="24"/>
        </w:rPr>
        <w:t xml:space="preserve">between-group </w:t>
      </w:r>
      <w:r w:rsidR="00136110" w:rsidRPr="00E02FD7">
        <w:rPr>
          <w:sz w:val="24"/>
          <w:szCs w:val="24"/>
        </w:rPr>
        <w:t xml:space="preserve">contamination, the </w:t>
      </w:r>
      <w:r w:rsidR="002C2F9A" w:rsidRPr="00E02FD7">
        <w:rPr>
          <w:sz w:val="24"/>
          <w:szCs w:val="24"/>
        </w:rPr>
        <w:t xml:space="preserve">design also incorporated cluster randomization, where groups of participants (as opposed to individuals) were allocated to study arms. </w:t>
      </w:r>
      <w:r w:rsidR="00EF29B2" w:rsidRPr="00E02FD7">
        <w:rPr>
          <w:sz w:val="24"/>
          <w:szCs w:val="24"/>
        </w:rPr>
        <w:t>During the trial, a</w:t>
      </w:r>
      <w:r w:rsidR="00CF77A3" w:rsidRPr="00E02FD7">
        <w:rPr>
          <w:sz w:val="24"/>
          <w:szCs w:val="24"/>
        </w:rPr>
        <w:t xml:space="preserve"> questionnaire survey </w:t>
      </w:r>
      <w:r w:rsidR="005E2FAD" w:rsidRPr="00E02FD7">
        <w:rPr>
          <w:sz w:val="24"/>
          <w:szCs w:val="24"/>
        </w:rPr>
        <w:t xml:space="preserve">was conducted </w:t>
      </w:r>
      <w:r w:rsidR="00EF29B2" w:rsidRPr="00E02FD7">
        <w:rPr>
          <w:sz w:val="24"/>
          <w:szCs w:val="24"/>
        </w:rPr>
        <w:t>to determine the experiences of trial participants and nursing staff.</w:t>
      </w:r>
      <w:r w:rsidR="004A542B" w:rsidRPr="00E02FD7">
        <w:rPr>
          <w:sz w:val="24"/>
          <w:szCs w:val="24"/>
        </w:rPr>
        <w:t xml:space="preserve">  </w:t>
      </w:r>
    </w:p>
    <w:p w:rsidR="005E703E" w:rsidRPr="00E02FD7" w:rsidRDefault="005E703E" w:rsidP="00E02FD7">
      <w:pPr>
        <w:spacing w:line="480" w:lineRule="auto"/>
        <w:rPr>
          <w:sz w:val="24"/>
          <w:szCs w:val="24"/>
        </w:rPr>
      </w:pPr>
    </w:p>
    <w:p w:rsidR="005E703E" w:rsidRPr="00E02FD7" w:rsidRDefault="005E703E" w:rsidP="00E02FD7">
      <w:pPr>
        <w:spacing w:line="480" w:lineRule="auto"/>
        <w:rPr>
          <w:sz w:val="24"/>
          <w:szCs w:val="24"/>
        </w:rPr>
        <w:sectPr w:rsidR="005E703E" w:rsidRPr="00E02FD7" w:rsidSect="000A19E3">
          <w:headerReference w:type="default" r:id="rId9"/>
          <w:footerReference w:type="default" r:id="rId10"/>
          <w:pgSz w:w="11906" w:h="16838"/>
          <w:pgMar w:top="1440" w:right="1133" w:bottom="1440" w:left="1440" w:header="708" w:footer="708" w:gutter="0"/>
          <w:cols w:space="708"/>
          <w:docGrid w:linePitch="360"/>
        </w:sectPr>
      </w:pPr>
    </w:p>
    <w:p w:rsidR="006919FA" w:rsidRPr="00E02FD7" w:rsidRDefault="00303A4C" w:rsidP="00E02FD7">
      <w:pPr>
        <w:spacing w:line="480" w:lineRule="auto"/>
        <w:rPr>
          <w:sz w:val="24"/>
          <w:szCs w:val="24"/>
        </w:rPr>
      </w:pPr>
      <w:r w:rsidRPr="00E02FD7">
        <w:rPr>
          <w:sz w:val="24"/>
          <w:szCs w:val="24"/>
        </w:rPr>
        <w:t xml:space="preserve">Ethical approval was granted by the central London research ethics committee (REC 3) </w:t>
      </w:r>
      <w:r w:rsidRPr="00E02FD7">
        <w:rPr>
          <w:bCs/>
          <w:sz w:val="24"/>
          <w:szCs w:val="24"/>
        </w:rPr>
        <w:t>(10/H0716/75)</w:t>
      </w:r>
      <w:r w:rsidRPr="00E02FD7">
        <w:rPr>
          <w:sz w:val="24"/>
          <w:szCs w:val="24"/>
        </w:rPr>
        <w:t xml:space="preserve"> </w:t>
      </w:r>
      <w:r w:rsidR="00304B42" w:rsidRPr="00E02FD7">
        <w:rPr>
          <w:sz w:val="24"/>
          <w:szCs w:val="24"/>
        </w:rPr>
        <w:t xml:space="preserve">on </w:t>
      </w:r>
      <w:r w:rsidR="00C92D1B" w:rsidRPr="00E02FD7">
        <w:rPr>
          <w:sz w:val="24"/>
          <w:szCs w:val="24"/>
        </w:rPr>
        <w:t>23</w:t>
      </w:r>
      <w:r w:rsidR="00C92D1B" w:rsidRPr="00E02FD7">
        <w:rPr>
          <w:sz w:val="24"/>
          <w:szCs w:val="24"/>
          <w:vertAlign w:val="superscript"/>
        </w:rPr>
        <w:t>rd</w:t>
      </w:r>
      <w:r w:rsidR="00C92D1B" w:rsidRPr="00E02FD7">
        <w:rPr>
          <w:sz w:val="24"/>
          <w:szCs w:val="24"/>
        </w:rPr>
        <w:t xml:space="preserve"> December 2010</w:t>
      </w:r>
      <w:r w:rsidR="008144A5" w:rsidRPr="00E02FD7">
        <w:rPr>
          <w:sz w:val="24"/>
          <w:szCs w:val="24"/>
        </w:rPr>
        <w:t>. In</w:t>
      </w:r>
      <w:r w:rsidRPr="00E02FD7">
        <w:rPr>
          <w:sz w:val="24"/>
          <w:szCs w:val="24"/>
        </w:rPr>
        <w:t xml:space="preserve"> line with best practice [</w:t>
      </w:r>
      <w:r w:rsidR="00C51834" w:rsidRPr="00E02FD7">
        <w:rPr>
          <w:sz w:val="24"/>
          <w:szCs w:val="24"/>
        </w:rPr>
        <w:t>1</w:t>
      </w:r>
      <w:r w:rsidR="005D502E" w:rsidRPr="00E02FD7">
        <w:rPr>
          <w:sz w:val="24"/>
          <w:szCs w:val="24"/>
        </w:rPr>
        <w:t>7</w:t>
      </w:r>
      <w:r w:rsidRPr="00E02FD7">
        <w:rPr>
          <w:sz w:val="24"/>
          <w:szCs w:val="24"/>
        </w:rPr>
        <w:t>,</w:t>
      </w:r>
      <w:r w:rsidR="001340BA" w:rsidRPr="00E02FD7">
        <w:rPr>
          <w:sz w:val="24"/>
          <w:szCs w:val="24"/>
        </w:rPr>
        <w:t xml:space="preserve"> </w:t>
      </w:r>
      <w:r w:rsidR="00C51834" w:rsidRPr="00E02FD7">
        <w:rPr>
          <w:sz w:val="24"/>
          <w:szCs w:val="24"/>
        </w:rPr>
        <w:t>1</w:t>
      </w:r>
      <w:r w:rsidR="005D502E" w:rsidRPr="00E02FD7">
        <w:rPr>
          <w:sz w:val="24"/>
          <w:szCs w:val="24"/>
        </w:rPr>
        <w:t>8</w:t>
      </w:r>
      <w:r w:rsidRPr="00E02FD7">
        <w:rPr>
          <w:sz w:val="24"/>
          <w:szCs w:val="24"/>
        </w:rPr>
        <w:t xml:space="preserve">], a former patient and Trustee </w:t>
      </w:r>
      <w:r w:rsidR="009524F2" w:rsidRPr="009524F2">
        <w:rPr>
          <w:sz w:val="24"/>
          <w:szCs w:val="24"/>
        </w:rPr>
        <w:t xml:space="preserve">of </w:t>
      </w:r>
      <w:proofErr w:type="spellStart"/>
      <w:r w:rsidR="009524F2" w:rsidRPr="009524F2">
        <w:rPr>
          <w:sz w:val="24"/>
          <w:szCs w:val="24"/>
        </w:rPr>
        <w:t>ICUsteps</w:t>
      </w:r>
      <w:proofErr w:type="spellEnd"/>
      <w:r w:rsidR="009524F2" w:rsidRPr="009524F2">
        <w:rPr>
          <w:sz w:val="24"/>
          <w:szCs w:val="24"/>
        </w:rPr>
        <w:t xml:space="preserve"> (an ICU patient and relative support charity)</w:t>
      </w:r>
      <w:r w:rsidR="009524F2">
        <w:rPr>
          <w:sz w:val="24"/>
          <w:szCs w:val="24"/>
        </w:rPr>
        <w:t xml:space="preserve">, </w:t>
      </w:r>
      <w:r w:rsidRPr="00E02FD7">
        <w:rPr>
          <w:sz w:val="24"/>
          <w:szCs w:val="24"/>
        </w:rPr>
        <w:t xml:space="preserve">was included on the project team. </w:t>
      </w:r>
      <w:r w:rsidR="00C92D1B" w:rsidRPr="00E02FD7">
        <w:rPr>
          <w:sz w:val="24"/>
          <w:szCs w:val="24"/>
        </w:rPr>
        <w:t xml:space="preserve">Recruitment took place between 8th August 2011 and 4th May 2012 and informed patient consent was obtained prior to data collection. </w:t>
      </w:r>
      <w:r w:rsidR="000B7263" w:rsidRPr="00E02FD7">
        <w:rPr>
          <w:sz w:val="24"/>
          <w:szCs w:val="24"/>
        </w:rPr>
        <w:t>The trial was registered on The International Standard Randomized Controlled Trial Number (ISRCTN) database (ISRCTN47262088</w:t>
      </w:r>
      <w:r w:rsidR="000B7263" w:rsidRPr="00E02FD7">
        <w:rPr>
          <w:bCs/>
          <w:sz w:val="24"/>
          <w:szCs w:val="24"/>
        </w:rPr>
        <w:t xml:space="preserve">) five months after recruitment of the first patient. This delay was due to an administrative problem between trial registry and the funding body. The full trial protocol is available </w:t>
      </w:r>
      <w:r w:rsidR="0006760A" w:rsidRPr="00E02FD7">
        <w:rPr>
          <w:bCs/>
          <w:sz w:val="24"/>
          <w:szCs w:val="24"/>
        </w:rPr>
        <w:t>as a supplementary file</w:t>
      </w:r>
      <w:r w:rsidR="002E204E" w:rsidRPr="00E02FD7">
        <w:rPr>
          <w:bCs/>
          <w:sz w:val="24"/>
          <w:szCs w:val="24"/>
        </w:rPr>
        <w:t xml:space="preserve"> (supplementary file 1)</w:t>
      </w:r>
      <w:r w:rsidR="000B7263" w:rsidRPr="00E02FD7">
        <w:rPr>
          <w:sz w:val="24"/>
          <w:szCs w:val="24"/>
        </w:rPr>
        <w:t xml:space="preserve">. </w:t>
      </w:r>
    </w:p>
    <w:p w:rsidR="00EF2D87" w:rsidRPr="00E02FD7" w:rsidRDefault="00EF2D87" w:rsidP="00E02FD7">
      <w:pPr>
        <w:spacing w:line="480" w:lineRule="auto"/>
        <w:outlineLvl w:val="0"/>
        <w:rPr>
          <w:b/>
          <w:sz w:val="24"/>
          <w:szCs w:val="24"/>
        </w:rPr>
      </w:pPr>
      <w:r w:rsidRPr="00E02FD7">
        <w:rPr>
          <w:b/>
          <w:sz w:val="24"/>
          <w:szCs w:val="24"/>
        </w:rPr>
        <w:t>Setting</w:t>
      </w:r>
      <w:r w:rsidR="00BF52A3" w:rsidRPr="00E02FD7">
        <w:rPr>
          <w:b/>
          <w:sz w:val="24"/>
          <w:szCs w:val="24"/>
        </w:rPr>
        <w:t xml:space="preserve"> and </w:t>
      </w:r>
      <w:r w:rsidR="002C2F9A" w:rsidRPr="00E02FD7">
        <w:rPr>
          <w:b/>
          <w:sz w:val="24"/>
          <w:szCs w:val="24"/>
        </w:rPr>
        <w:t>participants</w:t>
      </w:r>
    </w:p>
    <w:p w:rsidR="00A640FB" w:rsidRPr="00E02FD7" w:rsidRDefault="00EF2D87" w:rsidP="00E02FD7">
      <w:pPr>
        <w:spacing w:line="480" w:lineRule="auto"/>
        <w:rPr>
          <w:sz w:val="24"/>
          <w:szCs w:val="24"/>
        </w:rPr>
      </w:pPr>
      <w:r w:rsidRPr="00E02FD7">
        <w:rPr>
          <w:sz w:val="24"/>
          <w:szCs w:val="24"/>
        </w:rPr>
        <w:t xml:space="preserve">The study took place in two </w:t>
      </w:r>
      <w:r w:rsidR="003A0392" w:rsidRPr="00E02FD7">
        <w:rPr>
          <w:sz w:val="24"/>
          <w:szCs w:val="24"/>
        </w:rPr>
        <w:t xml:space="preserve">ICUs </w:t>
      </w:r>
      <w:r w:rsidRPr="00E02FD7">
        <w:rPr>
          <w:sz w:val="24"/>
          <w:szCs w:val="24"/>
        </w:rPr>
        <w:t xml:space="preserve">(medical </w:t>
      </w:r>
      <w:r w:rsidRPr="00E02FD7">
        <w:rPr>
          <w:i/>
          <w:sz w:val="24"/>
          <w:szCs w:val="24"/>
        </w:rPr>
        <w:t>n</w:t>
      </w:r>
      <w:r w:rsidRPr="00E02FD7">
        <w:rPr>
          <w:sz w:val="24"/>
          <w:szCs w:val="24"/>
        </w:rPr>
        <w:t xml:space="preserve">=14 beds and surgical </w:t>
      </w:r>
      <w:r w:rsidRPr="00E02FD7">
        <w:rPr>
          <w:i/>
          <w:sz w:val="24"/>
          <w:szCs w:val="24"/>
        </w:rPr>
        <w:t>n</w:t>
      </w:r>
      <w:r w:rsidR="00CF77A3" w:rsidRPr="00E02FD7">
        <w:rPr>
          <w:sz w:val="24"/>
          <w:szCs w:val="24"/>
        </w:rPr>
        <w:t xml:space="preserve">=18 beds) within a single </w:t>
      </w:r>
      <w:r w:rsidR="003452F3" w:rsidRPr="00E02FD7">
        <w:rPr>
          <w:sz w:val="24"/>
          <w:szCs w:val="24"/>
        </w:rPr>
        <w:t>teaching hospital</w:t>
      </w:r>
      <w:r w:rsidR="00C661C4" w:rsidRPr="00E02FD7">
        <w:rPr>
          <w:sz w:val="24"/>
          <w:szCs w:val="24"/>
        </w:rPr>
        <w:t xml:space="preserve"> in c</w:t>
      </w:r>
      <w:r w:rsidRPr="00E02FD7">
        <w:rPr>
          <w:sz w:val="24"/>
          <w:szCs w:val="24"/>
        </w:rPr>
        <w:t>entral London, England</w:t>
      </w:r>
      <w:r w:rsidR="003A0392" w:rsidRPr="00E02FD7">
        <w:rPr>
          <w:sz w:val="24"/>
          <w:szCs w:val="24"/>
        </w:rPr>
        <w:t>;</w:t>
      </w:r>
      <w:r w:rsidR="00F418E6" w:rsidRPr="00E02FD7">
        <w:rPr>
          <w:sz w:val="24"/>
          <w:szCs w:val="24"/>
        </w:rPr>
        <w:t xml:space="preserve"> </w:t>
      </w:r>
      <w:r w:rsidR="00D46D3D" w:rsidRPr="00E02FD7">
        <w:rPr>
          <w:sz w:val="24"/>
          <w:szCs w:val="24"/>
        </w:rPr>
        <w:t>provid</w:t>
      </w:r>
      <w:r w:rsidR="00F418E6" w:rsidRPr="00E02FD7">
        <w:rPr>
          <w:sz w:val="24"/>
          <w:szCs w:val="24"/>
        </w:rPr>
        <w:t xml:space="preserve">ing </w:t>
      </w:r>
      <w:r w:rsidR="00D46D3D" w:rsidRPr="00E02FD7">
        <w:rPr>
          <w:sz w:val="24"/>
          <w:szCs w:val="24"/>
        </w:rPr>
        <w:t xml:space="preserve">care for </w:t>
      </w:r>
      <w:r w:rsidRPr="00E02FD7">
        <w:rPr>
          <w:sz w:val="24"/>
          <w:szCs w:val="24"/>
        </w:rPr>
        <w:t>a mixed medical, surgical and trauma patient population</w:t>
      </w:r>
      <w:r w:rsidR="00CE6B2C" w:rsidRPr="00E02FD7">
        <w:rPr>
          <w:sz w:val="24"/>
          <w:szCs w:val="24"/>
        </w:rPr>
        <w:t xml:space="preserve">, </w:t>
      </w:r>
      <w:r w:rsidR="00726565" w:rsidRPr="00E02FD7">
        <w:rPr>
          <w:sz w:val="24"/>
          <w:szCs w:val="24"/>
        </w:rPr>
        <w:t>requiring</w:t>
      </w:r>
      <w:r w:rsidR="00CE6B2C" w:rsidRPr="00E02FD7">
        <w:rPr>
          <w:sz w:val="24"/>
          <w:szCs w:val="24"/>
        </w:rPr>
        <w:t xml:space="preserve"> level 2 </w:t>
      </w:r>
      <w:r w:rsidR="00EA4D14" w:rsidRPr="00E02FD7">
        <w:rPr>
          <w:sz w:val="24"/>
          <w:szCs w:val="24"/>
        </w:rPr>
        <w:t xml:space="preserve">(high dependency) </w:t>
      </w:r>
      <w:r w:rsidR="00CE6B2C" w:rsidRPr="00E02FD7">
        <w:rPr>
          <w:sz w:val="24"/>
          <w:szCs w:val="24"/>
        </w:rPr>
        <w:t xml:space="preserve">or level 3 </w:t>
      </w:r>
      <w:r w:rsidR="00EA4D14" w:rsidRPr="00E02FD7">
        <w:rPr>
          <w:sz w:val="24"/>
          <w:szCs w:val="24"/>
        </w:rPr>
        <w:t xml:space="preserve">(intensive) </w:t>
      </w:r>
      <w:r w:rsidR="00CE6B2C" w:rsidRPr="00E02FD7">
        <w:rPr>
          <w:sz w:val="24"/>
          <w:szCs w:val="24"/>
        </w:rPr>
        <w:t>care</w:t>
      </w:r>
      <w:r w:rsidR="00681D0C" w:rsidRPr="00E02FD7">
        <w:rPr>
          <w:sz w:val="24"/>
          <w:szCs w:val="24"/>
        </w:rPr>
        <w:t xml:space="preserve"> [</w:t>
      </w:r>
      <w:r w:rsidR="005D502E" w:rsidRPr="00E02FD7">
        <w:rPr>
          <w:sz w:val="24"/>
          <w:szCs w:val="24"/>
        </w:rPr>
        <w:t>19</w:t>
      </w:r>
      <w:r w:rsidR="00681D0C" w:rsidRPr="00E02FD7">
        <w:rPr>
          <w:sz w:val="24"/>
          <w:szCs w:val="24"/>
        </w:rPr>
        <w:t>]</w:t>
      </w:r>
      <w:r w:rsidRPr="00E02FD7">
        <w:rPr>
          <w:sz w:val="24"/>
          <w:szCs w:val="24"/>
        </w:rPr>
        <w:t xml:space="preserve">. </w:t>
      </w:r>
      <w:r w:rsidR="008B28A0" w:rsidRPr="00E02FD7">
        <w:rPr>
          <w:sz w:val="24"/>
          <w:szCs w:val="24"/>
        </w:rPr>
        <w:t>B</w:t>
      </w:r>
      <w:r w:rsidR="008621F0" w:rsidRPr="00E02FD7">
        <w:rPr>
          <w:sz w:val="24"/>
          <w:szCs w:val="24"/>
        </w:rPr>
        <w:t xml:space="preserve">oth </w:t>
      </w:r>
      <w:r w:rsidR="008B28A0" w:rsidRPr="00E02FD7">
        <w:rPr>
          <w:sz w:val="24"/>
          <w:szCs w:val="24"/>
        </w:rPr>
        <w:t xml:space="preserve">units </w:t>
      </w:r>
      <w:r w:rsidR="008621F0" w:rsidRPr="00E02FD7">
        <w:rPr>
          <w:sz w:val="24"/>
          <w:szCs w:val="24"/>
        </w:rPr>
        <w:t xml:space="preserve">functioned </w:t>
      </w:r>
      <w:r w:rsidR="00E84305" w:rsidRPr="00E02FD7">
        <w:rPr>
          <w:sz w:val="24"/>
          <w:szCs w:val="24"/>
        </w:rPr>
        <w:t>as one department</w:t>
      </w:r>
      <w:r w:rsidR="002D1CCD" w:rsidRPr="00E02FD7">
        <w:rPr>
          <w:sz w:val="24"/>
          <w:szCs w:val="24"/>
        </w:rPr>
        <w:t xml:space="preserve">; </w:t>
      </w:r>
      <w:r w:rsidR="00E84305" w:rsidRPr="00E02FD7">
        <w:rPr>
          <w:sz w:val="24"/>
          <w:szCs w:val="24"/>
        </w:rPr>
        <w:t xml:space="preserve">staff rotated </w:t>
      </w:r>
      <w:r w:rsidR="001340BA" w:rsidRPr="00E02FD7">
        <w:rPr>
          <w:sz w:val="24"/>
          <w:szCs w:val="24"/>
        </w:rPr>
        <w:t xml:space="preserve">between units </w:t>
      </w:r>
      <w:r w:rsidR="00E84305" w:rsidRPr="00E02FD7">
        <w:rPr>
          <w:sz w:val="24"/>
          <w:szCs w:val="24"/>
        </w:rPr>
        <w:t xml:space="preserve">and </w:t>
      </w:r>
      <w:r w:rsidR="008621F0" w:rsidRPr="00E02FD7">
        <w:rPr>
          <w:sz w:val="24"/>
          <w:szCs w:val="24"/>
        </w:rPr>
        <w:t>p</w:t>
      </w:r>
      <w:r w:rsidR="00E84305" w:rsidRPr="00E02FD7">
        <w:rPr>
          <w:sz w:val="24"/>
          <w:szCs w:val="24"/>
        </w:rPr>
        <w:t xml:space="preserve">atients </w:t>
      </w:r>
      <w:r w:rsidR="002D1CCD" w:rsidRPr="00E02FD7">
        <w:rPr>
          <w:sz w:val="24"/>
          <w:szCs w:val="24"/>
        </w:rPr>
        <w:t xml:space="preserve">were </w:t>
      </w:r>
      <w:r w:rsidR="00E84305" w:rsidRPr="00E02FD7">
        <w:rPr>
          <w:sz w:val="24"/>
          <w:szCs w:val="24"/>
        </w:rPr>
        <w:t>allocated to a bed based on availability</w:t>
      </w:r>
      <w:r w:rsidR="008B28A0" w:rsidRPr="00E02FD7">
        <w:rPr>
          <w:sz w:val="24"/>
          <w:szCs w:val="24"/>
        </w:rPr>
        <w:t>; regardless of whether they required medical or surgical care</w:t>
      </w:r>
      <w:r w:rsidR="00E84305" w:rsidRPr="00E02FD7">
        <w:rPr>
          <w:sz w:val="24"/>
          <w:szCs w:val="24"/>
        </w:rPr>
        <w:t xml:space="preserve">. </w:t>
      </w:r>
      <w:r w:rsidR="008F5CFB" w:rsidRPr="00E02FD7">
        <w:rPr>
          <w:sz w:val="24"/>
          <w:szCs w:val="24"/>
        </w:rPr>
        <w:t xml:space="preserve">Patients over 18 years were </w:t>
      </w:r>
      <w:r w:rsidR="00CE6B2C" w:rsidRPr="00E02FD7">
        <w:rPr>
          <w:sz w:val="24"/>
          <w:szCs w:val="24"/>
        </w:rPr>
        <w:t xml:space="preserve">considered </w:t>
      </w:r>
      <w:r w:rsidR="008F5CFB" w:rsidRPr="00E02FD7">
        <w:rPr>
          <w:sz w:val="24"/>
          <w:szCs w:val="24"/>
        </w:rPr>
        <w:t xml:space="preserve">for inclusion </w:t>
      </w:r>
      <w:r w:rsidR="003B7896" w:rsidRPr="00E02FD7">
        <w:rPr>
          <w:sz w:val="24"/>
          <w:szCs w:val="24"/>
        </w:rPr>
        <w:t xml:space="preserve">into a cluster </w:t>
      </w:r>
      <w:r w:rsidR="008F5CFB" w:rsidRPr="00E02FD7">
        <w:rPr>
          <w:sz w:val="24"/>
          <w:szCs w:val="24"/>
        </w:rPr>
        <w:t xml:space="preserve">if they had spent at least 72 hours in the </w:t>
      </w:r>
      <w:r w:rsidR="003A0392" w:rsidRPr="00E02FD7">
        <w:rPr>
          <w:sz w:val="24"/>
          <w:szCs w:val="24"/>
        </w:rPr>
        <w:t xml:space="preserve">ICU </w:t>
      </w:r>
      <w:r w:rsidR="005801DA" w:rsidRPr="00E02FD7">
        <w:rPr>
          <w:sz w:val="24"/>
          <w:szCs w:val="24"/>
        </w:rPr>
        <w:t>(Table 1)</w:t>
      </w:r>
      <w:r w:rsidR="008F5CFB" w:rsidRPr="00E02FD7">
        <w:rPr>
          <w:sz w:val="24"/>
          <w:szCs w:val="24"/>
        </w:rPr>
        <w:t xml:space="preserve">. </w:t>
      </w:r>
      <w:r w:rsidR="00D46D3D" w:rsidRPr="00E02FD7">
        <w:rPr>
          <w:sz w:val="24"/>
          <w:szCs w:val="24"/>
        </w:rPr>
        <w:t>The intention was to recruit all eligible patients, declared medically fit for discharge to a general ward Monday-Friday (08</w:t>
      </w:r>
      <w:r w:rsidR="00850BAA" w:rsidRPr="00E02FD7">
        <w:rPr>
          <w:sz w:val="24"/>
          <w:szCs w:val="24"/>
        </w:rPr>
        <w:t>.</w:t>
      </w:r>
      <w:r w:rsidR="00D46D3D" w:rsidRPr="00E02FD7">
        <w:rPr>
          <w:sz w:val="24"/>
          <w:szCs w:val="24"/>
        </w:rPr>
        <w:t>00-20.00) and a nominated relative.</w:t>
      </w:r>
      <w:r w:rsidR="004F4E69" w:rsidRPr="00E02FD7">
        <w:rPr>
          <w:sz w:val="24"/>
          <w:szCs w:val="24"/>
        </w:rPr>
        <w:t xml:space="preserve"> </w:t>
      </w:r>
      <w:r w:rsidR="00285FDA" w:rsidRPr="00E02FD7">
        <w:rPr>
          <w:sz w:val="24"/>
          <w:szCs w:val="24"/>
        </w:rPr>
        <w:t xml:space="preserve">Inclusion criteria were based on best practice guidelines surrounding </w:t>
      </w:r>
      <w:r w:rsidR="003A0392" w:rsidRPr="00E02FD7">
        <w:rPr>
          <w:sz w:val="24"/>
          <w:szCs w:val="24"/>
        </w:rPr>
        <w:t xml:space="preserve">ICU </w:t>
      </w:r>
      <w:r w:rsidR="00285FDA" w:rsidRPr="00E02FD7">
        <w:rPr>
          <w:sz w:val="24"/>
          <w:szCs w:val="24"/>
        </w:rPr>
        <w:t>discharge</w:t>
      </w:r>
      <w:r w:rsidR="00C51834" w:rsidRPr="00E02FD7">
        <w:rPr>
          <w:sz w:val="24"/>
          <w:szCs w:val="24"/>
        </w:rPr>
        <w:t xml:space="preserve"> [1]</w:t>
      </w:r>
      <w:r w:rsidR="00285FDA" w:rsidRPr="00E02FD7">
        <w:rPr>
          <w:sz w:val="24"/>
          <w:szCs w:val="24"/>
        </w:rPr>
        <w:t xml:space="preserve">, with an aim to avoid including overnight stay elective surgical patients whose discharge had been delayed due to the unavailability of a ward bed. </w:t>
      </w:r>
    </w:p>
    <w:p w:rsidR="00D8318E" w:rsidRPr="00E02FD7" w:rsidRDefault="00D8318E" w:rsidP="00E02FD7">
      <w:pPr>
        <w:spacing w:line="360" w:lineRule="auto"/>
        <w:rPr>
          <w:b/>
          <w:sz w:val="24"/>
          <w:szCs w:val="24"/>
        </w:rPr>
      </w:pPr>
    </w:p>
    <w:p w:rsidR="00D8318E" w:rsidRPr="00E02FD7" w:rsidRDefault="00D8318E" w:rsidP="00E02FD7">
      <w:pPr>
        <w:spacing w:line="360" w:lineRule="auto"/>
        <w:rPr>
          <w:b/>
          <w:sz w:val="24"/>
          <w:szCs w:val="24"/>
        </w:rPr>
      </w:pPr>
    </w:p>
    <w:p w:rsidR="007D23DC" w:rsidRPr="00E02FD7" w:rsidRDefault="007D23DC" w:rsidP="00E02FD7">
      <w:pPr>
        <w:spacing w:line="360" w:lineRule="auto"/>
        <w:rPr>
          <w:b/>
          <w:sz w:val="24"/>
          <w:szCs w:val="24"/>
        </w:rPr>
      </w:pPr>
      <w:r w:rsidRPr="00E02FD7">
        <w:rPr>
          <w:b/>
          <w:sz w:val="24"/>
          <w:szCs w:val="24"/>
        </w:rPr>
        <w:t>Table 1: Inclusion/exclusion criteria</w:t>
      </w:r>
      <w:r w:rsidR="00136110" w:rsidRPr="00E02FD7">
        <w:rPr>
          <w:b/>
          <w:sz w:val="24"/>
          <w:szCs w:val="24"/>
        </w:rPr>
        <w:t xml:space="preserve"> for individual participants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7D23DC" w:rsidRPr="00E02FD7" w:rsidTr="00B57D18">
        <w:trPr>
          <w:trHeight w:val="1309"/>
        </w:trPr>
        <w:tc>
          <w:tcPr>
            <w:tcW w:w="1843" w:type="dxa"/>
            <w:shd w:val="clear" w:color="auto" w:fill="auto"/>
          </w:tcPr>
          <w:p w:rsidR="007D23DC" w:rsidRPr="00E02FD7" w:rsidRDefault="007D23DC" w:rsidP="00E02FD7">
            <w:pPr>
              <w:autoSpaceDE w:val="0"/>
              <w:autoSpaceDN w:val="0"/>
              <w:adjustRightInd w:val="0"/>
              <w:spacing w:line="240" w:lineRule="auto"/>
              <w:jc w:val="both"/>
              <w:rPr>
                <w:b/>
                <w:iCs/>
              </w:rPr>
            </w:pPr>
            <w:r w:rsidRPr="00E02FD7">
              <w:rPr>
                <w:b/>
                <w:iCs/>
              </w:rPr>
              <w:t>Inclusion criteria</w:t>
            </w:r>
          </w:p>
        </w:tc>
        <w:tc>
          <w:tcPr>
            <w:tcW w:w="6662" w:type="dxa"/>
          </w:tcPr>
          <w:p w:rsidR="00310E7B" w:rsidRPr="00E02FD7" w:rsidRDefault="007D23DC" w:rsidP="00E02FD7">
            <w:pPr>
              <w:pStyle w:val="ListParagraph"/>
              <w:numPr>
                <w:ilvl w:val="0"/>
                <w:numId w:val="6"/>
              </w:numPr>
              <w:tabs>
                <w:tab w:val="clear" w:pos="1080"/>
              </w:tabs>
              <w:autoSpaceDE w:val="0"/>
              <w:autoSpaceDN w:val="0"/>
              <w:adjustRightInd w:val="0"/>
              <w:spacing w:before="120" w:after="0" w:line="240" w:lineRule="auto"/>
              <w:ind w:left="209" w:hanging="209"/>
              <w:jc w:val="both"/>
            </w:pPr>
            <w:r w:rsidRPr="00E02FD7">
              <w:t xml:space="preserve">Adult patients </w:t>
            </w:r>
            <w:r w:rsidR="00310E7B" w:rsidRPr="00E02FD7">
              <w:t>(&gt;18 years)</w:t>
            </w:r>
          </w:p>
          <w:p w:rsidR="007D23DC" w:rsidRPr="00E02FD7" w:rsidRDefault="00310E7B" w:rsidP="00E02FD7">
            <w:pPr>
              <w:pStyle w:val="ListParagraph"/>
              <w:numPr>
                <w:ilvl w:val="0"/>
                <w:numId w:val="6"/>
              </w:numPr>
              <w:tabs>
                <w:tab w:val="clear" w:pos="1080"/>
              </w:tabs>
              <w:autoSpaceDE w:val="0"/>
              <w:autoSpaceDN w:val="0"/>
              <w:adjustRightInd w:val="0"/>
              <w:spacing w:before="120" w:after="0" w:line="240" w:lineRule="auto"/>
              <w:ind w:left="209" w:hanging="209"/>
              <w:jc w:val="both"/>
            </w:pPr>
            <w:r w:rsidRPr="00E02FD7">
              <w:t xml:space="preserve">Adult </w:t>
            </w:r>
            <w:r w:rsidR="007D23DC" w:rsidRPr="00E02FD7">
              <w:t>family members</w:t>
            </w:r>
            <w:r w:rsidRPr="00E02FD7">
              <w:t xml:space="preserve"> of eligible patients</w:t>
            </w:r>
            <w:r w:rsidR="007D23DC" w:rsidRPr="00E02FD7">
              <w:t xml:space="preserve"> (&gt;18 years)</w:t>
            </w:r>
          </w:p>
          <w:p w:rsidR="007D23DC" w:rsidRPr="00E02FD7" w:rsidRDefault="007D23DC" w:rsidP="00E02FD7">
            <w:pPr>
              <w:pStyle w:val="ListParagraph"/>
              <w:numPr>
                <w:ilvl w:val="0"/>
                <w:numId w:val="6"/>
              </w:numPr>
              <w:tabs>
                <w:tab w:val="clear" w:pos="1080"/>
              </w:tabs>
              <w:autoSpaceDE w:val="0"/>
              <w:autoSpaceDN w:val="0"/>
              <w:adjustRightInd w:val="0"/>
              <w:spacing w:after="0" w:line="240" w:lineRule="auto"/>
              <w:ind w:left="209" w:hanging="209"/>
              <w:jc w:val="both"/>
            </w:pPr>
            <w:r w:rsidRPr="00E02FD7">
              <w:t xml:space="preserve">Elective or emergency admissions in the </w:t>
            </w:r>
            <w:r w:rsidR="003A0392" w:rsidRPr="00E02FD7">
              <w:t xml:space="preserve">ICU </w:t>
            </w:r>
            <w:r w:rsidRPr="00E02FD7">
              <w:t xml:space="preserve">≥ 72 hours </w:t>
            </w:r>
          </w:p>
          <w:p w:rsidR="007D23DC" w:rsidRPr="00E02FD7" w:rsidRDefault="007D23DC" w:rsidP="00E02FD7">
            <w:pPr>
              <w:pStyle w:val="ListParagraph"/>
              <w:numPr>
                <w:ilvl w:val="0"/>
                <w:numId w:val="6"/>
              </w:numPr>
              <w:tabs>
                <w:tab w:val="clear" w:pos="1080"/>
              </w:tabs>
              <w:autoSpaceDE w:val="0"/>
              <w:autoSpaceDN w:val="0"/>
              <w:adjustRightInd w:val="0"/>
              <w:spacing w:after="0" w:line="240" w:lineRule="auto"/>
              <w:ind w:left="209" w:hanging="209"/>
              <w:jc w:val="both"/>
            </w:pPr>
            <w:r w:rsidRPr="00E02FD7">
              <w:t>Patients identified for discharge to a general ward setting within the hospital</w:t>
            </w:r>
          </w:p>
          <w:p w:rsidR="007D23DC" w:rsidRPr="00E02FD7" w:rsidRDefault="007D23DC" w:rsidP="00E02FD7">
            <w:pPr>
              <w:pStyle w:val="ListParagraph"/>
              <w:numPr>
                <w:ilvl w:val="0"/>
                <w:numId w:val="6"/>
              </w:numPr>
              <w:tabs>
                <w:tab w:val="clear" w:pos="1080"/>
              </w:tabs>
              <w:autoSpaceDE w:val="0"/>
              <w:autoSpaceDN w:val="0"/>
              <w:adjustRightInd w:val="0"/>
              <w:spacing w:after="0" w:line="240" w:lineRule="auto"/>
              <w:ind w:left="209" w:hanging="209"/>
              <w:jc w:val="both"/>
              <w:rPr>
                <w:iCs/>
              </w:rPr>
            </w:pPr>
            <w:r w:rsidRPr="00E02FD7">
              <w:t>Elective discharges between 08.00-20.00hrs Monday to Friday</w:t>
            </w:r>
          </w:p>
        </w:tc>
      </w:tr>
      <w:tr w:rsidR="007D23DC" w:rsidRPr="00E02FD7" w:rsidTr="00B57D18">
        <w:tc>
          <w:tcPr>
            <w:tcW w:w="1843" w:type="dxa"/>
            <w:shd w:val="clear" w:color="auto" w:fill="auto"/>
          </w:tcPr>
          <w:p w:rsidR="007D23DC" w:rsidRPr="00E02FD7" w:rsidRDefault="007D23DC" w:rsidP="00E02FD7">
            <w:pPr>
              <w:autoSpaceDE w:val="0"/>
              <w:autoSpaceDN w:val="0"/>
              <w:adjustRightInd w:val="0"/>
              <w:spacing w:line="240" w:lineRule="auto"/>
              <w:jc w:val="both"/>
              <w:rPr>
                <w:b/>
                <w:iCs/>
              </w:rPr>
            </w:pPr>
            <w:r w:rsidRPr="00E02FD7">
              <w:rPr>
                <w:b/>
                <w:iCs/>
              </w:rPr>
              <w:t>Exclusion criteria</w:t>
            </w:r>
          </w:p>
        </w:tc>
        <w:tc>
          <w:tcPr>
            <w:tcW w:w="6662" w:type="dxa"/>
          </w:tcPr>
          <w:p w:rsidR="007D23DC" w:rsidRPr="00E02FD7" w:rsidRDefault="007D23DC" w:rsidP="00E02FD7">
            <w:pPr>
              <w:pStyle w:val="ListParagraph"/>
              <w:numPr>
                <w:ilvl w:val="0"/>
                <w:numId w:val="5"/>
              </w:numPr>
              <w:tabs>
                <w:tab w:val="clear" w:pos="1080"/>
                <w:tab w:val="num" w:pos="209"/>
              </w:tabs>
              <w:autoSpaceDE w:val="0"/>
              <w:autoSpaceDN w:val="0"/>
              <w:adjustRightInd w:val="0"/>
              <w:spacing w:before="120" w:after="0" w:line="240" w:lineRule="auto"/>
              <w:ind w:hanging="1080"/>
              <w:jc w:val="both"/>
            </w:pPr>
            <w:r w:rsidRPr="00E02FD7">
              <w:t>Patients for whom active treatment had been withdrawn</w:t>
            </w:r>
          </w:p>
          <w:p w:rsidR="007D23DC" w:rsidRPr="00E02FD7" w:rsidRDefault="007D23DC" w:rsidP="00E02FD7">
            <w:pPr>
              <w:pStyle w:val="ListParagraph"/>
              <w:numPr>
                <w:ilvl w:val="0"/>
                <w:numId w:val="5"/>
              </w:numPr>
              <w:tabs>
                <w:tab w:val="clear" w:pos="1080"/>
                <w:tab w:val="num" w:pos="209"/>
              </w:tabs>
              <w:autoSpaceDE w:val="0"/>
              <w:autoSpaceDN w:val="0"/>
              <w:adjustRightInd w:val="0"/>
              <w:spacing w:after="0" w:line="240" w:lineRule="auto"/>
              <w:ind w:hanging="1080"/>
              <w:jc w:val="both"/>
            </w:pPr>
            <w:r w:rsidRPr="00E02FD7">
              <w:t>Inability to verbally communicate in or read English</w:t>
            </w:r>
          </w:p>
          <w:p w:rsidR="007D23DC" w:rsidRPr="00E02FD7" w:rsidRDefault="007D23DC" w:rsidP="00E02FD7">
            <w:pPr>
              <w:pStyle w:val="ListParagraph"/>
              <w:numPr>
                <w:ilvl w:val="0"/>
                <w:numId w:val="5"/>
              </w:numPr>
              <w:tabs>
                <w:tab w:val="clear" w:pos="1080"/>
                <w:tab w:val="num" w:pos="209"/>
              </w:tabs>
              <w:autoSpaceDE w:val="0"/>
              <w:autoSpaceDN w:val="0"/>
              <w:adjustRightInd w:val="0"/>
              <w:spacing w:after="0" w:line="240" w:lineRule="auto"/>
              <w:ind w:hanging="1080"/>
              <w:jc w:val="both"/>
              <w:rPr>
                <w:iCs/>
              </w:rPr>
            </w:pPr>
            <w:r w:rsidRPr="00E02FD7">
              <w:t>Involvement in a phase I focus group study [</w:t>
            </w:r>
            <w:r w:rsidR="00EC08DF" w:rsidRPr="00E02FD7">
              <w:t>4</w:t>
            </w:r>
            <w:r w:rsidRPr="00E02FD7">
              <w:t>]</w:t>
            </w:r>
          </w:p>
        </w:tc>
      </w:tr>
    </w:tbl>
    <w:p w:rsidR="007D23DC" w:rsidRPr="00E02FD7" w:rsidRDefault="007D23DC" w:rsidP="00E02FD7">
      <w:pPr>
        <w:spacing w:line="480" w:lineRule="auto"/>
        <w:rPr>
          <w:sz w:val="24"/>
          <w:szCs w:val="24"/>
        </w:rPr>
      </w:pPr>
    </w:p>
    <w:p w:rsidR="002C02E8" w:rsidRPr="00E02FD7" w:rsidRDefault="004F4E69" w:rsidP="00E02FD7">
      <w:pPr>
        <w:spacing w:line="480" w:lineRule="auto"/>
        <w:outlineLvl w:val="0"/>
        <w:rPr>
          <w:sz w:val="24"/>
          <w:szCs w:val="24"/>
        </w:rPr>
      </w:pPr>
      <w:r w:rsidRPr="00E02FD7">
        <w:rPr>
          <w:sz w:val="24"/>
          <w:szCs w:val="24"/>
        </w:rPr>
        <w:t xml:space="preserve">All participants </w:t>
      </w:r>
      <w:r w:rsidR="00060E70" w:rsidRPr="00E02FD7">
        <w:rPr>
          <w:sz w:val="24"/>
          <w:szCs w:val="24"/>
        </w:rPr>
        <w:t>(patient</w:t>
      </w:r>
      <w:r w:rsidR="00C92D1B" w:rsidRPr="00E02FD7">
        <w:rPr>
          <w:sz w:val="24"/>
          <w:szCs w:val="24"/>
        </w:rPr>
        <w:t>s</w:t>
      </w:r>
      <w:r w:rsidR="00060E70" w:rsidRPr="00E02FD7">
        <w:rPr>
          <w:sz w:val="24"/>
          <w:szCs w:val="24"/>
        </w:rPr>
        <w:t xml:space="preserve"> and relatives) </w:t>
      </w:r>
      <w:r w:rsidRPr="00E02FD7">
        <w:rPr>
          <w:sz w:val="24"/>
          <w:szCs w:val="24"/>
        </w:rPr>
        <w:t xml:space="preserve">were recruited whilst the patient was in </w:t>
      </w:r>
      <w:r w:rsidR="003A0392" w:rsidRPr="00E02FD7">
        <w:rPr>
          <w:sz w:val="24"/>
          <w:szCs w:val="24"/>
        </w:rPr>
        <w:t>ICU</w:t>
      </w:r>
      <w:r w:rsidRPr="00E02FD7">
        <w:rPr>
          <w:sz w:val="24"/>
          <w:szCs w:val="24"/>
        </w:rPr>
        <w:t xml:space="preserve">. Potential </w:t>
      </w:r>
      <w:r w:rsidR="00060E70" w:rsidRPr="00E02FD7">
        <w:rPr>
          <w:sz w:val="24"/>
          <w:szCs w:val="24"/>
        </w:rPr>
        <w:t xml:space="preserve">patient </w:t>
      </w:r>
      <w:r w:rsidRPr="00E02FD7">
        <w:rPr>
          <w:sz w:val="24"/>
          <w:szCs w:val="24"/>
        </w:rPr>
        <w:t xml:space="preserve">participants were consented the day prior to a formal discharge decision wherever possible. For patients unable to provide informed written consent at the point of </w:t>
      </w:r>
      <w:r w:rsidR="003A0392" w:rsidRPr="00E02FD7">
        <w:rPr>
          <w:sz w:val="24"/>
          <w:szCs w:val="24"/>
        </w:rPr>
        <w:t xml:space="preserve">ICU </w:t>
      </w:r>
      <w:r w:rsidRPr="00E02FD7">
        <w:rPr>
          <w:sz w:val="24"/>
          <w:szCs w:val="24"/>
        </w:rPr>
        <w:t xml:space="preserve">discharge, personal consultee </w:t>
      </w:r>
      <w:r w:rsidR="00C74057" w:rsidRPr="00E02FD7">
        <w:rPr>
          <w:sz w:val="24"/>
          <w:szCs w:val="24"/>
        </w:rPr>
        <w:t xml:space="preserve">declarations </w:t>
      </w:r>
      <w:r w:rsidRPr="00E02FD7">
        <w:rPr>
          <w:sz w:val="24"/>
          <w:szCs w:val="24"/>
        </w:rPr>
        <w:t>[</w:t>
      </w:r>
      <w:r w:rsidR="005D502E" w:rsidRPr="00E02FD7">
        <w:rPr>
          <w:sz w:val="24"/>
          <w:szCs w:val="24"/>
        </w:rPr>
        <w:t>20</w:t>
      </w:r>
      <w:r w:rsidRPr="00E02FD7">
        <w:rPr>
          <w:sz w:val="24"/>
          <w:szCs w:val="24"/>
        </w:rPr>
        <w:t>]</w:t>
      </w:r>
      <w:r w:rsidR="00726D20" w:rsidRPr="00E02FD7">
        <w:rPr>
          <w:sz w:val="24"/>
          <w:szCs w:val="24"/>
        </w:rPr>
        <w:t xml:space="preserve">; usually </w:t>
      </w:r>
      <w:r w:rsidR="00C74057" w:rsidRPr="00E02FD7">
        <w:rPr>
          <w:sz w:val="24"/>
          <w:szCs w:val="24"/>
        </w:rPr>
        <w:t xml:space="preserve">from </w:t>
      </w:r>
      <w:r w:rsidR="00726D20" w:rsidRPr="00E02FD7">
        <w:rPr>
          <w:sz w:val="24"/>
          <w:szCs w:val="24"/>
        </w:rPr>
        <w:t>the patient’s next of kin</w:t>
      </w:r>
      <w:r w:rsidR="00C74057" w:rsidRPr="00E02FD7">
        <w:rPr>
          <w:sz w:val="24"/>
          <w:szCs w:val="24"/>
        </w:rPr>
        <w:t xml:space="preserve"> were </w:t>
      </w:r>
      <w:r w:rsidR="00FB17CC" w:rsidRPr="00E02FD7">
        <w:rPr>
          <w:sz w:val="24"/>
          <w:szCs w:val="24"/>
        </w:rPr>
        <w:t>sought.</w:t>
      </w:r>
      <w:r w:rsidR="00726D20" w:rsidRPr="00E02FD7">
        <w:rPr>
          <w:sz w:val="24"/>
          <w:szCs w:val="24"/>
        </w:rPr>
        <w:t xml:space="preserve"> </w:t>
      </w:r>
      <w:r w:rsidR="008144A5" w:rsidRPr="00E02FD7">
        <w:rPr>
          <w:sz w:val="24"/>
          <w:szCs w:val="24"/>
        </w:rPr>
        <w:t>Informed c</w:t>
      </w:r>
      <w:r w:rsidRPr="00E02FD7">
        <w:rPr>
          <w:sz w:val="24"/>
          <w:szCs w:val="24"/>
        </w:rPr>
        <w:t xml:space="preserve">onsent from the patient </w:t>
      </w:r>
      <w:r w:rsidR="00FB17CC" w:rsidRPr="00E02FD7">
        <w:rPr>
          <w:sz w:val="24"/>
          <w:szCs w:val="24"/>
        </w:rPr>
        <w:t xml:space="preserve">was then obtained </w:t>
      </w:r>
      <w:r w:rsidRPr="00E02FD7">
        <w:rPr>
          <w:sz w:val="24"/>
          <w:szCs w:val="24"/>
        </w:rPr>
        <w:t xml:space="preserve">prior to data collection on the ward. </w:t>
      </w:r>
      <w:r w:rsidR="00060E70" w:rsidRPr="00E02FD7">
        <w:rPr>
          <w:sz w:val="24"/>
          <w:szCs w:val="24"/>
        </w:rPr>
        <w:t>The r</w:t>
      </w:r>
      <w:r w:rsidRPr="00E02FD7">
        <w:rPr>
          <w:sz w:val="24"/>
          <w:szCs w:val="24"/>
        </w:rPr>
        <w:t xml:space="preserve">elatives of </w:t>
      </w:r>
      <w:r w:rsidR="00060E70" w:rsidRPr="00E02FD7">
        <w:rPr>
          <w:sz w:val="24"/>
          <w:szCs w:val="24"/>
        </w:rPr>
        <w:t xml:space="preserve">all </w:t>
      </w:r>
      <w:r w:rsidRPr="00E02FD7">
        <w:rPr>
          <w:sz w:val="24"/>
          <w:szCs w:val="24"/>
        </w:rPr>
        <w:t xml:space="preserve">recruited patients were given study information when they visited the </w:t>
      </w:r>
      <w:r w:rsidR="003A0392" w:rsidRPr="00E02FD7">
        <w:rPr>
          <w:sz w:val="24"/>
          <w:szCs w:val="24"/>
        </w:rPr>
        <w:t>ICU</w:t>
      </w:r>
      <w:r w:rsidR="00FB17CC" w:rsidRPr="00E02FD7">
        <w:rPr>
          <w:sz w:val="24"/>
          <w:szCs w:val="24"/>
        </w:rPr>
        <w:t>,</w:t>
      </w:r>
      <w:r w:rsidR="00726D20" w:rsidRPr="00E02FD7">
        <w:rPr>
          <w:sz w:val="24"/>
          <w:szCs w:val="24"/>
        </w:rPr>
        <w:t xml:space="preserve"> or </w:t>
      </w:r>
      <w:r w:rsidRPr="00E02FD7">
        <w:rPr>
          <w:sz w:val="24"/>
          <w:szCs w:val="24"/>
        </w:rPr>
        <w:t xml:space="preserve">telephoned and invited to participate. Written consent was obtained </w:t>
      </w:r>
      <w:r w:rsidR="000B7263" w:rsidRPr="00E02FD7">
        <w:rPr>
          <w:sz w:val="24"/>
          <w:szCs w:val="24"/>
        </w:rPr>
        <w:t xml:space="preserve">from relatives who agreed to participate </w:t>
      </w:r>
      <w:r w:rsidRPr="00E02FD7">
        <w:rPr>
          <w:sz w:val="24"/>
          <w:szCs w:val="24"/>
        </w:rPr>
        <w:t>during their next hospital visit.</w:t>
      </w:r>
      <w:r w:rsidR="00726D20" w:rsidRPr="00E02FD7">
        <w:rPr>
          <w:sz w:val="24"/>
          <w:szCs w:val="24"/>
        </w:rPr>
        <w:t xml:space="preserve"> </w:t>
      </w:r>
      <w:r w:rsidR="00BD60B9" w:rsidRPr="00E02FD7">
        <w:rPr>
          <w:sz w:val="24"/>
          <w:szCs w:val="24"/>
        </w:rPr>
        <w:t>All participants were allocated a trial number</w:t>
      </w:r>
      <w:r w:rsidR="0006760A" w:rsidRPr="00E02FD7">
        <w:rPr>
          <w:sz w:val="24"/>
          <w:szCs w:val="24"/>
        </w:rPr>
        <w:t xml:space="preserve">. </w:t>
      </w:r>
      <w:r w:rsidR="002E204E" w:rsidRPr="00E02FD7">
        <w:rPr>
          <w:sz w:val="24"/>
          <w:szCs w:val="24"/>
        </w:rPr>
        <w:t>All m</w:t>
      </w:r>
      <w:r w:rsidR="0006760A" w:rsidRPr="00E02FD7">
        <w:rPr>
          <w:sz w:val="24"/>
          <w:szCs w:val="24"/>
        </w:rPr>
        <w:t>embers of a family unit were given the s</w:t>
      </w:r>
      <w:r w:rsidR="00BD60B9" w:rsidRPr="00E02FD7">
        <w:rPr>
          <w:sz w:val="24"/>
          <w:szCs w:val="24"/>
        </w:rPr>
        <w:t xml:space="preserve">ame </w:t>
      </w:r>
      <w:r w:rsidR="0006760A" w:rsidRPr="00E02FD7">
        <w:rPr>
          <w:sz w:val="24"/>
          <w:szCs w:val="24"/>
        </w:rPr>
        <w:t>number</w:t>
      </w:r>
      <w:r w:rsidR="00BD60B9" w:rsidRPr="00E02FD7">
        <w:rPr>
          <w:sz w:val="24"/>
          <w:szCs w:val="24"/>
        </w:rPr>
        <w:t xml:space="preserve">, </w:t>
      </w:r>
      <w:r w:rsidR="0006760A" w:rsidRPr="00E02FD7">
        <w:rPr>
          <w:sz w:val="24"/>
          <w:szCs w:val="24"/>
        </w:rPr>
        <w:t xml:space="preserve">prefixed </w:t>
      </w:r>
      <w:r w:rsidR="00BD60B9" w:rsidRPr="00E02FD7">
        <w:rPr>
          <w:sz w:val="24"/>
          <w:szCs w:val="24"/>
        </w:rPr>
        <w:t xml:space="preserve">by either a P or R (for example P1 for </w:t>
      </w:r>
      <w:r w:rsidR="0006760A" w:rsidRPr="00E02FD7">
        <w:rPr>
          <w:sz w:val="24"/>
          <w:szCs w:val="24"/>
        </w:rPr>
        <w:t xml:space="preserve">the </w:t>
      </w:r>
      <w:r w:rsidR="00BD60B9" w:rsidRPr="00E02FD7">
        <w:rPr>
          <w:sz w:val="24"/>
          <w:szCs w:val="24"/>
        </w:rPr>
        <w:t xml:space="preserve">patient and R1 for </w:t>
      </w:r>
      <w:r w:rsidR="0006760A" w:rsidRPr="00E02FD7">
        <w:rPr>
          <w:sz w:val="24"/>
          <w:szCs w:val="24"/>
        </w:rPr>
        <w:t xml:space="preserve">the </w:t>
      </w:r>
      <w:r w:rsidR="00BD60B9" w:rsidRPr="00E02FD7">
        <w:rPr>
          <w:sz w:val="24"/>
          <w:szCs w:val="24"/>
        </w:rPr>
        <w:t xml:space="preserve">relative). The assigned trial number was used across all data collection forms; enabling </w:t>
      </w:r>
      <w:r w:rsidR="002E204E" w:rsidRPr="00E02FD7">
        <w:rPr>
          <w:sz w:val="24"/>
          <w:szCs w:val="24"/>
        </w:rPr>
        <w:t xml:space="preserve">anonymized </w:t>
      </w:r>
      <w:r w:rsidR="00BD60B9" w:rsidRPr="00E02FD7">
        <w:rPr>
          <w:sz w:val="24"/>
          <w:szCs w:val="24"/>
        </w:rPr>
        <w:t xml:space="preserve">data from all sources to be matched and comparisons made between patient participants (and their relatives), their characteristics and the outcome data.   </w:t>
      </w:r>
    </w:p>
    <w:p w:rsidR="00911F12" w:rsidRPr="00E02FD7" w:rsidRDefault="00911F12" w:rsidP="00E02FD7">
      <w:pPr>
        <w:spacing w:line="480" w:lineRule="auto"/>
        <w:outlineLvl w:val="0"/>
        <w:rPr>
          <w:b/>
          <w:sz w:val="24"/>
          <w:szCs w:val="24"/>
        </w:rPr>
      </w:pPr>
      <w:r w:rsidRPr="00E02FD7">
        <w:rPr>
          <w:b/>
          <w:sz w:val="24"/>
          <w:szCs w:val="24"/>
        </w:rPr>
        <w:t xml:space="preserve">Intervention </w:t>
      </w:r>
    </w:p>
    <w:p w:rsidR="00911F12" w:rsidRPr="00E02FD7" w:rsidRDefault="00911F12" w:rsidP="00E02FD7">
      <w:pPr>
        <w:spacing w:line="480" w:lineRule="auto"/>
        <w:rPr>
          <w:sz w:val="24"/>
          <w:szCs w:val="24"/>
        </w:rPr>
      </w:pPr>
      <w:r w:rsidRPr="00E02FD7">
        <w:rPr>
          <w:sz w:val="24"/>
          <w:szCs w:val="24"/>
        </w:rPr>
        <w:t xml:space="preserve">Drawing on </w:t>
      </w:r>
      <w:r w:rsidR="000B6B46" w:rsidRPr="00E02FD7">
        <w:rPr>
          <w:sz w:val="24"/>
          <w:szCs w:val="24"/>
        </w:rPr>
        <w:t>S</w:t>
      </w:r>
      <w:r w:rsidRPr="00E02FD7">
        <w:rPr>
          <w:sz w:val="24"/>
          <w:szCs w:val="24"/>
        </w:rPr>
        <w:t>elf-</w:t>
      </w:r>
      <w:r w:rsidR="000B6B46" w:rsidRPr="00E02FD7">
        <w:rPr>
          <w:sz w:val="24"/>
          <w:szCs w:val="24"/>
        </w:rPr>
        <w:t>R</w:t>
      </w:r>
      <w:r w:rsidRPr="00E02FD7">
        <w:rPr>
          <w:sz w:val="24"/>
          <w:szCs w:val="24"/>
        </w:rPr>
        <w:t xml:space="preserve">egulation </w:t>
      </w:r>
      <w:r w:rsidR="000B6B46" w:rsidRPr="00E02FD7">
        <w:rPr>
          <w:sz w:val="24"/>
          <w:szCs w:val="24"/>
        </w:rPr>
        <w:t>T</w:t>
      </w:r>
      <w:r w:rsidRPr="00E02FD7">
        <w:rPr>
          <w:sz w:val="24"/>
          <w:szCs w:val="24"/>
        </w:rPr>
        <w:t>heory</w:t>
      </w:r>
      <w:r w:rsidR="000B6B46" w:rsidRPr="00E02FD7">
        <w:rPr>
          <w:sz w:val="24"/>
          <w:szCs w:val="24"/>
        </w:rPr>
        <w:t xml:space="preserve"> (SRT)</w:t>
      </w:r>
      <w:r w:rsidR="00681D0C" w:rsidRPr="00E02FD7">
        <w:rPr>
          <w:sz w:val="24"/>
          <w:szCs w:val="24"/>
        </w:rPr>
        <w:t xml:space="preserve"> [</w:t>
      </w:r>
      <w:r w:rsidR="005D502E" w:rsidRPr="00E02FD7">
        <w:rPr>
          <w:sz w:val="24"/>
          <w:szCs w:val="24"/>
        </w:rPr>
        <w:t>21, 22</w:t>
      </w:r>
      <w:r w:rsidR="00681D0C" w:rsidRPr="00E02FD7">
        <w:rPr>
          <w:sz w:val="24"/>
          <w:szCs w:val="24"/>
        </w:rPr>
        <w:t>]</w:t>
      </w:r>
      <w:r w:rsidRPr="00E02FD7">
        <w:rPr>
          <w:sz w:val="24"/>
          <w:szCs w:val="24"/>
        </w:rPr>
        <w:t xml:space="preserve">, </w:t>
      </w:r>
      <w:r w:rsidR="003B508A" w:rsidRPr="00E02FD7">
        <w:rPr>
          <w:sz w:val="24"/>
          <w:szCs w:val="24"/>
        </w:rPr>
        <w:t xml:space="preserve">our </w:t>
      </w:r>
      <w:r w:rsidRPr="00E02FD7">
        <w:rPr>
          <w:sz w:val="24"/>
          <w:szCs w:val="24"/>
        </w:rPr>
        <w:t xml:space="preserve">intervention (UCCDIP) </w:t>
      </w:r>
      <w:r w:rsidR="00A31E31" w:rsidRPr="00E02FD7">
        <w:rPr>
          <w:sz w:val="24"/>
          <w:szCs w:val="24"/>
        </w:rPr>
        <w:t>was</w:t>
      </w:r>
      <w:r w:rsidRPr="00E02FD7">
        <w:rPr>
          <w:sz w:val="24"/>
          <w:szCs w:val="24"/>
        </w:rPr>
        <w:t xml:space="preserve"> </w:t>
      </w:r>
      <w:r w:rsidR="00A31E31" w:rsidRPr="00E02FD7">
        <w:rPr>
          <w:sz w:val="24"/>
          <w:szCs w:val="24"/>
        </w:rPr>
        <w:t>developed using data from a previous focus group study [</w:t>
      </w:r>
      <w:r w:rsidR="004049A8" w:rsidRPr="00E02FD7">
        <w:rPr>
          <w:sz w:val="24"/>
          <w:szCs w:val="24"/>
        </w:rPr>
        <w:t>4</w:t>
      </w:r>
      <w:r w:rsidR="00A31E31" w:rsidRPr="00E02FD7">
        <w:rPr>
          <w:sz w:val="24"/>
          <w:szCs w:val="24"/>
        </w:rPr>
        <w:t xml:space="preserve">]. UCCDIP </w:t>
      </w:r>
      <w:r w:rsidRPr="00E02FD7">
        <w:rPr>
          <w:sz w:val="24"/>
          <w:szCs w:val="24"/>
        </w:rPr>
        <w:t>con</w:t>
      </w:r>
      <w:r w:rsidR="00A31E31" w:rsidRPr="00E02FD7">
        <w:rPr>
          <w:sz w:val="24"/>
          <w:szCs w:val="24"/>
        </w:rPr>
        <w:t>sist</w:t>
      </w:r>
      <w:r w:rsidR="00E55C49" w:rsidRPr="00E02FD7">
        <w:rPr>
          <w:sz w:val="24"/>
          <w:szCs w:val="24"/>
        </w:rPr>
        <w:t xml:space="preserve">s </w:t>
      </w:r>
      <w:r w:rsidR="00A31E31" w:rsidRPr="00E02FD7">
        <w:rPr>
          <w:sz w:val="24"/>
          <w:szCs w:val="24"/>
        </w:rPr>
        <w:t xml:space="preserve">of </w:t>
      </w:r>
      <w:r w:rsidRPr="00E02FD7">
        <w:rPr>
          <w:sz w:val="24"/>
          <w:szCs w:val="24"/>
        </w:rPr>
        <w:t>two booklets; one for the patient and one for the relatives</w:t>
      </w:r>
      <w:r w:rsidR="0006760A" w:rsidRPr="00E02FD7">
        <w:rPr>
          <w:sz w:val="24"/>
          <w:szCs w:val="24"/>
        </w:rPr>
        <w:t xml:space="preserve"> (supplementary file 2)</w:t>
      </w:r>
      <w:r w:rsidRPr="00E02FD7">
        <w:rPr>
          <w:sz w:val="24"/>
          <w:szCs w:val="24"/>
        </w:rPr>
        <w:t xml:space="preserve">. The front page of the patient booklet </w:t>
      </w:r>
      <w:r w:rsidR="00B36471" w:rsidRPr="00B36471">
        <w:rPr>
          <w:sz w:val="24"/>
          <w:szCs w:val="24"/>
        </w:rPr>
        <w:t>includes an individualized patient</w:t>
      </w:r>
      <w:r w:rsidRPr="00E02FD7">
        <w:rPr>
          <w:sz w:val="24"/>
          <w:szCs w:val="24"/>
        </w:rPr>
        <w:t xml:space="preserve"> discharge summary, written by </w:t>
      </w:r>
      <w:r w:rsidR="003A0392" w:rsidRPr="00E02FD7">
        <w:rPr>
          <w:sz w:val="24"/>
          <w:szCs w:val="24"/>
        </w:rPr>
        <w:t xml:space="preserve">ICU </w:t>
      </w:r>
      <w:r w:rsidRPr="00E02FD7">
        <w:rPr>
          <w:sz w:val="24"/>
          <w:szCs w:val="24"/>
        </w:rPr>
        <w:t>bedside nurse</w:t>
      </w:r>
      <w:r w:rsidR="000F08CD" w:rsidRPr="00E02FD7">
        <w:rPr>
          <w:sz w:val="24"/>
          <w:szCs w:val="24"/>
        </w:rPr>
        <w:t xml:space="preserve">s; trained </w:t>
      </w:r>
      <w:r w:rsidR="00C661BD" w:rsidRPr="00E02FD7">
        <w:rPr>
          <w:sz w:val="24"/>
          <w:szCs w:val="24"/>
        </w:rPr>
        <w:t xml:space="preserve">to </w:t>
      </w:r>
      <w:r w:rsidR="000F08CD" w:rsidRPr="00E02FD7">
        <w:rPr>
          <w:sz w:val="24"/>
          <w:szCs w:val="24"/>
        </w:rPr>
        <w:t>us</w:t>
      </w:r>
      <w:r w:rsidR="00C661BD" w:rsidRPr="00E02FD7">
        <w:rPr>
          <w:sz w:val="24"/>
          <w:szCs w:val="24"/>
        </w:rPr>
        <w:t>e</w:t>
      </w:r>
      <w:r w:rsidR="000F08CD" w:rsidRPr="00E02FD7">
        <w:rPr>
          <w:sz w:val="24"/>
          <w:szCs w:val="24"/>
        </w:rPr>
        <w:t xml:space="preserve"> a template designed by the project team (CW, PH)</w:t>
      </w:r>
      <w:r w:rsidRPr="00E02FD7">
        <w:rPr>
          <w:sz w:val="24"/>
          <w:szCs w:val="24"/>
        </w:rPr>
        <w:t>. The pack also contain</w:t>
      </w:r>
      <w:r w:rsidR="00E55C49" w:rsidRPr="00E02FD7">
        <w:rPr>
          <w:sz w:val="24"/>
          <w:szCs w:val="24"/>
        </w:rPr>
        <w:t>s</w:t>
      </w:r>
      <w:r w:rsidRPr="00E02FD7">
        <w:rPr>
          <w:sz w:val="24"/>
          <w:szCs w:val="24"/>
        </w:rPr>
        <w:t xml:space="preserve"> information aimed at preparing the patient/family for </w:t>
      </w:r>
      <w:r w:rsidR="003A0392" w:rsidRPr="00E02FD7">
        <w:rPr>
          <w:sz w:val="24"/>
          <w:szCs w:val="24"/>
        </w:rPr>
        <w:t xml:space="preserve">ICU </w:t>
      </w:r>
      <w:r w:rsidRPr="00E02FD7">
        <w:rPr>
          <w:sz w:val="24"/>
          <w:szCs w:val="24"/>
        </w:rPr>
        <w:t xml:space="preserve">discharge and </w:t>
      </w:r>
      <w:r w:rsidR="00480B46" w:rsidRPr="00480B46">
        <w:rPr>
          <w:sz w:val="24"/>
          <w:szCs w:val="24"/>
        </w:rPr>
        <w:t>the transition to the ward.</w:t>
      </w:r>
      <w:r w:rsidR="00544A91" w:rsidRPr="00E02FD7">
        <w:rPr>
          <w:sz w:val="24"/>
          <w:szCs w:val="24"/>
        </w:rPr>
        <w:t xml:space="preserve"> It</w:t>
      </w:r>
      <w:r w:rsidRPr="00E02FD7">
        <w:rPr>
          <w:sz w:val="24"/>
          <w:szCs w:val="24"/>
        </w:rPr>
        <w:t xml:space="preserve"> encourage</w:t>
      </w:r>
      <w:r w:rsidR="00E55C49" w:rsidRPr="00E02FD7">
        <w:rPr>
          <w:sz w:val="24"/>
          <w:szCs w:val="24"/>
        </w:rPr>
        <w:t>s</w:t>
      </w:r>
      <w:r w:rsidRPr="00E02FD7">
        <w:rPr>
          <w:sz w:val="24"/>
          <w:szCs w:val="24"/>
        </w:rPr>
        <w:t xml:space="preserve"> active participation by offering space </w:t>
      </w:r>
      <w:r w:rsidR="00544A91" w:rsidRPr="00E02FD7">
        <w:rPr>
          <w:sz w:val="24"/>
          <w:szCs w:val="24"/>
        </w:rPr>
        <w:t>for</w:t>
      </w:r>
      <w:r w:rsidRPr="00E02FD7">
        <w:rPr>
          <w:sz w:val="24"/>
          <w:szCs w:val="24"/>
        </w:rPr>
        <w:t xml:space="preserve"> express</w:t>
      </w:r>
      <w:r w:rsidR="00544A91" w:rsidRPr="00E02FD7">
        <w:rPr>
          <w:sz w:val="24"/>
          <w:szCs w:val="24"/>
        </w:rPr>
        <w:t xml:space="preserve">ion of </w:t>
      </w:r>
      <w:r w:rsidRPr="00E02FD7">
        <w:rPr>
          <w:sz w:val="24"/>
          <w:szCs w:val="24"/>
        </w:rPr>
        <w:t xml:space="preserve">individual questions and concerns. It also </w:t>
      </w:r>
      <w:r w:rsidR="00CF77A3" w:rsidRPr="00E02FD7">
        <w:rPr>
          <w:sz w:val="24"/>
          <w:szCs w:val="24"/>
        </w:rPr>
        <w:t>include</w:t>
      </w:r>
      <w:r w:rsidR="00D22D6C" w:rsidRPr="00E02FD7">
        <w:rPr>
          <w:sz w:val="24"/>
          <w:szCs w:val="24"/>
        </w:rPr>
        <w:t>s</w:t>
      </w:r>
      <w:r w:rsidRPr="00E02FD7">
        <w:rPr>
          <w:sz w:val="24"/>
          <w:szCs w:val="24"/>
        </w:rPr>
        <w:t xml:space="preserve"> diary pages for both the patient and family to record their thoughts and feelings during the </w:t>
      </w:r>
      <w:r w:rsidR="00CE6B2C" w:rsidRPr="00E02FD7">
        <w:rPr>
          <w:sz w:val="24"/>
          <w:szCs w:val="24"/>
        </w:rPr>
        <w:t>in-hospital</w:t>
      </w:r>
      <w:r w:rsidRPr="00E02FD7">
        <w:rPr>
          <w:sz w:val="24"/>
          <w:szCs w:val="24"/>
        </w:rPr>
        <w:t xml:space="preserve"> recovery period</w:t>
      </w:r>
      <w:r w:rsidR="00776B14" w:rsidRPr="00E02FD7">
        <w:rPr>
          <w:sz w:val="24"/>
          <w:szCs w:val="24"/>
        </w:rPr>
        <w:t>,</w:t>
      </w:r>
      <w:r w:rsidRPr="00E02FD7">
        <w:rPr>
          <w:sz w:val="24"/>
          <w:szCs w:val="24"/>
        </w:rPr>
        <w:t xml:space="preserve"> </w:t>
      </w:r>
      <w:r w:rsidR="00A31E31" w:rsidRPr="00E02FD7">
        <w:rPr>
          <w:sz w:val="24"/>
          <w:szCs w:val="24"/>
        </w:rPr>
        <w:t>if they w</w:t>
      </w:r>
      <w:r w:rsidR="006A6992" w:rsidRPr="00E02FD7">
        <w:rPr>
          <w:sz w:val="24"/>
          <w:szCs w:val="24"/>
        </w:rPr>
        <w:t>ish</w:t>
      </w:r>
      <w:r w:rsidRPr="00E02FD7">
        <w:rPr>
          <w:sz w:val="24"/>
          <w:szCs w:val="24"/>
        </w:rPr>
        <w:t>.</w:t>
      </w:r>
      <w:r w:rsidR="000B6B46" w:rsidRPr="00E02FD7">
        <w:rPr>
          <w:sz w:val="24"/>
          <w:szCs w:val="24"/>
        </w:rPr>
        <w:t xml:space="preserve"> </w:t>
      </w:r>
      <w:r w:rsidR="00912339" w:rsidRPr="00E02FD7">
        <w:rPr>
          <w:sz w:val="24"/>
          <w:szCs w:val="24"/>
        </w:rPr>
        <w:t xml:space="preserve">In </w:t>
      </w:r>
      <w:r w:rsidR="006E014F" w:rsidRPr="00E02FD7">
        <w:rPr>
          <w:sz w:val="24"/>
          <w:szCs w:val="24"/>
        </w:rPr>
        <w:t xml:space="preserve">accordance </w:t>
      </w:r>
      <w:r w:rsidR="00912339" w:rsidRPr="00E02FD7">
        <w:rPr>
          <w:sz w:val="24"/>
          <w:szCs w:val="24"/>
        </w:rPr>
        <w:t xml:space="preserve">with </w:t>
      </w:r>
      <w:r w:rsidR="003B508A" w:rsidRPr="00E02FD7">
        <w:rPr>
          <w:sz w:val="24"/>
          <w:szCs w:val="24"/>
        </w:rPr>
        <w:t>SRT</w:t>
      </w:r>
      <w:r w:rsidR="00912339" w:rsidRPr="00E02FD7">
        <w:rPr>
          <w:sz w:val="24"/>
          <w:szCs w:val="24"/>
        </w:rPr>
        <w:t xml:space="preserve">, </w:t>
      </w:r>
      <w:r w:rsidR="000B6B46" w:rsidRPr="00E02FD7">
        <w:rPr>
          <w:sz w:val="24"/>
          <w:szCs w:val="24"/>
        </w:rPr>
        <w:t xml:space="preserve">UCCDIP </w:t>
      </w:r>
      <w:r w:rsidR="00912339" w:rsidRPr="00E02FD7">
        <w:rPr>
          <w:sz w:val="24"/>
          <w:szCs w:val="24"/>
        </w:rPr>
        <w:t xml:space="preserve">was designed </w:t>
      </w:r>
      <w:r w:rsidR="003B508A" w:rsidRPr="00E02FD7">
        <w:rPr>
          <w:sz w:val="24"/>
          <w:szCs w:val="24"/>
        </w:rPr>
        <w:t xml:space="preserve">as an information </w:t>
      </w:r>
      <w:r w:rsidR="006E014F" w:rsidRPr="00E02FD7">
        <w:rPr>
          <w:sz w:val="24"/>
          <w:szCs w:val="24"/>
        </w:rPr>
        <w:t>resource</w:t>
      </w:r>
      <w:r w:rsidR="003B508A" w:rsidRPr="00E02FD7">
        <w:rPr>
          <w:sz w:val="24"/>
          <w:szCs w:val="24"/>
        </w:rPr>
        <w:t xml:space="preserve">, </w:t>
      </w:r>
      <w:r w:rsidR="000B6B46" w:rsidRPr="00E02FD7">
        <w:rPr>
          <w:sz w:val="24"/>
          <w:szCs w:val="24"/>
        </w:rPr>
        <w:t xml:space="preserve">to help users develop revised illness perceptions, </w:t>
      </w:r>
      <w:r w:rsidR="00912339" w:rsidRPr="00E02FD7">
        <w:rPr>
          <w:sz w:val="24"/>
          <w:szCs w:val="24"/>
        </w:rPr>
        <w:t xml:space="preserve">more </w:t>
      </w:r>
      <w:r w:rsidR="000B6B46" w:rsidRPr="00E02FD7">
        <w:rPr>
          <w:sz w:val="24"/>
          <w:szCs w:val="24"/>
        </w:rPr>
        <w:t>consistent with effective coping</w:t>
      </w:r>
      <w:r w:rsidR="003B508A" w:rsidRPr="00E02FD7">
        <w:rPr>
          <w:sz w:val="24"/>
          <w:szCs w:val="24"/>
        </w:rPr>
        <w:t xml:space="preserve"> [</w:t>
      </w:r>
      <w:r w:rsidR="005D502E" w:rsidRPr="00E02FD7">
        <w:rPr>
          <w:sz w:val="24"/>
          <w:szCs w:val="24"/>
        </w:rPr>
        <w:t>22, 23</w:t>
      </w:r>
      <w:r w:rsidR="003B508A" w:rsidRPr="00E02FD7">
        <w:rPr>
          <w:sz w:val="24"/>
          <w:szCs w:val="24"/>
        </w:rPr>
        <w:t>]</w:t>
      </w:r>
      <w:r w:rsidR="000B6B46" w:rsidRPr="00E02FD7">
        <w:rPr>
          <w:sz w:val="24"/>
          <w:szCs w:val="24"/>
        </w:rPr>
        <w:t>.</w:t>
      </w:r>
      <w:r w:rsidR="00EC08DF" w:rsidRPr="00E02FD7">
        <w:rPr>
          <w:sz w:val="24"/>
          <w:szCs w:val="24"/>
        </w:rPr>
        <w:t xml:space="preserve"> The intervention is further described in Bench </w:t>
      </w:r>
      <w:r w:rsidR="00EC08DF" w:rsidRPr="00E02FD7">
        <w:rPr>
          <w:i/>
          <w:sz w:val="24"/>
          <w:szCs w:val="24"/>
        </w:rPr>
        <w:t>et al</w:t>
      </w:r>
      <w:r w:rsidR="00EC08DF" w:rsidRPr="00E02FD7">
        <w:rPr>
          <w:sz w:val="24"/>
          <w:szCs w:val="24"/>
        </w:rPr>
        <w:t>. [</w:t>
      </w:r>
      <w:r w:rsidR="005D502E" w:rsidRPr="00E02FD7">
        <w:rPr>
          <w:sz w:val="24"/>
          <w:szCs w:val="24"/>
        </w:rPr>
        <w:t>24</w:t>
      </w:r>
      <w:r w:rsidR="00EC08DF" w:rsidRPr="00E02FD7">
        <w:rPr>
          <w:sz w:val="24"/>
          <w:szCs w:val="24"/>
        </w:rPr>
        <w:t>].</w:t>
      </w:r>
    </w:p>
    <w:p w:rsidR="00C92D1B" w:rsidRPr="00E02FD7" w:rsidRDefault="00060E70" w:rsidP="00E02FD7">
      <w:pPr>
        <w:spacing w:line="480" w:lineRule="auto"/>
        <w:rPr>
          <w:sz w:val="24"/>
          <w:szCs w:val="24"/>
        </w:rPr>
      </w:pPr>
      <w:r w:rsidRPr="00E02FD7">
        <w:rPr>
          <w:sz w:val="24"/>
          <w:szCs w:val="24"/>
        </w:rPr>
        <w:t xml:space="preserve">Participants in all three study arms received </w:t>
      </w:r>
      <w:r w:rsidR="000F6875" w:rsidRPr="00E02FD7">
        <w:rPr>
          <w:sz w:val="24"/>
          <w:szCs w:val="24"/>
        </w:rPr>
        <w:t xml:space="preserve">usual care, which consisted </w:t>
      </w:r>
      <w:r w:rsidRPr="00E02FD7">
        <w:rPr>
          <w:sz w:val="24"/>
          <w:szCs w:val="24"/>
        </w:rPr>
        <w:t xml:space="preserve">‘ad hoc’ verbal ICU discharge information </w:t>
      </w:r>
      <w:r w:rsidR="008B28A0" w:rsidRPr="00E02FD7">
        <w:rPr>
          <w:sz w:val="24"/>
          <w:szCs w:val="24"/>
        </w:rPr>
        <w:t xml:space="preserve">provided by </w:t>
      </w:r>
      <w:r w:rsidRPr="00E02FD7">
        <w:rPr>
          <w:sz w:val="24"/>
          <w:szCs w:val="24"/>
        </w:rPr>
        <w:t xml:space="preserve">a variety of health care professionals. </w:t>
      </w:r>
      <w:r w:rsidR="000F6875" w:rsidRPr="00E02FD7">
        <w:rPr>
          <w:sz w:val="24"/>
          <w:szCs w:val="24"/>
        </w:rPr>
        <w:t xml:space="preserve">No guidance was </w:t>
      </w:r>
      <w:r w:rsidR="008B28A0" w:rsidRPr="00E02FD7">
        <w:rPr>
          <w:sz w:val="24"/>
          <w:szCs w:val="24"/>
        </w:rPr>
        <w:t>given</w:t>
      </w:r>
      <w:r w:rsidR="000F6875" w:rsidRPr="00E02FD7">
        <w:rPr>
          <w:sz w:val="24"/>
          <w:szCs w:val="24"/>
        </w:rPr>
        <w:t xml:space="preserve"> for this and the quality and quantity of information delivered was totally dependent on each staff member’s usual practice.</w:t>
      </w:r>
      <w:r w:rsidR="000F6875" w:rsidRPr="00E02FD7" w:rsidDel="000F6875">
        <w:rPr>
          <w:sz w:val="24"/>
          <w:szCs w:val="24"/>
        </w:rPr>
        <w:t xml:space="preserve"> </w:t>
      </w:r>
      <w:r w:rsidR="00C92D1B" w:rsidRPr="00E02FD7">
        <w:rPr>
          <w:sz w:val="24"/>
          <w:szCs w:val="24"/>
        </w:rPr>
        <w:t>To minimise the risks of additional attention</w:t>
      </w:r>
      <w:r w:rsidR="00B34322" w:rsidRPr="00E02FD7">
        <w:rPr>
          <w:sz w:val="24"/>
          <w:szCs w:val="24"/>
        </w:rPr>
        <w:t>,</w:t>
      </w:r>
      <w:r w:rsidR="00C92D1B" w:rsidRPr="00E02FD7">
        <w:rPr>
          <w:sz w:val="24"/>
          <w:szCs w:val="24"/>
        </w:rPr>
        <w:t xml:space="preserve"> given to participants in the intervention group</w:t>
      </w:r>
      <w:r w:rsidR="00B34322" w:rsidRPr="00E02FD7">
        <w:rPr>
          <w:sz w:val="24"/>
          <w:szCs w:val="24"/>
        </w:rPr>
        <w:t>,</w:t>
      </w:r>
      <w:r w:rsidR="00C92D1B" w:rsidRPr="00E02FD7">
        <w:rPr>
          <w:sz w:val="24"/>
          <w:szCs w:val="24"/>
        </w:rPr>
        <w:t xml:space="preserve"> having a placebo effect </w:t>
      </w:r>
      <w:r w:rsidR="00B34322" w:rsidRPr="00E02FD7">
        <w:rPr>
          <w:sz w:val="24"/>
          <w:szCs w:val="24"/>
        </w:rPr>
        <w:t>[</w:t>
      </w:r>
      <w:r w:rsidR="005D502E" w:rsidRPr="00E02FD7">
        <w:rPr>
          <w:sz w:val="24"/>
          <w:szCs w:val="24"/>
        </w:rPr>
        <w:t>25, 26</w:t>
      </w:r>
      <w:r w:rsidR="00B34322" w:rsidRPr="00E02FD7">
        <w:rPr>
          <w:sz w:val="24"/>
          <w:szCs w:val="24"/>
        </w:rPr>
        <w:t>];</w:t>
      </w:r>
      <w:r w:rsidR="00C92D1B" w:rsidRPr="00E02FD7">
        <w:rPr>
          <w:sz w:val="24"/>
          <w:szCs w:val="24"/>
        </w:rPr>
        <w:t xml:space="preserve"> </w:t>
      </w:r>
      <w:r w:rsidR="000F6875" w:rsidRPr="00E02FD7">
        <w:rPr>
          <w:sz w:val="24"/>
          <w:szCs w:val="24"/>
        </w:rPr>
        <w:t>in addition to the ‘ad-hoc’ information given to participants alloc</w:t>
      </w:r>
      <w:r w:rsidR="00BD60B9" w:rsidRPr="00E02FD7">
        <w:rPr>
          <w:sz w:val="24"/>
          <w:szCs w:val="24"/>
        </w:rPr>
        <w:t>a</w:t>
      </w:r>
      <w:r w:rsidR="000F6875" w:rsidRPr="00E02FD7">
        <w:rPr>
          <w:sz w:val="24"/>
          <w:szCs w:val="24"/>
        </w:rPr>
        <w:t xml:space="preserve">ted to </w:t>
      </w:r>
      <w:r w:rsidR="00BD60B9" w:rsidRPr="00E02FD7">
        <w:rPr>
          <w:sz w:val="24"/>
          <w:szCs w:val="24"/>
        </w:rPr>
        <w:t xml:space="preserve">the control </w:t>
      </w:r>
      <w:r w:rsidR="000F6875" w:rsidRPr="00E02FD7">
        <w:rPr>
          <w:sz w:val="24"/>
          <w:szCs w:val="24"/>
        </w:rPr>
        <w:t xml:space="preserve">‘usual care’ cluster, </w:t>
      </w:r>
      <w:r w:rsidR="00C92D1B" w:rsidRPr="00E02FD7">
        <w:rPr>
          <w:sz w:val="24"/>
          <w:szCs w:val="24"/>
        </w:rPr>
        <w:t>a second ‘attention control’ group received alternative written information</w:t>
      </w:r>
      <w:r w:rsidR="00811B1C" w:rsidRPr="00E02FD7">
        <w:rPr>
          <w:sz w:val="24"/>
          <w:szCs w:val="24"/>
        </w:rPr>
        <w:t xml:space="preserve">, </w:t>
      </w:r>
      <w:r w:rsidR="00C92D1B" w:rsidRPr="00E02FD7">
        <w:rPr>
          <w:sz w:val="24"/>
          <w:szCs w:val="24"/>
        </w:rPr>
        <w:t>in the form of a booklet prod</w:t>
      </w:r>
      <w:r w:rsidR="00B34322" w:rsidRPr="00E02FD7">
        <w:rPr>
          <w:sz w:val="24"/>
          <w:szCs w:val="24"/>
        </w:rPr>
        <w:t xml:space="preserve">uced by the </w:t>
      </w:r>
      <w:proofErr w:type="spellStart"/>
      <w:r w:rsidR="00B34322" w:rsidRPr="00E02FD7">
        <w:rPr>
          <w:sz w:val="24"/>
          <w:szCs w:val="24"/>
        </w:rPr>
        <w:t>ICUsteps</w:t>
      </w:r>
      <w:proofErr w:type="spellEnd"/>
      <w:r w:rsidR="00B34322" w:rsidRPr="00E02FD7">
        <w:rPr>
          <w:sz w:val="24"/>
          <w:szCs w:val="24"/>
        </w:rPr>
        <w:t xml:space="preserve"> charity [27</w:t>
      </w:r>
      <w:r w:rsidR="00C92D1B" w:rsidRPr="00E02FD7">
        <w:rPr>
          <w:sz w:val="24"/>
          <w:szCs w:val="24"/>
        </w:rPr>
        <w:t xml:space="preserve">]. </w:t>
      </w:r>
      <w:r w:rsidR="00C74057" w:rsidRPr="00E02FD7">
        <w:rPr>
          <w:sz w:val="24"/>
          <w:szCs w:val="24"/>
        </w:rPr>
        <w:t>In contrast to UCCDIP, t</w:t>
      </w:r>
      <w:r w:rsidR="00C92D1B" w:rsidRPr="00E02FD7">
        <w:rPr>
          <w:sz w:val="24"/>
          <w:szCs w:val="24"/>
        </w:rPr>
        <w:t>h</w:t>
      </w:r>
      <w:r w:rsidR="0069619F" w:rsidRPr="00E02FD7">
        <w:rPr>
          <w:sz w:val="24"/>
          <w:szCs w:val="24"/>
        </w:rPr>
        <w:t xml:space="preserve">e information in the </w:t>
      </w:r>
      <w:proofErr w:type="spellStart"/>
      <w:r w:rsidR="00811B1C" w:rsidRPr="00E02FD7">
        <w:rPr>
          <w:sz w:val="24"/>
          <w:szCs w:val="24"/>
        </w:rPr>
        <w:t>ICUsteps</w:t>
      </w:r>
      <w:proofErr w:type="spellEnd"/>
      <w:r w:rsidR="0069619F" w:rsidRPr="00E02FD7">
        <w:rPr>
          <w:sz w:val="24"/>
          <w:szCs w:val="24"/>
        </w:rPr>
        <w:t xml:space="preserve"> </w:t>
      </w:r>
      <w:r w:rsidR="00C92D1B" w:rsidRPr="00E02FD7">
        <w:rPr>
          <w:sz w:val="24"/>
          <w:szCs w:val="24"/>
        </w:rPr>
        <w:t>booklet</w:t>
      </w:r>
      <w:r w:rsidR="0069619F" w:rsidRPr="00E02FD7">
        <w:rPr>
          <w:sz w:val="24"/>
          <w:szCs w:val="24"/>
        </w:rPr>
        <w:t xml:space="preserve"> </w:t>
      </w:r>
      <w:r w:rsidR="00C74057" w:rsidRPr="00E02FD7">
        <w:rPr>
          <w:sz w:val="24"/>
          <w:szCs w:val="24"/>
        </w:rPr>
        <w:t>co</w:t>
      </w:r>
      <w:r w:rsidR="0069619F" w:rsidRPr="00E02FD7">
        <w:rPr>
          <w:sz w:val="24"/>
          <w:szCs w:val="24"/>
        </w:rPr>
        <w:t>ver</w:t>
      </w:r>
      <w:r w:rsidR="00811B1C" w:rsidRPr="00E02FD7">
        <w:rPr>
          <w:sz w:val="24"/>
          <w:szCs w:val="24"/>
        </w:rPr>
        <w:t>ed</w:t>
      </w:r>
      <w:r w:rsidR="0069619F" w:rsidRPr="00E02FD7">
        <w:rPr>
          <w:sz w:val="24"/>
          <w:szCs w:val="24"/>
        </w:rPr>
        <w:t xml:space="preserve"> the whole trajectory of critical illness from ICU admission to after hospital discharge. </w:t>
      </w:r>
      <w:r w:rsidR="002D1CCD" w:rsidRPr="00E02FD7">
        <w:rPr>
          <w:sz w:val="24"/>
          <w:szCs w:val="24"/>
        </w:rPr>
        <w:t>In addition, t</w:t>
      </w:r>
      <w:r w:rsidR="00811B1C" w:rsidRPr="00E02FD7">
        <w:rPr>
          <w:sz w:val="24"/>
          <w:szCs w:val="24"/>
        </w:rPr>
        <w:t>h</w:t>
      </w:r>
      <w:r w:rsidR="002D1CCD" w:rsidRPr="00E02FD7">
        <w:rPr>
          <w:sz w:val="24"/>
          <w:szCs w:val="24"/>
        </w:rPr>
        <w:t xml:space="preserve">e </w:t>
      </w:r>
      <w:proofErr w:type="spellStart"/>
      <w:r w:rsidR="002D1CCD" w:rsidRPr="00E02FD7">
        <w:rPr>
          <w:sz w:val="24"/>
          <w:szCs w:val="24"/>
        </w:rPr>
        <w:t>ICUsteps</w:t>
      </w:r>
      <w:proofErr w:type="spellEnd"/>
      <w:r w:rsidR="002D1CCD" w:rsidRPr="00E02FD7">
        <w:rPr>
          <w:sz w:val="24"/>
          <w:szCs w:val="24"/>
        </w:rPr>
        <w:t xml:space="preserve"> </w:t>
      </w:r>
      <w:r w:rsidR="00811B1C" w:rsidRPr="00E02FD7">
        <w:rPr>
          <w:sz w:val="24"/>
          <w:szCs w:val="24"/>
        </w:rPr>
        <w:t xml:space="preserve">booklet </w:t>
      </w:r>
      <w:r w:rsidR="0069619F" w:rsidRPr="00E02FD7">
        <w:rPr>
          <w:sz w:val="24"/>
          <w:szCs w:val="24"/>
        </w:rPr>
        <w:t>d</w:t>
      </w:r>
      <w:r w:rsidR="00811B1C" w:rsidRPr="00E02FD7">
        <w:rPr>
          <w:sz w:val="24"/>
          <w:szCs w:val="24"/>
        </w:rPr>
        <w:t>id</w:t>
      </w:r>
      <w:r w:rsidR="0069619F" w:rsidRPr="00E02FD7">
        <w:rPr>
          <w:sz w:val="24"/>
          <w:szCs w:val="24"/>
        </w:rPr>
        <w:t xml:space="preserve"> not offer </w:t>
      </w:r>
      <w:r w:rsidR="00811B1C" w:rsidRPr="00E02FD7">
        <w:rPr>
          <w:sz w:val="24"/>
          <w:szCs w:val="24"/>
        </w:rPr>
        <w:t>opportunities</w:t>
      </w:r>
      <w:r w:rsidR="0069619F" w:rsidRPr="00E02FD7">
        <w:rPr>
          <w:sz w:val="24"/>
          <w:szCs w:val="24"/>
        </w:rPr>
        <w:t xml:space="preserve"> for </w:t>
      </w:r>
      <w:r w:rsidR="00D25E28" w:rsidRPr="00E02FD7">
        <w:rPr>
          <w:sz w:val="24"/>
          <w:szCs w:val="24"/>
        </w:rPr>
        <w:t xml:space="preserve">participants </w:t>
      </w:r>
      <w:r w:rsidR="0069619F" w:rsidRPr="00E02FD7">
        <w:rPr>
          <w:sz w:val="24"/>
          <w:szCs w:val="24"/>
        </w:rPr>
        <w:t>to reflect on their experience or feelings</w:t>
      </w:r>
      <w:r w:rsidR="009532B8" w:rsidRPr="00E02FD7">
        <w:rPr>
          <w:sz w:val="24"/>
          <w:szCs w:val="24"/>
        </w:rPr>
        <w:t>,</w:t>
      </w:r>
      <w:r w:rsidR="0069619F" w:rsidRPr="00E02FD7">
        <w:rPr>
          <w:sz w:val="24"/>
          <w:szCs w:val="24"/>
        </w:rPr>
        <w:t xml:space="preserve"> or prompt them to consider their individual information needs. </w:t>
      </w:r>
      <w:r w:rsidR="00C74057" w:rsidRPr="00E02FD7">
        <w:rPr>
          <w:sz w:val="24"/>
          <w:szCs w:val="24"/>
        </w:rPr>
        <w:t xml:space="preserve">  </w:t>
      </w:r>
    </w:p>
    <w:p w:rsidR="00FB17CC" w:rsidRPr="00E02FD7" w:rsidRDefault="00FB17CC" w:rsidP="00E02FD7">
      <w:pPr>
        <w:spacing w:line="480" w:lineRule="auto"/>
        <w:rPr>
          <w:b/>
          <w:i/>
          <w:sz w:val="24"/>
          <w:szCs w:val="24"/>
        </w:rPr>
      </w:pPr>
    </w:p>
    <w:p w:rsidR="00D25E28" w:rsidRPr="00E02FD7" w:rsidRDefault="00D25E28" w:rsidP="00E02FD7">
      <w:pPr>
        <w:spacing w:line="480" w:lineRule="auto"/>
        <w:rPr>
          <w:b/>
          <w:i/>
          <w:sz w:val="24"/>
          <w:szCs w:val="24"/>
        </w:rPr>
      </w:pPr>
      <w:r w:rsidRPr="00E02FD7">
        <w:rPr>
          <w:b/>
          <w:i/>
          <w:sz w:val="24"/>
          <w:szCs w:val="24"/>
        </w:rPr>
        <w:t>Intervention delivery</w:t>
      </w:r>
    </w:p>
    <w:p w:rsidR="00D44CBF" w:rsidRPr="00E02FD7" w:rsidRDefault="007C2799" w:rsidP="00E02FD7">
      <w:pPr>
        <w:spacing w:line="480" w:lineRule="auto"/>
        <w:rPr>
          <w:sz w:val="24"/>
          <w:szCs w:val="24"/>
        </w:rPr>
      </w:pPr>
      <w:r w:rsidRPr="00E02FD7">
        <w:rPr>
          <w:sz w:val="24"/>
          <w:szCs w:val="24"/>
        </w:rPr>
        <w:t>Immediately after recruitment,</w:t>
      </w:r>
      <w:r w:rsidR="00911F12" w:rsidRPr="00E02FD7">
        <w:rPr>
          <w:sz w:val="24"/>
          <w:szCs w:val="24"/>
        </w:rPr>
        <w:t xml:space="preserve"> </w:t>
      </w:r>
      <w:r w:rsidR="00D44CBF" w:rsidRPr="00E02FD7">
        <w:rPr>
          <w:sz w:val="24"/>
          <w:szCs w:val="24"/>
        </w:rPr>
        <w:t xml:space="preserve">patient </w:t>
      </w:r>
      <w:r w:rsidR="00911F12" w:rsidRPr="00E02FD7">
        <w:rPr>
          <w:sz w:val="24"/>
          <w:szCs w:val="24"/>
        </w:rPr>
        <w:t xml:space="preserve">participants </w:t>
      </w:r>
      <w:r w:rsidR="00343247" w:rsidRPr="00E02FD7">
        <w:rPr>
          <w:sz w:val="24"/>
          <w:szCs w:val="24"/>
        </w:rPr>
        <w:t xml:space="preserve">in all clusters </w:t>
      </w:r>
      <w:r w:rsidR="00911F12" w:rsidRPr="00E02FD7">
        <w:rPr>
          <w:sz w:val="24"/>
          <w:szCs w:val="24"/>
        </w:rPr>
        <w:t xml:space="preserve">were </w:t>
      </w:r>
      <w:r w:rsidR="00CF77A3" w:rsidRPr="00E02FD7">
        <w:rPr>
          <w:sz w:val="24"/>
          <w:szCs w:val="24"/>
        </w:rPr>
        <w:t xml:space="preserve">given </w:t>
      </w:r>
      <w:r w:rsidR="00911F12" w:rsidRPr="00E02FD7">
        <w:rPr>
          <w:sz w:val="24"/>
          <w:szCs w:val="24"/>
        </w:rPr>
        <w:t>an identical looking folder containing a covering letter, study information</w:t>
      </w:r>
      <w:r w:rsidR="00967AD9" w:rsidRPr="00E02FD7">
        <w:rPr>
          <w:sz w:val="24"/>
          <w:szCs w:val="24"/>
        </w:rPr>
        <w:t xml:space="preserve"> </w:t>
      </w:r>
      <w:r w:rsidR="00911F12" w:rsidRPr="00E02FD7">
        <w:rPr>
          <w:sz w:val="24"/>
          <w:szCs w:val="24"/>
        </w:rPr>
        <w:t xml:space="preserve">and where applicable, written discharge information (either UCCDIP or the </w:t>
      </w:r>
      <w:proofErr w:type="spellStart"/>
      <w:r w:rsidR="00911F12" w:rsidRPr="00E02FD7">
        <w:rPr>
          <w:sz w:val="24"/>
          <w:szCs w:val="24"/>
        </w:rPr>
        <w:t>ICUsteps</w:t>
      </w:r>
      <w:proofErr w:type="spellEnd"/>
      <w:r w:rsidR="00911F12" w:rsidRPr="00E02FD7">
        <w:rPr>
          <w:sz w:val="24"/>
          <w:szCs w:val="24"/>
        </w:rPr>
        <w:t xml:space="preserve"> booklet). These folders accompanied patients when they were discharged to the ward. </w:t>
      </w:r>
    </w:p>
    <w:p w:rsidR="00911F12" w:rsidRPr="00E02FD7" w:rsidRDefault="00343247" w:rsidP="00E02FD7">
      <w:pPr>
        <w:spacing w:line="480" w:lineRule="auto"/>
        <w:rPr>
          <w:sz w:val="24"/>
          <w:szCs w:val="24"/>
        </w:rPr>
      </w:pPr>
      <w:r w:rsidRPr="00E02FD7">
        <w:rPr>
          <w:sz w:val="24"/>
          <w:szCs w:val="24"/>
        </w:rPr>
        <w:t xml:space="preserve">For participants randomized to a cluster receiving the </w:t>
      </w:r>
      <w:r w:rsidR="00F439E3" w:rsidRPr="00E02FD7">
        <w:rPr>
          <w:sz w:val="24"/>
          <w:szCs w:val="24"/>
        </w:rPr>
        <w:t xml:space="preserve">intervention, the bedside </w:t>
      </w:r>
      <w:r w:rsidR="003A0392" w:rsidRPr="00E02FD7">
        <w:rPr>
          <w:sz w:val="24"/>
          <w:szCs w:val="24"/>
        </w:rPr>
        <w:t>ICU</w:t>
      </w:r>
      <w:r w:rsidR="00F439E3" w:rsidRPr="00E02FD7">
        <w:rPr>
          <w:sz w:val="24"/>
          <w:szCs w:val="24"/>
        </w:rPr>
        <w:t xml:space="preserve"> nurse orientated the patient to the contents of the UCCDIP and</w:t>
      </w:r>
      <w:r w:rsidR="00F439E3" w:rsidRPr="00E02FD7">
        <w:rPr>
          <w:color w:val="FF0000"/>
        </w:rPr>
        <w:t xml:space="preserve"> </w:t>
      </w:r>
      <w:r w:rsidR="00911F12" w:rsidRPr="00E02FD7">
        <w:rPr>
          <w:sz w:val="24"/>
          <w:szCs w:val="24"/>
        </w:rPr>
        <w:t xml:space="preserve">the research nurse (KH) </w:t>
      </w:r>
      <w:r w:rsidR="00D44CBF" w:rsidRPr="00E02FD7">
        <w:rPr>
          <w:sz w:val="24"/>
          <w:szCs w:val="24"/>
        </w:rPr>
        <w:t xml:space="preserve">checked </w:t>
      </w:r>
      <w:r w:rsidR="00911F12" w:rsidRPr="00E02FD7">
        <w:rPr>
          <w:sz w:val="24"/>
          <w:szCs w:val="24"/>
        </w:rPr>
        <w:t xml:space="preserve">that the </w:t>
      </w:r>
      <w:r w:rsidR="007C2799" w:rsidRPr="00E02FD7">
        <w:rPr>
          <w:sz w:val="24"/>
          <w:szCs w:val="24"/>
        </w:rPr>
        <w:t xml:space="preserve">patient discharge </w:t>
      </w:r>
      <w:r w:rsidR="00911F12" w:rsidRPr="00E02FD7">
        <w:rPr>
          <w:sz w:val="24"/>
          <w:szCs w:val="24"/>
        </w:rPr>
        <w:t xml:space="preserve">summary </w:t>
      </w:r>
      <w:r w:rsidR="007C2799" w:rsidRPr="00E02FD7">
        <w:rPr>
          <w:sz w:val="24"/>
          <w:szCs w:val="24"/>
        </w:rPr>
        <w:t>was completed according to agreed guidelines</w:t>
      </w:r>
      <w:r w:rsidR="00681D0C" w:rsidRPr="00E02FD7">
        <w:rPr>
          <w:sz w:val="24"/>
          <w:szCs w:val="24"/>
        </w:rPr>
        <w:t xml:space="preserve"> [</w:t>
      </w:r>
      <w:r w:rsidR="004049A8" w:rsidRPr="00E02FD7">
        <w:rPr>
          <w:sz w:val="24"/>
          <w:szCs w:val="24"/>
        </w:rPr>
        <w:t>2</w:t>
      </w:r>
      <w:r w:rsidR="00B34322" w:rsidRPr="00E02FD7">
        <w:rPr>
          <w:sz w:val="24"/>
          <w:szCs w:val="24"/>
        </w:rPr>
        <w:t>4</w:t>
      </w:r>
      <w:r w:rsidR="00681D0C" w:rsidRPr="00E02FD7">
        <w:rPr>
          <w:sz w:val="24"/>
          <w:szCs w:val="24"/>
        </w:rPr>
        <w:t>]</w:t>
      </w:r>
      <w:r w:rsidR="00911F12" w:rsidRPr="00E02FD7">
        <w:rPr>
          <w:sz w:val="24"/>
          <w:szCs w:val="24"/>
        </w:rPr>
        <w:t xml:space="preserve">. </w:t>
      </w:r>
      <w:r w:rsidR="00FC5F53" w:rsidRPr="00E02FD7">
        <w:rPr>
          <w:sz w:val="24"/>
          <w:szCs w:val="24"/>
        </w:rPr>
        <w:t xml:space="preserve">The bedside nurse did not go through the written booklet given to participants in </w:t>
      </w:r>
      <w:r w:rsidR="006D0252">
        <w:rPr>
          <w:sz w:val="24"/>
          <w:szCs w:val="24"/>
        </w:rPr>
        <w:t>the</w:t>
      </w:r>
      <w:r w:rsidRPr="00E02FD7">
        <w:rPr>
          <w:sz w:val="24"/>
          <w:szCs w:val="24"/>
        </w:rPr>
        <w:t xml:space="preserve"> cluster allocated to receive </w:t>
      </w:r>
      <w:r w:rsidR="00FC5F53" w:rsidRPr="00E02FD7">
        <w:rPr>
          <w:sz w:val="24"/>
          <w:szCs w:val="24"/>
        </w:rPr>
        <w:t xml:space="preserve">the </w:t>
      </w:r>
      <w:proofErr w:type="spellStart"/>
      <w:r w:rsidR="00FC5F53" w:rsidRPr="00E02FD7">
        <w:rPr>
          <w:sz w:val="24"/>
          <w:szCs w:val="24"/>
        </w:rPr>
        <w:t>ICUsteps</w:t>
      </w:r>
      <w:proofErr w:type="spellEnd"/>
      <w:r w:rsidR="00FC5F53" w:rsidRPr="00E02FD7">
        <w:rPr>
          <w:sz w:val="24"/>
          <w:szCs w:val="24"/>
        </w:rPr>
        <w:t xml:space="preserve"> </w:t>
      </w:r>
      <w:r w:rsidRPr="00E02FD7">
        <w:rPr>
          <w:sz w:val="24"/>
          <w:szCs w:val="24"/>
        </w:rPr>
        <w:t>booklet</w:t>
      </w:r>
      <w:r w:rsidR="00D44CBF" w:rsidRPr="00E02FD7">
        <w:rPr>
          <w:sz w:val="24"/>
          <w:szCs w:val="24"/>
        </w:rPr>
        <w:t>.</w:t>
      </w:r>
    </w:p>
    <w:p w:rsidR="008F3105" w:rsidRPr="00E02FD7" w:rsidRDefault="008F3105" w:rsidP="00E02FD7">
      <w:pPr>
        <w:spacing w:line="480" w:lineRule="auto"/>
        <w:rPr>
          <w:sz w:val="24"/>
          <w:szCs w:val="24"/>
        </w:rPr>
      </w:pPr>
      <w:r w:rsidRPr="00E02FD7">
        <w:rPr>
          <w:sz w:val="24"/>
          <w:szCs w:val="24"/>
        </w:rPr>
        <w:t xml:space="preserve">Recruited relatives </w:t>
      </w:r>
      <w:r w:rsidR="00BD60B9" w:rsidRPr="00E02FD7">
        <w:rPr>
          <w:sz w:val="24"/>
          <w:szCs w:val="24"/>
        </w:rPr>
        <w:t xml:space="preserve">were allocated to the same study group as </w:t>
      </w:r>
      <w:r w:rsidRPr="00E02FD7">
        <w:rPr>
          <w:sz w:val="24"/>
          <w:szCs w:val="24"/>
        </w:rPr>
        <w:t xml:space="preserve">the patient, but it was left up to the patient to pass the information on to their family. Although UCCDIP contained an information book specifically for relatives, they were not included in the </w:t>
      </w:r>
      <w:r w:rsidR="00EA5185" w:rsidRPr="00E02FD7">
        <w:rPr>
          <w:sz w:val="24"/>
          <w:szCs w:val="24"/>
        </w:rPr>
        <w:t xml:space="preserve">discussion between the bedside nurse and the </w:t>
      </w:r>
      <w:r w:rsidRPr="00E02FD7">
        <w:rPr>
          <w:sz w:val="24"/>
          <w:szCs w:val="24"/>
        </w:rPr>
        <w:t xml:space="preserve">patient, unless they happened to be present on the unit at the time. </w:t>
      </w:r>
    </w:p>
    <w:p w:rsidR="002C2F9A" w:rsidRPr="00E02FD7" w:rsidRDefault="002C2F9A" w:rsidP="00E02FD7">
      <w:pPr>
        <w:spacing w:line="480" w:lineRule="auto"/>
        <w:outlineLvl w:val="0"/>
        <w:rPr>
          <w:b/>
          <w:sz w:val="24"/>
          <w:szCs w:val="24"/>
        </w:rPr>
      </w:pPr>
      <w:r w:rsidRPr="00E02FD7">
        <w:rPr>
          <w:b/>
          <w:sz w:val="24"/>
          <w:szCs w:val="24"/>
        </w:rPr>
        <w:t>Outcomes</w:t>
      </w:r>
    </w:p>
    <w:p w:rsidR="00372B38" w:rsidRPr="00E02FD7" w:rsidRDefault="002C2F9A" w:rsidP="00E02FD7">
      <w:pPr>
        <w:spacing w:line="480" w:lineRule="auto"/>
        <w:rPr>
          <w:sz w:val="24"/>
          <w:szCs w:val="24"/>
        </w:rPr>
      </w:pPr>
      <w:r w:rsidRPr="00E02FD7">
        <w:rPr>
          <w:sz w:val="24"/>
          <w:szCs w:val="24"/>
        </w:rPr>
        <w:t xml:space="preserve">The primary outcome was </w:t>
      </w:r>
      <w:r w:rsidR="00343247" w:rsidRPr="00E02FD7">
        <w:rPr>
          <w:sz w:val="24"/>
          <w:szCs w:val="24"/>
        </w:rPr>
        <w:t xml:space="preserve">individual </w:t>
      </w:r>
      <w:r w:rsidRPr="00E02FD7">
        <w:rPr>
          <w:sz w:val="24"/>
          <w:szCs w:val="24"/>
        </w:rPr>
        <w:t>patients’ sense of psychological well-being (specifically anxiety and depression), measured using the internationally validated Hospital Anxiety and Depression Score (HADS) tool [</w:t>
      </w:r>
      <w:r w:rsidR="00A118C5" w:rsidRPr="00E02FD7">
        <w:rPr>
          <w:sz w:val="24"/>
          <w:szCs w:val="24"/>
        </w:rPr>
        <w:t>2</w:t>
      </w:r>
      <w:r w:rsidR="00B34322" w:rsidRPr="00E02FD7">
        <w:rPr>
          <w:sz w:val="24"/>
          <w:szCs w:val="24"/>
        </w:rPr>
        <w:t>8</w:t>
      </w:r>
      <w:r w:rsidRPr="00E02FD7">
        <w:rPr>
          <w:sz w:val="24"/>
          <w:szCs w:val="24"/>
        </w:rPr>
        <w:t>] with a threshold ≥</w:t>
      </w:r>
      <w:r w:rsidRPr="00E02FD7">
        <w:rPr>
          <w:rFonts w:eastAsia="Calibri" w:cs="Times New Roman"/>
          <w:sz w:val="24"/>
          <w:szCs w:val="24"/>
        </w:rPr>
        <w:t>8</w:t>
      </w:r>
      <w:r w:rsidRPr="00E02FD7">
        <w:rPr>
          <w:sz w:val="24"/>
          <w:szCs w:val="24"/>
        </w:rPr>
        <w:t xml:space="preserve"> used to identify possible clinical cases of anxiety and/or depression [</w:t>
      </w:r>
      <w:r w:rsidR="00A118C5" w:rsidRPr="00E02FD7">
        <w:rPr>
          <w:sz w:val="24"/>
          <w:szCs w:val="24"/>
        </w:rPr>
        <w:t>2</w:t>
      </w:r>
      <w:r w:rsidR="00B34322" w:rsidRPr="00E02FD7">
        <w:rPr>
          <w:sz w:val="24"/>
          <w:szCs w:val="24"/>
        </w:rPr>
        <w:t>9</w:t>
      </w:r>
      <w:r w:rsidRPr="00E02FD7">
        <w:rPr>
          <w:sz w:val="24"/>
          <w:szCs w:val="24"/>
        </w:rPr>
        <w:t xml:space="preserve">]. Secondary outcomes included </w:t>
      </w:r>
      <w:r w:rsidR="00343247" w:rsidRPr="00E02FD7">
        <w:rPr>
          <w:sz w:val="24"/>
          <w:szCs w:val="24"/>
        </w:rPr>
        <w:t xml:space="preserve">individual </w:t>
      </w:r>
      <w:r w:rsidRPr="00E02FD7">
        <w:rPr>
          <w:sz w:val="24"/>
          <w:szCs w:val="24"/>
        </w:rPr>
        <w:t>patients’ perceptions of coping, measured using the Brief Coping Orientations to Problems Experienced (BCOPE) [</w:t>
      </w:r>
      <w:r w:rsidR="00B34322" w:rsidRPr="00E02FD7">
        <w:rPr>
          <w:sz w:val="24"/>
          <w:szCs w:val="24"/>
        </w:rPr>
        <w:t>30</w:t>
      </w:r>
      <w:r w:rsidRPr="00E02FD7">
        <w:rPr>
          <w:sz w:val="24"/>
          <w:szCs w:val="24"/>
        </w:rPr>
        <w:t>] and relatives’ sense of psychological well-being (anxiety, depression and coping</w:t>
      </w:r>
      <w:r w:rsidR="008F3105" w:rsidRPr="00E02FD7">
        <w:rPr>
          <w:sz w:val="24"/>
          <w:szCs w:val="24"/>
        </w:rPr>
        <w:t xml:space="preserve"> assessed using HADS and BCOPE</w:t>
      </w:r>
      <w:r w:rsidRPr="00E02FD7">
        <w:rPr>
          <w:sz w:val="24"/>
          <w:szCs w:val="24"/>
        </w:rPr>
        <w:t xml:space="preserve">). </w:t>
      </w:r>
      <w:r w:rsidR="00786564" w:rsidRPr="00E02FD7">
        <w:rPr>
          <w:sz w:val="24"/>
          <w:szCs w:val="24"/>
        </w:rPr>
        <w:t>In addition, patients’ perceptions of their ability for self-care were</w:t>
      </w:r>
      <w:r w:rsidRPr="00E02FD7">
        <w:rPr>
          <w:sz w:val="24"/>
          <w:szCs w:val="24"/>
        </w:rPr>
        <w:t xml:space="preserve"> measured using the Patient Enablement Instrument (PEI) [</w:t>
      </w:r>
      <w:r w:rsidR="00B34322" w:rsidRPr="00E02FD7">
        <w:rPr>
          <w:sz w:val="24"/>
          <w:szCs w:val="24"/>
        </w:rPr>
        <w:t>31</w:t>
      </w:r>
      <w:r w:rsidRPr="00E02FD7">
        <w:rPr>
          <w:sz w:val="24"/>
          <w:szCs w:val="24"/>
        </w:rPr>
        <w:t xml:space="preserve">]. </w:t>
      </w:r>
      <w:r w:rsidR="00B34322" w:rsidRPr="00E02FD7">
        <w:rPr>
          <w:sz w:val="24"/>
          <w:szCs w:val="24"/>
        </w:rPr>
        <w:t>A locally designed questionnaire survey described t</w:t>
      </w:r>
      <w:r w:rsidR="00030AF8" w:rsidRPr="00E02FD7">
        <w:rPr>
          <w:sz w:val="24"/>
          <w:szCs w:val="24"/>
        </w:rPr>
        <w:t xml:space="preserve">he </w:t>
      </w:r>
      <w:r w:rsidRPr="00E02FD7">
        <w:rPr>
          <w:sz w:val="24"/>
          <w:szCs w:val="24"/>
        </w:rPr>
        <w:t xml:space="preserve">discharge experiences </w:t>
      </w:r>
      <w:r w:rsidR="00030AF8" w:rsidRPr="00E02FD7">
        <w:rPr>
          <w:sz w:val="24"/>
          <w:szCs w:val="24"/>
        </w:rPr>
        <w:t>of all recruited patients and their relatives</w:t>
      </w:r>
      <w:r w:rsidR="00B34322" w:rsidRPr="00E02FD7">
        <w:rPr>
          <w:sz w:val="24"/>
          <w:szCs w:val="24"/>
        </w:rPr>
        <w:t>. T</w:t>
      </w:r>
      <w:r w:rsidR="00030AF8" w:rsidRPr="00E02FD7">
        <w:rPr>
          <w:sz w:val="24"/>
          <w:szCs w:val="24"/>
        </w:rPr>
        <w:t xml:space="preserve">he </w:t>
      </w:r>
      <w:r w:rsidRPr="00E02FD7">
        <w:rPr>
          <w:sz w:val="24"/>
          <w:szCs w:val="24"/>
        </w:rPr>
        <w:t xml:space="preserve">views </w:t>
      </w:r>
      <w:r w:rsidR="00030AF8" w:rsidRPr="00E02FD7">
        <w:rPr>
          <w:sz w:val="24"/>
          <w:szCs w:val="24"/>
        </w:rPr>
        <w:t xml:space="preserve">of the ICU and ward nursing staff </w:t>
      </w:r>
      <w:r w:rsidRPr="00E02FD7">
        <w:rPr>
          <w:sz w:val="24"/>
          <w:szCs w:val="24"/>
        </w:rPr>
        <w:t xml:space="preserve">about </w:t>
      </w:r>
      <w:r w:rsidR="00030AF8" w:rsidRPr="00E02FD7">
        <w:rPr>
          <w:sz w:val="24"/>
          <w:szCs w:val="24"/>
        </w:rPr>
        <w:t>UCCDIP</w:t>
      </w:r>
      <w:r w:rsidRPr="00E02FD7">
        <w:rPr>
          <w:sz w:val="24"/>
          <w:szCs w:val="24"/>
        </w:rPr>
        <w:t xml:space="preserve"> were </w:t>
      </w:r>
      <w:r w:rsidR="00B34322" w:rsidRPr="00E02FD7">
        <w:rPr>
          <w:sz w:val="24"/>
          <w:szCs w:val="24"/>
        </w:rPr>
        <w:t xml:space="preserve">also </w:t>
      </w:r>
      <w:r w:rsidRPr="00E02FD7">
        <w:rPr>
          <w:sz w:val="24"/>
          <w:szCs w:val="24"/>
        </w:rPr>
        <w:t xml:space="preserve">explored using </w:t>
      </w:r>
      <w:r w:rsidR="00B34322" w:rsidRPr="00E02FD7">
        <w:rPr>
          <w:sz w:val="24"/>
          <w:szCs w:val="24"/>
        </w:rPr>
        <w:t xml:space="preserve">the </w:t>
      </w:r>
      <w:r w:rsidRPr="00E02FD7">
        <w:rPr>
          <w:sz w:val="24"/>
          <w:szCs w:val="24"/>
        </w:rPr>
        <w:t>questionnaire survey and have been previously published [</w:t>
      </w:r>
      <w:r w:rsidR="00B34322" w:rsidRPr="00E02FD7">
        <w:rPr>
          <w:sz w:val="24"/>
          <w:szCs w:val="24"/>
        </w:rPr>
        <w:t>32</w:t>
      </w:r>
      <w:r w:rsidRPr="00E02FD7">
        <w:rPr>
          <w:sz w:val="24"/>
          <w:szCs w:val="24"/>
        </w:rPr>
        <w:t xml:space="preserve">]. </w:t>
      </w:r>
      <w:r w:rsidR="00786564" w:rsidRPr="00E02FD7">
        <w:rPr>
          <w:sz w:val="24"/>
          <w:szCs w:val="24"/>
        </w:rPr>
        <w:t xml:space="preserve">Face </w:t>
      </w:r>
      <w:r w:rsidR="003815DC" w:rsidRPr="00E02FD7">
        <w:rPr>
          <w:sz w:val="24"/>
          <w:szCs w:val="24"/>
        </w:rPr>
        <w:t xml:space="preserve">and content </w:t>
      </w:r>
      <w:r w:rsidR="00786564" w:rsidRPr="00E02FD7">
        <w:rPr>
          <w:sz w:val="24"/>
          <w:szCs w:val="24"/>
        </w:rPr>
        <w:t>validity of the questionnaire w</w:t>
      </w:r>
      <w:r w:rsidR="003815DC" w:rsidRPr="00E02FD7">
        <w:rPr>
          <w:sz w:val="24"/>
          <w:szCs w:val="24"/>
        </w:rPr>
        <w:t>ere</w:t>
      </w:r>
      <w:r w:rsidR="00786564" w:rsidRPr="00E02FD7">
        <w:rPr>
          <w:sz w:val="24"/>
          <w:szCs w:val="24"/>
        </w:rPr>
        <w:t xml:space="preserve"> </w:t>
      </w:r>
      <w:r w:rsidR="001D35AB" w:rsidRPr="00E02FD7">
        <w:rPr>
          <w:sz w:val="24"/>
          <w:szCs w:val="24"/>
        </w:rPr>
        <w:t>reviewed</w:t>
      </w:r>
      <w:r w:rsidR="00786564" w:rsidRPr="00E02FD7">
        <w:rPr>
          <w:sz w:val="24"/>
          <w:szCs w:val="24"/>
        </w:rPr>
        <w:t xml:space="preserve"> by the patient advisory group, but no pilot was undertaken prior to its use. </w:t>
      </w:r>
      <w:r w:rsidR="003815DC" w:rsidRPr="00E02FD7">
        <w:rPr>
          <w:sz w:val="24"/>
          <w:szCs w:val="24"/>
        </w:rPr>
        <w:t xml:space="preserve">Table </w:t>
      </w:r>
      <w:r w:rsidR="001D35AB" w:rsidRPr="00E02FD7">
        <w:rPr>
          <w:sz w:val="24"/>
          <w:szCs w:val="24"/>
        </w:rPr>
        <w:t>2</w:t>
      </w:r>
      <w:r w:rsidR="00372B38" w:rsidRPr="00E02FD7">
        <w:rPr>
          <w:sz w:val="24"/>
          <w:szCs w:val="24"/>
        </w:rPr>
        <w:t xml:space="preserve"> details the instruments and measures used to assess </w:t>
      </w:r>
      <w:r w:rsidR="003815DC" w:rsidRPr="00E02FD7">
        <w:rPr>
          <w:sz w:val="24"/>
          <w:szCs w:val="24"/>
        </w:rPr>
        <w:t xml:space="preserve">both </w:t>
      </w:r>
      <w:r w:rsidR="00372B38" w:rsidRPr="00E02FD7">
        <w:rPr>
          <w:sz w:val="24"/>
          <w:szCs w:val="24"/>
        </w:rPr>
        <w:t xml:space="preserve">primary and secondary outcomes. </w:t>
      </w:r>
    </w:p>
    <w:p w:rsidR="00372B38" w:rsidRPr="00E02FD7" w:rsidRDefault="001D35AB" w:rsidP="00E02FD7">
      <w:pPr>
        <w:spacing w:line="360" w:lineRule="auto"/>
        <w:rPr>
          <w:b/>
          <w:sz w:val="24"/>
          <w:szCs w:val="24"/>
        </w:rPr>
      </w:pPr>
      <w:r w:rsidRPr="00E02FD7">
        <w:rPr>
          <w:b/>
          <w:sz w:val="24"/>
          <w:szCs w:val="24"/>
        </w:rPr>
        <w:t>Table 2</w:t>
      </w:r>
      <w:r w:rsidR="00372B38" w:rsidRPr="00E02FD7">
        <w:rPr>
          <w:b/>
          <w:sz w:val="24"/>
          <w:szCs w:val="24"/>
        </w:rPr>
        <w:t>: Data collection instruments and measure</w:t>
      </w:r>
      <w:r w:rsidR="003815DC" w:rsidRPr="00E02FD7">
        <w:rPr>
          <w:b/>
          <w:sz w:val="24"/>
          <w:szCs w:val="24"/>
        </w:rPr>
        <w:t>s</w:t>
      </w:r>
      <w:r w:rsidR="00372B38" w:rsidRPr="00E02FD7">
        <w:rPr>
          <w:b/>
          <w:sz w:val="24"/>
          <w:szCs w:val="24"/>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2552"/>
        <w:gridCol w:w="3402"/>
      </w:tblGrid>
      <w:tr w:rsidR="00372B38" w:rsidRPr="00E02FD7" w:rsidTr="00E666E0">
        <w:tc>
          <w:tcPr>
            <w:tcW w:w="1418" w:type="dxa"/>
            <w:shd w:val="clear" w:color="auto" w:fill="auto"/>
          </w:tcPr>
          <w:p w:rsidR="00372B38" w:rsidRPr="00E02FD7" w:rsidRDefault="00372B38" w:rsidP="00E02FD7">
            <w:pPr>
              <w:spacing w:after="0" w:line="240" w:lineRule="auto"/>
              <w:rPr>
                <w:rFonts w:eastAsia="Times New Roman" w:cs="Times New Roman"/>
                <w:b/>
              </w:rPr>
            </w:pPr>
            <w:r w:rsidRPr="00E02FD7">
              <w:rPr>
                <w:rFonts w:eastAsia="Times New Roman" w:cs="Times New Roman"/>
                <w:b/>
              </w:rPr>
              <w:t>Participant</w:t>
            </w:r>
          </w:p>
        </w:tc>
        <w:tc>
          <w:tcPr>
            <w:tcW w:w="1559" w:type="dxa"/>
            <w:shd w:val="clear" w:color="auto" w:fill="auto"/>
          </w:tcPr>
          <w:p w:rsidR="00372B38" w:rsidRPr="00E02FD7" w:rsidRDefault="00372B38" w:rsidP="00E02FD7">
            <w:pPr>
              <w:spacing w:after="0" w:line="240" w:lineRule="auto"/>
              <w:rPr>
                <w:rFonts w:eastAsia="Times New Roman" w:cs="Times New Roman"/>
                <w:b/>
              </w:rPr>
            </w:pPr>
            <w:r w:rsidRPr="00E02FD7">
              <w:rPr>
                <w:rFonts w:eastAsia="Times New Roman" w:cs="Times New Roman"/>
                <w:b/>
              </w:rPr>
              <w:t>Outcome</w:t>
            </w:r>
          </w:p>
        </w:tc>
        <w:tc>
          <w:tcPr>
            <w:tcW w:w="2552" w:type="dxa"/>
            <w:shd w:val="clear" w:color="auto" w:fill="auto"/>
          </w:tcPr>
          <w:p w:rsidR="00372B38" w:rsidRPr="00E02FD7" w:rsidRDefault="00372B38" w:rsidP="00E02FD7">
            <w:pPr>
              <w:spacing w:after="0" w:line="240" w:lineRule="auto"/>
              <w:rPr>
                <w:rFonts w:eastAsia="Times New Roman" w:cs="Times New Roman"/>
                <w:b/>
              </w:rPr>
            </w:pPr>
            <w:r w:rsidRPr="00E02FD7">
              <w:rPr>
                <w:rFonts w:eastAsia="Times New Roman" w:cs="Times New Roman"/>
                <w:b/>
              </w:rPr>
              <w:t>Instrument</w:t>
            </w:r>
          </w:p>
        </w:tc>
        <w:tc>
          <w:tcPr>
            <w:tcW w:w="3402" w:type="dxa"/>
            <w:shd w:val="clear" w:color="auto" w:fill="auto"/>
          </w:tcPr>
          <w:p w:rsidR="00372B38" w:rsidRPr="00E02FD7" w:rsidRDefault="00372B38" w:rsidP="00E02FD7">
            <w:pPr>
              <w:spacing w:after="0" w:line="240" w:lineRule="auto"/>
              <w:rPr>
                <w:rFonts w:eastAsia="Times New Roman" w:cs="Times New Roman"/>
                <w:b/>
              </w:rPr>
            </w:pPr>
            <w:r w:rsidRPr="00E02FD7">
              <w:rPr>
                <w:rFonts w:eastAsia="Times New Roman" w:cs="Times New Roman"/>
                <w:b/>
              </w:rPr>
              <w:t>Measurement</w:t>
            </w:r>
          </w:p>
        </w:tc>
      </w:tr>
      <w:tr w:rsidR="00372B38" w:rsidRPr="00E02FD7" w:rsidTr="00E666E0">
        <w:tc>
          <w:tcPr>
            <w:tcW w:w="1418"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Patient</w:t>
            </w:r>
          </w:p>
        </w:tc>
        <w:tc>
          <w:tcPr>
            <w:tcW w:w="1559"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Anxiety and depression</w:t>
            </w:r>
          </w:p>
        </w:tc>
        <w:tc>
          <w:tcPr>
            <w:tcW w:w="2552"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Hospital Anxiety and Depression Scale (HADS)</w:t>
            </w:r>
          </w:p>
        </w:tc>
        <w:tc>
          <w:tcPr>
            <w:tcW w:w="3402" w:type="dxa"/>
          </w:tcPr>
          <w:p w:rsidR="00372B38" w:rsidRPr="00E02FD7" w:rsidRDefault="00D80A90" w:rsidP="00E02FD7">
            <w:pPr>
              <w:pStyle w:val="ListParagraph"/>
              <w:numPr>
                <w:ilvl w:val="0"/>
                <w:numId w:val="14"/>
              </w:numPr>
              <w:spacing w:after="0" w:line="240" w:lineRule="auto"/>
              <w:ind w:left="219" w:hanging="219"/>
              <w:rPr>
                <w:rFonts w:eastAsia="Times New Roman" w:cs="Times New Roman"/>
              </w:rPr>
            </w:pPr>
            <w:r w:rsidRPr="00E02FD7">
              <w:rPr>
                <w:rFonts w:eastAsia="Times New Roman" w:cs="Times New Roman"/>
              </w:rPr>
              <w:t xml:space="preserve">On ward, five (+/-1) days post ICU discharge </w:t>
            </w:r>
          </w:p>
          <w:p w:rsidR="00D80A90" w:rsidRPr="00E02FD7" w:rsidRDefault="00D80A90" w:rsidP="00E02FD7">
            <w:pPr>
              <w:pStyle w:val="ListParagraph"/>
              <w:numPr>
                <w:ilvl w:val="0"/>
                <w:numId w:val="14"/>
              </w:numPr>
              <w:spacing w:after="0" w:line="240" w:lineRule="auto"/>
              <w:ind w:left="219" w:hanging="219"/>
              <w:rPr>
                <w:rFonts w:eastAsia="Times New Roman" w:cs="Times New Roman"/>
              </w:rPr>
            </w:pPr>
            <w:r w:rsidRPr="00E02FD7">
              <w:rPr>
                <w:rFonts w:eastAsia="Times New Roman" w:cs="Times New Roman"/>
              </w:rPr>
              <w:t>Hospital discharge or 28 days</w:t>
            </w:r>
          </w:p>
        </w:tc>
      </w:tr>
      <w:tr w:rsidR="00372B38" w:rsidRPr="00E02FD7" w:rsidTr="00E666E0">
        <w:tc>
          <w:tcPr>
            <w:tcW w:w="1418"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Patient</w:t>
            </w:r>
          </w:p>
        </w:tc>
        <w:tc>
          <w:tcPr>
            <w:tcW w:w="1559"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Perceptions of coping</w:t>
            </w:r>
          </w:p>
        </w:tc>
        <w:tc>
          <w:tcPr>
            <w:tcW w:w="2552" w:type="dxa"/>
          </w:tcPr>
          <w:p w:rsidR="00372B38" w:rsidRPr="00E02FD7" w:rsidRDefault="00372B38" w:rsidP="00E02FD7">
            <w:pPr>
              <w:spacing w:after="0" w:line="240" w:lineRule="auto"/>
              <w:rPr>
                <w:rFonts w:eastAsia="Times New Roman" w:cs="Times New Roman"/>
              </w:rPr>
            </w:pPr>
            <w:r w:rsidRPr="00E02FD7">
              <w:t>Brief Coping Orientations to Problems Experienced (BCOPE)</w:t>
            </w:r>
          </w:p>
        </w:tc>
        <w:tc>
          <w:tcPr>
            <w:tcW w:w="3402" w:type="dxa"/>
          </w:tcPr>
          <w:p w:rsidR="00D80A90" w:rsidRPr="00E02FD7" w:rsidRDefault="00D80A90" w:rsidP="00E02FD7">
            <w:pPr>
              <w:spacing w:after="0" w:line="240" w:lineRule="auto"/>
              <w:ind w:left="219" w:hanging="219"/>
              <w:rPr>
                <w:rFonts w:eastAsia="Times New Roman" w:cs="Times New Roman"/>
              </w:rPr>
            </w:pPr>
            <w:r w:rsidRPr="00E02FD7">
              <w:rPr>
                <w:rFonts w:eastAsia="Times New Roman" w:cs="Times New Roman"/>
              </w:rPr>
              <w:t xml:space="preserve">1. On ward, five (+/-1) days post ICU discharge </w:t>
            </w:r>
          </w:p>
          <w:p w:rsidR="00372B38" w:rsidRPr="00E02FD7" w:rsidRDefault="00D80A90" w:rsidP="00E02FD7">
            <w:pPr>
              <w:spacing w:after="0" w:line="240" w:lineRule="auto"/>
              <w:ind w:left="219" w:hanging="219"/>
              <w:rPr>
                <w:rFonts w:eastAsia="Times New Roman" w:cs="Times New Roman"/>
              </w:rPr>
            </w:pPr>
            <w:r w:rsidRPr="00E02FD7">
              <w:rPr>
                <w:rFonts w:eastAsia="Times New Roman" w:cs="Times New Roman"/>
              </w:rPr>
              <w:t>2.</w:t>
            </w:r>
            <w:r w:rsidRPr="00E02FD7">
              <w:rPr>
                <w:rFonts w:eastAsia="Times New Roman" w:cs="Times New Roman"/>
              </w:rPr>
              <w:tab/>
              <w:t>Hospital discharge or 28 days</w:t>
            </w:r>
          </w:p>
        </w:tc>
      </w:tr>
      <w:tr w:rsidR="00372B38" w:rsidRPr="00E02FD7" w:rsidTr="00E666E0">
        <w:tc>
          <w:tcPr>
            <w:tcW w:w="1418"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Patient</w:t>
            </w:r>
          </w:p>
        </w:tc>
        <w:tc>
          <w:tcPr>
            <w:tcW w:w="1559"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Perceptions of self-care ability</w:t>
            </w:r>
          </w:p>
        </w:tc>
        <w:tc>
          <w:tcPr>
            <w:tcW w:w="2552" w:type="dxa"/>
          </w:tcPr>
          <w:p w:rsidR="00372B38" w:rsidRPr="00E02FD7" w:rsidRDefault="00372B38" w:rsidP="00E02FD7">
            <w:pPr>
              <w:spacing w:after="0" w:line="240" w:lineRule="auto"/>
              <w:rPr>
                <w:rFonts w:eastAsia="Times New Roman" w:cs="Times New Roman"/>
              </w:rPr>
            </w:pPr>
            <w:r w:rsidRPr="00E02FD7">
              <w:t>Patient Enablement Instrument (PEI)</w:t>
            </w:r>
          </w:p>
        </w:tc>
        <w:tc>
          <w:tcPr>
            <w:tcW w:w="3402" w:type="dxa"/>
          </w:tcPr>
          <w:p w:rsidR="00D80A90" w:rsidRPr="00E02FD7" w:rsidRDefault="00D80A90" w:rsidP="00E02FD7">
            <w:pPr>
              <w:spacing w:after="0" w:line="240" w:lineRule="auto"/>
              <w:ind w:left="219" w:hanging="219"/>
              <w:rPr>
                <w:rFonts w:eastAsia="Times New Roman" w:cs="Times New Roman"/>
              </w:rPr>
            </w:pPr>
            <w:r w:rsidRPr="00E02FD7">
              <w:rPr>
                <w:rFonts w:eastAsia="Times New Roman" w:cs="Times New Roman"/>
              </w:rPr>
              <w:t xml:space="preserve">1. On ward, five (+/-1) days post ICU discharge </w:t>
            </w:r>
          </w:p>
          <w:p w:rsidR="00372B38" w:rsidRPr="00E02FD7" w:rsidRDefault="00D80A90" w:rsidP="00E02FD7">
            <w:pPr>
              <w:spacing w:after="0" w:line="240" w:lineRule="auto"/>
              <w:ind w:left="219" w:hanging="219"/>
              <w:rPr>
                <w:rFonts w:eastAsia="Times New Roman" w:cs="Times New Roman"/>
              </w:rPr>
            </w:pPr>
            <w:r w:rsidRPr="00E02FD7">
              <w:rPr>
                <w:rFonts w:eastAsia="Times New Roman" w:cs="Times New Roman"/>
              </w:rPr>
              <w:t>2.</w:t>
            </w:r>
            <w:r w:rsidRPr="00E02FD7">
              <w:rPr>
                <w:rFonts w:eastAsia="Times New Roman" w:cs="Times New Roman"/>
              </w:rPr>
              <w:tab/>
              <w:t>Hospital discharge or 28 days</w:t>
            </w:r>
          </w:p>
        </w:tc>
      </w:tr>
      <w:tr w:rsidR="00372B38" w:rsidRPr="00E02FD7" w:rsidTr="00E666E0">
        <w:tc>
          <w:tcPr>
            <w:tcW w:w="1418"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Patient</w:t>
            </w:r>
          </w:p>
        </w:tc>
        <w:tc>
          <w:tcPr>
            <w:tcW w:w="1559"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Discharge experience</w:t>
            </w:r>
          </w:p>
        </w:tc>
        <w:tc>
          <w:tcPr>
            <w:tcW w:w="2552" w:type="dxa"/>
          </w:tcPr>
          <w:p w:rsidR="00372B38" w:rsidRPr="00E02FD7" w:rsidRDefault="00372B38" w:rsidP="00E02FD7">
            <w:pPr>
              <w:spacing w:after="0" w:line="240" w:lineRule="auto"/>
              <w:rPr>
                <w:rFonts w:eastAsia="Times New Roman" w:cs="Times New Roman"/>
              </w:rPr>
            </w:pPr>
            <w:r w:rsidRPr="00E02FD7">
              <w:rPr>
                <w:rFonts w:eastAsia="Times New Roman" w:cs="Times New Roman"/>
              </w:rPr>
              <w:t>Questionnaire</w:t>
            </w:r>
          </w:p>
        </w:tc>
        <w:tc>
          <w:tcPr>
            <w:tcW w:w="3402" w:type="dxa"/>
          </w:tcPr>
          <w:p w:rsidR="00372B38" w:rsidRPr="00E02FD7" w:rsidRDefault="00D80A90" w:rsidP="00E02FD7">
            <w:pPr>
              <w:spacing w:after="0" w:line="240" w:lineRule="auto"/>
              <w:rPr>
                <w:rFonts w:eastAsia="Times New Roman" w:cs="Times New Roman"/>
              </w:rPr>
            </w:pPr>
            <w:r w:rsidRPr="00E02FD7">
              <w:rPr>
                <w:rFonts w:eastAsia="Times New Roman" w:cs="Times New Roman"/>
              </w:rPr>
              <w:t xml:space="preserve">Prior to hospital discharge </w:t>
            </w:r>
          </w:p>
        </w:tc>
      </w:tr>
      <w:tr w:rsidR="00D80A90" w:rsidRPr="00E02FD7" w:rsidTr="00E666E0">
        <w:tc>
          <w:tcPr>
            <w:tcW w:w="1418"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Relative</w:t>
            </w:r>
          </w:p>
        </w:tc>
        <w:tc>
          <w:tcPr>
            <w:tcW w:w="1559"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Anxiety and depression</w:t>
            </w:r>
          </w:p>
        </w:tc>
        <w:tc>
          <w:tcPr>
            <w:tcW w:w="2552"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Hospital Anxiety and Depression Scale (HADS)</w:t>
            </w:r>
          </w:p>
        </w:tc>
        <w:tc>
          <w:tcPr>
            <w:tcW w:w="3402" w:type="dxa"/>
          </w:tcPr>
          <w:p w:rsidR="00D80A90" w:rsidRPr="00E02FD7" w:rsidRDefault="00D80A90" w:rsidP="00E02FD7">
            <w:pPr>
              <w:spacing w:after="0" w:line="240" w:lineRule="auto"/>
              <w:ind w:left="219" w:hanging="219"/>
              <w:rPr>
                <w:rFonts w:eastAsia="Times New Roman" w:cs="Times New Roman"/>
              </w:rPr>
            </w:pPr>
            <w:r w:rsidRPr="00E02FD7">
              <w:rPr>
                <w:rFonts w:eastAsia="Times New Roman" w:cs="Times New Roman"/>
              </w:rPr>
              <w:t>1.</w:t>
            </w:r>
            <w:r w:rsidRPr="00E02FD7">
              <w:rPr>
                <w:rFonts w:eastAsia="Times New Roman" w:cs="Times New Roman"/>
              </w:rPr>
              <w:tab/>
              <w:t xml:space="preserve">On ward, five (+/-1) days post patient’s ICU discharge </w:t>
            </w:r>
          </w:p>
          <w:p w:rsidR="00D80A90" w:rsidRPr="00E02FD7" w:rsidRDefault="00D80A90" w:rsidP="00E02FD7">
            <w:pPr>
              <w:spacing w:after="0" w:line="240" w:lineRule="auto"/>
              <w:ind w:left="219" w:hanging="219"/>
              <w:rPr>
                <w:rFonts w:eastAsia="Times New Roman" w:cs="Times New Roman"/>
              </w:rPr>
            </w:pPr>
            <w:r w:rsidRPr="00E02FD7">
              <w:rPr>
                <w:rFonts w:eastAsia="Times New Roman" w:cs="Times New Roman"/>
              </w:rPr>
              <w:t>2.</w:t>
            </w:r>
            <w:r w:rsidRPr="00E02FD7">
              <w:rPr>
                <w:rFonts w:eastAsia="Times New Roman" w:cs="Times New Roman"/>
              </w:rPr>
              <w:tab/>
              <w:t>Patients’ hospital discharge or 28 days</w:t>
            </w:r>
          </w:p>
        </w:tc>
      </w:tr>
      <w:tr w:rsidR="00D80A90" w:rsidRPr="00E02FD7" w:rsidTr="00E666E0">
        <w:tc>
          <w:tcPr>
            <w:tcW w:w="1418"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Relative</w:t>
            </w:r>
          </w:p>
        </w:tc>
        <w:tc>
          <w:tcPr>
            <w:tcW w:w="1559"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Perceptions of coping</w:t>
            </w:r>
          </w:p>
        </w:tc>
        <w:tc>
          <w:tcPr>
            <w:tcW w:w="2552" w:type="dxa"/>
          </w:tcPr>
          <w:p w:rsidR="00D80A90" w:rsidRPr="00E02FD7" w:rsidRDefault="00D80A90" w:rsidP="00E02FD7">
            <w:pPr>
              <w:spacing w:after="0" w:line="240" w:lineRule="auto"/>
              <w:rPr>
                <w:rFonts w:eastAsia="Times New Roman" w:cs="Times New Roman"/>
              </w:rPr>
            </w:pPr>
            <w:r w:rsidRPr="00E02FD7">
              <w:t>Brief Coping Orientations to Problems Experienced (BCOPE)</w:t>
            </w:r>
          </w:p>
        </w:tc>
        <w:tc>
          <w:tcPr>
            <w:tcW w:w="3402" w:type="dxa"/>
          </w:tcPr>
          <w:p w:rsidR="00D80A90" w:rsidRPr="00E02FD7" w:rsidRDefault="00D80A90" w:rsidP="00E02FD7">
            <w:pPr>
              <w:spacing w:after="0" w:line="240" w:lineRule="auto"/>
              <w:ind w:left="219" w:hanging="219"/>
              <w:rPr>
                <w:rFonts w:eastAsia="Times New Roman" w:cs="Times New Roman"/>
              </w:rPr>
            </w:pPr>
            <w:r w:rsidRPr="00E02FD7">
              <w:rPr>
                <w:rFonts w:eastAsia="Times New Roman" w:cs="Times New Roman"/>
              </w:rPr>
              <w:t>1.</w:t>
            </w:r>
            <w:r w:rsidRPr="00E02FD7">
              <w:rPr>
                <w:rFonts w:eastAsia="Times New Roman" w:cs="Times New Roman"/>
              </w:rPr>
              <w:tab/>
              <w:t xml:space="preserve">On ward, five (+/-1) days post patient’s ICU discharge </w:t>
            </w:r>
          </w:p>
          <w:p w:rsidR="00D80A90" w:rsidRPr="00E02FD7" w:rsidRDefault="00D80A90" w:rsidP="00E02FD7">
            <w:pPr>
              <w:spacing w:after="0" w:line="240" w:lineRule="auto"/>
              <w:ind w:left="176" w:hanging="176"/>
              <w:rPr>
                <w:rFonts w:eastAsia="Times New Roman" w:cs="Times New Roman"/>
              </w:rPr>
            </w:pPr>
            <w:r w:rsidRPr="00E02FD7">
              <w:rPr>
                <w:rFonts w:eastAsia="Times New Roman" w:cs="Times New Roman"/>
              </w:rPr>
              <w:t>2.</w:t>
            </w:r>
            <w:r w:rsidRPr="00E02FD7">
              <w:rPr>
                <w:rFonts w:eastAsia="Times New Roman" w:cs="Times New Roman"/>
              </w:rPr>
              <w:tab/>
              <w:t xml:space="preserve"> Patients’ hospital discharge or  28 days</w:t>
            </w:r>
          </w:p>
        </w:tc>
      </w:tr>
      <w:tr w:rsidR="00D80A90" w:rsidRPr="00E02FD7" w:rsidTr="00E666E0">
        <w:tc>
          <w:tcPr>
            <w:tcW w:w="1418"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Relative</w:t>
            </w:r>
          </w:p>
        </w:tc>
        <w:tc>
          <w:tcPr>
            <w:tcW w:w="1559"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Discharge experience</w:t>
            </w:r>
          </w:p>
        </w:tc>
        <w:tc>
          <w:tcPr>
            <w:tcW w:w="2552"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Questionnaire</w:t>
            </w:r>
          </w:p>
        </w:tc>
        <w:tc>
          <w:tcPr>
            <w:tcW w:w="3402"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Prior to patient’s hospital discharge</w:t>
            </w:r>
          </w:p>
        </w:tc>
      </w:tr>
      <w:tr w:rsidR="00D80A90" w:rsidRPr="00E02FD7" w:rsidTr="00E666E0">
        <w:tc>
          <w:tcPr>
            <w:tcW w:w="1418"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ICU and ward nurses</w:t>
            </w:r>
          </w:p>
        </w:tc>
        <w:tc>
          <w:tcPr>
            <w:tcW w:w="1559"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Views about UCCDIP</w:t>
            </w:r>
          </w:p>
        </w:tc>
        <w:tc>
          <w:tcPr>
            <w:tcW w:w="2552"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Questionnaire</w:t>
            </w:r>
          </w:p>
        </w:tc>
        <w:tc>
          <w:tcPr>
            <w:tcW w:w="3402" w:type="dxa"/>
          </w:tcPr>
          <w:p w:rsidR="00D80A90" w:rsidRPr="00E02FD7" w:rsidRDefault="00D80A90" w:rsidP="00E02FD7">
            <w:pPr>
              <w:spacing w:after="0" w:line="240" w:lineRule="auto"/>
              <w:rPr>
                <w:rFonts w:eastAsia="Times New Roman" w:cs="Times New Roman"/>
              </w:rPr>
            </w:pPr>
            <w:r w:rsidRPr="00E02FD7">
              <w:rPr>
                <w:rFonts w:eastAsia="Times New Roman" w:cs="Times New Roman"/>
              </w:rPr>
              <w:t>End of trial period</w:t>
            </w:r>
          </w:p>
        </w:tc>
      </w:tr>
    </w:tbl>
    <w:p w:rsidR="00C81738" w:rsidRDefault="00C81738" w:rsidP="00E02FD7">
      <w:pPr>
        <w:spacing w:line="480" w:lineRule="auto"/>
        <w:rPr>
          <w:sz w:val="24"/>
          <w:szCs w:val="24"/>
        </w:rPr>
      </w:pPr>
    </w:p>
    <w:p w:rsidR="003815DC" w:rsidRPr="00E02FD7" w:rsidRDefault="001424B4" w:rsidP="00E02FD7">
      <w:pPr>
        <w:spacing w:line="480" w:lineRule="auto"/>
        <w:rPr>
          <w:sz w:val="24"/>
          <w:szCs w:val="24"/>
        </w:rPr>
      </w:pPr>
      <w:r w:rsidRPr="00E02FD7">
        <w:rPr>
          <w:sz w:val="24"/>
          <w:szCs w:val="24"/>
        </w:rPr>
        <w:t>To assess the effects of the intervention on early in-hospital psychological well-being</w:t>
      </w:r>
      <w:r w:rsidR="003815DC" w:rsidRPr="00E02FD7">
        <w:rPr>
          <w:sz w:val="24"/>
          <w:szCs w:val="24"/>
        </w:rPr>
        <w:t>,</w:t>
      </w:r>
      <w:r w:rsidRPr="00E02FD7">
        <w:rPr>
          <w:sz w:val="24"/>
          <w:szCs w:val="24"/>
        </w:rPr>
        <w:t xml:space="preserve"> </w:t>
      </w:r>
      <w:r w:rsidR="003815DC" w:rsidRPr="00E02FD7">
        <w:rPr>
          <w:sz w:val="24"/>
          <w:szCs w:val="24"/>
        </w:rPr>
        <w:t xml:space="preserve">outcome </w:t>
      </w:r>
      <w:r w:rsidRPr="00E02FD7">
        <w:rPr>
          <w:sz w:val="24"/>
          <w:szCs w:val="24"/>
        </w:rPr>
        <w:t xml:space="preserve">data </w:t>
      </w:r>
      <w:r w:rsidR="003815DC" w:rsidRPr="00E02FD7">
        <w:rPr>
          <w:sz w:val="24"/>
          <w:szCs w:val="24"/>
        </w:rPr>
        <w:t xml:space="preserve">from patient and relative participants </w:t>
      </w:r>
      <w:r w:rsidR="002C2F9A" w:rsidRPr="00E02FD7">
        <w:rPr>
          <w:sz w:val="24"/>
          <w:szCs w:val="24"/>
        </w:rPr>
        <w:t xml:space="preserve">were </w:t>
      </w:r>
      <w:r w:rsidRPr="00E02FD7">
        <w:rPr>
          <w:sz w:val="24"/>
          <w:szCs w:val="24"/>
        </w:rPr>
        <w:t xml:space="preserve">collected </w:t>
      </w:r>
      <w:r w:rsidR="002C2F9A" w:rsidRPr="00E02FD7">
        <w:rPr>
          <w:sz w:val="24"/>
          <w:szCs w:val="24"/>
        </w:rPr>
        <w:t xml:space="preserve">on </w:t>
      </w:r>
      <w:r w:rsidR="00030AF8" w:rsidRPr="00E02FD7">
        <w:rPr>
          <w:sz w:val="24"/>
          <w:szCs w:val="24"/>
        </w:rPr>
        <w:t xml:space="preserve">the ward on </w:t>
      </w:r>
      <w:r w:rsidR="002C2F9A" w:rsidRPr="00E02FD7">
        <w:rPr>
          <w:sz w:val="24"/>
          <w:szCs w:val="24"/>
        </w:rPr>
        <w:t xml:space="preserve">two occasions after </w:t>
      </w:r>
      <w:r w:rsidR="003A0392" w:rsidRPr="00E02FD7">
        <w:rPr>
          <w:sz w:val="24"/>
          <w:szCs w:val="24"/>
        </w:rPr>
        <w:t xml:space="preserve">ICU </w:t>
      </w:r>
      <w:r w:rsidR="002C2F9A" w:rsidRPr="00E02FD7">
        <w:rPr>
          <w:sz w:val="24"/>
          <w:szCs w:val="24"/>
        </w:rPr>
        <w:t xml:space="preserve">discharge: one week (defined as 5+/-1 day) and at hospital discharge or 28 days, whichever was sooner. </w:t>
      </w:r>
      <w:r w:rsidR="00782130" w:rsidRPr="00E02FD7">
        <w:rPr>
          <w:sz w:val="24"/>
          <w:szCs w:val="24"/>
        </w:rPr>
        <w:t>The q</w:t>
      </w:r>
      <w:r w:rsidR="002C2F9A" w:rsidRPr="00E02FD7">
        <w:rPr>
          <w:sz w:val="24"/>
          <w:szCs w:val="24"/>
        </w:rPr>
        <w:t>uestionnaire</w:t>
      </w:r>
      <w:r w:rsidR="00782130" w:rsidRPr="00E02FD7">
        <w:rPr>
          <w:sz w:val="24"/>
          <w:szCs w:val="24"/>
        </w:rPr>
        <w:t xml:space="preserve"> survey</w:t>
      </w:r>
      <w:r w:rsidR="002C2F9A" w:rsidRPr="00E02FD7">
        <w:rPr>
          <w:sz w:val="24"/>
          <w:szCs w:val="24"/>
        </w:rPr>
        <w:t xml:space="preserve"> </w:t>
      </w:r>
      <w:r w:rsidR="00782130" w:rsidRPr="00E02FD7">
        <w:rPr>
          <w:sz w:val="24"/>
          <w:szCs w:val="24"/>
        </w:rPr>
        <w:t xml:space="preserve">was </w:t>
      </w:r>
      <w:r w:rsidR="002C2F9A" w:rsidRPr="00E02FD7">
        <w:rPr>
          <w:sz w:val="24"/>
          <w:szCs w:val="24"/>
        </w:rPr>
        <w:t xml:space="preserve">completed prior to </w:t>
      </w:r>
      <w:r w:rsidR="00E666E0" w:rsidRPr="00E02FD7">
        <w:rPr>
          <w:sz w:val="24"/>
          <w:szCs w:val="24"/>
        </w:rPr>
        <w:t xml:space="preserve">a patient’s </w:t>
      </w:r>
      <w:r w:rsidR="002C2F9A" w:rsidRPr="00E02FD7">
        <w:rPr>
          <w:sz w:val="24"/>
          <w:szCs w:val="24"/>
        </w:rPr>
        <w:t xml:space="preserve">hospital </w:t>
      </w:r>
      <w:r w:rsidR="00782130" w:rsidRPr="00E02FD7">
        <w:rPr>
          <w:sz w:val="24"/>
          <w:szCs w:val="24"/>
        </w:rPr>
        <w:t>discharge (participants) or at the end of the trial period (nurses)</w:t>
      </w:r>
      <w:r w:rsidR="001D35AB" w:rsidRPr="00E02FD7">
        <w:rPr>
          <w:sz w:val="24"/>
          <w:szCs w:val="24"/>
        </w:rPr>
        <w:t xml:space="preserve"> (Table 2</w:t>
      </w:r>
      <w:r w:rsidR="003815DC" w:rsidRPr="00E02FD7">
        <w:rPr>
          <w:sz w:val="24"/>
          <w:szCs w:val="24"/>
        </w:rPr>
        <w:t>)</w:t>
      </w:r>
      <w:r w:rsidR="00782130" w:rsidRPr="00E02FD7">
        <w:rPr>
          <w:sz w:val="24"/>
          <w:szCs w:val="24"/>
        </w:rPr>
        <w:t xml:space="preserve">. </w:t>
      </w:r>
    </w:p>
    <w:p w:rsidR="007C006E" w:rsidRDefault="002C2F9A" w:rsidP="007C006E">
      <w:pPr>
        <w:spacing w:line="480" w:lineRule="auto"/>
        <w:rPr>
          <w:sz w:val="24"/>
          <w:szCs w:val="24"/>
        </w:rPr>
      </w:pPr>
      <w:r w:rsidRPr="00E02FD7">
        <w:rPr>
          <w:sz w:val="24"/>
          <w:szCs w:val="24"/>
        </w:rPr>
        <w:t xml:space="preserve">Data were collected by one researcher (SB), with back-up provided (TD). To maximise the chance of retrieving a full dataset, researchers facilitated completion of forms (by reading questions and writing responses) for some of the less able patients. </w:t>
      </w:r>
      <w:r w:rsidR="003815DC" w:rsidRPr="00E02FD7">
        <w:rPr>
          <w:sz w:val="24"/>
          <w:szCs w:val="24"/>
        </w:rPr>
        <w:t xml:space="preserve">Relatives were asked to complete forms on the ward or at home, and to return them directly to the research team </w:t>
      </w:r>
      <w:r w:rsidR="00BE7C2C" w:rsidRPr="00E02FD7">
        <w:rPr>
          <w:sz w:val="24"/>
          <w:szCs w:val="24"/>
        </w:rPr>
        <w:t xml:space="preserve">(by email or post) </w:t>
      </w:r>
      <w:r w:rsidR="007C006E" w:rsidRPr="007C006E">
        <w:rPr>
          <w:sz w:val="24"/>
          <w:szCs w:val="24"/>
        </w:rPr>
        <w:t>or to leave them for collection at the patient’s bedside.</w:t>
      </w:r>
    </w:p>
    <w:p w:rsidR="002C02E8" w:rsidRPr="00E02FD7" w:rsidRDefault="002C2F9A" w:rsidP="007C006E">
      <w:pPr>
        <w:spacing w:line="480" w:lineRule="auto"/>
        <w:rPr>
          <w:sz w:val="24"/>
          <w:szCs w:val="24"/>
        </w:rPr>
      </w:pPr>
      <w:r w:rsidRPr="00E02FD7">
        <w:rPr>
          <w:sz w:val="24"/>
          <w:szCs w:val="24"/>
        </w:rPr>
        <w:t xml:space="preserve">Demographic information, length of </w:t>
      </w:r>
      <w:r w:rsidR="003A0392" w:rsidRPr="00E02FD7">
        <w:rPr>
          <w:sz w:val="24"/>
          <w:szCs w:val="24"/>
        </w:rPr>
        <w:t xml:space="preserve">ICU </w:t>
      </w:r>
      <w:r w:rsidRPr="00E02FD7">
        <w:rPr>
          <w:sz w:val="24"/>
          <w:szCs w:val="24"/>
        </w:rPr>
        <w:t xml:space="preserve">stay, </w:t>
      </w:r>
      <w:r w:rsidR="003A0392" w:rsidRPr="00E02FD7">
        <w:rPr>
          <w:sz w:val="24"/>
          <w:szCs w:val="24"/>
        </w:rPr>
        <w:t xml:space="preserve">ICU </w:t>
      </w:r>
      <w:r w:rsidRPr="00E02FD7">
        <w:rPr>
          <w:sz w:val="24"/>
          <w:szCs w:val="24"/>
        </w:rPr>
        <w:t>readmissions, past medical history, Acute Physiology and Chronic Health Evaluation (APACHE) II scores [</w:t>
      </w:r>
      <w:r w:rsidR="00B34322" w:rsidRPr="00E02FD7">
        <w:rPr>
          <w:sz w:val="24"/>
          <w:szCs w:val="24"/>
        </w:rPr>
        <w:t>33</w:t>
      </w:r>
      <w:r w:rsidRPr="00E02FD7">
        <w:rPr>
          <w:sz w:val="24"/>
          <w:szCs w:val="24"/>
        </w:rPr>
        <w:t>], therapies received and complications pertinent to the critical illness period were retrieved from local databases and medical notes</w:t>
      </w:r>
      <w:r w:rsidR="009532B8" w:rsidRPr="00E02FD7">
        <w:rPr>
          <w:sz w:val="24"/>
          <w:szCs w:val="24"/>
        </w:rPr>
        <w:t xml:space="preserve"> immediately after each patient participant was recruited</w:t>
      </w:r>
      <w:r w:rsidRPr="00E02FD7">
        <w:rPr>
          <w:sz w:val="24"/>
          <w:szCs w:val="24"/>
        </w:rPr>
        <w:t xml:space="preserve">. </w:t>
      </w:r>
      <w:r w:rsidR="00EA5185" w:rsidRPr="00E02FD7">
        <w:rPr>
          <w:sz w:val="24"/>
          <w:szCs w:val="24"/>
        </w:rPr>
        <w:t>At this point, participating r</w:t>
      </w:r>
      <w:r w:rsidR="000F6875" w:rsidRPr="00E02FD7">
        <w:rPr>
          <w:sz w:val="24"/>
          <w:szCs w:val="24"/>
        </w:rPr>
        <w:t>elative</w:t>
      </w:r>
      <w:r w:rsidR="00EA5185" w:rsidRPr="00E02FD7">
        <w:rPr>
          <w:sz w:val="24"/>
          <w:szCs w:val="24"/>
        </w:rPr>
        <w:t>s</w:t>
      </w:r>
      <w:r w:rsidR="000F6875" w:rsidRPr="00E02FD7">
        <w:rPr>
          <w:sz w:val="24"/>
          <w:szCs w:val="24"/>
        </w:rPr>
        <w:t xml:space="preserve"> were also asked to complete a </w:t>
      </w:r>
      <w:r w:rsidR="00B34322" w:rsidRPr="00E02FD7">
        <w:rPr>
          <w:sz w:val="24"/>
          <w:szCs w:val="24"/>
        </w:rPr>
        <w:t xml:space="preserve">form </w:t>
      </w:r>
      <w:r w:rsidR="000F6875" w:rsidRPr="00E02FD7">
        <w:rPr>
          <w:sz w:val="24"/>
          <w:szCs w:val="24"/>
        </w:rPr>
        <w:t xml:space="preserve">detailing their demographics, previous experiences of critical illness and relevant past medical history (such as anxiety and/or depression). </w:t>
      </w:r>
      <w:r w:rsidRPr="00E02FD7">
        <w:rPr>
          <w:sz w:val="24"/>
          <w:szCs w:val="24"/>
        </w:rPr>
        <w:t xml:space="preserve">The number of unit discharges </w:t>
      </w:r>
      <w:r w:rsidR="000B7373" w:rsidRPr="00E02FD7">
        <w:rPr>
          <w:sz w:val="24"/>
          <w:szCs w:val="24"/>
        </w:rPr>
        <w:t xml:space="preserve">per day </w:t>
      </w:r>
      <w:r w:rsidRPr="00E02FD7">
        <w:rPr>
          <w:sz w:val="24"/>
          <w:szCs w:val="24"/>
        </w:rPr>
        <w:t>during the trial period and other feasibility data</w:t>
      </w:r>
      <w:r w:rsidR="000B7373" w:rsidRPr="00E02FD7">
        <w:rPr>
          <w:sz w:val="24"/>
          <w:szCs w:val="24"/>
        </w:rPr>
        <w:t>, such as comments received from staff</w:t>
      </w:r>
      <w:r w:rsidRPr="00E02FD7">
        <w:rPr>
          <w:sz w:val="24"/>
          <w:szCs w:val="24"/>
        </w:rPr>
        <w:t xml:space="preserve"> </w:t>
      </w:r>
      <w:r w:rsidR="000B7373" w:rsidRPr="00E02FD7">
        <w:rPr>
          <w:sz w:val="24"/>
          <w:szCs w:val="24"/>
        </w:rPr>
        <w:t xml:space="preserve">and challenges </w:t>
      </w:r>
      <w:r w:rsidR="00EA5185" w:rsidRPr="00E02FD7">
        <w:rPr>
          <w:sz w:val="24"/>
          <w:szCs w:val="24"/>
        </w:rPr>
        <w:t>associated with</w:t>
      </w:r>
      <w:r w:rsidR="000B7373" w:rsidRPr="00E02FD7">
        <w:rPr>
          <w:sz w:val="24"/>
          <w:szCs w:val="24"/>
        </w:rPr>
        <w:t xml:space="preserve"> intervention delivery </w:t>
      </w:r>
      <w:r w:rsidR="0006760A" w:rsidRPr="00E02FD7">
        <w:rPr>
          <w:sz w:val="24"/>
          <w:szCs w:val="24"/>
        </w:rPr>
        <w:t>kept</w:t>
      </w:r>
      <w:r w:rsidR="000B7373" w:rsidRPr="00E02FD7">
        <w:rPr>
          <w:sz w:val="24"/>
          <w:szCs w:val="24"/>
        </w:rPr>
        <w:t xml:space="preserve"> by the research nurse </w:t>
      </w:r>
      <w:r w:rsidRPr="00E02FD7">
        <w:rPr>
          <w:sz w:val="24"/>
          <w:szCs w:val="24"/>
        </w:rPr>
        <w:t xml:space="preserve">were also recorded. All completed </w:t>
      </w:r>
      <w:r w:rsidRPr="00E02FD7">
        <w:rPr>
          <w:bCs/>
          <w:sz w:val="24"/>
          <w:szCs w:val="24"/>
        </w:rPr>
        <w:t xml:space="preserve">discharge summaries </w:t>
      </w:r>
      <w:r w:rsidRPr="00E02FD7">
        <w:rPr>
          <w:sz w:val="24"/>
          <w:szCs w:val="24"/>
        </w:rPr>
        <w:t xml:space="preserve">were photocopied and retained. </w:t>
      </w:r>
    </w:p>
    <w:p w:rsidR="002C2F9A" w:rsidRPr="00E02FD7" w:rsidRDefault="003B7896" w:rsidP="00E02FD7">
      <w:pPr>
        <w:autoSpaceDE w:val="0"/>
        <w:autoSpaceDN w:val="0"/>
        <w:adjustRightInd w:val="0"/>
        <w:spacing w:line="480" w:lineRule="auto"/>
        <w:rPr>
          <w:b/>
          <w:sz w:val="24"/>
          <w:szCs w:val="24"/>
        </w:rPr>
      </w:pPr>
      <w:r w:rsidRPr="00E02FD7">
        <w:rPr>
          <w:b/>
          <w:sz w:val="24"/>
          <w:szCs w:val="24"/>
        </w:rPr>
        <w:t>Sample</w:t>
      </w:r>
    </w:p>
    <w:p w:rsidR="00BB67DB" w:rsidRPr="00E02FD7" w:rsidRDefault="003B7896" w:rsidP="00E02FD7">
      <w:pPr>
        <w:spacing w:line="480" w:lineRule="auto"/>
        <w:rPr>
          <w:sz w:val="24"/>
          <w:szCs w:val="24"/>
        </w:rPr>
      </w:pPr>
      <w:r w:rsidRPr="00E02FD7">
        <w:rPr>
          <w:sz w:val="24"/>
          <w:szCs w:val="24"/>
        </w:rPr>
        <w:t xml:space="preserve">Based on data from a previous RCT by Gammon &amp; Mulholland, which examined the effect of information giving on the HADS of a sample of </w:t>
      </w:r>
      <w:proofErr w:type="spellStart"/>
      <w:r w:rsidRPr="00E02FD7">
        <w:rPr>
          <w:sz w:val="24"/>
          <w:szCs w:val="24"/>
        </w:rPr>
        <w:t>peri</w:t>
      </w:r>
      <w:proofErr w:type="spellEnd"/>
      <w:r w:rsidRPr="00E02FD7">
        <w:rPr>
          <w:sz w:val="24"/>
          <w:szCs w:val="24"/>
        </w:rPr>
        <w:t>-operative patients [</w:t>
      </w:r>
      <w:r w:rsidR="00B34322" w:rsidRPr="00E02FD7">
        <w:rPr>
          <w:sz w:val="24"/>
          <w:szCs w:val="24"/>
        </w:rPr>
        <w:t>34</w:t>
      </w:r>
      <w:r w:rsidRPr="00E02FD7">
        <w:rPr>
          <w:sz w:val="24"/>
          <w:szCs w:val="24"/>
        </w:rPr>
        <w:t xml:space="preserve">], the sample size calculation for the present trial was carried out using G*Power 3.1.2. To detect a moderate effect size of 0.6 (mean difference of 3 units, SD 5) with a power of 80% and alpha set at 0.05, a minimum of 45 participants in each group were required. To account for attrition and the likely variation in </w:t>
      </w:r>
      <w:r w:rsidR="003A0392" w:rsidRPr="00E02FD7">
        <w:rPr>
          <w:sz w:val="24"/>
          <w:szCs w:val="24"/>
        </w:rPr>
        <w:t xml:space="preserve">ICU </w:t>
      </w:r>
      <w:r w:rsidRPr="00E02FD7">
        <w:rPr>
          <w:sz w:val="24"/>
          <w:szCs w:val="24"/>
        </w:rPr>
        <w:t xml:space="preserve">discharges in each cluster (discharge day), our accrual target was 50 participants in each of three study arms. </w:t>
      </w:r>
    </w:p>
    <w:p w:rsidR="00BB67DB" w:rsidRPr="00E02FD7" w:rsidRDefault="00F439E3" w:rsidP="00E02FD7">
      <w:pPr>
        <w:spacing w:line="480" w:lineRule="auto"/>
        <w:rPr>
          <w:rFonts w:eastAsia="Times New Roman" w:cs="Times New Roman"/>
          <w:noProof/>
          <w:sz w:val="24"/>
          <w:szCs w:val="24"/>
        </w:rPr>
      </w:pPr>
      <w:r w:rsidRPr="00E02FD7">
        <w:rPr>
          <w:sz w:val="24"/>
          <w:szCs w:val="24"/>
        </w:rPr>
        <w:t xml:space="preserve">Sample size was not based on an </w:t>
      </w:r>
      <w:r w:rsidR="00776B14" w:rsidRPr="00E02FD7">
        <w:rPr>
          <w:sz w:val="24"/>
          <w:szCs w:val="24"/>
        </w:rPr>
        <w:t>i</w:t>
      </w:r>
      <w:r w:rsidR="00BB67DB" w:rsidRPr="00E02FD7">
        <w:rPr>
          <w:sz w:val="24"/>
          <w:szCs w:val="24"/>
        </w:rPr>
        <w:t>ntra</w:t>
      </w:r>
      <w:r w:rsidR="00776B14" w:rsidRPr="00E02FD7">
        <w:rPr>
          <w:sz w:val="24"/>
          <w:szCs w:val="24"/>
        </w:rPr>
        <w:t>-</w:t>
      </w:r>
      <w:r w:rsidR="00BB67DB" w:rsidRPr="00E02FD7">
        <w:rPr>
          <w:sz w:val="24"/>
          <w:szCs w:val="24"/>
        </w:rPr>
        <w:t>cluster correlation (ICC) calculat</w:t>
      </w:r>
      <w:r w:rsidRPr="00E02FD7">
        <w:rPr>
          <w:sz w:val="24"/>
          <w:szCs w:val="24"/>
        </w:rPr>
        <w:t>ion</w:t>
      </w:r>
      <w:r w:rsidR="00BB67DB" w:rsidRPr="00E02FD7">
        <w:rPr>
          <w:sz w:val="24"/>
          <w:szCs w:val="24"/>
        </w:rPr>
        <w:t xml:space="preserve">, as insufficient information was available to determine the real extent of any homogeneity between clusters. </w:t>
      </w:r>
      <w:bookmarkStart w:id="1" w:name="_Toc359925631"/>
      <w:bookmarkStart w:id="2" w:name="_Toc359945439"/>
      <w:r w:rsidR="00BB67DB" w:rsidRPr="00E02FD7">
        <w:rPr>
          <w:rFonts w:eastAsia="Times New Roman" w:cs="Times New Roman"/>
          <w:sz w:val="24"/>
          <w:szCs w:val="24"/>
        </w:rPr>
        <w:t xml:space="preserve">As only those discharged on weekdays were recruited, it was anticipated that every day would produce a fairly similar and randomly determined clinical case load (local data 2010/11) thus limiting the likelihood of homogeneity (for example, similar diagnoses) within and heterogeneity (for example, care led by different medical teams) between clusters. </w:t>
      </w:r>
      <w:r w:rsidR="00BB67DB" w:rsidRPr="00E02FD7">
        <w:rPr>
          <w:rFonts w:eastAsia="Times New Roman" w:cs="Times New Roman"/>
          <w:noProof/>
          <w:sz w:val="24"/>
          <w:szCs w:val="24"/>
        </w:rPr>
        <w:t xml:space="preserve">The intervention </w:t>
      </w:r>
      <w:r w:rsidR="003D1FFB" w:rsidRPr="00E02FD7">
        <w:rPr>
          <w:rFonts w:eastAsia="Times New Roman" w:cs="Times New Roman"/>
          <w:noProof/>
          <w:sz w:val="24"/>
          <w:szCs w:val="24"/>
        </w:rPr>
        <w:t xml:space="preserve">for each cluster </w:t>
      </w:r>
      <w:r w:rsidR="00BB67DB" w:rsidRPr="00E02FD7">
        <w:rPr>
          <w:rFonts w:eastAsia="Times New Roman" w:cs="Times New Roman"/>
          <w:noProof/>
          <w:sz w:val="24"/>
          <w:szCs w:val="24"/>
        </w:rPr>
        <w:t xml:space="preserve">was also pre-allocated on a random basis, thus minimising (although not eradicating) the chance of clusters being homogenous. </w:t>
      </w:r>
      <w:bookmarkEnd w:id="1"/>
      <w:bookmarkEnd w:id="2"/>
    </w:p>
    <w:p w:rsidR="00F439E3" w:rsidRPr="00E02FD7" w:rsidRDefault="00F439E3" w:rsidP="00E02FD7">
      <w:pPr>
        <w:spacing w:line="480" w:lineRule="auto"/>
        <w:rPr>
          <w:rFonts w:ascii="Calibri" w:eastAsia="Times New Roman" w:hAnsi="Calibri" w:cs="Times New Roman"/>
          <w:noProof/>
          <w:sz w:val="24"/>
          <w:szCs w:val="24"/>
        </w:rPr>
      </w:pPr>
      <w:r w:rsidRPr="00E02FD7">
        <w:rPr>
          <w:rFonts w:ascii="Calibri" w:eastAsia="Times New Roman" w:hAnsi="Calibri" w:cs="Times New Roman"/>
          <w:noProof/>
          <w:sz w:val="24"/>
          <w:szCs w:val="24"/>
        </w:rPr>
        <w:t xml:space="preserve">There was no opportunity to influence cluster size and so, to maximise the chance of recruiting the required number of participants, data collection </w:t>
      </w:r>
      <w:r w:rsidR="009D6B65" w:rsidRPr="00E02FD7">
        <w:rPr>
          <w:rFonts w:ascii="Calibri" w:eastAsia="Times New Roman" w:hAnsi="Calibri" w:cs="Times New Roman"/>
          <w:noProof/>
          <w:sz w:val="24"/>
          <w:szCs w:val="24"/>
        </w:rPr>
        <w:t xml:space="preserve">was planned </w:t>
      </w:r>
      <w:r w:rsidRPr="00E02FD7">
        <w:rPr>
          <w:rFonts w:ascii="Calibri" w:eastAsia="Times New Roman" w:hAnsi="Calibri" w:cs="Times New Roman"/>
          <w:noProof/>
          <w:sz w:val="24"/>
          <w:szCs w:val="24"/>
        </w:rPr>
        <w:t xml:space="preserve">to continue for at least 132 days, providing 44 potential clusters in each of the three study arms, significantly greater than the minimum of five recommended by the </w:t>
      </w:r>
      <w:r w:rsidR="008B28A0" w:rsidRPr="00E02FD7">
        <w:rPr>
          <w:rFonts w:ascii="Calibri" w:eastAsia="Times New Roman" w:hAnsi="Calibri" w:cs="Times New Roman"/>
          <w:noProof/>
          <w:sz w:val="24"/>
          <w:szCs w:val="24"/>
        </w:rPr>
        <w:t xml:space="preserve">United Kingdom (UK)  </w:t>
      </w:r>
      <w:r w:rsidRPr="00E02FD7">
        <w:rPr>
          <w:rFonts w:ascii="Calibri" w:eastAsia="Times New Roman" w:hAnsi="Calibri" w:cs="Times New Roman"/>
          <w:noProof/>
          <w:sz w:val="24"/>
          <w:szCs w:val="24"/>
        </w:rPr>
        <w:t>M</w:t>
      </w:r>
      <w:r w:rsidR="008B28A0" w:rsidRPr="00E02FD7">
        <w:rPr>
          <w:rFonts w:ascii="Calibri" w:eastAsia="Times New Roman" w:hAnsi="Calibri" w:cs="Times New Roman"/>
          <w:noProof/>
          <w:sz w:val="24"/>
          <w:szCs w:val="24"/>
        </w:rPr>
        <w:t xml:space="preserve">edical Research Council </w:t>
      </w:r>
      <w:r w:rsidR="00C93C6A" w:rsidRPr="00E02FD7">
        <w:rPr>
          <w:rFonts w:ascii="Calibri" w:eastAsia="Times New Roman" w:hAnsi="Calibri" w:cs="Times New Roman"/>
          <w:noProof/>
          <w:sz w:val="24"/>
          <w:szCs w:val="24"/>
        </w:rPr>
        <w:t>[</w:t>
      </w:r>
      <w:r w:rsidR="00B34322" w:rsidRPr="00E02FD7">
        <w:rPr>
          <w:rFonts w:ascii="Calibri" w:eastAsia="Times New Roman" w:hAnsi="Calibri" w:cs="Times New Roman"/>
          <w:noProof/>
          <w:sz w:val="24"/>
          <w:szCs w:val="24"/>
        </w:rPr>
        <w:t>35</w:t>
      </w:r>
      <w:r w:rsidR="00C93C6A" w:rsidRPr="00E02FD7">
        <w:rPr>
          <w:rFonts w:ascii="Calibri" w:eastAsia="Times New Roman" w:hAnsi="Calibri" w:cs="Times New Roman"/>
          <w:noProof/>
          <w:sz w:val="24"/>
          <w:szCs w:val="24"/>
        </w:rPr>
        <w:t>].</w:t>
      </w:r>
    </w:p>
    <w:p w:rsidR="00DC2738" w:rsidRPr="00E02FD7" w:rsidRDefault="00DC2738" w:rsidP="00E02FD7">
      <w:pPr>
        <w:spacing w:line="480" w:lineRule="auto"/>
        <w:jc w:val="both"/>
        <w:rPr>
          <w:b/>
          <w:sz w:val="24"/>
          <w:szCs w:val="24"/>
        </w:rPr>
      </w:pPr>
      <w:r w:rsidRPr="00E02FD7">
        <w:rPr>
          <w:b/>
          <w:sz w:val="24"/>
          <w:szCs w:val="24"/>
        </w:rPr>
        <w:t>Randomi</w:t>
      </w:r>
      <w:r w:rsidR="00E04E13" w:rsidRPr="00E02FD7">
        <w:rPr>
          <w:b/>
          <w:sz w:val="24"/>
          <w:szCs w:val="24"/>
        </w:rPr>
        <w:t>z</w:t>
      </w:r>
      <w:r w:rsidRPr="00E02FD7">
        <w:rPr>
          <w:b/>
          <w:sz w:val="24"/>
          <w:szCs w:val="24"/>
        </w:rPr>
        <w:t>ation</w:t>
      </w:r>
    </w:p>
    <w:p w:rsidR="00F15CFC" w:rsidRPr="00E02FD7" w:rsidRDefault="00A118C5" w:rsidP="00E02FD7">
      <w:pPr>
        <w:spacing w:line="480" w:lineRule="auto"/>
        <w:rPr>
          <w:sz w:val="24"/>
          <w:szCs w:val="24"/>
        </w:rPr>
      </w:pPr>
      <w:r w:rsidRPr="00E02FD7">
        <w:rPr>
          <w:rFonts w:eastAsia="Times New Roman" w:cs="Times New Roman"/>
          <w:sz w:val="24"/>
          <w:szCs w:val="24"/>
        </w:rPr>
        <w:t xml:space="preserve">As described by Hayes &amp; </w:t>
      </w:r>
      <w:proofErr w:type="spellStart"/>
      <w:r w:rsidRPr="00E02FD7">
        <w:rPr>
          <w:rFonts w:eastAsia="Times New Roman" w:cs="Times New Roman"/>
          <w:sz w:val="24"/>
          <w:szCs w:val="24"/>
        </w:rPr>
        <w:t>Molton</w:t>
      </w:r>
      <w:proofErr w:type="spellEnd"/>
      <w:r w:rsidRPr="00E02FD7">
        <w:rPr>
          <w:rFonts w:eastAsia="Times New Roman" w:cs="Times New Roman"/>
          <w:sz w:val="24"/>
          <w:szCs w:val="24"/>
        </w:rPr>
        <w:t xml:space="preserve"> [</w:t>
      </w:r>
      <w:r w:rsidR="00D8698D" w:rsidRPr="00E02FD7">
        <w:rPr>
          <w:rFonts w:eastAsia="Times New Roman" w:cs="Times New Roman"/>
          <w:sz w:val="24"/>
          <w:szCs w:val="24"/>
        </w:rPr>
        <w:t>36</w:t>
      </w:r>
      <w:r w:rsidRPr="00E02FD7">
        <w:rPr>
          <w:rFonts w:eastAsia="Times New Roman" w:cs="Times New Roman"/>
          <w:sz w:val="24"/>
          <w:szCs w:val="24"/>
        </w:rPr>
        <w:t>], this trial used cluster randomiz</w:t>
      </w:r>
      <w:r w:rsidR="003D1FFB" w:rsidRPr="00E02FD7">
        <w:rPr>
          <w:rFonts w:eastAsia="Times New Roman" w:cs="Times New Roman"/>
          <w:sz w:val="24"/>
          <w:szCs w:val="24"/>
        </w:rPr>
        <w:t xml:space="preserve">ation for pragmatic reasons, with an aim to </w:t>
      </w:r>
      <w:r w:rsidR="00617921" w:rsidRPr="00E02FD7">
        <w:rPr>
          <w:sz w:val="24"/>
          <w:szCs w:val="24"/>
        </w:rPr>
        <w:t>reduce the risk of cross contamination between study arms</w:t>
      </w:r>
      <w:r w:rsidR="003D1FFB" w:rsidRPr="00E02FD7">
        <w:rPr>
          <w:sz w:val="24"/>
          <w:szCs w:val="24"/>
        </w:rPr>
        <w:t xml:space="preserve">. </w:t>
      </w:r>
      <w:r w:rsidR="00095690" w:rsidRPr="00E02FD7">
        <w:rPr>
          <w:sz w:val="24"/>
          <w:szCs w:val="24"/>
        </w:rPr>
        <w:t xml:space="preserve">All patient participants (and their relative where applicable) discharged from either ICU on a particular day (a cluster) were allocated to one of three study groups (Figure 1). </w:t>
      </w:r>
      <w:r w:rsidR="00F15CFC" w:rsidRPr="00E02FD7">
        <w:rPr>
          <w:sz w:val="24"/>
          <w:szCs w:val="24"/>
        </w:rPr>
        <w:t xml:space="preserve">Particular days </w:t>
      </w:r>
      <w:r w:rsidR="00BD4FA1" w:rsidRPr="00E02FD7">
        <w:rPr>
          <w:sz w:val="24"/>
          <w:szCs w:val="24"/>
        </w:rPr>
        <w:t xml:space="preserve">of the week </w:t>
      </w:r>
      <w:r w:rsidR="00F15CFC" w:rsidRPr="00E02FD7">
        <w:rPr>
          <w:sz w:val="24"/>
          <w:szCs w:val="24"/>
        </w:rPr>
        <w:t xml:space="preserve">were not allocated to specific arms; </w:t>
      </w:r>
      <w:r w:rsidR="00BD4FA1" w:rsidRPr="00E02FD7">
        <w:rPr>
          <w:sz w:val="24"/>
          <w:szCs w:val="24"/>
        </w:rPr>
        <w:t xml:space="preserve">instead </w:t>
      </w:r>
      <w:r w:rsidR="00F15CFC" w:rsidRPr="00E02FD7">
        <w:rPr>
          <w:sz w:val="24"/>
          <w:szCs w:val="24"/>
        </w:rPr>
        <w:t xml:space="preserve">each day was allocated to a study arm </w:t>
      </w:r>
      <w:r w:rsidR="00BD4FA1" w:rsidRPr="00E02FD7">
        <w:rPr>
          <w:sz w:val="24"/>
          <w:szCs w:val="24"/>
        </w:rPr>
        <w:t xml:space="preserve">and </w:t>
      </w:r>
      <w:r w:rsidR="00F15CFC" w:rsidRPr="00E02FD7">
        <w:rPr>
          <w:sz w:val="24"/>
          <w:szCs w:val="24"/>
        </w:rPr>
        <w:t>treated as a distinct cluster</w:t>
      </w:r>
      <w:r w:rsidR="00BD4FA1" w:rsidRPr="00E02FD7">
        <w:rPr>
          <w:sz w:val="24"/>
          <w:szCs w:val="24"/>
        </w:rPr>
        <w:t>; based on the allocation schedule</w:t>
      </w:r>
      <w:r w:rsidR="00F15CFC" w:rsidRPr="00E02FD7">
        <w:rPr>
          <w:sz w:val="24"/>
          <w:szCs w:val="24"/>
        </w:rPr>
        <w:t>.</w:t>
      </w:r>
    </w:p>
    <w:p w:rsidR="00095690" w:rsidRPr="00E02FD7" w:rsidRDefault="00095690" w:rsidP="00E02FD7">
      <w:pPr>
        <w:spacing w:line="480" w:lineRule="auto"/>
        <w:rPr>
          <w:sz w:val="24"/>
          <w:szCs w:val="24"/>
        </w:rPr>
      </w:pPr>
      <w:r w:rsidRPr="00E02FD7">
        <w:rPr>
          <w:sz w:val="24"/>
          <w:szCs w:val="24"/>
        </w:rPr>
        <w:t>To ensure that the sequence of allocation was not predictable, the day on which the intervention, control and attention control w</w:t>
      </w:r>
      <w:r w:rsidR="00FB17CC" w:rsidRPr="00E02FD7">
        <w:rPr>
          <w:sz w:val="24"/>
          <w:szCs w:val="24"/>
        </w:rPr>
        <w:t>as</w:t>
      </w:r>
      <w:r w:rsidRPr="00E02FD7">
        <w:rPr>
          <w:sz w:val="24"/>
          <w:szCs w:val="24"/>
        </w:rPr>
        <w:t xml:space="preserve"> used was randomly assigned using a computer generated random sequence, prepared by a statistician (PM). </w:t>
      </w:r>
      <w:r w:rsidR="00C140B6" w:rsidRPr="00E02FD7">
        <w:rPr>
          <w:sz w:val="24"/>
          <w:szCs w:val="24"/>
        </w:rPr>
        <w:t>This involved s</w:t>
      </w:r>
      <w:r w:rsidR="003E2CA1" w:rsidRPr="00E02FD7">
        <w:rPr>
          <w:sz w:val="24"/>
          <w:szCs w:val="24"/>
        </w:rPr>
        <w:t xml:space="preserve">imple randomization </w:t>
      </w:r>
      <w:r w:rsidR="00C140B6" w:rsidRPr="00E02FD7">
        <w:rPr>
          <w:sz w:val="24"/>
          <w:szCs w:val="24"/>
        </w:rPr>
        <w:t>with</w:t>
      </w:r>
      <w:r w:rsidR="003E2CA1" w:rsidRPr="00E02FD7">
        <w:rPr>
          <w:sz w:val="24"/>
          <w:szCs w:val="24"/>
        </w:rPr>
        <w:t xml:space="preserve"> n</w:t>
      </w:r>
      <w:r w:rsidRPr="00E02FD7">
        <w:rPr>
          <w:sz w:val="24"/>
          <w:szCs w:val="24"/>
        </w:rPr>
        <w:t>o blocking or stratification for defined variables.</w:t>
      </w:r>
    </w:p>
    <w:p w:rsidR="00617921" w:rsidRPr="00E02FD7" w:rsidRDefault="004F4E69" w:rsidP="00E02FD7">
      <w:pPr>
        <w:spacing w:line="480" w:lineRule="auto"/>
        <w:rPr>
          <w:sz w:val="24"/>
          <w:szCs w:val="24"/>
        </w:rPr>
      </w:pPr>
      <w:r w:rsidRPr="00E02FD7">
        <w:rPr>
          <w:sz w:val="24"/>
          <w:szCs w:val="24"/>
        </w:rPr>
        <w:t>T</w:t>
      </w:r>
      <w:r w:rsidR="00617921" w:rsidRPr="00E02FD7">
        <w:rPr>
          <w:sz w:val="24"/>
          <w:szCs w:val="24"/>
        </w:rPr>
        <w:t xml:space="preserve">he allocation schedule was prepared by persons independent of the trial and concealed </w:t>
      </w:r>
      <w:r w:rsidR="00D25E28" w:rsidRPr="00E02FD7">
        <w:rPr>
          <w:sz w:val="24"/>
          <w:szCs w:val="24"/>
        </w:rPr>
        <w:t xml:space="preserve">by </w:t>
      </w:r>
      <w:r w:rsidR="00095690" w:rsidRPr="00E02FD7">
        <w:rPr>
          <w:sz w:val="24"/>
          <w:szCs w:val="24"/>
        </w:rPr>
        <w:t xml:space="preserve">being </w:t>
      </w:r>
      <w:r w:rsidR="00D25E28" w:rsidRPr="00E02FD7">
        <w:rPr>
          <w:sz w:val="24"/>
          <w:szCs w:val="24"/>
        </w:rPr>
        <w:t>wrapp</w:t>
      </w:r>
      <w:r w:rsidR="00095690" w:rsidRPr="00E02FD7">
        <w:rPr>
          <w:sz w:val="24"/>
          <w:szCs w:val="24"/>
        </w:rPr>
        <w:t>ed</w:t>
      </w:r>
      <w:r w:rsidR="00D25E28" w:rsidRPr="00E02FD7">
        <w:rPr>
          <w:sz w:val="24"/>
          <w:szCs w:val="24"/>
        </w:rPr>
        <w:t xml:space="preserve"> in a blank piece of paper and plac</w:t>
      </w:r>
      <w:r w:rsidR="00095690" w:rsidRPr="00E02FD7">
        <w:rPr>
          <w:sz w:val="24"/>
          <w:szCs w:val="24"/>
        </w:rPr>
        <w:t>ed</w:t>
      </w:r>
      <w:r w:rsidR="00D25E28" w:rsidRPr="00E02FD7">
        <w:rPr>
          <w:sz w:val="24"/>
          <w:szCs w:val="24"/>
        </w:rPr>
        <w:t xml:space="preserve"> inside sequentially numbered, </w:t>
      </w:r>
      <w:r w:rsidR="00617921" w:rsidRPr="00E02FD7">
        <w:rPr>
          <w:sz w:val="24"/>
          <w:szCs w:val="24"/>
        </w:rPr>
        <w:t>sealed envelopes</w:t>
      </w:r>
      <w:r w:rsidR="003E2CA1" w:rsidRPr="00E02FD7">
        <w:rPr>
          <w:sz w:val="24"/>
          <w:szCs w:val="24"/>
        </w:rPr>
        <w:t>.</w:t>
      </w:r>
      <w:r w:rsidR="00617921" w:rsidRPr="00E02FD7">
        <w:rPr>
          <w:sz w:val="24"/>
          <w:szCs w:val="24"/>
        </w:rPr>
        <w:t xml:space="preserve"> </w:t>
      </w:r>
      <w:r w:rsidR="00D25E28" w:rsidRPr="00E02FD7">
        <w:rPr>
          <w:sz w:val="24"/>
          <w:szCs w:val="24"/>
        </w:rPr>
        <w:t xml:space="preserve">These envelopes were </w:t>
      </w:r>
      <w:r w:rsidR="00095690" w:rsidRPr="00E02FD7">
        <w:rPr>
          <w:sz w:val="24"/>
          <w:szCs w:val="24"/>
        </w:rPr>
        <w:t xml:space="preserve">signed across the seal and </w:t>
      </w:r>
      <w:r w:rsidR="00D25E28" w:rsidRPr="00E02FD7">
        <w:rPr>
          <w:sz w:val="24"/>
          <w:szCs w:val="24"/>
        </w:rPr>
        <w:t>opened by the research nurse</w:t>
      </w:r>
      <w:r w:rsidR="00095690" w:rsidRPr="00E02FD7">
        <w:rPr>
          <w:sz w:val="24"/>
          <w:szCs w:val="24"/>
        </w:rPr>
        <w:t xml:space="preserve"> (KH), in the presence of another member of the research team, </w:t>
      </w:r>
      <w:r w:rsidR="00D25E28" w:rsidRPr="00E02FD7">
        <w:rPr>
          <w:sz w:val="24"/>
          <w:szCs w:val="24"/>
        </w:rPr>
        <w:t xml:space="preserve">only after a </w:t>
      </w:r>
      <w:r w:rsidR="00095690" w:rsidRPr="00E02FD7">
        <w:rPr>
          <w:sz w:val="24"/>
          <w:szCs w:val="24"/>
        </w:rPr>
        <w:t xml:space="preserve">recruited </w:t>
      </w:r>
      <w:r w:rsidR="00D25E28" w:rsidRPr="00E02FD7">
        <w:rPr>
          <w:sz w:val="24"/>
          <w:szCs w:val="24"/>
        </w:rPr>
        <w:t xml:space="preserve">patient </w:t>
      </w:r>
      <w:r w:rsidR="00095690" w:rsidRPr="00E02FD7">
        <w:rPr>
          <w:sz w:val="24"/>
          <w:szCs w:val="24"/>
        </w:rPr>
        <w:t>was</w:t>
      </w:r>
      <w:r w:rsidR="00D25E28" w:rsidRPr="00E02FD7">
        <w:rPr>
          <w:sz w:val="24"/>
          <w:szCs w:val="24"/>
        </w:rPr>
        <w:t xml:space="preserve"> identified for discharge to the ward on a particular day. </w:t>
      </w:r>
      <w:r w:rsidR="00095690" w:rsidRPr="00E02FD7">
        <w:rPr>
          <w:sz w:val="24"/>
          <w:szCs w:val="24"/>
        </w:rPr>
        <w:t xml:space="preserve">The </w:t>
      </w:r>
      <w:r w:rsidR="003E2CA1" w:rsidRPr="00E02FD7">
        <w:rPr>
          <w:sz w:val="24"/>
          <w:szCs w:val="24"/>
        </w:rPr>
        <w:t xml:space="preserve">clinical </w:t>
      </w:r>
      <w:r w:rsidR="00095690" w:rsidRPr="00E02FD7">
        <w:rPr>
          <w:sz w:val="24"/>
          <w:szCs w:val="24"/>
        </w:rPr>
        <w:t>ICU staff</w:t>
      </w:r>
      <w:r w:rsidR="00F418E6" w:rsidRPr="00E02FD7">
        <w:rPr>
          <w:sz w:val="24"/>
          <w:szCs w:val="24"/>
        </w:rPr>
        <w:t xml:space="preserve"> </w:t>
      </w:r>
      <w:r w:rsidR="00617921" w:rsidRPr="00E02FD7">
        <w:rPr>
          <w:sz w:val="24"/>
          <w:szCs w:val="24"/>
        </w:rPr>
        <w:t xml:space="preserve">only became aware of </w:t>
      </w:r>
      <w:r w:rsidR="00BD60B9" w:rsidRPr="00E02FD7">
        <w:rPr>
          <w:sz w:val="24"/>
          <w:szCs w:val="24"/>
        </w:rPr>
        <w:t xml:space="preserve">which study group the patient was allocated to </w:t>
      </w:r>
      <w:r w:rsidR="00CE6B2C" w:rsidRPr="00E02FD7">
        <w:rPr>
          <w:sz w:val="24"/>
          <w:szCs w:val="24"/>
        </w:rPr>
        <w:t xml:space="preserve">when </w:t>
      </w:r>
      <w:r w:rsidR="00EA5185" w:rsidRPr="00E02FD7">
        <w:rPr>
          <w:sz w:val="24"/>
          <w:szCs w:val="24"/>
        </w:rPr>
        <w:t xml:space="preserve">the </w:t>
      </w:r>
      <w:r w:rsidR="00095690" w:rsidRPr="00E02FD7">
        <w:rPr>
          <w:sz w:val="24"/>
          <w:szCs w:val="24"/>
        </w:rPr>
        <w:t xml:space="preserve">bedside nurse </w:t>
      </w:r>
      <w:r w:rsidR="003E2CA1" w:rsidRPr="00E02FD7">
        <w:rPr>
          <w:sz w:val="24"/>
          <w:szCs w:val="24"/>
        </w:rPr>
        <w:t xml:space="preserve">was provided with a </w:t>
      </w:r>
      <w:r w:rsidR="00D25E28" w:rsidRPr="00E02FD7">
        <w:rPr>
          <w:sz w:val="24"/>
          <w:szCs w:val="24"/>
        </w:rPr>
        <w:t xml:space="preserve">study </w:t>
      </w:r>
      <w:r w:rsidR="00EA5185" w:rsidRPr="00E02FD7">
        <w:rPr>
          <w:sz w:val="24"/>
          <w:szCs w:val="24"/>
        </w:rPr>
        <w:t xml:space="preserve">pack to </w:t>
      </w:r>
      <w:r w:rsidR="00D25E28" w:rsidRPr="00E02FD7">
        <w:rPr>
          <w:sz w:val="24"/>
          <w:szCs w:val="24"/>
        </w:rPr>
        <w:t>give</w:t>
      </w:r>
      <w:r w:rsidR="00617921" w:rsidRPr="00E02FD7">
        <w:rPr>
          <w:sz w:val="24"/>
          <w:szCs w:val="24"/>
        </w:rPr>
        <w:t xml:space="preserve"> to the patient</w:t>
      </w:r>
      <w:r w:rsidR="00D25E28" w:rsidRPr="00E02FD7">
        <w:rPr>
          <w:sz w:val="24"/>
          <w:szCs w:val="24"/>
        </w:rPr>
        <w:t>. A</w:t>
      </w:r>
      <w:r w:rsidR="00617921" w:rsidRPr="00E02FD7">
        <w:rPr>
          <w:sz w:val="24"/>
          <w:szCs w:val="24"/>
        </w:rPr>
        <w:t xml:space="preserve">llocation </w:t>
      </w:r>
      <w:r w:rsidR="00D25E28" w:rsidRPr="00E02FD7">
        <w:rPr>
          <w:sz w:val="24"/>
          <w:szCs w:val="24"/>
        </w:rPr>
        <w:t xml:space="preserve">concealment for </w:t>
      </w:r>
      <w:r w:rsidR="003E2CA1" w:rsidRPr="00E02FD7">
        <w:rPr>
          <w:sz w:val="24"/>
          <w:szCs w:val="24"/>
        </w:rPr>
        <w:t xml:space="preserve">the whole </w:t>
      </w:r>
      <w:r w:rsidR="00D25E28" w:rsidRPr="00E02FD7">
        <w:rPr>
          <w:sz w:val="24"/>
          <w:szCs w:val="24"/>
        </w:rPr>
        <w:t xml:space="preserve">cluster was revealed after the first envelope was opened </w:t>
      </w:r>
      <w:r w:rsidR="00095690" w:rsidRPr="00E02FD7">
        <w:rPr>
          <w:sz w:val="24"/>
          <w:szCs w:val="24"/>
        </w:rPr>
        <w:t xml:space="preserve">on any </w:t>
      </w:r>
      <w:r w:rsidR="00D25E28" w:rsidRPr="00E02FD7">
        <w:rPr>
          <w:sz w:val="24"/>
          <w:szCs w:val="24"/>
        </w:rPr>
        <w:t>day</w:t>
      </w:r>
      <w:r w:rsidR="00617921" w:rsidRPr="00E02FD7">
        <w:rPr>
          <w:sz w:val="24"/>
          <w:szCs w:val="24"/>
        </w:rPr>
        <w:t>.</w:t>
      </w:r>
    </w:p>
    <w:p w:rsidR="00E57218" w:rsidRPr="00E02FD7" w:rsidRDefault="00E57218" w:rsidP="00E02FD7">
      <w:pPr>
        <w:spacing w:line="480" w:lineRule="auto"/>
        <w:outlineLvl w:val="0"/>
        <w:rPr>
          <w:b/>
          <w:sz w:val="24"/>
          <w:szCs w:val="24"/>
        </w:rPr>
      </w:pPr>
      <w:r w:rsidRPr="00E02FD7">
        <w:rPr>
          <w:b/>
          <w:sz w:val="24"/>
          <w:szCs w:val="24"/>
        </w:rPr>
        <w:t>Blinding</w:t>
      </w:r>
    </w:p>
    <w:p w:rsidR="00E57218" w:rsidRPr="00E02FD7" w:rsidRDefault="00E57218" w:rsidP="00E02FD7">
      <w:pPr>
        <w:spacing w:line="480" w:lineRule="auto"/>
        <w:rPr>
          <w:sz w:val="24"/>
          <w:szCs w:val="24"/>
        </w:rPr>
      </w:pPr>
      <w:r w:rsidRPr="00E02FD7">
        <w:rPr>
          <w:sz w:val="24"/>
          <w:szCs w:val="24"/>
        </w:rPr>
        <w:t xml:space="preserve">It was not possible to achieve full blinding during this trial as intervention delivery required input by </w:t>
      </w:r>
      <w:r w:rsidR="00776B14" w:rsidRPr="00E02FD7">
        <w:rPr>
          <w:sz w:val="24"/>
          <w:szCs w:val="24"/>
        </w:rPr>
        <w:t xml:space="preserve">health care staff </w:t>
      </w:r>
      <w:r w:rsidRPr="00E02FD7">
        <w:rPr>
          <w:sz w:val="24"/>
          <w:szCs w:val="24"/>
        </w:rPr>
        <w:t xml:space="preserve">and trial participants. Those </w:t>
      </w:r>
      <w:r w:rsidR="005F6879" w:rsidRPr="00E02FD7">
        <w:rPr>
          <w:sz w:val="24"/>
          <w:szCs w:val="24"/>
        </w:rPr>
        <w:t xml:space="preserve">collecting and </w:t>
      </w:r>
      <w:r w:rsidRPr="00E02FD7">
        <w:rPr>
          <w:sz w:val="24"/>
          <w:szCs w:val="24"/>
        </w:rPr>
        <w:t>analysing data were</w:t>
      </w:r>
      <w:r w:rsidR="005F6879" w:rsidRPr="00E02FD7">
        <w:rPr>
          <w:sz w:val="24"/>
          <w:szCs w:val="24"/>
        </w:rPr>
        <w:t>, however, blinded</w:t>
      </w:r>
      <w:r w:rsidRPr="00E02FD7">
        <w:rPr>
          <w:sz w:val="24"/>
          <w:szCs w:val="24"/>
        </w:rPr>
        <w:t xml:space="preserve"> by the use of codes, which were not broken until after data analysis. </w:t>
      </w:r>
      <w:r w:rsidR="00BD60B9" w:rsidRPr="00E02FD7">
        <w:rPr>
          <w:sz w:val="24"/>
          <w:szCs w:val="24"/>
        </w:rPr>
        <w:t>B</w:t>
      </w:r>
      <w:r w:rsidR="00310E7B" w:rsidRPr="00E02FD7">
        <w:rPr>
          <w:sz w:val="24"/>
          <w:szCs w:val="24"/>
        </w:rPr>
        <w:t xml:space="preserve">linding was compromised if participants revealed their information pack to the data collector. </w:t>
      </w:r>
      <w:r w:rsidR="009B1B18" w:rsidRPr="00E02FD7">
        <w:rPr>
          <w:sz w:val="24"/>
          <w:szCs w:val="24"/>
        </w:rPr>
        <w:t xml:space="preserve">In most instances, however, as all participants received a folder, identical on the outside, data collectors (SB/TD) </w:t>
      </w:r>
      <w:r w:rsidR="00C140B6" w:rsidRPr="00E02FD7">
        <w:rPr>
          <w:sz w:val="24"/>
          <w:szCs w:val="24"/>
        </w:rPr>
        <w:t xml:space="preserve">remained </w:t>
      </w:r>
      <w:r w:rsidR="009B1B18" w:rsidRPr="00E02FD7">
        <w:rPr>
          <w:sz w:val="24"/>
          <w:szCs w:val="24"/>
        </w:rPr>
        <w:t>blinded to the allocation.</w:t>
      </w:r>
    </w:p>
    <w:p w:rsidR="00C81738" w:rsidRDefault="00C81738" w:rsidP="00E02FD7">
      <w:pPr>
        <w:spacing w:line="480" w:lineRule="auto"/>
        <w:outlineLvl w:val="0"/>
        <w:rPr>
          <w:b/>
          <w:sz w:val="24"/>
          <w:szCs w:val="24"/>
        </w:rPr>
      </w:pPr>
    </w:p>
    <w:p w:rsidR="00F5306A" w:rsidRPr="00E02FD7" w:rsidRDefault="00F5306A" w:rsidP="00E02FD7">
      <w:pPr>
        <w:spacing w:line="480" w:lineRule="auto"/>
        <w:outlineLvl w:val="0"/>
        <w:rPr>
          <w:b/>
          <w:sz w:val="24"/>
          <w:szCs w:val="24"/>
        </w:rPr>
      </w:pPr>
      <w:r w:rsidRPr="00E02FD7">
        <w:rPr>
          <w:b/>
          <w:sz w:val="24"/>
          <w:szCs w:val="24"/>
        </w:rPr>
        <w:t xml:space="preserve">Statistical </w:t>
      </w:r>
      <w:r w:rsidR="003D1FFB" w:rsidRPr="00E02FD7">
        <w:rPr>
          <w:b/>
          <w:sz w:val="24"/>
          <w:szCs w:val="24"/>
        </w:rPr>
        <w:t>methods</w:t>
      </w:r>
    </w:p>
    <w:p w:rsidR="00AB4697" w:rsidRPr="00E02FD7" w:rsidRDefault="00285A6B" w:rsidP="00E02FD7">
      <w:pPr>
        <w:spacing w:line="480" w:lineRule="auto"/>
        <w:rPr>
          <w:sz w:val="24"/>
          <w:szCs w:val="24"/>
        </w:rPr>
      </w:pPr>
      <w:r w:rsidRPr="00E02FD7">
        <w:rPr>
          <w:sz w:val="24"/>
          <w:szCs w:val="24"/>
        </w:rPr>
        <w:t>Data analysis</w:t>
      </w:r>
      <w:r w:rsidR="00DC0822" w:rsidRPr="00E02FD7">
        <w:rPr>
          <w:sz w:val="24"/>
          <w:szCs w:val="24"/>
        </w:rPr>
        <w:t xml:space="preserve"> was based on an ‘intention to treat’ strategy </w:t>
      </w:r>
      <w:r w:rsidR="00707CBA" w:rsidRPr="00E02FD7">
        <w:rPr>
          <w:sz w:val="24"/>
          <w:szCs w:val="24"/>
        </w:rPr>
        <w:t>[</w:t>
      </w:r>
      <w:r w:rsidR="00D8698D" w:rsidRPr="00E02FD7">
        <w:rPr>
          <w:sz w:val="24"/>
          <w:szCs w:val="24"/>
        </w:rPr>
        <w:t>37</w:t>
      </w:r>
      <w:r w:rsidR="00707CBA" w:rsidRPr="00E02FD7">
        <w:rPr>
          <w:sz w:val="24"/>
          <w:szCs w:val="24"/>
        </w:rPr>
        <w:t>]</w:t>
      </w:r>
      <w:r w:rsidR="00776B14" w:rsidRPr="00E02FD7">
        <w:rPr>
          <w:sz w:val="24"/>
          <w:szCs w:val="24"/>
        </w:rPr>
        <w:t xml:space="preserve"> and s</w:t>
      </w:r>
      <w:r w:rsidR="00DC0822" w:rsidRPr="00E02FD7">
        <w:rPr>
          <w:sz w:val="24"/>
          <w:szCs w:val="24"/>
        </w:rPr>
        <w:t xml:space="preserve">tatistical significance was set at </w:t>
      </w:r>
      <w:r w:rsidR="00DC0822" w:rsidRPr="00E02FD7">
        <w:rPr>
          <w:i/>
          <w:sz w:val="24"/>
          <w:szCs w:val="24"/>
        </w:rPr>
        <w:t>p</w:t>
      </w:r>
      <w:r w:rsidR="00180B7F" w:rsidRPr="00E02FD7">
        <w:rPr>
          <w:i/>
          <w:sz w:val="24"/>
          <w:szCs w:val="24"/>
        </w:rPr>
        <w:t xml:space="preserve"> </w:t>
      </w:r>
      <w:r w:rsidR="003A0392" w:rsidRPr="00E02FD7">
        <w:rPr>
          <w:sz w:val="24"/>
          <w:szCs w:val="24"/>
        </w:rPr>
        <w:t>≤</w:t>
      </w:r>
      <w:r w:rsidR="00DC0822" w:rsidRPr="00E02FD7">
        <w:rPr>
          <w:sz w:val="24"/>
          <w:szCs w:val="24"/>
        </w:rPr>
        <w:t xml:space="preserve"> 0.05. Average values for sample char</w:t>
      </w:r>
      <w:r w:rsidR="00C43613" w:rsidRPr="00E02FD7">
        <w:rPr>
          <w:sz w:val="24"/>
          <w:szCs w:val="24"/>
        </w:rPr>
        <w:t>acteristics, HADS, BCOPE</w:t>
      </w:r>
      <w:r w:rsidR="00D8698D" w:rsidRPr="00E02FD7">
        <w:rPr>
          <w:sz w:val="24"/>
          <w:szCs w:val="24"/>
        </w:rPr>
        <w:t xml:space="preserve">, </w:t>
      </w:r>
      <w:r w:rsidR="00C43613" w:rsidRPr="00E02FD7">
        <w:rPr>
          <w:sz w:val="24"/>
          <w:szCs w:val="24"/>
        </w:rPr>
        <w:t>PEI</w:t>
      </w:r>
      <w:r w:rsidR="00DC0822" w:rsidRPr="00E02FD7">
        <w:rPr>
          <w:sz w:val="24"/>
          <w:szCs w:val="24"/>
        </w:rPr>
        <w:t xml:space="preserve"> scores </w:t>
      </w:r>
      <w:r w:rsidR="00D8698D" w:rsidRPr="00E02FD7">
        <w:rPr>
          <w:sz w:val="24"/>
          <w:szCs w:val="24"/>
        </w:rPr>
        <w:t xml:space="preserve">and questionnaire responses </w:t>
      </w:r>
      <w:r w:rsidR="00DC0822" w:rsidRPr="00E02FD7">
        <w:rPr>
          <w:sz w:val="24"/>
          <w:szCs w:val="24"/>
        </w:rPr>
        <w:t xml:space="preserve">in each of the study groups were compared using </w:t>
      </w:r>
      <w:r w:rsidR="003038FF" w:rsidRPr="00E02FD7">
        <w:rPr>
          <w:sz w:val="24"/>
          <w:szCs w:val="24"/>
        </w:rPr>
        <w:t>C</w:t>
      </w:r>
      <w:r w:rsidR="00075300" w:rsidRPr="00E02FD7">
        <w:rPr>
          <w:sz w:val="24"/>
          <w:szCs w:val="24"/>
        </w:rPr>
        <w:t>hi-square (</w:t>
      </w:r>
      <w:r w:rsidR="00075300" w:rsidRPr="00E02FD7">
        <w:rPr>
          <w:i/>
          <w:sz w:val="24"/>
          <w:szCs w:val="24"/>
        </w:rPr>
        <w:t>χ</w:t>
      </w:r>
      <w:r w:rsidR="00075300" w:rsidRPr="00E02FD7">
        <w:rPr>
          <w:i/>
          <w:sz w:val="24"/>
          <w:szCs w:val="24"/>
          <w:vertAlign w:val="superscript"/>
        </w:rPr>
        <w:t>2</w:t>
      </w:r>
      <w:r w:rsidR="00075300" w:rsidRPr="00E02FD7">
        <w:rPr>
          <w:sz w:val="24"/>
          <w:szCs w:val="24"/>
        </w:rPr>
        <w:t xml:space="preserve">) for categorical data and </w:t>
      </w:r>
      <w:proofErr w:type="spellStart"/>
      <w:r w:rsidR="00776B14" w:rsidRPr="00E02FD7">
        <w:rPr>
          <w:sz w:val="24"/>
          <w:szCs w:val="24"/>
        </w:rPr>
        <w:t>K</w:t>
      </w:r>
      <w:r w:rsidR="00075300" w:rsidRPr="00E02FD7">
        <w:rPr>
          <w:sz w:val="24"/>
          <w:szCs w:val="24"/>
        </w:rPr>
        <w:t>ruskal</w:t>
      </w:r>
      <w:proofErr w:type="spellEnd"/>
      <w:r w:rsidR="00075300" w:rsidRPr="00E02FD7">
        <w:rPr>
          <w:sz w:val="24"/>
          <w:szCs w:val="24"/>
        </w:rPr>
        <w:t xml:space="preserve"> </w:t>
      </w:r>
      <w:proofErr w:type="spellStart"/>
      <w:proofErr w:type="gramStart"/>
      <w:r w:rsidR="00322ABF" w:rsidRPr="00E02FD7">
        <w:rPr>
          <w:sz w:val="24"/>
          <w:szCs w:val="24"/>
        </w:rPr>
        <w:t>w</w:t>
      </w:r>
      <w:r w:rsidR="00075300" w:rsidRPr="00E02FD7">
        <w:rPr>
          <w:sz w:val="24"/>
          <w:szCs w:val="24"/>
        </w:rPr>
        <w:t>allis</w:t>
      </w:r>
      <w:proofErr w:type="spellEnd"/>
      <w:proofErr w:type="gramEnd"/>
      <w:r w:rsidR="00075300" w:rsidRPr="00E02FD7">
        <w:rPr>
          <w:sz w:val="24"/>
          <w:szCs w:val="24"/>
        </w:rPr>
        <w:t xml:space="preserve"> (</w:t>
      </w:r>
      <w:r w:rsidR="00075300" w:rsidRPr="00E02FD7">
        <w:rPr>
          <w:i/>
          <w:sz w:val="24"/>
          <w:szCs w:val="24"/>
        </w:rPr>
        <w:t>H</w:t>
      </w:r>
      <w:r w:rsidR="00075300" w:rsidRPr="00E02FD7">
        <w:rPr>
          <w:sz w:val="24"/>
          <w:szCs w:val="24"/>
        </w:rPr>
        <w:t xml:space="preserve">), </w:t>
      </w:r>
      <w:r w:rsidR="00C324BF" w:rsidRPr="00E02FD7">
        <w:rPr>
          <w:sz w:val="24"/>
          <w:szCs w:val="24"/>
        </w:rPr>
        <w:t xml:space="preserve">for data of </w:t>
      </w:r>
      <w:r w:rsidR="00075300" w:rsidRPr="00E02FD7">
        <w:rPr>
          <w:sz w:val="24"/>
          <w:szCs w:val="24"/>
        </w:rPr>
        <w:t xml:space="preserve">at least ordinal level. In addition, </w:t>
      </w:r>
      <w:r w:rsidR="00776B14" w:rsidRPr="00E02FD7">
        <w:rPr>
          <w:sz w:val="24"/>
          <w:szCs w:val="24"/>
        </w:rPr>
        <w:t>F</w:t>
      </w:r>
      <w:r w:rsidR="00075300" w:rsidRPr="00E02FD7">
        <w:rPr>
          <w:sz w:val="24"/>
          <w:szCs w:val="24"/>
        </w:rPr>
        <w:t>riedman’s test (</w:t>
      </w:r>
      <w:r w:rsidR="00075300" w:rsidRPr="00E02FD7">
        <w:rPr>
          <w:i/>
          <w:sz w:val="24"/>
          <w:szCs w:val="24"/>
        </w:rPr>
        <w:t>χ</w:t>
      </w:r>
      <w:r w:rsidR="00075300" w:rsidRPr="00E02FD7">
        <w:rPr>
          <w:i/>
          <w:sz w:val="24"/>
          <w:szCs w:val="24"/>
          <w:vertAlign w:val="superscript"/>
        </w:rPr>
        <w:t>2</w:t>
      </w:r>
      <w:r w:rsidR="00075300" w:rsidRPr="00E02FD7">
        <w:rPr>
          <w:i/>
          <w:sz w:val="24"/>
          <w:szCs w:val="24"/>
        </w:rPr>
        <w:t>r</w:t>
      </w:r>
      <w:r w:rsidR="00075300" w:rsidRPr="00E02FD7">
        <w:rPr>
          <w:sz w:val="24"/>
          <w:szCs w:val="24"/>
        </w:rPr>
        <w:t xml:space="preserve">) was used to explore associations between the different types of coping. </w:t>
      </w:r>
      <w:r w:rsidR="00AB4697" w:rsidRPr="00E02FD7">
        <w:rPr>
          <w:sz w:val="24"/>
          <w:szCs w:val="24"/>
        </w:rPr>
        <w:t xml:space="preserve">Difference in HADS (the primary outcome) between the three study groups was also tested using the Statistical Analysis System (SAS) version 9.3 (SAS Institute </w:t>
      </w:r>
      <w:proofErr w:type="spellStart"/>
      <w:r w:rsidR="00AB4697" w:rsidRPr="00E02FD7">
        <w:rPr>
          <w:sz w:val="24"/>
          <w:szCs w:val="24"/>
        </w:rPr>
        <w:t>Inc.</w:t>
      </w:r>
      <w:proofErr w:type="gramStart"/>
      <w:r w:rsidR="00AB4697" w:rsidRPr="00E02FD7">
        <w:rPr>
          <w:sz w:val="24"/>
          <w:szCs w:val="24"/>
        </w:rPr>
        <w:t>,Cary</w:t>
      </w:r>
      <w:proofErr w:type="spellEnd"/>
      <w:proofErr w:type="gramEnd"/>
      <w:r w:rsidR="00AB4697" w:rsidRPr="00E02FD7">
        <w:rPr>
          <w:sz w:val="24"/>
          <w:szCs w:val="24"/>
        </w:rPr>
        <w:t xml:space="preserve">, NC, USA) Generalised Mixed Models procedure (GLIMMIX) that adjusted for clustering (by fitting a random intercepts model) and recruitment week-day. At time-point </w:t>
      </w:r>
      <w:r w:rsidR="00C140B6" w:rsidRPr="00E02FD7">
        <w:rPr>
          <w:sz w:val="24"/>
          <w:szCs w:val="24"/>
        </w:rPr>
        <w:t>two</w:t>
      </w:r>
      <w:r w:rsidR="00AB4697" w:rsidRPr="00E02FD7">
        <w:rPr>
          <w:sz w:val="24"/>
          <w:szCs w:val="24"/>
        </w:rPr>
        <w:t xml:space="preserve"> it was not possible to fit random intercepts because the G-side matrix was always not positive definite. We followed the CONSORT guidance and did not conduct baseline </w:t>
      </w:r>
      <w:r w:rsidR="00900E6E" w:rsidRPr="00E02FD7">
        <w:rPr>
          <w:sz w:val="24"/>
          <w:szCs w:val="24"/>
        </w:rPr>
        <w:t xml:space="preserve">statistical </w:t>
      </w:r>
      <w:r w:rsidR="00AB4697" w:rsidRPr="00E02FD7">
        <w:rPr>
          <w:sz w:val="24"/>
          <w:szCs w:val="24"/>
        </w:rPr>
        <w:t>comparisons between study groups</w:t>
      </w:r>
      <w:r w:rsidR="00A124DE" w:rsidRPr="00E02FD7">
        <w:rPr>
          <w:sz w:val="24"/>
          <w:szCs w:val="24"/>
        </w:rPr>
        <w:t xml:space="preserve"> [38]</w:t>
      </w:r>
      <w:r w:rsidR="00AB4697" w:rsidRPr="00E02FD7">
        <w:rPr>
          <w:sz w:val="24"/>
          <w:szCs w:val="24"/>
        </w:rPr>
        <w:t>.</w:t>
      </w:r>
    </w:p>
    <w:p w:rsidR="00C140B6" w:rsidRPr="00E02FD7" w:rsidRDefault="00C140B6" w:rsidP="00E02FD7">
      <w:pPr>
        <w:spacing w:line="480" w:lineRule="auto"/>
        <w:outlineLvl w:val="0"/>
        <w:rPr>
          <w:sz w:val="24"/>
          <w:szCs w:val="24"/>
        </w:rPr>
      </w:pPr>
      <w:r w:rsidRPr="00E02FD7">
        <w:rPr>
          <w:sz w:val="24"/>
          <w:szCs w:val="24"/>
        </w:rPr>
        <w:t>This paper reports outcome data from the patient participants only, with reference to the demographics and attrition data collected from the sample of relatives.</w:t>
      </w:r>
    </w:p>
    <w:p w:rsidR="00F5306A" w:rsidRPr="00E02FD7" w:rsidRDefault="0004113F" w:rsidP="00E02FD7">
      <w:pPr>
        <w:spacing w:line="480" w:lineRule="auto"/>
        <w:outlineLvl w:val="0"/>
        <w:rPr>
          <w:b/>
          <w:sz w:val="24"/>
          <w:szCs w:val="24"/>
        </w:rPr>
      </w:pPr>
      <w:r w:rsidRPr="00E02FD7">
        <w:rPr>
          <w:b/>
          <w:sz w:val="24"/>
          <w:szCs w:val="24"/>
        </w:rPr>
        <w:t>RESULTS</w:t>
      </w:r>
    </w:p>
    <w:p w:rsidR="003133B0" w:rsidRPr="00E02FD7" w:rsidRDefault="003133B0" w:rsidP="00E02FD7">
      <w:pPr>
        <w:spacing w:line="480" w:lineRule="auto"/>
        <w:rPr>
          <w:sz w:val="24"/>
          <w:szCs w:val="24"/>
        </w:rPr>
      </w:pPr>
      <w:r w:rsidRPr="00E02FD7">
        <w:rPr>
          <w:sz w:val="24"/>
          <w:szCs w:val="24"/>
        </w:rPr>
        <w:t>Two hundred and twenty one (18%) of the</w:t>
      </w:r>
      <w:r w:rsidR="00281FAA" w:rsidRPr="00E02FD7">
        <w:rPr>
          <w:sz w:val="24"/>
          <w:szCs w:val="24"/>
        </w:rPr>
        <w:t xml:space="preserve"> 1240 </w:t>
      </w:r>
      <w:r w:rsidR="000A7E31" w:rsidRPr="00E02FD7">
        <w:rPr>
          <w:sz w:val="24"/>
          <w:szCs w:val="24"/>
        </w:rPr>
        <w:t>screened patients</w:t>
      </w:r>
      <w:r w:rsidRPr="00E02FD7">
        <w:rPr>
          <w:sz w:val="24"/>
          <w:szCs w:val="24"/>
        </w:rPr>
        <w:t xml:space="preserve"> met the inclusion criteria</w:t>
      </w:r>
      <w:r w:rsidR="00C43613" w:rsidRPr="00E02FD7">
        <w:rPr>
          <w:sz w:val="24"/>
          <w:szCs w:val="24"/>
        </w:rPr>
        <w:t xml:space="preserve"> and </w:t>
      </w:r>
      <w:r w:rsidR="0092663D" w:rsidRPr="00E02FD7">
        <w:rPr>
          <w:sz w:val="24"/>
          <w:szCs w:val="24"/>
        </w:rPr>
        <w:t>158 of these were recruited in</w:t>
      </w:r>
      <w:r w:rsidR="00C43613" w:rsidRPr="00E02FD7">
        <w:rPr>
          <w:sz w:val="24"/>
          <w:szCs w:val="24"/>
        </w:rPr>
        <w:t xml:space="preserve"> 100 </w:t>
      </w:r>
      <w:r w:rsidRPr="00E02FD7">
        <w:rPr>
          <w:sz w:val="24"/>
          <w:szCs w:val="24"/>
        </w:rPr>
        <w:t>clusters</w:t>
      </w:r>
      <w:r w:rsidR="00C43613" w:rsidRPr="00E02FD7">
        <w:rPr>
          <w:sz w:val="24"/>
          <w:szCs w:val="24"/>
        </w:rPr>
        <w:t xml:space="preserve">; </w:t>
      </w:r>
      <w:r w:rsidRPr="00E02FD7">
        <w:rPr>
          <w:sz w:val="24"/>
          <w:szCs w:val="24"/>
        </w:rPr>
        <w:t xml:space="preserve">each containing 1-5 patients </w:t>
      </w:r>
      <w:r w:rsidR="00C324BF" w:rsidRPr="00E02FD7">
        <w:rPr>
          <w:sz w:val="24"/>
          <w:szCs w:val="24"/>
        </w:rPr>
        <w:t xml:space="preserve">(Table </w:t>
      </w:r>
      <w:r w:rsidR="001D35AB" w:rsidRPr="00E02FD7">
        <w:rPr>
          <w:sz w:val="24"/>
          <w:szCs w:val="24"/>
        </w:rPr>
        <w:t>3</w:t>
      </w:r>
      <w:r w:rsidR="00C324BF" w:rsidRPr="00E02FD7">
        <w:rPr>
          <w:sz w:val="24"/>
          <w:szCs w:val="24"/>
        </w:rPr>
        <w:t xml:space="preserve">). </w:t>
      </w:r>
      <w:r w:rsidR="003358D6" w:rsidRPr="00E02FD7">
        <w:rPr>
          <w:sz w:val="24"/>
          <w:szCs w:val="24"/>
        </w:rPr>
        <w:t>The distribution by cluster size was as follows: one patient (</w:t>
      </w:r>
      <w:r w:rsidR="003358D6" w:rsidRPr="00E02FD7">
        <w:rPr>
          <w:i/>
          <w:sz w:val="24"/>
          <w:szCs w:val="24"/>
        </w:rPr>
        <w:t>n</w:t>
      </w:r>
      <w:r w:rsidR="003358D6" w:rsidRPr="00E02FD7">
        <w:rPr>
          <w:sz w:val="24"/>
          <w:szCs w:val="24"/>
        </w:rPr>
        <w:t>=66), two patients (</w:t>
      </w:r>
      <w:r w:rsidR="00C140B6" w:rsidRPr="00E02FD7">
        <w:rPr>
          <w:i/>
          <w:sz w:val="24"/>
          <w:szCs w:val="24"/>
        </w:rPr>
        <w:t>n</w:t>
      </w:r>
      <w:r w:rsidR="00C140B6" w:rsidRPr="00E02FD7">
        <w:rPr>
          <w:sz w:val="24"/>
          <w:szCs w:val="24"/>
        </w:rPr>
        <w:t>=</w:t>
      </w:r>
      <w:r w:rsidR="003358D6" w:rsidRPr="00E02FD7">
        <w:rPr>
          <w:sz w:val="24"/>
          <w:szCs w:val="24"/>
        </w:rPr>
        <w:t>21), three patients (</w:t>
      </w:r>
      <w:r w:rsidR="00C140B6" w:rsidRPr="00E02FD7">
        <w:rPr>
          <w:i/>
          <w:sz w:val="24"/>
          <w:szCs w:val="24"/>
        </w:rPr>
        <w:t>n</w:t>
      </w:r>
      <w:r w:rsidR="00C140B6" w:rsidRPr="00E02FD7">
        <w:rPr>
          <w:sz w:val="24"/>
          <w:szCs w:val="24"/>
        </w:rPr>
        <w:t>=</w:t>
      </w:r>
      <w:r w:rsidR="003358D6" w:rsidRPr="00E02FD7">
        <w:rPr>
          <w:sz w:val="24"/>
          <w:szCs w:val="24"/>
        </w:rPr>
        <w:t>6), four patients (</w:t>
      </w:r>
      <w:r w:rsidR="00C140B6" w:rsidRPr="00E02FD7">
        <w:rPr>
          <w:i/>
          <w:sz w:val="24"/>
          <w:szCs w:val="24"/>
        </w:rPr>
        <w:t>n</w:t>
      </w:r>
      <w:r w:rsidR="00C140B6" w:rsidRPr="00E02FD7">
        <w:rPr>
          <w:sz w:val="24"/>
          <w:szCs w:val="24"/>
        </w:rPr>
        <w:t>=</w:t>
      </w:r>
      <w:r w:rsidR="003358D6" w:rsidRPr="00E02FD7">
        <w:rPr>
          <w:sz w:val="24"/>
          <w:szCs w:val="24"/>
        </w:rPr>
        <w:t>3) and five patients (</w:t>
      </w:r>
      <w:r w:rsidR="00C140B6" w:rsidRPr="00E02FD7">
        <w:rPr>
          <w:i/>
          <w:sz w:val="24"/>
          <w:szCs w:val="24"/>
        </w:rPr>
        <w:t>n</w:t>
      </w:r>
      <w:r w:rsidR="00C140B6" w:rsidRPr="00E02FD7">
        <w:rPr>
          <w:sz w:val="24"/>
          <w:szCs w:val="24"/>
        </w:rPr>
        <w:t>=</w:t>
      </w:r>
      <w:r w:rsidR="003358D6" w:rsidRPr="00E02FD7">
        <w:rPr>
          <w:sz w:val="24"/>
          <w:szCs w:val="24"/>
        </w:rPr>
        <w:t xml:space="preserve">4). </w:t>
      </w:r>
      <w:r w:rsidR="005B4F86" w:rsidRPr="00E02FD7">
        <w:rPr>
          <w:sz w:val="24"/>
          <w:szCs w:val="24"/>
        </w:rPr>
        <w:t>Fifty one</w:t>
      </w:r>
      <w:r w:rsidRPr="00E02FD7">
        <w:rPr>
          <w:sz w:val="24"/>
          <w:szCs w:val="24"/>
        </w:rPr>
        <w:t xml:space="preserve"> (32%) </w:t>
      </w:r>
      <w:r w:rsidR="005B4F86" w:rsidRPr="00E02FD7">
        <w:rPr>
          <w:sz w:val="24"/>
          <w:szCs w:val="24"/>
        </w:rPr>
        <w:t xml:space="preserve">patient </w:t>
      </w:r>
      <w:r w:rsidRPr="00E02FD7">
        <w:rPr>
          <w:sz w:val="24"/>
          <w:szCs w:val="24"/>
        </w:rPr>
        <w:t>participants were allocated to the intervention group (UCCDIP), 59 (37%) to control group one (ad-hoc verbal information) and 48 (30%) to control group two (</w:t>
      </w:r>
      <w:proofErr w:type="spellStart"/>
      <w:r w:rsidRPr="00E02FD7">
        <w:rPr>
          <w:sz w:val="24"/>
          <w:szCs w:val="24"/>
        </w:rPr>
        <w:t>ICUsteps</w:t>
      </w:r>
      <w:proofErr w:type="spellEnd"/>
      <w:r w:rsidRPr="00E02FD7">
        <w:rPr>
          <w:sz w:val="24"/>
          <w:szCs w:val="24"/>
        </w:rPr>
        <w:t xml:space="preserve"> booklet)</w:t>
      </w:r>
      <w:r w:rsidR="00C324BF" w:rsidRPr="00E02FD7">
        <w:rPr>
          <w:sz w:val="24"/>
          <w:szCs w:val="24"/>
        </w:rPr>
        <w:t xml:space="preserve"> (Figure </w:t>
      </w:r>
      <w:r w:rsidR="001C3E02" w:rsidRPr="00E02FD7">
        <w:rPr>
          <w:sz w:val="24"/>
          <w:szCs w:val="24"/>
        </w:rPr>
        <w:t>1</w:t>
      </w:r>
      <w:r w:rsidR="00C324BF" w:rsidRPr="00E02FD7">
        <w:rPr>
          <w:sz w:val="24"/>
          <w:szCs w:val="24"/>
        </w:rPr>
        <w:t>)</w:t>
      </w:r>
      <w:r w:rsidR="00281FAA" w:rsidRPr="00E02FD7">
        <w:rPr>
          <w:sz w:val="24"/>
          <w:szCs w:val="24"/>
        </w:rPr>
        <w:t>.</w:t>
      </w:r>
      <w:r w:rsidR="002A2CC1" w:rsidRPr="00E02FD7">
        <w:rPr>
          <w:sz w:val="24"/>
          <w:szCs w:val="24"/>
        </w:rPr>
        <w:t xml:space="preserve"> Eighty relatives </w:t>
      </w:r>
      <w:r w:rsidR="00EA5185" w:rsidRPr="00E02FD7">
        <w:rPr>
          <w:sz w:val="24"/>
          <w:szCs w:val="24"/>
        </w:rPr>
        <w:t xml:space="preserve">of </w:t>
      </w:r>
      <w:r w:rsidR="00063F72" w:rsidRPr="00E02FD7">
        <w:rPr>
          <w:sz w:val="24"/>
          <w:szCs w:val="24"/>
        </w:rPr>
        <w:t xml:space="preserve">the recruited </w:t>
      </w:r>
      <w:r w:rsidR="00EA5185" w:rsidRPr="00E02FD7">
        <w:rPr>
          <w:sz w:val="24"/>
          <w:szCs w:val="24"/>
        </w:rPr>
        <w:t xml:space="preserve">patient participants </w:t>
      </w:r>
      <w:r w:rsidR="002A2CC1" w:rsidRPr="00E02FD7">
        <w:rPr>
          <w:sz w:val="24"/>
          <w:szCs w:val="24"/>
        </w:rPr>
        <w:t>also</w:t>
      </w:r>
      <w:r w:rsidR="00063F72" w:rsidRPr="00E02FD7">
        <w:rPr>
          <w:sz w:val="24"/>
          <w:szCs w:val="24"/>
        </w:rPr>
        <w:t xml:space="preserve"> agreed to take part</w:t>
      </w:r>
      <w:r w:rsidR="002A2CC1" w:rsidRPr="00E02FD7">
        <w:rPr>
          <w:sz w:val="24"/>
          <w:szCs w:val="24"/>
        </w:rPr>
        <w:t xml:space="preserve">. </w:t>
      </w:r>
    </w:p>
    <w:p w:rsidR="005E703E" w:rsidRPr="00E02FD7" w:rsidRDefault="005E703E" w:rsidP="00E02FD7">
      <w:pPr>
        <w:spacing w:line="480" w:lineRule="auto"/>
        <w:rPr>
          <w:b/>
          <w:sz w:val="24"/>
          <w:szCs w:val="24"/>
        </w:rPr>
      </w:pPr>
      <w:r w:rsidRPr="00E02FD7">
        <w:rPr>
          <w:b/>
          <w:sz w:val="24"/>
          <w:szCs w:val="24"/>
        </w:rPr>
        <w:t xml:space="preserve">Table </w:t>
      </w:r>
      <w:r w:rsidR="001D35AB" w:rsidRPr="00E02FD7">
        <w:rPr>
          <w:b/>
          <w:sz w:val="24"/>
          <w:szCs w:val="24"/>
        </w:rPr>
        <w:t>3</w:t>
      </w:r>
      <w:r w:rsidRPr="00E02FD7">
        <w:rPr>
          <w:b/>
          <w:sz w:val="24"/>
          <w:szCs w:val="24"/>
        </w:rPr>
        <w:t xml:space="preserve">: </w:t>
      </w:r>
      <w:r w:rsidR="003A0392" w:rsidRPr="00E02FD7">
        <w:rPr>
          <w:b/>
          <w:sz w:val="24"/>
          <w:szCs w:val="24"/>
        </w:rPr>
        <w:t>ICU</w:t>
      </w:r>
      <w:r w:rsidR="004C3932" w:rsidRPr="00E02FD7">
        <w:rPr>
          <w:b/>
          <w:sz w:val="24"/>
          <w:szCs w:val="24"/>
        </w:rPr>
        <w:t xml:space="preserve"> </w:t>
      </w:r>
      <w:r w:rsidRPr="00E02FD7">
        <w:rPr>
          <w:b/>
          <w:sz w:val="24"/>
          <w:szCs w:val="24"/>
        </w:rPr>
        <w:t>patients discharged and recruited per weekday</w:t>
      </w:r>
    </w:p>
    <w:tbl>
      <w:tblPr>
        <w:tblW w:w="8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2126"/>
        <w:gridCol w:w="2549"/>
        <w:gridCol w:w="1985"/>
      </w:tblGrid>
      <w:tr w:rsidR="005E703E" w:rsidRPr="00E02FD7" w:rsidTr="00B57D18">
        <w:tc>
          <w:tcPr>
            <w:tcW w:w="1944" w:type="dxa"/>
            <w:shd w:val="clear" w:color="auto" w:fill="auto"/>
          </w:tcPr>
          <w:p w:rsidR="005E703E" w:rsidRPr="00E02FD7" w:rsidRDefault="005E703E" w:rsidP="00E02FD7">
            <w:pPr>
              <w:spacing w:after="0" w:line="240" w:lineRule="auto"/>
              <w:rPr>
                <w:rFonts w:eastAsia="Times New Roman" w:cs="Times New Roman"/>
                <w:b/>
                <w:sz w:val="24"/>
                <w:szCs w:val="24"/>
              </w:rPr>
            </w:pPr>
            <w:r w:rsidRPr="00E02FD7">
              <w:rPr>
                <w:rFonts w:eastAsia="Times New Roman" w:cs="Times New Roman"/>
                <w:b/>
              </w:rPr>
              <w:t xml:space="preserve">Recruitment day </w:t>
            </w:r>
          </w:p>
        </w:tc>
        <w:tc>
          <w:tcPr>
            <w:tcW w:w="2126" w:type="dxa"/>
            <w:shd w:val="clear" w:color="auto" w:fill="auto"/>
          </w:tcPr>
          <w:p w:rsidR="005E703E" w:rsidRPr="00E02FD7" w:rsidRDefault="005E703E" w:rsidP="00E02FD7">
            <w:pPr>
              <w:spacing w:after="0" w:line="240" w:lineRule="auto"/>
              <w:rPr>
                <w:rFonts w:eastAsia="Times New Roman" w:cs="Times New Roman"/>
                <w:b/>
                <w:sz w:val="24"/>
                <w:szCs w:val="24"/>
              </w:rPr>
            </w:pPr>
            <w:r w:rsidRPr="00E02FD7">
              <w:rPr>
                <w:rFonts w:eastAsia="Times New Roman" w:cs="Times New Roman"/>
                <w:b/>
              </w:rPr>
              <w:t>Clusters</w:t>
            </w:r>
          </w:p>
          <w:p w:rsidR="005E703E" w:rsidRPr="00E02FD7" w:rsidRDefault="005E703E" w:rsidP="00E02FD7">
            <w:pPr>
              <w:spacing w:after="0" w:line="240" w:lineRule="auto"/>
              <w:rPr>
                <w:rFonts w:eastAsia="Times New Roman" w:cs="Times New Roman"/>
                <w:b/>
                <w:sz w:val="24"/>
                <w:szCs w:val="24"/>
              </w:rPr>
            </w:pPr>
            <w:proofErr w:type="gramStart"/>
            <w:r w:rsidRPr="00E02FD7">
              <w:rPr>
                <w:rFonts w:eastAsia="Times New Roman" w:cs="Times New Roman"/>
                <w:b/>
                <w:i/>
              </w:rPr>
              <w:t>n</w:t>
            </w:r>
            <w:proofErr w:type="gramEnd"/>
            <w:r w:rsidRPr="00E02FD7">
              <w:rPr>
                <w:rFonts w:eastAsia="Times New Roman" w:cs="Times New Roman"/>
                <w:b/>
                <w:i/>
              </w:rPr>
              <w:t xml:space="preserve"> (%</w:t>
            </w:r>
            <w:r w:rsidRPr="00E02FD7">
              <w:rPr>
                <w:rFonts w:eastAsia="Times New Roman" w:cs="Times New Roman"/>
                <w:b/>
              </w:rPr>
              <w:t>)</w:t>
            </w:r>
          </w:p>
        </w:tc>
        <w:tc>
          <w:tcPr>
            <w:tcW w:w="2549" w:type="dxa"/>
            <w:shd w:val="clear" w:color="auto" w:fill="auto"/>
          </w:tcPr>
          <w:p w:rsidR="005E703E" w:rsidRPr="00E02FD7" w:rsidRDefault="005E703E" w:rsidP="00E02FD7">
            <w:pPr>
              <w:spacing w:after="0" w:line="240" w:lineRule="auto"/>
              <w:rPr>
                <w:rFonts w:eastAsia="Times New Roman" w:cs="Times New Roman"/>
                <w:b/>
                <w:sz w:val="24"/>
                <w:szCs w:val="24"/>
              </w:rPr>
            </w:pPr>
            <w:r w:rsidRPr="00E02FD7">
              <w:rPr>
                <w:rFonts w:eastAsia="Times New Roman" w:cs="Times New Roman"/>
                <w:b/>
              </w:rPr>
              <w:t xml:space="preserve">Patient participants recruited </w:t>
            </w:r>
            <w:r w:rsidRPr="00E02FD7">
              <w:rPr>
                <w:rFonts w:eastAsia="Times New Roman" w:cs="Times New Roman"/>
                <w:b/>
                <w:i/>
              </w:rPr>
              <w:t>n (%</w:t>
            </w:r>
            <w:r w:rsidRPr="00E02FD7">
              <w:rPr>
                <w:rFonts w:eastAsia="Times New Roman" w:cs="Times New Roman"/>
                <w:b/>
              </w:rPr>
              <w:t>)</w:t>
            </w:r>
          </w:p>
        </w:tc>
        <w:tc>
          <w:tcPr>
            <w:tcW w:w="1985" w:type="dxa"/>
            <w:shd w:val="clear" w:color="auto" w:fill="auto"/>
          </w:tcPr>
          <w:p w:rsidR="005E703E" w:rsidRPr="00E02FD7" w:rsidRDefault="005E703E" w:rsidP="00E02FD7">
            <w:pPr>
              <w:spacing w:after="0" w:line="240" w:lineRule="auto"/>
              <w:rPr>
                <w:rFonts w:eastAsia="Times New Roman" w:cs="Times New Roman"/>
                <w:b/>
                <w:sz w:val="24"/>
                <w:szCs w:val="24"/>
              </w:rPr>
            </w:pPr>
            <w:r w:rsidRPr="00E02FD7">
              <w:rPr>
                <w:rFonts w:eastAsia="Times New Roman" w:cs="Times New Roman"/>
                <w:b/>
              </w:rPr>
              <w:t>Patients discharged</w:t>
            </w:r>
            <w:r w:rsidRPr="00E02FD7">
              <w:rPr>
                <w:rFonts w:eastAsia="Times New Roman" w:cs="Times New Roman"/>
                <w:b/>
                <w:i/>
              </w:rPr>
              <w:t xml:space="preserve"> n (%</w:t>
            </w:r>
            <w:r w:rsidRPr="00E02FD7">
              <w:rPr>
                <w:rFonts w:eastAsia="Times New Roman" w:cs="Times New Roman"/>
                <w:b/>
              </w:rPr>
              <w:t>)</w:t>
            </w:r>
          </w:p>
        </w:tc>
      </w:tr>
      <w:tr w:rsidR="003358D6" w:rsidRPr="00E02FD7" w:rsidTr="00B57D18">
        <w:tc>
          <w:tcPr>
            <w:tcW w:w="1944"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Monday</w:t>
            </w:r>
          </w:p>
        </w:tc>
        <w:tc>
          <w:tcPr>
            <w:tcW w:w="2126"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31 (31%)</w:t>
            </w:r>
          </w:p>
        </w:tc>
        <w:tc>
          <w:tcPr>
            <w:tcW w:w="2549"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56 (35%)</w:t>
            </w:r>
          </w:p>
        </w:tc>
        <w:tc>
          <w:tcPr>
            <w:tcW w:w="1985"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161 (16%)</w:t>
            </w:r>
          </w:p>
        </w:tc>
      </w:tr>
      <w:tr w:rsidR="003358D6" w:rsidRPr="00E02FD7" w:rsidTr="00B57D18">
        <w:tc>
          <w:tcPr>
            <w:tcW w:w="1944"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Tuesday</w:t>
            </w:r>
          </w:p>
        </w:tc>
        <w:tc>
          <w:tcPr>
            <w:tcW w:w="2126"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20 (20%)</w:t>
            </w:r>
          </w:p>
        </w:tc>
        <w:tc>
          <w:tcPr>
            <w:tcW w:w="2549"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30 (19%)</w:t>
            </w:r>
          </w:p>
        </w:tc>
        <w:tc>
          <w:tcPr>
            <w:tcW w:w="1985"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216 (22%)</w:t>
            </w:r>
          </w:p>
        </w:tc>
      </w:tr>
      <w:tr w:rsidR="003358D6" w:rsidRPr="00E02FD7" w:rsidTr="00B57D18">
        <w:tc>
          <w:tcPr>
            <w:tcW w:w="1944"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Wednesday</w:t>
            </w:r>
          </w:p>
        </w:tc>
        <w:tc>
          <w:tcPr>
            <w:tcW w:w="2126"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10 (10%)</w:t>
            </w:r>
          </w:p>
        </w:tc>
        <w:tc>
          <w:tcPr>
            <w:tcW w:w="2549"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14 (9%)</w:t>
            </w:r>
          </w:p>
        </w:tc>
        <w:tc>
          <w:tcPr>
            <w:tcW w:w="1985"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189 (19%)</w:t>
            </w:r>
          </w:p>
        </w:tc>
      </w:tr>
      <w:tr w:rsidR="003358D6" w:rsidRPr="00E02FD7" w:rsidTr="00B57D18">
        <w:tc>
          <w:tcPr>
            <w:tcW w:w="1944"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Thursday</w:t>
            </w:r>
          </w:p>
        </w:tc>
        <w:tc>
          <w:tcPr>
            <w:tcW w:w="2126"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16 (16%)</w:t>
            </w:r>
          </w:p>
        </w:tc>
        <w:tc>
          <w:tcPr>
            <w:tcW w:w="2549"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18 (11%)</w:t>
            </w:r>
          </w:p>
        </w:tc>
        <w:tc>
          <w:tcPr>
            <w:tcW w:w="1985"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226 (23%)</w:t>
            </w:r>
          </w:p>
        </w:tc>
      </w:tr>
      <w:tr w:rsidR="003358D6" w:rsidRPr="00E02FD7" w:rsidTr="00B57D18">
        <w:tc>
          <w:tcPr>
            <w:tcW w:w="1944"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Friday</w:t>
            </w:r>
          </w:p>
        </w:tc>
        <w:tc>
          <w:tcPr>
            <w:tcW w:w="2126"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23 (23%)</w:t>
            </w:r>
          </w:p>
        </w:tc>
        <w:tc>
          <w:tcPr>
            <w:tcW w:w="2549"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40 (25%)</w:t>
            </w:r>
          </w:p>
        </w:tc>
        <w:tc>
          <w:tcPr>
            <w:tcW w:w="1985"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198 (20%)</w:t>
            </w:r>
          </w:p>
        </w:tc>
      </w:tr>
      <w:tr w:rsidR="003358D6" w:rsidRPr="00E02FD7" w:rsidTr="00B57D18">
        <w:tc>
          <w:tcPr>
            <w:tcW w:w="1944"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Totals</w:t>
            </w:r>
          </w:p>
        </w:tc>
        <w:tc>
          <w:tcPr>
            <w:tcW w:w="2126"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100 (100%)</w:t>
            </w:r>
          </w:p>
        </w:tc>
        <w:tc>
          <w:tcPr>
            <w:tcW w:w="2549"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158 (100%)</w:t>
            </w:r>
          </w:p>
        </w:tc>
        <w:tc>
          <w:tcPr>
            <w:tcW w:w="1985" w:type="dxa"/>
          </w:tcPr>
          <w:p w:rsidR="003358D6" w:rsidRPr="00E02FD7" w:rsidRDefault="003358D6" w:rsidP="00E02FD7">
            <w:pPr>
              <w:spacing w:after="0" w:line="240" w:lineRule="auto"/>
              <w:rPr>
                <w:rFonts w:eastAsia="Times New Roman" w:cs="Times New Roman"/>
                <w:sz w:val="24"/>
                <w:szCs w:val="24"/>
              </w:rPr>
            </w:pPr>
            <w:r w:rsidRPr="00E02FD7">
              <w:rPr>
                <w:rFonts w:eastAsia="Times New Roman" w:cs="Times New Roman"/>
              </w:rPr>
              <w:t>990 (100%)</w:t>
            </w:r>
          </w:p>
        </w:tc>
      </w:tr>
    </w:tbl>
    <w:p w:rsidR="00C81738" w:rsidRDefault="00C81738" w:rsidP="00E02FD7">
      <w:pPr>
        <w:spacing w:line="480" w:lineRule="auto"/>
        <w:outlineLvl w:val="0"/>
        <w:rPr>
          <w:b/>
          <w:sz w:val="24"/>
          <w:szCs w:val="24"/>
        </w:rPr>
      </w:pPr>
    </w:p>
    <w:p w:rsidR="00281FAA" w:rsidRPr="00E02FD7" w:rsidRDefault="00281FAA" w:rsidP="00E02FD7">
      <w:pPr>
        <w:spacing w:line="480" w:lineRule="auto"/>
        <w:outlineLvl w:val="0"/>
        <w:rPr>
          <w:b/>
          <w:sz w:val="24"/>
          <w:szCs w:val="24"/>
        </w:rPr>
      </w:pPr>
      <w:r w:rsidRPr="00E02FD7">
        <w:rPr>
          <w:b/>
          <w:sz w:val="24"/>
          <w:szCs w:val="24"/>
        </w:rPr>
        <w:t>Sample demographics</w:t>
      </w:r>
    </w:p>
    <w:p w:rsidR="003133B0" w:rsidRPr="00E02FD7" w:rsidRDefault="003133B0" w:rsidP="00E02FD7">
      <w:pPr>
        <w:spacing w:line="480" w:lineRule="auto"/>
        <w:rPr>
          <w:sz w:val="24"/>
          <w:szCs w:val="24"/>
        </w:rPr>
      </w:pPr>
      <w:r w:rsidRPr="00E02FD7">
        <w:rPr>
          <w:sz w:val="24"/>
          <w:szCs w:val="24"/>
        </w:rPr>
        <w:t xml:space="preserve">The </w:t>
      </w:r>
      <w:r w:rsidR="003F5148" w:rsidRPr="00E02FD7">
        <w:rPr>
          <w:sz w:val="24"/>
          <w:szCs w:val="24"/>
        </w:rPr>
        <w:t xml:space="preserve">mean </w:t>
      </w:r>
      <w:r w:rsidR="005E429D" w:rsidRPr="00E02FD7">
        <w:rPr>
          <w:sz w:val="24"/>
          <w:szCs w:val="24"/>
        </w:rPr>
        <w:t xml:space="preserve">age of </w:t>
      </w:r>
      <w:r w:rsidR="004F4E69" w:rsidRPr="00E02FD7">
        <w:rPr>
          <w:sz w:val="24"/>
          <w:szCs w:val="24"/>
        </w:rPr>
        <w:t>patients</w:t>
      </w:r>
      <w:r w:rsidRPr="00E02FD7">
        <w:rPr>
          <w:sz w:val="24"/>
          <w:szCs w:val="24"/>
        </w:rPr>
        <w:t xml:space="preserve"> </w:t>
      </w:r>
      <w:r w:rsidR="003F5148" w:rsidRPr="00E02FD7">
        <w:rPr>
          <w:sz w:val="24"/>
          <w:szCs w:val="24"/>
        </w:rPr>
        <w:t>was</w:t>
      </w:r>
      <w:r w:rsidRPr="00E02FD7">
        <w:rPr>
          <w:sz w:val="24"/>
          <w:szCs w:val="24"/>
        </w:rPr>
        <w:t xml:space="preserve"> 60 (SD 16.04) years</w:t>
      </w:r>
      <w:r w:rsidR="00C346A5" w:rsidRPr="00E02FD7">
        <w:rPr>
          <w:sz w:val="24"/>
          <w:szCs w:val="24"/>
        </w:rPr>
        <w:t xml:space="preserve"> (Table </w:t>
      </w:r>
      <w:r w:rsidR="001D35AB" w:rsidRPr="00E02FD7">
        <w:rPr>
          <w:sz w:val="24"/>
          <w:szCs w:val="24"/>
        </w:rPr>
        <w:t>4</w:t>
      </w:r>
      <w:r w:rsidR="00C346A5" w:rsidRPr="00E02FD7">
        <w:rPr>
          <w:sz w:val="24"/>
          <w:szCs w:val="24"/>
        </w:rPr>
        <w:t>)</w:t>
      </w:r>
      <w:r w:rsidRPr="00E02FD7">
        <w:rPr>
          <w:sz w:val="24"/>
          <w:szCs w:val="24"/>
        </w:rPr>
        <w:t>. Participants were predominantly white British/Irish (</w:t>
      </w:r>
      <w:r w:rsidRPr="00E02FD7">
        <w:rPr>
          <w:i/>
          <w:sz w:val="24"/>
          <w:szCs w:val="24"/>
        </w:rPr>
        <w:t>n</w:t>
      </w:r>
      <w:r w:rsidRPr="00E02FD7">
        <w:rPr>
          <w:sz w:val="24"/>
          <w:szCs w:val="24"/>
        </w:rPr>
        <w:t>=115, 73%) an</w:t>
      </w:r>
      <w:r w:rsidR="002A2CC1" w:rsidRPr="00E02FD7">
        <w:rPr>
          <w:sz w:val="24"/>
          <w:szCs w:val="24"/>
        </w:rPr>
        <w:t>d 82 (52%) were male</w:t>
      </w:r>
      <w:r w:rsidRPr="00E02FD7">
        <w:rPr>
          <w:sz w:val="24"/>
          <w:szCs w:val="24"/>
        </w:rPr>
        <w:t xml:space="preserve">. </w:t>
      </w:r>
      <w:r w:rsidR="00CD3EEC" w:rsidRPr="00E02FD7">
        <w:rPr>
          <w:sz w:val="24"/>
          <w:szCs w:val="24"/>
        </w:rPr>
        <w:t>Median l</w:t>
      </w:r>
      <w:r w:rsidRPr="00E02FD7">
        <w:rPr>
          <w:sz w:val="24"/>
          <w:szCs w:val="24"/>
        </w:rPr>
        <w:t xml:space="preserve">ength of </w:t>
      </w:r>
      <w:r w:rsidR="00E3055D" w:rsidRPr="00E02FD7">
        <w:rPr>
          <w:sz w:val="24"/>
          <w:szCs w:val="24"/>
        </w:rPr>
        <w:t xml:space="preserve">ICU </w:t>
      </w:r>
      <w:r w:rsidRPr="00E02FD7">
        <w:rPr>
          <w:sz w:val="24"/>
          <w:szCs w:val="24"/>
        </w:rPr>
        <w:t xml:space="preserve">stay </w:t>
      </w:r>
      <w:r w:rsidR="00CD3EEC" w:rsidRPr="00E02FD7">
        <w:rPr>
          <w:sz w:val="24"/>
          <w:szCs w:val="24"/>
        </w:rPr>
        <w:t>was 6 days</w:t>
      </w:r>
      <w:r w:rsidR="00F07BC1" w:rsidRPr="00E02FD7">
        <w:rPr>
          <w:sz w:val="24"/>
          <w:szCs w:val="24"/>
        </w:rPr>
        <w:t xml:space="preserve"> </w:t>
      </w:r>
      <w:r w:rsidR="004F4E69" w:rsidRPr="00E02FD7">
        <w:rPr>
          <w:sz w:val="24"/>
          <w:szCs w:val="24"/>
        </w:rPr>
        <w:t>(range 371)</w:t>
      </w:r>
      <w:r w:rsidRPr="00E02FD7">
        <w:rPr>
          <w:sz w:val="24"/>
          <w:szCs w:val="24"/>
        </w:rPr>
        <w:t xml:space="preserve">. Severity of illness on admission (measured by the APACHE II score) ranged from 4-34 (median 17) and on discharge to a ward between 0 and 21 (median 9). Ninety eight (62%) participants received at least one day of level 3 </w:t>
      </w:r>
      <w:r w:rsidR="00D22D6C" w:rsidRPr="00E02FD7">
        <w:rPr>
          <w:sz w:val="24"/>
          <w:szCs w:val="24"/>
        </w:rPr>
        <w:t xml:space="preserve">(ICU) </w:t>
      </w:r>
      <w:r w:rsidRPr="00E02FD7">
        <w:rPr>
          <w:sz w:val="24"/>
          <w:szCs w:val="24"/>
        </w:rPr>
        <w:t xml:space="preserve">care. </w:t>
      </w:r>
    </w:p>
    <w:p w:rsidR="005E703E" w:rsidRPr="00A96750" w:rsidRDefault="001D35AB" w:rsidP="00DE328F">
      <w:pPr>
        <w:spacing w:before="240" w:after="60" w:line="480" w:lineRule="auto"/>
        <w:rPr>
          <w:rFonts w:eastAsia="Times New Roman" w:cs="Times New Roman"/>
          <w:b/>
          <w:bCs/>
          <w:sz w:val="24"/>
          <w:szCs w:val="18"/>
        </w:rPr>
      </w:pPr>
      <w:bookmarkStart w:id="3" w:name="_Toc368391283"/>
      <w:r w:rsidRPr="00A96750">
        <w:rPr>
          <w:rFonts w:eastAsia="Times New Roman" w:cs="Times New Roman"/>
          <w:b/>
          <w:bCs/>
          <w:sz w:val="24"/>
          <w:szCs w:val="18"/>
        </w:rPr>
        <w:t>Table 4</w:t>
      </w:r>
      <w:r w:rsidR="005E703E" w:rsidRPr="00A96750">
        <w:rPr>
          <w:rFonts w:eastAsia="Times New Roman" w:cs="Times New Roman"/>
          <w:b/>
          <w:bCs/>
          <w:sz w:val="24"/>
          <w:szCs w:val="18"/>
        </w:rPr>
        <w:t>: Sample characteristics (patients)</w:t>
      </w:r>
      <w:bookmarkEnd w:id="3"/>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634"/>
        <w:gridCol w:w="1238"/>
        <w:gridCol w:w="1166"/>
        <w:gridCol w:w="1208"/>
        <w:gridCol w:w="1208"/>
        <w:gridCol w:w="1110"/>
      </w:tblGrid>
      <w:tr w:rsidR="005A3684" w:rsidRPr="00E051AE" w:rsidTr="005A3684">
        <w:tc>
          <w:tcPr>
            <w:tcW w:w="1570" w:type="dxa"/>
            <w:tcBorders>
              <w:bottom w:val="single" w:sz="4" w:space="0" w:color="auto"/>
            </w:tcBorders>
            <w:shd w:val="clear" w:color="auto" w:fill="auto"/>
          </w:tcPr>
          <w:p w:rsidR="005A3684" w:rsidRPr="00E051AE" w:rsidRDefault="005A3684" w:rsidP="005A3684">
            <w:pPr>
              <w:spacing w:after="0" w:line="240" w:lineRule="auto"/>
              <w:jc w:val="center"/>
              <w:rPr>
                <w:rFonts w:eastAsia="Times New Roman" w:cs="Times New Roman"/>
                <w:b/>
              </w:rPr>
            </w:pPr>
            <w:r w:rsidRPr="00E051AE">
              <w:rPr>
                <w:rFonts w:eastAsia="Times New Roman" w:cs="Times New Roman"/>
                <w:b/>
              </w:rPr>
              <w:t>Characteristic</w:t>
            </w:r>
          </w:p>
        </w:tc>
        <w:tc>
          <w:tcPr>
            <w:tcW w:w="1634" w:type="dxa"/>
            <w:tcBorders>
              <w:bottom w:val="single" w:sz="4" w:space="0" w:color="auto"/>
            </w:tcBorders>
            <w:shd w:val="clear" w:color="auto" w:fill="auto"/>
          </w:tcPr>
          <w:p w:rsidR="005A3684" w:rsidRPr="00E051AE" w:rsidRDefault="005A3684" w:rsidP="005A3684">
            <w:pPr>
              <w:spacing w:after="0" w:line="240" w:lineRule="auto"/>
              <w:jc w:val="center"/>
              <w:rPr>
                <w:rFonts w:eastAsia="Times New Roman" w:cs="Times New Roman"/>
                <w:b/>
              </w:rPr>
            </w:pPr>
            <w:r w:rsidRPr="00E051AE">
              <w:rPr>
                <w:rFonts w:eastAsia="Times New Roman" w:cs="Times New Roman"/>
                <w:b/>
              </w:rPr>
              <w:t>Value</w:t>
            </w:r>
          </w:p>
        </w:tc>
        <w:tc>
          <w:tcPr>
            <w:tcW w:w="1238" w:type="dxa"/>
            <w:tcBorders>
              <w:bottom w:val="single" w:sz="4" w:space="0" w:color="auto"/>
            </w:tcBorders>
            <w:shd w:val="clear" w:color="auto" w:fill="auto"/>
          </w:tcPr>
          <w:p w:rsidR="005A3684" w:rsidRPr="00E051AE" w:rsidRDefault="005A3684" w:rsidP="005A3684">
            <w:pPr>
              <w:spacing w:after="0" w:line="240" w:lineRule="auto"/>
              <w:jc w:val="center"/>
              <w:rPr>
                <w:rFonts w:eastAsia="Times New Roman" w:cs="Times New Roman"/>
                <w:b/>
              </w:rPr>
            </w:pPr>
            <w:proofErr w:type="spellStart"/>
            <w:r w:rsidRPr="00E051AE">
              <w:rPr>
                <w:rFonts w:eastAsia="Times New Roman" w:cs="Times New Roman"/>
                <w:b/>
              </w:rPr>
              <w:t>ICUSteps</w:t>
            </w:r>
            <w:proofErr w:type="spellEnd"/>
          </w:p>
        </w:tc>
        <w:tc>
          <w:tcPr>
            <w:tcW w:w="1166" w:type="dxa"/>
            <w:tcBorders>
              <w:bottom w:val="single" w:sz="4" w:space="0" w:color="auto"/>
            </w:tcBorders>
            <w:shd w:val="clear" w:color="auto" w:fill="auto"/>
          </w:tcPr>
          <w:p w:rsidR="005A3684" w:rsidRPr="00E051AE" w:rsidRDefault="005A3684" w:rsidP="005A3684">
            <w:pPr>
              <w:spacing w:after="0" w:line="240" w:lineRule="auto"/>
              <w:jc w:val="center"/>
              <w:rPr>
                <w:rFonts w:eastAsia="Times New Roman" w:cs="Times New Roman"/>
                <w:b/>
              </w:rPr>
            </w:pPr>
            <w:r w:rsidRPr="00E051AE">
              <w:rPr>
                <w:rFonts w:eastAsia="Times New Roman" w:cs="Times New Roman"/>
                <w:b/>
              </w:rPr>
              <w:t>UCCDIP</w:t>
            </w:r>
          </w:p>
        </w:tc>
        <w:tc>
          <w:tcPr>
            <w:tcW w:w="1208" w:type="dxa"/>
            <w:tcBorders>
              <w:bottom w:val="single" w:sz="4" w:space="0" w:color="auto"/>
            </w:tcBorders>
            <w:shd w:val="clear" w:color="auto" w:fill="auto"/>
          </w:tcPr>
          <w:p w:rsidR="005A3684" w:rsidRPr="00E051AE" w:rsidRDefault="005A3684" w:rsidP="005A3684">
            <w:pPr>
              <w:spacing w:after="0" w:line="240" w:lineRule="auto"/>
              <w:jc w:val="center"/>
              <w:rPr>
                <w:rFonts w:eastAsia="Times New Roman" w:cs="Times New Roman"/>
                <w:b/>
              </w:rPr>
            </w:pPr>
            <w:r w:rsidRPr="00E051AE">
              <w:rPr>
                <w:rFonts w:eastAsia="Times New Roman" w:cs="Times New Roman"/>
                <w:b/>
              </w:rPr>
              <w:t>Verbal</w:t>
            </w:r>
          </w:p>
        </w:tc>
        <w:tc>
          <w:tcPr>
            <w:tcW w:w="1208" w:type="dxa"/>
            <w:tcBorders>
              <w:bottom w:val="single" w:sz="4" w:space="0" w:color="auto"/>
            </w:tcBorders>
            <w:shd w:val="clear" w:color="auto" w:fill="auto"/>
          </w:tcPr>
          <w:p w:rsidR="005A3684" w:rsidRPr="00E051AE" w:rsidRDefault="005A3684" w:rsidP="005A3684">
            <w:pPr>
              <w:spacing w:after="0" w:line="240" w:lineRule="auto"/>
              <w:jc w:val="center"/>
              <w:rPr>
                <w:rFonts w:eastAsia="Times New Roman" w:cs="Times New Roman"/>
                <w:b/>
              </w:rPr>
            </w:pPr>
            <w:r w:rsidRPr="00E051AE">
              <w:rPr>
                <w:rFonts w:eastAsia="Times New Roman" w:cs="Times New Roman"/>
                <w:b/>
              </w:rPr>
              <w:t>Total</w:t>
            </w:r>
          </w:p>
        </w:tc>
        <w:tc>
          <w:tcPr>
            <w:tcW w:w="1110" w:type="dxa"/>
            <w:tcBorders>
              <w:bottom w:val="single" w:sz="4" w:space="0" w:color="auto"/>
            </w:tcBorders>
            <w:shd w:val="clear" w:color="auto" w:fill="FFFFFF" w:themeFill="background1"/>
          </w:tcPr>
          <w:p w:rsidR="005A3684" w:rsidRPr="005A3684" w:rsidRDefault="005A3684" w:rsidP="005A3684">
            <w:pPr>
              <w:spacing w:after="0" w:line="240" w:lineRule="auto"/>
              <w:jc w:val="center"/>
              <w:rPr>
                <w:rFonts w:eastAsia="Times New Roman" w:cs="Times New Roman"/>
                <w:b/>
              </w:rPr>
            </w:pPr>
            <w:r w:rsidRPr="005A3684">
              <w:rPr>
                <w:rFonts w:eastAsia="Times New Roman" w:cs="Times New Roman"/>
                <w:b/>
                <w:i/>
              </w:rPr>
              <w:t>p</w:t>
            </w:r>
            <w:r w:rsidRPr="005A3684">
              <w:rPr>
                <w:rFonts w:eastAsia="Times New Roman" w:cs="Times New Roman"/>
                <w:b/>
              </w:rPr>
              <w:t xml:space="preserve"> value</w:t>
            </w:r>
          </w:p>
        </w:tc>
      </w:tr>
      <w:tr w:rsidR="005A3684" w:rsidRPr="00E051AE" w:rsidTr="0017705D">
        <w:tc>
          <w:tcPr>
            <w:tcW w:w="1570"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Age (Years)</w:t>
            </w:r>
          </w:p>
        </w:tc>
        <w:tc>
          <w:tcPr>
            <w:tcW w:w="1634"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Mean ± SD</w:t>
            </w:r>
          </w:p>
        </w:tc>
        <w:tc>
          <w:tcPr>
            <w:tcW w:w="123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59 ± 15.26</w:t>
            </w:r>
          </w:p>
        </w:tc>
        <w:tc>
          <w:tcPr>
            <w:tcW w:w="1166" w:type="dxa"/>
            <w:tcBorders>
              <w:bottom w:val="single" w:sz="4" w:space="0" w:color="auto"/>
            </w:tcBorders>
            <w:vAlign w:val="center"/>
          </w:tcPr>
          <w:p w:rsidR="005A3684" w:rsidRPr="00E051AE" w:rsidRDefault="005A3684" w:rsidP="0017705D">
            <w:pPr>
              <w:spacing w:after="0" w:line="240" w:lineRule="auto"/>
              <w:rPr>
                <w:rFonts w:eastAsia="Times New Roman" w:cs="Times New Roman"/>
              </w:rPr>
            </w:pPr>
            <w:r w:rsidRPr="00E051AE">
              <w:rPr>
                <w:rFonts w:eastAsia="Times New Roman" w:cs="Times New Roman"/>
              </w:rPr>
              <w:t>60 ± 15.19</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61 ± 17.48</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60 ± 16.04</w:t>
            </w:r>
          </w:p>
        </w:tc>
        <w:tc>
          <w:tcPr>
            <w:tcW w:w="1110" w:type="dxa"/>
            <w:tcBorders>
              <w:bottom w:val="single" w:sz="4" w:space="0" w:color="auto"/>
            </w:tcBorders>
          </w:tcPr>
          <w:p w:rsidR="005A3684" w:rsidRPr="005A3684" w:rsidRDefault="005A3684" w:rsidP="0017705D">
            <w:pPr>
              <w:spacing w:after="0" w:line="240" w:lineRule="auto"/>
              <w:rPr>
                <w:rFonts w:eastAsia="Times New Roman" w:cs="Times New Roman"/>
              </w:rPr>
            </w:pPr>
            <w:r w:rsidRPr="005A3684">
              <w:rPr>
                <w:rFonts w:eastAsia="Times New Roman" w:cs="Times New Roman"/>
              </w:rPr>
              <w:t>0.72</w:t>
            </w:r>
          </w:p>
        </w:tc>
      </w:tr>
      <w:tr w:rsidR="005A3684" w:rsidRPr="00E051AE" w:rsidTr="0017705D">
        <w:tc>
          <w:tcPr>
            <w:tcW w:w="1570"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Ethnicity (White British)</w:t>
            </w:r>
          </w:p>
        </w:tc>
        <w:tc>
          <w:tcPr>
            <w:tcW w:w="1634" w:type="dxa"/>
            <w:tcBorders>
              <w:bottom w:val="single" w:sz="4" w:space="0" w:color="auto"/>
            </w:tcBorders>
          </w:tcPr>
          <w:p w:rsidR="005A3684" w:rsidRPr="00E051AE" w:rsidRDefault="005A3684" w:rsidP="0017705D">
            <w:pPr>
              <w:spacing w:after="0" w:line="240" w:lineRule="auto"/>
              <w:rPr>
                <w:rFonts w:eastAsia="Times New Roman" w:cs="Times New Roman"/>
              </w:rPr>
            </w:pPr>
            <w:proofErr w:type="gramStart"/>
            <w:r w:rsidRPr="00E051AE">
              <w:rPr>
                <w:rFonts w:eastAsia="Times New Roman" w:cs="Times New Roman"/>
                <w:i/>
              </w:rPr>
              <w:t>n</w:t>
            </w:r>
            <w:proofErr w:type="gramEnd"/>
            <w:r w:rsidRPr="00E051AE">
              <w:rPr>
                <w:rFonts w:eastAsia="Times New Roman" w:cs="Times New Roman"/>
              </w:rPr>
              <w:t xml:space="preserve"> (%)</w:t>
            </w:r>
          </w:p>
        </w:tc>
        <w:tc>
          <w:tcPr>
            <w:tcW w:w="123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34 (71%)</w:t>
            </w:r>
          </w:p>
        </w:tc>
        <w:tc>
          <w:tcPr>
            <w:tcW w:w="1166"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40 (78%)</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41 (69%)</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115 (73%)</w:t>
            </w:r>
          </w:p>
        </w:tc>
        <w:tc>
          <w:tcPr>
            <w:tcW w:w="1110" w:type="dxa"/>
            <w:tcBorders>
              <w:bottom w:val="single" w:sz="4" w:space="0" w:color="auto"/>
            </w:tcBorders>
          </w:tcPr>
          <w:p w:rsidR="005A3684" w:rsidRPr="005A3684" w:rsidRDefault="005A3684" w:rsidP="0017705D">
            <w:pPr>
              <w:spacing w:after="0" w:line="240" w:lineRule="auto"/>
              <w:rPr>
                <w:rFonts w:eastAsia="Times New Roman" w:cs="Times New Roman"/>
              </w:rPr>
            </w:pPr>
            <w:r w:rsidRPr="005A3684">
              <w:rPr>
                <w:rFonts w:eastAsia="Times New Roman" w:cs="Times New Roman"/>
              </w:rPr>
              <w:t>0.54</w:t>
            </w:r>
          </w:p>
        </w:tc>
      </w:tr>
      <w:tr w:rsidR="005A3684" w:rsidRPr="00E051AE" w:rsidTr="0017705D">
        <w:trPr>
          <w:trHeight w:val="287"/>
        </w:trPr>
        <w:tc>
          <w:tcPr>
            <w:tcW w:w="1570"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Gender (Male)</w:t>
            </w:r>
          </w:p>
        </w:tc>
        <w:tc>
          <w:tcPr>
            <w:tcW w:w="1634" w:type="dxa"/>
          </w:tcPr>
          <w:p w:rsidR="005A3684" w:rsidRPr="00E051AE" w:rsidRDefault="005A3684" w:rsidP="0017705D">
            <w:pPr>
              <w:spacing w:after="0" w:line="240" w:lineRule="auto"/>
              <w:rPr>
                <w:rFonts w:eastAsia="Times New Roman" w:cs="Times New Roman"/>
              </w:rPr>
            </w:pPr>
            <w:proofErr w:type="gramStart"/>
            <w:r w:rsidRPr="00E051AE">
              <w:rPr>
                <w:rFonts w:eastAsia="Times New Roman" w:cs="Times New Roman"/>
                <w:i/>
              </w:rPr>
              <w:t>n</w:t>
            </w:r>
            <w:proofErr w:type="gramEnd"/>
            <w:r w:rsidRPr="00E051AE">
              <w:rPr>
                <w:rFonts w:eastAsia="Times New Roman" w:cs="Times New Roman"/>
              </w:rPr>
              <w:t xml:space="preserve"> (%)</w:t>
            </w:r>
          </w:p>
        </w:tc>
        <w:tc>
          <w:tcPr>
            <w:tcW w:w="123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25 (52%)</w:t>
            </w:r>
          </w:p>
        </w:tc>
        <w:tc>
          <w:tcPr>
            <w:tcW w:w="1166"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26 (51%)</w:t>
            </w:r>
          </w:p>
        </w:tc>
        <w:tc>
          <w:tcPr>
            <w:tcW w:w="120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31 (53%)</w:t>
            </w:r>
          </w:p>
        </w:tc>
        <w:tc>
          <w:tcPr>
            <w:tcW w:w="120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82 (52%)</w:t>
            </w:r>
          </w:p>
        </w:tc>
        <w:tc>
          <w:tcPr>
            <w:tcW w:w="1110" w:type="dxa"/>
          </w:tcPr>
          <w:p w:rsidR="005A3684" w:rsidRPr="005A3684" w:rsidRDefault="005A3684" w:rsidP="0017705D">
            <w:pPr>
              <w:spacing w:after="0" w:line="240" w:lineRule="auto"/>
              <w:rPr>
                <w:rFonts w:eastAsia="Times New Roman" w:cs="Times New Roman"/>
              </w:rPr>
            </w:pPr>
            <w:r w:rsidRPr="005A3684">
              <w:rPr>
                <w:rFonts w:eastAsia="Times New Roman" w:cs="Times New Roman"/>
              </w:rPr>
              <w:t>0.99</w:t>
            </w:r>
          </w:p>
        </w:tc>
      </w:tr>
      <w:tr w:rsidR="005A3684" w:rsidRPr="00E051AE" w:rsidTr="0017705D">
        <w:trPr>
          <w:trHeight w:val="287"/>
        </w:trPr>
        <w:tc>
          <w:tcPr>
            <w:tcW w:w="1570"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 xml:space="preserve">Medical/ Surgical </w:t>
            </w:r>
            <w:r>
              <w:rPr>
                <w:rFonts w:eastAsia="Times New Roman" w:cs="Times New Roman"/>
              </w:rPr>
              <w:t>ICU</w:t>
            </w:r>
          </w:p>
        </w:tc>
        <w:tc>
          <w:tcPr>
            <w:tcW w:w="1634" w:type="dxa"/>
          </w:tcPr>
          <w:p w:rsidR="005A3684" w:rsidRPr="00E051AE" w:rsidRDefault="005A3684" w:rsidP="0017705D">
            <w:pPr>
              <w:spacing w:after="0" w:line="240" w:lineRule="auto"/>
              <w:rPr>
                <w:rFonts w:eastAsia="Times New Roman" w:cs="Times New Roman"/>
                <w:i/>
              </w:rPr>
            </w:pPr>
            <w:r w:rsidRPr="00E051AE">
              <w:rPr>
                <w:rFonts w:eastAsia="Times New Roman" w:cs="Times New Roman"/>
              </w:rPr>
              <w:t xml:space="preserve">Medical </w:t>
            </w:r>
            <w:r w:rsidRPr="00E051AE">
              <w:rPr>
                <w:rFonts w:eastAsia="Times New Roman" w:cs="Times New Roman"/>
                <w:i/>
              </w:rPr>
              <w:t>n</w:t>
            </w:r>
            <w:r w:rsidRPr="00E051AE">
              <w:rPr>
                <w:rFonts w:eastAsia="Times New Roman" w:cs="Times New Roman"/>
              </w:rPr>
              <w:t xml:space="preserve"> (%)</w:t>
            </w:r>
          </w:p>
        </w:tc>
        <w:tc>
          <w:tcPr>
            <w:tcW w:w="123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28 (58%)</w:t>
            </w:r>
          </w:p>
        </w:tc>
        <w:tc>
          <w:tcPr>
            <w:tcW w:w="1166"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28 (55%)</w:t>
            </w:r>
          </w:p>
        </w:tc>
        <w:tc>
          <w:tcPr>
            <w:tcW w:w="120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26 (44%)</w:t>
            </w:r>
          </w:p>
        </w:tc>
        <w:tc>
          <w:tcPr>
            <w:tcW w:w="120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82 (52%)</w:t>
            </w:r>
          </w:p>
        </w:tc>
        <w:tc>
          <w:tcPr>
            <w:tcW w:w="1110" w:type="dxa"/>
          </w:tcPr>
          <w:p w:rsidR="005A3684" w:rsidRPr="005A3684" w:rsidRDefault="005A3684" w:rsidP="0017705D">
            <w:pPr>
              <w:spacing w:after="0" w:line="240" w:lineRule="auto"/>
              <w:rPr>
                <w:rFonts w:eastAsia="Times New Roman" w:cs="Times New Roman"/>
              </w:rPr>
            </w:pPr>
            <w:r w:rsidRPr="005A3684">
              <w:rPr>
                <w:rFonts w:eastAsia="Times New Roman" w:cs="Times New Roman"/>
              </w:rPr>
              <w:t>0.30</w:t>
            </w:r>
          </w:p>
        </w:tc>
      </w:tr>
      <w:tr w:rsidR="005A3684" w:rsidRPr="00E051AE" w:rsidTr="0017705D">
        <w:trPr>
          <w:trHeight w:val="283"/>
        </w:trPr>
        <w:tc>
          <w:tcPr>
            <w:tcW w:w="1570"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Admission type (Emergency)</w:t>
            </w:r>
          </w:p>
        </w:tc>
        <w:tc>
          <w:tcPr>
            <w:tcW w:w="1634" w:type="dxa"/>
          </w:tcPr>
          <w:p w:rsidR="005A3684" w:rsidRPr="00E051AE" w:rsidRDefault="005A3684" w:rsidP="0017705D">
            <w:pPr>
              <w:spacing w:after="0" w:line="240" w:lineRule="auto"/>
              <w:rPr>
                <w:rFonts w:eastAsia="Times New Roman" w:cs="Times New Roman"/>
              </w:rPr>
            </w:pPr>
            <w:proofErr w:type="gramStart"/>
            <w:r w:rsidRPr="00E051AE">
              <w:rPr>
                <w:rFonts w:eastAsia="Times New Roman" w:cs="Times New Roman"/>
                <w:i/>
              </w:rPr>
              <w:t>n</w:t>
            </w:r>
            <w:proofErr w:type="gramEnd"/>
            <w:r w:rsidRPr="00E051AE">
              <w:rPr>
                <w:rFonts w:eastAsia="Times New Roman" w:cs="Times New Roman"/>
              </w:rPr>
              <w:t xml:space="preserve"> (%)</w:t>
            </w:r>
          </w:p>
        </w:tc>
        <w:tc>
          <w:tcPr>
            <w:tcW w:w="123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38 (79%)</w:t>
            </w:r>
          </w:p>
        </w:tc>
        <w:tc>
          <w:tcPr>
            <w:tcW w:w="1166"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40 (78%)</w:t>
            </w:r>
          </w:p>
        </w:tc>
        <w:tc>
          <w:tcPr>
            <w:tcW w:w="120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44 (75%)</w:t>
            </w:r>
          </w:p>
        </w:tc>
        <w:tc>
          <w:tcPr>
            <w:tcW w:w="120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122 (77%)</w:t>
            </w:r>
          </w:p>
        </w:tc>
        <w:tc>
          <w:tcPr>
            <w:tcW w:w="1110" w:type="dxa"/>
          </w:tcPr>
          <w:p w:rsidR="005A3684" w:rsidRPr="005A3684" w:rsidRDefault="005A3684" w:rsidP="0017705D">
            <w:pPr>
              <w:spacing w:after="0" w:line="240" w:lineRule="auto"/>
              <w:rPr>
                <w:rFonts w:eastAsia="Times New Roman" w:cs="Times New Roman"/>
              </w:rPr>
            </w:pPr>
            <w:r w:rsidRPr="005A3684">
              <w:rPr>
                <w:rFonts w:eastAsia="Times New Roman" w:cs="Times New Roman"/>
              </w:rPr>
              <w:t>0.83</w:t>
            </w:r>
          </w:p>
        </w:tc>
      </w:tr>
      <w:tr w:rsidR="005A3684" w:rsidRPr="00E051AE" w:rsidTr="0017705D">
        <w:tc>
          <w:tcPr>
            <w:tcW w:w="1570" w:type="dxa"/>
            <w:vMerge w:val="restart"/>
          </w:tcPr>
          <w:p w:rsidR="005A3684" w:rsidRPr="00E051AE" w:rsidRDefault="005A3684" w:rsidP="0017705D">
            <w:pPr>
              <w:spacing w:after="0" w:line="240" w:lineRule="auto"/>
              <w:rPr>
                <w:rFonts w:eastAsia="Times New Roman" w:cs="Times New Roman"/>
              </w:rPr>
            </w:pPr>
            <w:r w:rsidRPr="00E051AE">
              <w:rPr>
                <w:rFonts w:eastAsia="Times New Roman" w:cs="Times New Roman"/>
              </w:rPr>
              <w:t>APACHE II score</w:t>
            </w:r>
          </w:p>
        </w:tc>
        <w:tc>
          <w:tcPr>
            <w:tcW w:w="1634" w:type="dxa"/>
          </w:tcPr>
          <w:p w:rsidR="005A3684" w:rsidRPr="00E051AE" w:rsidRDefault="005A3684" w:rsidP="0017705D">
            <w:pPr>
              <w:spacing w:after="0" w:line="240" w:lineRule="auto"/>
              <w:rPr>
                <w:rFonts w:eastAsia="Times New Roman" w:cs="Times New Roman"/>
              </w:rPr>
            </w:pPr>
            <w:r>
              <w:rPr>
                <w:rFonts w:eastAsia="Times New Roman" w:cs="Times New Roman"/>
              </w:rPr>
              <w:t>ICU a</w:t>
            </w:r>
            <w:r w:rsidRPr="00E051AE">
              <w:rPr>
                <w:rFonts w:eastAsia="Times New Roman" w:cs="Times New Roman"/>
              </w:rPr>
              <w:t xml:space="preserve">dmission </w:t>
            </w:r>
          </w:p>
          <w:p w:rsidR="005A3684" w:rsidRPr="00E051AE" w:rsidRDefault="005A3684" w:rsidP="0017705D">
            <w:pPr>
              <w:spacing w:after="0" w:line="240" w:lineRule="auto"/>
              <w:rPr>
                <w:rFonts w:eastAsia="Times New Roman" w:cs="Times New Roman"/>
              </w:rPr>
            </w:pPr>
            <w:r w:rsidRPr="00E051AE">
              <w:rPr>
                <w:rFonts w:eastAsia="Times New Roman" w:cs="Times New Roman"/>
              </w:rPr>
              <w:t>Median (range)</w:t>
            </w:r>
          </w:p>
        </w:tc>
        <w:tc>
          <w:tcPr>
            <w:tcW w:w="1238" w:type="dxa"/>
          </w:tcPr>
          <w:p w:rsidR="005A3684" w:rsidRPr="00E051AE" w:rsidRDefault="005A3684" w:rsidP="0017705D">
            <w:pPr>
              <w:spacing w:after="0" w:line="240" w:lineRule="auto"/>
              <w:rPr>
                <w:rFonts w:eastAsia="Times New Roman" w:cs="Times New Roman"/>
              </w:rPr>
            </w:pPr>
            <w:r>
              <w:rPr>
                <w:rFonts w:eastAsia="Times New Roman" w:cs="Times New Roman"/>
              </w:rPr>
              <w:t>17</w:t>
            </w:r>
            <w:r w:rsidRPr="00E051AE">
              <w:rPr>
                <w:rFonts w:eastAsia="Times New Roman" w:cs="Times New Roman"/>
              </w:rPr>
              <w:t xml:space="preserve"> (24)</w:t>
            </w:r>
          </w:p>
        </w:tc>
        <w:tc>
          <w:tcPr>
            <w:tcW w:w="1166"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18.0 (30)</w:t>
            </w:r>
          </w:p>
        </w:tc>
        <w:tc>
          <w:tcPr>
            <w:tcW w:w="120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16.0 (29)</w:t>
            </w:r>
          </w:p>
        </w:tc>
        <w:tc>
          <w:tcPr>
            <w:tcW w:w="1208" w:type="dxa"/>
          </w:tcPr>
          <w:p w:rsidR="005A3684" w:rsidRPr="00E051AE" w:rsidRDefault="005A3684" w:rsidP="0017705D">
            <w:pPr>
              <w:spacing w:after="0" w:line="240" w:lineRule="auto"/>
              <w:rPr>
                <w:rFonts w:eastAsia="Times New Roman" w:cs="Times New Roman"/>
              </w:rPr>
            </w:pPr>
            <w:r w:rsidRPr="00E051AE">
              <w:rPr>
                <w:rFonts w:eastAsia="Times New Roman" w:cs="Times New Roman"/>
              </w:rPr>
              <w:t>17.0 (30)</w:t>
            </w:r>
          </w:p>
        </w:tc>
        <w:tc>
          <w:tcPr>
            <w:tcW w:w="1110" w:type="dxa"/>
          </w:tcPr>
          <w:p w:rsidR="005A3684" w:rsidRPr="005A3684" w:rsidRDefault="005A3684" w:rsidP="0017705D">
            <w:pPr>
              <w:spacing w:after="0" w:line="240" w:lineRule="auto"/>
              <w:rPr>
                <w:rFonts w:eastAsia="Times New Roman" w:cs="Times New Roman"/>
              </w:rPr>
            </w:pPr>
            <w:r w:rsidRPr="005A3684">
              <w:rPr>
                <w:rFonts w:eastAsia="Times New Roman" w:cs="Times New Roman"/>
              </w:rPr>
              <w:t>0.41</w:t>
            </w:r>
          </w:p>
        </w:tc>
      </w:tr>
      <w:tr w:rsidR="005A3684" w:rsidRPr="00E051AE" w:rsidTr="0017705D">
        <w:tc>
          <w:tcPr>
            <w:tcW w:w="1570" w:type="dxa"/>
            <w:vMerge/>
            <w:tcBorders>
              <w:bottom w:val="single" w:sz="4" w:space="0" w:color="auto"/>
            </w:tcBorders>
          </w:tcPr>
          <w:p w:rsidR="005A3684" w:rsidRPr="00E051AE" w:rsidRDefault="005A3684" w:rsidP="0017705D">
            <w:pPr>
              <w:spacing w:after="0" w:line="240" w:lineRule="auto"/>
              <w:rPr>
                <w:rFonts w:eastAsia="Times New Roman" w:cs="Times New Roman"/>
              </w:rPr>
            </w:pPr>
          </w:p>
        </w:tc>
        <w:tc>
          <w:tcPr>
            <w:tcW w:w="1634" w:type="dxa"/>
            <w:tcBorders>
              <w:bottom w:val="single" w:sz="4" w:space="0" w:color="auto"/>
            </w:tcBorders>
          </w:tcPr>
          <w:p w:rsidR="005A3684" w:rsidRPr="00E051AE" w:rsidRDefault="005A3684" w:rsidP="0017705D">
            <w:pPr>
              <w:spacing w:after="0" w:line="240" w:lineRule="auto"/>
              <w:rPr>
                <w:rFonts w:eastAsia="Times New Roman" w:cs="Times New Roman"/>
              </w:rPr>
            </w:pPr>
            <w:r>
              <w:rPr>
                <w:rFonts w:eastAsia="Times New Roman" w:cs="Times New Roman"/>
              </w:rPr>
              <w:t>ICU d</w:t>
            </w:r>
            <w:r w:rsidRPr="00E051AE">
              <w:rPr>
                <w:rFonts w:eastAsia="Times New Roman" w:cs="Times New Roman"/>
              </w:rPr>
              <w:t>ischarge Median (range)</w:t>
            </w:r>
          </w:p>
        </w:tc>
        <w:tc>
          <w:tcPr>
            <w:tcW w:w="123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8.0 (20)</w:t>
            </w:r>
          </w:p>
        </w:tc>
        <w:tc>
          <w:tcPr>
            <w:tcW w:w="1166" w:type="dxa"/>
            <w:tcBorders>
              <w:bottom w:val="single" w:sz="4" w:space="0" w:color="auto"/>
            </w:tcBorders>
          </w:tcPr>
          <w:p w:rsidR="005A3684" w:rsidRPr="00E051AE" w:rsidRDefault="005A3684" w:rsidP="0017705D">
            <w:pPr>
              <w:spacing w:after="0" w:line="240" w:lineRule="auto"/>
              <w:rPr>
                <w:rFonts w:eastAsia="Times New Roman" w:cs="Times New Roman"/>
              </w:rPr>
            </w:pPr>
            <w:r>
              <w:rPr>
                <w:rFonts w:eastAsia="Times New Roman" w:cs="Times New Roman"/>
              </w:rPr>
              <w:t>9.5</w:t>
            </w:r>
            <w:r w:rsidRPr="00E051AE">
              <w:rPr>
                <w:rFonts w:eastAsia="Times New Roman" w:cs="Times New Roman"/>
              </w:rPr>
              <w:t xml:space="preserve"> (20)</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9.0 (21)</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9.0 (21)</w:t>
            </w:r>
          </w:p>
        </w:tc>
        <w:tc>
          <w:tcPr>
            <w:tcW w:w="1110" w:type="dxa"/>
            <w:tcBorders>
              <w:bottom w:val="single" w:sz="4" w:space="0" w:color="auto"/>
            </w:tcBorders>
          </w:tcPr>
          <w:p w:rsidR="005A3684" w:rsidRPr="005A3684" w:rsidRDefault="005A3684" w:rsidP="0017705D">
            <w:pPr>
              <w:spacing w:after="0" w:line="240" w:lineRule="auto"/>
              <w:rPr>
                <w:rFonts w:eastAsia="Times New Roman" w:cs="Times New Roman"/>
              </w:rPr>
            </w:pPr>
            <w:r w:rsidRPr="005A3684">
              <w:rPr>
                <w:rFonts w:eastAsia="Times New Roman" w:cs="Times New Roman"/>
              </w:rPr>
              <w:t>0.66</w:t>
            </w:r>
          </w:p>
        </w:tc>
      </w:tr>
      <w:tr w:rsidR="005A3684" w:rsidRPr="00E051AE" w:rsidTr="0017705D">
        <w:tc>
          <w:tcPr>
            <w:tcW w:w="1570" w:type="dxa"/>
            <w:vMerge w:val="restart"/>
          </w:tcPr>
          <w:p w:rsidR="005A3684" w:rsidRPr="00E051AE" w:rsidRDefault="005A3684" w:rsidP="0017705D">
            <w:pPr>
              <w:spacing w:after="0" w:line="240" w:lineRule="auto"/>
              <w:rPr>
                <w:rFonts w:eastAsia="Times New Roman" w:cs="Times New Roman"/>
              </w:rPr>
            </w:pPr>
            <w:r w:rsidRPr="00E051AE">
              <w:rPr>
                <w:rFonts w:eastAsia="Times New Roman" w:cs="Times New Roman"/>
              </w:rPr>
              <w:t>Length of stay</w:t>
            </w:r>
          </w:p>
        </w:tc>
        <w:tc>
          <w:tcPr>
            <w:tcW w:w="1634" w:type="dxa"/>
            <w:tcBorders>
              <w:bottom w:val="single" w:sz="4" w:space="0" w:color="auto"/>
            </w:tcBorders>
          </w:tcPr>
          <w:p w:rsidR="005A3684" w:rsidRDefault="005A3684" w:rsidP="0017705D">
            <w:pPr>
              <w:spacing w:after="0" w:line="240" w:lineRule="auto"/>
              <w:rPr>
                <w:rFonts w:eastAsia="Times New Roman" w:cs="Times New Roman"/>
              </w:rPr>
            </w:pPr>
            <w:r>
              <w:rPr>
                <w:rFonts w:eastAsia="Times New Roman" w:cs="Times New Roman"/>
              </w:rPr>
              <w:t>ICU d</w:t>
            </w:r>
            <w:r w:rsidRPr="00E051AE">
              <w:rPr>
                <w:rFonts w:eastAsia="Times New Roman" w:cs="Times New Roman"/>
              </w:rPr>
              <w:t xml:space="preserve">ays </w:t>
            </w:r>
          </w:p>
          <w:p w:rsidR="005A3684" w:rsidRPr="00E051AE" w:rsidRDefault="005A3684" w:rsidP="0017705D">
            <w:pPr>
              <w:spacing w:after="0" w:line="240" w:lineRule="auto"/>
              <w:rPr>
                <w:rFonts w:eastAsia="Times New Roman" w:cs="Times New Roman"/>
              </w:rPr>
            </w:pPr>
            <w:r w:rsidRPr="00E051AE">
              <w:rPr>
                <w:rFonts w:eastAsia="Times New Roman" w:cs="Times New Roman"/>
              </w:rPr>
              <w:t>Median (range)</w:t>
            </w:r>
          </w:p>
        </w:tc>
        <w:tc>
          <w:tcPr>
            <w:tcW w:w="123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6.0 (62)</w:t>
            </w:r>
          </w:p>
        </w:tc>
        <w:tc>
          <w:tcPr>
            <w:tcW w:w="1166" w:type="dxa"/>
            <w:tcBorders>
              <w:bottom w:val="single" w:sz="4" w:space="0" w:color="auto"/>
            </w:tcBorders>
          </w:tcPr>
          <w:p w:rsidR="005A3684" w:rsidRPr="00E051AE" w:rsidRDefault="005A3684" w:rsidP="0017705D">
            <w:pPr>
              <w:spacing w:after="0" w:line="240" w:lineRule="auto"/>
              <w:rPr>
                <w:rFonts w:eastAsia="Times New Roman" w:cs="Times New Roman"/>
              </w:rPr>
            </w:pPr>
            <w:r>
              <w:rPr>
                <w:rFonts w:eastAsia="Times New Roman" w:cs="Times New Roman"/>
              </w:rPr>
              <w:t>7</w:t>
            </w:r>
            <w:r w:rsidRPr="00E051AE">
              <w:rPr>
                <w:rFonts w:eastAsia="Times New Roman" w:cs="Times New Roman"/>
              </w:rPr>
              <w:t>.0 (104)</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6.0 (371)</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6.0 (371)</w:t>
            </w:r>
          </w:p>
        </w:tc>
        <w:tc>
          <w:tcPr>
            <w:tcW w:w="1110" w:type="dxa"/>
            <w:tcBorders>
              <w:bottom w:val="single" w:sz="4" w:space="0" w:color="auto"/>
            </w:tcBorders>
          </w:tcPr>
          <w:p w:rsidR="005A3684" w:rsidRPr="005A3684" w:rsidRDefault="005A3684" w:rsidP="0017705D">
            <w:pPr>
              <w:spacing w:after="0" w:line="240" w:lineRule="auto"/>
              <w:rPr>
                <w:rFonts w:eastAsia="Times New Roman" w:cs="Times New Roman"/>
              </w:rPr>
            </w:pPr>
            <w:r w:rsidRPr="005A3684">
              <w:rPr>
                <w:rFonts w:eastAsia="Times New Roman" w:cs="Times New Roman"/>
              </w:rPr>
              <w:t>0.24</w:t>
            </w:r>
          </w:p>
        </w:tc>
      </w:tr>
      <w:tr w:rsidR="005A3684" w:rsidRPr="00E051AE" w:rsidTr="0017705D">
        <w:tc>
          <w:tcPr>
            <w:tcW w:w="1570" w:type="dxa"/>
            <w:vMerge/>
            <w:tcBorders>
              <w:bottom w:val="single" w:sz="4" w:space="0" w:color="auto"/>
            </w:tcBorders>
          </w:tcPr>
          <w:p w:rsidR="005A3684" w:rsidRPr="00E051AE" w:rsidRDefault="005A3684" w:rsidP="0017705D">
            <w:pPr>
              <w:spacing w:after="0" w:line="240" w:lineRule="auto"/>
              <w:rPr>
                <w:rFonts w:eastAsia="Times New Roman" w:cs="Times New Roman"/>
                <w:b/>
              </w:rPr>
            </w:pPr>
          </w:p>
        </w:tc>
        <w:tc>
          <w:tcPr>
            <w:tcW w:w="1634" w:type="dxa"/>
            <w:tcBorders>
              <w:bottom w:val="single" w:sz="4" w:space="0" w:color="auto"/>
            </w:tcBorders>
          </w:tcPr>
          <w:p w:rsidR="005A3684" w:rsidRPr="00E051AE" w:rsidRDefault="005A3684" w:rsidP="0017705D">
            <w:pPr>
              <w:spacing w:after="0" w:line="240" w:lineRule="auto"/>
              <w:rPr>
                <w:rFonts w:eastAsia="Times New Roman" w:cs="Times New Roman"/>
              </w:rPr>
            </w:pPr>
            <w:r>
              <w:rPr>
                <w:rFonts w:eastAsia="Times New Roman" w:cs="Times New Roman"/>
              </w:rPr>
              <w:t>Hospital d</w:t>
            </w:r>
            <w:r w:rsidRPr="00E051AE">
              <w:rPr>
                <w:rFonts w:eastAsia="Times New Roman" w:cs="Times New Roman"/>
              </w:rPr>
              <w:t xml:space="preserve">ays </w:t>
            </w:r>
          </w:p>
          <w:p w:rsidR="005A3684" w:rsidRPr="00E051AE" w:rsidRDefault="005A3684" w:rsidP="0017705D">
            <w:pPr>
              <w:spacing w:after="0" w:line="240" w:lineRule="auto"/>
              <w:rPr>
                <w:rFonts w:eastAsia="Times New Roman" w:cs="Times New Roman"/>
              </w:rPr>
            </w:pPr>
            <w:r w:rsidRPr="00E051AE">
              <w:rPr>
                <w:rFonts w:eastAsia="Times New Roman" w:cs="Times New Roman"/>
              </w:rPr>
              <w:t>Median (range)</w:t>
            </w:r>
          </w:p>
        </w:tc>
        <w:tc>
          <w:tcPr>
            <w:tcW w:w="123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1</w:t>
            </w:r>
            <w:r>
              <w:rPr>
                <w:rFonts w:eastAsia="Times New Roman" w:cs="Times New Roman"/>
              </w:rPr>
              <w:t>6</w:t>
            </w:r>
            <w:r w:rsidRPr="00E051AE">
              <w:rPr>
                <w:rFonts w:eastAsia="Times New Roman" w:cs="Times New Roman"/>
              </w:rPr>
              <w:t>.0 (132)</w:t>
            </w:r>
          </w:p>
        </w:tc>
        <w:tc>
          <w:tcPr>
            <w:tcW w:w="1166"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2</w:t>
            </w:r>
            <w:r>
              <w:rPr>
                <w:rFonts w:eastAsia="Times New Roman" w:cs="Times New Roman"/>
              </w:rPr>
              <w:t>1</w:t>
            </w:r>
            <w:r w:rsidRPr="00E051AE">
              <w:rPr>
                <w:rFonts w:eastAsia="Times New Roman" w:cs="Times New Roman"/>
              </w:rPr>
              <w:t>.</w:t>
            </w:r>
            <w:r>
              <w:rPr>
                <w:rFonts w:eastAsia="Times New Roman" w:cs="Times New Roman"/>
              </w:rPr>
              <w:t>5</w:t>
            </w:r>
            <w:r w:rsidRPr="00E051AE">
              <w:rPr>
                <w:rFonts w:eastAsia="Times New Roman" w:cs="Times New Roman"/>
              </w:rPr>
              <w:t xml:space="preserve"> (220)</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22.0 (166)</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21.0 (221)</w:t>
            </w:r>
          </w:p>
        </w:tc>
        <w:tc>
          <w:tcPr>
            <w:tcW w:w="1110" w:type="dxa"/>
            <w:tcBorders>
              <w:bottom w:val="single" w:sz="4" w:space="0" w:color="auto"/>
            </w:tcBorders>
          </w:tcPr>
          <w:p w:rsidR="005A3684" w:rsidRPr="005A3684" w:rsidRDefault="005A3684" w:rsidP="0017705D">
            <w:pPr>
              <w:spacing w:after="0" w:line="240" w:lineRule="auto"/>
              <w:rPr>
                <w:rFonts w:eastAsia="Times New Roman" w:cs="Times New Roman"/>
              </w:rPr>
            </w:pPr>
            <w:r w:rsidRPr="005A3684">
              <w:rPr>
                <w:rFonts w:eastAsia="Times New Roman" w:cs="Times New Roman"/>
              </w:rPr>
              <w:t>0.25</w:t>
            </w:r>
          </w:p>
        </w:tc>
      </w:tr>
      <w:tr w:rsidR="005A3684" w:rsidRPr="00E051AE" w:rsidTr="0017705D">
        <w:tc>
          <w:tcPr>
            <w:tcW w:w="1570"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Level 3 critical illness</w:t>
            </w:r>
          </w:p>
        </w:tc>
        <w:tc>
          <w:tcPr>
            <w:tcW w:w="1634" w:type="dxa"/>
            <w:tcBorders>
              <w:bottom w:val="single" w:sz="4" w:space="0" w:color="auto"/>
            </w:tcBorders>
          </w:tcPr>
          <w:p w:rsidR="005A3684" w:rsidRPr="00E051AE" w:rsidRDefault="005A3684" w:rsidP="0017705D">
            <w:pPr>
              <w:spacing w:after="0" w:line="240" w:lineRule="auto"/>
              <w:rPr>
                <w:rFonts w:eastAsia="Times New Roman" w:cs="Times New Roman"/>
              </w:rPr>
            </w:pPr>
            <w:proofErr w:type="gramStart"/>
            <w:r w:rsidRPr="00E051AE">
              <w:rPr>
                <w:rFonts w:eastAsia="Times New Roman" w:cs="Times New Roman"/>
                <w:i/>
              </w:rPr>
              <w:t>n</w:t>
            </w:r>
            <w:proofErr w:type="gramEnd"/>
            <w:r w:rsidRPr="00E051AE">
              <w:rPr>
                <w:rFonts w:eastAsia="Times New Roman" w:cs="Times New Roman"/>
              </w:rPr>
              <w:t xml:space="preserve"> (%)</w:t>
            </w:r>
          </w:p>
        </w:tc>
        <w:tc>
          <w:tcPr>
            <w:tcW w:w="123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29 (60%)</w:t>
            </w:r>
          </w:p>
        </w:tc>
        <w:tc>
          <w:tcPr>
            <w:tcW w:w="1166"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35 (69%)</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34 (58%)</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98 (62%)</w:t>
            </w:r>
          </w:p>
        </w:tc>
        <w:tc>
          <w:tcPr>
            <w:tcW w:w="1110" w:type="dxa"/>
            <w:tcBorders>
              <w:bottom w:val="single" w:sz="4" w:space="0" w:color="auto"/>
            </w:tcBorders>
          </w:tcPr>
          <w:p w:rsidR="005A3684" w:rsidRPr="005A3684" w:rsidRDefault="005A3684" w:rsidP="0017705D">
            <w:pPr>
              <w:spacing w:after="0" w:line="240" w:lineRule="auto"/>
              <w:rPr>
                <w:rFonts w:eastAsia="Times New Roman" w:cs="Times New Roman"/>
              </w:rPr>
            </w:pPr>
            <w:r w:rsidRPr="005A3684">
              <w:rPr>
                <w:rFonts w:eastAsia="Times New Roman" w:cs="Times New Roman"/>
              </w:rPr>
              <w:t>0.58</w:t>
            </w:r>
          </w:p>
        </w:tc>
      </w:tr>
      <w:tr w:rsidR="005A3684" w:rsidRPr="00E051AE" w:rsidTr="0017705D">
        <w:tc>
          <w:tcPr>
            <w:tcW w:w="1570"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Total no. of participants</w:t>
            </w:r>
          </w:p>
        </w:tc>
        <w:tc>
          <w:tcPr>
            <w:tcW w:w="1634" w:type="dxa"/>
            <w:tcBorders>
              <w:bottom w:val="single" w:sz="4" w:space="0" w:color="auto"/>
            </w:tcBorders>
          </w:tcPr>
          <w:p w:rsidR="005A3684" w:rsidRPr="00E051AE" w:rsidRDefault="005A3684" w:rsidP="0017705D">
            <w:pPr>
              <w:spacing w:after="0" w:line="240" w:lineRule="auto"/>
              <w:rPr>
                <w:rFonts w:eastAsia="Times New Roman" w:cs="Times New Roman"/>
                <w:i/>
              </w:rPr>
            </w:pPr>
            <w:proofErr w:type="gramStart"/>
            <w:r w:rsidRPr="00E051AE">
              <w:rPr>
                <w:rFonts w:eastAsia="Times New Roman" w:cs="Times New Roman"/>
                <w:i/>
              </w:rPr>
              <w:t>n</w:t>
            </w:r>
            <w:proofErr w:type="gramEnd"/>
            <w:r w:rsidRPr="00E051AE">
              <w:rPr>
                <w:rFonts w:eastAsia="Times New Roman" w:cs="Times New Roman"/>
              </w:rPr>
              <w:t xml:space="preserve"> (%)</w:t>
            </w:r>
          </w:p>
        </w:tc>
        <w:tc>
          <w:tcPr>
            <w:tcW w:w="123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48 (100%)</w:t>
            </w:r>
          </w:p>
        </w:tc>
        <w:tc>
          <w:tcPr>
            <w:tcW w:w="1166"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51 (100%)</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59 (100%)</w:t>
            </w:r>
          </w:p>
        </w:tc>
        <w:tc>
          <w:tcPr>
            <w:tcW w:w="1208" w:type="dxa"/>
            <w:tcBorders>
              <w:bottom w:val="single" w:sz="4" w:space="0" w:color="auto"/>
            </w:tcBorders>
          </w:tcPr>
          <w:p w:rsidR="005A3684" w:rsidRPr="00E051AE" w:rsidRDefault="005A3684" w:rsidP="0017705D">
            <w:pPr>
              <w:spacing w:after="0" w:line="240" w:lineRule="auto"/>
              <w:rPr>
                <w:rFonts w:eastAsia="Times New Roman" w:cs="Times New Roman"/>
              </w:rPr>
            </w:pPr>
            <w:r w:rsidRPr="00E051AE">
              <w:rPr>
                <w:rFonts w:eastAsia="Times New Roman" w:cs="Times New Roman"/>
              </w:rPr>
              <w:t>158 (100%)</w:t>
            </w:r>
          </w:p>
        </w:tc>
        <w:tc>
          <w:tcPr>
            <w:tcW w:w="1110" w:type="dxa"/>
            <w:tcBorders>
              <w:bottom w:val="single" w:sz="4" w:space="0" w:color="auto"/>
            </w:tcBorders>
          </w:tcPr>
          <w:p w:rsidR="005A3684" w:rsidRPr="005A3684" w:rsidRDefault="005A3684" w:rsidP="0017705D">
            <w:pPr>
              <w:spacing w:after="0" w:line="240" w:lineRule="auto"/>
              <w:rPr>
                <w:rFonts w:eastAsia="Times New Roman" w:cs="Times New Roman"/>
              </w:rPr>
            </w:pPr>
            <w:r w:rsidRPr="005A3684">
              <w:rPr>
                <w:rFonts w:eastAsia="Times New Roman" w:cs="Times New Roman"/>
              </w:rPr>
              <w:t>N/A</w:t>
            </w:r>
          </w:p>
        </w:tc>
      </w:tr>
    </w:tbl>
    <w:p w:rsidR="001D35AB" w:rsidRPr="00E02FD7" w:rsidRDefault="001D35AB" w:rsidP="00E02FD7">
      <w:pPr>
        <w:spacing w:line="480" w:lineRule="auto"/>
        <w:rPr>
          <w:sz w:val="24"/>
          <w:szCs w:val="24"/>
        </w:rPr>
      </w:pPr>
    </w:p>
    <w:p w:rsidR="00E051AE" w:rsidRPr="00E02FD7" w:rsidRDefault="00C346A5" w:rsidP="00E02FD7">
      <w:pPr>
        <w:spacing w:line="480" w:lineRule="auto"/>
        <w:rPr>
          <w:sz w:val="24"/>
          <w:szCs w:val="24"/>
        </w:rPr>
      </w:pPr>
      <w:r w:rsidRPr="00E02FD7">
        <w:rPr>
          <w:sz w:val="24"/>
          <w:szCs w:val="24"/>
        </w:rPr>
        <w:t>For the majority of the sample (</w:t>
      </w:r>
      <w:r w:rsidRPr="00E02FD7">
        <w:rPr>
          <w:i/>
          <w:sz w:val="24"/>
          <w:szCs w:val="24"/>
        </w:rPr>
        <w:t>n</w:t>
      </w:r>
      <w:r w:rsidRPr="00E02FD7">
        <w:rPr>
          <w:sz w:val="24"/>
          <w:szCs w:val="24"/>
        </w:rPr>
        <w:t>=122, 77%)</w:t>
      </w:r>
      <w:r w:rsidR="004F4E69" w:rsidRPr="00E02FD7">
        <w:rPr>
          <w:sz w:val="24"/>
          <w:szCs w:val="24"/>
        </w:rPr>
        <w:t>,</w:t>
      </w:r>
      <w:r w:rsidRPr="00E02FD7">
        <w:rPr>
          <w:sz w:val="24"/>
          <w:szCs w:val="24"/>
        </w:rPr>
        <w:t xml:space="preserve"> admission to the </w:t>
      </w:r>
      <w:r w:rsidR="003A0392" w:rsidRPr="00E02FD7">
        <w:rPr>
          <w:sz w:val="24"/>
          <w:szCs w:val="24"/>
        </w:rPr>
        <w:t xml:space="preserve">ICU </w:t>
      </w:r>
      <w:r w:rsidRPr="00E02FD7">
        <w:rPr>
          <w:sz w:val="24"/>
          <w:szCs w:val="24"/>
        </w:rPr>
        <w:t>was unplanned</w:t>
      </w:r>
      <w:r w:rsidR="00E8197F" w:rsidRPr="00E02FD7">
        <w:rPr>
          <w:sz w:val="24"/>
          <w:szCs w:val="24"/>
        </w:rPr>
        <w:t xml:space="preserve">. </w:t>
      </w:r>
      <w:r w:rsidR="00F07BC1" w:rsidRPr="00E02FD7">
        <w:rPr>
          <w:sz w:val="24"/>
          <w:szCs w:val="24"/>
        </w:rPr>
        <w:t>Twenty nine</w:t>
      </w:r>
      <w:r w:rsidRPr="00E02FD7">
        <w:rPr>
          <w:sz w:val="24"/>
          <w:szCs w:val="24"/>
        </w:rPr>
        <w:t xml:space="preserve"> (18%) had </w:t>
      </w:r>
      <w:r w:rsidR="004F4E69" w:rsidRPr="00E02FD7">
        <w:rPr>
          <w:sz w:val="24"/>
          <w:szCs w:val="24"/>
        </w:rPr>
        <w:t xml:space="preserve">experienced </w:t>
      </w:r>
      <w:r w:rsidRPr="00E02FD7">
        <w:rPr>
          <w:sz w:val="24"/>
          <w:szCs w:val="24"/>
        </w:rPr>
        <w:t xml:space="preserve">previous </w:t>
      </w:r>
      <w:r w:rsidR="003A0392" w:rsidRPr="00E02FD7">
        <w:rPr>
          <w:sz w:val="24"/>
          <w:szCs w:val="24"/>
        </w:rPr>
        <w:t xml:space="preserve">ICU </w:t>
      </w:r>
      <w:r w:rsidR="004F4E69" w:rsidRPr="00E02FD7">
        <w:rPr>
          <w:sz w:val="24"/>
          <w:szCs w:val="24"/>
        </w:rPr>
        <w:t>admissions</w:t>
      </w:r>
      <w:r w:rsidR="00B44375" w:rsidRPr="00E02FD7">
        <w:rPr>
          <w:sz w:val="24"/>
          <w:szCs w:val="24"/>
        </w:rPr>
        <w:t xml:space="preserve">; </w:t>
      </w:r>
      <w:r w:rsidR="0098650F" w:rsidRPr="0098650F">
        <w:rPr>
          <w:sz w:val="24"/>
          <w:szCs w:val="24"/>
        </w:rPr>
        <w:t xml:space="preserve">nine of these participants </w:t>
      </w:r>
      <w:r w:rsidR="00B44375" w:rsidRPr="00E02FD7">
        <w:rPr>
          <w:sz w:val="24"/>
          <w:szCs w:val="24"/>
        </w:rPr>
        <w:t xml:space="preserve">were from the </w:t>
      </w:r>
      <w:proofErr w:type="spellStart"/>
      <w:r w:rsidR="00B44375" w:rsidRPr="00E02FD7">
        <w:rPr>
          <w:sz w:val="24"/>
          <w:szCs w:val="24"/>
        </w:rPr>
        <w:t>ICUsteps</w:t>
      </w:r>
      <w:proofErr w:type="spellEnd"/>
      <w:r w:rsidR="00B44375" w:rsidRPr="00E02FD7">
        <w:rPr>
          <w:sz w:val="24"/>
          <w:szCs w:val="24"/>
        </w:rPr>
        <w:t xml:space="preserve"> group (</w:t>
      </w:r>
      <w:r w:rsidR="00B44375" w:rsidRPr="00E02FD7">
        <w:rPr>
          <w:i/>
          <w:sz w:val="24"/>
          <w:szCs w:val="24"/>
        </w:rPr>
        <w:t>n</w:t>
      </w:r>
      <w:r w:rsidR="00B44375" w:rsidRPr="00E02FD7">
        <w:rPr>
          <w:sz w:val="24"/>
          <w:szCs w:val="24"/>
        </w:rPr>
        <w:t xml:space="preserve">=48, 19%), </w:t>
      </w:r>
      <w:r w:rsidR="00960D50" w:rsidRPr="00E02FD7">
        <w:rPr>
          <w:sz w:val="24"/>
          <w:szCs w:val="24"/>
        </w:rPr>
        <w:t>10</w:t>
      </w:r>
      <w:r w:rsidR="00B44375" w:rsidRPr="00E02FD7">
        <w:rPr>
          <w:sz w:val="24"/>
          <w:szCs w:val="24"/>
        </w:rPr>
        <w:t xml:space="preserve"> were from the UCCDIP group (</w:t>
      </w:r>
      <w:r w:rsidR="00B44375" w:rsidRPr="00E02FD7">
        <w:rPr>
          <w:i/>
          <w:sz w:val="24"/>
          <w:szCs w:val="24"/>
        </w:rPr>
        <w:t>n</w:t>
      </w:r>
      <w:r w:rsidR="00B44375" w:rsidRPr="00E02FD7">
        <w:rPr>
          <w:sz w:val="24"/>
          <w:szCs w:val="24"/>
        </w:rPr>
        <w:t xml:space="preserve">=51, 20%) and </w:t>
      </w:r>
      <w:r w:rsidR="00960D50" w:rsidRPr="00E02FD7">
        <w:rPr>
          <w:sz w:val="24"/>
          <w:szCs w:val="24"/>
        </w:rPr>
        <w:t>10 from the ad-hoc verbal information group (</w:t>
      </w:r>
      <w:r w:rsidR="00960D50" w:rsidRPr="00E02FD7">
        <w:rPr>
          <w:i/>
          <w:sz w:val="24"/>
          <w:szCs w:val="24"/>
        </w:rPr>
        <w:t>n</w:t>
      </w:r>
      <w:r w:rsidR="00960D50" w:rsidRPr="00E02FD7">
        <w:rPr>
          <w:sz w:val="24"/>
          <w:szCs w:val="24"/>
        </w:rPr>
        <w:t>=59, 17%)</w:t>
      </w:r>
      <w:r w:rsidRPr="00E02FD7">
        <w:rPr>
          <w:sz w:val="24"/>
          <w:szCs w:val="24"/>
        </w:rPr>
        <w:t xml:space="preserve">. A recorded history of depression with or without anxiety was evident in 14 (9%) of the total patient sample and the presence of delirium whilst in the </w:t>
      </w:r>
      <w:r w:rsidR="003A0392" w:rsidRPr="00E02FD7">
        <w:rPr>
          <w:sz w:val="24"/>
          <w:szCs w:val="24"/>
        </w:rPr>
        <w:t xml:space="preserve">ICU </w:t>
      </w:r>
      <w:r w:rsidRPr="00E02FD7">
        <w:rPr>
          <w:sz w:val="24"/>
          <w:szCs w:val="24"/>
        </w:rPr>
        <w:t>was recorded in 11 (7%) participants’ medical notes.</w:t>
      </w:r>
    </w:p>
    <w:p w:rsidR="00281FAA" w:rsidRPr="00E02FD7" w:rsidRDefault="006D6712" w:rsidP="00E02FD7">
      <w:pPr>
        <w:spacing w:line="480" w:lineRule="auto"/>
        <w:rPr>
          <w:sz w:val="24"/>
          <w:szCs w:val="24"/>
        </w:rPr>
      </w:pPr>
      <w:r w:rsidRPr="00E02FD7">
        <w:rPr>
          <w:sz w:val="24"/>
          <w:szCs w:val="24"/>
        </w:rPr>
        <w:t>R</w:t>
      </w:r>
      <w:r w:rsidR="00281FAA" w:rsidRPr="00E02FD7">
        <w:rPr>
          <w:sz w:val="24"/>
          <w:szCs w:val="24"/>
        </w:rPr>
        <w:t>elatives (</w:t>
      </w:r>
      <w:r w:rsidR="00281FAA" w:rsidRPr="00E02FD7">
        <w:rPr>
          <w:i/>
          <w:sz w:val="24"/>
          <w:szCs w:val="24"/>
        </w:rPr>
        <w:t>n</w:t>
      </w:r>
      <w:r w:rsidR="00281FAA" w:rsidRPr="00E02FD7">
        <w:rPr>
          <w:sz w:val="24"/>
          <w:szCs w:val="24"/>
        </w:rPr>
        <w:t xml:space="preserve">=80) </w:t>
      </w:r>
      <w:r w:rsidR="00E8197F" w:rsidRPr="00E02FD7">
        <w:rPr>
          <w:sz w:val="24"/>
          <w:szCs w:val="24"/>
        </w:rPr>
        <w:t xml:space="preserve">were </w:t>
      </w:r>
      <w:r w:rsidR="00281FAA" w:rsidRPr="00E02FD7">
        <w:rPr>
          <w:sz w:val="24"/>
          <w:szCs w:val="24"/>
        </w:rPr>
        <w:t xml:space="preserve">aged between 18-94 </w:t>
      </w:r>
      <w:r w:rsidR="00775478" w:rsidRPr="00E02FD7">
        <w:rPr>
          <w:sz w:val="24"/>
          <w:szCs w:val="24"/>
        </w:rPr>
        <w:t xml:space="preserve">years (mean 55 years, SD 14.6), </w:t>
      </w:r>
      <w:r w:rsidR="00281FAA" w:rsidRPr="00E02FD7">
        <w:rPr>
          <w:sz w:val="24"/>
          <w:szCs w:val="24"/>
        </w:rPr>
        <w:t>predominantly white British/Irish (</w:t>
      </w:r>
      <w:r w:rsidR="00281FAA" w:rsidRPr="00E02FD7">
        <w:rPr>
          <w:i/>
          <w:sz w:val="24"/>
          <w:szCs w:val="24"/>
        </w:rPr>
        <w:t>n</w:t>
      </w:r>
      <w:r w:rsidR="00281FAA" w:rsidRPr="00E02FD7">
        <w:rPr>
          <w:sz w:val="24"/>
          <w:szCs w:val="24"/>
        </w:rPr>
        <w:t>=63, 79%)</w:t>
      </w:r>
      <w:r w:rsidR="00E3055D" w:rsidRPr="00E02FD7">
        <w:rPr>
          <w:sz w:val="24"/>
          <w:szCs w:val="24"/>
        </w:rPr>
        <w:t xml:space="preserve"> and</w:t>
      </w:r>
      <w:r w:rsidR="00281FAA" w:rsidRPr="00E02FD7">
        <w:rPr>
          <w:sz w:val="24"/>
          <w:szCs w:val="24"/>
        </w:rPr>
        <w:t xml:space="preserve"> female (</w:t>
      </w:r>
      <w:r w:rsidR="00281FAA" w:rsidRPr="00E02FD7">
        <w:rPr>
          <w:i/>
          <w:sz w:val="24"/>
          <w:szCs w:val="24"/>
        </w:rPr>
        <w:t>n</w:t>
      </w:r>
      <w:r w:rsidR="00281FAA" w:rsidRPr="00E02FD7">
        <w:rPr>
          <w:sz w:val="24"/>
          <w:szCs w:val="24"/>
        </w:rPr>
        <w:t>=52, 65%)</w:t>
      </w:r>
      <w:r w:rsidR="0097168E" w:rsidRPr="00E02FD7">
        <w:rPr>
          <w:sz w:val="24"/>
          <w:szCs w:val="24"/>
        </w:rPr>
        <w:t xml:space="preserve">. </w:t>
      </w:r>
      <w:r w:rsidR="00E8197F" w:rsidRPr="00E02FD7">
        <w:rPr>
          <w:sz w:val="24"/>
          <w:szCs w:val="24"/>
        </w:rPr>
        <w:t>M</w:t>
      </w:r>
      <w:r w:rsidR="00281FAA" w:rsidRPr="00E02FD7">
        <w:rPr>
          <w:sz w:val="24"/>
          <w:szCs w:val="24"/>
        </w:rPr>
        <w:t>ost were spouses or long-term partners (</w:t>
      </w:r>
      <w:r w:rsidR="00281FAA" w:rsidRPr="00E02FD7">
        <w:rPr>
          <w:i/>
          <w:sz w:val="24"/>
          <w:szCs w:val="24"/>
        </w:rPr>
        <w:t>n</w:t>
      </w:r>
      <w:r w:rsidR="00281FAA" w:rsidRPr="00E02FD7">
        <w:rPr>
          <w:sz w:val="24"/>
          <w:szCs w:val="24"/>
        </w:rPr>
        <w:t xml:space="preserve">=37, 46%) of the recruited patient. A history of anxiety and/or depression was reported by 20 (25%) of the sample. </w:t>
      </w:r>
    </w:p>
    <w:p w:rsidR="00281FAA" w:rsidRPr="00E02FD7" w:rsidRDefault="00281FAA" w:rsidP="00E02FD7">
      <w:pPr>
        <w:spacing w:line="480" w:lineRule="auto"/>
        <w:rPr>
          <w:sz w:val="24"/>
          <w:szCs w:val="24"/>
        </w:rPr>
      </w:pPr>
      <w:r w:rsidRPr="00E02FD7">
        <w:rPr>
          <w:sz w:val="24"/>
          <w:szCs w:val="24"/>
        </w:rPr>
        <w:t>Patient p</w:t>
      </w:r>
      <w:r w:rsidR="00CE5EED" w:rsidRPr="00E02FD7">
        <w:rPr>
          <w:sz w:val="24"/>
          <w:szCs w:val="24"/>
        </w:rPr>
        <w:t xml:space="preserve">articipants in the UCCDIP </w:t>
      </w:r>
      <w:r w:rsidR="00053FB9" w:rsidRPr="00E02FD7">
        <w:rPr>
          <w:sz w:val="24"/>
          <w:szCs w:val="24"/>
        </w:rPr>
        <w:t xml:space="preserve">sample </w:t>
      </w:r>
      <w:r w:rsidR="00CE5EED" w:rsidRPr="00E02FD7">
        <w:rPr>
          <w:sz w:val="24"/>
          <w:szCs w:val="24"/>
        </w:rPr>
        <w:t xml:space="preserve">were more frequently </w:t>
      </w:r>
      <w:r w:rsidR="00E8197F" w:rsidRPr="00E02FD7">
        <w:rPr>
          <w:sz w:val="24"/>
          <w:szCs w:val="24"/>
        </w:rPr>
        <w:t xml:space="preserve">admitted </w:t>
      </w:r>
      <w:r w:rsidR="00CE5EED" w:rsidRPr="00E02FD7">
        <w:rPr>
          <w:sz w:val="24"/>
          <w:szCs w:val="24"/>
        </w:rPr>
        <w:t>from an in-hospital bed</w:t>
      </w:r>
      <w:r w:rsidR="00322ABF" w:rsidRPr="00E02FD7">
        <w:rPr>
          <w:sz w:val="24"/>
          <w:szCs w:val="24"/>
        </w:rPr>
        <w:t xml:space="preserve"> and </w:t>
      </w:r>
      <w:r w:rsidR="00CE5EED" w:rsidRPr="00E02FD7">
        <w:rPr>
          <w:sz w:val="24"/>
          <w:szCs w:val="24"/>
        </w:rPr>
        <w:t xml:space="preserve">received more </w:t>
      </w:r>
      <w:r w:rsidR="00322ABF" w:rsidRPr="00E02FD7">
        <w:rPr>
          <w:sz w:val="24"/>
          <w:szCs w:val="24"/>
        </w:rPr>
        <w:t xml:space="preserve">days of </w:t>
      </w:r>
      <w:r w:rsidR="00CE5EED" w:rsidRPr="00E02FD7">
        <w:rPr>
          <w:sz w:val="24"/>
          <w:szCs w:val="24"/>
        </w:rPr>
        <w:t xml:space="preserve">level 3 </w:t>
      </w:r>
      <w:proofErr w:type="gramStart"/>
      <w:r w:rsidR="00CE5EED" w:rsidRPr="00E02FD7">
        <w:rPr>
          <w:sz w:val="24"/>
          <w:szCs w:val="24"/>
        </w:rPr>
        <w:t>care</w:t>
      </w:r>
      <w:proofErr w:type="gramEnd"/>
      <w:r w:rsidR="00CE5EED" w:rsidRPr="00E02FD7">
        <w:rPr>
          <w:sz w:val="24"/>
          <w:szCs w:val="24"/>
        </w:rPr>
        <w:t>. The</w:t>
      </w:r>
      <w:r w:rsidR="006B7098" w:rsidRPr="00E02FD7">
        <w:rPr>
          <w:sz w:val="24"/>
          <w:szCs w:val="24"/>
        </w:rPr>
        <w:t>y</w:t>
      </w:r>
      <w:r w:rsidR="00CE5EED" w:rsidRPr="00E02FD7">
        <w:rPr>
          <w:sz w:val="24"/>
          <w:szCs w:val="24"/>
        </w:rPr>
        <w:t xml:space="preserve"> also had </w:t>
      </w:r>
      <w:r w:rsidR="00E8197F" w:rsidRPr="00E02FD7">
        <w:rPr>
          <w:sz w:val="24"/>
          <w:szCs w:val="24"/>
        </w:rPr>
        <w:t>higher</w:t>
      </w:r>
      <w:r w:rsidR="00CE5EED" w:rsidRPr="00E02FD7">
        <w:rPr>
          <w:sz w:val="24"/>
          <w:szCs w:val="24"/>
        </w:rPr>
        <w:t xml:space="preserve"> APACHE II scores on both admission and discharge and stayed in the </w:t>
      </w:r>
      <w:r w:rsidR="003A0392" w:rsidRPr="00E02FD7">
        <w:rPr>
          <w:sz w:val="24"/>
          <w:szCs w:val="24"/>
        </w:rPr>
        <w:t xml:space="preserve">ICU </w:t>
      </w:r>
      <w:r w:rsidR="00CE5EED" w:rsidRPr="00E02FD7">
        <w:rPr>
          <w:sz w:val="24"/>
          <w:szCs w:val="24"/>
        </w:rPr>
        <w:t xml:space="preserve">for longer than participants in either of the other two groups; even when outliers with a </w:t>
      </w:r>
      <w:r w:rsidR="003A0392" w:rsidRPr="00E02FD7">
        <w:rPr>
          <w:sz w:val="24"/>
          <w:szCs w:val="24"/>
        </w:rPr>
        <w:t xml:space="preserve">ICU </w:t>
      </w:r>
      <w:r w:rsidR="00CE5EED" w:rsidRPr="00E02FD7">
        <w:rPr>
          <w:sz w:val="24"/>
          <w:szCs w:val="24"/>
        </w:rPr>
        <w:t>stay of &gt;100 days were removed (</w:t>
      </w:r>
      <w:r w:rsidR="00CE5EED" w:rsidRPr="00E02FD7">
        <w:rPr>
          <w:i/>
          <w:sz w:val="24"/>
          <w:szCs w:val="24"/>
        </w:rPr>
        <w:t>n</w:t>
      </w:r>
      <w:r w:rsidR="00CE5EED" w:rsidRPr="00E02FD7">
        <w:rPr>
          <w:sz w:val="24"/>
          <w:szCs w:val="24"/>
        </w:rPr>
        <w:t>=2).</w:t>
      </w:r>
      <w:r w:rsidRPr="00E02FD7">
        <w:rPr>
          <w:sz w:val="24"/>
          <w:szCs w:val="24"/>
        </w:rPr>
        <w:t xml:space="preserve"> </w:t>
      </w:r>
      <w:r w:rsidR="001C260C" w:rsidRPr="00E02FD7">
        <w:rPr>
          <w:sz w:val="24"/>
          <w:szCs w:val="24"/>
        </w:rPr>
        <w:t xml:space="preserve">None of these differences were statistically significant. </w:t>
      </w:r>
    </w:p>
    <w:p w:rsidR="00F5306A" w:rsidRPr="00E02FD7" w:rsidRDefault="00281FAA" w:rsidP="00E02FD7">
      <w:pPr>
        <w:spacing w:line="480" w:lineRule="auto"/>
        <w:outlineLvl w:val="0"/>
        <w:rPr>
          <w:b/>
          <w:sz w:val="24"/>
          <w:szCs w:val="24"/>
        </w:rPr>
      </w:pPr>
      <w:r w:rsidRPr="00E02FD7">
        <w:rPr>
          <w:b/>
          <w:sz w:val="24"/>
          <w:szCs w:val="24"/>
        </w:rPr>
        <w:t>P</w:t>
      </w:r>
      <w:r w:rsidR="00F5306A" w:rsidRPr="00E02FD7">
        <w:rPr>
          <w:b/>
          <w:sz w:val="24"/>
          <w:szCs w:val="24"/>
        </w:rPr>
        <w:t>articipant follow-up</w:t>
      </w:r>
    </w:p>
    <w:p w:rsidR="001D28C1" w:rsidRPr="00E02FD7" w:rsidRDefault="00777CB6" w:rsidP="00E02FD7">
      <w:pPr>
        <w:spacing w:line="480" w:lineRule="auto"/>
        <w:rPr>
          <w:sz w:val="24"/>
          <w:szCs w:val="24"/>
        </w:rPr>
      </w:pPr>
      <w:bookmarkStart w:id="4" w:name="_Toc372020656"/>
      <w:r w:rsidRPr="00E02FD7">
        <w:rPr>
          <w:sz w:val="24"/>
          <w:szCs w:val="24"/>
        </w:rPr>
        <w:t xml:space="preserve">One hundred and one (64%) </w:t>
      </w:r>
      <w:r w:rsidR="00281FAA" w:rsidRPr="00E02FD7">
        <w:rPr>
          <w:sz w:val="24"/>
          <w:szCs w:val="24"/>
        </w:rPr>
        <w:t xml:space="preserve">patient </w:t>
      </w:r>
      <w:r w:rsidRPr="00E02FD7">
        <w:rPr>
          <w:sz w:val="24"/>
          <w:szCs w:val="24"/>
        </w:rPr>
        <w:t xml:space="preserve">participants provided primary outcome data at time-point one (5+/-1 day post </w:t>
      </w:r>
      <w:r w:rsidR="003A0392" w:rsidRPr="00E02FD7">
        <w:rPr>
          <w:sz w:val="24"/>
          <w:szCs w:val="24"/>
        </w:rPr>
        <w:t xml:space="preserve">ICU </w:t>
      </w:r>
      <w:r w:rsidRPr="00E02FD7">
        <w:rPr>
          <w:sz w:val="24"/>
          <w:szCs w:val="24"/>
        </w:rPr>
        <w:t>discharge). Fifty four (34%) were still in hospital and eligible for data collection at time-point two (28 days or hospital discharge and at least 7 days after their first data collection point). Of these, 38 (70%) provided some data.</w:t>
      </w:r>
      <w:r w:rsidR="00281FAA" w:rsidRPr="00E02FD7">
        <w:rPr>
          <w:sz w:val="24"/>
          <w:szCs w:val="24"/>
        </w:rPr>
        <w:t xml:space="preserve"> A total of 48 (60%) patients’ relatives provided at least one set of outcome data. </w:t>
      </w:r>
    </w:p>
    <w:p w:rsidR="001D28C1" w:rsidRPr="00E02FD7" w:rsidRDefault="00BD11A2" w:rsidP="00E02FD7">
      <w:pPr>
        <w:spacing w:line="480" w:lineRule="auto"/>
        <w:rPr>
          <w:rFonts w:eastAsia="Times New Roman" w:cs="Times New Roman"/>
          <w:sz w:val="24"/>
          <w:szCs w:val="24"/>
        </w:rPr>
      </w:pPr>
      <w:r w:rsidRPr="00E02FD7">
        <w:rPr>
          <w:sz w:val="24"/>
          <w:szCs w:val="24"/>
        </w:rPr>
        <w:t xml:space="preserve">Twenty seven </w:t>
      </w:r>
      <w:r w:rsidR="002A2CC1" w:rsidRPr="00E02FD7">
        <w:rPr>
          <w:sz w:val="24"/>
          <w:szCs w:val="24"/>
        </w:rPr>
        <w:t xml:space="preserve">(17%) </w:t>
      </w:r>
      <w:r w:rsidR="008E19C7" w:rsidRPr="00E02FD7">
        <w:rPr>
          <w:sz w:val="24"/>
          <w:szCs w:val="24"/>
        </w:rPr>
        <w:t>patients and</w:t>
      </w:r>
      <w:r w:rsidR="002A2CC1" w:rsidRPr="00E02FD7">
        <w:rPr>
          <w:sz w:val="24"/>
          <w:szCs w:val="24"/>
        </w:rPr>
        <w:t xml:space="preserve"> 32 (40%) relatives</w:t>
      </w:r>
      <w:r w:rsidRPr="00E02FD7">
        <w:rPr>
          <w:sz w:val="24"/>
          <w:szCs w:val="24"/>
        </w:rPr>
        <w:t xml:space="preserve"> were lost to </w:t>
      </w:r>
      <w:r w:rsidR="0027724C" w:rsidRPr="00E02FD7">
        <w:rPr>
          <w:sz w:val="24"/>
          <w:szCs w:val="24"/>
        </w:rPr>
        <w:t xml:space="preserve">any </w:t>
      </w:r>
      <w:r w:rsidRPr="00E02FD7">
        <w:rPr>
          <w:sz w:val="24"/>
          <w:szCs w:val="24"/>
        </w:rPr>
        <w:t>follow-up</w:t>
      </w:r>
      <w:r w:rsidR="0027724C" w:rsidRPr="00E02FD7">
        <w:rPr>
          <w:sz w:val="24"/>
          <w:szCs w:val="24"/>
        </w:rPr>
        <w:t xml:space="preserve">. </w:t>
      </w:r>
      <w:bookmarkEnd w:id="4"/>
      <w:r w:rsidR="001D28C1" w:rsidRPr="00E02FD7">
        <w:rPr>
          <w:rFonts w:eastAsia="Times New Roman" w:cs="Times New Roman"/>
          <w:sz w:val="24"/>
          <w:szCs w:val="24"/>
        </w:rPr>
        <w:t xml:space="preserve">By time-point one (5+/1 day), 17 (11%) of the patient sample had already been discharged or transferred from the hospital and in a further 15 (10%) cases the patient was either too unwell or unwilling to provide data. In the case of patients’ relatives </w:t>
      </w:r>
      <w:r w:rsidR="00635B32" w:rsidRPr="00E02FD7">
        <w:rPr>
          <w:rFonts w:eastAsia="Times New Roman" w:cs="Times New Roman"/>
          <w:sz w:val="24"/>
          <w:szCs w:val="24"/>
        </w:rPr>
        <w:t xml:space="preserve">the most significant follow-up problem was due to a </w:t>
      </w:r>
      <w:r w:rsidR="001D28C1" w:rsidRPr="00E02FD7">
        <w:rPr>
          <w:rFonts w:eastAsia="Times New Roman" w:cs="Times New Roman"/>
          <w:sz w:val="24"/>
          <w:szCs w:val="24"/>
        </w:rPr>
        <w:t>failure to return data collection forms within the protocol timeframe (</w:t>
      </w:r>
      <w:r w:rsidR="001D28C1" w:rsidRPr="00E02FD7">
        <w:rPr>
          <w:rFonts w:eastAsia="Times New Roman" w:cs="Times New Roman"/>
          <w:i/>
          <w:sz w:val="24"/>
          <w:szCs w:val="24"/>
        </w:rPr>
        <w:t>n</w:t>
      </w:r>
      <w:r w:rsidR="001D28C1" w:rsidRPr="00E02FD7">
        <w:rPr>
          <w:rFonts w:eastAsia="Times New Roman" w:cs="Times New Roman"/>
          <w:sz w:val="24"/>
          <w:szCs w:val="24"/>
        </w:rPr>
        <w:t xml:space="preserve">=29, 36%). </w:t>
      </w:r>
    </w:p>
    <w:p w:rsidR="00645EEC" w:rsidRPr="00E02FD7" w:rsidRDefault="00645EEC" w:rsidP="00E02FD7">
      <w:pPr>
        <w:spacing w:line="480" w:lineRule="auto"/>
        <w:rPr>
          <w:b/>
          <w:i/>
          <w:sz w:val="24"/>
          <w:szCs w:val="24"/>
        </w:rPr>
      </w:pPr>
      <w:r w:rsidRPr="00E02FD7">
        <w:rPr>
          <w:b/>
          <w:i/>
          <w:sz w:val="24"/>
          <w:szCs w:val="24"/>
        </w:rPr>
        <w:t>Hospital anxiety and depression</w:t>
      </w:r>
    </w:p>
    <w:p w:rsidR="00225966" w:rsidRPr="00E02FD7" w:rsidRDefault="008056FA" w:rsidP="00E02FD7">
      <w:pPr>
        <w:spacing w:line="480" w:lineRule="auto"/>
        <w:rPr>
          <w:sz w:val="24"/>
          <w:szCs w:val="24"/>
        </w:rPr>
      </w:pPr>
      <w:r w:rsidRPr="00E02FD7">
        <w:rPr>
          <w:sz w:val="24"/>
          <w:szCs w:val="24"/>
        </w:rPr>
        <w:t xml:space="preserve">One week post discharge (time-point 1), median HADS </w:t>
      </w:r>
      <w:r w:rsidR="00E3055D" w:rsidRPr="00E02FD7">
        <w:rPr>
          <w:sz w:val="24"/>
          <w:szCs w:val="24"/>
        </w:rPr>
        <w:t xml:space="preserve">for </w:t>
      </w:r>
      <w:r w:rsidR="008E19C7" w:rsidRPr="00E02FD7">
        <w:rPr>
          <w:sz w:val="24"/>
          <w:szCs w:val="24"/>
        </w:rPr>
        <w:t>patients</w:t>
      </w:r>
      <w:r w:rsidRPr="00E02FD7">
        <w:rPr>
          <w:sz w:val="24"/>
          <w:szCs w:val="24"/>
        </w:rPr>
        <w:t xml:space="preserve"> w</w:t>
      </w:r>
      <w:r w:rsidR="00E3055D" w:rsidRPr="00E02FD7">
        <w:rPr>
          <w:sz w:val="24"/>
          <w:szCs w:val="24"/>
        </w:rPr>
        <w:t>as</w:t>
      </w:r>
      <w:r w:rsidRPr="00E02FD7">
        <w:rPr>
          <w:sz w:val="24"/>
          <w:szCs w:val="24"/>
        </w:rPr>
        <w:t xml:space="preserve"> 7 for anxiety (HAD-A) and 6 for depression</w:t>
      </w:r>
      <w:r w:rsidR="00E3055D" w:rsidRPr="00E02FD7">
        <w:rPr>
          <w:sz w:val="24"/>
          <w:szCs w:val="24"/>
        </w:rPr>
        <w:t xml:space="preserve"> </w:t>
      </w:r>
      <w:r w:rsidRPr="00E02FD7">
        <w:rPr>
          <w:sz w:val="24"/>
          <w:szCs w:val="24"/>
        </w:rPr>
        <w:t>(HAD-D). There were no significant differences (</w:t>
      </w:r>
      <w:r w:rsidRPr="00E02FD7">
        <w:rPr>
          <w:i/>
          <w:sz w:val="24"/>
          <w:szCs w:val="24"/>
        </w:rPr>
        <w:t>p≥ 0.05</w:t>
      </w:r>
      <w:r w:rsidRPr="00E02FD7">
        <w:rPr>
          <w:sz w:val="24"/>
          <w:szCs w:val="24"/>
        </w:rPr>
        <w:t xml:space="preserve">) between study groups (Table </w:t>
      </w:r>
      <w:r w:rsidR="001D35AB" w:rsidRPr="00E02FD7">
        <w:rPr>
          <w:sz w:val="24"/>
          <w:szCs w:val="24"/>
        </w:rPr>
        <w:t>5</w:t>
      </w:r>
      <w:r w:rsidRPr="00E02FD7">
        <w:rPr>
          <w:sz w:val="24"/>
          <w:szCs w:val="24"/>
        </w:rPr>
        <w:t xml:space="preserve">). There was, however, a wide range in individual </w:t>
      </w:r>
      <w:r w:rsidR="00850BAA" w:rsidRPr="00E02FD7">
        <w:rPr>
          <w:sz w:val="24"/>
          <w:szCs w:val="24"/>
        </w:rPr>
        <w:t xml:space="preserve">HADS </w:t>
      </w:r>
      <w:r w:rsidRPr="00E02FD7">
        <w:rPr>
          <w:sz w:val="24"/>
          <w:szCs w:val="24"/>
        </w:rPr>
        <w:t xml:space="preserve">scores, with almost half the total patient sample (44%) reaching or exceeding the trigger for disorder (≥8). </w:t>
      </w:r>
      <w:r w:rsidR="003358D6" w:rsidRPr="00E02FD7">
        <w:rPr>
          <w:sz w:val="24"/>
          <w:szCs w:val="24"/>
        </w:rPr>
        <w:t xml:space="preserve">At time-point </w:t>
      </w:r>
      <w:r w:rsidR="00C140B6" w:rsidRPr="00E02FD7">
        <w:rPr>
          <w:sz w:val="24"/>
          <w:szCs w:val="24"/>
        </w:rPr>
        <w:t>one,</w:t>
      </w:r>
      <w:r w:rsidR="003358D6" w:rsidRPr="00E02FD7">
        <w:rPr>
          <w:sz w:val="24"/>
          <w:szCs w:val="24"/>
        </w:rPr>
        <w:t xml:space="preserve"> where it was possible to fit a random intercepts model</w:t>
      </w:r>
      <w:r w:rsidR="00C140B6" w:rsidRPr="00E02FD7">
        <w:rPr>
          <w:sz w:val="24"/>
          <w:szCs w:val="24"/>
        </w:rPr>
        <w:t>,</w:t>
      </w:r>
      <w:r w:rsidR="003358D6" w:rsidRPr="00E02FD7">
        <w:rPr>
          <w:sz w:val="24"/>
          <w:szCs w:val="24"/>
        </w:rPr>
        <w:t xml:space="preserve"> the estimated ICCs were all low (HAD-A 0.14, HAD-D 0.00, Total HADS 0.07). </w:t>
      </w:r>
    </w:p>
    <w:p w:rsidR="002C02E8" w:rsidRPr="00E02FD7" w:rsidRDefault="002C02E8" w:rsidP="00E02FD7">
      <w:pPr>
        <w:rPr>
          <w:rFonts w:eastAsia="Times New Roman" w:cs="Times New Roman"/>
          <w:b/>
          <w:bCs/>
        </w:rPr>
      </w:pPr>
      <w:r w:rsidRPr="00E02FD7">
        <w:rPr>
          <w:rFonts w:eastAsia="Times New Roman" w:cs="Times New Roman"/>
          <w:b/>
          <w:bCs/>
        </w:rPr>
        <w:br w:type="page"/>
      </w:r>
    </w:p>
    <w:p w:rsidR="002C02E8" w:rsidRPr="00E02FD7" w:rsidRDefault="002C02E8" w:rsidP="00E02FD7">
      <w:pPr>
        <w:keepNext/>
        <w:spacing w:before="240" w:after="60" w:line="480" w:lineRule="auto"/>
        <w:rPr>
          <w:rFonts w:eastAsia="Times New Roman" w:cs="Times New Roman"/>
          <w:b/>
          <w:bCs/>
        </w:rPr>
        <w:sectPr w:rsidR="002C02E8" w:rsidRPr="00E02FD7" w:rsidSect="002C02E8">
          <w:pgSz w:w="11906" w:h="16838"/>
          <w:pgMar w:top="1440" w:right="1440" w:bottom="1440" w:left="1440" w:header="709" w:footer="709" w:gutter="0"/>
          <w:cols w:space="708"/>
          <w:docGrid w:linePitch="360"/>
        </w:sectPr>
      </w:pPr>
    </w:p>
    <w:p w:rsidR="003358D6" w:rsidRPr="00E02FD7" w:rsidRDefault="001D35AB" w:rsidP="00E02FD7">
      <w:pPr>
        <w:keepNext/>
        <w:spacing w:before="240" w:after="60" w:line="480" w:lineRule="auto"/>
        <w:rPr>
          <w:rFonts w:eastAsia="Times New Roman" w:cs="Times New Roman"/>
          <w:b/>
          <w:bCs/>
          <w:sz w:val="24"/>
          <w:szCs w:val="24"/>
        </w:rPr>
      </w:pPr>
      <w:r w:rsidRPr="00E02FD7">
        <w:rPr>
          <w:rFonts w:eastAsia="Times New Roman" w:cs="Times New Roman"/>
          <w:b/>
          <w:bCs/>
          <w:sz w:val="24"/>
          <w:szCs w:val="24"/>
        </w:rPr>
        <w:t>Table 5</w:t>
      </w:r>
      <w:r w:rsidR="003358D6" w:rsidRPr="00E02FD7">
        <w:rPr>
          <w:rFonts w:eastAsia="Times New Roman" w:cs="Times New Roman"/>
          <w:b/>
          <w:bCs/>
          <w:sz w:val="24"/>
          <w:szCs w:val="24"/>
        </w:rPr>
        <w:t>: HADS (patient sample)</w:t>
      </w:r>
      <w:r w:rsidR="00C7572A" w:rsidRPr="00E02FD7">
        <w:rPr>
          <w:rFonts w:eastAsia="Times New Roman" w:cs="Times New Roman"/>
          <w:b/>
          <w:bCs/>
          <w:sz w:val="24"/>
          <w:szCs w:val="24"/>
        </w:rPr>
        <w:t xml:space="preserve"> </w:t>
      </w:r>
    </w:p>
    <w:tbl>
      <w:tblPr>
        <w:tblStyle w:val="TableGrid"/>
        <w:tblW w:w="0" w:type="auto"/>
        <w:tblLook w:val="04A0" w:firstRow="1" w:lastRow="0" w:firstColumn="1" w:lastColumn="0" w:noHBand="0" w:noVBand="1"/>
      </w:tblPr>
      <w:tblGrid>
        <w:gridCol w:w="1242"/>
        <w:gridCol w:w="1560"/>
        <w:gridCol w:w="1016"/>
        <w:gridCol w:w="1110"/>
        <w:gridCol w:w="1134"/>
        <w:gridCol w:w="1134"/>
        <w:gridCol w:w="989"/>
        <w:gridCol w:w="854"/>
        <w:gridCol w:w="1272"/>
        <w:gridCol w:w="712"/>
        <w:gridCol w:w="1313"/>
        <w:gridCol w:w="709"/>
      </w:tblGrid>
      <w:tr w:rsidR="00C7572A" w:rsidRPr="00E02FD7" w:rsidTr="002F66C2">
        <w:tc>
          <w:tcPr>
            <w:tcW w:w="1242" w:type="dxa"/>
            <w:vMerge w:val="restart"/>
          </w:tcPr>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Outcome</w:t>
            </w:r>
          </w:p>
        </w:tc>
        <w:tc>
          <w:tcPr>
            <w:tcW w:w="1560" w:type="dxa"/>
            <w:vMerge w:val="restart"/>
          </w:tcPr>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 xml:space="preserve">Unit of measurement </w:t>
            </w:r>
          </w:p>
        </w:tc>
        <w:tc>
          <w:tcPr>
            <w:tcW w:w="4394" w:type="dxa"/>
            <w:gridSpan w:val="4"/>
            <w:vMerge w:val="restart"/>
          </w:tcPr>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Study Group</w:t>
            </w:r>
          </w:p>
        </w:tc>
        <w:tc>
          <w:tcPr>
            <w:tcW w:w="1843" w:type="dxa"/>
            <w:gridSpan w:val="2"/>
            <w:vMerge w:val="restart"/>
          </w:tcPr>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proofErr w:type="spellStart"/>
            <w:r w:rsidRPr="00E02FD7">
              <w:rPr>
                <w:rFonts w:asciiTheme="minorHAnsi" w:hAnsiTheme="minorHAnsi"/>
                <w:b/>
                <w:sz w:val="22"/>
                <w:szCs w:val="22"/>
              </w:rPr>
              <w:t>Kruskal</w:t>
            </w:r>
            <w:proofErr w:type="spellEnd"/>
            <w:r w:rsidRPr="00E02FD7">
              <w:rPr>
                <w:rFonts w:asciiTheme="minorHAnsi" w:hAnsiTheme="minorHAnsi"/>
                <w:b/>
                <w:sz w:val="22"/>
                <w:szCs w:val="22"/>
              </w:rPr>
              <w:t>-Wallis</w:t>
            </w:r>
          </w:p>
        </w:tc>
        <w:tc>
          <w:tcPr>
            <w:tcW w:w="4006" w:type="dxa"/>
            <w:gridSpan w:val="4"/>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Mixed Model</w:t>
            </w:r>
          </w:p>
        </w:tc>
      </w:tr>
      <w:tr w:rsidR="00C7572A" w:rsidRPr="00E02FD7" w:rsidTr="002F66C2">
        <w:tc>
          <w:tcPr>
            <w:tcW w:w="1242" w:type="dxa"/>
            <w:vMerge/>
          </w:tcPr>
          <w:p w:rsidR="00C7572A" w:rsidRPr="00E02FD7" w:rsidRDefault="00C7572A" w:rsidP="00E02FD7">
            <w:pPr>
              <w:jc w:val="center"/>
              <w:rPr>
                <w:rFonts w:asciiTheme="minorHAnsi" w:hAnsiTheme="minorHAnsi"/>
                <w:b/>
                <w:sz w:val="22"/>
                <w:szCs w:val="22"/>
              </w:rPr>
            </w:pPr>
          </w:p>
        </w:tc>
        <w:tc>
          <w:tcPr>
            <w:tcW w:w="1560" w:type="dxa"/>
            <w:vMerge/>
          </w:tcPr>
          <w:p w:rsidR="00C7572A" w:rsidRPr="00E02FD7" w:rsidRDefault="00C7572A" w:rsidP="00E02FD7">
            <w:pPr>
              <w:jc w:val="center"/>
              <w:rPr>
                <w:rFonts w:asciiTheme="minorHAnsi" w:hAnsiTheme="minorHAnsi"/>
                <w:b/>
                <w:sz w:val="22"/>
                <w:szCs w:val="22"/>
              </w:rPr>
            </w:pPr>
          </w:p>
        </w:tc>
        <w:tc>
          <w:tcPr>
            <w:tcW w:w="4394" w:type="dxa"/>
            <w:gridSpan w:val="4"/>
            <w:vMerge/>
          </w:tcPr>
          <w:p w:rsidR="00C7572A" w:rsidRPr="00E02FD7" w:rsidRDefault="00C7572A" w:rsidP="00E02FD7">
            <w:pPr>
              <w:jc w:val="center"/>
              <w:rPr>
                <w:rFonts w:asciiTheme="minorHAnsi" w:hAnsiTheme="minorHAnsi"/>
                <w:b/>
                <w:sz w:val="22"/>
                <w:szCs w:val="22"/>
              </w:rPr>
            </w:pPr>
          </w:p>
        </w:tc>
        <w:tc>
          <w:tcPr>
            <w:tcW w:w="1843" w:type="dxa"/>
            <w:gridSpan w:val="2"/>
            <w:vMerge/>
          </w:tcPr>
          <w:p w:rsidR="00C7572A" w:rsidRPr="00E02FD7" w:rsidRDefault="00C7572A" w:rsidP="00E02FD7">
            <w:pPr>
              <w:jc w:val="center"/>
              <w:rPr>
                <w:rFonts w:asciiTheme="minorHAnsi" w:hAnsiTheme="minorHAnsi"/>
                <w:b/>
                <w:sz w:val="22"/>
                <w:szCs w:val="22"/>
              </w:rPr>
            </w:pPr>
          </w:p>
        </w:tc>
        <w:tc>
          <w:tcPr>
            <w:tcW w:w="1984" w:type="dxa"/>
            <w:gridSpan w:val="2"/>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Intervention</w:t>
            </w:r>
          </w:p>
        </w:tc>
        <w:tc>
          <w:tcPr>
            <w:tcW w:w="2022" w:type="dxa"/>
            <w:gridSpan w:val="2"/>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Intervention adjusted for day of week</w:t>
            </w:r>
          </w:p>
        </w:tc>
      </w:tr>
      <w:tr w:rsidR="00C7572A" w:rsidRPr="00E02FD7" w:rsidTr="002F66C2">
        <w:tc>
          <w:tcPr>
            <w:tcW w:w="1242" w:type="dxa"/>
            <w:vMerge/>
          </w:tcPr>
          <w:p w:rsidR="00C7572A" w:rsidRPr="00E02FD7" w:rsidRDefault="00C7572A" w:rsidP="00E02FD7">
            <w:pPr>
              <w:jc w:val="center"/>
              <w:rPr>
                <w:rFonts w:asciiTheme="minorHAnsi" w:hAnsiTheme="minorHAnsi"/>
                <w:b/>
                <w:sz w:val="22"/>
                <w:szCs w:val="22"/>
              </w:rPr>
            </w:pPr>
          </w:p>
        </w:tc>
        <w:tc>
          <w:tcPr>
            <w:tcW w:w="1560" w:type="dxa"/>
            <w:vMerge/>
          </w:tcPr>
          <w:p w:rsidR="00C7572A" w:rsidRPr="00E02FD7" w:rsidRDefault="00C7572A" w:rsidP="00E02FD7">
            <w:pPr>
              <w:jc w:val="center"/>
              <w:rPr>
                <w:rFonts w:asciiTheme="minorHAnsi" w:hAnsiTheme="minorHAnsi"/>
                <w:b/>
                <w:sz w:val="22"/>
                <w:szCs w:val="22"/>
              </w:rPr>
            </w:pPr>
          </w:p>
        </w:tc>
        <w:tc>
          <w:tcPr>
            <w:tcW w:w="1016" w:type="dxa"/>
          </w:tcPr>
          <w:p w:rsidR="00C7572A" w:rsidRPr="00E02FD7" w:rsidRDefault="00C7572A" w:rsidP="00E02FD7">
            <w:pPr>
              <w:jc w:val="center"/>
              <w:rPr>
                <w:rFonts w:asciiTheme="minorHAnsi" w:hAnsiTheme="minorHAnsi"/>
                <w:b/>
                <w:sz w:val="22"/>
                <w:szCs w:val="22"/>
              </w:rPr>
            </w:pPr>
            <w:proofErr w:type="spellStart"/>
            <w:r w:rsidRPr="00E02FD7">
              <w:rPr>
                <w:rFonts w:asciiTheme="minorHAnsi" w:hAnsiTheme="minorHAnsi"/>
                <w:b/>
                <w:sz w:val="22"/>
                <w:szCs w:val="22"/>
              </w:rPr>
              <w:t>ICUsteps</w:t>
            </w:r>
            <w:proofErr w:type="spellEnd"/>
          </w:p>
        </w:tc>
        <w:tc>
          <w:tcPr>
            <w:tcW w:w="111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UCCDIP</w:t>
            </w:r>
          </w:p>
        </w:tc>
        <w:tc>
          <w:tcPr>
            <w:tcW w:w="1134"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Verbal</w:t>
            </w:r>
          </w:p>
        </w:tc>
        <w:tc>
          <w:tcPr>
            <w:tcW w:w="1134"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Total</w:t>
            </w:r>
          </w:p>
        </w:tc>
        <w:tc>
          <w:tcPr>
            <w:tcW w:w="989" w:type="dxa"/>
          </w:tcPr>
          <w:p w:rsidR="00C7572A" w:rsidRPr="00E02FD7" w:rsidRDefault="00C7572A" w:rsidP="00E02FD7">
            <w:pPr>
              <w:jc w:val="center"/>
              <w:rPr>
                <w:rFonts w:asciiTheme="minorHAnsi" w:hAnsiTheme="minorHAnsi"/>
                <w:b/>
                <w:i/>
                <w:sz w:val="22"/>
                <w:szCs w:val="22"/>
              </w:rPr>
            </w:pPr>
            <w:r w:rsidRPr="00E02FD7">
              <w:rPr>
                <w:rFonts w:asciiTheme="minorHAnsi" w:hAnsiTheme="minorHAnsi"/>
                <w:i/>
                <w:sz w:val="22"/>
                <w:szCs w:val="22"/>
              </w:rPr>
              <w:t>χ</w:t>
            </w:r>
            <w:r w:rsidRPr="00E02FD7">
              <w:rPr>
                <w:rFonts w:asciiTheme="minorHAnsi" w:hAnsiTheme="minorHAnsi"/>
                <w:i/>
                <w:sz w:val="22"/>
                <w:szCs w:val="22"/>
                <w:vertAlign w:val="superscript"/>
              </w:rPr>
              <w:t>2</w:t>
            </w:r>
            <w:r w:rsidRPr="00E02FD7">
              <w:rPr>
                <w:rFonts w:asciiTheme="minorHAnsi" w:hAnsiTheme="minorHAnsi"/>
                <w:b/>
                <w:i/>
                <w:sz w:val="22"/>
                <w:szCs w:val="22"/>
              </w:rPr>
              <w:t xml:space="preserve"> (2df)</w:t>
            </w:r>
          </w:p>
        </w:tc>
        <w:tc>
          <w:tcPr>
            <w:tcW w:w="854" w:type="dxa"/>
          </w:tcPr>
          <w:p w:rsidR="00C7572A" w:rsidRPr="00E02FD7" w:rsidRDefault="00C7572A" w:rsidP="00E02FD7">
            <w:pPr>
              <w:jc w:val="center"/>
              <w:rPr>
                <w:rFonts w:asciiTheme="minorHAnsi" w:hAnsiTheme="minorHAnsi"/>
                <w:b/>
                <w:i/>
                <w:sz w:val="22"/>
                <w:szCs w:val="22"/>
              </w:rPr>
            </w:pPr>
            <w:r w:rsidRPr="00E02FD7">
              <w:rPr>
                <w:rFonts w:asciiTheme="minorHAnsi" w:hAnsiTheme="minorHAnsi"/>
                <w:b/>
                <w:i/>
                <w:sz w:val="22"/>
                <w:szCs w:val="22"/>
              </w:rPr>
              <w:t>p</w:t>
            </w:r>
          </w:p>
        </w:tc>
        <w:tc>
          <w:tcPr>
            <w:tcW w:w="1272"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b/>
                <w:i/>
                <w:sz w:val="22"/>
                <w:szCs w:val="22"/>
              </w:rPr>
              <w:t>F</w:t>
            </w:r>
            <w:r w:rsidRPr="00E02FD7">
              <w:rPr>
                <w:rFonts w:asciiTheme="minorHAnsi" w:hAnsiTheme="minorHAnsi"/>
                <w:b/>
                <w:sz w:val="22"/>
                <w:szCs w:val="22"/>
              </w:rPr>
              <w:t xml:space="preserve"> (</w:t>
            </w:r>
            <w:proofErr w:type="spellStart"/>
            <w:r w:rsidRPr="00E02FD7">
              <w:rPr>
                <w:rFonts w:asciiTheme="minorHAnsi" w:hAnsiTheme="minorHAnsi"/>
                <w:b/>
                <w:i/>
                <w:sz w:val="22"/>
                <w:szCs w:val="22"/>
              </w:rPr>
              <w:t>dfn,dfd</w:t>
            </w:r>
            <w:proofErr w:type="spellEnd"/>
            <w:r w:rsidRPr="00E02FD7">
              <w:rPr>
                <w:rFonts w:asciiTheme="minorHAnsi" w:hAnsiTheme="minorHAnsi"/>
                <w:b/>
                <w:sz w:val="22"/>
                <w:szCs w:val="22"/>
              </w:rPr>
              <w:t>)</w:t>
            </w:r>
          </w:p>
        </w:tc>
        <w:tc>
          <w:tcPr>
            <w:tcW w:w="712" w:type="dxa"/>
          </w:tcPr>
          <w:p w:rsidR="00C7572A" w:rsidRPr="00E02FD7" w:rsidRDefault="00C7572A" w:rsidP="00E02FD7">
            <w:pPr>
              <w:jc w:val="center"/>
              <w:rPr>
                <w:rFonts w:asciiTheme="minorHAnsi" w:hAnsiTheme="minorHAnsi"/>
                <w:b/>
                <w:i/>
                <w:sz w:val="22"/>
                <w:szCs w:val="22"/>
              </w:rPr>
            </w:pPr>
            <w:r w:rsidRPr="00E02FD7">
              <w:rPr>
                <w:rFonts w:asciiTheme="minorHAnsi" w:hAnsiTheme="minorHAnsi"/>
                <w:b/>
                <w:i/>
                <w:sz w:val="22"/>
                <w:szCs w:val="22"/>
              </w:rPr>
              <w:t>p</w:t>
            </w:r>
          </w:p>
        </w:tc>
        <w:tc>
          <w:tcPr>
            <w:tcW w:w="1313"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b/>
                <w:i/>
                <w:sz w:val="22"/>
                <w:szCs w:val="22"/>
              </w:rPr>
              <w:t>F</w:t>
            </w:r>
            <w:r w:rsidRPr="00E02FD7">
              <w:rPr>
                <w:rFonts w:asciiTheme="minorHAnsi" w:hAnsiTheme="minorHAnsi"/>
                <w:b/>
                <w:sz w:val="22"/>
                <w:szCs w:val="22"/>
              </w:rPr>
              <w:t xml:space="preserve"> (</w:t>
            </w:r>
            <w:proofErr w:type="spellStart"/>
            <w:r w:rsidRPr="00E02FD7">
              <w:rPr>
                <w:rFonts w:asciiTheme="minorHAnsi" w:hAnsiTheme="minorHAnsi"/>
                <w:b/>
                <w:i/>
                <w:sz w:val="22"/>
                <w:szCs w:val="22"/>
              </w:rPr>
              <w:t>dfn,dfd</w:t>
            </w:r>
            <w:proofErr w:type="spellEnd"/>
            <w:r w:rsidRPr="00E02FD7">
              <w:rPr>
                <w:rFonts w:asciiTheme="minorHAnsi" w:hAnsiTheme="minorHAnsi"/>
                <w:b/>
                <w:sz w:val="22"/>
                <w:szCs w:val="22"/>
              </w:rPr>
              <w:t>)</w:t>
            </w:r>
          </w:p>
        </w:tc>
        <w:tc>
          <w:tcPr>
            <w:tcW w:w="709" w:type="dxa"/>
          </w:tcPr>
          <w:p w:rsidR="00C7572A" w:rsidRPr="00E02FD7" w:rsidRDefault="00C7572A" w:rsidP="00E02FD7">
            <w:pPr>
              <w:jc w:val="center"/>
              <w:rPr>
                <w:rFonts w:asciiTheme="minorHAnsi" w:hAnsiTheme="minorHAnsi"/>
                <w:b/>
                <w:i/>
                <w:sz w:val="22"/>
                <w:szCs w:val="22"/>
              </w:rPr>
            </w:pPr>
            <w:r w:rsidRPr="00E02FD7">
              <w:rPr>
                <w:rFonts w:asciiTheme="minorHAnsi" w:hAnsiTheme="minorHAnsi"/>
                <w:b/>
                <w:i/>
                <w:sz w:val="22"/>
                <w:szCs w:val="22"/>
              </w:rPr>
              <w:t>p</w:t>
            </w:r>
          </w:p>
        </w:tc>
      </w:tr>
      <w:tr w:rsidR="00C7572A" w:rsidRPr="00E02FD7" w:rsidTr="002F66C2">
        <w:trPr>
          <w:trHeight w:val="201"/>
        </w:trPr>
        <w:tc>
          <w:tcPr>
            <w:tcW w:w="1242" w:type="dxa"/>
            <w:vMerge w:val="restart"/>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HAD-A: 1</w:t>
            </w:r>
            <w:r w:rsidRPr="00E02FD7">
              <w:rPr>
                <w:rFonts w:asciiTheme="minorHAnsi" w:hAnsiTheme="minorHAnsi"/>
                <w:sz w:val="22"/>
                <w:szCs w:val="22"/>
                <w:vertAlign w:val="superscript"/>
              </w:rPr>
              <w:t>†</w:t>
            </w:r>
          </w:p>
        </w:tc>
        <w:tc>
          <w:tcPr>
            <w:tcW w:w="156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Median (range)</w:t>
            </w:r>
          </w:p>
        </w:tc>
        <w:tc>
          <w:tcPr>
            <w:tcW w:w="1016"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7.5 (19)</w:t>
            </w:r>
          </w:p>
        </w:tc>
        <w:tc>
          <w:tcPr>
            <w:tcW w:w="111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7.0 (17)</w:t>
            </w:r>
          </w:p>
        </w:tc>
        <w:tc>
          <w:tcPr>
            <w:tcW w:w="1134"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6.0 (19)</w:t>
            </w:r>
          </w:p>
        </w:tc>
        <w:tc>
          <w:tcPr>
            <w:tcW w:w="1134"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7.0 (19)</w:t>
            </w:r>
          </w:p>
        </w:tc>
        <w:tc>
          <w:tcPr>
            <w:tcW w:w="98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i/>
                <w:sz w:val="22"/>
                <w:szCs w:val="22"/>
              </w:rPr>
            </w:pPr>
            <w:r w:rsidRPr="00E02FD7">
              <w:rPr>
                <w:rFonts w:asciiTheme="minorHAnsi" w:hAnsiTheme="minorHAnsi"/>
                <w:sz w:val="22"/>
                <w:szCs w:val="22"/>
              </w:rPr>
              <w:t>0.98</w:t>
            </w:r>
          </w:p>
        </w:tc>
        <w:tc>
          <w:tcPr>
            <w:tcW w:w="854" w:type="dxa"/>
            <w:vMerge w:val="restart"/>
          </w:tcPr>
          <w:p w:rsidR="00C7572A" w:rsidRPr="00E02FD7" w:rsidRDefault="00C7572A" w:rsidP="00E02FD7">
            <w:pPr>
              <w:jc w:val="center"/>
              <w:rPr>
                <w:rFonts w:asciiTheme="minorHAnsi" w:hAnsiTheme="minorHAnsi"/>
                <w:b/>
                <w:i/>
                <w:sz w:val="22"/>
                <w:szCs w:val="22"/>
              </w:rPr>
            </w:pPr>
          </w:p>
          <w:p w:rsidR="00C7572A" w:rsidRPr="00E02FD7" w:rsidRDefault="00C7572A" w:rsidP="00E02FD7">
            <w:pPr>
              <w:jc w:val="center"/>
              <w:rPr>
                <w:rFonts w:asciiTheme="minorHAnsi" w:hAnsiTheme="minorHAnsi"/>
                <w:b/>
                <w:i/>
                <w:sz w:val="22"/>
                <w:szCs w:val="22"/>
              </w:rPr>
            </w:pPr>
            <w:r w:rsidRPr="00E02FD7">
              <w:rPr>
                <w:rFonts w:asciiTheme="minorHAnsi" w:hAnsiTheme="minorHAnsi"/>
                <w:sz w:val="22"/>
                <w:szCs w:val="22"/>
              </w:rPr>
              <w:t>0.61</w:t>
            </w:r>
          </w:p>
        </w:tc>
        <w:tc>
          <w:tcPr>
            <w:tcW w:w="1272"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0.57 (2,27)</w:t>
            </w:r>
          </w:p>
        </w:tc>
        <w:tc>
          <w:tcPr>
            <w:tcW w:w="712" w:type="dxa"/>
            <w:vMerge w:val="restart"/>
          </w:tcPr>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0.57</w:t>
            </w:r>
          </w:p>
        </w:tc>
        <w:tc>
          <w:tcPr>
            <w:tcW w:w="1313"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0.32 (2,27)</w:t>
            </w:r>
          </w:p>
        </w:tc>
        <w:tc>
          <w:tcPr>
            <w:tcW w:w="70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0.73</w:t>
            </w:r>
          </w:p>
        </w:tc>
      </w:tr>
      <w:tr w:rsidR="00C7572A" w:rsidRPr="00E02FD7" w:rsidTr="002F66C2">
        <w:trPr>
          <w:trHeight w:val="456"/>
        </w:trPr>
        <w:tc>
          <w:tcPr>
            <w:tcW w:w="1242" w:type="dxa"/>
            <w:vMerge/>
          </w:tcPr>
          <w:p w:rsidR="00C7572A" w:rsidRPr="00E02FD7" w:rsidRDefault="00C7572A" w:rsidP="00E02FD7">
            <w:pPr>
              <w:jc w:val="center"/>
              <w:rPr>
                <w:rFonts w:asciiTheme="minorHAnsi" w:hAnsiTheme="minorHAnsi"/>
                <w:b/>
                <w:sz w:val="22"/>
                <w:szCs w:val="22"/>
              </w:rPr>
            </w:pPr>
          </w:p>
        </w:tc>
        <w:tc>
          <w:tcPr>
            <w:tcW w:w="1560" w:type="dxa"/>
          </w:tcPr>
          <w:p w:rsidR="00C7572A" w:rsidRPr="00E02FD7" w:rsidRDefault="00C7572A" w:rsidP="00E02FD7">
            <w:pPr>
              <w:jc w:val="center"/>
              <w:rPr>
                <w:rFonts w:asciiTheme="minorHAnsi" w:hAnsiTheme="minorHAnsi"/>
                <w:i/>
                <w:sz w:val="22"/>
                <w:szCs w:val="22"/>
              </w:rPr>
            </w:pPr>
            <w:r w:rsidRPr="00E02FD7">
              <w:rPr>
                <w:rFonts w:asciiTheme="minorHAnsi" w:hAnsiTheme="minorHAnsi"/>
                <w:i/>
                <w:sz w:val="22"/>
                <w:szCs w:val="22"/>
              </w:rPr>
              <w:t>n</w:t>
            </w:r>
          </w:p>
        </w:tc>
        <w:tc>
          <w:tcPr>
            <w:tcW w:w="1016"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28</w:t>
            </w:r>
          </w:p>
        </w:tc>
        <w:tc>
          <w:tcPr>
            <w:tcW w:w="1110"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31</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42</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101</w:t>
            </w:r>
          </w:p>
        </w:tc>
        <w:tc>
          <w:tcPr>
            <w:tcW w:w="989" w:type="dxa"/>
            <w:vMerge/>
          </w:tcPr>
          <w:p w:rsidR="00C7572A" w:rsidRPr="00E02FD7" w:rsidRDefault="00C7572A" w:rsidP="00E02FD7">
            <w:pPr>
              <w:jc w:val="center"/>
              <w:rPr>
                <w:rFonts w:asciiTheme="minorHAnsi" w:hAnsiTheme="minorHAnsi"/>
                <w:i/>
                <w:sz w:val="22"/>
                <w:szCs w:val="22"/>
              </w:rPr>
            </w:pPr>
          </w:p>
        </w:tc>
        <w:tc>
          <w:tcPr>
            <w:tcW w:w="854" w:type="dxa"/>
            <w:vMerge/>
          </w:tcPr>
          <w:p w:rsidR="00C7572A" w:rsidRPr="00E02FD7" w:rsidRDefault="00C7572A" w:rsidP="00E02FD7">
            <w:pPr>
              <w:jc w:val="center"/>
              <w:rPr>
                <w:rFonts w:asciiTheme="minorHAnsi" w:hAnsiTheme="minorHAnsi"/>
                <w:b/>
                <w:i/>
                <w:sz w:val="22"/>
                <w:szCs w:val="22"/>
              </w:rPr>
            </w:pPr>
          </w:p>
        </w:tc>
        <w:tc>
          <w:tcPr>
            <w:tcW w:w="1272" w:type="dxa"/>
            <w:vMerge/>
          </w:tcPr>
          <w:p w:rsidR="00C7572A" w:rsidRPr="00E02FD7" w:rsidRDefault="00C7572A" w:rsidP="00E02FD7">
            <w:pPr>
              <w:jc w:val="center"/>
              <w:rPr>
                <w:rFonts w:asciiTheme="minorHAnsi" w:hAnsiTheme="minorHAnsi"/>
                <w:b/>
                <w:i/>
                <w:sz w:val="22"/>
                <w:szCs w:val="22"/>
              </w:rPr>
            </w:pPr>
          </w:p>
        </w:tc>
        <w:tc>
          <w:tcPr>
            <w:tcW w:w="712" w:type="dxa"/>
            <w:vMerge/>
          </w:tcPr>
          <w:p w:rsidR="00C7572A" w:rsidRPr="00E02FD7" w:rsidRDefault="00C7572A" w:rsidP="00E02FD7">
            <w:pPr>
              <w:jc w:val="center"/>
              <w:rPr>
                <w:rFonts w:asciiTheme="minorHAnsi" w:hAnsiTheme="minorHAnsi"/>
                <w:b/>
                <w:i/>
                <w:sz w:val="22"/>
                <w:szCs w:val="22"/>
              </w:rPr>
            </w:pPr>
          </w:p>
        </w:tc>
        <w:tc>
          <w:tcPr>
            <w:tcW w:w="1313" w:type="dxa"/>
            <w:vMerge/>
          </w:tcPr>
          <w:p w:rsidR="00C7572A" w:rsidRPr="00E02FD7" w:rsidRDefault="00C7572A" w:rsidP="00E02FD7">
            <w:pPr>
              <w:jc w:val="center"/>
              <w:rPr>
                <w:rFonts w:asciiTheme="minorHAnsi" w:hAnsiTheme="minorHAnsi"/>
                <w:b/>
                <w:i/>
                <w:sz w:val="22"/>
                <w:szCs w:val="22"/>
              </w:rPr>
            </w:pPr>
          </w:p>
        </w:tc>
        <w:tc>
          <w:tcPr>
            <w:tcW w:w="709" w:type="dxa"/>
            <w:vMerge/>
          </w:tcPr>
          <w:p w:rsidR="00C7572A" w:rsidRPr="00E02FD7" w:rsidRDefault="00C7572A" w:rsidP="00E02FD7">
            <w:pPr>
              <w:jc w:val="center"/>
              <w:rPr>
                <w:rFonts w:asciiTheme="minorHAnsi" w:hAnsiTheme="minorHAnsi"/>
                <w:b/>
                <w:i/>
                <w:sz w:val="22"/>
                <w:szCs w:val="22"/>
              </w:rPr>
            </w:pPr>
          </w:p>
        </w:tc>
      </w:tr>
      <w:tr w:rsidR="00C7572A" w:rsidRPr="00E02FD7" w:rsidTr="002F66C2">
        <w:trPr>
          <w:trHeight w:val="112"/>
        </w:trPr>
        <w:tc>
          <w:tcPr>
            <w:tcW w:w="1242" w:type="dxa"/>
            <w:vMerge w:val="restart"/>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HAD-A: 2</w:t>
            </w:r>
            <w:r w:rsidRPr="00E02FD7">
              <w:rPr>
                <w:rFonts w:asciiTheme="minorHAnsi" w:hAnsiTheme="minorHAnsi"/>
                <w:sz w:val="22"/>
                <w:szCs w:val="22"/>
                <w:vertAlign w:val="superscript"/>
              </w:rPr>
              <w:t>††</w:t>
            </w:r>
          </w:p>
        </w:tc>
        <w:tc>
          <w:tcPr>
            <w:tcW w:w="156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Median (range)</w:t>
            </w:r>
          </w:p>
        </w:tc>
        <w:tc>
          <w:tcPr>
            <w:tcW w:w="1016"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6.0 (13)</w:t>
            </w:r>
          </w:p>
        </w:tc>
        <w:tc>
          <w:tcPr>
            <w:tcW w:w="111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7.0 (18)</w:t>
            </w:r>
          </w:p>
        </w:tc>
        <w:tc>
          <w:tcPr>
            <w:tcW w:w="1134"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5.0 (16)</w:t>
            </w:r>
          </w:p>
        </w:tc>
        <w:tc>
          <w:tcPr>
            <w:tcW w:w="1134"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6.0 (18)</w:t>
            </w:r>
          </w:p>
        </w:tc>
        <w:tc>
          <w:tcPr>
            <w:tcW w:w="98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0.08</w:t>
            </w:r>
          </w:p>
        </w:tc>
        <w:tc>
          <w:tcPr>
            <w:tcW w:w="854"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0.96</w:t>
            </w:r>
          </w:p>
        </w:tc>
        <w:tc>
          <w:tcPr>
            <w:tcW w:w="1272"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0.01</w:t>
            </w:r>
            <w:r w:rsidRPr="00E02FD7">
              <w:rPr>
                <w:rFonts w:asciiTheme="minorHAnsi" w:hAnsiTheme="minorHAnsi"/>
                <w:sz w:val="22"/>
                <w:szCs w:val="22"/>
                <w:vertAlign w:val="superscript"/>
              </w:rPr>
              <w:t>a</w:t>
            </w:r>
            <w:r w:rsidRPr="00E02FD7">
              <w:rPr>
                <w:rFonts w:asciiTheme="minorHAnsi" w:hAnsiTheme="minorHAnsi"/>
                <w:sz w:val="22"/>
                <w:szCs w:val="22"/>
              </w:rPr>
              <w:t xml:space="preserve"> (2,35)</w:t>
            </w:r>
          </w:p>
        </w:tc>
        <w:tc>
          <w:tcPr>
            <w:tcW w:w="712"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0.99</w:t>
            </w:r>
          </w:p>
        </w:tc>
        <w:tc>
          <w:tcPr>
            <w:tcW w:w="1313"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0.00 (2,31)</w:t>
            </w:r>
          </w:p>
        </w:tc>
        <w:tc>
          <w:tcPr>
            <w:tcW w:w="70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1.00</w:t>
            </w:r>
          </w:p>
        </w:tc>
      </w:tr>
      <w:tr w:rsidR="00C7572A" w:rsidRPr="00E02FD7" w:rsidTr="002F66C2">
        <w:trPr>
          <w:trHeight w:val="111"/>
        </w:trPr>
        <w:tc>
          <w:tcPr>
            <w:tcW w:w="1242" w:type="dxa"/>
            <w:vMerge/>
          </w:tcPr>
          <w:p w:rsidR="00C7572A" w:rsidRPr="00E02FD7" w:rsidRDefault="00C7572A" w:rsidP="00E02FD7">
            <w:pPr>
              <w:jc w:val="center"/>
              <w:rPr>
                <w:rFonts w:asciiTheme="minorHAnsi" w:hAnsiTheme="minorHAnsi"/>
                <w:b/>
                <w:sz w:val="22"/>
                <w:szCs w:val="22"/>
              </w:rPr>
            </w:pPr>
          </w:p>
        </w:tc>
        <w:tc>
          <w:tcPr>
            <w:tcW w:w="1560" w:type="dxa"/>
          </w:tcPr>
          <w:p w:rsidR="00C7572A" w:rsidRPr="00E02FD7" w:rsidRDefault="00C7572A" w:rsidP="00E02FD7">
            <w:pPr>
              <w:jc w:val="center"/>
              <w:rPr>
                <w:rFonts w:asciiTheme="minorHAnsi" w:hAnsiTheme="minorHAnsi"/>
                <w:i/>
                <w:sz w:val="22"/>
                <w:szCs w:val="22"/>
              </w:rPr>
            </w:pPr>
            <w:r w:rsidRPr="00E02FD7">
              <w:rPr>
                <w:rFonts w:asciiTheme="minorHAnsi" w:hAnsiTheme="minorHAnsi"/>
                <w:i/>
                <w:sz w:val="22"/>
                <w:szCs w:val="22"/>
              </w:rPr>
              <w:t>n</w:t>
            </w:r>
          </w:p>
          <w:p w:rsidR="00C7572A" w:rsidRPr="00E02FD7" w:rsidRDefault="00C7572A" w:rsidP="00E02FD7">
            <w:pPr>
              <w:jc w:val="center"/>
              <w:rPr>
                <w:rFonts w:asciiTheme="minorHAnsi" w:hAnsiTheme="minorHAnsi"/>
                <w:b/>
                <w:sz w:val="22"/>
                <w:szCs w:val="22"/>
              </w:rPr>
            </w:pPr>
          </w:p>
        </w:tc>
        <w:tc>
          <w:tcPr>
            <w:tcW w:w="1016"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8</w:t>
            </w:r>
          </w:p>
        </w:tc>
        <w:tc>
          <w:tcPr>
            <w:tcW w:w="1110"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17</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13</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38</w:t>
            </w:r>
          </w:p>
        </w:tc>
        <w:tc>
          <w:tcPr>
            <w:tcW w:w="989" w:type="dxa"/>
            <w:vMerge/>
          </w:tcPr>
          <w:p w:rsidR="00C7572A" w:rsidRPr="00E02FD7" w:rsidRDefault="00C7572A" w:rsidP="00E02FD7">
            <w:pPr>
              <w:jc w:val="center"/>
              <w:rPr>
                <w:rFonts w:asciiTheme="minorHAnsi" w:hAnsiTheme="minorHAnsi"/>
                <w:i/>
                <w:sz w:val="22"/>
                <w:szCs w:val="22"/>
              </w:rPr>
            </w:pPr>
          </w:p>
        </w:tc>
        <w:tc>
          <w:tcPr>
            <w:tcW w:w="854" w:type="dxa"/>
            <w:vMerge/>
          </w:tcPr>
          <w:p w:rsidR="00C7572A" w:rsidRPr="00E02FD7" w:rsidRDefault="00C7572A" w:rsidP="00E02FD7">
            <w:pPr>
              <w:jc w:val="center"/>
              <w:rPr>
                <w:rFonts w:asciiTheme="minorHAnsi" w:hAnsiTheme="minorHAnsi"/>
                <w:b/>
                <w:i/>
                <w:sz w:val="22"/>
                <w:szCs w:val="22"/>
              </w:rPr>
            </w:pPr>
          </w:p>
        </w:tc>
        <w:tc>
          <w:tcPr>
            <w:tcW w:w="1272" w:type="dxa"/>
            <w:vMerge/>
          </w:tcPr>
          <w:p w:rsidR="00C7572A" w:rsidRPr="00E02FD7" w:rsidRDefault="00C7572A" w:rsidP="00E02FD7">
            <w:pPr>
              <w:jc w:val="center"/>
              <w:rPr>
                <w:rFonts w:asciiTheme="minorHAnsi" w:hAnsiTheme="minorHAnsi"/>
                <w:b/>
                <w:i/>
                <w:sz w:val="22"/>
                <w:szCs w:val="22"/>
              </w:rPr>
            </w:pPr>
          </w:p>
        </w:tc>
        <w:tc>
          <w:tcPr>
            <w:tcW w:w="712" w:type="dxa"/>
            <w:vMerge/>
          </w:tcPr>
          <w:p w:rsidR="00C7572A" w:rsidRPr="00E02FD7" w:rsidRDefault="00C7572A" w:rsidP="00E02FD7">
            <w:pPr>
              <w:jc w:val="center"/>
              <w:rPr>
                <w:rFonts w:asciiTheme="minorHAnsi" w:hAnsiTheme="minorHAnsi"/>
                <w:b/>
                <w:i/>
                <w:sz w:val="22"/>
                <w:szCs w:val="22"/>
              </w:rPr>
            </w:pPr>
          </w:p>
        </w:tc>
        <w:tc>
          <w:tcPr>
            <w:tcW w:w="1313" w:type="dxa"/>
            <w:vMerge/>
          </w:tcPr>
          <w:p w:rsidR="00C7572A" w:rsidRPr="00E02FD7" w:rsidRDefault="00C7572A" w:rsidP="00E02FD7">
            <w:pPr>
              <w:jc w:val="center"/>
              <w:rPr>
                <w:rFonts w:asciiTheme="minorHAnsi" w:hAnsiTheme="minorHAnsi"/>
                <w:b/>
                <w:i/>
                <w:sz w:val="22"/>
                <w:szCs w:val="22"/>
              </w:rPr>
            </w:pPr>
          </w:p>
        </w:tc>
        <w:tc>
          <w:tcPr>
            <w:tcW w:w="709" w:type="dxa"/>
            <w:vMerge/>
          </w:tcPr>
          <w:p w:rsidR="00C7572A" w:rsidRPr="00E02FD7" w:rsidRDefault="00C7572A" w:rsidP="00E02FD7">
            <w:pPr>
              <w:jc w:val="center"/>
              <w:rPr>
                <w:rFonts w:asciiTheme="minorHAnsi" w:hAnsiTheme="minorHAnsi"/>
                <w:b/>
                <w:i/>
                <w:sz w:val="22"/>
                <w:szCs w:val="22"/>
              </w:rPr>
            </w:pPr>
          </w:p>
        </w:tc>
      </w:tr>
      <w:tr w:rsidR="00C7572A" w:rsidRPr="00E02FD7" w:rsidTr="002F66C2">
        <w:trPr>
          <w:trHeight w:val="112"/>
        </w:trPr>
        <w:tc>
          <w:tcPr>
            <w:tcW w:w="1242" w:type="dxa"/>
            <w:vMerge w:val="restart"/>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HAD-D: 1</w:t>
            </w:r>
            <w:r w:rsidRPr="00E02FD7">
              <w:rPr>
                <w:rFonts w:asciiTheme="minorHAnsi" w:hAnsiTheme="minorHAnsi"/>
                <w:sz w:val="22"/>
                <w:szCs w:val="22"/>
                <w:vertAlign w:val="superscript"/>
              </w:rPr>
              <w:t>†</w:t>
            </w:r>
          </w:p>
        </w:tc>
        <w:tc>
          <w:tcPr>
            <w:tcW w:w="156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Median (range)</w:t>
            </w:r>
          </w:p>
        </w:tc>
        <w:tc>
          <w:tcPr>
            <w:tcW w:w="1016" w:type="dxa"/>
            <w:vAlign w:val="center"/>
          </w:tcPr>
          <w:p w:rsidR="00C7572A" w:rsidRPr="00E02FD7" w:rsidRDefault="00C7572A" w:rsidP="00E02FD7">
            <w:pPr>
              <w:rPr>
                <w:rFonts w:asciiTheme="minorHAnsi" w:hAnsiTheme="minorHAnsi"/>
                <w:sz w:val="22"/>
                <w:szCs w:val="22"/>
              </w:rPr>
            </w:pPr>
            <w:r w:rsidRPr="00E02FD7">
              <w:rPr>
                <w:rFonts w:asciiTheme="minorHAnsi" w:hAnsiTheme="minorHAnsi"/>
                <w:sz w:val="22"/>
                <w:szCs w:val="22"/>
              </w:rPr>
              <w:t>6.5 (18)</w:t>
            </w:r>
          </w:p>
        </w:tc>
        <w:tc>
          <w:tcPr>
            <w:tcW w:w="1110" w:type="dxa"/>
            <w:vAlign w:val="center"/>
          </w:tcPr>
          <w:p w:rsidR="00C7572A" w:rsidRPr="00E02FD7" w:rsidRDefault="00C7572A" w:rsidP="00E02FD7">
            <w:pPr>
              <w:rPr>
                <w:rFonts w:asciiTheme="minorHAnsi" w:hAnsiTheme="minorHAnsi"/>
                <w:sz w:val="22"/>
                <w:szCs w:val="22"/>
              </w:rPr>
            </w:pPr>
            <w:r w:rsidRPr="00E02FD7">
              <w:rPr>
                <w:rFonts w:asciiTheme="minorHAnsi" w:hAnsiTheme="minorHAnsi"/>
                <w:sz w:val="22"/>
                <w:szCs w:val="22"/>
              </w:rPr>
              <w:t>6.0 (16)</w:t>
            </w:r>
          </w:p>
        </w:tc>
        <w:tc>
          <w:tcPr>
            <w:tcW w:w="1134" w:type="dxa"/>
            <w:vAlign w:val="center"/>
          </w:tcPr>
          <w:p w:rsidR="00C7572A" w:rsidRPr="00E02FD7" w:rsidRDefault="00C7572A" w:rsidP="00E02FD7">
            <w:pPr>
              <w:rPr>
                <w:rFonts w:asciiTheme="minorHAnsi" w:hAnsiTheme="minorHAnsi"/>
                <w:sz w:val="22"/>
                <w:szCs w:val="22"/>
              </w:rPr>
            </w:pPr>
            <w:r w:rsidRPr="00E02FD7">
              <w:rPr>
                <w:rFonts w:asciiTheme="minorHAnsi" w:hAnsiTheme="minorHAnsi"/>
                <w:sz w:val="22"/>
                <w:szCs w:val="22"/>
              </w:rPr>
              <w:t>7.0 (21)</w:t>
            </w:r>
          </w:p>
        </w:tc>
        <w:tc>
          <w:tcPr>
            <w:tcW w:w="1134" w:type="dxa"/>
            <w:vAlign w:val="center"/>
          </w:tcPr>
          <w:p w:rsidR="00C7572A" w:rsidRPr="00E02FD7" w:rsidRDefault="00C7572A" w:rsidP="00E02FD7">
            <w:pPr>
              <w:rPr>
                <w:rFonts w:asciiTheme="minorHAnsi" w:hAnsiTheme="minorHAnsi"/>
                <w:sz w:val="22"/>
                <w:szCs w:val="22"/>
              </w:rPr>
            </w:pPr>
            <w:r w:rsidRPr="00E02FD7">
              <w:rPr>
                <w:rFonts w:asciiTheme="minorHAnsi" w:hAnsiTheme="minorHAnsi"/>
                <w:sz w:val="22"/>
                <w:szCs w:val="22"/>
              </w:rPr>
              <w:t>6.0 (21)</w:t>
            </w:r>
          </w:p>
        </w:tc>
        <w:tc>
          <w:tcPr>
            <w:tcW w:w="98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0.43</w:t>
            </w:r>
          </w:p>
        </w:tc>
        <w:tc>
          <w:tcPr>
            <w:tcW w:w="854"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0.80</w:t>
            </w:r>
          </w:p>
        </w:tc>
        <w:tc>
          <w:tcPr>
            <w:tcW w:w="1272"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0.46 (2,24)</w:t>
            </w:r>
          </w:p>
          <w:p w:rsidR="00C7572A" w:rsidRPr="00E02FD7" w:rsidRDefault="00C7572A" w:rsidP="00E02FD7">
            <w:pPr>
              <w:jc w:val="center"/>
              <w:rPr>
                <w:rFonts w:asciiTheme="minorHAnsi" w:hAnsiTheme="minorHAnsi"/>
                <w:sz w:val="22"/>
                <w:szCs w:val="22"/>
              </w:rPr>
            </w:pPr>
          </w:p>
        </w:tc>
        <w:tc>
          <w:tcPr>
            <w:tcW w:w="712"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0.64</w:t>
            </w:r>
          </w:p>
        </w:tc>
        <w:tc>
          <w:tcPr>
            <w:tcW w:w="1313"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0.41 (2,24)</w:t>
            </w:r>
          </w:p>
        </w:tc>
        <w:tc>
          <w:tcPr>
            <w:tcW w:w="70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0.67</w:t>
            </w:r>
          </w:p>
        </w:tc>
      </w:tr>
      <w:tr w:rsidR="00C7572A" w:rsidRPr="00E02FD7" w:rsidTr="002F66C2">
        <w:trPr>
          <w:trHeight w:val="111"/>
        </w:trPr>
        <w:tc>
          <w:tcPr>
            <w:tcW w:w="1242" w:type="dxa"/>
            <w:vMerge/>
          </w:tcPr>
          <w:p w:rsidR="00C7572A" w:rsidRPr="00E02FD7" w:rsidRDefault="00C7572A" w:rsidP="00E02FD7">
            <w:pPr>
              <w:jc w:val="center"/>
              <w:rPr>
                <w:rFonts w:asciiTheme="minorHAnsi" w:hAnsiTheme="minorHAnsi"/>
                <w:b/>
                <w:sz w:val="22"/>
                <w:szCs w:val="22"/>
              </w:rPr>
            </w:pPr>
          </w:p>
        </w:tc>
        <w:tc>
          <w:tcPr>
            <w:tcW w:w="1560" w:type="dxa"/>
          </w:tcPr>
          <w:p w:rsidR="00C7572A" w:rsidRPr="00E02FD7" w:rsidRDefault="00C7572A" w:rsidP="00E02FD7">
            <w:pPr>
              <w:jc w:val="center"/>
              <w:rPr>
                <w:rFonts w:asciiTheme="minorHAnsi" w:hAnsiTheme="minorHAnsi"/>
                <w:i/>
                <w:sz w:val="22"/>
                <w:szCs w:val="22"/>
              </w:rPr>
            </w:pPr>
            <w:r w:rsidRPr="00E02FD7">
              <w:rPr>
                <w:rFonts w:asciiTheme="minorHAnsi" w:hAnsiTheme="minorHAnsi"/>
                <w:i/>
                <w:sz w:val="22"/>
                <w:szCs w:val="22"/>
              </w:rPr>
              <w:t>n</w:t>
            </w:r>
          </w:p>
          <w:p w:rsidR="00C7572A" w:rsidRPr="00E02FD7" w:rsidRDefault="00C7572A" w:rsidP="00E02FD7">
            <w:pPr>
              <w:jc w:val="center"/>
              <w:rPr>
                <w:rFonts w:asciiTheme="minorHAnsi" w:hAnsiTheme="minorHAnsi"/>
                <w:b/>
                <w:sz w:val="22"/>
                <w:szCs w:val="22"/>
              </w:rPr>
            </w:pPr>
          </w:p>
        </w:tc>
        <w:tc>
          <w:tcPr>
            <w:tcW w:w="1016"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28</w:t>
            </w:r>
          </w:p>
        </w:tc>
        <w:tc>
          <w:tcPr>
            <w:tcW w:w="1110"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30</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40</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98</w:t>
            </w:r>
          </w:p>
        </w:tc>
        <w:tc>
          <w:tcPr>
            <w:tcW w:w="989" w:type="dxa"/>
            <w:vMerge/>
          </w:tcPr>
          <w:p w:rsidR="00C7572A" w:rsidRPr="00E02FD7" w:rsidRDefault="00C7572A" w:rsidP="00E02FD7">
            <w:pPr>
              <w:jc w:val="center"/>
              <w:rPr>
                <w:rFonts w:asciiTheme="minorHAnsi" w:hAnsiTheme="minorHAnsi"/>
                <w:sz w:val="22"/>
                <w:szCs w:val="22"/>
              </w:rPr>
            </w:pPr>
          </w:p>
        </w:tc>
        <w:tc>
          <w:tcPr>
            <w:tcW w:w="854" w:type="dxa"/>
            <w:vMerge/>
          </w:tcPr>
          <w:p w:rsidR="00C7572A" w:rsidRPr="00E02FD7" w:rsidRDefault="00C7572A" w:rsidP="00E02FD7">
            <w:pPr>
              <w:jc w:val="center"/>
              <w:rPr>
                <w:rFonts w:asciiTheme="minorHAnsi" w:hAnsiTheme="minorHAnsi"/>
                <w:b/>
                <w:sz w:val="22"/>
                <w:szCs w:val="22"/>
              </w:rPr>
            </w:pPr>
          </w:p>
        </w:tc>
        <w:tc>
          <w:tcPr>
            <w:tcW w:w="1272" w:type="dxa"/>
            <w:vMerge/>
          </w:tcPr>
          <w:p w:rsidR="00C7572A" w:rsidRPr="00E02FD7" w:rsidRDefault="00C7572A" w:rsidP="00E02FD7">
            <w:pPr>
              <w:jc w:val="center"/>
              <w:rPr>
                <w:rFonts w:asciiTheme="minorHAnsi" w:hAnsiTheme="minorHAnsi"/>
                <w:b/>
                <w:sz w:val="22"/>
                <w:szCs w:val="22"/>
              </w:rPr>
            </w:pPr>
          </w:p>
        </w:tc>
        <w:tc>
          <w:tcPr>
            <w:tcW w:w="712" w:type="dxa"/>
            <w:vMerge/>
          </w:tcPr>
          <w:p w:rsidR="00C7572A" w:rsidRPr="00E02FD7" w:rsidRDefault="00C7572A" w:rsidP="00E02FD7">
            <w:pPr>
              <w:jc w:val="center"/>
              <w:rPr>
                <w:rFonts w:asciiTheme="minorHAnsi" w:hAnsiTheme="minorHAnsi"/>
                <w:b/>
                <w:sz w:val="22"/>
                <w:szCs w:val="22"/>
              </w:rPr>
            </w:pPr>
          </w:p>
        </w:tc>
        <w:tc>
          <w:tcPr>
            <w:tcW w:w="1313" w:type="dxa"/>
            <w:vMerge/>
          </w:tcPr>
          <w:p w:rsidR="00C7572A" w:rsidRPr="00E02FD7" w:rsidRDefault="00C7572A" w:rsidP="00E02FD7">
            <w:pPr>
              <w:jc w:val="center"/>
              <w:rPr>
                <w:rFonts w:asciiTheme="minorHAnsi" w:hAnsiTheme="minorHAnsi"/>
                <w:b/>
                <w:sz w:val="22"/>
                <w:szCs w:val="22"/>
              </w:rPr>
            </w:pPr>
          </w:p>
        </w:tc>
        <w:tc>
          <w:tcPr>
            <w:tcW w:w="709" w:type="dxa"/>
            <w:vMerge/>
          </w:tcPr>
          <w:p w:rsidR="00C7572A" w:rsidRPr="00E02FD7" w:rsidRDefault="00C7572A" w:rsidP="00E02FD7">
            <w:pPr>
              <w:jc w:val="center"/>
              <w:rPr>
                <w:rFonts w:asciiTheme="minorHAnsi" w:hAnsiTheme="minorHAnsi"/>
                <w:b/>
                <w:sz w:val="22"/>
                <w:szCs w:val="22"/>
              </w:rPr>
            </w:pPr>
          </w:p>
        </w:tc>
      </w:tr>
      <w:tr w:rsidR="00C7572A" w:rsidRPr="00E02FD7" w:rsidTr="002F66C2">
        <w:trPr>
          <w:trHeight w:val="112"/>
        </w:trPr>
        <w:tc>
          <w:tcPr>
            <w:tcW w:w="1242" w:type="dxa"/>
            <w:vMerge w:val="restart"/>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HAD-D: 2</w:t>
            </w:r>
            <w:r w:rsidRPr="00E02FD7">
              <w:rPr>
                <w:rFonts w:asciiTheme="minorHAnsi" w:hAnsiTheme="minorHAnsi"/>
                <w:sz w:val="22"/>
                <w:szCs w:val="22"/>
                <w:vertAlign w:val="superscript"/>
              </w:rPr>
              <w:t>††</w:t>
            </w:r>
          </w:p>
        </w:tc>
        <w:tc>
          <w:tcPr>
            <w:tcW w:w="156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Median (range)</w:t>
            </w:r>
          </w:p>
        </w:tc>
        <w:tc>
          <w:tcPr>
            <w:tcW w:w="1016"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4.5 (16)</w:t>
            </w:r>
          </w:p>
        </w:tc>
        <w:tc>
          <w:tcPr>
            <w:tcW w:w="1110"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6.0 (12)</w:t>
            </w:r>
          </w:p>
        </w:tc>
        <w:tc>
          <w:tcPr>
            <w:tcW w:w="1134"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7.0 (15)</w:t>
            </w:r>
          </w:p>
        </w:tc>
        <w:tc>
          <w:tcPr>
            <w:tcW w:w="1134"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6.5 (16)</w:t>
            </w:r>
          </w:p>
        </w:tc>
        <w:tc>
          <w:tcPr>
            <w:tcW w:w="98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0.73</w:t>
            </w:r>
          </w:p>
        </w:tc>
        <w:tc>
          <w:tcPr>
            <w:tcW w:w="854"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0.70</w:t>
            </w:r>
          </w:p>
        </w:tc>
        <w:tc>
          <w:tcPr>
            <w:tcW w:w="1272" w:type="dxa"/>
            <w:vMerge w:val="restart"/>
          </w:tcPr>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0.35</w:t>
            </w:r>
            <w:r w:rsidRPr="00E02FD7">
              <w:rPr>
                <w:rFonts w:asciiTheme="minorHAnsi" w:hAnsiTheme="minorHAnsi"/>
                <w:sz w:val="22"/>
                <w:szCs w:val="22"/>
                <w:vertAlign w:val="superscript"/>
              </w:rPr>
              <w:t xml:space="preserve"> a </w:t>
            </w:r>
            <w:r w:rsidRPr="00E02FD7">
              <w:rPr>
                <w:rFonts w:asciiTheme="minorHAnsi" w:hAnsiTheme="minorHAnsi"/>
                <w:sz w:val="22"/>
                <w:szCs w:val="22"/>
              </w:rPr>
              <w:t>(2,35)</w:t>
            </w:r>
          </w:p>
        </w:tc>
        <w:tc>
          <w:tcPr>
            <w:tcW w:w="712" w:type="dxa"/>
            <w:vMerge w:val="restart"/>
          </w:tcPr>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0.72</w:t>
            </w:r>
          </w:p>
        </w:tc>
        <w:tc>
          <w:tcPr>
            <w:tcW w:w="1313" w:type="dxa"/>
            <w:vMerge w:val="restart"/>
          </w:tcPr>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0.27</w:t>
            </w:r>
            <w:r w:rsidRPr="00E02FD7">
              <w:rPr>
                <w:rFonts w:asciiTheme="minorHAnsi" w:hAnsiTheme="minorHAnsi"/>
                <w:sz w:val="22"/>
                <w:szCs w:val="22"/>
                <w:vertAlign w:val="superscript"/>
              </w:rPr>
              <w:t xml:space="preserve">a </w:t>
            </w:r>
            <w:r w:rsidRPr="00E02FD7">
              <w:rPr>
                <w:rFonts w:asciiTheme="minorHAnsi" w:hAnsiTheme="minorHAnsi"/>
                <w:sz w:val="22"/>
                <w:szCs w:val="22"/>
              </w:rPr>
              <w:t>(2,31)</w:t>
            </w:r>
          </w:p>
        </w:tc>
        <w:tc>
          <w:tcPr>
            <w:tcW w:w="709" w:type="dxa"/>
            <w:vMerge w:val="restart"/>
          </w:tcPr>
          <w:p w:rsidR="00C7572A" w:rsidRPr="00E02FD7" w:rsidRDefault="00C7572A" w:rsidP="00E02FD7">
            <w:pPr>
              <w:jc w:val="center"/>
              <w:rPr>
                <w:rFonts w:asciiTheme="minorHAnsi" w:hAnsiTheme="minorHAnsi"/>
                <w:b/>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0.77</w:t>
            </w:r>
          </w:p>
        </w:tc>
      </w:tr>
      <w:tr w:rsidR="00C7572A" w:rsidRPr="00E02FD7" w:rsidTr="002F66C2">
        <w:trPr>
          <w:trHeight w:val="111"/>
        </w:trPr>
        <w:tc>
          <w:tcPr>
            <w:tcW w:w="1242" w:type="dxa"/>
            <w:vMerge/>
          </w:tcPr>
          <w:p w:rsidR="00C7572A" w:rsidRPr="00E02FD7" w:rsidRDefault="00C7572A" w:rsidP="00E02FD7">
            <w:pPr>
              <w:jc w:val="center"/>
              <w:rPr>
                <w:rFonts w:asciiTheme="minorHAnsi" w:hAnsiTheme="minorHAnsi"/>
                <w:b/>
                <w:sz w:val="22"/>
                <w:szCs w:val="22"/>
              </w:rPr>
            </w:pPr>
          </w:p>
        </w:tc>
        <w:tc>
          <w:tcPr>
            <w:tcW w:w="1560" w:type="dxa"/>
          </w:tcPr>
          <w:p w:rsidR="00C7572A" w:rsidRPr="00E02FD7" w:rsidRDefault="00C7572A" w:rsidP="00E02FD7">
            <w:pPr>
              <w:jc w:val="center"/>
              <w:rPr>
                <w:rFonts w:asciiTheme="minorHAnsi" w:hAnsiTheme="minorHAnsi"/>
                <w:i/>
                <w:sz w:val="22"/>
                <w:szCs w:val="22"/>
              </w:rPr>
            </w:pPr>
            <w:r w:rsidRPr="00E02FD7">
              <w:rPr>
                <w:rFonts w:asciiTheme="minorHAnsi" w:hAnsiTheme="minorHAnsi"/>
                <w:i/>
                <w:sz w:val="22"/>
                <w:szCs w:val="22"/>
              </w:rPr>
              <w:t>n</w:t>
            </w:r>
          </w:p>
          <w:p w:rsidR="00C7572A" w:rsidRPr="00E02FD7" w:rsidRDefault="00C7572A" w:rsidP="00E02FD7">
            <w:pPr>
              <w:jc w:val="center"/>
              <w:rPr>
                <w:rFonts w:asciiTheme="minorHAnsi" w:hAnsiTheme="minorHAnsi"/>
                <w:b/>
                <w:sz w:val="22"/>
                <w:szCs w:val="22"/>
              </w:rPr>
            </w:pPr>
          </w:p>
        </w:tc>
        <w:tc>
          <w:tcPr>
            <w:tcW w:w="1016"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8</w:t>
            </w:r>
          </w:p>
        </w:tc>
        <w:tc>
          <w:tcPr>
            <w:tcW w:w="1110"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17</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13</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38</w:t>
            </w:r>
          </w:p>
        </w:tc>
        <w:tc>
          <w:tcPr>
            <w:tcW w:w="989" w:type="dxa"/>
            <w:vMerge/>
          </w:tcPr>
          <w:p w:rsidR="00C7572A" w:rsidRPr="00E02FD7" w:rsidRDefault="00C7572A" w:rsidP="00E02FD7">
            <w:pPr>
              <w:jc w:val="center"/>
              <w:rPr>
                <w:rFonts w:asciiTheme="minorHAnsi" w:hAnsiTheme="minorHAnsi"/>
                <w:i/>
                <w:sz w:val="22"/>
                <w:szCs w:val="22"/>
              </w:rPr>
            </w:pPr>
          </w:p>
        </w:tc>
        <w:tc>
          <w:tcPr>
            <w:tcW w:w="854" w:type="dxa"/>
            <w:vMerge/>
          </w:tcPr>
          <w:p w:rsidR="00C7572A" w:rsidRPr="00E02FD7" w:rsidRDefault="00C7572A" w:rsidP="00E02FD7">
            <w:pPr>
              <w:jc w:val="center"/>
              <w:rPr>
                <w:rFonts w:asciiTheme="minorHAnsi" w:hAnsiTheme="minorHAnsi"/>
                <w:b/>
                <w:i/>
                <w:sz w:val="22"/>
                <w:szCs w:val="22"/>
              </w:rPr>
            </w:pPr>
          </w:p>
        </w:tc>
        <w:tc>
          <w:tcPr>
            <w:tcW w:w="1272" w:type="dxa"/>
            <w:vMerge/>
          </w:tcPr>
          <w:p w:rsidR="00C7572A" w:rsidRPr="00E02FD7" w:rsidRDefault="00C7572A" w:rsidP="00E02FD7">
            <w:pPr>
              <w:jc w:val="center"/>
              <w:rPr>
                <w:rFonts w:asciiTheme="minorHAnsi" w:hAnsiTheme="minorHAnsi"/>
                <w:b/>
                <w:i/>
                <w:sz w:val="22"/>
                <w:szCs w:val="22"/>
              </w:rPr>
            </w:pPr>
          </w:p>
        </w:tc>
        <w:tc>
          <w:tcPr>
            <w:tcW w:w="712" w:type="dxa"/>
            <w:vMerge/>
          </w:tcPr>
          <w:p w:rsidR="00C7572A" w:rsidRPr="00E02FD7" w:rsidRDefault="00C7572A" w:rsidP="00E02FD7">
            <w:pPr>
              <w:jc w:val="center"/>
              <w:rPr>
                <w:rFonts w:asciiTheme="minorHAnsi" w:hAnsiTheme="minorHAnsi"/>
                <w:b/>
                <w:i/>
                <w:sz w:val="22"/>
                <w:szCs w:val="22"/>
              </w:rPr>
            </w:pPr>
          </w:p>
        </w:tc>
        <w:tc>
          <w:tcPr>
            <w:tcW w:w="1313" w:type="dxa"/>
            <w:vMerge/>
          </w:tcPr>
          <w:p w:rsidR="00C7572A" w:rsidRPr="00E02FD7" w:rsidRDefault="00C7572A" w:rsidP="00E02FD7">
            <w:pPr>
              <w:jc w:val="center"/>
              <w:rPr>
                <w:rFonts w:asciiTheme="minorHAnsi" w:hAnsiTheme="minorHAnsi"/>
                <w:b/>
                <w:i/>
                <w:sz w:val="22"/>
                <w:szCs w:val="22"/>
              </w:rPr>
            </w:pPr>
          </w:p>
        </w:tc>
        <w:tc>
          <w:tcPr>
            <w:tcW w:w="709" w:type="dxa"/>
            <w:vMerge/>
          </w:tcPr>
          <w:p w:rsidR="00C7572A" w:rsidRPr="00E02FD7" w:rsidRDefault="00C7572A" w:rsidP="00E02FD7">
            <w:pPr>
              <w:jc w:val="center"/>
              <w:rPr>
                <w:rFonts w:asciiTheme="minorHAnsi" w:hAnsiTheme="minorHAnsi"/>
                <w:b/>
                <w:i/>
                <w:sz w:val="22"/>
                <w:szCs w:val="22"/>
              </w:rPr>
            </w:pPr>
          </w:p>
        </w:tc>
      </w:tr>
      <w:tr w:rsidR="00C7572A" w:rsidRPr="00E02FD7" w:rsidTr="002F66C2">
        <w:trPr>
          <w:trHeight w:val="201"/>
        </w:trPr>
        <w:tc>
          <w:tcPr>
            <w:tcW w:w="1242" w:type="dxa"/>
            <w:vMerge w:val="restart"/>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Total HADS: 1</w:t>
            </w:r>
            <w:r w:rsidRPr="00E02FD7">
              <w:rPr>
                <w:rFonts w:asciiTheme="minorHAnsi" w:hAnsiTheme="minorHAnsi"/>
                <w:sz w:val="22"/>
                <w:szCs w:val="22"/>
                <w:vertAlign w:val="superscript"/>
              </w:rPr>
              <w:t>†</w:t>
            </w:r>
          </w:p>
        </w:tc>
        <w:tc>
          <w:tcPr>
            <w:tcW w:w="156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Median (range)</w:t>
            </w:r>
          </w:p>
        </w:tc>
        <w:tc>
          <w:tcPr>
            <w:tcW w:w="1016"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16.0 (35)</w:t>
            </w:r>
          </w:p>
        </w:tc>
        <w:tc>
          <w:tcPr>
            <w:tcW w:w="1110"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12.5 (32)</w:t>
            </w:r>
          </w:p>
        </w:tc>
        <w:tc>
          <w:tcPr>
            <w:tcW w:w="1134"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14.0 (39)</w:t>
            </w:r>
          </w:p>
        </w:tc>
        <w:tc>
          <w:tcPr>
            <w:tcW w:w="1134"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14.0 (9)</w:t>
            </w:r>
          </w:p>
        </w:tc>
        <w:tc>
          <w:tcPr>
            <w:tcW w:w="98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0.44</w:t>
            </w:r>
          </w:p>
        </w:tc>
        <w:tc>
          <w:tcPr>
            <w:tcW w:w="854"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0.80</w:t>
            </w:r>
          </w:p>
        </w:tc>
        <w:tc>
          <w:tcPr>
            <w:tcW w:w="1272" w:type="dxa"/>
            <w:vMerge w:val="restart"/>
          </w:tcPr>
          <w:p w:rsidR="00C7572A" w:rsidRPr="00E02FD7" w:rsidRDefault="00C7572A" w:rsidP="00E02FD7">
            <w:pPr>
              <w:jc w:val="center"/>
              <w:rPr>
                <w:rFonts w:asciiTheme="minorHAnsi" w:hAnsiTheme="minorHAnsi"/>
                <w:b/>
                <w: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0.57 (2,24)</w:t>
            </w:r>
          </w:p>
        </w:tc>
        <w:tc>
          <w:tcPr>
            <w:tcW w:w="712"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0.57</w:t>
            </w:r>
          </w:p>
        </w:tc>
        <w:tc>
          <w:tcPr>
            <w:tcW w:w="1313"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0.48 (2,24)</w:t>
            </w:r>
          </w:p>
        </w:tc>
        <w:tc>
          <w:tcPr>
            <w:tcW w:w="70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0.62</w:t>
            </w:r>
          </w:p>
        </w:tc>
      </w:tr>
      <w:tr w:rsidR="00C7572A" w:rsidRPr="00E02FD7" w:rsidTr="002F66C2">
        <w:trPr>
          <w:trHeight w:val="201"/>
        </w:trPr>
        <w:tc>
          <w:tcPr>
            <w:tcW w:w="1242" w:type="dxa"/>
            <w:vMerge/>
          </w:tcPr>
          <w:p w:rsidR="00C7572A" w:rsidRPr="00E02FD7" w:rsidRDefault="00C7572A" w:rsidP="00E02FD7">
            <w:pPr>
              <w:jc w:val="center"/>
              <w:rPr>
                <w:rFonts w:asciiTheme="minorHAnsi" w:hAnsiTheme="minorHAnsi"/>
                <w:b/>
                <w:sz w:val="22"/>
                <w:szCs w:val="22"/>
              </w:rPr>
            </w:pPr>
          </w:p>
        </w:tc>
        <w:tc>
          <w:tcPr>
            <w:tcW w:w="1560" w:type="dxa"/>
          </w:tcPr>
          <w:p w:rsidR="00C7572A" w:rsidRPr="00E02FD7" w:rsidRDefault="00C7572A" w:rsidP="00E02FD7">
            <w:pPr>
              <w:jc w:val="center"/>
              <w:rPr>
                <w:rFonts w:asciiTheme="minorHAnsi" w:hAnsiTheme="minorHAnsi"/>
                <w:i/>
                <w:sz w:val="22"/>
                <w:szCs w:val="22"/>
              </w:rPr>
            </w:pPr>
            <w:r w:rsidRPr="00E02FD7">
              <w:rPr>
                <w:rFonts w:asciiTheme="minorHAnsi" w:hAnsiTheme="minorHAnsi"/>
                <w:i/>
                <w:sz w:val="22"/>
                <w:szCs w:val="22"/>
              </w:rPr>
              <w:t>n</w:t>
            </w:r>
          </w:p>
          <w:p w:rsidR="00C7572A" w:rsidRPr="00E02FD7" w:rsidRDefault="00C7572A" w:rsidP="00E02FD7">
            <w:pPr>
              <w:jc w:val="center"/>
              <w:rPr>
                <w:rFonts w:asciiTheme="minorHAnsi" w:hAnsiTheme="minorHAnsi"/>
                <w:b/>
                <w:sz w:val="22"/>
                <w:szCs w:val="22"/>
              </w:rPr>
            </w:pPr>
          </w:p>
        </w:tc>
        <w:tc>
          <w:tcPr>
            <w:tcW w:w="1016"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28</w:t>
            </w:r>
          </w:p>
        </w:tc>
        <w:tc>
          <w:tcPr>
            <w:tcW w:w="1110"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30</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40</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98</w:t>
            </w:r>
          </w:p>
        </w:tc>
        <w:tc>
          <w:tcPr>
            <w:tcW w:w="989" w:type="dxa"/>
            <w:vMerge/>
          </w:tcPr>
          <w:p w:rsidR="00C7572A" w:rsidRPr="00E02FD7" w:rsidRDefault="00C7572A" w:rsidP="00E02FD7">
            <w:pPr>
              <w:jc w:val="center"/>
              <w:rPr>
                <w:rFonts w:asciiTheme="minorHAnsi" w:hAnsiTheme="minorHAnsi"/>
                <w:i/>
                <w:sz w:val="22"/>
                <w:szCs w:val="22"/>
              </w:rPr>
            </w:pPr>
          </w:p>
        </w:tc>
        <w:tc>
          <w:tcPr>
            <w:tcW w:w="854" w:type="dxa"/>
            <w:vMerge/>
          </w:tcPr>
          <w:p w:rsidR="00C7572A" w:rsidRPr="00E02FD7" w:rsidRDefault="00C7572A" w:rsidP="00E02FD7">
            <w:pPr>
              <w:jc w:val="center"/>
              <w:rPr>
                <w:rFonts w:asciiTheme="minorHAnsi" w:hAnsiTheme="minorHAnsi"/>
                <w:b/>
                <w:i/>
                <w:sz w:val="22"/>
                <w:szCs w:val="22"/>
              </w:rPr>
            </w:pPr>
          </w:p>
        </w:tc>
        <w:tc>
          <w:tcPr>
            <w:tcW w:w="1272" w:type="dxa"/>
            <w:vMerge/>
          </w:tcPr>
          <w:p w:rsidR="00C7572A" w:rsidRPr="00E02FD7" w:rsidRDefault="00C7572A" w:rsidP="00E02FD7">
            <w:pPr>
              <w:jc w:val="center"/>
              <w:rPr>
                <w:rFonts w:asciiTheme="minorHAnsi" w:hAnsiTheme="minorHAnsi"/>
                <w:b/>
                <w:i/>
                <w:sz w:val="22"/>
                <w:szCs w:val="22"/>
              </w:rPr>
            </w:pPr>
          </w:p>
        </w:tc>
        <w:tc>
          <w:tcPr>
            <w:tcW w:w="712" w:type="dxa"/>
            <w:vMerge/>
          </w:tcPr>
          <w:p w:rsidR="00C7572A" w:rsidRPr="00E02FD7" w:rsidRDefault="00C7572A" w:rsidP="00E02FD7">
            <w:pPr>
              <w:jc w:val="center"/>
              <w:rPr>
                <w:rFonts w:asciiTheme="minorHAnsi" w:hAnsiTheme="minorHAnsi"/>
                <w:b/>
                <w:i/>
                <w:sz w:val="22"/>
                <w:szCs w:val="22"/>
              </w:rPr>
            </w:pPr>
          </w:p>
        </w:tc>
        <w:tc>
          <w:tcPr>
            <w:tcW w:w="1313" w:type="dxa"/>
            <w:vMerge/>
          </w:tcPr>
          <w:p w:rsidR="00C7572A" w:rsidRPr="00E02FD7" w:rsidRDefault="00C7572A" w:rsidP="00E02FD7">
            <w:pPr>
              <w:jc w:val="center"/>
              <w:rPr>
                <w:rFonts w:asciiTheme="minorHAnsi" w:hAnsiTheme="minorHAnsi"/>
                <w:b/>
                <w:i/>
                <w:sz w:val="22"/>
                <w:szCs w:val="22"/>
              </w:rPr>
            </w:pPr>
          </w:p>
        </w:tc>
        <w:tc>
          <w:tcPr>
            <w:tcW w:w="709" w:type="dxa"/>
            <w:vMerge/>
          </w:tcPr>
          <w:p w:rsidR="00C7572A" w:rsidRPr="00E02FD7" w:rsidRDefault="00C7572A" w:rsidP="00E02FD7">
            <w:pPr>
              <w:jc w:val="center"/>
              <w:rPr>
                <w:rFonts w:asciiTheme="minorHAnsi" w:hAnsiTheme="minorHAnsi"/>
                <w:b/>
                <w:i/>
                <w:sz w:val="22"/>
                <w:szCs w:val="22"/>
              </w:rPr>
            </w:pPr>
          </w:p>
        </w:tc>
      </w:tr>
      <w:tr w:rsidR="00C7572A" w:rsidRPr="00E02FD7" w:rsidTr="002F66C2">
        <w:trPr>
          <w:trHeight w:val="201"/>
        </w:trPr>
        <w:tc>
          <w:tcPr>
            <w:tcW w:w="1242" w:type="dxa"/>
            <w:vMerge w:val="restart"/>
          </w:tcPr>
          <w:p w:rsidR="00C7572A" w:rsidRPr="00E02FD7" w:rsidRDefault="00C7572A" w:rsidP="00E02FD7">
            <w:pPr>
              <w:jc w:val="center"/>
              <w:rPr>
                <w:rFonts w:asciiTheme="minorHAnsi" w:hAnsiTheme="minorHAnsi"/>
                <w:b/>
                <w:sz w:val="22"/>
                <w:szCs w:val="22"/>
              </w:rPr>
            </w:pPr>
            <w:r w:rsidRPr="00E02FD7">
              <w:rPr>
                <w:rFonts w:asciiTheme="minorHAnsi" w:hAnsiTheme="minorHAnsi"/>
                <w:b/>
                <w:sz w:val="22"/>
                <w:szCs w:val="22"/>
              </w:rPr>
              <w:t>Total HADS: 2</w:t>
            </w:r>
            <w:r w:rsidRPr="00E02FD7">
              <w:rPr>
                <w:rFonts w:asciiTheme="minorHAnsi" w:hAnsiTheme="minorHAnsi"/>
                <w:sz w:val="22"/>
                <w:szCs w:val="22"/>
                <w:vertAlign w:val="superscript"/>
              </w:rPr>
              <w:t>††</w:t>
            </w:r>
          </w:p>
        </w:tc>
        <w:tc>
          <w:tcPr>
            <w:tcW w:w="156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sz w:val="22"/>
                <w:szCs w:val="22"/>
              </w:rPr>
              <w:t>Median (range)</w:t>
            </w:r>
          </w:p>
        </w:tc>
        <w:tc>
          <w:tcPr>
            <w:tcW w:w="1016"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10.0 (23)</w:t>
            </w:r>
          </w:p>
        </w:tc>
        <w:tc>
          <w:tcPr>
            <w:tcW w:w="1110"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11.0 (27)</w:t>
            </w:r>
          </w:p>
        </w:tc>
        <w:tc>
          <w:tcPr>
            <w:tcW w:w="1134"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12.0 (23)</w:t>
            </w:r>
          </w:p>
        </w:tc>
        <w:tc>
          <w:tcPr>
            <w:tcW w:w="1134" w:type="dxa"/>
            <w:vAlign w:val="center"/>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11.5 (27)</w:t>
            </w:r>
          </w:p>
        </w:tc>
        <w:tc>
          <w:tcPr>
            <w:tcW w:w="98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0.41</w:t>
            </w:r>
          </w:p>
        </w:tc>
        <w:tc>
          <w:tcPr>
            <w:tcW w:w="854"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0.82</w:t>
            </w:r>
          </w:p>
        </w:tc>
        <w:tc>
          <w:tcPr>
            <w:tcW w:w="1272"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0.13</w:t>
            </w:r>
            <w:r w:rsidRPr="00E02FD7">
              <w:rPr>
                <w:rFonts w:asciiTheme="minorHAnsi" w:hAnsiTheme="minorHAnsi"/>
                <w:sz w:val="22"/>
                <w:szCs w:val="22"/>
                <w:vertAlign w:val="superscript"/>
              </w:rPr>
              <w:t xml:space="preserve"> a </w:t>
            </w:r>
            <w:r w:rsidRPr="00E02FD7">
              <w:rPr>
                <w:rFonts w:asciiTheme="minorHAnsi" w:hAnsiTheme="minorHAnsi"/>
                <w:sz w:val="22"/>
                <w:szCs w:val="22"/>
              </w:rPr>
              <w:t>(2,35)</w:t>
            </w:r>
          </w:p>
        </w:tc>
        <w:tc>
          <w:tcPr>
            <w:tcW w:w="712"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0.88</w:t>
            </w:r>
          </w:p>
        </w:tc>
        <w:tc>
          <w:tcPr>
            <w:tcW w:w="1313"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0.10</w:t>
            </w:r>
            <w:r w:rsidRPr="00E02FD7">
              <w:rPr>
                <w:rFonts w:asciiTheme="minorHAnsi" w:hAnsiTheme="minorHAnsi"/>
                <w:sz w:val="22"/>
                <w:szCs w:val="22"/>
                <w:vertAlign w:val="superscript"/>
              </w:rPr>
              <w:t xml:space="preserve"> a </w:t>
            </w:r>
            <w:r w:rsidRPr="00E02FD7">
              <w:rPr>
                <w:rFonts w:asciiTheme="minorHAnsi" w:hAnsiTheme="minorHAnsi"/>
                <w:sz w:val="22"/>
                <w:szCs w:val="22"/>
              </w:rPr>
              <w:t>(2,31)</w:t>
            </w:r>
          </w:p>
        </w:tc>
        <w:tc>
          <w:tcPr>
            <w:tcW w:w="709" w:type="dxa"/>
            <w:vMerge w:val="restart"/>
          </w:tcPr>
          <w:p w:rsidR="00C7572A" w:rsidRPr="00E02FD7" w:rsidRDefault="00C7572A" w:rsidP="00E02FD7">
            <w:pPr>
              <w:jc w:val="center"/>
              <w:rPr>
                <w:rFonts w:asciiTheme="minorHAnsi" w:hAnsiTheme="minorHAnsi"/>
                <w:sz w:val="22"/>
                <w:szCs w:val="22"/>
              </w:rPr>
            </w:pPr>
          </w:p>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0.90</w:t>
            </w:r>
          </w:p>
        </w:tc>
      </w:tr>
      <w:tr w:rsidR="00C7572A" w:rsidRPr="00E02FD7" w:rsidTr="002F66C2">
        <w:trPr>
          <w:trHeight w:val="201"/>
        </w:trPr>
        <w:tc>
          <w:tcPr>
            <w:tcW w:w="1242" w:type="dxa"/>
            <w:vMerge/>
          </w:tcPr>
          <w:p w:rsidR="00C7572A" w:rsidRPr="00E02FD7" w:rsidRDefault="00C7572A" w:rsidP="00E02FD7">
            <w:pPr>
              <w:jc w:val="center"/>
              <w:rPr>
                <w:b/>
              </w:rPr>
            </w:pPr>
          </w:p>
        </w:tc>
        <w:tc>
          <w:tcPr>
            <w:tcW w:w="1560" w:type="dxa"/>
          </w:tcPr>
          <w:p w:rsidR="00C7572A" w:rsidRPr="00E02FD7" w:rsidRDefault="00C7572A" w:rsidP="00E02FD7">
            <w:pPr>
              <w:jc w:val="center"/>
              <w:rPr>
                <w:rFonts w:asciiTheme="minorHAnsi" w:hAnsiTheme="minorHAnsi"/>
                <w:b/>
                <w:sz w:val="22"/>
                <w:szCs w:val="22"/>
              </w:rPr>
            </w:pPr>
            <w:r w:rsidRPr="00E02FD7">
              <w:rPr>
                <w:rFonts w:asciiTheme="minorHAnsi" w:hAnsiTheme="minorHAnsi"/>
                <w:i/>
                <w:sz w:val="22"/>
                <w:szCs w:val="22"/>
              </w:rPr>
              <w:t>n</w:t>
            </w:r>
          </w:p>
        </w:tc>
        <w:tc>
          <w:tcPr>
            <w:tcW w:w="1016"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8</w:t>
            </w:r>
          </w:p>
        </w:tc>
        <w:tc>
          <w:tcPr>
            <w:tcW w:w="1110"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17</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13</w:t>
            </w:r>
          </w:p>
        </w:tc>
        <w:tc>
          <w:tcPr>
            <w:tcW w:w="1134" w:type="dxa"/>
          </w:tcPr>
          <w:p w:rsidR="00C7572A" w:rsidRPr="00E02FD7" w:rsidRDefault="00C7572A" w:rsidP="00E02FD7">
            <w:pPr>
              <w:jc w:val="center"/>
              <w:rPr>
                <w:rFonts w:asciiTheme="minorHAnsi" w:hAnsiTheme="minorHAnsi"/>
                <w:sz w:val="22"/>
                <w:szCs w:val="22"/>
              </w:rPr>
            </w:pPr>
            <w:r w:rsidRPr="00E02FD7">
              <w:rPr>
                <w:rFonts w:asciiTheme="minorHAnsi" w:hAnsiTheme="minorHAnsi"/>
                <w:sz w:val="22"/>
                <w:szCs w:val="22"/>
              </w:rPr>
              <w:t>38</w:t>
            </w:r>
          </w:p>
        </w:tc>
        <w:tc>
          <w:tcPr>
            <w:tcW w:w="989" w:type="dxa"/>
            <w:vMerge/>
          </w:tcPr>
          <w:p w:rsidR="00C7572A" w:rsidRPr="00E02FD7" w:rsidRDefault="00C7572A" w:rsidP="00E02FD7">
            <w:pPr>
              <w:jc w:val="center"/>
              <w:rPr>
                <w:i/>
                <w:sz w:val="24"/>
                <w:szCs w:val="24"/>
              </w:rPr>
            </w:pPr>
          </w:p>
        </w:tc>
        <w:tc>
          <w:tcPr>
            <w:tcW w:w="854" w:type="dxa"/>
            <w:vMerge/>
          </w:tcPr>
          <w:p w:rsidR="00C7572A" w:rsidRPr="00E02FD7" w:rsidRDefault="00C7572A" w:rsidP="00E02FD7">
            <w:pPr>
              <w:jc w:val="center"/>
              <w:rPr>
                <w:b/>
                <w:i/>
              </w:rPr>
            </w:pPr>
          </w:p>
        </w:tc>
        <w:tc>
          <w:tcPr>
            <w:tcW w:w="1272" w:type="dxa"/>
            <w:vMerge/>
          </w:tcPr>
          <w:p w:rsidR="00C7572A" w:rsidRPr="00E02FD7" w:rsidRDefault="00C7572A" w:rsidP="00E02FD7">
            <w:pPr>
              <w:jc w:val="center"/>
              <w:rPr>
                <w:b/>
                <w:i/>
              </w:rPr>
            </w:pPr>
          </w:p>
        </w:tc>
        <w:tc>
          <w:tcPr>
            <w:tcW w:w="712" w:type="dxa"/>
            <w:vMerge/>
          </w:tcPr>
          <w:p w:rsidR="00C7572A" w:rsidRPr="00E02FD7" w:rsidRDefault="00C7572A" w:rsidP="00E02FD7">
            <w:pPr>
              <w:jc w:val="center"/>
              <w:rPr>
                <w:b/>
                <w:i/>
              </w:rPr>
            </w:pPr>
          </w:p>
        </w:tc>
        <w:tc>
          <w:tcPr>
            <w:tcW w:w="1313" w:type="dxa"/>
            <w:vMerge/>
          </w:tcPr>
          <w:p w:rsidR="00C7572A" w:rsidRPr="00E02FD7" w:rsidRDefault="00C7572A" w:rsidP="00E02FD7">
            <w:pPr>
              <w:jc w:val="center"/>
              <w:rPr>
                <w:b/>
                <w:i/>
              </w:rPr>
            </w:pPr>
          </w:p>
        </w:tc>
        <w:tc>
          <w:tcPr>
            <w:tcW w:w="709" w:type="dxa"/>
            <w:vMerge/>
          </w:tcPr>
          <w:p w:rsidR="00C7572A" w:rsidRPr="00E02FD7" w:rsidRDefault="00C7572A" w:rsidP="00E02FD7">
            <w:pPr>
              <w:jc w:val="center"/>
              <w:rPr>
                <w:b/>
                <w:i/>
              </w:rPr>
            </w:pPr>
          </w:p>
        </w:tc>
      </w:tr>
    </w:tbl>
    <w:p w:rsidR="003358D6" w:rsidRPr="00E02FD7" w:rsidRDefault="003358D6" w:rsidP="00E02FD7">
      <w:pPr>
        <w:keepNext/>
        <w:spacing w:after="0" w:line="240" w:lineRule="auto"/>
        <w:rPr>
          <w:rFonts w:eastAsia="Times New Roman" w:cs="Times New Roman"/>
          <w:b/>
          <w:bCs/>
          <w:sz w:val="16"/>
          <w:szCs w:val="16"/>
        </w:rPr>
      </w:pPr>
      <w:r w:rsidRPr="00E02FD7">
        <w:rPr>
          <w:rFonts w:eastAsia="Times New Roman" w:cs="Times New Roman"/>
          <w:b/>
          <w:bCs/>
          <w:sz w:val="16"/>
          <w:szCs w:val="16"/>
          <w:vertAlign w:val="superscript"/>
        </w:rPr>
        <w:t>†</w:t>
      </w:r>
      <w:r w:rsidRPr="00E02FD7">
        <w:rPr>
          <w:rFonts w:eastAsia="Times New Roman" w:cs="Times New Roman"/>
          <w:b/>
          <w:bCs/>
          <w:sz w:val="16"/>
          <w:szCs w:val="16"/>
        </w:rPr>
        <w:t xml:space="preserve"> 5+/-1 days post CCU discharge </w:t>
      </w:r>
      <w:r w:rsidRPr="00E02FD7">
        <w:rPr>
          <w:rFonts w:eastAsia="Times New Roman" w:cs="Times New Roman"/>
          <w:b/>
          <w:bCs/>
          <w:sz w:val="16"/>
          <w:szCs w:val="16"/>
          <w:vertAlign w:val="superscript"/>
        </w:rPr>
        <w:t>††</w:t>
      </w:r>
      <w:r w:rsidRPr="00E02FD7">
        <w:rPr>
          <w:rFonts w:eastAsia="Times New Roman" w:cs="Times New Roman"/>
          <w:b/>
          <w:bCs/>
          <w:sz w:val="16"/>
          <w:szCs w:val="16"/>
        </w:rPr>
        <w:t xml:space="preserve"> 28 days post CCU discharge or hospital discharge</w:t>
      </w:r>
      <w:r w:rsidR="00184C9E" w:rsidRPr="00E02FD7">
        <w:rPr>
          <w:rFonts w:eastAsia="Times New Roman" w:cs="Times New Roman"/>
          <w:b/>
          <w:bCs/>
          <w:sz w:val="16"/>
          <w:szCs w:val="16"/>
        </w:rPr>
        <w:t xml:space="preserve">, </w:t>
      </w:r>
      <w:r w:rsidRPr="00E02FD7">
        <w:rPr>
          <w:rFonts w:eastAsia="Times New Roman" w:cs="Times New Roman"/>
          <w:b/>
          <w:bCs/>
          <w:sz w:val="16"/>
          <w:szCs w:val="16"/>
          <w:vertAlign w:val="superscript"/>
        </w:rPr>
        <w:t>a</w:t>
      </w:r>
      <w:r w:rsidRPr="00E02FD7">
        <w:rPr>
          <w:rFonts w:eastAsia="Times New Roman" w:cs="Times New Roman"/>
          <w:b/>
          <w:bCs/>
          <w:sz w:val="16"/>
          <w:szCs w:val="16"/>
        </w:rPr>
        <w:t xml:space="preserve"> model fitted without random intercepts – estimated G matrix not positive definite</w:t>
      </w:r>
    </w:p>
    <w:p w:rsidR="003358D6" w:rsidRPr="00E02FD7" w:rsidRDefault="003358D6" w:rsidP="00E02FD7">
      <w:pPr>
        <w:spacing w:line="480" w:lineRule="auto"/>
        <w:rPr>
          <w:b/>
          <w:i/>
          <w:sz w:val="24"/>
          <w:szCs w:val="24"/>
        </w:rPr>
      </w:pPr>
    </w:p>
    <w:p w:rsidR="003358D6" w:rsidRPr="00E02FD7" w:rsidRDefault="003358D6" w:rsidP="00E02FD7">
      <w:pPr>
        <w:spacing w:line="480" w:lineRule="auto"/>
        <w:rPr>
          <w:b/>
          <w:i/>
          <w:sz w:val="24"/>
          <w:szCs w:val="24"/>
        </w:rPr>
        <w:sectPr w:rsidR="003358D6" w:rsidRPr="00E02FD7" w:rsidSect="002C02E8">
          <w:pgSz w:w="16838" w:h="11906" w:orient="landscape"/>
          <w:pgMar w:top="1440" w:right="1440" w:bottom="1440" w:left="1440" w:header="709" w:footer="709" w:gutter="0"/>
          <w:cols w:space="708"/>
          <w:docGrid w:linePitch="360"/>
        </w:sectPr>
      </w:pPr>
    </w:p>
    <w:p w:rsidR="00645EEC" w:rsidRPr="00E02FD7" w:rsidRDefault="00645EEC" w:rsidP="00E02FD7">
      <w:pPr>
        <w:spacing w:line="480" w:lineRule="auto"/>
        <w:rPr>
          <w:b/>
          <w:i/>
          <w:sz w:val="24"/>
          <w:szCs w:val="24"/>
        </w:rPr>
      </w:pPr>
      <w:r w:rsidRPr="00E02FD7">
        <w:rPr>
          <w:b/>
          <w:i/>
          <w:sz w:val="24"/>
          <w:szCs w:val="24"/>
        </w:rPr>
        <w:t xml:space="preserve">Coping and enablement </w:t>
      </w:r>
    </w:p>
    <w:p w:rsidR="00645EEC" w:rsidRPr="00E02FD7" w:rsidRDefault="00645EEC" w:rsidP="00E02FD7">
      <w:pPr>
        <w:spacing w:line="480" w:lineRule="auto"/>
        <w:rPr>
          <w:sz w:val="24"/>
          <w:szCs w:val="24"/>
        </w:rPr>
      </w:pPr>
      <w:r w:rsidRPr="00E02FD7">
        <w:rPr>
          <w:sz w:val="24"/>
          <w:szCs w:val="24"/>
        </w:rPr>
        <w:t>No significant differences between groups (</w:t>
      </w:r>
      <w:r w:rsidRPr="00E02FD7">
        <w:rPr>
          <w:i/>
          <w:sz w:val="24"/>
          <w:szCs w:val="24"/>
        </w:rPr>
        <w:t>p≥ 0.05</w:t>
      </w:r>
      <w:r w:rsidRPr="00E02FD7">
        <w:rPr>
          <w:sz w:val="24"/>
          <w:szCs w:val="24"/>
        </w:rPr>
        <w:t xml:space="preserve">) for emotion-focused, problem-focused and dysfunctional coping categories or PEI scores were identified at either time-point. Over time, the median PEI score for the total patient sample did, however, drop from 12 to 10, indicating that patients felt less enabled the longer they stayed in hospital. </w:t>
      </w:r>
    </w:p>
    <w:p w:rsidR="00645EEC" w:rsidRPr="00E02FD7" w:rsidRDefault="00645EEC" w:rsidP="00E02FD7">
      <w:pPr>
        <w:spacing w:line="480" w:lineRule="auto"/>
        <w:rPr>
          <w:b/>
          <w:i/>
          <w:sz w:val="24"/>
          <w:szCs w:val="24"/>
        </w:rPr>
      </w:pPr>
      <w:r w:rsidRPr="00E02FD7">
        <w:rPr>
          <w:b/>
          <w:i/>
          <w:sz w:val="24"/>
          <w:szCs w:val="24"/>
        </w:rPr>
        <w:t>Questionnaire findings</w:t>
      </w:r>
    </w:p>
    <w:p w:rsidR="0022286F" w:rsidRPr="00E02FD7" w:rsidRDefault="00720F9E" w:rsidP="00E02FD7">
      <w:pPr>
        <w:spacing w:line="480" w:lineRule="auto"/>
        <w:rPr>
          <w:sz w:val="24"/>
          <w:szCs w:val="24"/>
        </w:rPr>
      </w:pPr>
      <w:r w:rsidRPr="00E02FD7">
        <w:rPr>
          <w:sz w:val="24"/>
          <w:szCs w:val="24"/>
        </w:rPr>
        <w:t>Patient p</w:t>
      </w:r>
      <w:r w:rsidR="0022286F" w:rsidRPr="00E02FD7">
        <w:rPr>
          <w:sz w:val="24"/>
          <w:szCs w:val="24"/>
        </w:rPr>
        <w:t>articipants in the ad-hoc verbal information</w:t>
      </w:r>
      <w:r w:rsidR="00F02656" w:rsidRPr="00E02FD7">
        <w:rPr>
          <w:sz w:val="24"/>
          <w:szCs w:val="24"/>
        </w:rPr>
        <w:t xml:space="preserve"> control </w:t>
      </w:r>
      <w:r w:rsidR="0022286F" w:rsidRPr="00E02FD7">
        <w:rPr>
          <w:sz w:val="24"/>
          <w:szCs w:val="24"/>
        </w:rPr>
        <w:t>group reported significantly more chance of worrying a lot (</w:t>
      </w:r>
      <w:r w:rsidR="0022286F" w:rsidRPr="00E02FD7">
        <w:rPr>
          <w:i/>
          <w:sz w:val="24"/>
          <w:szCs w:val="24"/>
        </w:rPr>
        <w:t>χ</w:t>
      </w:r>
      <w:r w:rsidR="0022286F" w:rsidRPr="00E02FD7">
        <w:rPr>
          <w:i/>
          <w:sz w:val="24"/>
          <w:szCs w:val="24"/>
          <w:vertAlign w:val="superscript"/>
        </w:rPr>
        <w:t>2</w:t>
      </w:r>
      <w:r w:rsidR="0022286F" w:rsidRPr="00E02FD7">
        <w:rPr>
          <w:i/>
          <w:sz w:val="24"/>
          <w:szCs w:val="24"/>
        </w:rPr>
        <w:t>=11.16</w:t>
      </w:r>
      <w:r w:rsidR="002D1637" w:rsidRPr="00E02FD7">
        <w:rPr>
          <w:i/>
          <w:sz w:val="24"/>
          <w:szCs w:val="24"/>
        </w:rPr>
        <w:t xml:space="preserve"> [</w:t>
      </w:r>
      <w:proofErr w:type="spellStart"/>
      <w:proofErr w:type="gramStart"/>
      <w:r w:rsidR="002D1637" w:rsidRPr="00E02FD7">
        <w:rPr>
          <w:i/>
          <w:sz w:val="24"/>
          <w:szCs w:val="24"/>
        </w:rPr>
        <w:t>df</w:t>
      </w:r>
      <w:proofErr w:type="spellEnd"/>
      <w:proofErr w:type="gramEnd"/>
      <w:r w:rsidR="002D1637" w:rsidRPr="00E02FD7">
        <w:rPr>
          <w:i/>
          <w:sz w:val="24"/>
          <w:szCs w:val="24"/>
        </w:rPr>
        <w:t xml:space="preserve"> 2]</w:t>
      </w:r>
      <w:r w:rsidR="0022286F" w:rsidRPr="00E02FD7">
        <w:rPr>
          <w:i/>
          <w:sz w:val="24"/>
          <w:szCs w:val="24"/>
        </w:rPr>
        <w:t>, p=0.03</w:t>
      </w:r>
      <w:r w:rsidR="0022286F" w:rsidRPr="00E02FD7">
        <w:rPr>
          <w:sz w:val="24"/>
          <w:szCs w:val="24"/>
        </w:rPr>
        <w:t xml:space="preserve">) than those in either other study group. </w:t>
      </w:r>
      <w:r w:rsidR="00B44375" w:rsidRPr="00E02FD7">
        <w:rPr>
          <w:sz w:val="24"/>
          <w:szCs w:val="24"/>
        </w:rPr>
        <w:t>However, after using GLIMMIX to adjust for clustering, the effect of the intervention on 'worry about leaving the CCU' was not statistically significant (</w:t>
      </w:r>
      <w:r w:rsidR="00B44375" w:rsidRPr="00E02FD7">
        <w:rPr>
          <w:i/>
          <w:sz w:val="24"/>
          <w:szCs w:val="24"/>
        </w:rPr>
        <w:t>F</w:t>
      </w:r>
      <w:r w:rsidR="00C140B6" w:rsidRPr="00E02FD7">
        <w:rPr>
          <w:i/>
          <w:sz w:val="24"/>
          <w:szCs w:val="24"/>
        </w:rPr>
        <w:t xml:space="preserve"> </w:t>
      </w:r>
      <w:r w:rsidR="00B44375" w:rsidRPr="00E02FD7">
        <w:rPr>
          <w:sz w:val="24"/>
          <w:szCs w:val="24"/>
        </w:rPr>
        <w:t>(2</w:t>
      </w:r>
      <w:proofErr w:type="gramStart"/>
      <w:r w:rsidR="00B44375" w:rsidRPr="00E02FD7">
        <w:rPr>
          <w:sz w:val="24"/>
          <w:szCs w:val="24"/>
        </w:rPr>
        <w:t>,39</w:t>
      </w:r>
      <w:proofErr w:type="gramEnd"/>
      <w:r w:rsidR="00B44375" w:rsidRPr="00E02FD7">
        <w:rPr>
          <w:sz w:val="24"/>
          <w:szCs w:val="24"/>
        </w:rPr>
        <w:t xml:space="preserve">) = 0.23, </w:t>
      </w:r>
      <w:r w:rsidR="00B44375" w:rsidRPr="00E02FD7">
        <w:rPr>
          <w:i/>
          <w:sz w:val="24"/>
          <w:szCs w:val="24"/>
        </w:rPr>
        <w:t>p=0.80</w:t>
      </w:r>
      <w:r w:rsidR="00B44375" w:rsidRPr="00E02FD7">
        <w:rPr>
          <w:sz w:val="24"/>
          <w:szCs w:val="24"/>
        </w:rPr>
        <w:t xml:space="preserve">). </w:t>
      </w:r>
      <w:r w:rsidR="00A251A2" w:rsidRPr="00E02FD7">
        <w:rPr>
          <w:sz w:val="24"/>
          <w:szCs w:val="24"/>
        </w:rPr>
        <w:t xml:space="preserve">There were no other </w:t>
      </w:r>
      <w:r w:rsidR="001C260C" w:rsidRPr="00E02FD7">
        <w:rPr>
          <w:sz w:val="24"/>
          <w:szCs w:val="24"/>
        </w:rPr>
        <w:t xml:space="preserve">statistically </w:t>
      </w:r>
      <w:r w:rsidR="00BE632F" w:rsidRPr="00E02FD7">
        <w:rPr>
          <w:sz w:val="24"/>
          <w:szCs w:val="24"/>
        </w:rPr>
        <w:t xml:space="preserve">significant </w:t>
      </w:r>
      <w:r w:rsidR="00A251A2" w:rsidRPr="00E02FD7">
        <w:rPr>
          <w:sz w:val="24"/>
          <w:szCs w:val="24"/>
        </w:rPr>
        <w:t xml:space="preserve">differences </w:t>
      </w:r>
      <w:r w:rsidR="00BE632F" w:rsidRPr="00E02FD7">
        <w:rPr>
          <w:sz w:val="24"/>
          <w:szCs w:val="24"/>
        </w:rPr>
        <w:t xml:space="preserve">in reported feelings or experiences </w:t>
      </w:r>
      <w:r w:rsidR="00A251A2" w:rsidRPr="00E02FD7">
        <w:rPr>
          <w:sz w:val="24"/>
          <w:szCs w:val="24"/>
        </w:rPr>
        <w:t>between study groups</w:t>
      </w:r>
      <w:r w:rsidR="001435AF" w:rsidRPr="00E02FD7">
        <w:rPr>
          <w:sz w:val="24"/>
          <w:szCs w:val="24"/>
        </w:rPr>
        <w:t>. H</w:t>
      </w:r>
      <w:r w:rsidR="001C260C" w:rsidRPr="00E02FD7">
        <w:rPr>
          <w:sz w:val="24"/>
          <w:szCs w:val="24"/>
        </w:rPr>
        <w:t xml:space="preserve">owever, more </w:t>
      </w:r>
      <w:r w:rsidR="00D8698D" w:rsidRPr="00E02FD7">
        <w:rPr>
          <w:sz w:val="24"/>
          <w:szCs w:val="24"/>
        </w:rPr>
        <w:t xml:space="preserve">participants from the </w:t>
      </w:r>
      <w:r w:rsidR="00245BF3" w:rsidRPr="00E02FD7">
        <w:rPr>
          <w:sz w:val="24"/>
          <w:szCs w:val="24"/>
        </w:rPr>
        <w:t xml:space="preserve">medical as opposed to surgical </w:t>
      </w:r>
      <w:r w:rsidR="00D8698D" w:rsidRPr="00E02FD7">
        <w:rPr>
          <w:sz w:val="24"/>
          <w:szCs w:val="24"/>
        </w:rPr>
        <w:t xml:space="preserve">unit </w:t>
      </w:r>
      <w:r w:rsidR="00245BF3" w:rsidRPr="00E02FD7">
        <w:rPr>
          <w:sz w:val="24"/>
          <w:szCs w:val="24"/>
        </w:rPr>
        <w:t>report</w:t>
      </w:r>
      <w:r w:rsidR="001C260C" w:rsidRPr="00E02FD7">
        <w:rPr>
          <w:sz w:val="24"/>
          <w:szCs w:val="24"/>
        </w:rPr>
        <w:t>ed</w:t>
      </w:r>
      <w:r w:rsidR="00245BF3" w:rsidRPr="00E02FD7">
        <w:rPr>
          <w:sz w:val="24"/>
          <w:szCs w:val="24"/>
        </w:rPr>
        <w:t xml:space="preserve"> that their written information had helped their recovery on the ward</w:t>
      </w:r>
      <w:r w:rsidR="001C260C" w:rsidRPr="00E02FD7">
        <w:rPr>
          <w:sz w:val="24"/>
          <w:szCs w:val="24"/>
        </w:rPr>
        <w:t xml:space="preserve">, with a result approaching </w:t>
      </w:r>
      <w:r w:rsidR="00D34CE3" w:rsidRPr="00E02FD7">
        <w:rPr>
          <w:sz w:val="24"/>
          <w:szCs w:val="24"/>
        </w:rPr>
        <w:t xml:space="preserve">statistical </w:t>
      </w:r>
      <w:r w:rsidR="001C260C" w:rsidRPr="00E02FD7">
        <w:rPr>
          <w:sz w:val="24"/>
          <w:szCs w:val="24"/>
        </w:rPr>
        <w:t>significance (</w:t>
      </w:r>
      <w:r w:rsidR="001C260C" w:rsidRPr="00E02FD7">
        <w:rPr>
          <w:i/>
          <w:sz w:val="24"/>
          <w:szCs w:val="24"/>
        </w:rPr>
        <w:t>χ</w:t>
      </w:r>
      <w:r w:rsidR="001C260C" w:rsidRPr="00E02FD7">
        <w:rPr>
          <w:i/>
          <w:sz w:val="24"/>
          <w:szCs w:val="24"/>
          <w:vertAlign w:val="superscript"/>
        </w:rPr>
        <w:t>2</w:t>
      </w:r>
      <w:r w:rsidR="001C260C" w:rsidRPr="00E02FD7">
        <w:rPr>
          <w:i/>
          <w:sz w:val="24"/>
          <w:szCs w:val="24"/>
        </w:rPr>
        <w:t>=3.69, [</w:t>
      </w:r>
      <w:proofErr w:type="spellStart"/>
      <w:r w:rsidR="001C260C" w:rsidRPr="00E02FD7">
        <w:rPr>
          <w:i/>
          <w:sz w:val="24"/>
          <w:szCs w:val="24"/>
        </w:rPr>
        <w:t>df</w:t>
      </w:r>
      <w:proofErr w:type="spellEnd"/>
      <w:r w:rsidR="001C260C" w:rsidRPr="00E02FD7">
        <w:rPr>
          <w:i/>
          <w:sz w:val="24"/>
          <w:szCs w:val="24"/>
        </w:rPr>
        <w:t xml:space="preserve"> 2], p=0.06).</w:t>
      </w:r>
      <w:r w:rsidR="001C260C" w:rsidRPr="00E02FD7">
        <w:rPr>
          <w:sz w:val="24"/>
          <w:szCs w:val="24"/>
        </w:rPr>
        <w:t xml:space="preserve"> </w:t>
      </w:r>
      <w:r w:rsidR="00245BF3" w:rsidRPr="00E02FD7">
        <w:rPr>
          <w:sz w:val="24"/>
          <w:szCs w:val="24"/>
        </w:rPr>
        <w:t xml:space="preserve"> </w:t>
      </w:r>
    </w:p>
    <w:p w:rsidR="00B57D18" w:rsidRPr="00E02FD7" w:rsidRDefault="00B57D18" w:rsidP="00E02FD7">
      <w:pPr>
        <w:spacing w:line="480" w:lineRule="auto"/>
        <w:outlineLvl w:val="0"/>
        <w:rPr>
          <w:b/>
          <w:sz w:val="24"/>
          <w:szCs w:val="24"/>
        </w:rPr>
      </w:pPr>
      <w:r w:rsidRPr="00E02FD7">
        <w:rPr>
          <w:b/>
          <w:sz w:val="24"/>
          <w:szCs w:val="24"/>
        </w:rPr>
        <w:t>Adverse effects</w:t>
      </w:r>
    </w:p>
    <w:p w:rsidR="00B57D18" w:rsidRPr="00E02FD7" w:rsidRDefault="00B57D18" w:rsidP="00E02FD7">
      <w:pPr>
        <w:spacing w:line="480" w:lineRule="auto"/>
        <w:outlineLvl w:val="0"/>
        <w:rPr>
          <w:sz w:val="24"/>
          <w:szCs w:val="24"/>
        </w:rPr>
      </w:pPr>
      <w:r w:rsidRPr="00E02FD7">
        <w:rPr>
          <w:sz w:val="24"/>
          <w:szCs w:val="24"/>
        </w:rPr>
        <w:t xml:space="preserve">One patient asked to be withdrawn from the trial after data collection point one as she felt that completion of the HADS had triggered deterioration in her mental health status. A note was made in her medical file and </w:t>
      </w:r>
      <w:r w:rsidR="006864F6" w:rsidRPr="00E02FD7">
        <w:rPr>
          <w:sz w:val="24"/>
          <w:szCs w:val="24"/>
        </w:rPr>
        <w:t xml:space="preserve">she was </w:t>
      </w:r>
      <w:r w:rsidRPr="00E02FD7">
        <w:rPr>
          <w:sz w:val="24"/>
          <w:szCs w:val="24"/>
        </w:rPr>
        <w:t>referr</w:t>
      </w:r>
      <w:r w:rsidR="006864F6" w:rsidRPr="00E02FD7">
        <w:rPr>
          <w:sz w:val="24"/>
          <w:szCs w:val="24"/>
        </w:rPr>
        <w:t xml:space="preserve">ed </w:t>
      </w:r>
      <w:r w:rsidRPr="00E02FD7">
        <w:rPr>
          <w:sz w:val="24"/>
          <w:szCs w:val="24"/>
        </w:rPr>
        <w:t xml:space="preserve">to her primary medical team. There were no other reports of any adverse effects. </w:t>
      </w:r>
    </w:p>
    <w:p w:rsidR="00C140B6" w:rsidRPr="00E02FD7" w:rsidRDefault="00C140B6" w:rsidP="00E02FD7">
      <w:pPr>
        <w:spacing w:line="480" w:lineRule="auto"/>
        <w:outlineLvl w:val="0"/>
        <w:rPr>
          <w:b/>
          <w:sz w:val="24"/>
          <w:szCs w:val="24"/>
        </w:rPr>
      </w:pPr>
    </w:p>
    <w:p w:rsidR="00C140B6" w:rsidRPr="00E02FD7" w:rsidRDefault="00C140B6" w:rsidP="00E02FD7">
      <w:pPr>
        <w:spacing w:line="480" w:lineRule="auto"/>
        <w:outlineLvl w:val="0"/>
        <w:rPr>
          <w:b/>
          <w:sz w:val="24"/>
          <w:szCs w:val="24"/>
        </w:rPr>
      </w:pPr>
    </w:p>
    <w:p w:rsidR="00CB3741" w:rsidRPr="00E02FD7" w:rsidRDefault="00CB3741" w:rsidP="00E02FD7">
      <w:pPr>
        <w:spacing w:line="480" w:lineRule="auto"/>
        <w:outlineLvl w:val="0"/>
        <w:rPr>
          <w:b/>
          <w:sz w:val="24"/>
          <w:szCs w:val="24"/>
        </w:rPr>
      </w:pPr>
      <w:r w:rsidRPr="00E02FD7">
        <w:rPr>
          <w:b/>
          <w:sz w:val="24"/>
          <w:szCs w:val="24"/>
        </w:rPr>
        <w:t xml:space="preserve">The impact of protocol violations </w:t>
      </w:r>
    </w:p>
    <w:p w:rsidR="00764AD3" w:rsidRPr="00E02FD7" w:rsidRDefault="00764AD3" w:rsidP="00E02FD7">
      <w:pPr>
        <w:spacing w:line="480" w:lineRule="auto"/>
        <w:outlineLvl w:val="0"/>
        <w:rPr>
          <w:sz w:val="24"/>
          <w:szCs w:val="24"/>
        </w:rPr>
      </w:pPr>
      <w:r w:rsidRPr="00E02FD7">
        <w:rPr>
          <w:sz w:val="24"/>
          <w:szCs w:val="24"/>
        </w:rPr>
        <w:t xml:space="preserve">Twenty five (16%) patients and 10 (13%) of the patients’ relatives had data collected outside of the time period stated by the protocol for time-point one. At time-point two, the mean time from ICU discharge to data collection was 23 ± 6 days for patients and 25 days ± 8.36 for the relatives. </w:t>
      </w:r>
    </w:p>
    <w:p w:rsidR="00CB3741" w:rsidRPr="00E02FD7" w:rsidRDefault="009F6613" w:rsidP="00E02FD7">
      <w:pPr>
        <w:spacing w:line="480" w:lineRule="auto"/>
        <w:outlineLvl w:val="0"/>
        <w:rPr>
          <w:sz w:val="24"/>
          <w:szCs w:val="24"/>
        </w:rPr>
      </w:pPr>
      <w:r w:rsidRPr="00E02FD7">
        <w:rPr>
          <w:sz w:val="24"/>
          <w:szCs w:val="24"/>
        </w:rPr>
        <w:t>I</w:t>
      </w:r>
      <w:r w:rsidR="00764AD3" w:rsidRPr="00E02FD7">
        <w:rPr>
          <w:sz w:val="24"/>
          <w:szCs w:val="24"/>
        </w:rPr>
        <w:t xml:space="preserve">ncluding these data </w:t>
      </w:r>
      <w:r w:rsidR="00CB3741" w:rsidRPr="00E02FD7">
        <w:rPr>
          <w:sz w:val="24"/>
          <w:szCs w:val="24"/>
        </w:rPr>
        <w:t>produced no change in HADS or PEI outcomes compared to the analysis</w:t>
      </w:r>
      <w:r w:rsidR="00764AD3" w:rsidRPr="00E02FD7">
        <w:rPr>
          <w:sz w:val="24"/>
          <w:szCs w:val="24"/>
        </w:rPr>
        <w:t xml:space="preserve">, which </w:t>
      </w:r>
      <w:r w:rsidR="00CB3741" w:rsidRPr="00E02FD7">
        <w:rPr>
          <w:sz w:val="24"/>
          <w:szCs w:val="24"/>
        </w:rPr>
        <w:t>exclud</w:t>
      </w:r>
      <w:r w:rsidR="00764AD3" w:rsidRPr="00E02FD7">
        <w:rPr>
          <w:sz w:val="24"/>
          <w:szCs w:val="24"/>
        </w:rPr>
        <w:t xml:space="preserve">ed </w:t>
      </w:r>
      <w:r w:rsidR="00CB3741" w:rsidRPr="00E02FD7">
        <w:rPr>
          <w:sz w:val="24"/>
          <w:szCs w:val="24"/>
        </w:rPr>
        <w:t>the</w:t>
      </w:r>
      <w:r w:rsidR="00764AD3" w:rsidRPr="00E02FD7">
        <w:rPr>
          <w:sz w:val="24"/>
          <w:szCs w:val="24"/>
        </w:rPr>
        <w:t>m</w:t>
      </w:r>
      <w:r w:rsidR="00CB3741" w:rsidRPr="00E02FD7">
        <w:rPr>
          <w:sz w:val="24"/>
          <w:szCs w:val="24"/>
        </w:rPr>
        <w:t>. At the first follow-up point, however, some significant differences in the scores given for individual questions in the emotion and problem-focused coping categories of the BCOPE were identified. UCCDIP sample data reflect significantly less use of religion (question 12) (</w:t>
      </w:r>
      <w:r w:rsidR="00CB3741" w:rsidRPr="00E02FD7">
        <w:rPr>
          <w:i/>
          <w:sz w:val="24"/>
          <w:szCs w:val="24"/>
        </w:rPr>
        <w:t>p</w:t>
      </w:r>
      <w:r w:rsidR="00CB3741" w:rsidRPr="00E02FD7">
        <w:rPr>
          <w:sz w:val="24"/>
          <w:szCs w:val="24"/>
        </w:rPr>
        <w:t>=0.01), active coping (question 2) (</w:t>
      </w:r>
      <w:r w:rsidR="00CB3741" w:rsidRPr="00E02FD7">
        <w:rPr>
          <w:i/>
          <w:sz w:val="24"/>
          <w:szCs w:val="24"/>
        </w:rPr>
        <w:t>p</w:t>
      </w:r>
      <w:r w:rsidR="00CB3741" w:rsidRPr="00E02FD7">
        <w:rPr>
          <w:sz w:val="24"/>
          <w:szCs w:val="24"/>
        </w:rPr>
        <w:t>=0.04) and planning (question 9) (</w:t>
      </w:r>
      <w:r w:rsidR="00CB3741" w:rsidRPr="00E02FD7">
        <w:rPr>
          <w:i/>
          <w:sz w:val="24"/>
          <w:szCs w:val="24"/>
        </w:rPr>
        <w:t>p</w:t>
      </w:r>
      <w:r w:rsidR="00CB3741" w:rsidRPr="00E02FD7">
        <w:rPr>
          <w:sz w:val="24"/>
          <w:szCs w:val="24"/>
        </w:rPr>
        <w:t>=0.01) strategies, than those participants in either of the other two study groups. Analysis of the composite scores for each coping category (emotion, problem and dysfunctional) also revealed that those in the UCCDIP group used significantly fewer problem-focused coping strategies (</w:t>
      </w:r>
      <w:r w:rsidR="00CB3741" w:rsidRPr="00E02FD7">
        <w:rPr>
          <w:i/>
          <w:sz w:val="24"/>
          <w:szCs w:val="24"/>
        </w:rPr>
        <w:t>H</w:t>
      </w:r>
      <w:r w:rsidR="00CB3741" w:rsidRPr="00E02FD7">
        <w:rPr>
          <w:sz w:val="24"/>
          <w:szCs w:val="24"/>
        </w:rPr>
        <w:t xml:space="preserve"> =6.49, </w:t>
      </w:r>
      <w:r w:rsidR="00CB3741" w:rsidRPr="00E02FD7">
        <w:rPr>
          <w:i/>
          <w:sz w:val="24"/>
          <w:szCs w:val="24"/>
        </w:rPr>
        <w:t>p</w:t>
      </w:r>
      <w:r w:rsidR="00CB3741" w:rsidRPr="00E02FD7">
        <w:rPr>
          <w:sz w:val="24"/>
          <w:szCs w:val="24"/>
        </w:rPr>
        <w:t>=0.04).</w:t>
      </w:r>
    </w:p>
    <w:p w:rsidR="00DC2738" w:rsidRPr="00E02FD7" w:rsidRDefault="0004113F" w:rsidP="00E02FD7">
      <w:pPr>
        <w:spacing w:line="480" w:lineRule="auto"/>
        <w:outlineLvl w:val="0"/>
        <w:rPr>
          <w:b/>
          <w:sz w:val="24"/>
          <w:szCs w:val="24"/>
        </w:rPr>
      </w:pPr>
      <w:r w:rsidRPr="00E02FD7">
        <w:rPr>
          <w:b/>
          <w:sz w:val="24"/>
          <w:szCs w:val="24"/>
        </w:rPr>
        <w:t>DISCUSSION</w:t>
      </w:r>
    </w:p>
    <w:p w:rsidR="00137459" w:rsidRPr="00E02FD7" w:rsidRDefault="00707CBA" w:rsidP="00E02FD7">
      <w:pPr>
        <w:spacing w:line="480" w:lineRule="auto"/>
        <w:rPr>
          <w:sz w:val="24"/>
          <w:szCs w:val="24"/>
        </w:rPr>
      </w:pPr>
      <w:r w:rsidRPr="00E02FD7">
        <w:rPr>
          <w:sz w:val="24"/>
          <w:szCs w:val="24"/>
        </w:rPr>
        <w:t xml:space="preserve">Despite </w:t>
      </w:r>
      <w:r w:rsidR="007155F1" w:rsidRPr="00E02FD7">
        <w:rPr>
          <w:sz w:val="24"/>
          <w:szCs w:val="24"/>
        </w:rPr>
        <w:t xml:space="preserve">some </w:t>
      </w:r>
      <w:r w:rsidR="00137459" w:rsidRPr="00E02FD7">
        <w:rPr>
          <w:sz w:val="24"/>
          <w:szCs w:val="24"/>
        </w:rPr>
        <w:t xml:space="preserve">limited data </w:t>
      </w:r>
      <w:r w:rsidR="00C03736" w:rsidRPr="00E02FD7">
        <w:rPr>
          <w:sz w:val="24"/>
          <w:szCs w:val="24"/>
        </w:rPr>
        <w:t xml:space="preserve">from previous </w:t>
      </w:r>
      <w:r w:rsidR="00322ABF" w:rsidRPr="00E02FD7">
        <w:rPr>
          <w:sz w:val="24"/>
          <w:szCs w:val="24"/>
        </w:rPr>
        <w:t>research</w:t>
      </w:r>
      <w:r w:rsidR="00E75F5A" w:rsidRPr="00E02FD7">
        <w:rPr>
          <w:sz w:val="24"/>
          <w:szCs w:val="24"/>
        </w:rPr>
        <w:t>,</w:t>
      </w:r>
      <w:r w:rsidR="00C03736" w:rsidRPr="00E02FD7">
        <w:rPr>
          <w:sz w:val="24"/>
          <w:szCs w:val="24"/>
        </w:rPr>
        <w:t xml:space="preserve"> </w:t>
      </w:r>
      <w:r w:rsidRPr="00E02FD7">
        <w:rPr>
          <w:sz w:val="24"/>
          <w:szCs w:val="24"/>
        </w:rPr>
        <w:t>which</w:t>
      </w:r>
      <w:r w:rsidR="00C346A5" w:rsidRPr="00E02FD7">
        <w:rPr>
          <w:sz w:val="24"/>
          <w:szCs w:val="24"/>
        </w:rPr>
        <w:t xml:space="preserve"> </w:t>
      </w:r>
      <w:r w:rsidR="00137459" w:rsidRPr="00E02FD7">
        <w:rPr>
          <w:sz w:val="24"/>
          <w:szCs w:val="24"/>
        </w:rPr>
        <w:t>suggest</w:t>
      </w:r>
      <w:r w:rsidR="00C346A5" w:rsidRPr="00E02FD7">
        <w:rPr>
          <w:sz w:val="24"/>
          <w:szCs w:val="24"/>
        </w:rPr>
        <w:t xml:space="preserve"> </w:t>
      </w:r>
      <w:r w:rsidR="00137459" w:rsidRPr="00E02FD7">
        <w:rPr>
          <w:sz w:val="24"/>
          <w:szCs w:val="24"/>
        </w:rPr>
        <w:t xml:space="preserve">that written resources may lower levels of </w:t>
      </w:r>
      <w:r w:rsidR="00047B04" w:rsidRPr="00E02FD7">
        <w:rPr>
          <w:sz w:val="24"/>
          <w:szCs w:val="24"/>
        </w:rPr>
        <w:t>patient</w:t>
      </w:r>
      <w:r w:rsidR="00E41481" w:rsidRPr="00E02FD7">
        <w:rPr>
          <w:sz w:val="24"/>
          <w:szCs w:val="24"/>
        </w:rPr>
        <w:t>s’</w:t>
      </w:r>
      <w:r w:rsidR="00047B04" w:rsidRPr="00E02FD7">
        <w:rPr>
          <w:sz w:val="24"/>
          <w:szCs w:val="24"/>
        </w:rPr>
        <w:t xml:space="preserve"> </w:t>
      </w:r>
      <w:r w:rsidR="00137459" w:rsidRPr="00E02FD7">
        <w:rPr>
          <w:sz w:val="24"/>
          <w:szCs w:val="24"/>
        </w:rPr>
        <w:t>anxiety, depression and symptoms of PTSD</w:t>
      </w:r>
      <w:r w:rsidRPr="00E02FD7">
        <w:rPr>
          <w:sz w:val="24"/>
          <w:szCs w:val="24"/>
        </w:rPr>
        <w:t xml:space="preserve"> [1</w:t>
      </w:r>
      <w:r w:rsidR="00A54868" w:rsidRPr="00E02FD7">
        <w:rPr>
          <w:sz w:val="24"/>
          <w:szCs w:val="24"/>
        </w:rPr>
        <w:t>2</w:t>
      </w:r>
      <w:r w:rsidRPr="00E02FD7">
        <w:rPr>
          <w:sz w:val="24"/>
          <w:szCs w:val="24"/>
        </w:rPr>
        <w:t xml:space="preserve">], </w:t>
      </w:r>
      <w:r w:rsidR="007155F1" w:rsidRPr="00E02FD7">
        <w:rPr>
          <w:sz w:val="24"/>
          <w:szCs w:val="24"/>
        </w:rPr>
        <w:t xml:space="preserve">the </w:t>
      </w:r>
      <w:r w:rsidR="002645C3" w:rsidRPr="00E02FD7">
        <w:rPr>
          <w:sz w:val="24"/>
          <w:szCs w:val="24"/>
        </w:rPr>
        <w:t xml:space="preserve">health </w:t>
      </w:r>
      <w:r w:rsidRPr="00E02FD7">
        <w:rPr>
          <w:sz w:val="24"/>
          <w:szCs w:val="24"/>
        </w:rPr>
        <w:t>benefit</w:t>
      </w:r>
      <w:r w:rsidR="002645C3" w:rsidRPr="00E02FD7">
        <w:rPr>
          <w:sz w:val="24"/>
          <w:szCs w:val="24"/>
        </w:rPr>
        <w:t>s</w:t>
      </w:r>
      <w:r w:rsidRPr="00E02FD7">
        <w:rPr>
          <w:sz w:val="24"/>
          <w:szCs w:val="24"/>
        </w:rPr>
        <w:t xml:space="preserve"> of providing written </w:t>
      </w:r>
      <w:r w:rsidR="003A0392" w:rsidRPr="00E02FD7">
        <w:rPr>
          <w:sz w:val="24"/>
          <w:szCs w:val="24"/>
        </w:rPr>
        <w:t xml:space="preserve">ICU </w:t>
      </w:r>
      <w:r w:rsidRPr="00E02FD7">
        <w:rPr>
          <w:sz w:val="24"/>
          <w:szCs w:val="24"/>
        </w:rPr>
        <w:t xml:space="preserve">discharge information </w:t>
      </w:r>
      <w:r w:rsidR="007155F1" w:rsidRPr="00E02FD7">
        <w:rPr>
          <w:sz w:val="24"/>
          <w:szCs w:val="24"/>
        </w:rPr>
        <w:t xml:space="preserve">remain inconclusive </w:t>
      </w:r>
      <w:r w:rsidRPr="00E02FD7">
        <w:rPr>
          <w:sz w:val="24"/>
          <w:szCs w:val="24"/>
        </w:rPr>
        <w:t>[</w:t>
      </w:r>
      <w:r w:rsidR="0029772A" w:rsidRPr="00E02FD7">
        <w:rPr>
          <w:sz w:val="24"/>
          <w:szCs w:val="24"/>
        </w:rPr>
        <w:t>5</w:t>
      </w:r>
      <w:r w:rsidRPr="00E02FD7">
        <w:rPr>
          <w:sz w:val="24"/>
          <w:szCs w:val="24"/>
        </w:rPr>
        <w:t>]</w:t>
      </w:r>
      <w:r w:rsidR="00137459" w:rsidRPr="00E02FD7">
        <w:rPr>
          <w:sz w:val="24"/>
          <w:szCs w:val="24"/>
        </w:rPr>
        <w:t xml:space="preserve">. </w:t>
      </w:r>
      <w:r w:rsidR="007C1BAF" w:rsidRPr="00E02FD7">
        <w:rPr>
          <w:sz w:val="24"/>
          <w:szCs w:val="24"/>
        </w:rPr>
        <w:t xml:space="preserve">Our </w:t>
      </w:r>
      <w:r w:rsidR="00BB1842" w:rsidRPr="00E02FD7">
        <w:rPr>
          <w:sz w:val="24"/>
          <w:szCs w:val="24"/>
        </w:rPr>
        <w:t>trial</w:t>
      </w:r>
      <w:r w:rsidR="007C1BAF" w:rsidRPr="00E02FD7">
        <w:rPr>
          <w:sz w:val="24"/>
          <w:szCs w:val="24"/>
        </w:rPr>
        <w:t xml:space="preserve"> did not find sufficient evidence to determine whether UCCDIP improves patients’ or relatives’ health outcomes </w:t>
      </w:r>
      <w:r w:rsidR="00F41C53" w:rsidRPr="00E02FD7">
        <w:rPr>
          <w:sz w:val="24"/>
          <w:szCs w:val="24"/>
        </w:rPr>
        <w:t xml:space="preserve">or experiences </w:t>
      </w:r>
      <w:r w:rsidR="007C1BAF" w:rsidRPr="00E02FD7">
        <w:rPr>
          <w:sz w:val="24"/>
          <w:szCs w:val="24"/>
        </w:rPr>
        <w:t xml:space="preserve">(anxiety, depression, coping, patient enablement) compared to the </w:t>
      </w:r>
      <w:proofErr w:type="spellStart"/>
      <w:r w:rsidR="007C1BAF" w:rsidRPr="00E02FD7">
        <w:rPr>
          <w:sz w:val="24"/>
          <w:szCs w:val="24"/>
        </w:rPr>
        <w:t>ICUsteps</w:t>
      </w:r>
      <w:proofErr w:type="spellEnd"/>
      <w:r w:rsidR="007C1BAF" w:rsidRPr="00E02FD7">
        <w:rPr>
          <w:sz w:val="24"/>
          <w:szCs w:val="24"/>
        </w:rPr>
        <w:t xml:space="preserve"> booklet and/or the delivery of ad-hoc verbal information. </w:t>
      </w:r>
      <w:r w:rsidR="00F41C53" w:rsidRPr="00E02FD7">
        <w:rPr>
          <w:sz w:val="24"/>
          <w:szCs w:val="24"/>
        </w:rPr>
        <w:t xml:space="preserve">However, </w:t>
      </w:r>
      <w:r w:rsidR="00BB1842" w:rsidRPr="00E02FD7">
        <w:rPr>
          <w:sz w:val="24"/>
          <w:szCs w:val="24"/>
        </w:rPr>
        <w:t xml:space="preserve">our </w:t>
      </w:r>
      <w:r w:rsidR="00A2534F" w:rsidRPr="00E02FD7">
        <w:rPr>
          <w:sz w:val="24"/>
          <w:szCs w:val="24"/>
        </w:rPr>
        <w:t xml:space="preserve">survey </w:t>
      </w:r>
      <w:r w:rsidR="00BB1842" w:rsidRPr="00E02FD7">
        <w:rPr>
          <w:sz w:val="24"/>
          <w:szCs w:val="24"/>
        </w:rPr>
        <w:t xml:space="preserve">data suggest that </w:t>
      </w:r>
      <w:r w:rsidR="006919FA" w:rsidRPr="00E02FD7">
        <w:rPr>
          <w:sz w:val="24"/>
          <w:szCs w:val="24"/>
        </w:rPr>
        <w:t xml:space="preserve">those </w:t>
      </w:r>
      <w:r w:rsidR="007155F1" w:rsidRPr="00E02FD7">
        <w:rPr>
          <w:sz w:val="24"/>
          <w:szCs w:val="24"/>
        </w:rPr>
        <w:t>who receive written information may feel less worried ab</w:t>
      </w:r>
      <w:r w:rsidR="006919FA" w:rsidRPr="00E02FD7">
        <w:rPr>
          <w:sz w:val="24"/>
          <w:szCs w:val="24"/>
        </w:rPr>
        <w:t>out going to a ward than those who receive</w:t>
      </w:r>
      <w:r w:rsidR="007155F1" w:rsidRPr="00E02FD7">
        <w:rPr>
          <w:sz w:val="24"/>
          <w:szCs w:val="24"/>
        </w:rPr>
        <w:t xml:space="preserve"> </w:t>
      </w:r>
      <w:r w:rsidR="006919FA" w:rsidRPr="00E02FD7">
        <w:rPr>
          <w:sz w:val="24"/>
          <w:szCs w:val="24"/>
        </w:rPr>
        <w:t>ad-hoc verbal information alone.</w:t>
      </w:r>
      <w:r w:rsidR="00C346A5" w:rsidRPr="00E02FD7">
        <w:rPr>
          <w:sz w:val="24"/>
          <w:szCs w:val="24"/>
        </w:rPr>
        <w:t xml:space="preserve"> </w:t>
      </w:r>
    </w:p>
    <w:p w:rsidR="00BB1842" w:rsidRPr="00E02FD7" w:rsidRDefault="00BB1842" w:rsidP="00E02FD7">
      <w:pPr>
        <w:spacing w:line="480" w:lineRule="auto"/>
        <w:rPr>
          <w:bCs/>
          <w:iCs/>
          <w:sz w:val="24"/>
          <w:szCs w:val="24"/>
        </w:rPr>
      </w:pPr>
      <w:r w:rsidRPr="00E02FD7">
        <w:rPr>
          <w:bCs/>
          <w:iCs/>
          <w:sz w:val="24"/>
          <w:szCs w:val="24"/>
        </w:rPr>
        <w:t xml:space="preserve">The </w:t>
      </w:r>
      <w:r w:rsidR="008B28A0" w:rsidRPr="00E02FD7">
        <w:rPr>
          <w:bCs/>
          <w:iCs/>
          <w:sz w:val="24"/>
          <w:szCs w:val="24"/>
        </w:rPr>
        <w:t xml:space="preserve">UK </w:t>
      </w:r>
      <w:r w:rsidRPr="00E02FD7">
        <w:rPr>
          <w:bCs/>
          <w:iCs/>
          <w:sz w:val="24"/>
          <w:szCs w:val="24"/>
        </w:rPr>
        <w:t>Medical Research Council point out that evaluations of draft complex interventions are frequently undermined by numerous practical and methodological problems, and recommend a period of feasibility testing and piloting prior to full scale evaluation [</w:t>
      </w:r>
      <w:r w:rsidR="00D8698D" w:rsidRPr="00E02FD7">
        <w:rPr>
          <w:bCs/>
          <w:iCs/>
          <w:sz w:val="24"/>
          <w:szCs w:val="24"/>
        </w:rPr>
        <w:t>3</w:t>
      </w:r>
      <w:r w:rsidR="00A124DE" w:rsidRPr="00E02FD7">
        <w:rPr>
          <w:bCs/>
          <w:iCs/>
          <w:sz w:val="24"/>
          <w:szCs w:val="24"/>
        </w:rPr>
        <w:t>9</w:t>
      </w:r>
      <w:r w:rsidRPr="00E02FD7">
        <w:rPr>
          <w:bCs/>
          <w:iCs/>
          <w:sz w:val="24"/>
          <w:szCs w:val="24"/>
        </w:rPr>
        <w:t xml:space="preserve">]. Using these design principles, data collected during our RCT </w:t>
      </w:r>
      <w:r w:rsidR="00A2534F" w:rsidRPr="00E02FD7">
        <w:rPr>
          <w:bCs/>
          <w:iCs/>
          <w:sz w:val="24"/>
          <w:szCs w:val="24"/>
        </w:rPr>
        <w:t xml:space="preserve">has </w:t>
      </w:r>
      <w:r w:rsidRPr="00E02FD7">
        <w:rPr>
          <w:bCs/>
          <w:iCs/>
          <w:sz w:val="24"/>
          <w:szCs w:val="24"/>
        </w:rPr>
        <w:t>identified some important future considerations.</w:t>
      </w:r>
    </w:p>
    <w:p w:rsidR="00D56E9C" w:rsidRPr="00E02FD7" w:rsidRDefault="00A166C3" w:rsidP="00E02FD7">
      <w:pPr>
        <w:spacing w:line="480" w:lineRule="auto"/>
        <w:rPr>
          <w:bCs/>
          <w:iCs/>
          <w:sz w:val="24"/>
          <w:szCs w:val="24"/>
        </w:rPr>
      </w:pPr>
      <w:r w:rsidRPr="00E02FD7">
        <w:rPr>
          <w:bCs/>
          <w:iCs/>
          <w:sz w:val="24"/>
          <w:szCs w:val="24"/>
        </w:rPr>
        <w:t xml:space="preserve">Deciding </w:t>
      </w:r>
      <w:r w:rsidR="00A22DB0" w:rsidRPr="00E02FD7">
        <w:rPr>
          <w:bCs/>
          <w:iCs/>
          <w:sz w:val="24"/>
          <w:szCs w:val="24"/>
        </w:rPr>
        <w:t>the optimal tim</w:t>
      </w:r>
      <w:r w:rsidR="00822A62" w:rsidRPr="00E02FD7">
        <w:rPr>
          <w:bCs/>
          <w:iCs/>
          <w:sz w:val="24"/>
          <w:szCs w:val="24"/>
        </w:rPr>
        <w:t xml:space="preserve">e to provide </w:t>
      </w:r>
      <w:r w:rsidR="004A542B" w:rsidRPr="00E02FD7">
        <w:rPr>
          <w:bCs/>
          <w:iCs/>
          <w:sz w:val="24"/>
          <w:szCs w:val="24"/>
        </w:rPr>
        <w:t xml:space="preserve">ICU </w:t>
      </w:r>
      <w:r w:rsidR="00822A62" w:rsidRPr="00E02FD7">
        <w:rPr>
          <w:bCs/>
          <w:iCs/>
          <w:sz w:val="24"/>
          <w:szCs w:val="24"/>
        </w:rPr>
        <w:t xml:space="preserve">discharge </w:t>
      </w:r>
      <w:r w:rsidR="00A22DB0" w:rsidRPr="00E02FD7">
        <w:rPr>
          <w:bCs/>
          <w:iCs/>
          <w:sz w:val="24"/>
          <w:szCs w:val="24"/>
        </w:rPr>
        <w:t xml:space="preserve">information </w:t>
      </w:r>
      <w:r w:rsidR="000733D5" w:rsidRPr="00E02FD7">
        <w:rPr>
          <w:bCs/>
          <w:iCs/>
          <w:sz w:val="24"/>
          <w:szCs w:val="24"/>
        </w:rPr>
        <w:t xml:space="preserve">is an important issue for </w:t>
      </w:r>
      <w:r w:rsidR="002D1637" w:rsidRPr="00E02FD7">
        <w:rPr>
          <w:bCs/>
          <w:iCs/>
          <w:sz w:val="24"/>
          <w:szCs w:val="24"/>
        </w:rPr>
        <w:t xml:space="preserve">future </w:t>
      </w:r>
      <w:r w:rsidR="000733D5" w:rsidRPr="00E02FD7">
        <w:rPr>
          <w:bCs/>
          <w:iCs/>
          <w:sz w:val="24"/>
          <w:szCs w:val="24"/>
        </w:rPr>
        <w:t>practice</w:t>
      </w:r>
      <w:r w:rsidRPr="00E02FD7">
        <w:rPr>
          <w:bCs/>
          <w:iCs/>
          <w:sz w:val="24"/>
          <w:szCs w:val="24"/>
        </w:rPr>
        <w:t xml:space="preserve">, particularly considering that recovery rates for physical and emotional recovery may </w:t>
      </w:r>
      <w:r w:rsidR="00DD1409" w:rsidRPr="00E02FD7">
        <w:rPr>
          <w:bCs/>
          <w:iCs/>
          <w:sz w:val="24"/>
          <w:szCs w:val="24"/>
        </w:rPr>
        <w:t>differ</w:t>
      </w:r>
      <w:r w:rsidRPr="00E02FD7">
        <w:rPr>
          <w:bCs/>
          <w:iCs/>
          <w:sz w:val="24"/>
          <w:szCs w:val="24"/>
        </w:rPr>
        <w:t xml:space="preserve"> [</w:t>
      </w:r>
      <w:r w:rsidR="00A124DE" w:rsidRPr="00E02FD7">
        <w:rPr>
          <w:bCs/>
          <w:iCs/>
          <w:sz w:val="24"/>
          <w:szCs w:val="24"/>
        </w:rPr>
        <w:t>40</w:t>
      </w:r>
      <w:r w:rsidRPr="00E02FD7">
        <w:rPr>
          <w:bCs/>
          <w:iCs/>
          <w:sz w:val="24"/>
          <w:szCs w:val="24"/>
        </w:rPr>
        <w:t>]</w:t>
      </w:r>
      <w:r w:rsidR="00822A62" w:rsidRPr="00E02FD7">
        <w:rPr>
          <w:rFonts w:eastAsia="Times New Roman" w:cs="Tahoma"/>
          <w:color w:val="000000"/>
          <w:sz w:val="24"/>
          <w:szCs w:val="24"/>
        </w:rPr>
        <w:t>.</w:t>
      </w:r>
      <w:r w:rsidR="00573869" w:rsidRPr="00E02FD7">
        <w:rPr>
          <w:rFonts w:eastAsia="Times New Roman" w:cs="Tahoma"/>
          <w:color w:val="000000"/>
          <w:sz w:val="24"/>
          <w:szCs w:val="24"/>
        </w:rPr>
        <w:t xml:space="preserve"> </w:t>
      </w:r>
      <w:r w:rsidR="008056FA" w:rsidRPr="00E02FD7">
        <w:rPr>
          <w:bCs/>
          <w:iCs/>
          <w:sz w:val="24"/>
          <w:szCs w:val="24"/>
        </w:rPr>
        <w:t xml:space="preserve">We gave </w:t>
      </w:r>
      <w:r w:rsidR="00D22D6C" w:rsidRPr="00E02FD7">
        <w:rPr>
          <w:bCs/>
          <w:iCs/>
          <w:sz w:val="24"/>
          <w:szCs w:val="24"/>
        </w:rPr>
        <w:t xml:space="preserve">our intervention to </w:t>
      </w:r>
      <w:r w:rsidR="00D07F74" w:rsidRPr="00E02FD7">
        <w:rPr>
          <w:bCs/>
          <w:iCs/>
          <w:sz w:val="24"/>
          <w:szCs w:val="24"/>
        </w:rPr>
        <w:t xml:space="preserve">patients </w:t>
      </w:r>
      <w:r w:rsidR="00A22DB0" w:rsidRPr="00E02FD7">
        <w:rPr>
          <w:bCs/>
          <w:iCs/>
          <w:sz w:val="24"/>
          <w:szCs w:val="24"/>
        </w:rPr>
        <w:t xml:space="preserve">immediately prior to their discharge from the </w:t>
      </w:r>
      <w:r w:rsidR="004A542B" w:rsidRPr="00E02FD7">
        <w:rPr>
          <w:bCs/>
          <w:iCs/>
          <w:sz w:val="24"/>
          <w:szCs w:val="24"/>
        </w:rPr>
        <w:t>ICU</w:t>
      </w:r>
      <w:r w:rsidR="00A22DB0" w:rsidRPr="00E02FD7">
        <w:rPr>
          <w:bCs/>
          <w:iCs/>
          <w:sz w:val="24"/>
          <w:szCs w:val="24"/>
        </w:rPr>
        <w:t xml:space="preserve">. However, </w:t>
      </w:r>
      <w:r w:rsidR="004C3932" w:rsidRPr="00E02FD7">
        <w:rPr>
          <w:bCs/>
          <w:iCs/>
          <w:sz w:val="24"/>
          <w:szCs w:val="24"/>
        </w:rPr>
        <w:t xml:space="preserve">the </w:t>
      </w:r>
      <w:r w:rsidR="00D7501E" w:rsidRPr="00E02FD7">
        <w:rPr>
          <w:bCs/>
          <w:iCs/>
          <w:sz w:val="24"/>
          <w:szCs w:val="24"/>
        </w:rPr>
        <w:t xml:space="preserve">survey data </w:t>
      </w:r>
      <w:r w:rsidR="004C3932" w:rsidRPr="00E02FD7">
        <w:rPr>
          <w:bCs/>
          <w:iCs/>
          <w:sz w:val="24"/>
          <w:szCs w:val="24"/>
        </w:rPr>
        <w:t xml:space="preserve">that we collected alongside the trial </w:t>
      </w:r>
      <w:r w:rsidR="00D7501E" w:rsidRPr="00E02FD7">
        <w:rPr>
          <w:bCs/>
          <w:iCs/>
          <w:sz w:val="24"/>
          <w:szCs w:val="24"/>
        </w:rPr>
        <w:t xml:space="preserve">indicate that </w:t>
      </w:r>
      <w:r w:rsidR="00A22DB0" w:rsidRPr="00E02FD7">
        <w:rPr>
          <w:bCs/>
          <w:iCs/>
          <w:sz w:val="24"/>
          <w:szCs w:val="24"/>
        </w:rPr>
        <w:t xml:space="preserve">many felt unable to engage with the information at this point or during the early days on the ward, </w:t>
      </w:r>
      <w:r w:rsidR="00D7501E" w:rsidRPr="00E02FD7">
        <w:rPr>
          <w:bCs/>
          <w:iCs/>
          <w:sz w:val="24"/>
          <w:szCs w:val="24"/>
        </w:rPr>
        <w:t xml:space="preserve">and that </w:t>
      </w:r>
      <w:r w:rsidR="00A22DB0" w:rsidRPr="00E02FD7">
        <w:rPr>
          <w:bCs/>
          <w:iCs/>
          <w:sz w:val="24"/>
          <w:szCs w:val="24"/>
        </w:rPr>
        <w:t xml:space="preserve">some </w:t>
      </w:r>
      <w:r w:rsidR="00D7501E" w:rsidRPr="00E02FD7">
        <w:rPr>
          <w:bCs/>
          <w:iCs/>
          <w:sz w:val="24"/>
          <w:szCs w:val="24"/>
        </w:rPr>
        <w:t xml:space="preserve">of the patients allocated to UCCDIP or the </w:t>
      </w:r>
      <w:proofErr w:type="spellStart"/>
      <w:r w:rsidR="00D7501E" w:rsidRPr="00E02FD7">
        <w:rPr>
          <w:bCs/>
          <w:iCs/>
          <w:sz w:val="24"/>
          <w:szCs w:val="24"/>
        </w:rPr>
        <w:t>ICUsteps</w:t>
      </w:r>
      <w:proofErr w:type="spellEnd"/>
      <w:r w:rsidR="00D7501E" w:rsidRPr="00E02FD7">
        <w:rPr>
          <w:bCs/>
          <w:iCs/>
          <w:sz w:val="24"/>
          <w:szCs w:val="24"/>
        </w:rPr>
        <w:t xml:space="preserve"> booklet were </w:t>
      </w:r>
      <w:r w:rsidR="00A22DB0" w:rsidRPr="00E02FD7">
        <w:rPr>
          <w:bCs/>
          <w:iCs/>
          <w:sz w:val="24"/>
          <w:szCs w:val="24"/>
        </w:rPr>
        <w:t>unaware of having received any written material [</w:t>
      </w:r>
      <w:r w:rsidR="00D46A97" w:rsidRPr="00E02FD7">
        <w:rPr>
          <w:bCs/>
          <w:iCs/>
          <w:sz w:val="24"/>
          <w:szCs w:val="24"/>
        </w:rPr>
        <w:t>32</w:t>
      </w:r>
      <w:r w:rsidR="00A22DB0" w:rsidRPr="00E02FD7">
        <w:rPr>
          <w:bCs/>
          <w:iCs/>
          <w:sz w:val="24"/>
          <w:szCs w:val="24"/>
        </w:rPr>
        <w:t xml:space="preserve">]. </w:t>
      </w:r>
      <w:r w:rsidR="006C4AD5" w:rsidRPr="006C4AD5">
        <w:rPr>
          <w:bCs/>
          <w:iCs/>
          <w:sz w:val="24"/>
          <w:szCs w:val="24"/>
        </w:rPr>
        <w:t>Retention of information is a common problem for ICU patients [3</w:t>
      </w:r>
      <w:proofErr w:type="gramStart"/>
      <w:r w:rsidR="006C4AD5" w:rsidRPr="006C4AD5">
        <w:rPr>
          <w:bCs/>
          <w:iCs/>
          <w:sz w:val="24"/>
          <w:szCs w:val="24"/>
        </w:rPr>
        <w:t>,4</w:t>
      </w:r>
      <w:proofErr w:type="gramEnd"/>
      <w:r w:rsidR="006C4AD5" w:rsidRPr="006C4AD5">
        <w:rPr>
          <w:bCs/>
          <w:iCs/>
          <w:sz w:val="24"/>
          <w:szCs w:val="24"/>
        </w:rPr>
        <w:t>].</w:t>
      </w:r>
      <w:r w:rsidR="006C4AD5">
        <w:rPr>
          <w:bCs/>
          <w:iCs/>
          <w:sz w:val="24"/>
          <w:szCs w:val="24"/>
        </w:rPr>
        <w:t xml:space="preserve"> </w:t>
      </w:r>
      <w:r w:rsidR="00681E82" w:rsidRPr="00E02FD7">
        <w:rPr>
          <w:bCs/>
          <w:iCs/>
          <w:sz w:val="24"/>
          <w:szCs w:val="24"/>
        </w:rPr>
        <w:t xml:space="preserve">Having a family member present when UCCDIP was discussed with the patient may have increased participants’ awareness of and engagement with the intervention. Where possible, such practice is encouraged, particularly if a patient’s cognitive function is compromised.   </w:t>
      </w:r>
    </w:p>
    <w:p w:rsidR="00A26A78" w:rsidRPr="00E02FD7" w:rsidRDefault="001424B4" w:rsidP="00E02FD7">
      <w:pPr>
        <w:spacing w:line="480" w:lineRule="auto"/>
        <w:rPr>
          <w:bCs/>
          <w:iCs/>
          <w:sz w:val="24"/>
          <w:szCs w:val="24"/>
        </w:rPr>
      </w:pPr>
      <w:r w:rsidRPr="00E02FD7">
        <w:rPr>
          <w:bCs/>
          <w:iCs/>
          <w:sz w:val="24"/>
          <w:szCs w:val="24"/>
        </w:rPr>
        <w:t>The intention of this trial was to determine the effect of adding UCCDIP into</w:t>
      </w:r>
      <w:r w:rsidR="00344038" w:rsidRPr="00E02FD7">
        <w:rPr>
          <w:bCs/>
          <w:iCs/>
          <w:sz w:val="24"/>
          <w:szCs w:val="24"/>
        </w:rPr>
        <w:t xml:space="preserve"> the</w:t>
      </w:r>
      <w:r w:rsidRPr="00E02FD7">
        <w:rPr>
          <w:bCs/>
          <w:iCs/>
          <w:sz w:val="24"/>
          <w:szCs w:val="24"/>
        </w:rPr>
        <w:t xml:space="preserve"> usual care </w:t>
      </w:r>
      <w:r w:rsidR="00344038" w:rsidRPr="00E02FD7">
        <w:rPr>
          <w:bCs/>
          <w:iCs/>
          <w:sz w:val="24"/>
          <w:szCs w:val="24"/>
        </w:rPr>
        <w:t>provided during discharge</w:t>
      </w:r>
      <w:r w:rsidRPr="00E02FD7">
        <w:rPr>
          <w:bCs/>
          <w:iCs/>
          <w:sz w:val="24"/>
          <w:szCs w:val="24"/>
        </w:rPr>
        <w:t xml:space="preserve">; thus after discharge to the ward, no specific instructions were given to ward nurses or other health care staff about their role in facilitating its use. </w:t>
      </w:r>
      <w:r w:rsidR="00A26A78" w:rsidRPr="00E02FD7">
        <w:rPr>
          <w:sz w:val="24"/>
          <w:szCs w:val="24"/>
        </w:rPr>
        <w:t>K</w:t>
      </w:r>
      <w:r w:rsidR="00A2534F" w:rsidRPr="00E02FD7">
        <w:rPr>
          <w:sz w:val="24"/>
          <w:szCs w:val="24"/>
        </w:rPr>
        <w:t xml:space="preserve">nowledge </w:t>
      </w:r>
      <w:r w:rsidR="00A26A78" w:rsidRPr="00E02FD7">
        <w:rPr>
          <w:sz w:val="24"/>
          <w:szCs w:val="24"/>
        </w:rPr>
        <w:t xml:space="preserve">of the intervention, obtained due to contamination of the  allocation concealment after recruitment of the first patient on any day </w:t>
      </w:r>
      <w:r w:rsidR="00A2534F" w:rsidRPr="00E02FD7">
        <w:rPr>
          <w:sz w:val="24"/>
          <w:szCs w:val="24"/>
        </w:rPr>
        <w:t>may</w:t>
      </w:r>
      <w:r w:rsidR="00887989" w:rsidRPr="00E02FD7">
        <w:rPr>
          <w:sz w:val="24"/>
          <w:szCs w:val="24"/>
        </w:rPr>
        <w:t>,</w:t>
      </w:r>
      <w:r w:rsidR="00A2534F" w:rsidRPr="00E02FD7">
        <w:rPr>
          <w:sz w:val="24"/>
          <w:szCs w:val="24"/>
        </w:rPr>
        <w:t xml:space="preserve"> </w:t>
      </w:r>
      <w:r w:rsidR="00A26A78" w:rsidRPr="00E02FD7">
        <w:rPr>
          <w:sz w:val="24"/>
          <w:szCs w:val="24"/>
        </w:rPr>
        <w:t xml:space="preserve">however, </w:t>
      </w:r>
      <w:r w:rsidR="00E428C4" w:rsidRPr="00E02FD7">
        <w:rPr>
          <w:sz w:val="24"/>
          <w:szCs w:val="24"/>
        </w:rPr>
        <w:t>have influenced staff members</w:t>
      </w:r>
      <w:r w:rsidR="00A26A78" w:rsidRPr="00E02FD7">
        <w:rPr>
          <w:sz w:val="24"/>
          <w:szCs w:val="24"/>
        </w:rPr>
        <w:t>’</w:t>
      </w:r>
      <w:r w:rsidR="00E428C4" w:rsidRPr="00E02FD7">
        <w:rPr>
          <w:sz w:val="24"/>
          <w:szCs w:val="24"/>
        </w:rPr>
        <w:t xml:space="preserve"> </w:t>
      </w:r>
      <w:r w:rsidR="00A2534F" w:rsidRPr="00E02FD7">
        <w:rPr>
          <w:sz w:val="24"/>
          <w:szCs w:val="24"/>
        </w:rPr>
        <w:t>verbal information</w:t>
      </w:r>
      <w:r w:rsidR="00A26A78" w:rsidRPr="00E02FD7">
        <w:rPr>
          <w:sz w:val="24"/>
          <w:szCs w:val="24"/>
        </w:rPr>
        <w:t xml:space="preserve"> delivery; both its quality and </w:t>
      </w:r>
      <w:r w:rsidR="00887989" w:rsidRPr="00E02FD7">
        <w:rPr>
          <w:sz w:val="24"/>
          <w:szCs w:val="24"/>
        </w:rPr>
        <w:t>quantity</w:t>
      </w:r>
      <w:r w:rsidR="00A26A78" w:rsidRPr="00E02FD7">
        <w:rPr>
          <w:sz w:val="24"/>
          <w:szCs w:val="24"/>
        </w:rPr>
        <w:t xml:space="preserve">. </w:t>
      </w:r>
      <w:r w:rsidR="00A26A78" w:rsidRPr="00E02FD7">
        <w:rPr>
          <w:bCs/>
          <w:iCs/>
          <w:sz w:val="24"/>
          <w:szCs w:val="24"/>
        </w:rPr>
        <w:t>In addition, follow-up personnel, such as discharge co-ordinators and critical care outreach nurses have been shown to aid patients’ and relatives’ interact</w:t>
      </w:r>
      <w:r w:rsidR="00A124DE" w:rsidRPr="00E02FD7">
        <w:rPr>
          <w:bCs/>
          <w:iCs/>
          <w:sz w:val="24"/>
          <w:szCs w:val="24"/>
        </w:rPr>
        <w:t>ion with written information [41</w:t>
      </w:r>
      <w:r w:rsidR="00A26A78" w:rsidRPr="00E02FD7">
        <w:rPr>
          <w:bCs/>
          <w:iCs/>
          <w:sz w:val="24"/>
          <w:szCs w:val="24"/>
        </w:rPr>
        <w:t>]. Not providing this support as part of the intervention in this trial may account for some of the problems with engagement that we encountered, particularly for those with English as a second language, poor literacy and/or cognitive impairment</w:t>
      </w:r>
      <w:r w:rsidR="00BF33F7" w:rsidRPr="00E02FD7">
        <w:rPr>
          <w:bCs/>
          <w:iCs/>
          <w:sz w:val="24"/>
          <w:szCs w:val="24"/>
        </w:rPr>
        <w:t xml:space="preserve">. </w:t>
      </w:r>
      <w:r w:rsidR="00A26A78" w:rsidRPr="00E02FD7">
        <w:rPr>
          <w:bCs/>
          <w:iCs/>
          <w:sz w:val="24"/>
          <w:szCs w:val="24"/>
        </w:rPr>
        <w:t xml:space="preserve">It may also have contributed to the excessive loss to follow </w:t>
      </w:r>
      <w:r w:rsidR="00887989" w:rsidRPr="00E02FD7">
        <w:rPr>
          <w:bCs/>
          <w:iCs/>
          <w:sz w:val="24"/>
          <w:szCs w:val="24"/>
        </w:rPr>
        <w:t xml:space="preserve">up </w:t>
      </w:r>
      <w:r w:rsidR="00A26A78" w:rsidRPr="00E02FD7">
        <w:rPr>
          <w:bCs/>
          <w:iCs/>
          <w:sz w:val="24"/>
          <w:szCs w:val="24"/>
        </w:rPr>
        <w:t>we experienced</w:t>
      </w:r>
      <w:r w:rsidR="00887989" w:rsidRPr="00E02FD7">
        <w:rPr>
          <w:bCs/>
          <w:iCs/>
          <w:sz w:val="24"/>
          <w:szCs w:val="24"/>
        </w:rPr>
        <w:t>; which in turn may have influenced our outcome data</w:t>
      </w:r>
      <w:r w:rsidR="007578D6" w:rsidRPr="00E02FD7">
        <w:rPr>
          <w:bCs/>
          <w:iCs/>
          <w:sz w:val="24"/>
          <w:szCs w:val="24"/>
        </w:rPr>
        <w:t xml:space="preserve">. </w:t>
      </w:r>
      <w:r w:rsidR="00BF33F7" w:rsidRPr="00E02FD7">
        <w:rPr>
          <w:bCs/>
          <w:iCs/>
          <w:sz w:val="24"/>
          <w:szCs w:val="24"/>
        </w:rPr>
        <w:t xml:space="preserve">We did not collect data on these participant characteristics and thus are unable to validate these assumptions. </w:t>
      </w:r>
      <w:r w:rsidR="007578D6" w:rsidRPr="00E02FD7">
        <w:rPr>
          <w:bCs/>
          <w:iCs/>
          <w:sz w:val="24"/>
          <w:szCs w:val="24"/>
        </w:rPr>
        <w:t xml:space="preserve">These issues are further discussed in Day </w:t>
      </w:r>
      <w:r w:rsidR="007578D6" w:rsidRPr="00E02FD7">
        <w:rPr>
          <w:bCs/>
          <w:i/>
          <w:iCs/>
          <w:sz w:val="24"/>
          <w:szCs w:val="24"/>
        </w:rPr>
        <w:t>et al</w:t>
      </w:r>
      <w:r w:rsidR="007578D6" w:rsidRPr="00E02FD7">
        <w:rPr>
          <w:bCs/>
          <w:iCs/>
          <w:sz w:val="24"/>
          <w:szCs w:val="24"/>
        </w:rPr>
        <w:t>. [4</w:t>
      </w:r>
      <w:r w:rsidR="00A124DE" w:rsidRPr="00E02FD7">
        <w:rPr>
          <w:bCs/>
          <w:iCs/>
          <w:sz w:val="24"/>
          <w:szCs w:val="24"/>
        </w:rPr>
        <w:t>2</w:t>
      </w:r>
      <w:r w:rsidR="007578D6" w:rsidRPr="00E02FD7">
        <w:rPr>
          <w:bCs/>
          <w:iCs/>
          <w:sz w:val="24"/>
          <w:szCs w:val="24"/>
        </w:rPr>
        <w:t>]</w:t>
      </w:r>
      <w:r w:rsidR="00A26A78" w:rsidRPr="00E02FD7">
        <w:rPr>
          <w:bCs/>
          <w:iCs/>
          <w:sz w:val="24"/>
          <w:szCs w:val="24"/>
        </w:rPr>
        <w:t xml:space="preserve">. </w:t>
      </w:r>
    </w:p>
    <w:p w:rsidR="00A030F9" w:rsidRPr="00E02FD7" w:rsidRDefault="00EF2611" w:rsidP="00E02FD7">
      <w:pPr>
        <w:spacing w:line="480" w:lineRule="auto"/>
        <w:rPr>
          <w:sz w:val="24"/>
          <w:szCs w:val="24"/>
        </w:rPr>
      </w:pPr>
      <w:r w:rsidRPr="00E02FD7">
        <w:rPr>
          <w:bCs/>
          <w:iCs/>
          <w:sz w:val="24"/>
          <w:szCs w:val="24"/>
        </w:rPr>
        <w:t xml:space="preserve">UCCDIP is a multi-component intervention, which </w:t>
      </w:r>
      <w:r w:rsidR="00A030F9" w:rsidRPr="00E02FD7">
        <w:rPr>
          <w:bCs/>
          <w:iCs/>
          <w:sz w:val="24"/>
          <w:szCs w:val="24"/>
        </w:rPr>
        <w:t>include</w:t>
      </w:r>
      <w:r w:rsidRPr="00E02FD7">
        <w:rPr>
          <w:bCs/>
          <w:iCs/>
          <w:sz w:val="24"/>
          <w:szCs w:val="24"/>
        </w:rPr>
        <w:t>s</w:t>
      </w:r>
      <w:r w:rsidR="00A030F9" w:rsidRPr="00E02FD7">
        <w:rPr>
          <w:bCs/>
          <w:iCs/>
          <w:sz w:val="24"/>
          <w:szCs w:val="24"/>
        </w:rPr>
        <w:t xml:space="preserve"> a</w:t>
      </w:r>
      <w:r w:rsidR="008F3FA5">
        <w:rPr>
          <w:bCs/>
          <w:iCs/>
          <w:sz w:val="24"/>
          <w:szCs w:val="24"/>
        </w:rPr>
        <w:t>n individualized</w:t>
      </w:r>
      <w:r w:rsidR="00A030F9" w:rsidRPr="00E02FD7">
        <w:rPr>
          <w:bCs/>
          <w:iCs/>
          <w:sz w:val="24"/>
          <w:szCs w:val="24"/>
        </w:rPr>
        <w:t xml:space="preserve"> patient</w:t>
      </w:r>
      <w:r w:rsidR="00FD4067" w:rsidRPr="00E02FD7">
        <w:rPr>
          <w:bCs/>
          <w:iCs/>
          <w:sz w:val="24"/>
          <w:szCs w:val="24"/>
        </w:rPr>
        <w:t xml:space="preserve"> discharge summary</w:t>
      </w:r>
      <w:r w:rsidR="00BF33F7" w:rsidRPr="00E02FD7">
        <w:rPr>
          <w:bCs/>
          <w:iCs/>
          <w:sz w:val="24"/>
          <w:szCs w:val="24"/>
        </w:rPr>
        <w:t xml:space="preserve"> written by ICU nurses</w:t>
      </w:r>
      <w:r w:rsidR="00ED2D1E" w:rsidRPr="00E02FD7">
        <w:rPr>
          <w:sz w:val="24"/>
          <w:szCs w:val="24"/>
        </w:rPr>
        <w:t>.</w:t>
      </w:r>
      <w:r w:rsidR="00A030F9" w:rsidRPr="00E02FD7">
        <w:rPr>
          <w:sz w:val="24"/>
          <w:szCs w:val="24"/>
        </w:rPr>
        <w:t xml:space="preserve"> </w:t>
      </w:r>
      <w:r w:rsidR="00D34CE3" w:rsidRPr="00E02FD7">
        <w:rPr>
          <w:sz w:val="24"/>
          <w:szCs w:val="24"/>
        </w:rPr>
        <w:t>S</w:t>
      </w:r>
      <w:r w:rsidR="009F6613" w:rsidRPr="00E02FD7">
        <w:rPr>
          <w:sz w:val="24"/>
          <w:szCs w:val="24"/>
        </w:rPr>
        <w:t xml:space="preserve">urvey </w:t>
      </w:r>
      <w:r w:rsidR="00D34CE3" w:rsidRPr="00E02FD7">
        <w:rPr>
          <w:sz w:val="24"/>
          <w:szCs w:val="24"/>
        </w:rPr>
        <w:t xml:space="preserve">data (reported in Bench </w:t>
      </w:r>
      <w:r w:rsidR="00D34CE3" w:rsidRPr="00E02FD7">
        <w:rPr>
          <w:i/>
          <w:sz w:val="24"/>
          <w:szCs w:val="24"/>
        </w:rPr>
        <w:t>et al.</w:t>
      </w:r>
      <w:r w:rsidR="00D34CE3" w:rsidRPr="00E02FD7">
        <w:rPr>
          <w:sz w:val="24"/>
          <w:szCs w:val="24"/>
        </w:rPr>
        <w:t xml:space="preserve"> 2014) suggest that this element of UCCDIP was of </w:t>
      </w:r>
      <w:r w:rsidR="005C3C9E" w:rsidRPr="00E02FD7">
        <w:rPr>
          <w:sz w:val="24"/>
          <w:szCs w:val="24"/>
        </w:rPr>
        <w:t xml:space="preserve">particular </w:t>
      </w:r>
      <w:r w:rsidRPr="00E02FD7">
        <w:rPr>
          <w:sz w:val="24"/>
          <w:szCs w:val="24"/>
        </w:rPr>
        <w:t>value to the patient</w:t>
      </w:r>
      <w:r w:rsidR="008707FA" w:rsidRPr="00E02FD7">
        <w:rPr>
          <w:sz w:val="24"/>
          <w:szCs w:val="24"/>
        </w:rPr>
        <w:t xml:space="preserve">s, relatives and ward nurses who took part in </w:t>
      </w:r>
      <w:r w:rsidR="00344038" w:rsidRPr="00E02FD7">
        <w:rPr>
          <w:sz w:val="24"/>
          <w:szCs w:val="24"/>
        </w:rPr>
        <w:t xml:space="preserve">our </w:t>
      </w:r>
      <w:r w:rsidR="008707FA" w:rsidRPr="00E02FD7">
        <w:rPr>
          <w:sz w:val="24"/>
          <w:szCs w:val="24"/>
        </w:rPr>
        <w:t>study</w:t>
      </w:r>
      <w:r w:rsidRPr="00E02FD7">
        <w:rPr>
          <w:sz w:val="24"/>
          <w:szCs w:val="24"/>
        </w:rPr>
        <w:t xml:space="preserve"> </w:t>
      </w:r>
      <w:r w:rsidR="007155F1" w:rsidRPr="00E02FD7">
        <w:rPr>
          <w:sz w:val="24"/>
          <w:szCs w:val="24"/>
        </w:rPr>
        <w:t>[</w:t>
      </w:r>
      <w:r w:rsidR="009833A8" w:rsidRPr="00E02FD7">
        <w:rPr>
          <w:sz w:val="24"/>
          <w:szCs w:val="24"/>
        </w:rPr>
        <w:t>32</w:t>
      </w:r>
      <w:r w:rsidR="007155F1" w:rsidRPr="00E02FD7">
        <w:rPr>
          <w:sz w:val="24"/>
          <w:szCs w:val="24"/>
        </w:rPr>
        <w:t>]</w:t>
      </w:r>
      <w:r w:rsidRPr="00E02FD7">
        <w:rPr>
          <w:sz w:val="24"/>
          <w:szCs w:val="24"/>
        </w:rPr>
        <w:t xml:space="preserve">. </w:t>
      </w:r>
      <w:r w:rsidR="00A030F9" w:rsidRPr="00E02FD7">
        <w:rPr>
          <w:sz w:val="24"/>
          <w:szCs w:val="24"/>
        </w:rPr>
        <w:t xml:space="preserve">In the protocols for the </w:t>
      </w:r>
      <w:r w:rsidR="00E75F5A" w:rsidRPr="00E02FD7">
        <w:rPr>
          <w:sz w:val="24"/>
          <w:szCs w:val="24"/>
        </w:rPr>
        <w:t xml:space="preserve">Scottish </w:t>
      </w:r>
      <w:r w:rsidR="00A030F9" w:rsidRPr="00E02FD7">
        <w:rPr>
          <w:sz w:val="24"/>
          <w:szCs w:val="24"/>
        </w:rPr>
        <w:t>RECOVER and RELINQUISH trials</w:t>
      </w:r>
      <w:r w:rsidR="007155F1" w:rsidRPr="00E02FD7">
        <w:rPr>
          <w:sz w:val="24"/>
          <w:szCs w:val="24"/>
        </w:rPr>
        <w:t xml:space="preserve"> [</w:t>
      </w:r>
      <w:r w:rsidR="00A124DE" w:rsidRPr="00E02FD7">
        <w:rPr>
          <w:sz w:val="24"/>
          <w:szCs w:val="24"/>
        </w:rPr>
        <w:t>43</w:t>
      </w:r>
      <w:r w:rsidR="009833A8" w:rsidRPr="00E02FD7">
        <w:rPr>
          <w:sz w:val="24"/>
          <w:szCs w:val="24"/>
        </w:rPr>
        <w:t>, 4</w:t>
      </w:r>
      <w:r w:rsidR="00A124DE" w:rsidRPr="00E02FD7">
        <w:rPr>
          <w:sz w:val="24"/>
          <w:szCs w:val="24"/>
        </w:rPr>
        <w:t>4</w:t>
      </w:r>
      <w:r w:rsidR="007155F1" w:rsidRPr="00E02FD7">
        <w:rPr>
          <w:sz w:val="24"/>
          <w:szCs w:val="24"/>
        </w:rPr>
        <w:t>]</w:t>
      </w:r>
      <w:r w:rsidR="00A030F9" w:rsidRPr="00E02FD7">
        <w:rPr>
          <w:sz w:val="24"/>
          <w:szCs w:val="24"/>
        </w:rPr>
        <w:t xml:space="preserve">, discharge summaries, similar to those used in the present trial, but written by doctors are </w:t>
      </w:r>
      <w:r w:rsidR="00053FB9" w:rsidRPr="00E02FD7">
        <w:rPr>
          <w:sz w:val="24"/>
          <w:szCs w:val="24"/>
        </w:rPr>
        <w:t xml:space="preserve">also </w:t>
      </w:r>
      <w:r w:rsidR="00A030F9" w:rsidRPr="00E02FD7">
        <w:rPr>
          <w:sz w:val="24"/>
          <w:szCs w:val="24"/>
        </w:rPr>
        <w:t xml:space="preserve">included as part of the intervention. </w:t>
      </w:r>
      <w:r w:rsidR="00C96C13" w:rsidRPr="00E02FD7">
        <w:rPr>
          <w:sz w:val="24"/>
          <w:szCs w:val="24"/>
        </w:rPr>
        <w:t xml:space="preserve">In addition, </w:t>
      </w:r>
      <w:r w:rsidR="00A030F9" w:rsidRPr="00E02FD7">
        <w:rPr>
          <w:sz w:val="24"/>
          <w:szCs w:val="24"/>
        </w:rPr>
        <w:t>‘</w:t>
      </w:r>
      <w:r w:rsidR="00C96C13" w:rsidRPr="00E02FD7">
        <w:rPr>
          <w:sz w:val="24"/>
          <w:szCs w:val="24"/>
        </w:rPr>
        <w:t>l</w:t>
      </w:r>
      <w:r w:rsidR="00A030F9" w:rsidRPr="00E02FD7">
        <w:rPr>
          <w:sz w:val="24"/>
          <w:szCs w:val="24"/>
        </w:rPr>
        <w:t>ay summaries’ are now being written by physiotherap</w:t>
      </w:r>
      <w:r w:rsidR="002F31EF" w:rsidRPr="00E02FD7">
        <w:rPr>
          <w:sz w:val="24"/>
          <w:szCs w:val="24"/>
        </w:rPr>
        <w:t xml:space="preserve">ists in </w:t>
      </w:r>
      <w:r w:rsidR="00F417E8" w:rsidRPr="00E02FD7">
        <w:rPr>
          <w:sz w:val="24"/>
          <w:szCs w:val="24"/>
        </w:rPr>
        <w:t xml:space="preserve">some parts of </w:t>
      </w:r>
      <w:r w:rsidR="002F31EF" w:rsidRPr="00E02FD7">
        <w:rPr>
          <w:sz w:val="24"/>
          <w:szCs w:val="24"/>
        </w:rPr>
        <w:t xml:space="preserve">the UK </w:t>
      </w:r>
      <w:r w:rsidR="007155F1" w:rsidRPr="00E02FD7">
        <w:rPr>
          <w:sz w:val="24"/>
          <w:szCs w:val="24"/>
        </w:rPr>
        <w:t>[</w:t>
      </w:r>
      <w:r w:rsidR="00E04E13" w:rsidRPr="00E02FD7">
        <w:rPr>
          <w:sz w:val="24"/>
          <w:szCs w:val="24"/>
        </w:rPr>
        <w:t>personal communication from Williams N, Edinburgh Critical Care Research Group 6th annual meeting; 26 June 2013</w:t>
      </w:r>
      <w:r w:rsidR="007155F1" w:rsidRPr="00E02FD7">
        <w:rPr>
          <w:sz w:val="24"/>
          <w:szCs w:val="24"/>
        </w:rPr>
        <w:t>]</w:t>
      </w:r>
      <w:r w:rsidR="002F31EF" w:rsidRPr="00E02FD7">
        <w:rPr>
          <w:sz w:val="24"/>
          <w:szCs w:val="24"/>
        </w:rPr>
        <w:t xml:space="preserve">. </w:t>
      </w:r>
      <w:r w:rsidR="00D34CE3" w:rsidRPr="00E02FD7">
        <w:rPr>
          <w:sz w:val="24"/>
          <w:szCs w:val="24"/>
        </w:rPr>
        <w:t>Health care professionals’ i</w:t>
      </w:r>
      <w:r w:rsidR="00821C21" w:rsidRPr="00E02FD7">
        <w:rPr>
          <w:sz w:val="24"/>
          <w:szCs w:val="24"/>
        </w:rPr>
        <w:t xml:space="preserve">nterest in </w:t>
      </w:r>
      <w:r w:rsidR="00D34CE3" w:rsidRPr="00E02FD7">
        <w:rPr>
          <w:sz w:val="24"/>
          <w:szCs w:val="24"/>
        </w:rPr>
        <w:t xml:space="preserve">using patient discharge summaries is </w:t>
      </w:r>
      <w:r w:rsidR="00296015" w:rsidRPr="00E02FD7">
        <w:rPr>
          <w:sz w:val="24"/>
          <w:szCs w:val="24"/>
        </w:rPr>
        <w:t xml:space="preserve">also </w:t>
      </w:r>
      <w:r w:rsidR="00D34CE3" w:rsidRPr="00E02FD7">
        <w:rPr>
          <w:sz w:val="24"/>
          <w:szCs w:val="24"/>
        </w:rPr>
        <w:t>eviden</w:t>
      </w:r>
      <w:r w:rsidR="00296015" w:rsidRPr="00E02FD7">
        <w:rPr>
          <w:sz w:val="24"/>
          <w:szCs w:val="24"/>
        </w:rPr>
        <w:t>t</w:t>
      </w:r>
      <w:r w:rsidR="00D34CE3" w:rsidRPr="00E02FD7">
        <w:rPr>
          <w:sz w:val="24"/>
          <w:szCs w:val="24"/>
        </w:rPr>
        <w:t xml:space="preserve"> by the number of ‘</w:t>
      </w:r>
      <w:r w:rsidR="00821C21" w:rsidRPr="00E02FD7">
        <w:rPr>
          <w:sz w:val="24"/>
          <w:szCs w:val="24"/>
        </w:rPr>
        <w:t>discharge summary training packs</w:t>
      </w:r>
      <w:r w:rsidR="00D34CE3" w:rsidRPr="00E02FD7">
        <w:rPr>
          <w:sz w:val="24"/>
          <w:szCs w:val="24"/>
        </w:rPr>
        <w:t>’,</w:t>
      </w:r>
      <w:r w:rsidR="00821C21" w:rsidRPr="00E02FD7">
        <w:rPr>
          <w:sz w:val="24"/>
          <w:szCs w:val="24"/>
        </w:rPr>
        <w:t xml:space="preserve"> </w:t>
      </w:r>
      <w:r w:rsidR="00DB1D7C" w:rsidRPr="00E02FD7">
        <w:rPr>
          <w:sz w:val="24"/>
          <w:szCs w:val="24"/>
        </w:rPr>
        <w:t xml:space="preserve">designed by </w:t>
      </w:r>
      <w:r w:rsidR="00D34CE3" w:rsidRPr="00E02FD7">
        <w:rPr>
          <w:sz w:val="24"/>
          <w:szCs w:val="24"/>
        </w:rPr>
        <w:t xml:space="preserve">our </w:t>
      </w:r>
      <w:r w:rsidR="00DB1D7C" w:rsidRPr="00E02FD7">
        <w:rPr>
          <w:sz w:val="24"/>
          <w:szCs w:val="24"/>
        </w:rPr>
        <w:t>project team</w:t>
      </w:r>
      <w:r w:rsidR="00D34CE3" w:rsidRPr="00E02FD7">
        <w:rPr>
          <w:sz w:val="24"/>
          <w:szCs w:val="24"/>
        </w:rPr>
        <w:t>,</w:t>
      </w:r>
      <w:r w:rsidR="00DB1D7C" w:rsidRPr="00E02FD7">
        <w:rPr>
          <w:sz w:val="24"/>
          <w:szCs w:val="24"/>
        </w:rPr>
        <w:t xml:space="preserve"> </w:t>
      </w:r>
      <w:r w:rsidR="00821C21" w:rsidRPr="00E02FD7">
        <w:rPr>
          <w:sz w:val="24"/>
          <w:szCs w:val="24"/>
        </w:rPr>
        <w:t xml:space="preserve">being downloaded from the </w:t>
      </w:r>
      <w:proofErr w:type="spellStart"/>
      <w:r w:rsidR="00821C21" w:rsidRPr="00E02FD7">
        <w:rPr>
          <w:sz w:val="24"/>
          <w:szCs w:val="24"/>
        </w:rPr>
        <w:t>ICUsteps</w:t>
      </w:r>
      <w:proofErr w:type="spellEnd"/>
      <w:r w:rsidR="00821C21" w:rsidRPr="00E02FD7">
        <w:rPr>
          <w:sz w:val="24"/>
          <w:szCs w:val="24"/>
        </w:rPr>
        <w:t xml:space="preserve"> website</w:t>
      </w:r>
      <w:r w:rsidR="00036CD9" w:rsidRPr="00E02FD7">
        <w:rPr>
          <w:sz w:val="24"/>
          <w:szCs w:val="24"/>
        </w:rPr>
        <w:t xml:space="preserve"> [</w:t>
      </w:r>
      <w:r w:rsidR="009833A8" w:rsidRPr="00E02FD7">
        <w:rPr>
          <w:sz w:val="24"/>
          <w:szCs w:val="24"/>
        </w:rPr>
        <w:t>32</w:t>
      </w:r>
      <w:r w:rsidR="00036CD9" w:rsidRPr="00E02FD7">
        <w:rPr>
          <w:sz w:val="24"/>
          <w:szCs w:val="24"/>
        </w:rPr>
        <w:t>]</w:t>
      </w:r>
      <w:r w:rsidR="00821C21" w:rsidRPr="00E02FD7">
        <w:rPr>
          <w:sz w:val="24"/>
          <w:szCs w:val="24"/>
        </w:rPr>
        <w:t xml:space="preserve">. </w:t>
      </w:r>
      <w:r w:rsidR="00296015" w:rsidRPr="00E02FD7">
        <w:rPr>
          <w:sz w:val="24"/>
          <w:szCs w:val="24"/>
        </w:rPr>
        <w:t>Based on these findings, w</w:t>
      </w:r>
      <w:r w:rsidR="00821C21" w:rsidRPr="00E02FD7">
        <w:rPr>
          <w:sz w:val="24"/>
          <w:szCs w:val="24"/>
        </w:rPr>
        <w:t xml:space="preserve">e recommend </w:t>
      </w:r>
      <w:r w:rsidR="004C3932" w:rsidRPr="00E02FD7">
        <w:rPr>
          <w:sz w:val="24"/>
          <w:szCs w:val="24"/>
        </w:rPr>
        <w:t>that</w:t>
      </w:r>
      <w:r w:rsidR="00821C21" w:rsidRPr="00E02FD7">
        <w:rPr>
          <w:sz w:val="24"/>
          <w:szCs w:val="24"/>
        </w:rPr>
        <w:t xml:space="preserve"> </w:t>
      </w:r>
      <w:r w:rsidR="002F31EF" w:rsidRPr="00E02FD7">
        <w:rPr>
          <w:sz w:val="24"/>
          <w:szCs w:val="24"/>
        </w:rPr>
        <w:t>reflective opportunities</w:t>
      </w:r>
      <w:r w:rsidR="004C3932" w:rsidRPr="00E02FD7">
        <w:rPr>
          <w:sz w:val="24"/>
          <w:szCs w:val="24"/>
        </w:rPr>
        <w:t>, such as diaries,</w:t>
      </w:r>
      <w:r w:rsidR="002F31EF" w:rsidRPr="00E02FD7">
        <w:rPr>
          <w:sz w:val="24"/>
          <w:szCs w:val="24"/>
        </w:rPr>
        <w:t xml:space="preserve"> </w:t>
      </w:r>
      <w:r w:rsidR="00764AD3" w:rsidRPr="00E02FD7">
        <w:rPr>
          <w:sz w:val="24"/>
          <w:szCs w:val="24"/>
        </w:rPr>
        <w:t>are</w:t>
      </w:r>
      <w:r w:rsidR="004C3932" w:rsidRPr="00E02FD7">
        <w:rPr>
          <w:sz w:val="24"/>
          <w:szCs w:val="24"/>
        </w:rPr>
        <w:t xml:space="preserve"> included </w:t>
      </w:r>
      <w:r w:rsidR="002F31EF" w:rsidRPr="00E02FD7">
        <w:rPr>
          <w:sz w:val="24"/>
          <w:szCs w:val="24"/>
        </w:rPr>
        <w:t>as part of a</w:t>
      </w:r>
      <w:r w:rsidR="00821C21" w:rsidRPr="00E02FD7">
        <w:rPr>
          <w:sz w:val="24"/>
          <w:szCs w:val="24"/>
        </w:rPr>
        <w:t xml:space="preserve">ll </w:t>
      </w:r>
      <w:r w:rsidR="002F31EF" w:rsidRPr="00E02FD7">
        <w:rPr>
          <w:sz w:val="24"/>
          <w:szCs w:val="24"/>
        </w:rPr>
        <w:t>individuali</w:t>
      </w:r>
      <w:r w:rsidR="00675FDA" w:rsidRPr="00E02FD7">
        <w:rPr>
          <w:sz w:val="24"/>
          <w:szCs w:val="24"/>
        </w:rPr>
        <w:t>z</w:t>
      </w:r>
      <w:r w:rsidR="002F31EF" w:rsidRPr="00E02FD7">
        <w:rPr>
          <w:sz w:val="24"/>
          <w:szCs w:val="24"/>
        </w:rPr>
        <w:t>ed rehabilitation programme</w:t>
      </w:r>
      <w:r w:rsidR="00821C21" w:rsidRPr="00E02FD7">
        <w:rPr>
          <w:sz w:val="24"/>
          <w:szCs w:val="24"/>
        </w:rPr>
        <w:t>s</w:t>
      </w:r>
      <w:r w:rsidR="002F31EF" w:rsidRPr="00E02FD7">
        <w:rPr>
          <w:sz w:val="24"/>
          <w:szCs w:val="24"/>
        </w:rPr>
        <w:t xml:space="preserve">. </w:t>
      </w:r>
    </w:p>
    <w:p w:rsidR="0031584B" w:rsidRPr="00E02FD7" w:rsidRDefault="00D56E9C" w:rsidP="00E02FD7">
      <w:pPr>
        <w:spacing w:line="480" w:lineRule="auto"/>
        <w:rPr>
          <w:sz w:val="24"/>
          <w:szCs w:val="24"/>
        </w:rPr>
      </w:pPr>
      <w:r w:rsidRPr="00E02FD7">
        <w:rPr>
          <w:sz w:val="24"/>
          <w:szCs w:val="24"/>
        </w:rPr>
        <w:t xml:space="preserve">Our results suggest that </w:t>
      </w:r>
      <w:r w:rsidR="0038764A" w:rsidRPr="00E02FD7">
        <w:rPr>
          <w:sz w:val="24"/>
          <w:szCs w:val="24"/>
        </w:rPr>
        <w:t xml:space="preserve">medical as opposed to surgical patients </w:t>
      </w:r>
      <w:r w:rsidRPr="00E02FD7">
        <w:rPr>
          <w:sz w:val="24"/>
          <w:szCs w:val="24"/>
        </w:rPr>
        <w:t xml:space="preserve">may </w:t>
      </w:r>
      <w:r w:rsidR="0038764A" w:rsidRPr="00E02FD7">
        <w:rPr>
          <w:sz w:val="24"/>
          <w:szCs w:val="24"/>
        </w:rPr>
        <w:t xml:space="preserve">value </w:t>
      </w:r>
      <w:r w:rsidRPr="00E02FD7">
        <w:rPr>
          <w:sz w:val="24"/>
          <w:szCs w:val="24"/>
        </w:rPr>
        <w:t xml:space="preserve">interventions such as </w:t>
      </w:r>
      <w:r w:rsidR="0038764A" w:rsidRPr="00E02FD7">
        <w:rPr>
          <w:sz w:val="24"/>
          <w:szCs w:val="24"/>
        </w:rPr>
        <w:t>UCCDIP more</w:t>
      </w:r>
      <w:r w:rsidR="00C700AA" w:rsidRPr="00E02FD7">
        <w:rPr>
          <w:sz w:val="24"/>
          <w:szCs w:val="24"/>
        </w:rPr>
        <w:t>; perhaps because th</w:t>
      </w:r>
      <w:r w:rsidRPr="00E02FD7">
        <w:rPr>
          <w:sz w:val="24"/>
          <w:szCs w:val="24"/>
        </w:rPr>
        <w:t xml:space="preserve">is group </w:t>
      </w:r>
      <w:r w:rsidR="0031584B" w:rsidRPr="00E02FD7">
        <w:rPr>
          <w:sz w:val="24"/>
          <w:szCs w:val="24"/>
        </w:rPr>
        <w:t xml:space="preserve">have an increased tendency </w:t>
      </w:r>
      <w:r w:rsidR="00C700AA" w:rsidRPr="00E02FD7">
        <w:rPr>
          <w:sz w:val="24"/>
          <w:szCs w:val="24"/>
        </w:rPr>
        <w:t xml:space="preserve">for psychological problems such as </w:t>
      </w:r>
      <w:r w:rsidR="00C96C13" w:rsidRPr="00E02FD7">
        <w:rPr>
          <w:sz w:val="24"/>
          <w:szCs w:val="24"/>
        </w:rPr>
        <w:t>PTSD</w:t>
      </w:r>
      <w:r w:rsidR="0031584B" w:rsidRPr="00E02FD7">
        <w:rPr>
          <w:sz w:val="24"/>
          <w:szCs w:val="24"/>
        </w:rPr>
        <w:t xml:space="preserve"> </w:t>
      </w:r>
      <w:r w:rsidR="007155F1" w:rsidRPr="00E02FD7">
        <w:rPr>
          <w:sz w:val="24"/>
          <w:szCs w:val="24"/>
        </w:rPr>
        <w:t>[</w:t>
      </w:r>
      <w:r w:rsidR="009833A8" w:rsidRPr="00E02FD7">
        <w:rPr>
          <w:sz w:val="24"/>
          <w:szCs w:val="24"/>
        </w:rPr>
        <w:t>4</w:t>
      </w:r>
      <w:r w:rsidR="00A124DE" w:rsidRPr="00E02FD7">
        <w:rPr>
          <w:sz w:val="24"/>
          <w:szCs w:val="24"/>
        </w:rPr>
        <w:t>5</w:t>
      </w:r>
      <w:r w:rsidR="007155F1" w:rsidRPr="00E02FD7">
        <w:rPr>
          <w:sz w:val="24"/>
          <w:szCs w:val="24"/>
        </w:rPr>
        <w:t>]</w:t>
      </w:r>
      <w:r w:rsidR="0031584B" w:rsidRPr="00E02FD7">
        <w:rPr>
          <w:sz w:val="24"/>
          <w:szCs w:val="24"/>
        </w:rPr>
        <w:t>. Elective surgical patients may also be better prepared for a</w:t>
      </w:r>
      <w:r w:rsidR="004C3932" w:rsidRPr="00E02FD7">
        <w:rPr>
          <w:sz w:val="24"/>
          <w:szCs w:val="24"/>
        </w:rPr>
        <w:t>n</w:t>
      </w:r>
      <w:r w:rsidR="0031584B" w:rsidRPr="00E02FD7">
        <w:rPr>
          <w:sz w:val="24"/>
          <w:szCs w:val="24"/>
        </w:rPr>
        <w:t xml:space="preserve"> </w:t>
      </w:r>
      <w:r w:rsidR="004A542B" w:rsidRPr="00E02FD7">
        <w:rPr>
          <w:sz w:val="24"/>
          <w:szCs w:val="24"/>
        </w:rPr>
        <w:t xml:space="preserve">ICU </w:t>
      </w:r>
      <w:r w:rsidR="0031584B" w:rsidRPr="00E02FD7">
        <w:rPr>
          <w:sz w:val="24"/>
          <w:szCs w:val="24"/>
        </w:rPr>
        <w:t>admission and their stay is generally expected to be shorter</w:t>
      </w:r>
      <w:r w:rsidR="002039EC" w:rsidRPr="00E02FD7">
        <w:rPr>
          <w:sz w:val="24"/>
          <w:szCs w:val="24"/>
        </w:rPr>
        <w:t xml:space="preserve">. In our trial, it </w:t>
      </w:r>
      <w:r w:rsidR="008D2EB8" w:rsidRPr="00E02FD7">
        <w:rPr>
          <w:sz w:val="24"/>
          <w:szCs w:val="24"/>
        </w:rPr>
        <w:t xml:space="preserve">must be </w:t>
      </w:r>
      <w:r w:rsidR="002039EC" w:rsidRPr="00E02FD7">
        <w:rPr>
          <w:sz w:val="24"/>
          <w:szCs w:val="24"/>
        </w:rPr>
        <w:t>acknowledged, however, that most admissions to the surgical ICU were unplanned</w:t>
      </w:r>
      <w:r w:rsidR="0031584B" w:rsidRPr="00E02FD7">
        <w:rPr>
          <w:sz w:val="24"/>
          <w:szCs w:val="24"/>
        </w:rPr>
        <w:t>.</w:t>
      </w:r>
      <w:r w:rsidR="002039EC" w:rsidRPr="00E02FD7">
        <w:rPr>
          <w:sz w:val="24"/>
          <w:szCs w:val="24"/>
        </w:rPr>
        <w:t xml:space="preserve"> Further, admission to the medical or surgical unit was not always reflective of </w:t>
      </w:r>
      <w:r w:rsidR="008D2EB8" w:rsidRPr="00E02FD7">
        <w:rPr>
          <w:sz w:val="24"/>
          <w:szCs w:val="24"/>
        </w:rPr>
        <w:t>a patient’s condition as beds were used flexibly to meet demand. Despite this limitation, d</w:t>
      </w:r>
      <w:r w:rsidR="0031584B" w:rsidRPr="00E02FD7">
        <w:rPr>
          <w:sz w:val="24"/>
          <w:szCs w:val="24"/>
        </w:rPr>
        <w:t xml:space="preserve">efining sub-populations of critical care (for example medical vs surgical, ventilated vs non-ventilated) that may benefit most from such an intervention </w:t>
      </w:r>
      <w:r w:rsidR="008D2EB8" w:rsidRPr="00E02FD7">
        <w:rPr>
          <w:sz w:val="24"/>
          <w:szCs w:val="24"/>
        </w:rPr>
        <w:t xml:space="preserve">remains </w:t>
      </w:r>
      <w:r w:rsidR="0031584B" w:rsidRPr="00E02FD7">
        <w:rPr>
          <w:sz w:val="24"/>
          <w:szCs w:val="24"/>
        </w:rPr>
        <w:t xml:space="preserve">an important future consideration, particularly where resources are limited. </w:t>
      </w:r>
    </w:p>
    <w:p w:rsidR="00DC2738" w:rsidRPr="00E02FD7" w:rsidRDefault="00DC2738" w:rsidP="00E02FD7">
      <w:pPr>
        <w:spacing w:line="480" w:lineRule="auto"/>
        <w:outlineLvl w:val="0"/>
        <w:rPr>
          <w:b/>
          <w:sz w:val="24"/>
          <w:szCs w:val="24"/>
        </w:rPr>
      </w:pPr>
      <w:r w:rsidRPr="00E02FD7">
        <w:rPr>
          <w:b/>
          <w:sz w:val="24"/>
          <w:szCs w:val="24"/>
        </w:rPr>
        <w:t>Future research</w:t>
      </w:r>
    </w:p>
    <w:p w:rsidR="002F31EF" w:rsidRPr="00E02FD7" w:rsidRDefault="003038FF" w:rsidP="00E02FD7">
      <w:pPr>
        <w:spacing w:line="480" w:lineRule="auto"/>
        <w:rPr>
          <w:sz w:val="24"/>
          <w:szCs w:val="24"/>
        </w:rPr>
      </w:pPr>
      <w:r w:rsidRPr="00E02FD7">
        <w:rPr>
          <w:bCs/>
          <w:sz w:val="24"/>
          <w:szCs w:val="24"/>
        </w:rPr>
        <w:t xml:space="preserve">Evaluating any </w:t>
      </w:r>
      <w:r w:rsidR="00A1104B" w:rsidRPr="00E02FD7">
        <w:rPr>
          <w:bCs/>
          <w:sz w:val="24"/>
          <w:szCs w:val="24"/>
        </w:rPr>
        <w:t>complex intervention</w:t>
      </w:r>
      <w:r w:rsidRPr="00E02FD7">
        <w:rPr>
          <w:bCs/>
          <w:sz w:val="24"/>
          <w:szCs w:val="24"/>
        </w:rPr>
        <w:t xml:space="preserve"> is</w:t>
      </w:r>
      <w:r w:rsidR="00902B46" w:rsidRPr="00E02FD7">
        <w:rPr>
          <w:bCs/>
          <w:sz w:val="24"/>
          <w:szCs w:val="24"/>
        </w:rPr>
        <w:t xml:space="preserve"> practically and </w:t>
      </w:r>
      <w:r w:rsidR="00A1104B" w:rsidRPr="00E02FD7">
        <w:rPr>
          <w:bCs/>
          <w:sz w:val="24"/>
          <w:szCs w:val="24"/>
        </w:rPr>
        <w:t>methodological</w:t>
      </w:r>
      <w:r w:rsidR="00902B46" w:rsidRPr="00E02FD7">
        <w:rPr>
          <w:bCs/>
          <w:sz w:val="24"/>
          <w:szCs w:val="24"/>
        </w:rPr>
        <w:t>ly difficult</w:t>
      </w:r>
      <w:r w:rsidR="00A1104B" w:rsidRPr="00E02FD7">
        <w:rPr>
          <w:bCs/>
          <w:sz w:val="24"/>
          <w:szCs w:val="24"/>
        </w:rPr>
        <w:t xml:space="preserve"> </w:t>
      </w:r>
      <w:r w:rsidR="007155F1" w:rsidRPr="00E02FD7">
        <w:rPr>
          <w:bCs/>
          <w:sz w:val="24"/>
          <w:szCs w:val="24"/>
        </w:rPr>
        <w:t>[</w:t>
      </w:r>
      <w:r w:rsidR="009833A8" w:rsidRPr="00E02FD7">
        <w:rPr>
          <w:bCs/>
          <w:sz w:val="24"/>
          <w:szCs w:val="24"/>
        </w:rPr>
        <w:t>3</w:t>
      </w:r>
      <w:r w:rsidR="00A124DE" w:rsidRPr="00E02FD7">
        <w:rPr>
          <w:bCs/>
          <w:sz w:val="24"/>
          <w:szCs w:val="24"/>
        </w:rPr>
        <w:t>9</w:t>
      </w:r>
      <w:r w:rsidR="007155F1" w:rsidRPr="00E02FD7">
        <w:rPr>
          <w:bCs/>
          <w:sz w:val="24"/>
          <w:szCs w:val="24"/>
        </w:rPr>
        <w:t>]</w:t>
      </w:r>
      <w:r w:rsidR="00A1104B" w:rsidRPr="00E02FD7">
        <w:rPr>
          <w:sz w:val="24"/>
          <w:szCs w:val="24"/>
        </w:rPr>
        <w:t xml:space="preserve">. </w:t>
      </w:r>
      <w:r w:rsidR="007C254D" w:rsidRPr="00E02FD7">
        <w:rPr>
          <w:sz w:val="24"/>
          <w:szCs w:val="24"/>
        </w:rPr>
        <w:t>UCCDIP contain</w:t>
      </w:r>
      <w:r w:rsidR="00902B46" w:rsidRPr="00E02FD7">
        <w:rPr>
          <w:sz w:val="24"/>
          <w:szCs w:val="24"/>
        </w:rPr>
        <w:t>s</w:t>
      </w:r>
      <w:r w:rsidR="007C254D" w:rsidRPr="00E02FD7">
        <w:rPr>
          <w:sz w:val="24"/>
          <w:szCs w:val="24"/>
        </w:rPr>
        <w:t xml:space="preserve"> a number of different components, making it difficult to </w:t>
      </w:r>
      <w:r w:rsidR="00036CD9" w:rsidRPr="00E02FD7">
        <w:rPr>
          <w:sz w:val="24"/>
          <w:szCs w:val="24"/>
        </w:rPr>
        <w:t xml:space="preserve">isolate </w:t>
      </w:r>
      <w:r w:rsidR="007C254D" w:rsidRPr="00E02FD7">
        <w:rPr>
          <w:sz w:val="24"/>
          <w:szCs w:val="24"/>
        </w:rPr>
        <w:t xml:space="preserve">those aspects likely to be most effective. </w:t>
      </w:r>
      <w:r w:rsidR="002F31EF" w:rsidRPr="00E02FD7">
        <w:rPr>
          <w:sz w:val="24"/>
          <w:szCs w:val="24"/>
        </w:rPr>
        <w:t xml:space="preserve">Although </w:t>
      </w:r>
      <w:r w:rsidR="00163054" w:rsidRPr="00E02FD7">
        <w:rPr>
          <w:sz w:val="24"/>
          <w:szCs w:val="24"/>
        </w:rPr>
        <w:t xml:space="preserve">findings from the questionnaire survey suggest that </w:t>
      </w:r>
      <w:r w:rsidR="002F31EF" w:rsidRPr="00E02FD7">
        <w:rPr>
          <w:sz w:val="24"/>
          <w:szCs w:val="24"/>
        </w:rPr>
        <w:t>the patient discharge summary was considered valuable</w:t>
      </w:r>
      <w:r w:rsidR="007155F1" w:rsidRPr="00E02FD7">
        <w:rPr>
          <w:sz w:val="24"/>
          <w:szCs w:val="24"/>
        </w:rPr>
        <w:t xml:space="preserve"> [</w:t>
      </w:r>
      <w:r w:rsidR="009833A8" w:rsidRPr="00E02FD7">
        <w:rPr>
          <w:sz w:val="24"/>
          <w:szCs w:val="24"/>
        </w:rPr>
        <w:t>32</w:t>
      </w:r>
      <w:r w:rsidR="007155F1" w:rsidRPr="00E02FD7">
        <w:rPr>
          <w:sz w:val="24"/>
          <w:szCs w:val="24"/>
        </w:rPr>
        <w:t>]</w:t>
      </w:r>
      <w:r w:rsidR="002F31EF" w:rsidRPr="00E02FD7">
        <w:rPr>
          <w:sz w:val="24"/>
          <w:szCs w:val="24"/>
        </w:rPr>
        <w:t xml:space="preserve">, future research is required to examine its effectiveness as a stand-alone intervention. </w:t>
      </w:r>
    </w:p>
    <w:p w:rsidR="007C254D" w:rsidRPr="00E02FD7" w:rsidRDefault="004C3932" w:rsidP="00E02FD7">
      <w:pPr>
        <w:spacing w:line="480" w:lineRule="auto"/>
        <w:rPr>
          <w:sz w:val="24"/>
          <w:szCs w:val="24"/>
        </w:rPr>
      </w:pPr>
      <w:r w:rsidRPr="00E02FD7">
        <w:rPr>
          <w:sz w:val="24"/>
          <w:szCs w:val="24"/>
        </w:rPr>
        <w:t xml:space="preserve">In this trial, the patients and relatives in all clusters received ad-hoc verbal information as part of usual care practice. </w:t>
      </w:r>
      <w:r w:rsidR="00E27BDE" w:rsidRPr="00E02FD7">
        <w:rPr>
          <w:sz w:val="24"/>
          <w:szCs w:val="24"/>
        </w:rPr>
        <w:t xml:space="preserve">Ad-hoc information delivery can be inconsistent and </w:t>
      </w:r>
      <w:r w:rsidR="008A6BFD" w:rsidRPr="00E02FD7">
        <w:rPr>
          <w:sz w:val="24"/>
          <w:szCs w:val="24"/>
        </w:rPr>
        <w:t xml:space="preserve">its </w:t>
      </w:r>
      <w:r w:rsidR="00E27BDE" w:rsidRPr="00E02FD7">
        <w:rPr>
          <w:sz w:val="24"/>
          <w:szCs w:val="24"/>
        </w:rPr>
        <w:t xml:space="preserve">quality can differ between health care professionals. </w:t>
      </w:r>
      <w:r w:rsidR="00036CD9" w:rsidRPr="00E02FD7">
        <w:rPr>
          <w:sz w:val="24"/>
          <w:szCs w:val="24"/>
        </w:rPr>
        <w:t xml:space="preserve">As in </w:t>
      </w:r>
      <w:r w:rsidR="001C3E02" w:rsidRPr="00E02FD7">
        <w:rPr>
          <w:sz w:val="24"/>
          <w:szCs w:val="24"/>
        </w:rPr>
        <w:t xml:space="preserve">other </w:t>
      </w:r>
      <w:r w:rsidR="007C254D" w:rsidRPr="00E02FD7">
        <w:rPr>
          <w:sz w:val="24"/>
          <w:szCs w:val="24"/>
        </w:rPr>
        <w:t>studies</w:t>
      </w:r>
      <w:r w:rsidR="00FF536D" w:rsidRPr="00E02FD7">
        <w:rPr>
          <w:sz w:val="24"/>
          <w:szCs w:val="24"/>
        </w:rPr>
        <w:t xml:space="preserve"> [13</w:t>
      </w:r>
      <w:r w:rsidR="002D6871" w:rsidRPr="00E02FD7">
        <w:rPr>
          <w:sz w:val="24"/>
          <w:szCs w:val="24"/>
        </w:rPr>
        <w:t>-1</w:t>
      </w:r>
      <w:r w:rsidR="00CC1329" w:rsidRPr="00E02FD7">
        <w:rPr>
          <w:sz w:val="24"/>
          <w:szCs w:val="24"/>
        </w:rPr>
        <w:t>5</w:t>
      </w:r>
      <w:r w:rsidR="00FF536D" w:rsidRPr="00E02FD7">
        <w:rPr>
          <w:sz w:val="24"/>
          <w:szCs w:val="24"/>
        </w:rPr>
        <w:t>]</w:t>
      </w:r>
      <w:r w:rsidR="007C254D" w:rsidRPr="00E02FD7">
        <w:rPr>
          <w:sz w:val="24"/>
          <w:szCs w:val="24"/>
        </w:rPr>
        <w:t xml:space="preserve">, it was unclear who was delivering the ‘ad-hoc’ verbal information </w:t>
      </w:r>
      <w:r w:rsidR="004033EC" w:rsidRPr="00E02FD7">
        <w:rPr>
          <w:sz w:val="24"/>
          <w:szCs w:val="24"/>
        </w:rPr>
        <w:t>during our trial</w:t>
      </w:r>
      <w:r w:rsidR="002C100E" w:rsidRPr="00E02FD7">
        <w:rPr>
          <w:sz w:val="24"/>
          <w:szCs w:val="24"/>
        </w:rPr>
        <w:t xml:space="preserve">, what was being said </w:t>
      </w:r>
      <w:r w:rsidR="007C254D" w:rsidRPr="00E02FD7">
        <w:rPr>
          <w:sz w:val="24"/>
          <w:szCs w:val="24"/>
        </w:rPr>
        <w:t>or whether it was actually provided at all.</w:t>
      </w:r>
      <w:r w:rsidR="002C100E" w:rsidRPr="00E02FD7">
        <w:rPr>
          <w:sz w:val="24"/>
          <w:szCs w:val="24"/>
        </w:rPr>
        <w:t xml:space="preserve"> </w:t>
      </w:r>
      <w:r w:rsidR="007C254D" w:rsidRPr="00E02FD7">
        <w:rPr>
          <w:sz w:val="24"/>
          <w:szCs w:val="24"/>
        </w:rPr>
        <w:t xml:space="preserve">Although challenging, attention to qualifying and quantifying these data is a recommendation for further research. </w:t>
      </w:r>
    </w:p>
    <w:p w:rsidR="0020301F" w:rsidRPr="00E02FD7" w:rsidRDefault="00157255" w:rsidP="00E02FD7">
      <w:pPr>
        <w:autoSpaceDE w:val="0"/>
        <w:autoSpaceDN w:val="0"/>
        <w:adjustRightInd w:val="0"/>
        <w:spacing w:line="480" w:lineRule="auto"/>
        <w:rPr>
          <w:sz w:val="24"/>
          <w:szCs w:val="24"/>
        </w:rPr>
      </w:pPr>
      <w:r w:rsidRPr="00E02FD7">
        <w:rPr>
          <w:sz w:val="24"/>
          <w:szCs w:val="24"/>
        </w:rPr>
        <w:t>T</w:t>
      </w:r>
      <w:r w:rsidR="00A05FD2" w:rsidRPr="00E02FD7">
        <w:rPr>
          <w:sz w:val="24"/>
          <w:szCs w:val="24"/>
        </w:rPr>
        <w:t>he</w:t>
      </w:r>
      <w:r w:rsidR="00FF1A0C" w:rsidRPr="00E02FD7">
        <w:rPr>
          <w:rFonts w:eastAsia="Calibri" w:cs="Times New Roman"/>
          <w:sz w:val="24"/>
          <w:szCs w:val="24"/>
        </w:rPr>
        <w:t xml:space="preserve"> high prevalence of anxiety and depression </w:t>
      </w:r>
      <w:r w:rsidR="00E54F68" w:rsidRPr="00E02FD7">
        <w:rPr>
          <w:rFonts w:eastAsia="Calibri" w:cs="Times New Roman"/>
          <w:sz w:val="24"/>
          <w:szCs w:val="24"/>
        </w:rPr>
        <w:t>experienced by patients and their families</w:t>
      </w:r>
      <w:r w:rsidR="003E6B3A" w:rsidRPr="00E02FD7">
        <w:rPr>
          <w:rFonts w:eastAsia="Calibri" w:cs="Times New Roman"/>
          <w:sz w:val="24"/>
          <w:szCs w:val="24"/>
        </w:rPr>
        <w:t xml:space="preserve"> in our study</w:t>
      </w:r>
      <w:r w:rsidR="00FF1A0C" w:rsidRPr="00E02FD7">
        <w:rPr>
          <w:rFonts w:eastAsia="Calibri" w:cs="Times New Roman"/>
          <w:sz w:val="24"/>
          <w:szCs w:val="24"/>
        </w:rPr>
        <w:t xml:space="preserve"> </w:t>
      </w:r>
      <w:r w:rsidR="00E54F68" w:rsidRPr="00E02FD7">
        <w:rPr>
          <w:rFonts w:eastAsia="Calibri" w:cs="Times New Roman"/>
          <w:sz w:val="24"/>
          <w:szCs w:val="24"/>
        </w:rPr>
        <w:t xml:space="preserve">suggests that </w:t>
      </w:r>
      <w:r w:rsidR="00181142" w:rsidRPr="00E02FD7">
        <w:rPr>
          <w:rFonts w:cs="Times New Roman"/>
          <w:sz w:val="24"/>
          <w:szCs w:val="24"/>
        </w:rPr>
        <w:t>a higher threshold (≥11)</w:t>
      </w:r>
      <w:r w:rsidR="00D07F74" w:rsidRPr="00E02FD7">
        <w:rPr>
          <w:rFonts w:cs="Times New Roman"/>
          <w:sz w:val="24"/>
          <w:szCs w:val="24"/>
        </w:rPr>
        <w:t xml:space="preserve"> </w:t>
      </w:r>
      <w:r w:rsidR="006846FA" w:rsidRPr="00E02FD7">
        <w:rPr>
          <w:rFonts w:eastAsia="Calibri" w:cs="Times New Roman"/>
          <w:sz w:val="24"/>
          <w:szCs w:val="24"/>
        </w:rPr>
        <w:t>on the HADS tool</w:t>
      </w:r>
      <w:r w:rsidR="00D07F74" w:rsidRPr="00E02FD7">
        <w:rPr>
          <w:rFonts w:eastAsia="Calibri" w:cs="Times New Roman"/>
          <w:sz w:val="24"/>
          <w:szCs w:val="24"/>
        </w:rPr>
        <w:t>,</w:t>
      </w:r>
      <w:r w:rsidR="00D07F74" w:rsidRPr="00E02FD7">
        <w:rPr>
          <w:rFonts w:cs="Times New Roman"/>
          <w:sz w:val="24"/>
          <w:szCs w:val="24"/>
        </w:rPr>
        <w:t xml:space="preserve"> as used by other researchers [1</w:t>
      </w:r>
      <w:r w:rsidR="00CC1329" w:rsidRPr="00E02FD7">
        <w:rPr>
          <w:rFonts w:cs="Times New Roman"/>
          <w:sz w:val="24"/>
          <w:szCs w:val="24"/>
        </w:rPr>
        <w:t>2</w:t>
      </w:r>
      <w:r w:rsidR="00D07F74" w:rsidRPr="00E02FD7">
        <w:rPr>
          <w:rFonts w:cs="Times New Roman"/>
          <w:sz w:val="24"/>
          <w:szCs w:val="24"/>
        </w:rPr>
        <w:t>,</w:t>
      </w:r>
      <w:r w:rsidR="00A90F63" w:rsidRPr="00E02FD7">
        <w:rPr>
          <w:rFonts w:cs="Times New Roman"/>
          <w:sz w:val="24"/>
          <w:szCs w:val="24"/>
        </w:rPr>
        <w:t xml:space="preserve"> </w:t>
      </w:r>
      <w:r w:rsidR="009833A8" w:rsidRPr="00E02FD7">
        <w:rPr>
          <w:rFonts w:cs="Times New Roman"/>
          <w:sz w:val="24"/>
          <w:szCs w:val="24"/>
        </w:rPr>
        <w:t>4</w:t>
      </w:r>
      <w:r w:rsidR="00A124DE" w:rsidRPr="00E02FD7">
        <w:rPr>
          <w:rFonts w:cs="Times New Roman"/>
          <w:sz w:val="24"/>
          <w:szCs w:val="24"/>
        </w:rPr>
        <w:t>6</w:t>
      </w:r>
      <w:r w:rsidR="009833A8" w:rsidRPr="00E02FD7">
        <w:rPr>
          <w:rFonts w:cs="Times New Roman"/>
          <w:sz w:val="24"/>
          <w:szCs w:val="24"/>
        </w:rPr>
        <w:t>, 4</w:t>
      </w:r>
      <w:r w:rsidR="00A124DE" w:rsidRPr="00E02FD7">
        <w:rPr>
          <w:rFonts w:cs="Times New Roman"/>
          <w:sz w:val="24"/>
          <w:szCs w:val="24"/>
        </w:rPr>
        <w:t>7</w:t>
      </w:r>
      <w:r w:rsidR="00D07F74" w:rsidRPr="00E02FD7">
        <w:rPr>
          <w:rFonts w:cs="Times New Roman"/>
          <w:sz w:val="24"/>
          <w:szCs w:val="24"/>
        </w:rPr>
        <w:t xml:space="preserve">] </w:t>
      </w:r>
      <w:r w:rsidR="00E54F68" w:rsidRPr="00E02FD7">
        <w:rPr>
          <w:rFonts w:eastAsia="Calibri" w:cs="Times New Roman"/>
          <w:sz w:val="24"/>
          <w:szCs w:val="24"/>
        </w:rPr>
        <w:t xml:space="preserve">is </w:t>
      </w:r>
      <w:r w:rsidR="00181142" w:rsidRPr="00E02FD7">
        <w:rPr>
          <w:rFonts w:eastAsia="Calibri" w:cs="Times New Roman"/>
          <w:sz w:val="24"/>
          <w:szCs w:val="24"/>
        </w:rPr>
        <w:t>required</w:t>
      </w:r>
      <w:r w:rsidR="00E54F68" w:rsidRPr="00E02FD7">
        <w:rPr>
          <w:rFonts w:eastAsia="Calibri" w:cs="Times New Roman"/>
          <w:sz w:val="24"/>
          <w:szCs w:val="24"/>
        </w:rPr>
        <w:t xml:space="preserve"> </w:t>
      </w:r>
      <w:r w:rsidR="00FF1A0C" w:rsidRPr="00E02FD7">
        <w:rPr>
          <w:rFonts w:eastAsia="Calibri" w:cs="Times New Roman"/>
          <w:sz w:val="24"/>
          <w:szCs w:val="24"/>
        </w:rPr>
        <w:t xml:space="preserve">to differentiate the effects of </w:t>
      </w:r>
      <w:r w:rsidR="00A05FD2" w:rsidRPr="00E02FD7">
        <w:rPr>
          <w:rFonts w:eastAsia="Calibri" w:cs="Times New Roman"/>
          <w:sz w:val="24"/>
          <w:szCs w:val="24"/>
        </w:rPr>
        <w:t xml:space="preserve">interventions such as </w:t>
      </w:r>
      <w:r w:rsidR="00FF1A0C" w:rsidRPr="00E02FD7">
        <w:rPr>
          <w:rFonts w:eastAsia="Calibri" w:cs="Times New Roman"/>
          <w:sz w:val="24"/>
          <w:szCs w:val="24"/>
        </w:rPr>
        <w:t>UCCDIP on participants</w:t>
      </w:r>
      <w:r w:rsidR="00FF1A0C" w:rsidRPr="00E02FD7">
        <w:rPr>
          <w:rFonts w:cs="Times New Roman"/>
          <w:sz w:val="24"/>
          <w:szCs w:val="24"/>
        </w:rPr>
        <w:t xml:space="preserve">. </w:t>
      </w:r>
      <w:r w:rsidR="003E6B3A" w:rsidRPr="00E02FD7">
        <w:rPr>
          <w:rFonts w:cs="Times New Roman"/>
          <w:sz w:val="24"/>
          <w:szCs w:val="24"/>
        </w:rPr>
        <w:t>T</w:t>
      </w:r>
      <w:r w:rsidR="00E54F68" w:rsidRPr="00E02FD7">
        <w:rPr>
          <w:rFonts w:cs="Times New Roman"/>
          <w:sz w:val="24"/>
          <w:szCs w:val="24"/>
        </w:rPr>
        <w:t>he relationship</w:t>
      </w:r>
      <w:r w:rsidR="00FF1A0C" w:rsidRPr="00E02FD7">
        <w:rPr>
          <w:rFonts w:cs="Times New Roman"/>
          <w:sz w:val="24"/>
          <w:szCs w:val="24"/>
        </w:rPr>
        <w:t xml:space="preserve"> between emotional status, cognitive appraisal and coping behaviours is complex and individuali</w:t>
      </w:r>
      <w:r w:rsidR="00AC61B5" w:rsidRPr="00E02FD7">
        <w:rPr>
          <w:rFonts w:cs="Times New Roman"/>
          <w:sz w:val="24"/>
          <w:szCs w:val="24"/>
        </w:rPr>
        <w:t>z</w:t>
      </w:r>
      <w:r w:rsidR="00FF1A0C" w:rsidRPr="00E02FD7">
        <w:rPr>
          <w:rFonts w:cs="Times New Roman"/>
          <w:sz w:val="24"/>
          <w:szCs w:val="24"/>
        </w:rPr>
        <w:t>ed</w:t>
      </w:r>
      <w:r w:rsidR="00E54F68" w:rsidRPr="00E02FD7">
        <w:rPr>
          <w:rFonts w:cs="Times New Roman"/>
          <w:sz w:val="24"/>
          <w:szCs w:val="24"/>
        </w:rPr>
        <w:t xml:space="preserve">. </w:t>
      </w:r>
      <w:r w:rsidR="00D07F74" w:rsidRPr="00E02FD7">
        <w:rPr>
          <w:rFonts w:cs="Times New Roman"/>
          <w:sz w:val="24"/>
          <w:szCs w:val="24"/>
        </w:rPr>
        <w:t>O</w:t>
      </w:r>
      <w:r w:rsidR="00FF1A0C" w:rsidRPr="00E02FD7">
        <w:rPr>
          <w:rFonts w:cs="Times New Roman"/>
          <w:sz w:val="24"/>
          <w:szCs w:val="24"/>
        </w:rPr>
        <w:t>utcome assessment measure</w:t>
      </w:r>
      <w:r w:rsidR="00E54F68" w:rsidRPr="00E02FD7">
        <w:rPr>
          <w:rFonts w:cs="Times New Roman"/>
          <w:sz w:val="24"/>
          <w:szCs w:val="24"/>
        </w:rPr>
        <w:t>s</w:t>
      </w:r>
      <w:r w:rsidR="00A05FD2" w:rsidRPr="00E02FD7">
        <w:rPr>
          <w:rFonts w:cs="Times New Roman"/>
          <w:sz w:val="24"/>
          <w:szCs w:val="24"/>
        </w:rPr>
        <w:t>, more closely aligned with the theoretical basis of the intervention (in this case self-regulation theory)</w:t>
      </w:r>
      <w:r w:rsidR="00FF1A0C" w:rsidRPr="00E02FD7">
        <w:rPr>
          <w:rFonts w:cs="Times New Roman"/>
          <w:sz w:val="24"/>
          <w:szCs w:val="24"/>
        </w:rPr>
        <w:t xml:space="preserve"> </w:t>
      </w:r>
      <w:r w:rsidR="00E54F68" w:rsidRPr="00E02FD7">
        <w:rPr>
          <w:rFonts w:cs="Times New Roman"/>
          <w:sz w:val="24"/>
          <w:szCs w:val="24"/>
        </w:rPr>
        <w:t>may</w:t>
      </w:r>
      <w:r w:rsidR="00A05FD2" w:rsidRPr="00E02FD7">
        <w:rPr>
          <w:rFonts w:cs="Times New Roman"/>
          <w:sz w:val="24"/>
          <w:szCs w:val="24"/>
        </w:rPr>
        <w:t>, therefore,</w:t>
      </w:r>
      <w:r w:rsidR="00E54F68" w:rsidRPr="00E02FD7">
        <w:rPr>
          <w:rFonts w:cs="Times New Roman"/>
          <w:sz w:val="24"/>
          <w:szCs w:val="24"/>
        </w:rPr>
        <w:t xml:space="preserve"> be </w:t>
      </w:r>
      <w:r w:rsidR="00A05FD2" w:rsidRPr="00E02FD7">
        <w:rPr>
          <w:rFonts w:cs="Times New Roman"/>
          <w:sz w:val="24"/>
          <w:szCs w:val="24"/>
        </w:rPr>
        <w:t xml:space="preserve">better suited </w:t>
      </w:r>
      <w:r w:rsidR="00E54F68" w:rsidRPr="00E02FD7">
        <w:rPr>
          <w:rFonts w:cs="Times New Roman"/>
          <w:sz w:val="24"/>
          <w:szCs w:val="24"/>
        </w:rPr>
        <w:t>to evaluate information interventions in recovering critically ill patients</w:t>
      </w:r>
      <w:r w:rsidR="00FF1A0C" w:rsidRPr="00E02FD7">
        <w:rPr>
          <w:rFonts w:cs="Times New Roman"/>
          <w:sz w:val="24"/>
          <w:szCs w:val="24"/>
        </w:rPr>
        <w:t xml:space="preserve">. </w:t>
      </w:r>
      <w:r w:rsidR="009833A8" w:rsidRPr="00E02FD7">
        <w:rPr>
          <w:sz w:val="24"/>
          <w:szCs w:val="24"/>
        </w:rPr>
        <w:t>D</w:t>
      </w:r>
      <w:r w:rsidR="0020301F" w:rsidRPr="00E02FD7">
        <w:rPr>
          <w:sz w:val="24"/>
          <w:szCs w:val="24"/>
        </w:rPr>
        <w:t xml:space="preserve">evelopment of a validated tool </w:t>
      </w:r>
      <w:r w:rsidR="00FF1A0C" w:rsidRPr="00E02FD7">
        <w:rPr>
          <w:sz w:val="24"/>
          <w:szCs w:val="24"/>
        </w:rPr>
        <w:t>to provide more rigorous data to support th</w:t>
      </w:r>
      <w:r w:rsidRPr="00E02FD7">
        <w:rPr>
          <w:sz w:val="24"/>
          <w:szCs w:val="24"/>
        </w:rPr>
        <w:t xml:space="preserve">e positive views of UCCDIP reported in the </w:t>
      </w:r>
      <w:r w:rsidR="009833A8" w:rsidRPr="00E02FD7">
        <w:rPr>
          <w:sz w:val="24"/>
          <w:szCs w:val="24"/>
        </w:rPr>
        <w:t xml:space="preserve">locally designed </w:t>
      </w:r>
      <w:r w:rsidRPr="00E02FD7">
        <w:rPr>
          <w:sz w:val="24"/>
          <w:szCs w:val="24"/>
        </w:rPr>
        <w:t xml:space="preserve">questionnaire survey </w:t>
      </w:r>
      <w:r w:rsidR="002850EA" w:rsidRPr="00E02FD7">
        <w:rPr>
          <w:sz w:val="24"/>
          <w:szCs w:val="24"/>
        </w:rPr>
        <w:t>[3</w:t>
      </w:r>
      <w:r w:rsidR="00D46A97" w:rsidRPr="00E02FD7">
        <w:rPr>
          <w:sz w:val="24"/>
          <w:szCs w:val="24"/>
        </w:rPr>
        <w:t>2</w:t>
      </w:r>
      <w:r w:rsidR="002850EA" w:rsidRPr="00E02FD7">
        <w:rPr>
          <w:sz w:val="24"/>
          <w:szCs w:val="24"/>
        </w:rPr>
        <w:t xml:space="preserve">] </w:t>
      </w:r>
      <w:r w:rsidR="006846FA" w:rsidRPr="00E02FD7">
        <w:rPr>
          <w:sz w:val="24"/>
          <w:szCs w:val="24"/>
        </w:rPr>
        <w:t>is also required</w:t>
      </w:r>
      <w:r w:rsidR="00FF1A0C" w:rsidRPr="00E02FD7">
        <w:rPr>
          <w:sz w:val="24"/>
          <w:szCs w:val="24"/>
        </w:rPr>
        <w:t>.</w:t>
      </w:r>
    </w:p>
    <w:p w:rsidR="003E6B3A" w:rsidRPr="00E02FD7" w:rsidRDefault="00764AD3" w:rsidP="00E02FD7">
      <w:pPr>
        <w:spacing w:line="480" w:lineRule="auto"/>
        <w:outlineLvl w:val="0"/>
        <w:rPr>
          <w:rFonts w:eastAsia="Times New Roman" w:cs="Tahoma"/>
          <w:color w:val="000000"/>
          <w:sz w:val="24"/>
          <w:szCs w:val="24"/>
        </w:rPr>
      </w:pPr>
      <w:r w:rsidRPr="00E02FD7">
        <w:rPr>
          <w:sz w:val="24"/>
          <w:szCs w:val="24"/>
        </w:rPr>
        <w:t>Our data collection points were specifically chosen to identify any early effe</w:t>
      </w:r>
      <w:r w:rsidR="00281604" w:rsidRPr="00E02FD7">
        <w:rPr>
          <w:sz w:val="24"/>
          <w:szCs w:val="24"/>
        </w:rPr>
        <w:t>cts of the intervention on psychological well-being</w:t>
      </w:r>
      <w:r w:rsidRPr="00E02FD7">
        <w:rPr>
          <w:sz w:val="24"/>
          <w:szCs w:val="24"/>
        </w:rPr>
        <w:t xml:space="preserve"> that might influence ongoing recovery. </w:t>
      </w:r>
      <w:r w:rsidR="00281604" w:rsidRPr="00E02FD7">
        <w:rPr>
          <w:sz w:val="24"/>
          <w:szCs w:val="24"/>
        </w:rPr>
        <w:t>However, t</w:t>
      </w:r>
      <w:r w:rsidR="004C3932" w:rsidRPr="00E02FD7">
        <w:rPr>
          <w:sz w:val="24"/>
          <w:szCs w:val="24"/>
        </w:rPr>
        <w:t>he e</w:t>
      </w:r>
      <w:r w:rsidR="00C96A5E" w:rsidRPr="00E02FD7">
        <w:rPr>
          <w:sz w:val="24"/>
          <w:szCs w:val="24"/>
        </w:rPr>
        <w:t xml:space="preserve">ffects </w:t>
      </w:r>
      <w:r w:rsidR="004C3932" w:rsidRPr="00E02FD7">
        <w:rPr>
          <w:sz w:val="24"/>
          <w:szCs w:val="24"/>
        </w:rPr>
        <w:t xml:space="preserve">of our intervention </w:t>
      </w:r>
      <w:r w:rsidR="00C96A5E" w:rsidRPr="00E02FD7">
        <w:rPr>
          <w:sz w:val="24"/>
          <w:szCs w:val="24"/>
        </w:rPr>
        <w:t xml:space="preserve">on </w:t>
      </w:r>
      <w:r w:rsidR="004C3932" w:rsidRPr="00E02FD7">
        <w:rPr>
          <w:sz w:val="24"/>
          <w:szCs w:val="24"/>
        </w:rPr>
        <w:t>patients</w:t>
      </w:r>
      <w:r w:rsidR="00163054" w:rsidRPr="00E02FD7">
        <w:rPr>
          <w:sz w:val="24"/>
          <w:szCs w:val="24"/>
        </w:rPr>
        <w:t>’</w:t>
      </w:r>
      <w:r w:rsidR="004C3932" w:rsidRPr="00E02FD7">
        <w:rPr>
          <w:sz w:val="24"/>
          <w:szCs w:val="24"/>
        </w:rPr>
        <w:t xml:space="preserve"> and relatives’ </w:t>
      </w:r>
      <w:r w:rsidR="00C96A5E" w:rsidRPr="00E02FD7">
        <w:rPr>
          <w:sz w:val="24"/>
          <w:szCs w:val="24"/>
        </w:rPr>
        <w:t xml:space="preserve">perceived </w:t>
      </w:r>
      <w:proofErr w:type="gramStart"/>
      <w:r w:rsidR="00C96A5E" w:rsidRPr="00E02FD7">
        <w:rPr>
          <w:sz w:val="24"/>
          <w:szCs w:val="24"/>
        </w:rPr>
        <w:t>anxiety,</w:t>
      </w:r>
      <w:proofErr w:type="gramEnd"/>
      <w:r w:rsidR="00C96A5E" w:rsidRPr="00E02FD7">
        <w:rPr>
          <w:sz w:val="24"/>
          <w:szCs w:val="24"/>
        </w:rPr>
        <w:t xml:space="preserve"> depression, coping and enablement </w:t>
      </w:r>
      <w:r w:rsidR="00E457FD" w:rsidRPr="00E02FD7">
        <w:rPr>
          <w:sz w:val="24"/>
          <w:szCs w:val="24"/>
        </w:rPr>
        <w:t xml:space="preserve">may </w:t>
      </w:r>
      <w:r w:rsidR="00C96A5E" w:rsidRPr="00E02FD7">
        <w:rPr>
          <w:sz w:val="24"/>
          <w:szCs w:val="24"/>
        </w:rPr>
        <w:t xml:space="preserve">not </w:t>
      </w:r>
      <w:r w:rsidR="00E457FD" w:rsidRPr="00E02FD7">
        <w:rPr>
          <w:sz w:val="24"/>
          <w:szCs w:val="24"/>
        </w:rPr>
        <w:t xml:space="preserve">have </w:t>
      </w:r>
      <w:r w:rsidR="00DB2ABA" w:rsidRPr="00E02FD7">
        <w:rPr>
          <w:sz w:val="24"/>
          <w:szCs w:val="24"/>
        </w:rPr>
        <w:t>be</w:t>
      </w:r>
      <w:r w:rsidR="00E457FD" w:rsidRPr="00E02FD7">
        <w:rPr>
          <w:sz w:val="24"/>
          <w:szCs w:val="24"/>
        </w:rPr>
        <w:t>en</w:t>
      </w:r>
      <w:r w:rsidR="00C96A5E" w:rsidRPr="00E02FD7">
        <w:rPr>
          <w:sz w:val="24"/>
          <w:szCs w:val="24"/>
        </w:rPr>
        <w:t xml:space="preserve"> visible </w:t>
      </w:r>
      <w:r w:rsidR="00DB2ABA" w:rsidRPr="00E02FD7">
        <w:rPr>
          <w:sz w:val="24"/>
          <w:szCs w:val="24"/>
        </w:rPr>
        <w:t>during the</w:t>
      </w:r>
      <w:r w:rsidR="00C96A5E" w:rsidRPr="00E02FD7">
        <w:rPr>
          <w:sz w:val="24"/>
          <w:szCs w:val="24"/>
        </w:rPr>
        <w:t xml:space="preserve"> early stage</w:t>
      </w:r>
      <w:r w:rsidR="00DB2ABA" w:rsidRPr="00E02FD7">
        <w:rPr>
          <w:sz w:val="24"/>
          <w:szCs w:val="24"/>
        </w:rPr>
        <w:t>s</w:t>
      </w:r>
      <w:r w:rsidR="00C96A5E" w:rsidRPr="00E02FD7">
        <w:rPr>
          <w:sz w:val="24"/>
          <w:szCs w:val="24"/>
        </w:rPr>
        <w:t xml:space="preserve"> of recovery</w:t>
      </w:r>
      <w:r w:rsidR="00604086" w:rsidRPr="00E02FD7">
        <w:rPr>
          <w:sz w:val="24"/>
          <w:szCs w:val="24"/>
        </w:rPr>
        <w:t xml:space="preserve"> [</w:t>
      </w:r>
      <w:r w:rsidR="009833A8" w:rsidRPr="00E02FD7">
        <w:rPr>
          <w:sz w:val="24"/>
          <w:szCs w:val="24"/>
        </w:rPr>
        <w:t>4</w:t>
      </w:r>
      <w:r w:rsidR="00A124DE" w:rsidRPr="00E02FD7">
        <w:rPr>
          <w:sz w:val="24"/>
          <w:szCs w:val="24"/>
        </w:rPr>
        <w:t>8</w:t>
      </w:r>
      <w:r w:rsidR="00FF536D" w:rsidRPr="00E02FD7">
        <w:rPr>
          <w:sz w:val="24"/>
          <w:szCs w:val="24"/>
        </w:rPr>
        <w:t>]</w:t>
      </w:r>
      <w:r w:rsidR="00C96A5E" w:rsidRPr="00E02FD7">
        <w:rPr>
          <w:sz w:val="24"/>
          <w:szCs w:val="24"/>
        </w:rPr>
        <w:t xml:space="preserve">. </w:t>
      </w:r>
      <w:r w:rsidR="00D07F74" w:rsidRPr="00E02FD7">
        <w:rPr>
          <w:sz w:val="24"/>
          <w:szCs w:val="24"/>
        </w:rPr>
        <w:t>A</w:t>
      </w:r>
      <w:r w:rsidR="00C96A5E" w:rsidRPr="00E02FD7">
        <w:rPr>
          <w:sz w:val="24"/>
          <w:szCs w:val="24"/>
        </w:rPr>
        <w:t xml:space="preserve"> longer follow-up period would enable both the early and on-going impact of different methods of </w:t>
      </w:r>
      <w:r w:rsidR="004A542B" w:rsidRPr="00E02FD7">
        <w:rPr>
          <w:sz w:val="24"/>
          <w:szCs w:val="24"/>
        </w:rPr>
        <w:t xml:space="preserve">ICU </w:t>
      </w:r>
      <w:r w:rsidR="00C96A5E" w:rsidRPr="00E02FD7">
        <w:rPr>
          <w:sz w:val="24"/>
          <w:szCs w:val="24"/>
        </w:rPr>
        <w:t xml:space="preserve">discharge information to be better explored. </w:t>
      </w:r>
      <w:r w:rsidR="003E6B3A" w:rsidRPr="00E02FD7">
        <w:rPr>
          <w:rFonts w:eastAsia="Times New Roman" w:cs="Tahoma"/>
          <w:color w:val="000000"/>
          <w:sz w:val="24"/>
          <w:szCs w:val="24"/>
        </w:rPr>
        <w:t xml:space="preserve">The common problem of delayed discharge from </w:t>
      </w:r>
      <w:r w:rsidR="004A542B" w:rsidRPr="00E02FD7">
        <w:rPr>
          <w:rFonts w:eastAsia="Times New Roman" w:cs="Tahoma"/>
          <w:color w:val="000000"/>
          <w:sz w:val="24"/>
          <w:szCs w:val="24"/>
        </w:rPr>
        <w:t xml:space="preserve">ICU </w:t>
      </w:r>
      <w:r w:rsidR="003E6B3A" w:rsidRPr="00E02FD7">
        <w:rPr>
          <w:rFonts w:eastAsia="Times New Roman" w:cs="Tahoma"/>
          <w:color w:val="000000"/>
          <w:sz w:val="24"/>
          <w:szCs w:val="24"/>
        </w:rPr>
        <w:t>[</w:t>
      </w:r>
      <w:r w:rsidR="009833A8" w:rsidRPr="00E02FD7">
        <w:rPr>
          <w:rFonts w:eastAsia="Times New Roman" w:cs="Tahoma"/>
          <w:color w:val="000000"/>
          <w:sz w:val="24"/>
          <w:szCs w:val="24"/>
        </w:rPr>
        <w:t>4</w:t>
      </w:r>
      <w:r w:rsidR="00A124DE" w:rsidRPr="00E02FD7">
        <w:rPr>
          <w:rFonts w:eastAsia="Times New Roman" w:cs="Tahoma"/>
          <w:color w:val="000000"/>
          <w:sz w:val="24"/>
          <w:szCs w:val="24"/>
        </w:rPr>
        <w:t>9</w:t>
      </w:r>
      <w:r w:rsidR="003E6B3A" w:rsidRPr="00E02FD7">
        <w:rPr>
          <w:rFonts w:eastAsia="Times New Roman" w:cs="Tahoma"/>
          <w:color w:val="000000"/>
          <w:sz w:val="24"/>
          <w:szCs w:val="24"/>
        </w:rPr>
        <w:t xml:space="preserve">] should also be considered. Delays can have both positive (physically stronger) and negative effects (increased dependency) on psychological well-being at the point of </w:t>
      </w:r>
      <w:r w:rsidR="004A542B" w:rsidRPr="00E02FD7">
        <w:rPr>
          <w:rFonts w:eastAsia="Times New Roman" w:cs="Tahoma"/>
          <w:color w:val="000000"/>
          <w:sz w:val="24"/>
          <w:szCs w:val="24"/>
        </w:rPr>
        <w:t xml:space="preserve">ICU </w:t>
      </w:r>
      <w:r w:rsidR="003E6B3A" w:rsidRPr="00E02FD7">
        <w:rPr>
          <w:rFonts w:eastAsia="Times New Roman" w:cs="Tahoma"/>
          <w:color w:val="000000"/>
          <w:sz w:val="24"/>
          <w:szCs w:val="24"/>
        </w:rPr>
        <w:t xml:space="preserve">discharge, and thus may have important implications for evaluating information provision. </w:t>
      </w:r>
    </w:p>
    <w:p w:rsidR="00F439E3" w:rsidRPr="00E02FD7" w:rsidRDefault="00F439E3" w:rsidP="00E02FD7">
      <w:pPr>
        <w:autoSpaceDE w:val="0"/>
        <w:autoSpaceDN w:val="0"/>
        <w:adjustRightInd w:val="0"/>
        <w:spacing w:afterLines="200" w:after="480" w:line="480" w:lineRule="auto"/>
        <w:rPr>
          <w:rFonts w:ascii="Calibri" w:hAnsi="Calibri" w:cs="Arial"/>
          <w:sz w:val="24"/>
          <w:szCs w:val="24"/>
        </w:rPr>
      </w:pPr>
      <w:r w:rsidRPr="00E02FD7">
        <w:rPr>
          <w:rFonts w:ascii="Calibri" w:hAnsi="Calibri" w:cs="Arial"/>
          <w:sz w:val="24"/>
          <w:szCs w:val="24"/>
        </w:rPr>
        <w:t>It is widely acknowledged that in complex intervention studies such as this, the risk of follow up bias is high</w:t>
      </w:r>
      <w:r w:rsidR="002850EA" w:rsidRPr="00E02FD7">
        <w:rPr>
          <w:rFonts w:ascii="Calibri" w:hAnsi="Calibri" w:cs="Arial"/>
          <w:sz w:val="24"/>
          <w:szCs w:val="24"/>
        </w:rPr>
        <w:t xml:space="preserve"> [</w:t>
      </w:r>
      <w:r w:rsidR="009833A8" w:rsidRPr="00E02FD7">
        <w:rPr>
          <w:rFonts w:ascii="Calibri" w:hAnsi="Calibri" w:cs="Arial"/>
          <w:sz w:val="24"/>
          <w:szCs w:val="24"/>
        </w:rPr>
        <w:t>3</w:t>
      </w:r>
      <w:r w:rsidR="00A124DE" w:rsidRPr="00E02FD7">
        <w:rPr>
          <w:rFonts w:ascii="Calibri" w:hAnsi="Calibri" w:cs="Arial"/>
          <w:sz w:val="24"/>
          <w:szCs w:val="24"/>
        </w:rPr>
        <w:t>9</w:t>
      </w:r>
      <w:r w:rsidR="002850EA" w:rsidRPr="00E02FD7">
        <w:rPr>
          <w:rFonts w:ascii="Calibri" w:hAnsi="Calibri" w:cs="Arial"/>
          <w:sz w:val="24"/>
          <w:szCs w:val="24"/>
        </w:rPr>
        <w:t>].</w:t>
      </w:r>
      <w:r w:rsidRPr="00E02FD7">
        <w:rPr>
          <w:rFonts w:ascii="Calibri" w:hAnsi="Calibri" w:cs="Arial"/>
          <w:sz w:val="24"/>
          <w:szCs w:val="24"/>
        </w:rPr>
        <w:t xml:space="preserve"> Reasons for low follow-up in this study were multi-factorial, but key reasons included </w:t>
      </w:r>
      <w:r w:rsidR="00635B32" w:rsidRPr="00E02FD7">
        <w:rPr>
          <w:rFonts w:ascii="Calibri" w:hAnsi="Calibri" w:cs="Arial"/>
          <w:sz w:val="24"/>
          <w:szCs w:val="24"/>
        </w:rPr>
        <w:t>patients being discharged from hospital earlier than anticipated and relatives failing to return data collection forms. These factors need to be considered in the design of future trials.</w:t>
      </w:r>
      <w:r w:rsidR="00281604" w:rsidRPr="00E02FD7">
        <w:rPr>
          <w:rFonts w:ascii="Calibri" w:hAnsi="Calibri" w:cs="Arial"/>
          <w:sz w:val="24"/>
          <w:szCs w:val="24"/>
        </w:rPr>
        <w:t xml:space="preserve"> Including relatives in the evaluation of any critical illness rehabilitation intervention is important, as the</w:t>
      </w:r>
      <w:r w:rsidR="00E84305" w:rsidRPr="00E02FD7">
        <w:rPr>
          <w:rFonts w:ascii="Calibri" w:hAnsi="Calibri" w:cs="Arial"/>
          <w:sz w:val="24"/>
          <w:szCs w:val="24"/>
        </w:rPr>
        <w:t xml:space="preserve"> family unit often </w:t>
      </w:r>
      <w:r w:rsidR="00281604" w:rsidRPr="00E02FD7">
        <w:rPr>
          <w:rFonts w:ascii="Calibri" w:hAnsi="Calibri" w:cs="Arial"/>
          <w:sz w:val="24"/>
          <w:szCs w:val="24"/>
        </w:rPr>
        <w:t>provide</w:t>
      </w:r>
      <w:r w:rsidR="00E84305" w:rsidRPr="00E02FD7">
        <w:rPr>
          <w:rFonts w:ascii="Calibri" w:hAnsi="Calibri" w:cs="Arial"/>
          <w:sz w:val="24"/>
          <w:szCs w:val="24"/>
        </w:rPr>
        <w:t>s</w:t>
      </w:r>
      <w:r w:rsidR="00281604" w:rsidRPr="00E02FD7">
        <w:rPr>
          <w:rFonts w:ascii="Calibri" w:hAnsi="Calibri" w:cs="Arial"/>
          <w:sz w:val="24"/>
          <w:szCs w:val="24"/>
        </w:rPr>
        <w:t xml:space="preserve"> substantial support to the patient and </w:t>
      </w:r>
      <w:r w:rsidR="00E84305" w:rsidRPr="00E02FD7">
        <w:rPr>
          <w:rFonts w:ascii="Calibri" w:hAnsi="Calibri" w:cs="Arial"/>
          <w:sz w:val="24"/>
          <w:szCs w:val="24"/>
        </w:rPr>
        <w:t xml:space="preserve">close relatives can </w:t>
      </w:r>
      <w:r w:rsidR="00281604" w:rsidRPr="00E02FD7">
        <w:rPr>
          <w:rFonts w:ascii="Calibri" w:hAnsi="Calibri" w:cs="Arial"/>
          <w:sz w:val="24"/>
          <w:szCs w:val="24"/>
        </w:rPr>
        <w:t xml:space="preserve">also </w:t>
      </w:r>
      <w:r w:rsidR="00056FB0" w:rsidRPr="00E02FD7">
        <w:rPr>
          <w:rFonts w:ascii="Calibri" w:hAnsi="Calibri" w:cs="Arial"/>
          <w:sz w:val="24"/>
          <w:szCs w:val="24"/>
        </w:rPr>
        <w:t xml:space="preserve">be </w:t>
      </w:r>
      <w:r w:rsidR="00281604" w:rsidRPr="00E02FD7">
        <w:rPr>
          <w:rFonts w:ascii="Calibri" w:hAnsi="Calibri" w:cs="Arial"/>
          <w:sz w:val="24"/>
          <w:szCs w:val="24"/>
        </w:rPr>
        <w:t>affected by the patient’s critical illness</w:t>
      </w:r>
      <w:r w:rsidR="00E84305" w:rsidRPr="00E02FD7">
        <w:rPr>
          <w:rFonts w:ascii="Calibri" w:hAnsi="Calibri" w:cs="Arial"/>
          <w:sz w:val="24"/>
          <w:szCs w:val="24"/>
        </w:rPr>
        <w:t xml:space="preserve"> [</w:t>
      </w:r>
      <w:r w:rsidR="00A124DE" w:rsidRPr="00E02FD7">
        <w:rPr>
          <w:rFonts w:ascii="Calibri" w:hAnsi="Calibri" w:cs="Arial"/>
          <w:sz w:val="24"/>
          <w:szCs w:val="24"/>
        </w:rPr>
        <w:t>50, 51</w:t>
      </w:r>
      <w:r w:rsidR="009833A8" w:rsidRPr="00E02FD7">
        <w:rPr>
          <w:rFonts w:ascii="Calibri" w:hAnsi="Calibri" w:cs="Arial"/>
          <w:sz w:val="24"/>
          <w:szCs w:val="24"/>
        </w:rPr>
        <w:t>]</w:t>
      </w:r>
      <w:r w:rsidR="00281604" w:rsidRPr="00E02FD7">
        <w:rPr>
          <w:rFonts w:ascii="Calibri" w:hAnsi="Calibri" w:cs="Arial"/>
          <w:sz w:val="24"/>
          <w:szCs w:val="24"/>
        </w:rPr>
        <w:t xml:space="preserve">. </w:t>
      </w:r>
      <w:r w:rsidR="00E84305" w:rsidRPr="00E02FD7">
        <w:rPr>
          <w:rFonts w:ascii="Calibri" w:hAnsi="Calibri" w:cs="Arial"/>
          <w:sz w:val="24"/>
          <w:szCs w:val="24"/>
        </w:rPr>
        <w:t>O</w:t>
      </w:r>
      <w:r w:rsidR="00281604" w:rsidRPr="00E02FD7">
        <w:rPr>
          <w:rFonts w:ascii="Calibri" w:hAnsi="Calibri" w:cs="Arial"/>
          <w:sz w:val="24"/>
          <w:szCs w:val="24"/>
        </w:rPr>
        <w:t xml:space="preserve">ur experience suggests, however, that </w:t>
      </w:r>
      <w:r w:rsidR="00E84305" w:rsidRPr="00E02FD7">
        <w:rPr>
          <w:rFonts w:ascii="Calibri" w:hAnsi="Calibri" w:cs="Arial"/>
          <w:sz w:val="24"/>
          <w:szCs w:val="24"/>
        </w:rPr>
        <w:t xml:space="preserve">once a patient leaves ICU, </w:t>
      </w:r>
      <w:r w:rsidR="00281604" w:rsidRPr="00E02FD7">
        <w:rPr>
          <w:rFonts w:ascii="Calibri" w:hAnsi="Calibri" w:cs="Arial"/>
          <w:sz w:val="24"/>
          <w:szCs w:val="24"/>
        </w:rPr>
        <w:t xml:space="preserve">it is very difficult to maintain communication with relatives and </w:t>
      </w:r>
      <w:r w:rsidR="00E84305" w:rsidRPr="00E02FD7">
        <w:rPr>
          <w:rFonts w:ascii="Calibri" w:hAnsi="Calibri" w:cs="Arial"/>
          <w:sz w:val="24"/>
          <w:szCs w:val="24"/>
        </w:rPr>
        <w:t xml:space="preserve">that </w:t>
      </w:r>
      <w:r w:rsidR="00281604" w:rsidRPr="00E02FD7">
        <w:rPr>
          <w:rFonts w:ascii="Calibri" w:hAnsi="Calibri" w:cs="Arial"/>
          <w:sz w:val="24"/>
          <w:szCs w:val="24"/>
        </w:rPr>
        <w:t xml:space="preserve">their commitment to completing study </w:t>
      </w:r>
      <w:r w:rsidR="00E84305" w:rsidRPr="00E02FD7">
        <w:rPr>
          <w:rFonts w:ascii="Calibri" w:hAnsi="Calibri" w:cs="Arial"/>
          <w:sz w:val="24"/>
          <w:szCs w:val="24"/>
        </w:rPr>
        <w:t>requirements is reduced</w:t>
      </w:r>
      <w:r w:rsidR="00281604" w:rsidRPr="00E02FD7">
        <w:rPr>
          <w:rFonts w:ascii="Calibri" w:hAnsi="Calibri" w:cs="Arial"/>
          <w:sz w:val="24"/>
          <w:szCs w:val="24"/>
        </w:rPr>
        <w:t xml:space="preserve">. </w:t>
      </w:r>
      <w:r w:rsidR="00E84305" w:rsidRPr="00E02FD7">
        <w:rPr>
          <w:rFonts w:ascii="Calibri" w:hAnsi="Calibri" w:cs="Arial"/>
          <w:sz w:val="24"/>
          <w:szCs w:val="24"/>
        </w:rPr>
        <w:t xml:space="preserve">Alternate methods of data collection, such as individual telephone interviews, may help reduce the level of attrition we experienced in this study.  </w:t>
      </w:r>
    </w:p>
    <w:p w:rsidR="006846FA" w:rsidRPr="00E02FD7" w:rsidRDefault="007E33CE" w:rsidP="00E02FD7">
      <w:pPr>
        <w:spacing w:line="480" w:lineRule="auto"/>
        <w:rPr>
          <w:sz w:val="24"/>
          <w:szCs w:val="24"/>
        </w:rPr>
      </w:pPr>
      <w:r w:rsidRPr="00E02FD7">
        <w:rPr>
          <w:sz w:val="24"/>
          <w:szCs w:val="24"/>
        </w:rPr>
        <w:t xml:space="preserve">In line with best practice recommendations, </w:t>
      </w:r>
      <w:r w:rsidR="00296015" w:rsidRPr="00E02FD7">
        <w:rPr>
          <w:sz w:val="24"/>
          <w:szCs w:val="24"/>
        </w:rPr>
        <w:t>o</w:t>
      </w:r>
      <w:r w:rsidR="00E457FD" w:rsidRPr="00E02FD7">
        <w:rPr>
          <w:sz w:val="24"/>
          <w:szCs w:val="24"/>
        </w:rPr>
        <w:t>ne of the purposes of this pilot RCT was to inform the power calculation for future work</w:t>
      </w:r>
      <w:r w:rsidR="00296015" w:rsidRPr="00E02FD7">
        <w:rPr>
          <w:sz w:val="24"/>
          <w:szCs w:val="24"/>
        </w:rPr>
        <w:t xml:space="preserve"> [</w:t>
      </w:r>
      <w:r w:rsidRPr="00E02FD7">
        <w:rPr>
          <w:sz w:val="24"/>
          <w:szCs w:val="24"/>
        </w:rPr>
        <w:t>52</w:t>
      </w:r>
      <w:r w:rsidR="00296015" w:rsidRPr="00E02FD7">
        <w:rPr>
          <w:sz w:val="24"/>
          <w:szCs w:val="24"/>
        </w:rPr>
        <w:t>]</w:t>
      </w:r>
      <w:r w:rsidR="00E457FD" w:rsidRPr="00E02FD7">
        <w:rPr>
          <w:sz w:val="24"/>
          <w:szCs w:val="24"/>
        </w:rPr>
        <w:t xml:space="preserve">. Mean HADS-A and HADS-D was 7 (SD 5) in the patient sample. Based on a power of 95% and 0.05% level of significance, to achieve an effect size of 0.4 (difference of 2), a total sample of 286 (143 in each of two groups) would be required for a definitive trial. </w:t>
      </w:r>
      <w:r w:rsidR="006846FA" w:rsidRPr="00E02FD7">
        <w:rPr>
          <w:sz w:val="24"/>
          <w:szCs w:val="24"/>
        </w:rPr>
        <w:t>The different numbers of participants recruited on each weekday (Table 1) should also be accounted for.</w:t>
      </w:r>
      <w:r w:rsidR="00181142" w:rsidRPr="00E02FD7">
        <w:rPr>
          <w:sz w:val="24"/>
          <w:szCs w:val="24"/>
        </w:rPr>
        <w:t xml:space="preserve"> </w:t>
      </w:r>
      <w:r w:rsidR="006846FA" w:rsidRPr="00E02FD7">
        <w:rPr>
          <w:sz w:val="24"/>
          <w:szCs w:val="24"/>
        </w:rPr>
        <w:t>The recruitment rates we observed suggest that this would require a multi-centre study to achieve. Given our attrition, it is difficult to judge if such a study would represent value for money although possible benefits for patients include</w:t>
      </w:r>
      <w:r w:rsidR="00181142" w:rsidRPr="00E02FD7">
        <w:rPr>
          <w:sz w:val="24"/>
          <w:szCs w:val="24"/>
        </w:rPr>
        <w:t xml:space="preserve"> an improved understanding of their critical illness experience</w:t>
      </w:r>
      <w:r w:rsidR="00DB2ABA" w:rsidRPr="00E02FD7">
        <w:rPr>
          <w:sz w:val="24"/>
          <w:szCs w:val="24"/>
        </w:rPr>
        <w:t>,</w:t>
      </w:r>
      <w:r w:rsidR="00181142" w:rsidRPr="00E02FD7">
        <w:rPr>
          <w:sz w:val="24"/>
          <w:szCs w:val="24"/>
        </w:rPr>
        <w:t xml:space="preserve"> use of more positive coping </w:t>
      </w:r>
      <w:r w:rsidR="00D07F74" w:rsidRPr="00E02FD7">
        <w:rPr>
          <w:sz w:val="24"/>
          <w:szCs w:val="24"/>
        </w:rPr>
        <w:t xml:space="preserve">strategies </w:t>
      </w:r>
      <w:r w:rsidR="00DB2ABA" w:rsidRPr="00E02FD7">
        <w:rPr>
          <w:sz w:val="24"/>
          <w:szCs w:val="24"/>
        </w:rPr>
        <w:t xml:space="preserve">and improved psychological well-being </w:t>
      </w:r>
      <w:r w:rsidR="00181142" w:rsidRPr="00E02FD7">
        <w:rPr>
          <w:sz w:val="24"/>
          <w:szCs w:val="24"/>
        </w:rPr>
        <w:t>during the rehabilitation period.</w:t>
      </w:r>
      <w:r w:rsidR="006846FA" w:rsidRPr="00E02FD7">
        <w:rPr>
          <w:sz w:val="24"/>
          <w:szCs w:val="24"/>
        </w:rPr>
        <w:t xml:space="preserve"> Considering the feasibility challenges</w:t>
      </w:r>
      <w:r w:rsidR="00D07F74" w:rsidRPr="00E02FD7">
        <w:rPr>
          <w:sz w:val="24"/>
          <w:szCs w:val="24"/>
        </w:rPr>
        <w:t xml:space="preserve"> we experienced</w:t>
      </w:r>
      <w:r w:rsidR="002850EA" w:rsidRPr="00E02FD7">
        <w:rPr>
          <w:sz w:val="24"/>
          <w:szCs w:val="24"/>
        </w:rPr>
        <w:t xml:space="preserve"> </w:t>
      </w:r>
      <w:r w:rsidR="0004113F" w:rsidRPr="00E02FD7">
        <w:rPr>
          <w:sz w:val="24"/>
          <w:szCs w:val="24"/>
        </w:rPr>
        <w:t xml:space="preserve">and have previously described </w:t>
      </w:r>
      <w:r w:rsidR="002850EA" w:rsidRPr="00E02FD7">
        <w:rPr>
          <w:sz w:val="24"/>
          <w:szCs w:val="24"/>
        </w:rPr>
        <w:t>[4</w:t>
      </w:r>
      <w:r w:rsidR="00A124DE" w:rsidRPr="00E02FD7">
        <w:rPr>
          <w:sz w:val="24"/>
          <w:szCs w:val="24"/>
        </w:rPr>
        <w:t>9</w:t>
      </w:r>
      <w:r w:rsidR="002850EA" w:rsidRPr="00E02FD7">
        <w:rPr>
          <w:sz w:val="24"/>
          <w:szCs w:val="24"/>
        </w:rPr>
        <w:t>],</w:t>
      </w:r>
      <w:r w:rsidR="006C2CEA" w:rsidRPr="00E02FD7">
        <w:rPr>
          <w:sz w:val="24"/>
          <w:szCs w:val="24"/>
        </w:rPr>
        <w:t xml:space="preserve"> </w:t>
      </w:r>
      <w:r w:rsidR="006846FA" w:rsidRPr="00E02FD7">
        <w:rPr>
          <w:sz w:val="24"/>
          <w:szCs w:val="24"/>
        </w:rPr>
        <w:t xml:space="preserve">future research could focus on assessing </w:t>
      </w:r>
      <w:r w:rsidR="00E457FD" w:rsidRPr="00E02FD7">
        <w:rPr>
          <w:sz w:val="24"/>
          <w:szCs w:val="24"/>
        </w:rPr>
        <w:t>patients</w:t>
      </w:r>
      <w:r w:rsidR="00681E82" w:rsidRPr="00E02FD7">
        <w:rPr>
          <w:sz w:val="24"/>
          <w:szCs w:val="24"/>
        </w:rPr>
        <w:t>’</w:t>
      </w:r>
      <w:r w:rsidR="00E457FD" w:rsidRPr="00E02FD7">
        <w:rPr>
          <w:sz w:val="24"/>
          <w:szCs w:val="24"/>
        </w:rPr>
        <w:t xml:space="preserve"> and relatives’ </w:t>
      </w:r>
      <w:r w:rsidR="006846FA" w:rsidRPr="00E02FD7">
        <w:rPr>
          <w:sz w:val="24"/>
          <w:szCs w:val="24"/>
        </w:rPr>
        <w:t xml:space="preserve">perceived usefulness of </w:t>
      </w:r>
      <w:r w:rsidR="00E457FD" w:rsidRPr="00E02FD7">
        <w:rPr>
          <w:sz w:val="24"/>
          <w:szCs w:val="24"/>
        </w:rPr>
        <w:t xml:space="preserve">written </w:t>
      </w:r>
      <w:r w:rsidR="006846FA" w:rsidRPr="00E02FD7">
        <w:rPr>
          <w:sz w:val="24"/>
          <w:szCs w:val="24"/>
        </w:rPr>
        <w:t xml:space="preserve">information </w:t>
      </w:r>
      <w:r w:rsidR="00E457FD" w:rsidRPr="00E02FD7">
        <w:rPr>
          <w:sz w:val="24"/>
          <w:szCs w:val="24"/>
        </w:rPr>
        <w:t xml:space="preserve">resources </w:t>
      </w:r>
      <w:r w:rsidR="006846FA" w:rsidRPr="00E02FD7">
        <w:rPr>
          <w:sz w:val="24"/>
          <w:szCs w:val="24"/>
        </w:rPr>
        <w:t>and the extent to which specific information deemed important is successfully transmitted and retained.</w:t>
      </w:r>
    </w:p>
    <w:p w:rsidR="00C81738" w:rsidRDefault="00C81738" w:rsidP="00E02FD7">
      <w:pPr>
        <w:spacing w:line="480" w:lineRule="auto"/>
        <w:outlineLvl w:val="0"/>
        <w:rPr>
          <w:b/>
          <w:sz w:val="24"/>
          <w:szCs w:val="24"/>
        </w:rPr>
      </w:pPr>
    </w:p>
    <w:p w:rsidR="00D70A95" w:rsidRPr="00E02FD7" w:rsidRDefault="00D70A95" w:rsidP="00E02FD7">
      <w:pPr>
        <w:spacing w:line="480" w:lineRule="auto"/>
        <w:outlineLvl w:val="0"/>
        <w:rPr>
          <w:b/>
          <w:sz w:val="24"/>
          <w:szCs w:val="24"/>
        </w:rPr>
      </w:pPr>
      <w:r w:rsidRPr="00E02FD7">
        <w:rPr>
          <w:b/>
          <w:sz w:val="24"/>
          <w:szCs w:val="24"/>
        </w:rPr>
        <w:t>Limitations</w:t>
      </w:r>
    </w:p>
    <w:p w:rsidR="00DA247F" w:rsidRPr="00E02FD7" w:rsidRDefault="00D70A95" w:rsidP="00E02FD7">
      <w:pPr>
        <w:spacing w:line="480" w:lineRule="auto"/>
        <w:rPr>
          <w:sz w:val="24"/>
          <w:szCs w:val="24"/>
        </w:rPr>
      </w:pPr>
      <w:r w:rsidRPr="00E02FD7">
        <w:rPr>
          <w:sz w:val="24"/>
          <w:szCs w:val="24"/>
        </w:rPr>
        <w:t>This was a single centre pilot trial, with a short follow-up period and a high rate of attrition</w:t>
      </w:r>
      <w:r w:rsidR="005A09E2" w:rsidRPr="00E02FD7">
        <w:rPr>
          <w:sz w:val="24"/>
          <w:szCs w:val="24"/>
        </w:rPr>
        <w:t xml:space="preserve"> (particularly in the sample</w:t>
      </w:r>
      <w:r w:rsidR="00E457FD" w:rsidRPr="00E02FD7">
        <w:rPr>
          <w:sz w:val="24"/>
          <w:szCs w:val="24"/>
        </w:rPr>
        <w:t xml:space="preserve"> of relatives</w:t>
      </w:r>
      <w:r w:rsidR="005A09E2" w:rsidRPr="00E02FD7">
        <w:rPr>
          <w:sz w:val="24"/>
          <w:szCs w:val="24"/>
        </w:rPr>
        <w:t>)</w:t>
      </w:r>
      <w:r w:rsidRPr="00E02FD7">
        <w:rPr>
          <w:sz w:val="24"/>
          <w:szCs w:val="24"/>
        </w:rPr>
        <w:t xml:space="preserve">. </w:t>
      </w:r>
      <w:r w:rsidR="00887989" w:rsidRPr="00E02FD7">
        <w:rPr>
          <w:sz w:val="24"/>
          <w:szCs w:val="24"/>
        </w:rPr>
        <w:t>O</w:t>
      </w:r>
      <w:r w:rsidR="00DA247F" w:rsidRPr="00E02FD7">
        <w:rPr>
          <w:sz w:val="24"/>
          <w:szCs w:val="24"/>
        </w:rPr>
        <w:t xml:space="preserve">nly </w:t>
      </w:r>
      <w:r w:rsidR="00D56E9C" w:rsidRPr="00E02FD7">
        <w:rPr>
          <w:sz w:val="24"/>
          <w:szCs w:val="24"/>
        </w:rPr>
        <w:t xml:space="preserve">recruiting </w:t>
      </w:r>
      <w:r w:rsidR="00DA247F" w:rsidRPr="00E02FD7">
        <w:rPr>
          <w:sz w:val="24"/>
          <w:szCs w:val="24"/>
        </w:rPr>
        <w:t>patients discharged during weekdays and daytime hours may have led to a selection bias</w:t>
      </w:r>
      <w:r w:rsidR="00B45D00" w:rsidRPr="00E02FD7">
        <w:rPr>
          <w:sz w:val="24"/>
          <w:szCs w:val="24"/>
        </w:rPr>
        <w:t>,</w:t>
      </w:r>
      <w:r w:rsidR="00DA247F" w:rsidRPr="00E02FD7">
        <w:rPr>
          <w:sz w:val="24"/>
          <w:szCs w:val="24"/>
        </w:rPr>
        <w:t xml:space="preserve"> as poorer outcomes </w:t>
      </w:r>
      <w:r w:rsidR="003038FF" w:rsidRPr="00E02FD7">
        <w:rPr>
          <w:sz w:val="24"/>
          <w:szCs w:val="24"/>
        </w:rPr>
        <w:t>are</w:t>
      </w:r>
      <w:r w:rsidR="00DA247F" w:rsidRPr="00E02FD7">
        <w:rPr>
          <w:sz w:val="24"/>
          <w:szCs w:val="24"/>
        </w:rPr>
        <w:t xml:space="preserve"> associated with night-time and weekend discharges</w:t>
      </w:r>
      <w:r w:rsidR="002850EA" w:rsidRPr="00E02FD7">
        <w:rPr>
          <w:sz w:val="24"/>
          <w:szCs w:val="24"/>
        </w:rPr>
        <w:t xml:space="preserve"> [1].</w:t>
      </w:r>
      <w:r w:rsidR="00DA247F" w:rsidRPr="00E02FD7">
        <w:rPr>
          <w:sz w:val="24"/>
          <w:szCs w:val="24"/>
        </w:rPr>
        <w:t xml:space="preserve"> </w:t>
      </w:r>
      <w:r w:rsidR="00F15CFC" w:rsidRPr="00E02FD7">
        <w:rPr>
          <w:sz w:val="24"/>
          <w:szCs w:val="24"/>
        </w:rPr>
        <w:t>O</w:t>
      </w:r>
      <w:r w:rsidR="00E428C4" w:rsidRPr="00E02FD7">
        <w:rPr>
          <w:sz w:val="24"/>
          <w:szCs w:val="24"/>
        </w:rPr>
        <w:t xml:space="preserve">ther </w:t>
      </w:r>
      <w:r w:rsidR="00F15CFC" w:rsidRPr="00E02FD7">
        <w:rPr>
          <w:sz w:val="24"/>
          <w:szCs w:val="24"/>
        </w:rPr>
        <w:t xml:space="preserve">potential </w:t>
      </w:r>
      <w:r w:rsidR="00E428C4" w:rsidRPr="00E02FD7">
        <w:rPr>
          <w:sz w:val="24"/>
          <w:szCs w:val="24"/>
        </w:rPr>
        <w:t xml:space="preserve">biases may </w:t>
      </w:r>
      <w:r w:rsidR="00F15CFC" w:rsidRPr="00E02FD7">
        <w:rPr>
          <w:sz w:val="24"/>
          <w:szCs w:val="24"/>
        </w:rPr>
        <w:t xml:space="preserve">also </w:t>
      </w:r>
      <w:r w:rsidR="00E428C4" w:rsidRPr="00E02FD7">
        <w:rPr>
          <w:sz w:val="24"/>
          <w:szCs w:val="24"/>
        </w:rPr>
        <w:t xml:space="preserve">have </w:t>
      </w:r>
      <w:r w:rsidR="00F15CFC" w:rsidRPr="00E02FD7">
        <w:rPr>
          <w:sz w:val="24"/>
          <w:szCs w:val="24"/>
        </w:rPr>
        <w:t>influenced our results</w:t>
      </w:r>
      <w:r w:rsidR="00E428C4" w:rsidRPr="00E02FD7">
        <w:rPr>
          <w:sz w:val="24"/>
          <w:szCs w:val="24"/>
        </w:rPr>
        <w:t xml:space="preserve">. </w:t>
      </w:r>
      <w:r w:rsidR="00F15CFC" w:rsidRPr="00E02FD7">
        <w:rPr>
          <w:sz w:val="24"/>
          <w:szCs w:val="24"/>
        </w:rPr>
        <w:t xml:space="preserve">There were </w:t>
      </w:r>
      <w:r w:rsidR="005D1020" w:rsidRPr="00E02FD7">
        <w:rPr>
          <w:sz w:val="24"/>
          <w:szCs w:val="24"/>
        </w:rPr>
        <w:t>some</w:t>
      </w:r>
      <w:r w:rsidR="00F15CFC" w:rsidRPr="00E02FD7">
        <w:rPr>
          <w:sz w:val="24"/>
          <w:szCs w:val="24"/>
        </w:rPr>
        <w:t xml:space="preserve"> pre-test differences between study groups which might have attenuated any potential benefits. </w:t>
      </w:r>
      <w:r w:rsidR="00184C9E" w:rsidRPr="00E02FD7">
        <w:rPr>
          <w:rFonts w:eastAsiaTheme="minorHAnsi"/>
          <w:sz w:val="24"/>
          <w:szCs w:val="24"/>
          <w:lang w:eastAsia="en-US"/>
        </w:rPr>
        <w:t xml:space="preserve">HADS scores were skewed and the sample was small at time-point </w:t>
      </w:r>
      <w:r w:rsidR="00A90F63" w:rsidRPr="00E02FD7">
        <w:rPr>
          <w:rFonts w:eastAsiaTheme="minorHAnsi"/>
          <w:sz w:val="24"/>
          <w:szCs w:val="24"/>
          <w:lang w:eastAsia="en-US"/>
        </w:rPr>
        <w:t>two</w:t>
      </w:r>
      <w:r w:rsidR="00184C9E" w:rsidRPr="00E02FD7">
        <w:rPr>
          <w:rFonts w:eastAsiaTheme="minorHAnsi"/>
          <w:sz w:val="24"/>
          <w:szCs w:val="24"/>
          <w:lang w:eastAsia="en-US"/>
        </w:rPr>
        <w:t xml:space="preserve">. This should be borne in mind when interpreting the statistical </w:t>
      </w:r>
      <w:r w:rsidR="00A90F63" w:rsidRPr="00E02FD7">
        <w:rPr>
          <w:rFonts w:eastAsiaTheme="minorHAnsi"/>
          <w:sz w:val="24"/>
          <w:szCs w:val="24"/>
          <w:lang w:eastAsia="en-US"/>
        </w:rPr>
        <w:t>model;</w:t>
      </w:r>
      <w:r w:rsidR="00184C9E" w:rsidRPr="00E02FD7">
        <w:rPr>
          <w:rFonts w:eastAsiaTheme="minorHAnsi"/>
          <w:sz w:val="24"/>
          <w:szCs w:val="24"/>
          <w:lang w:eastAsia="en-US"/>
        </w:rPr>
        <w:t xml:space="preserve"> however, the results were consistent whichever approach was used. </w:t>
      </w:r>
      <w:r w:rsidR="00E428C4" w:rsidRPr="00E02FD7">
        <w:rPr>
          <w:sz w:val="24"/>
          <w:szCs w:val="24"/>
        </w:rPr>
        <w:t>The</w:t>
      </w:r>
      <w:r w:rsidR="00F15CFC" w:rsidRPr="00E02FD7">
        <w:rPr>
          <w:sz w:val="24"/>
          <w:szCs w:val="24"/>
        </w:rPr>
        <w:t xml:space="preserve">re was also a </w:t>
      </w:r>
      <w:r w:rsidR="00E428C4" w:rsidRPr="00E02FD7">
        <w:rPr>
          <w:sz w:val="24"/>
          <w:szCs w:val="24"/>
        </w:rPr>
        <w:t xml:space="preserve">failure to maintain allocation concealment after recruitment of the first patient in each cluster and a possible </w:t>
      </w:r>
      <w:r w:rsidR="00163054" w:rsidRPr="00E02FD7">
        <w:rPr>
          <w:sz w:val="24"/>
          <w:szCs w:val="24"/>
        </w:rPr>
        <w:t>Hawthorne effect, w</w:t>
      </w:r>
      <w:r w:rsidR="00E428C4" w:rsidRPr="00E02FD7">
        <w:rPr>
          <w:sz w:val="24"/>
          <w:szCs w:val="24"/>
        </w:rPr>
        <w:t xml:space="preserve">here </w:t>
      </w:r>
      <w:r w:rsidR="00163054" w:rsidRPr="00E02FD7">
        <w:rPr>
          <w:sz w:val="24"/>
          <w:szCs w:val="24"/>
        </w:rPr>
        <w:t xml:space="preserve">staff </w:t>
      </w:r>
      <w:r w:rsidR="00E428C4" w:rsidRPr="00E02FD7">
        <w:rPr>
          <w:sz w:val="24"/>
          <w:szCs w:val="24"/>
        </w:rPr>
        <w:t xml:space="preserve">may have </w:t>
      </w:r>
      <w:r w:rsidR="00163054" w:rsidRPr="00E02FD7">
        <w:rPr>
          <w:sz w:val="24"/>
          <w:szCs w:val="24"/>
        </w:rPr>
        <w:t>provid</w:t>
      </w:r>
      <w:r w:rsidR="00E428C4" w:rsidRPr="00E02FD7">
        <w:rPr>
          <w:sz w:val="24"/>
          <w:szCs w:val="24"/>
        </w:rPr>
        <w:t>ed</w:t>
      </w:r>
      <w:r w:rsidR="00163054" w:rsidRPr="00E02FD7">
        <w:rPr>
          <w:sz w:val="24"/>
          <w:szCs w:val="24"/>
        </w:rPr>
        <w:t xml:space="preserve"> verbal information </w:t>
      </w:r>
      <w:r w:rsidR="00F15CFC" w:rsidRPr="00E02FD7">
        <w:rPr>
          <w:sz w:val="24"/>
          <w:szCs w:val="24"/>
        </w:rPr>
        <w:t xml:space="preserve">differently from normal </w:t>
      </w:r>
      <w:r w:rsidR="00163054" w:rsidRPr="00E02FD7">
        <w:rPr>
          <w:sz w:val="24"/>
          <w:szCs w:val="24"/>
        </w:rPr>
        <w:t>because they were aware of the nature of the study.</w:t>
      </w:r>
    </w:p>
    <w:p w:rsidR="005A09E2" w:rsidRPr="00E02FD7" w:rsidRDefault="00D70A95" w:rsidP="00E02FD7">
      <w:pPr>
        <w:spacing w:line="480" w:lineRule="auto"/>
        <w:rPr>
          <w:sz w:val="24"/>
          <w:szCs w:val="24"/>
        </w:rPr>
      </w:pPr>
      <w:r w:rsidRPr="00E02FD7">
        <w:rPr>
          <w:sz w:val="24"/>
          <w:szCs w:val="24"/>
        </w:rPr>
        <w:t xml:space="preserve">Results must therefore be viewed with caution and may not be </w:t>
      </w:r>
      <w:r w:rsidR="00B53F81" w:rsidRPr="00E02FD7">
        <w:rPr>
          <w:sz w:val="24"/>
          <w:szCs w:val="24"/>
        </w:rPr>
        <w:t>generalizable</w:t>
      </w:r>
      <w:r w:rsidRPr="00E02FD7">
        <w:rPr>
          <w:sz w:val="24"/>
          <w:szCs w:val="24"/>
        </w:rPr>
        <w:t xml:space="preserve"> to the wider critical care population. </w:t>
      </w:r>
      <w:r w:rsidR="00725F1B" w:rsidRPr="00E02FD7">
        <w:rPr>
          <w:sz w:val="24"/>
          <w:szCs w:val="24"/>
        </w:rPr>
        <w:t xml:space="preserve">The </w:t>
      </w:r>
      <w:r w:rsidR="00F16AFF" w:rsidRPr="00E02FD7">
        <w:rPr>
          <w:sz w:val="24"/>
          <w:szCs w:val="24"/>
        </w:rPr>
        <w:t xml:space="preserve">study </w:t>
      </w:r>
      <w:r w:rsidR="00B53F81" w:rsidRPr="00E02FD7">
        <w:rPr>
          <w:sz w:val="24"/>
          <w:szCs w:val="24"/>
        </w:rPr>
        <w:t>has</w:t>
      </w:r>
      <w:r w:rsidR="004E5C53" w:rsidRPr="00E02FD7">
        <w:rPr>
          <w:sz w:val="24"/>
          <w:szCs w:val="24"/>
        </w:rPr>
        <w:t xml:space="preserve">, however, </w:t>
      </w:r>
      <w:r w:rsidR="00B53F81" w:rsidRPr="00E02FD7">
        <w:rPr>
          <w:sz w:val="24"/>
          <w:szCs w:val="24"/>
        </w:rPr>
        <w:t xml:space="preserve">provided </w:t>
      </w:r>
      <w:r w:rsidR="00A22DB0" w:rsidRPr="00E02FD7">
        <w:rPr>
          <w:sz w:val="24"/>
          <w:szCs w:val="24"/>
        </w:rPr>
        <w:t xml:space="preserve">important </w:t>
      </w:r>
      <w:r w:rsidR="00B53F81" w:rsidRPr="00E02FD7">
        <w:rPr>
          <w:sz w:val="24"/>
          <w:szCs w:val="24"/>
        </w:rPr>
        <w:t xml:space="preserve">data, which </w:t>
      </w:r>
      <w:r w:rsidR="00645EEC" w:rsidRPr="00E02FD7">
        <w:rPr>
          <w:sz w:val="24"/>
          <w:szCs w:val="24"/>
        </w:rPr>
        <w:t xml:space="preserve">can </w:t>
      </w:r>
      <w:r w:rsidR="004E5C53" w:rsidRPr="00E02FD7">
        <w:rPr>
          <w:sz w:val="24"/>
          <w:szCs w:val="24"/>
        </w:rPr>
        <w:t xml:space="preserve">inform </w:t>
      </w:r>
      <w:r w:rsidR="000B6C47" w:rsidRPr="00E02FD7">
        <w:rPr>
          <w:sz w:val="24"/>
          <w:szCs w:val="24"/>
        </w:rPr>
        <w:t xml:space="preserve">future </w:t>
      </w:r>
      <w:r w:rsidR="004E5C53" w:rsidRPr="00E02FD7">
        <w:rPr>
          <w:sz w:val="24"/>
          <w:szCs w:val="24"/>
        </w:rPr>
        <w:t>trial</w:t>
      </w:r>
      <w:r w:rsidR="000B6C47" w:rsidRPr="00E02FD7">
        <w:rPr>
          <w:sz w:val="24"/>
          <w:szCs w:val="24"/>
        </w:rPr>
        <w:t>s</w:t>
      </w:r>
      <w:r w:rsidR="00645EEC" w:rsidRPr="00E02FD7">
        <w:rPr>
          <w:sz w:val="24"/>
          <w:szCs w:val="24"/>
        </w:rPr>
        <w:t xml:space="preserve"> evaluating interventions like UCCDIP</w:t>
      </w:r>
      <w:r w:rsidR="004E5C53" w:rsidRPr="00E02FD7">
        <w:rPr>
          <w:sz w:val="24"/>
          <w:szCs w:val="24"/>
        </w:rPr>
        <w:t xml:space="preserve">, </w:t>
      </w:r>
      <w:r w:rsidR="00725F1B" w:rsidRPr="00E02FD7">
        <w:rPr>
          <w:sz w:val="24"/>
          <w:szCs w:val="24"/>
        </w:rPr>
        <w:t>enabl</w:t>
      </w:r>
      <w:r w:rsidR="00F16AFF" w:rsidRPr="00E02FD7">
        <w:rPr>
          <w:sz w:val="24"/>
          <w:szCs w:val="24"/>
        </w:rPr>
        <w:t>ing</w:t>
      </w:r>
      <w:r w:rsidR="00725F1B" w:rsidRPr="00E02FD7">
        <w:rPr>
          <w:sz w:val="24"/>
          <w:szCs w:val="24"/>
        </w:rPr>
        <w:t xml:space="preserve"> </w:t>
      </w:r>
      <w:r w:rsidR="004E5C53" w:rsidRPr="00E02FD7">
        <w:rPr>
          <w:sz w:val="24"/>
          <w:szCs w:val="24"/>
        </w:rPr>
        <w:t xml:space="preserve">processes </w:t>
      </w:r>
      <w:r w:rsidR="00725F1B" w:rsidRPr="00E02FD7">
        <w:rPr>
          <w:sz w:val="24"/>
          <w:szCs w:val="24"/>
        </w:rPr>
        <w:t xml:space="preserve">to be streamlined </w:t>
      </w:r>
      <w:r w:rsidR="004E5C53" w:rsidRPr="00E02FD7">
        <w:rPr>
          <w:sz w:val="24"/>
          <w:szCs w:val="24"/>
        </w:rPr>
        <w:t xml:space="preserve">and </w:t>
      </w:r>
      <w:r w:rsidR="00B53F81" w:rsidRPr="00E02FD7">
        <w:rPr>
          <w:sz w:val="24"/>
          <w:szCs w:val="24"/>
        </w:rPr>
        <w:t xml:space="preserve">a </w:t>
      </w:r>
      <w:r w:rsidR="00725F1B" w:rsidRPr="00E02FD7">
        <w:rPr>
          <w:sz w:val="24"/>
          <w:szCs w:val="24"/>
        </w:rPr>
        <w:t xml:space="preserve">sample size based on a </w:t>
      </w:r>
      <w:r w:rsidR="00B53F81" w:rsidRPr="00E02FD7">
        <w:rPr>
          <w:sz w:val="24"/>
          <w:szCs w:val="24"/>
        </w:rPr>
        <w:t xml:space="preserve">more accurate </w:t>
      </w:r>
      <w:r w:rsidR="004E5C53" w:rsidRPr="00E02FD7">
        <w:rPr>
          <w:sz w:val="24"/>
          <w:szCs w:val="24"/>
        </w:rPr>
        <w:t xml:space="preserve">power calculation </w:t>
      </w:r>
      <w:r w:rsidR="006C2CEA" w:rsidRPr="00E02FD7">
        <w:rPr>
          <w:sz w:val="24"/>
          <w:szCs w:val="24"/>
        </w:rPr>
        <w:t xml:space="preserve">to be used </w:t>
      </w:r>
      <w:r w:rsidR="00FF536D" w:rsidRPr="00E02FD7">
        <w:rPr>
          <w:sz w:val="24"/>
          <w:szCs w:val="24"/>
        </w:rPr>
        <w:t>[</w:t>
      </w:r>
      <w:r w:rsidR="00A124DE" w:rsidRPr="00E02FD7">
        <w:rPr>
          <w:sz w:val="24"/>
          <w:szCs w:val="24"/>
        </w:rPr>
        <w:t>5</w:t>
      </w:r>
      <w:r w:rsidR="007E33CE" w:rsidRPr="00E02FD7">
        <w:rPr>
          <w:sz w:val="24"/>
          <w:szCs w:val="24"/>
        </w:rPr>
        <w:t>2-</w:t>
      </w:r>
      <w:r w:rsidR="001F1455" w:rsidRPr="00E02FD7">
        <w:rPr>
          <w:sz w:val="24"/>
          <w:szCs w:val="24"/>
        </w:rPr>
        <w:t>5</w:t>
      </w:r>
      <w:r w:rsidR="007E33CE" w:rsidRPr="00E02FD7">
        <w:rPr>
          <w:sz w:val="24"/>
          <w:szCs w:val="24"/>
        </w:rPr>
        <w:t>4</w:t>
      </w:r>
      <w:r w:rsidR="00FF536D" w:rsidRPr="00E02FD7">
        <w:rPr>
          <w:sz w:val="24"/>
          <w:szCs w:val="24"/>
        </w:rPr>
        <w:t>]</w:t>
      </w:r>
      <w:r w:rsidR="004E5C53" w:rsidRPr="00E02FD7">
        <w:rPr>
          <w:sz w:val="24"/>
          <w:szCs w:val="24"/>
        </w:rPr>
        <w:t xml:space="preserve">. </w:t>
      </w:r>
    </w:p>
    <w:p w:rsidR="00DC2738" w:rsidRPr="00E02FD7" w:rsidRDefault="0004113F" w:rsidP="00E02FD7">
      <w:pPr>
        <w:spacing w:line="480" w:lineRule="auto"/>
        <w:outlineLvl w:val="0"/>
        <w:rPr>
          <w:b/>
          <w:sz w:val="24"/>
          <w:szCs w:val="24"/>
        </w:rPr>
      </w:pPr>
      <w:r w:rsidRPr="00E02FD7">
        <w:rPr>
          <w:b/>
          <w:sz w:val="24"/>
          <w:szCs w:val="24"/>
        </w:rPr>
        <w:t>CONCLUSION</w:t>
      </w:r>
    </w:p>
    <w:p w:rsidR="00E27BDE" w:rsidRPr="00E02FD7" w:rsidRDefault="00C6522E" w:rsidP="00E02FD7">
      <w:pPr>
        <w:spacing w:line="480" w:lineRule="auto"/>
        <w:outlineLvl w:val="0"/>
        <w:rPr>
          <w:sz w:val="24"/>
          <w:szCs w:val="24"/>
        </w:rPr>
      </w:pPr>
      <w:r w:rsidRPr="00E02FD7">
        <w:rPr>
          <w:sz w:val="24"/>
          <w:szCs w:val="24"/>
        </w:rPr>
        <w:t>T</w:t>
      </w:r>
      <w:r w:rsidR="007C23A6" w:rsidRPr="00E02FD7">
        <w:rPr>
          <w:sz w:val="24"/>
          <w:szCs w:val="24"/>
        </w:rPr>
        <w:t>his single centre pragmatic</w:t>
      </w:r>
      <w:r w:rsidR="00E04E13" w:rsidRPr="00E02FD7">
        <w:rPr>
          <w:sz w:val="24"/>
          <w:szCs w:val="24"/>
        </w:rPr>
        <w:t xml:space="preserve"> pilot RCT used cluster randomiz</w:t>
      </w:r>
      <w:r w:rsidR="007C23A6" w:rsidRPr="00E02FD7">
        <w:rPr>
          <w:sz w:val="24"/>
          <w:szCs w:val="24"/>
        </w:rPr>
        <w:t>ation to unde</w:t>
      </w:r>
      <w:r w:rsidR="00A60F5A" w:rsidRPr="00E02FD7">
        <w:rPr>
          <w:sz w:val="24"/>
          <w:szCs w:val="24"/>
        </w:rPr>
        <w:t>rtake an initial evaluation</w:t>
      </w:r>
      <w:r w:rsidR="007C23A6" w:rsidRPr="00E02FD7">
        <w:rPr>
          <w:sz w:val="24"/>
          <w:szCs w:val="24"/>
        </w:rPr>
        <w:t xml:space="preserve"> of UCCDIP, a discharge information pack designed by the project team.</w:t>
      </w:r>
      <w:r w:rsidR="008D7E5B" w:rsidRPr="00E02FD7">
        <w:rPr>
          <w:sz w:val="24"/>
          <w:szCs w:val="24"/>
        </w:rPr>
        <w:t xml:space="preserve"> </w:t>
      </w:r>
      <w:r w:rsidR="00A22DB0" w:rsidRPr="00E02FD7">
        <w:rPr>
          <w:sz w:val="24"/>
          <w:szCs w:val="24"/>
        </w:rPr>
        <w:t>W</w:t>
      </w:r>
      <w:r w:rsidR="00E75F5A" w:rsidRPr="00E02FD7">
        <w:rPr>
          <w:sz w:val="24"/>
          <w:szCs w:val="24"/>
        </w:rPr>
        <w:t>e were unable to prove t</w:t>
      </w:r>
      <w:r w:rsidR="008D7E5B" w:rsidRPr="00E02FD7">
        <w:rPr>
          <w:sz w:val="24"/>
          <w:szCs w:val="24"/>
        </w:rPr>
        <w:t>he effectiveness of UCCDIP</w:t>
      </w:r>
      <w:r w:rsidR="00D059E8" w:rsidRPr="00E02FD7">
        <w:rPr>
          <w:sz w:val="24"/>
          <w:szCs w:val="24"/>
        </w:rPr>
        <w:t>,</w:t>
      </w:r>
      <w:r w:rsidR="008D7E5B" w:rsidRPr="00E02FD7">
        <w:rPr>
          <w:sz w:val="24"/>
          <w:szCs w:val="24"/>
        </w:rPr>
        <w:t xml:space="preserve"> supporting the view that </w:t>
      </w:r>
      <w:r w:rsidR="00A030F9" w:rsidRPr="00E02FD7">
        <w:rPr>
          <w:sz w:val="24"/>
          <w:szCs w:val="24"/>
        </w:rPr>
        <w:t>information giving to those recovering from critical il</w:t>
      </w:r>
      <w:r w:rsidR="007C02E4" w:rsidRPr="00E02FD7">
        <w:rPr>
          <w:sz w:val="24"/>
          <w:szCs w:val="24"/>
        </w:rPr>
        <w:t>lness is a complex intervention</w:t>
      </w:r>
      <w:r w:rsidR="00A030F9" w:rsidRPr="00E02FD7">
        <w:rPr>
          <w:sz w:val="24"/>
          <w:szCs w:val="24"/>
        </w:rPr>
        <w:t xml:space="preserve">. </w:t>
      </w:r>
      <w:r w:rsidR="00E27BDE" w:rsidRPr="00E02FD7">
        <w:rPr>
          <w:sz w:val="24"/>
          <w:szCs w:val="24"/>
        </w:rPr>
        <w:t xml:space="preserve">This research has, however, provided important preliminary data regarding </w:t>
      </w:r>
      <w:r w:rsidR="000B6C47" w:rsidRPr="00E02FD7">
        <w:rPr>
          <w:sz w:val="24"/>
          <w:szCs w:val="24"/>
        </w:rPr>
        <w:t>how</w:t>
      </w:r>
      <w:r w:rsidR="00E27BDE" w:rsidRPr="00E02FD7">
        <w:rPr>
          <w:sz w:val="24"/>
          <w:szCs w:val="24"/>
        </w:rPr>
        <w:t>, when and for whom an intervention based on the principles of UCCDIP could be most effective and what it would look like.</w:t>
      </w:r>
    </w:p>
    <w:p w:rsidR="00A030F9" w:rsidRPr="00E02FD7" w:rsidRDefault="00A030F9" w:rsidP="00E02FD7">
      <w:pPr>
        <w:spacing w:line="480" w:lineRule="auto"/>
        <w:rPr>
          <w:sz w:val="24"/>
          <w:szCs w:val="24"/>
        </w:rPr>
      </w:pPr>
      <w:r w:rsidRPr="00E02FD7">
        <w:rPr>
          <w:sz w:val="24"/>
          <w:szCs w:val="24"/>
        </w:rPr>
        <w:t xml:space="preserve">To increase the likelihood of </w:t>
      </w:r>
      <w:r w:rsidR="00E75F5A" w:rsidRPr="00E02FD7">
        <w:rPr>
          <w:sz w:val="24"/>
          <w:szCs w:val="24"/>
        </w:rPr>
        <w:t xml:space="preserve">similar interventions </w:t>
      </w:r>
      <w:r w:rsidRPr="00E02FD7">
        <w:rPr>
          <w:sz w:val="24"/>
          <w:szCs w:val="24"/>
        </w:rPr>
        <w:t xml:space="preserve">improving health outcomes, key considerations for future work are: (1) </w:t>
      </w:r>
      <w:r w:rsidR="0053089E" w:rsidRPr="00E02FD7">
        <w:rPr>
          <w:sz w:val="24"/>
          <w:szCs w:val="24"/>
        </w:rPr>
        <w:t>m</w:t>
      </w:r>
      <w:r w:rsidR="006C2CEA" w:rsidRPr="00E02FD7">
        <w:rPr>
          <w:sz w:val="24"/>
          <w:szCs w:val="24"/>
        </w:rPr>
        <w:t xml:space="preserve">edical </w:t>
      </w:r>
      <w:r w:rsidR="0053089E" w:rsidRPr="00E02FD7">
        <w:rPr>
          <w:sz w:val="24"/>
          <w:szCs w:val="24"/>
        </w:rPr>
        <w:t>as opposed to s</w:t>
      </w:r>
      <w:r w:rsidR="006C2CEA" w:rsidRPr="00E02FD7">
        <w:rPr>
          <w:sz w:val="24"/>
          <w:szCs w:val="24"/>
        </w:rPr>
        <w:t>urgical</w:t>
      </w:r>
      <w:r w:rsidRPr="00E02FD7">
        <w:rPr>
          <w:sz w:val="24"/>
          <w:szCs w:val="24"/>
        </w:rPr>
        <w:t xml:space="preserve"> critical care patients </w:t>
      </w:r>
      <w:r w:rsidR="0053089E" w:rsidRPr="00E02FD7">
        <w:rPr>
          <w:sz w:val="24"/>
          <w:szCs w:val="24"/>
        </w:rPr>
        <w:t xml:space="preserve">may be more </w:t>
      </w:r>
      <w:r w:rsidR="00D56E9C" w:rsidRPr="00E02FD7">
        <w:rPr>
          <w:sz w:val="24"/>
          <w:szCs w:val="24"/>
        </w:rPr>
        <w:t>likely to benefit</w:t>
      </w:r>
      <w:r w:rsidR="0053089E" w:rsidRPr="00E02FD7">
        <w:rPr>
          <w:sz w:val="24"/>
          <w:szCs w:val="24"/>
        </w:rPr>
        <w:t xml:space="preserve"> from such interventions</w:t>
      </w:r>
      <w:r w:rsidR="00D56E9C" w:rsidRPr="00E02FD7">
        <w:rPr>
          <w:sz w:val="24"/>
          <w:szCs w:val="24"/>
        </w:rPr>
        <w:t xml:space="preserve"> </w:t>
      </w:r>
      <w:r w:rsidRPr="00E02FD7">
        <w:rPr>
          <w:sz w:val="24"/>
          <w:szCs w:val="24"/>
        </w:rPr>
        <w:t xml:space="preserve">(2) after discharge to the ward, patients need further input and support to help them engage fully with </w:t>
      </w:r>
      <w:r w:rsidR="0053089E" w:rsidRPr="00E02FD7">
        <w:rPr>
          <w:sz w:val="24"/>
          <w:szCs w:val="24"/>
        </w:rPr>
        <w:t xml:space="preserve">written </w:t>
      </w:r>
      <w:r w:rsidRPr="00E02FD7">
        <w:rPr>
          <w:sz w:val="24"/>
          <w:szCs w:val="24"/>
        </w:rPr>
        <w:t xml:space="preserve">information </w:t>
      </w:r>
      <w:r w:rsidR="0053089E" w:rsidRPr="00E02FD7">
        <w:rPr>
          <w:sz w:val="24"/>
          <w:szCs w:val="24"/>
        </w:rPr>
        <w:t>resources</w:t>
      </w:r>
      <w:r w:rsidRPr="00E02FD7">
        <w:rPr>
          <w:sz w:val="24"/>
          <w:szCs w:val="24"/>
        </w:rPr>
        <w:t xml:space="preserve"> </w:t>
      </w:r>
      <w:r w:rsidR="008D7E5B" w:rsidRPr="00E02FD7">
        <w:rPr>
          <w:sz w:val="24"/>
          <w:szCs w:val="24"/>
        </w:rPr>
        <w:t>(3</w:t>
      </w:r>
      <w:r w:rsidRPr="00E02FD7">
        <w:rPr>
          <w:sz w:val="24"/>
          <w:szCs w:val="24"/>
        </w:rPr>
        <w:t xml:space="preserve">) </w:t>
      </w:r>
      <w:r w:rsidR="0053089E" w:rsidRPr="00E02FD7">
        <w:rPr>
          <w:sz w:val="24"/>
          <w:szCs w:val="24"/>
        </w:rPr>
        <w:t xml:space="preserve">data collection time points should reflect the potential effects on both early and later recovery </w:t>
      </w:r>
      <w:r w:rsidR="008D7E5B" w:rsidRPr="00E02FD7">
        <w:rPr>
          <w:sz w:val="24"/>
          <w:szCs w:val="24"/>
        </w:rPr>
        <w:t>(4</w:t>
      </w:r>
      <w:r w:rsidRPr="00E02FD7">
        <w:rPr>
          <w:sz w:val="24"/>
          <w:szCs w:val="24"/>
        </w:rPr>
        <w:t>) outcome measures more sensitive to the effects of UCCDIP</w:t>
      </w:r>
      <w:r w:rsidR="00B20E01" w:rsidRPr="00E02FD7">
        <w:rPr>
          <w:sz w:val="24"/>
          <w:szCs w:val="24"/>
        </w:rPr>
        <w:t xml:space="preserve"> </w:t>
      </w:r>
      <w:r w:rsidR="0053089E" w:rsidRPr="00E02FD7">
        <w:rPr>
          <w:sz w:val="24"/>
          <w:szCs w:val="24"/>
        </w:rPr>
        <w:t>should be used for future evaluations</w:t>
      </w:r>
      <w:r w:rsidRPr="00E02FD7">
        <w:rPr>
          <w:sz w:val="24"/>
          <w:szCs w:val="24"/>
        </w:rPr>
        <w:t xml:space="preserve">.  </w:t>
      </w:r>
    </w:p>
    <w:p w:rsidR="00353A37" w:rsidRPr="00E02FD7" w:rsidRDefault="00353A37" w:rsidP="00E02FD7">
      <w:pPr>
        <w:spacing w:line="480" w:lineRule="auto"/>
        <w:rPr>
          <w:b/>
          <w:sz w:val="24"/>
          <w:szCs w:val="24"/>
        </w:rPr>
      </w:pPr>
      <w:r w:rsidRPr="00E02FD7">
        <w:rPr>
          <w:b/>
          <w:sz w:val="24"/>
          <w:szCs w:val="24"/>
        </w:rPr>
        <w:t>Acknowledgments</w:t>
      </w:r>
    </w:p>
    <w:p w:rsidR="00353A37" w:rsidRPr="00E02FD7" w:rsidRDefault="00353A37" w:rsidP="00E02FD7">
      <w:pPr>
        <w:spacing w:line="480" w:lineRule="auto"/>
        <w:rPr>
          <w:sz w:val="24"/>
          <w:szCs w:val="24"/>
        </w:rPr>
      </w:pPr>
      <w:r w:rsidRPr="00E02FD7">
        <w:rPr>
          <w:sz w:val="24"/>
          <w:szCs w:val="24"/>
        </w:rPr>
        <w:t xml:space="preserve">We would like to acknowledge Professor Alison Metcalfe, Associate Dean (Research) at the Florence Nightingale Faculty of Nursing and Midwifery, King’s College, London, who acted as principal academic PhD supervisor for SB during the period of the project. We would also like to acknowledge the contribution of the rest of the project team: Peter Milligan (Statistician, King’s College, </w:t>
      </w:r>
      <w:proofErr w:type="gramStart"/>
      <w:r w:rsidRPr="00E02FD7">
        <w:rPr>
          <w:sz w:val="24"/>
          <w:szCs w:val="24"/>
        </w:rPr>
        <w:t>London</w:t>
      </w:r>
      <w:proofErr w:type="gramEnd"/>
      <w:r w:rsidRPr="00E02FD7">
        <w:rPr>
          <w:sz w:val="24"/>
          <w:szCs w:val="24"/>
        </w:rPr>
        <w:t xml:space="preserve">) and Professor Lucy Yardley (Heath psychologist, University of Southampton).  </w:t>
      </w:r>
    </w:p>
    <w:p w:rsidR="00353A37" w:rsidRPr="00E02FD7" w:rsidRDefault="00353A37" w:rsidP="00E02FD7">
      <w:pPr>
        <w:spacing w:line="480" w:lineRule="auto"/>
        <w:rPr>
          <w:b/>
          <w:sz w:val="24"/>
          <w:szCs w:val="24"/>
        </w:rPr>
      </w:pPr>
      <w:proofErr w:type="spellStart"/>
      <w:r w:rsidRPr="00E02FD7">
        <w:rPr>
          <w:b/>
          <w:sz w:val="24"/>
          <w:szCs w:val="24"/>
        </w:rPr>
        <w:t>Contributorship</w:t>
      </w:r>
      <w:proofErr w:type="spellEnd"/>
      <w:r w:rsidRPr="00E02FD7">
        <w:rPr>
          <w:b/>
          <w:sz w:val="24"/>
          <w:szCs w:val="24"/>
        </w:rPr>
        <w:t xml:space="preserve"> statement </w:t>
      </w:r>
    </w:p>
    <w:p w:rsidR="00353A37" w:rsidRPr="00E02FD7" w:rsidRDefault="00353A37" w:rsidP="00E02FD7">
      <w:pPr>
        <w:spacing w:line="480" w:lineRule="auto"/>
        <w:rPr>
          <w:sz w:val="24"/>
          <w:szCs w:val="24"/>
        </w:rPr>
      </w:pPr>
      <w:r w:rsidRPr="00E02FD7">
        <w:rPr>
          <w:sz w:val="24"/>
          <w:szCs w:val="24"/>
        </w:rPr>
        <w:t xml:space="preserve">SB conceived, designed and co-ordinated the study as part of a </w:t>
      </w:r>
      <w:proofErr w:type="gramStart"/>
      <w:r w:rsidRPr="00E02FD7">
        <w:rPr>
          <w:sz w:val="24"/>
          <w:szCs w:val="24"/>
        </w:rPr>
        <w:t>PhD,</w:t>
      </w:r>
      <w:proofErr w:type="gramEnd"/>
      <w:r w:rsidRPr="00E02FD7">
        <w:rPr>
          <w:sz w:val="24"/>
          <w:szCs w:val="24"/>
        </w:rPr>
        <w:t xml:space="preserve"> collected and analysed the data and drafted the manuscript. PG was principal investigator, supervised SB and provided critical comment on the drafted manuscript. TD participated in the design and co-ordination of the study, was second supervisor to SB, assisted with data collection and provided critical comment on the drafted manuscript. KH recruited and consented trial participants, collated baseline data, assisted with intervention delivery and provided critical comment on the drafted manuscript. PH participated in the design and local co-ordination of the study, co-drafted guidelines for the patient discharge summary and provided critical comment on the drafted manuscript. CW was the service user representative for the project, participated in the design of the study, co-drafted guidelines for the patient discharge summary and assisted with their analysis, and provided critical comment on the drafted manuscript. All authors read and approved the final manuscript.</w:t>
      </w:r>
    </w:p>
    <w:p w:rsidR="00353A37" w:rsidRPr="00E02FD7" w:rsidRDefault="00353A37" w:rsidP="00E02FD7">
      <w:pPr>
        <w:spacing w:line="480" w:lineRule="auto"/>
        <w:rPr>
          <w:b/>
          <w:sz w:val="24"/>
          <w:szCs w:val="24"/>
        </w:rPr>
      </w:pPr>
      <w:r w:rsidRPr="00E02FD7">
        <w:rPr>
          <w:b/>
          <w:sz w:val="24"/>
          <w:szCs w:val="24"/>
        </w:rPr>
        <w:t xml:space="preserve">Research reporting guidelines </w:t>
      </w:r>
    </w:p>
    <w:p w:rsidR="00353A37" w:rsidRPr="00E02FD7" w:rsidRDefault="00353A37" w:rsidP="00E02FD7">
      <w:pPr>
        <w:spacing w:line="480" w:lineRule="auto"/>
        <w:rPr>
          <w:sz w:val="24"/>
          <w:szCs w:val="24"/>
        </w:rPr>
      </w:pPr>
      <w:r w:rsidRPr="00E02FD7">
        <w:rPr>
          <w:sz w:val="24"/>
          <w:szCs w:val="24"/>
        </w:rPr>
        <w:t xml:space="preserve">This trial has been reported in accordance with the CONSORT extension for cluster trials guidelines: Campbell MK, </w:t>
      </w:r>
      <w:proofErr w:type="spellStart"/>
      <w:r w:rsidRPr="00E02FD7">
        <w:rPr>
          <w:sz w:val="24"/>
          <w:szCs w:val="24"/>
        </w:rPr>
        <w:t>Piaggio</w:t>
      </w:r>
      <w:proofErr w:type="spellEnd"/>
      <w:r w:rsidRPr="00E02FD7">
        <w:rPr>
          <w:sz w:val="24"/>
          <w:szCs w:val="24"/>
        </w:rPr>
        <w:t xml:space="preserve"> G, </w:t>
      </w:r>
      <w:proofErr w:type="spellStart"/>
      <w:r w:rsidRPr="00E02FD7">
        <w:rPr>
          <w:sz w:val="24"/>
          <w:szCs w:val="24"/>
        </w:rPr>
        <w:t>Elbourne</w:t>
      </w:r>
      <w:proofErr w:type="spellEnd"/>
      <w:r w:rsidRPr="00E02FD7">
        <w:rPr>
          <w:sz w:val="24"/>
          <w:szCs w:val="24"/>
        </w:rPr>
        <w:t xml:space="preserve"> DR, et al; CONSORT Group. Consort 2010 statement: extension to cluster randomised trials. BMJ 2012</w:t>
      </w:r>
      <w:proofErr w:type="gramStart"/>
      <w:r w:rsidRPr="00E02FD7">
        <w:rPr>
          <w:sz w:val="24"/>
          <w:szCs w:val="24"/>
        </w:rPr>
        <w:t>;345:e5661</w:t>
      </w:r>
      <w:proofErr w:type="gramEnd"/>
      <w:r w:rsidRPr="00E02FD7">
        <w:rPr>
          <w:sz w:val="24"/>
          <w:szCs w:val="24"/>
        </w:rPr>
        <w:t xml:space="preserve">. PMID: </w:t>
      </w:r>
      <w:hyperlink r:id="rId11" w:tgtFrame="_blank" w:history="1">
        <w:r w:rsidRPr="00E02FD7">
          <w:rPr>
            <w:color w:val="0000FF"/>
            <w:sz w:val="24"/>
            <w:szCs w:val="24"/>
            <w:u w:val="single"/>
          </w:rPr>
          <w:t>22951546</w:t>
        </w:r>
      </w:hyperlink>
      <w:r w:rsidRPr="00E02FD7">
        <w:rPr>
          <w:sz w:val="24"/>
          <w:szCs w:val="24"/>
        </w:rPr>
        <w:t>.</w:t>
      </w:r>
    </w:p>
    <w:p w:rsidR="00353A37" w:rsidRPr="00E02FD7" w:rsidRDefault="00353A37" w:rsidP="00E02FD7">
      <w:pPr>
        <w:spacing w:line="480" w:lineRule="auto"/>
        <w:rPr>
          <w:b/>
          <w:sz w:val="24"/>
          <w:szCs w:val="24"/>
        </w:rPr>
      </w:pPr>
      <w:r w:rsidRPr="00E02FD7">
        <w:rPr>
          <w:b/>
          <w:sz w:val="24"/>
          <w:szCs w:val="24"/>
        </w:rPr>
        <w:t>Competing Interests</w:t>
      </w:r>
    </w:p>
    <w:p w:rsidR="00353A37" w:rsidRPr="00E02FD7" w:rsidRDefault="00353A37" w:rsidP="00E02FD7">
      <w:pPr>
        <w:spacing w:line="480" w:lineRule="auto"/>
        <w:rPr>
          <w:sz w:val="24"/>
          <w:szCs w:val="24"/>
        </w:rPr>
      </w:pPr>
      <w:r w:rsidRPr="00E02FD7">
        <w:rPr>
          <w:sz w:val="24"/>
          <w:szCs w:val="24"/>
        </w:rPr>
        <w:t>All authors have completed the ICMJE uniform disclosure form at www.icmje.org/coi_disclosure.pdf and declare: all authors had financial support from the NIHR for the submitted work; no financial relationships with any organisations that might have an interest in the submitted work in the previous three years; no other relationships or activities that could appear to have influenced the submitted work.</w:t>
      </w:r>
    </w:p>
    <w:p w:rsidR="00353A37" w:rsidRPr="00E02FD7" w:rsidRDefault="00353A37" w:rsidP="00E02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45"/>
        <w:rPr>
          <w:rFonts w:cs="Times New Roman"/>
          <w:b/>
          <w:sz w:val="24"/>
          <w:szCs w:val="24"/>
          <w:lang w:val="en-US"/>
        </w:rPr>
      </w:pPr>
      <w:r w:rsidRPr="00E02FD7">
        <w:rPr>
          <w:rFonts w:cs="Times New Roman"/>
          <w:b/>
          <w:sz w:val="24"/>
          <w:szCs w:val="24"/>
          <w:lang w:val="en-US"/>
        </w:rPr>
        <w:t>Funding statement</w:t>
      </w:r>
    </w:p>
    <w:p w:rsidR="00353A37" w:rsidRPr="00E02FD7" w:rsidRDefault="00353A37" w:rsidP="00E02FD7">
      <w:pPr>
        <w:spacing w:line="480" w:lineRule="auto"/>
        <w:rPr>
          <w:rFonts w:eastAsia="Calibri" w:cs="Arial"/>
          <w:sz w:val="24"/>
          <w:szCs w:val="24"/>
        </w:rPr>
      </w:pPr>
      <w:r w:rsidRPr="00E02FD7">
        <w:rPr>
          <w:rFonts w:eastAsia="Calibri" w:cs="Arial"/>
          <w:sz w:val="24"/>
          <w:szCs w:val="24"/>
        </w:rPr>
        <w:t>This report presents independent research commissioned by the NIHR under its Research for Patient Benefit (</w:t>
      </w:r>
      <w:proofErr w:type="spellStart"/>
      <w:r w:rsidRPr="00E02FD7">
        <w:rPr>
          <w:rFonts w:eastAsia="Calibri" w:cs="Arial"/>
          <w:sz w:val="24"/>
          <w:szCs w:val="24"/>
        </w:rPr>
        <w:t>RfPB</w:t>
      </w:r>
      <w:proofErr w:type="spellEnd"/>
      <w:r w:rsidRPr="00E02FD7">
        <w:rPr>
          <w:rFonts w:eastAsia="Calibri" w:cs="Arial"/>
          <w:sz w:val="24"/>
          <w:szCs w:val="24"/>
        </w:rPr>
        <w:t>) Programme (Grant Reference Number PB-PG-0110-21026). The views expressed are those of the authors and not necessarily those of the NHS, the NIHR or the Department of Health.</w:t>
      </w:r>
    </w:p>
    <w:p w:rsidR="00353A37" w:rsidRPr="00E02FD7" w:rsidRDefault="00353A37" w:rsidP="00E02FD7">
      <w:pPr>
        <w:rPr>
          <w:b/>
          <w:sz w:val="24"/>
          <w:szCs w:val="24"/>
        </w:rPr>
      </w:pPr>
      <w:r w:rsidRPr="00E02FD7">
        <w:rPr>
          <w:b/>
          <w:sz w:val="24"/>
          <w:szCs w:val="24"/>
        </w:rPr>
        <w:t>Data sharing statement</w:t>
      </w:r>
    </w:p>
    <w:p w:rsidR="00A90F63" w:rsidRPr="00E02FD7" w:rsidRDefault="00341372" w:rsidP="00E02FD7">
      <w:pPr>
        <w:spacing w:line="480" w:lineRule="auto"/>
        <w:rPr>
          <w:b/>
          <w:sz w:val="24"/>
          <w:szCs w:val="24"/>
        </w:rPr>
      </w:pPr>
      <w:r w:rsidRPr="00E02FD7">
        <w:rPr>
          <w:sz w:val="24"/>
          <w:szCs w:val="24"/>
        </w:rPr>
        <w:t xml:space="preserve">Additional unpublished data from this trial are available in the final report submitted to the NIHR or via the corresponding author. </w:t>
      </w:r>
      <w:r w:rsidR="00A90F63" w:rsidRPr="00E02FD7">
        <w:rPr>
          <w:b/>
          <w:sz w:val="24"/>
          <w:szCs w:val="24"/>
        </w:rPr>
        <w:br w:type="page"/>
      </w:r>
    </w:p>
    <w:p w:rsidR="00341372" w:rsidRPr="00E02FD7" w:rsidRDefault="00341372" w:rsidP="00E02FD7">
      <w:pPr>
        <w:spacing w:line="480" w:lineRule="auto"/>
        <w:rPr>
          <w:b/>
          <w:sz w:val="24"/>
          <w:szCs w:val="24"/>
        </w:rPr>
      </w:pPr>
      <w:r w:rsidRPr="00E02FD7">
        <w:rPr>
          <w:b/>
          <w:sz w:val="24"/>
          <w:szCs w:val="24"/>
        </w:rPr>
        <w:t xml:space="preserve">Figures </w:t>
      </w:r>
    </w:p>
    <w:p w:rsidR="00341372" w:rsidRPr="00E02FD7" w:rsidRDefault="00341372" w:rsidP="00E02FD7">
      <w:pPr>
        <w:spacing w:line="480" w:lineRule="auto"/>
        <w:rPr>
          <w:sz w:val="24"/>
          <w:szCs w:val="24"/>
        </w:rPr>
      </w:pPr>
      <w:r w:rsidRPr="00E02FD7">
        <w:rPr>
          <w:sz w:val="24"/>
          <w:szCs w:val="24"/>
        </w:rPr>
        <w:t xml:space="preserve">Figure 1: Flow of Participants </w:t>
      </w:r>
    </w:p>
    <w:p w:rsidR="00CC1329" w:rsidRPr="00E02FD7" w:rsidRDefault="00CC1329" w:rsidP="00E02FD7">
      <w:pPr>
        <w:spacing w:line="480" w:lineRule="auto"/>
        <w:rPr>
          <w:b/>
          <w:sz w:val="24"/>
          <w:szCs w:val="24"/>
        </w:rPr>
      </w:pPr>
      <w:r w:rsidRPr="00E02FD7">
        <w:rPr>
          <w:b/>
          <w:sz w:val="24"/>
          <w:szCs w:val="24"/>
        </w:rPr>
        <w:t>References</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National Institute for Health and Clinical Excellence (NICE)</w:t>
      </w:r>
      <w:r w:rsidR="004913C2" w:rsidRPr="00E02FD7">
        <w:rPr>
          <w:color w:val="000000" w:themeColor="text1"/>
          <w:sz w:val="24"/>
          <w:szCs w:val="24"/>
        </w:rPr>
        <w:t>.</w:t>
      </w:r>
      <w:r w:rsidRPr="00E02FD7">
        <w:rPr>
          <w:color w:val="000000" w:themeColor="text1"/>
          <w:sz w:val="24"/>
          <w:szCs w:val="24"/>
        </w:rPr>
        <w:t xml:space="preserve"> Rehabilitation after Critical Illness</w:t>
      </w:r>
      <w:r w:rsidR="00474B3D" w:rsidRPr="00E02FD7">
        <w:rPr>
          <w:color w:val="000000" w:themeColor="text1"/>
          <w:sz w:val="24"/>
          <w:szCs w:val="24"/>
        </w:rPr>
        <w:t>.</w:t>
      </w:r>
      <w:r w:rsidRPr="00E02FD7">
        <w:rPr>
          <w:color w:val="000000" w:themeColor="text1"/>
          <w:sz w:val="24"/>
          <w:szCs w:val="24"/>
        </w:rPr>
        <w:t xml:space="preserve"> 2009</w:t>
      </w:r>
      <w:r w:rsidR="00474B3D" w:rsidRPr="00E02FD7">
        <w:rPr>
          <w:color w:val="000000" w:themeColor="text1"/>
          <w:sz w:val="24"/>
          <w:szCs w:val="24"/>
        </w:rPr>
        <w:t>.</w:t>
      </w:r>
      <w:r w:rsidRPr="00E02FD7">
        <w:rPr>
          <w:color w:val="000000" w:themeColor="text1"/>
          <w:sz w:val="24"/>
          <w:szCs w:val="24"/>
        </w:rPr>
        <w:t xml:space="preserve"> [http://www.nice.org.uk].</w:t>
      </w:r>
      <w:r w:rsidR="00474B3D" w:rsidRPr="00E02FD7">
        <w:rPr>
          <w:color w:val="000000" w:themeColor="text1"/>
          <w:sz w:val="24"/>
          <w:szCs w:val="24"/>
        </w:rPr>
        <w:t xml:space="preserve"> Accessed October 2014.</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Harvey M, Davidson J</w:t>
      </w:r>
      <w:r w:rsidR="00765B1D" w:rsidRPr="00E02FD7">
        <w:rPr>
          <w:color w:val="000000" w:themeColor="text1"/>
          <w:sz w:val="24"/>
          <w:szCs w:val="24"/>
        </w:rPr>
        <w:t>.</w:t>
      </w:r>
      <w:r w:rsidRPr="00E02FD7">
        <w:rPr>
          <w:color w:val="000000" w:themeColor="text1"/>
          <w:sz w:val="24"/>
          <w:szCs w:val="24"/>
        </w:rPr>
        <w:t xml:space="preserve"> Long term consequences of critical illness: a new opportunity for high impact critical care nurses. </w:t>
      </w:r>
      <w:proofErr w:type="spellStart"/>
      <w:r w:rsidRPr="00E02FD7">
        <w:rPr>
          <w:i/>
          <w:sz w:val="24"/>
          <w:szCs w:val="24"/>
        </w:rPr>
        <w:t>Crit</w:t>
      </w:r>
      <w:proofErr w:type="spellEnd"/>
      <w:r w:rsidRPr="00E02FD7">
        <w:rPr>
          <w:i/>
          <w:sz w:val="24"/>
          <w:szCs w:val="24"/>
        </w:rPr>
        <w:t xml:space="preserve"> Care Nurse</w:t>
      </w:r>
      <w:r w:rsidRPr="00E02FD7">
        <w:rPr>
          <w:color w:val="000000" w:themeColor="text1"/>
          <w:sz w:val="24"/>
          <w:szCs w:val="24"/>
        </w:rPr>
        <w:t xml:space="preserve"> 2011</w:t>
      </w:r>
      <w:proofErr w:type="gramStart"/>
      <w:r w:rsidR="004913C2" w:rsidRPr="00E02FD7">
        <w:rPr>
          <w:color w:val="000000" w:themeColor="text1"/>
          <w:sz w:val="24"/>
          <w:szCs w:val="24"/>
        </w:rPr>
        <w:t>;</w:t>
      </w:r>
      <w:r w:rsidRPr="00E02FD7">
        <w:rPr>
          <w:color w:val="000000" w:themeColor="text1"/>
          <w:sz w:val="24"/>
          <w:szCs w:val="24"/>
        </w:rPr>
        <w:t>31:12</w:t>
      </w:r>
      <w:proofErr w:type="gramEnd"/>
      <w:r w:rsidRPr="00E02FD7">
        <w:rPr>
          <w:color w:val="000000" w:themeColor="text1"/>
          <w:sz w:val="24"/>
          <w:szCs w:val="24"/>
        </w:rPr>
        <w:t>-15.</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Bench S, Day T</w:t>
      </w:r>
      <w:r w:rsidR="004913C2" w:rsidRPr="00E02FD7">
        <w:rPr>
          <w:color w:val="000000" w:themeColor="text1"/>
          <w:sz w:val="24"/>
          <w:szCs w:val="24"/>
        </w:rPr>
        <w:t>.</w:t>
      </w:r>
      <w:r w:rsidRPr="00E02FD7">
        <w:rPr>
          <w:color w:val="000000" w:themeColor="text1"/>
          <w:sz w:val="24"/>
          <w:szCs w:val="24"/>
        </w:rPr>
        <w:t xml:space="preserve"> The user experience of critical care discharge; a meta-synthesis of qualitative research. </w:t>
      </w:r>
      <w:proofErr w:type="spellStart"/>
      <w:r w:rsidRPr="00E02FD7">
        <w:rPr>
          <w:i/>
          <w:sz w:val="24"/>
          <w:szCs w:val="24"/>
        </w:rPr>
        <w:t>Int</w:t>
      </w:r>
      <w:proofErr w:type="spellEnd"/>
      <w:r w:rsidRPr="00E02FD7">
        <w:rPr>
          <w:i/>
          <w:sz w:val="24"/>
          <w:szCs w:val="24"/>
        </w:rPr>
        <w:t xml:space="preserve"> J </w:t>
      </w:r>
      <w:proofErr w:type="spellStart"/>
      <w:r w:rsidRPr="00E02FD7">
        <w:rPr>
          <w:i/>
          <w:sz w:val="24"/>
          <w:szCs w:val="24"/>
        </w:rPr>
        <w:t>Nurs</w:t>
      </w:r>
      <w:proofErr w:type="spellEnd"/>
      <w:r w:rsidRPr="00E02FD7">
        <w:rPr>
          <w:i/>
          <w:sz w:val="24"/>
          <w:szCs w:val="24"/>
        </w:rPr>
        <w:t xml:space="preserve"> Stud</w:t>
      </w:r>
      <w:r w:rsidRPr="00E02FD7">
        <w:rPr>
          <w:color w:val="000000" w:themeColor="text1"/>
          <w:sz w:val="24"/>
          <w:szCs w:val="24"/>
        </w:rPr>
        <w:t xml:space="preserve"> 2010</w:t>
      </w:r>
      <w:proofErr w:type="gramStart"/>
      <w:r w:rsidR="004913C2" w:rsidRPr="00E02FD7">
        <w:rPr>
          <w:color w:val="000000" w:themeColor="text1"/>
          <w:sz w:val="24"/>
          <w:szCs w:val="24"/>
        </w:rPr>
        <w:t>;</w:t>
      </w:r>
      <w:r w:rsidRPr="00E02FD7">
        <w:rPr>
          <w:color w:val="000000" w:themeColor="text1"/>
          <w:sz w:val="24"/>
          <w:szCs w:val="24"/>
        </w:rPr>
        <w:t>47:487</w:t>
      </w:r>
      <w:proofErr w:type="gramEnd"/>
      <w:r w:rsidRPr="00E02FD7">
        <w:rPr>
          <w:color w:val="000000" w:themeColor="text1"/>
          <w:sz w:val="24"/>
          <w:szCs w:val="24"/>
        </w:rPr>
        <w:t>-99.</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Bench S, Day T, Griffiths P</w:t>
      </w:r>
      <w:r w:rsidR="004913C2" w:rsidRPr="00E02FD7">
        <w:rPr>
          <w:color w:val="000000" w:themeColor="text1"/>
          <w:sz w:val="24"/>
          <w:szCs w:val="24"/>
        </w:rPr>
        <w:t>.</w:t>
      </w:r>
      <w:r w:rsidRPr="00E02FD7">
        <w:rPr>
          <w:color w:val="000000" w:themeColor="text1"/>
          <w:sz w:val="24"/>
          <w:szCs w:val="24"/>
        </w:rPr>
        <w:t xml:space="preserve"> Involving users in the development of effective critical care discharge information: a focus group study with patients, relatives and health care staff. </w:t>
      </w:r>
      <w:r w:rsidRPr="00E02FD7">
        <w:rPr>
          <w:i/>
          <w:sz w:val="24"/>
          <w:szCs w:val="24"/>
        </w:rPr>
        <w:t xml:space="preserve">Am J </w:t>
      </w:r>
      <w:proofErr w:type="spellStart"/>
      <w:r w:rsidRPr="00E02FD7">
        <w:rPr>
          <w:i/>
          <w:sz w:val="24"/>
          <w:szCs w:val="24"/>
        </w:rPr>
        <w:t>Crit</w:t>
      </w:r>
      <w:proofErr w:type="spellEnd"/>
      <w:r w:rsidRPr="00E02FD7">
        <w:rPr>
          <w:i/>
          <w:sz w:val="24"/>
          <w:szCs w:val="24"/>
        </w:rPr>
        <w:t xml:space="preserve"> Care</w:t>
      </w:r>
      <w:r w:rsidRPr="00E02FD7">
        <w:rPr>
          <w:color w:val="000000" w:themeColor="text1"/>
          <w:sz w:val="24"/>
          <w:szCs w:val="24"/>
        </w:rPr>
        <w:t xml:space="preserve"> 2011</w:t>
      </w:r>
      <w:proofErr w:type="gramStart"/>
      <w:r w:rsidR="004913C2" w:rsidRPr="00E02FD7">
        <w:rPr>
          <w:color w:val="000000" w:themeColor="text1"/>
          <w:sz w:val="24"/>
          <w:szCs w:val="24"/>
        </w:rPr>
        <w:t>;</w:t>
      </w:r>
      <w:r w:rsidRPr="00E02FD7">
        <w:rPr>
          <w:color w:val="000000" w:themeColor="text1"/>
          <w:sz w:val="24"/>
          <w:szCs w:val="24"/>
        </w:rPr>
        <w:t>20:443</w:t>
      </w:r>
      <w:proofErr w:type="gramEnd"/>
      <w:r w:rsidRPr="00E02FD7">
        <w:rPr>
          <w:color w:val="000000" w:themeColor="text1"/>
          <w:sz w:val="24"/>
          <w:szCs w:val="24"/>
        </w:rPr>
        <w:t>-52.</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Bench S, Day T, </w:t>
      </w:r>
      <w:proofErr w:type="gramStart"/>
      <w:r w:rsidRPr="00E02FD7">
        <w:rPr>
          <w:color w:val="000000" w:themeColor="text1"/>
          <w:sz w:val="24"/>
          <w:szCs w:val="24"/>
        </w:rPr>
        <w:t>Griffiths</w:t>
      </w:r>
      <w:proofErr w:type="gramEnd"/>
      <w:r w:rsidRPr="00E02FD7">
        <w:rPr>
          <w:color w:val="000000" w:themeColor="text1"/>
          <w:sz w:val="24"/>
          <w:szCs w:val="24"/>
        </w:rPr>
        <w:t xml:space="preserve"> P</w:t>
      </w:r>
      <w:r w:rsidR="004913C2" w:rsidRPr="00E02FD7">
        <w:rPr>
          <w:color w:val="000000" w:themeColor="text1"/>
          <w:sz w:val="24"/>
          <w:szCs w:val="24"/>
        </w:rPr>
        <w:t>.</w:t>
      </w:r>
      <w:r w:rsidRPr="00E02FD7">
        <w:rPr>
          <w:color w:val="000000" w:themeColor="text1"/>
          <w:sz w:val="24"/>
          <w:szCs w:val="24"/>
        </w:rPr>
        <w:t xml:space="preserve"> Effectiveness of critical care discharge information in supporting early recovery from critical illness. </w:t>
      </w:r>
      <w:proofErr w:type="spellStart"/>
      <w:r w:rsidRPr="00E02FD7">
        <w:rPr>
          <w:i/>
          <w:sz w:val="24"/>
          <w:szCs w:val="24"/>
        </w:rPr>
        <w:t>Crit</w:t>
      </w:r>
      <w:proofErr w:type="spellEnd"/>
      <w:r w:rsidRPr="00E02FD7">
        <w:rPr>
          <w:i/>
          <w:sz w:val="24"/>
          <w:szCs w:val="24"/>
        </w:rPr>
        <w:t xml:space="preserve"> Care Nurse</w:t>
      </w:r>
      <w:r w:rsidRPr="00E02FD7">
        <w:rPr>
          <w:color w:val="000000" w:themeColor="text1"/>
          <w:sz w:val="24"/>
          <w:szCs w:val="24"/>
        </w:rPr>
        <w:t xml:space="preserve"> 2013</w:t>
      </w:r>
      <w:proofErr w:type="gramStart"/>
      <w:r w:rsidR="004913C2" w:rsidRPr="00E02FD7">
        <w:rPr>
          <w:color w:val="000000" w:themeColor="text1"/>
          <w:sz w:val="24"/>
          <w:szCs w:val="24"/>
        </w:rPr>
        <w:t>;</w:t>
      </w:r>
      <w:r w:rsidRPr="00E02FD7">
        <w:rPr>
          <w:color w:val="000000" w:themeColor="text1"/>
          <w:sz w:val="24"/>
          <w:szCs w:val="24"/>
        </w:rPr>
        <w:t>33:41</w:t>
      </w:r>
      <w:proofErr w:type="gramEnd"/>
      <w:r w:rsidRPr="00E02FD7">
        <w:rPr>
          <w:color w:val="000000" w:themeColor="text1"/>
          <w:sz w:val="24"/>
          <w:szCs w:val="24"/>
        </w:rPr>
        <w:t>-52.</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Department of Health (DH)</w:t>
      </w:r>
      <w:r w:rsidR="004913C2" w:rsidRPr="00E02FD7">
        <w:rPr>
          <w:color w:val="000000" w:themeColor="text1"/>
          <w:sz w:val="24"/>
          <w:szCs w:val="24"/>
        </w:rPr>
        <w:t>.</w:t>
      </w:r>
      <w:r w:rsidRPr="00E02FD7">
        <w:rPr>
          <w:color w:val="000000" w:themeColor="text1"/>
          <w:sz w:val="24"/>
          <w:szCs w:val="24"/>
        </w:rPr>
        <w:t xml:space="preserve"> Making Partnership Work for Patients, Carers and Service users: a strategic agreement between the Department of Health, the NHS and the voluntary and community sector</w:t>
      </w:r>
      <w:r w:rsidR="00474B3D" w:rsidRPr="00E02FD7">
        <w:rPr>
          <w:color w:val="000000" w:themeColor="text1"/>
          <w:sz w:val="24"/>
          <w:szCs w:val="24"/>
        </w:rPr>
        <w:t>.</w:t>
      </w:r>
      <w:r w:rsidRPr="00E02FD7">
        <w:rPr>
          <w:color w:val="000000" w:themeColor="text1"/>
          <w:sz w:val="24"/>
          <w:szCs w:val="24"/>
        </w:rPr>
        <w:t xml:space="preserve"> 2004</w:t>
      </w:r>
      <w:r w:rsidR="00474B3D" w:rsidRPr="00E02FD7">
        <w:rPr>
          <w:color w:val="000000" w:themeColor="text1"/>
          <w:sz w:val="24"/>
          <w:szCs w:val="24"/>
        </w:rPr>
        <w:t>.</w:t>
      </w:r>
      <w:r w:rsidRPr="00E02FD7">
        <w:rPr>
          <w:color w:val="000000" w:themeColor="text1"/>
          <w:sz w:val="24"/>
          <w:szCs w:val="24"/>
        </w:rPr>
        <w:t xml:space="preserve"> [http://webarchive.nationalarchives.gov.uk/+/www.dh.gov.uk/en/Publicationsandstatistics/Publications/PublicationsPolicyAndGuidance/DH_4089515].</w:t>
      </w:r>
      <w:r w:rsidR="00474B3D" w:rsidRPr="00E02FD7">
        <w:rPr>
          <w:color w:val="000000" w:themeColor="text1"/>
          <w:sz w:val="24"/>
          <w:szCs w:val="24"/>
        </w:rPr>
        <w:t xml:space="preserve"> Accessed October 2014.</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Department of Health (DH)</w:t>
      </w:r>
      <w:r w:rsidR="004913C2" w:rsidRPr="00E02FD7">
        <w:rPr>
          <w:color w:val="000000" w:themeColor="text1"/>
          <w:sz w:val="24"/>
          <w:szCs w:val="24"/>
        </w:rPr>
        <w:t>.</w:t>
      </w:r>
      <w:r w:rsidRPr="00E02FD7">
        <w:rPr>
          <w:color w:val="000000" w:themeColor="text1"/>
          <w:sz w:val="24"/>
          <w:szCs w:val="24"/>
        </w:rPr>
        <w:t xml:space="preserve"> </w:t>
      </w:r>
      <w:proofErr w:type="spellStart"/>
      <w:r w:rsidRPr="00E02FD7">
        <w:rPr>
          <w:i/>
          <w:color w:val="000000" w:themeColor="text1"/>
          <w:sz w:val="24"/>
          <w:szCs w:val="24"/>
        </w:rPr>
        <w:t>Self care</w:t>
      </w:r>
      <w:proofErr w:type="spellEnd"/>
      <w:r w:rsidRPr="00E02FD7">
        <w:rPr>
          <w:i/>
          <w:color w:val="000000" w:themeColor="text1"/>
          <w:sz w:val="24"/>
          <w:szCs w:val="24"/>
        </w:rPr>
        <w:t xml:space="preserve">; a real choice. </w:t>
      </w:r>
      <w:proofErr w:type="spellStart"/>
      <w:proofErr w:type="gramStart"/>
      <w:r w:rsidRPr="00E02FD7">
        <w:rPr>
          <w:i/>
          <w:color w:val="000000" w:themeColor="text1"/>
          <w:sz w:val="24"/>
          <w:szCs w:val="24"/>
        </w:rPr>
        <w:t>self</w:t>
      </w:r>
      <w:proofErr w:type="gramEnd"/>
      <w:r w:rsidRPr="00E02FD7">
        <w:rPr>
          <w:i/>
          <w:color w:val="000000" w:themeColor="text1"/>
          <w:sz w:val="24"/>
          <w:szCs w:val="24"/>
        </w:rPr>
        <w:t xml:space="preserve"> care</w:t>
      </w:r>
      <w:proofErr w:type="spellEnd"/>
      <w:r w:rsidRPr="00E02FD7">
        <w:rPr>
          <w:i/>
          <w:color w:val="000000" w:themeColor="text1"/>
          <w:sz w:val="24"/>
          <w:szCs w:val="24"/>
        </w:rPr>
        <w:t xml:space="preserve"> support- a practical option</w:t>
      </w:r>
      <w:r w:rsidRPr="00E02FD7">
        <w:rPr>
          <w:color w:val="000000" w:themeColor="text1"/>
          <w:sz w:val="24"/>
          <w:szCs w:val="24"/>
        </w:rPr>
        <w:t xml:space="preserve">. </w:t>
      </w:r>
      <w:r w:rsidR="00474B3D" w:rsidRPr="00E02FD7">
        <w:rPr>
          <w:color w:val="000000" w:themeColor="text1"/>
          <w:sz w:val="24"/>
          <w:szCs w:val="24"/>
        </w:rPr>
        <w:t>2005</w:t>
      </w:r>
      <w:proofErr w:type="gramStart"/>
      <w:r w:rsidR="00474B3D" w:rsidRPr="00E02FD7">
        <w:rPr>
          <w:color w:val="000000" w:themeColor="text1"/>
          <w:sz w:val="24"/>
          <w:szCs w:val="24"/>
        </w:rPr>
        <w:t>.</w:t>
      </w:r>
      <w:r w:rsidRPr="00E02FD7">
        <w:rPr>
          <w:color w:val="000000" w:themeColor="text1"/>
          <w:sz w:val="24"/>
          <w:szCs w:val="24"/>
        </w:rPr>
        <w:t>London</w:t>
      </w:r>
      <w:proofErr w:type="gramEnd"/>
      <w:r w:rsidRPr="00E02FD7">
        <w:rPr>
          <w:color w:val="000000" w:themeColor="text1"/>
          <w:sz w:val="24"/>
          <w:szCs w:val="24"/>
        </w:rPr>
        <w:t>: Crown copyright</w:t>
      </w:r>
      <w:r w:rsidR="00474B3D" w:rsidRPr="00E02FD7">
        <w:rPr>
          <w:color w:val="000000" w:themeColor="text1"/>
          <w:sz w:val="24"/>
          <w:szCs w:val="24"/>
        </w:rPr>
        <w:t>.</w:t>
      </w:r>
      <w:r w:rsidRPr="00E02FD7">
        <w:rPr>
          <w:color w:val="000000" w:themeColor="text1"/>
          <w:sz w:val="24"/>
          <w:szCs w:val="24"/>
        </w:rPr>
        <w:t xml:space="preserve"> </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Coulter A, Ellis J</w:t>
      </w:r>
      <w:r w:rsidR="004913C2" w:rsidRPr="00E02FD7">
        <w:rPr>
          <w:color w:val="000000" w:themeColor="text1"/>
          <w:sz w:val="24"/>
          <w:szCs w:val="24"/>
        </w:rPr>
        <w:t>.</w:t>
      </w:r>
      <w:r w:rsidRPr="00E02FD7">
        <w:rPr>
          <w:color w:val="000000" w:themeColor="text1"/>
          <w:sz w:val="24"/>
          <w:szCs w:val="24"/>
        </w:rPr>
        <w:t xml:space="preserve"> </w:t>
      </w:r>
      <w:r w:rsidRPr="00E02FD7">
        <w:rPr>
          <w:i/>
          <w:color w:val="000000" w:themeColor="text1"/>
          <w:sz w:val="24"/>
          <w:szCs w:val="24"/>
        </w:rPr>
        <w:t>Patient Focused Interventions; a review of the evidence</w:t>
      </w:r>
      <w:r w:rsidRPr="00E02FD7">
        <w:rPr>
          <w:color w:val="000000" w:themeColor="text1"/>
          <w:sz w:val="24"/>
          <w:szCs w:val="24"/>
        </w:rPr>
        <w:t xml:space="preserve">. </w:t>
      </w:r>
      <w:r w:rsidR="00474B3D" w:rsidRPr="00E02FD7">
        <w:rPr>
          <w:color w:val="000000" w:themeColor="text1"/>
          <w:sz w:val="24"/>
          <w:szCs w:val="24"/>
        </w:rPr>
        <w:t xml:space="preserve">2006. </w:t>
      </w:r>
      <w:r w:rsidRPr="00E02FD7">
        <w:rPr>
          <w:color w:val="000000" w:themeColor="text1"/>
          <w:sz w:val="24"/>
          <w:szCs w:val="24"/>
        </w:rPr>
        <w:t>London: The Health Foundation</w:t>
      </w:r>
      <w:r w:rsidR="00474B3D" w:rsidRPr="00E02FD7">
        <w:rPr>
          <w:color w:val="000000" w:themeColor="text1"/>
          <w:sz w:val="24"/>
          <w:szCs w:val="24"/>
        </w:rPr>
        <w:t>.</w:t>
      </w:r>
      <w:r w:rsidRPr="00E02FD7">
        <w:rPr>
          <w:color w:val="000000" w:themeColor="text1"/>
          <w:sz w:val="24"/>
          <w:szCs w:val="24"/>
        </w:rPr>
        <w:t xml:space="preserve"> </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Department of Health (DH)</w:t>
      </w:r>
      <w:r w:rsidR="004913C2" w:rsidRPr="00E02FD7">
        <w:rPr>
          <w:color w:val="000000" w:themeColor="text1"/>
          <w:sz w:val="24"/>
          <w:szCs w:val="24"/>
        </w:rPr>
        <w:t>.</w:t>
      </w:r>
      <w:r w:rsidRPr="00E02FD7">
        <w:rPr>
          <w:color w:val="000000" w:themeColor="text1"/>
          <w:sz w:val="24"/>
          <w:szCs w:val="24"/>
        </w:rPr>
        <w:t xml:space="preserve"> </w:t>
      </w:r>
      <w:r w:rsidRPr="00E02FD7">
        <w:rPr>
          <w:i/>
          <w:color w:val="000000" w:themeColor="text1"/>
          <w:sz w:val="24"/>
          <w:szCs w:val="24"/>
        </w:rPr>
        <w:t>Our Health, Our Care, Our Say; a new direction for community services</w:t>
      </w:r>
      <w:r w:rsidRPr="00E02FD7">
        <w:rPr>
          <w:color w:val="000000" w:themeColor="text1"/>
          <w:sz w:val="24"/>
          <w:szCs w:val="24"/>
        </w:rPr>
        <w:t xml:space="preserve">. </w:t>
      </w:r>
      <w:r w:rsidR="00474B3D" w:rsidRPr="00E02FD7">
        <w:rPr>
          <w:color w:val="000000" w:themeColor="text1"/>
          <w:sz w:val="24"/>
          <w:szCs w:val="24"/>
        </w:rPr>
        <w:t xml:space="preserve">2006. </w:t>
      </w:r>
      <w:r w:rsidRPr="00E02FD7">
        <w:rPr>
          <w:color w:val="000000" w:themeColor="text1"/>
          <w:sz w:val="24"/>
          <w:szCs w:val="24"/>
        </w:rPr>
        <w:t>London: Crown copyright</w:t>
      </w:r>
      <w:r w:rsidR="00474B3D" w:rsidRPr="00E02FD7">
        <w:rPr>
          <w:color w:val="000000" w:themeColor="text1"/>
          <w:sz w:val="24"/>
          <w:szCs w:val="24"/>
        </w:rPr>
        <w:t>.</w:t>
      </w:r>
      <w:r w:rsidRPr="00E02FD7">
        <w:rPr>
          <w:color w:val="000000" w:themeColor="text1"/>
          <w:sz w:val="24"/>
          <w:szCs w:val="24"/>
        </w:rPr>
        <w:t xml:space="preserve"> </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National Institute for Health and Clinical Excellence (NICE)</w:t>
      </w:r>
      <w:r w:rsidR="004913C2" w:rsidRPr="00E02FD7">
        <w:rPr>
          <w:color w:val="000000" w:themeColor="text1"/>
          <w:sz w:val="24"/>
          <w:szCs w:val="24"/>
        </w:rPr>
        <w:t>.</w:t>
      </w:r>
      <w:r w:rsidRPr="00E02FD7">
        <w:rPr>
          <w:color w:val="000000" w:themeColor="text1"/>
          <w:sz w:val="24"/>
          <w:szCs w:val="24"/>
        </w:rPr>
        <w:t xml:space="preserve"> Acutely Ill Patients in Hospital; recognition and response to acute illness in adults in hospital</w:t>
      </w:r>
      <w:r w:rsidR="00474B3D" w:rsidRPr="00E02FD7">
        <w:rPr>
          <w:color w:val="000000" w:themeColor="text1"/>
          <w:sz w:val="24"/>
          <w:szCs w:val="24"/>
        </w:rPr>
        <w:t xml:space="preserve">. </w:t>
      </w:r>
      <w:r w:rsidRPr="00E02FD7">
        <w:rPr>
          <w:color w:val="000000" w:themeColor="text1"/>
          <w:sz w:val="24"/>
          <w:szCs w:val="24"/>
        </w:rPr>
        <w:t>2007. [http://www.nice.org.uk].</w:t>
      </w:r>
      <w:r w:rsidR="00474B3D" w:rsidRPr="00E02FD7">
        <w:rPr>
          <w:color w:val="000000" w:themeColor="text1"/>
          <w:sz w:val="24"/>
          <w:szCs w:val="24"/>
        </w:rPr>
        <w:t xml:space="preserve"> Accessed October 2014.</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Cutler L, </w:t>
      </w:r>
      <w:proofErr w:type="spellStart"/>
      <w:r w:rsidRPr="00E02FD7">
        <w:rPr>
          <w:color w:val="000000" w:themeColor="text1"/>
          <w:sz w:val="24"/>
          <w:szCs w:val="24"/>
        </w:rPr>
        <w:t>Hayter</w:t>
      </w:r>
      <w:proofErr w:type="spellEnd"/>
      <w:r w:rsidRPr="00E02FD7">
        <w:rPr>
          <w:color w:val="000000" w:themeColor="text1"/>
          <w:sz w:val="24"/>
          <w:szCs w:val="24"/>
        </w:rPr>
        <w:t xml:space="preserve"> M, Ryan T</w:t>
      </w:r>
      <w:r w:rsidR="004913C2" w:rsidRPr="00E02FD7">
        <w:rPr>
          <w:color w:val="000000" w:themeColor="text1"/>
          <w:sz w:val="24"/>
          <w:szCs w:val="24"/>
        </w:rPr>
        <w:t>.</w:t>
      </w:r>
      <w:r w:rsidRPr="00E02FD7">
        <w:rPr>
          <w:color w:val="000000" w:themeColor="text1"/>
          <w:sz w:val="24"/>
          <w:szCs w:val="24"/>
        </w:rPr>
        <w:t xml:space="preserve"> A critical review and synthesis of qualitative research on patient experiences of critical illness. </w:t>
      </w:r>
      <w:r w:rsidRPr="00E02FD7">
        <w:rPr>
          <w:i/>
          <w:color w:val="000000" w:themeColor="text1"/>
          <w:sz w:val="24"/>
          <w:szCs w:val="24"/>
        </w:rPr>
        <w:t xml:space="preserve">Intensive Care </w:t>
      </w:r>
      <w:proofErr w:type="spellStart"/>
      <w:r w:rsidRPr="00E02FD7">
        <w:rPr>
          <w:i/>
          <w:color w:val="000000" w:themeColor="text1"/>
          <w:sz w:val="24"/>
          <w:szCs w:val="24"/>
        </w:rPr>
        <w:t>Nurs</w:t>
      </w:r>
      <w:proofErr w:type="spellEnd"/>
      <w:r w:rsidRPr="00E02FD7">
        <w:rPr>
          <w:color w:val="000000" w:themeColor="text1"/>
          <w:sz w:val="24"/>
          <w:szCs w:val="24"/>
        </w:rPr>
        <w:t xml:space="preserve"> 2013</w:t>
      </w:r>
      <w:proofErr w:type="gramStart"/>
      <w:r w:rsidR="004913C2" w:rsidRPr="00E02FD7">
        <w:rPr>
          <w:color w:val="000000" w:themeColor="text1"/>
          <w:sz w:val="24"/>
          <w:szCs w:val="24"/>
        </w:rPr>
        <w:t>;</w:t>
      </w:r>
      <w:r w:rsidRPr="00E02FD7">
        <w:rPr>
          <w:color w:val="000000" w:themeColor="text1"/>
          <w:sz w:val="24"/>
          <w:szCs w:val="24"/>
        </w:rPr>
        <w:t>29:</w:t>
      </w:r>
      <w:r w:rsidR="00474B3D" w:rsidRPr="00E02FD7">
        <w:rPr>
          <w:color w:val="000000" w:themeColor="text1"/>
          <w:sz w:val="24"/>
          <w:szCs w:val="24"/>
        </w:rPr>
        <w:t>147</w:t>
      </w:r>
      <w:proofErr w:type="gramEnd"/>
      <w:r w:rsidR="00474B3D" w:rsidRPr="00E02FD7">
        <w:rPr>
          <w:color w:val="000000" w:themeColor="text1"/>
          <w:sz w:val="24"/>
          <w:szCs w:val="24"/>
        </w:rPr>
        <w:t>-</w:t>
      </w:r>
      <w:r w:rsidRPr="00E02FD7">
        <w:rPr>
          <w:color w:val="000000" w:themeColor="text1"/>
          <w:sz w:val="24"/>
          <w:szCs w:val="24"/>
        </w:rPr>
        <w:t>57.</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5741FB">
        <w:rPr>
          <w:color w:val="000000" w:themeColor="text1"/>
          <w:sz w:val="24"/>
          <w:szCs w:val="24"/>
          <w:lang w:val="fr-FR"/>
        </w:rPr>
        <w:t xml:space="preserve">Jones C, </w:t>
      </w:r>
      <w:proofErr w:type="spellStart"/>
      <w:r w:rsidRPr="005741FB">
        <w:rPr>
          <w:color w:val="000000" w:themeColor="text1"/>
          <w:sz w:val="24"/>
          <w:szCs w:val="24"/>
          <w:lang w:val="fr-FR"/>
        </w:rPr>
        <w:t>Skirrow</w:t>
      </w:r>
      <w:proofErr w:type="spellEnd"/>
      <w:r w:rsidRPr="005741FB">
        <w:rPr>
          <w:color w:val="000000" w:themeColor="text1"/>
          <w:sz w:val="24"/>
          <w:szCs w:val="24"/>
          <w:lang w:val="fr-FR"/>
        </w:rPr>
        <w:t xml:space="preserve"> P, Griffith R</w:t>
      </w:r>
      <w:r w:rsidR="002D6871" w:rsidRPr="005741FB">
        <w:rPr>
          <w:color w:val="000000" w:themeColor="text1"/>
          <w:sz w:val="24"/>
          <w:szCs w:val="24"/>
          <w:lang w:val="fr-FR"/>
        </w:rPr>
        <w:t xml:space="preserve"> et al. </w:t>
      </w:r>
      <w:r w:rsidRPr="00E02FD7">
        <w:rPr>
          <w:color w:val="000000" w:themeColor="text1"/>
          <w:sz w:val="24"/>
          <w:szCs w:val="24"/>
        </w:rPr>
        <w:t xml:space="preserve">Rehabilitation after critical illness: a randomized controlled trial. </w:t>
      </w:r>
      <w:proofErr w:type="spellStart"/>
      <w:r w:rsidRPr="00E02FD7">
        <w:rPr>
          <w:i/>
          <w:sz w:val="24"/>
          <w:szCs w:val="24"/>
        </w:rPr>
        <w:t>Crit</w:t>
      </w:r>
      <w:proofErr w:type="spellEnd"/>
      <w:r w:rsidRPr="00E02FD7">
        <w:rPr>
          <w:i/>
          <w:sz w:val="24"/>
          <w:szCs w:val="24"/>
        </w:rPr>
        <w:t xml:space="preserve"> Care Med</w:t>
      </w:r>
      <w:r w:rsidRPr="00E02FD7">
        <w:rPr>
          <w:color w:val="000000" w:themeColor="text1"/>
          <w:sz w:val="24"/>
          <w:szCs w:val="24"/>
        </w:rPr>
        <w:t xml:space="preserve"> 2003</w:t>
      </w:r>
      <w:proofErr w:type="gramStart"/>
      <w:r w:rsidR="004913C2" w:rsidRPr="00E02FD7">
        <w:rPr>
          <w:color w:val="000000" w:themeColor="text1"/>
          <w:sz w:val="24"/>
          <w:szCs w:val="24"/>
        </w:rPr>
        <w:t>;</w:t>
      </w:r>
      <w:r w:rsidRPr="00E02FD7">
        <w:rPr>
          <w:color w:val="000000" w:themeColor="text1"/>
          <w:sz w:val="24"/>
          <w:szCs w:val="24"/>
        </w:rPr>
        <w:t>31:2456</w:t>
      </w:r>
      <w:proofErr w:type="gramEnd"/>
      <w:r w:rsidRPr="00E02FD7">
        <w:rPr>
          <w:color w:val="000000" w:themeColor="text1"/>
          <w:sz w:val="24"/>
          <w:szCs w:val="24"/>
        </w:rPr>
        <w:t>-61.</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Mitchell M, Courtney M</w:t>
      </w:r>
      <w:r w:rsidR="00765B1D" w:rsidRPr="00E02FD7">
        <w:rPr>
          <w:color w:val="000000" w:themeColor="text1"/>
          <w:sz w:val="24"/>
          <w:szCs w:val="24"/>
        </w:rPr>
        <w:t>.</w:t>
      </w:r>
      <w:r w:rsidRPr="00E02FD7">
        <w:rPr>
          <w:color w:val="000000" w:themeColor="text1"/>
          <w:sz w:val="24"/>
          <w:szCs w:val="24"/>
        </w:rPr>
        <w:t xml:space="preserve"> Reducing family members' anxiety and uncertainty in illness around transfer from intensive care: an intervention study.</w:t>
      </w:r>
      <w:r w:rsidRPr="00E02FD7">
        <w:rPr>
          <w:i/>
          <w:color w:val="000000" w:themeColor="text1"/>
          <w:sz w:val="24"/>
          <w:szCs w:val="24"/>
        </w:rPr>
        <w:t xml:space="preserve"> Intensive Care </w:t>
      </w:r>
      <w:proofErr w:type="spellStart"/>
      <w:r w:rsidRPr="00E02FD7">
        <w:rPr>
          <w:i/>
          <w:color w:val="000000" w:themeColor="text1"/>
          <w:sz w:val="24"/>
          <w:szCs w:val="24"/>
        </w:rPr>
        <w:t>Nurs</w:t>
      </w:r>
      <w:proofErr w:type="spellEnd"/>
      <w:r w:rsidRPr="00E02FD7">
        <w:rPr>
          <w:i/>
          <w:color w:val="000000" w:themeColor="text1"/>
          <w:sz w:val="24"/>
          <w:szCs w:val="24"/>
        </w:rPr>
        <w:t xml:space="preserve"> </w:t>
      </w:r>
      <w:r w:rsidRPr="00E02FD7">
        <w:rPr>
          <w:color w:val="000000" w:themeColor="text1"/>
          <w:sz w:val="24"/>
          <w:szCs w:val="24"/>
        </w:rPr>
        <w:t>2004</w:t>
      </w:r>
      <w:proofErr w:type="gramStart"/>
      <w:r w:rsidR="004913C2" w:rsidRPr="00E02FD7">
        <w:rPr>
          <w:color w:val="000000" w:themeColor="text1"/>
          <w:sz w:val="24"/>
          <w:szCs w:val="24"/>
        </w:rPr>
        <w:t>;</w:t>
      </w:r>
      <w:r w:rsidRPr="00E02FD7">
        <w:rPr>
          <w:color w:val="000000" w:themeColor="text1"/>
          <w:sz w:val="24"/>
          <w:szCs w:val="24"/>
        </w:rPr>
        <w:t>20:223</w:t>
      </w:r>
      <w:proofErr w:type="gramEnd"/>
      <w:r w:rsidRPr="00E02FD7">
        <w:rPr>
          <w:color w:val="000000" w:themeColor="text1"/>
          <w:sz w:val="24"/>
          <w:szCs w:val="24"/>
        </w:rPr>
        <w:t>-31.</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Paul F, Hendry C, </w:t>
      </w:r>
      <w:proofErr w:type="spellStart"/>
      <w:r w:rsidRPr="00E02FD7">
        <w:rPr>
          <w:color w:val="000000" w:themeColor="text1"/>
          <w:sz w:val="24"/>
          <w:szCs w:val="24"/>
        </w:rPr>
        <w:t>Cabrelli</w:t>
      </w:r>
      <w:proofErr w:type="spellEnd"/>
      <w:r w:rsidRPr="00E02FD7">
        <w:rPr>
          <w:color w:val="000000" w:themeColor="text1"/>
          <w:sz w:val="24"/>
          <w:szCs w:val="24"/>
        </w:rPr>
        <w:t xml:space="preserve"> L</w:t>
      </w:r>
      <w:r w:rsidR="004913C2" w:rsidRPr="00E02FD7">
        <w:rPr>
          <w:color w:val="000000" w:themeColor="text1"/>
          <w:sz w:val="24"/>
          <w:szCs w:val="24"/>
        </w:rPr>
        <w:t>.</w:t>
      </w:r>
      <w:r w:rsidRPr="00E02FD7">
        <w:rPr>
          <w:color w:val="000000" w:themeColor="text1"/>
          <w:sz w:val="24"/>
          <w:szCs w:val="24"/>
        </w:rPr>
        <w:t xml:space="preserve"> Meeting patient and relatives' information needs upon transfer from an intensive care unit: the development and evaluation of an information booklet. </w:t>
      </w:r>
      <w:r w:rsidRPr="00E02FD7">
        <w:rPr>
          <w:i/>
          <w:sz w:val="24"/>
          <w:szCs w:val="24"/>
        </w:rPr>
        <w:t xml:space="preserve">J </w:t>
      </w:r>
      <w:proofErr w:type="spellStart"/>
      <w:r w:rsidRPr="00E02FD7">
        <w:rPr>
          <w:i/>
          <w:sz w:val="24"/>
          <w:szCs w:val="24"/>
        </w:rPr>
        <w:t>Clin</w:t>
      </w:r>
      <w:proofErr w:type="spellEnd"/>
      <w:r w:rsidRPr="00E02FD7">
        <w:rPr>
          <w:i/>
          <w:sz w:val="24"/>
          <w:szCs w:val="24"/>
        </w:rPr>
        <w:t xml:space="preserve"> </w:t>
      </w:r>
      <w:proofErr w:type="spellStart"/>
      <w:r w:rsidRPr="00E02FD7">
        <w:rPr>
          <w:i/>
          <w:sz w:val="24"/>
          <w:szCs w:val="24"/>
        </w:rPr>
        <w:t>Nurs</w:t>
      </w:r>
      <w:proofErr w:type="spellEnd"/>
      <w:r w:rsidRPr="00E02FD7">
        <w:rPr>
          <w:color w:val="000000" w:themeColor="text1"/>
          <w:sz w:val="24"/>
          <w:szCs w:val="24"/>
        </w:rPr>
        <w:t xml:space="preserve"> 2004</w:t>
      </w:r>
      <w:proofErr w:type="gramStart"/>
      <w:r w:rsidR="004913C2" w:rsidRPr="00E02FD7">
        <w:rPr>
          <w:color w:val="000000" w:themeColor="text1"/>
          <w:sz w:val="24"/>
          <w:szCs w:val="24"/>
        </w:rPr>
        <w:t>;</w:t>
      </w:r>
      <w:r w:rsidRPr="00E02FD7">
        <w:rPr>
          <w:color w:val="000000" w:themeColor="text1"/>
          <w:sz w:val="24"/>
          <w:szCs w:val="24"/>
        </w:rPr>
        <w:t>13:396</w:t>
      </w:r>
      <w:proofErr w:type="gramEnd"/>
      <w:r w:rsidRPr="00E02FD7">
        <w:rPr>
          <w:color w:val="000000" w:themeColor="text1"/>
          <w:sz w:val="24"/>
          <w:szCs w:val="24"/>
        </w:rPr>
        <w:t>-405.</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Kitchens J</w:t>
      </w:r>
      <w:r w:rsidR="004913C2" w:rsidRPr="00E02FD7">
        <w:rPr>
          <w:color w:val="000000" w:themeColor="text1"/>
          <w:sz w:val="24"/>
          <w:szCs w:val="24"/>
        </w:rPr>
        <w:t>.</w:t>
      </w:r>
      <w:r w:rsidRPr="00E02FD7">
        <w:rPr>
          <w:color w:val="000000" w:themeColor="text1"/>
          <w:sz w:val="24"/>
          <w:szCs w:val="24"/>
        </w:rPr>
        <w:t xml:space="preserve"> Effectiveness of an intensive care unit transfer brochure on family members' associated knowledge and anxiety. </w:t>
      </w:r>
      <w:proofErr w:type="spellStart"/>
      <w:r w:rsidRPr="00E02FD7">
        <w:rPr>
          <w:i/>
          <w:sz w:val="24"/>
          <w:szCs w:val="24"/>
        </w:rPr>
        <w:t>Clin</w:t>
      </w:r>
      <w:proofErr w:type="spellEnd"/>
      <w:r w:rsidRPr="00E02FD7">
        <w:rPr>
          <w:i/>
          <w:sz w:val="24"/>
          <w:szCs w:val="24"/>
        </w:rPr>
        <w:t xml:space="preserve"> Nurse Spec</w:t>
      </w:r>
      <w:r w:rsidRPr="00E02FD7">
        <w:rPr>
          <w:color w:val="000000" w:themeColor="text1"/>
          <w:sz w:val="24"/>
          <w:szCs w:val="24"/>
        </w:rPr>
        <w:t xml:space="preserve"> 2009</w:t>
      </w:r>
      <w:proofErr w:type="gramStart"/>
      <w:r w:rsidR="004913C2" w:rsidRPr="00E02FD7">
        <w:rPr>
          <w:color w:val="000000" w:themeColor="text1"/>
          <w:sz w:val="24"/>
          <w:szCs w:val="24"/>
        </w:rPr>
        <w:t>;</w:t>
      </w:r>
      <w:r w:rsidRPr="00E02FD7">
        <w:rPr>
          <w:color w:val="000000" w:themeColor="text1"/>
          <w:sz w:val="24"/>
          <w:szCs w:val="24"/>
        </w:rPr>
        <w:t>23:99</w:t>
      </w:r>
      <w:proofErr w:type="gramEnd"/>
      <w:r w:rsidRPr="00E02FD7">
        <w:rPr>
          <w:color w:val="000000" w:themeColor="text1"/>
          <w:sz w:val="24"/>
          <w:szCs w:val="24"/>
        </w:rPr>
        <w:t>.</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National Institute for Health Research (NIHR) Evaluation, Trials and Studies Coordinating Centre (NETSCC): Research methods; feasibility and pilot studies</w:t>
      </w:r>
      <w:r w:rsidR="00474B3D" w:rsidRPr="00E02FD7">
        <w:rPr>
          <w:color w:val="000000" w:themeColor="text1"/>
          <w:sz w:val="24"/>
          <w:szCs w:val="24"/>
        </w:rPr>
        <w:t>.</w:t>
      </w:r>
      <w:r w:rsidRPr="00E02FD7">
        <w:rPr>
          <w:color w:val="000000" w:themeColor="text1"/>
          <w:sz w:val="24"/>
          <w:szCs w:val="24"/>
        </w:rPr>
        <w:t>2013. [http://www.netscc.ac.uk/glossary/#glos8].</w:t>
      </w:r>
      <w:r w:rsidR="00474B3D" w:rsidRPr="00E02FD7">
        <w:rPr>
          <w:color w:val="000000" w:themeColor="text1"/>
          <w:sz w:val="24"/>
          <w:szCs w:val="24"/>
        </w:rPr>
        <w:t xml:space="preserve"> Accessed October 2014.</w:t>
      </w:r>
    </w:p>
    <w:p w:rsidR="00C51834" w:rsidRPr="00E02FD7" w:rsidRDefault="00C51834"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INVOLVE: Briefing Notes for Researchers: public involvement in NHS, public health and social care research</w:t>
      </w:r>
      <w:r w:rsidR="00474B3D" w:rsidRPr="00E02FD7">
        <w:rPr>
          <w:color w:val="000000" w:themeColor="text1"/>
          <w:sz w:val="24"/>
          <w:szCs w:val="24"/>
        </w:rPr>
        <w:t xml:space="preserve">. </w:t>
      </w:r>
      <w:r w:rsidRPr="00E02FD7">
        <w:rPr>
          <w:color w:val="000000" w:themeColor="text1"/>
          <w:sz w:val="24"/>
          <w:szCs w:val="24"/>
        </w:rPr>
        <w:t>2012. [http://www.invo.org.uk/wp-content/uploads/2012/04/INVOLVEBriefingNotesApr2012.pdf].</w:t>
      </w:r>
      <w:r w:rsidR="00474B3D" w:rsidRPr="00E02FD7">
        <w:rPr>
          <w:color w:val="000000" w:themeColor="text1"/>
          <w:sz w:val="24"/>
          <w:szCs w:val="24"/>
        </w:rPr>
        <w:t xml:space="preserve"> Accessed October 2014.</w:t>
      </w:r>
    </w:p>
    <w:p w:rsidR="00C51834" w:rsidRPr="00E02FD7" w:rsidRDefault="00C51834"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Morrow E, Boaz A, </w:t>
      </w:r>
      <w:proofErr w:type="spellStart"/>
      <w:r w:rsidRPr="00E02FD7">
        <w:rPr>
          <w:color w:val="000000" w:themeColor="text1"/>
          <w:sz w:val="24"/>
          <w:szCs w:val="24"/>
        </w:rPr>
        <w:t>Brearley</w:t>
      </w:r>
      <w:proofErr w:type="spellEnd"/>
      <w:r w:rsidRPr="00E02FD7">
        <w:rPr>
          <w:color w:val="000000" w:themeColor="text1"/>
          <w:sz w:val="24"/>
          <w:szCs w:val="24"/>
        </w:rPr>
        <w:t xml:space="preserve"> S</w:t>
      </w:r>
      <w:r w:rsidR="002D6871" w:rsidRPr="00E02FD7">
        <w:rPr>
          <w:color w:val="000000" w:themeColor="text1"/>
          <w:sz w:val="24"/>
          <w:szCs w:val="24"/>
        </w:rPr>
        <w:t xml:space="preserve"> et al. </w:t>
      </w:r>
      <w:r w:rsidRPr="00E02FD7">
        <w:rPr>
          <w:color w:val="000000" w:themeColor="text1"/>
          <w:sz w:val="24"/>
          <w:szCs w:val="24"/>
        </w:rPr>
        <w:t xml:space="preserve">Handbook of service user involvement in nursing and healthcare research. Chichester: Wiley-Blackwell </w:t>
      </w:r>
      <w:r w:rsidR="001A0F00" w:rsidRPr="00E02FD7">
        <w:rPr>
          <w:color w:val="000000" w:themeColor="text1"/>
          <w:sz w:val="24"/>
          <w:szCs w:val="24"/>
        </w:rPr>
        <w:t>2012.</w:t>
      </w:r>
    </w:p>
    <w:p w:rsidR="00C51834" w:rsidRPr="00E02FD7" w:rsidRDefault="00C51834"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Department of Health (DH): Comprehensive critical care; a review of adult critical care services. </w:t>
      </w:r>
      <w:r w:rsidR="00474B3D" w:rsidRPr="00E02FD7">
        <w:rPr>
          <w:color w:val="000000" w:themeColor="text1"/>
          <w:sz w:val="24"/>
          <w:szCs w:val="24"/>
        </w:rPr>
        <w:t xml:space="preserve">2000. </w:t>
      </w:r>
      <w:r w:rsidRPr="00E02FD7">
        <w:rPr>
          <w:color w:val="000000" w:themeColor="text1"/>
          <w:sz w:val="24"/>
          <w:szCs w:val="24"/>
        </w:rPr>
        <w:t>London: Crown copyright</w:t>
      </w:r>
      <w:r w:rsidR="00474B3D" w:rsidRPr="00E02FD7">
        <w:rPr>
          <w:color w:val="000000" w:themeColor="text1"/>
          <w:sz w:val="24"/>
          <w:szCs w:val="24"/>
        </w:rPr>
        <w:t>.</w:t>
      </w:r>
      <w:r w:rsidRPr="00E02FD7">
        <w:rPr>
          <w:color w:val="000000" w:themeColor="text1"/>
          <w:sz w:val="24"/>
          <w:szCs w:val="24"/>
        </w:rPr>
        <w:t xml:space="preserve"> </w:t>
      </w:r>
    </w:p>
    <w:p w:rsidR="00C51834" w:rsidRPr="00E02FD7" w:rsidRDefault="00C51834"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Her Majesty’s Stationary Office (HMSO): Mental Capacity Act</w:t>
      </w:r>
      <w:r w:rsidR="00474B3D" w:rsidRPr="00E02FD7">
        <w:rPr>
          <w:color w:val="000000" w:themeColor="text1"/>
          <w:sz w:val="24"/>
          <w:szCs w:val="24"/>
        </w:rPr>
        <w:t xml:space="preserve">. </w:t>
      </w:r>
      <w:r w:rsidRPr="00E02FD7">
        <w:rPr>
          <w:color w:val="000000" w:themeColor="text1"/>
          <w:sz w:val="24"/>
          <w:szCs w:val="24"/>
        </w:rPr>
        <w:t>2005. [http://www.legislation.gov.uk/ukpga/2005/9/contents].</w:t>
      </w:r>
      <w:r w:rsidR="00474B3D" w:rsidRPr="00E02FD7">
        <w:rPr>
          <w:color w:val="000000" w:themeColor="text1"/>
          <w:sz w:val="24"/>
          <w:szCs w:val="24"/>
        </w:rPr>
        <w:t xml:space="preserve"> </w:t>
      </w:r>
      <w:r w:rsidRPr="00E02FD7">
        <w:rPr>
          <w:color w:val="000000" w:themeColor="text1"/>
          <w:sz w:val="24"/>
          <w:szCs w:val="24"/>
        </w:rPr>
        <w:t xml:space="preserve"> </w:t>
      </w:r>
      <w:r w:rsidR="00474B3D" w:rsidRPr="00E02FD7">
        <w:rPr>
          <w:color w:val="000000" w:themeColor="text1"/>
          <w:sz w:val="24"/>
          <w:szCs w:val="24"/>
        </w:rPr>
        <w:t>Accessed October 2014.</w:t>
      </w:r>
    </w:p>
    <w:p w:rsidR="00C51834" w:rsidRPr="00E02FD7" w:rsidRDefault="00C51834"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Leventhal H, Meyer D, </w:t>
      </w:r>
      <w:proofErr w:type="spellStart"/>
      <w:r w:rsidRPr="00E02FD7">
        <w:rPr>
          <w:color w:val="000000" w:themeColor="text1"/>
          <w:sz w:val="24"/>
          <w:szCs w:val="24"/>
        </w:rPr>
        <w:t>Nerenz</w:t>
      </w:r>
      <w:proofErr w:type="spellEnd"/>
      <w:r w:rsidRPr="00E02FD7">
        <w:rPr>
          <w:color w:val="000000" w:themeColor="text1"/>
          <w:sz w:val="24"/>
          <w:szCs w:val="24"/>
        </w:rPr>
        <w:t xml:space="preserve"> D</w:t>
      </w:r>
      <w:r w:rsidR="004913C2" w:rsidRPr="00E02FD7">
        <w:rPr>
          <w:color w:val="000000" w:themeColor="text1"/>
          <w:sz w:val="24"/>
          <w:szCs w:val="24"/>
        </w:rPr>
        <w:t>.</w:t>
      </w:r>
      <w:r w:rsidRPr="00E02FD7">
        <w:rPr>
          <w:color w:val="000000" w:themeColor="text1"/>
          <w:sz w:val="24"/>
          <w:szCs w:val="24"/>
        </w:rPr>
        <w:t xml:space="preserve"> The common sense representation of illness danger. In</w:t>
      </w:r>
      <w:r w:rsidR="001A0F00" w:rsidRPr="00E02FD7">
        <w:rPr>
          <w:color w:val="000000" w:themeColor="text1"/>
          <w:sz w:val="24"/>
          <w:szCs w:val="24"/>
        </w:rPr>
        <w:t>:</w:t>
      </w:r>
      <w:r w:rsidRPr="00E02FD7">
        <w:rPr>
          <w:color w:val="000000" w:themeColor="text1"/>
          <w:sz w:val="24"/>
          <w:szCs w:val="24"/>
        </w:rPr>
        <w:t xml:space="preserve"> </w:t>
      </w:r>
      <w:proofErr w:type="spellStart"/>
      <w:r w:rsidR="001A0F00" w:rsidRPr="00E02FD7">
        <w:rPr>
          <w:color w:val="000000" w:themeColor="text1"/>
          <w:sz w:val="24"/>
          <w:szCs w:val="24"/>
        </w:rPr>
        <w:t>Rachman</w:t>
      </w:r>
      <w:proofErr w:type="spellEnd"/>
      <w:r w:rsidR="001A0F00" w:rsidRPr="00E02FD7">
        <w:rPr>
          <w:color w:val="000000" w:themeColor="text1"/>
          <w:sz w:val="24"/>
          <w:szCs w:val="24"/>
        </w:rPr>
        <w:t xml:space="preserve"> S, eds. </w:t>
      </w:r>
      <w:r w:rsidRPr="00E02FD7">
        <w:rPr>
          <w:i/>
          <w:color w:val="000000" w:themeColor="text1"/>
          <w:sz w:val="24"/>
          <w:szCs w:val="24"/>
        </w:rPr>
        <w:t xml:space="preserve">Contributions to Medical Psychology, </w:t>
      </w:r>
      <w:proofErr w:type="spellStart"/>
      <w:r w:rsidRPr="00E02FD7">
        <w:rPr>
          <w:i/>
          <w:color w:val="000000" w:themeColor="text1"/>
          <w:sz w:val="24"/>
          <w:szCs w:val="24"/>
        </w:rPr>
        <w:t>vol</w:t>
      </w:r>
      <w:proofErr w:type="spellEnd"/>
      <w:r w:rsidRPr="00E02FD7">
        <w:rPr>
          <w:i/>
          <w:color w:val="000000" w:themeColor="text1"/>
          <w:sz w:val="24"/>
          <w:szCs w:val="24"/>
        </w:rPr>
        <w:t xml:space="preserve"> 2.</w:t>
      </w:r>
      <w:r w:rsidRPr="00E02FD7">
        <w:rPr>
          <w:color w:val="000000" w:themeColor="text1"/>
          <w:sz w:val="24"/>
          <w:szCs w:val="24"/>
        </w:rPr>
        <w:t xml:space="preserve"> New York: </w:t>
      </w:r>
      <w:proofErr w:type="spellStart"/>
      <w:r w:rsidRPr="00E02FD7">
        <w:rPr>
          <w:color w:val="000000" w:themeColor="text1"/>
          <w:sz w:val="24"/>
          <w:szCs w:val="24"/>
        </w:rPr>
        <w:t>Pergamom</w:t>
      </w:r>
      <w:proofErr w:type="spellEnd"/>
      <w:r w:rsidRPr="00E02FD7">
        <w:rPr>
          <w:color w:val="000000" w:themeColor="text1"/>
          <w:sz w:val="24"/>
          <w:szCs w:val="24"/>
        </w:rPr>
        <w:t xml:space="preserve"> press</w:t>
      </w:r>
      <w:r w:rsidR="001A0F00" w:rsidRPr="00E02FD7">
        <w:rPr>
          <w:color w:val="000000" w:themeColor="text1"/>
          <w:sz w:val="24"/>
          <w:szCs w:val="24"/>
        </w:rPr>
        <w:t xml:space="preserve"> 1980:</w:t>
      </w:r>
      <w:r w:rsidRPr="00E02FD7">
        <w:rPr>
          <w:color w:val="000000" w:themeColor="text1"/>
          <w:sz w:val="24"/>
          <w:szCs w:val="24"/>
        </w:rPr>
        <w:t>7-30.</w:t>
      </w:r>
    </w:p>
    <w:p w:rsidR="00C51834" w:rsidRPr="00E02FD7" w:rsidRDefault="00C51834"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Johnson J, </w:t>
      </w:r>
      <w:proofErr w:type="spellStart"/>
      <w:r w:rsidRPr="00E02FD7">
        <w:rPr>
          <w:color w:val="000000" w:themeColor="text1"/>
          <w:sz w:val="24"/>
          <w:szCs w:val="24"/>
        </w:rPr>
        <w:t>Lauver</w:t>
      </w:r>
      <w:proofErr w:type="spellEnd"/>
      <w:r w:rsidRPr="00E02FD7">
        <w:rPr>
          <w:color w:val="000000" w:themeColor="text1"/>
          <w:sz w:val="24"/>
          <w:szCs w:val="24"/>
        </w:rPr>
        <w:t xml:space="preserve"> D</w:t>
      </w:r>
      <w:r w:rsidR="004913C2" w:rsidRPr="00E02FD7">
        <w:rPr>
          <w:color w:val="000000" w:themeColor="text1"/>
          <w:sz w:val="24"/>
          <w:szCs w:val="24"/>
        </w:rPr>
        <w:t>.</w:t>
      </w:r>
      <w:r w:rsidRPr="00E02FD7">
        <w:rPr>
          <w:color w:val="000000" w:themeColor="text1"/>
          <w:sz w:val="24"/>
          <w:szCs w:val="24"/>
        </w:rPr>
        <w:t xml:space="preserve"> Alternative explanations of coping with stressful experiences associated with physical illness. </w:t>
      </w:r>
      <w:proofErr w:type="spellStart"/>
      <w:r w:rsidRPr="00E02FD7">
        <w:rPr>
          <w:i/>
          <w:sz w:val="24"/>
          <w:szCs w:val="24"/>
        </w:rPr>
        <w:t>Adv</w:t>
      </w:r>
      <w:proofErr w:type="spellEnd"/>
      <w:r w:rsidRPr="00E02FD7">
        <w:rPr>
          <w:i/>
          <w:sz w:val="24"/>
          <w:szCs w:val="24"/>
        </w:rPr>
        <w:t xml:space="preserve"> </w:t>
      </w:r>
      <w:proofErr w:type="spellStart"/>
      <w:r w:rsidRPr="00E02FD7">
        <w:rPr>
          <w:i/>
          <w:sz w:val="24"/>
          <w:szCs w:val="24"/>
        </w:rPr>
        <w:t>Nurs</w:t>
      </w:r>
      <w:proofErr w:type="spellEnd"/>
      <w:r w:rsidRPr="00E02FD7">
        <w:rPr>
          <w:i/>
          <w:sz w:val="24"/>
          <w:szCs w:val="24"/>
        </w:rPr>
        <w:t xml:space="preserve"> </w:t>
      </w:r>
      <w:proofErr w:type="spellStart"/>
      <w:r w:rsidRPr="00E02FD7">
        <w:rPr>
          <w:i/>
          <w:sz w:val="24"/>
          <w:szCs w:val="24"/>
        </w:rPr>
        <w:t>Sci</w:t>
      </w:r>
      <w:proofErr w:type="spellEnd"/>
      <w:r w:rsidRPr="00E02FD7">
        <w:rPr>
          <w:color w:val="000000" w:themeColor="text1"/>
          <w:sz w:val="24"/>
          <w:szCs w:val="24"/>
        </w:rPr>
        <w:t xml:space="preserve"> 1989</w:t>
      </w:r>
      <w:proofErr w:type="gramStart"/>
      <w:r w:rsidR="004913C2" w:rsidRPr="00E02FD7">
        <w:rPr>
          <w:color w:val="000000" w:themeColor="text1"/>
          <w:sz w:val="24"/>
          <w:szCs w:val="24"/>
        </w:rPr>
        <w:t>;</w:t>
      </w:r>
      <w:r w:rsidRPr="00E02FD7">
        <w:rPr>
          <w:color w:val="000000" w:themeColor="text1"/>
          <w:sz w:val="24"/>
          <w:szCs w:val="24"/>
        </w:rPr>
        <w:t>11:39</w:t>
      </w:r>
      <w:proofErr w:type="gramEnd"/>
      <w:r w:rsidRPr="00E02FD7">
        <w:rPr>
          <w:color w:val="000000" w:themeColor="text1"/>
          <w:sz w:val="24"/>
          <w:szCs w:val="24"/>
        </w:rPr>
        <w:t>-52.</w:t>
      </w:r>
    </w:p>
    <w:p w:rsidR="00514E18" w:rsidRPr="00E02FD7" w:rsidRDefault="00514E18" w:rsidP="00E02FD7">
      <w:pPr>
        <w:pStyle w:val="ListParagraph"/>
        <w:numPr>
          <w:ilvl w:val="0"/>
          <w:numId w:val="3"/>
        </w:numPr>
        <w:spacing w:line="480" w:lineRule="auto"/>
        <w:ind w:left="567" w:hanging="567"/>
        <w:rPr>
          <w:sz w:val="24"/>
          <w:szCs w:val="24"/>
        </w:rPr>
      </w:pPr>
      <w:proofErr w:type="spellStart"/>
      <w:r w:rsidRPr="00E02FD7">
        <w:rPr>
          <w:color w:val="000000" w:themeColor="text1"/>
          <w:sz w:val="24"/>
          <w:szCs w:val="24"/>
        </w:rPr>
        <w:t>Hagger</w:t>
      </w:r>
      <w:proofErr w:type="spellEnd"/>
      <w:r w:rsidRPr="00E02FD7">
        <w:rPr>
          <w:color w:val="000000" w:themeColor="text1"/>
          <w:sz w:val="24"/>
          <w:szCs w:val="24"/>
        </w:rPr>
        <w:t xml:space="preserve"> M, </w:t>
      </w:r>
      <w:proofErr w:type="spellStart"/>
      <w:r w:rsidRPr="00E02FD7">
        <w:rPr>
          <w:color w:val="000000" w:themeColor="text1"/>
          <w:sz w:val="24"/>
          <w:szCs w:val="24"/>
        </w:rPr>
        <w:t>Orbell</w:t>
      </w:r>
      <w:proofErr w:type="spellEnd"/>
      <w:r w:rsidRPr="00E02FD7">
        <w:rPr>
          <w:color w:val="000000" w:themeColor="text1"/>
          <w:sz w:val="24"/>
          <w:szCs w:val="24"/>
        </w:rPr>
        <w:t xml:space="preserve"> S</w:t>
      </w:r>
      <w:r w:rsidR="004913C2" w:rsidRPr="00E02FD7">
        <w:rPr>
          <w:color w:val="000000" w:themeColor="text1"/>
          <w:sz w:val="24"/>
          <w:szCs w:val="24"/>
        </w:rPr>
        <w:t xml:space="preserve">. </w:t>
      </w:r>
      <w:r w:rsidRPr="00E02FD7">
        <w:rPr>
          <w:color w:val="000000" w:themeColor="text1"/>
          <w:sz w:val="24"/>
          <w:szCs w:val="24"/>
        </w:rPr>
        <w:t xml:space="preserve">A meta-analytic review of the common sense model of illness representations. </w:t>
      </w:r>
      <w:r w:rsidRPr="00E02FD7">
        <w:rPr>
          <w:i/>
          <w:color w:val="000000" w:themeColor="text1"/>
          <w:sz w:val="24"/>
          <w:szCs w:val="24"/>
        </w:rPr>
        <w:t>Psychol.</w:t>
      </w:r>
      <w:r w:rsidR="004913C2" w:rsidRPr="00E02FD7">
        <w:rPr>
          <w:i/>
          <w:color w:val="000000" w:themeColor="text1"/>
          <w:sz w:val="24"/>
          <w:szCs w:val="24"/>
        </w:rPr>
        <w:t xml:space="preserve"> </w:t>
      </w:r>
      <w:r w:rsidRPr="00E02FD7">
        <w:rPr>
          <w:i/>
          <w:color w:val="000000" w:themeColor="text1"/>
          <w:sz w:val="24"/>
          <w:szCs w:val="24"/>
        </w:rPr>
        <w:t>Health</w:t>
      </w:r>
      <w:r w:rsidRPr="00E02FD7">
        <w:rPr>
          <w:color w:val="000000" w:themeColor="text1"/>
          <w:sz w:val="24"/>
          <w:szCs w:val="24"/>
        </w:rPr>
        <w:t xml:space="preserve"> 2003</w:t>
      </w:r>
      <w:proofErr w:type="gramStart"/>
      <w:r w:rsidR="004913C2" w:rsidRPr="00E02FD7">
        <w:rPr>
          <w:color w:val="000000" w:themeColor="text1"/>
          <w:sz w:val="24"/>
          <w:szCs w:val="24"/>
        </w:rPr>
        <w:t>;</w:t>
      </w:r>
      <w:r w:rsidRPr="00E02FD7">
        <w:rPr>
          <w:color w:val="000000" w:themeColor="text1"/>
          <w:sz w:val="24"/>
          <w:szCs w:val="24"/>
        </w:rPr>
        <w:t>18:141</w:t>
      </w:r>
      <w:proofErr w:type="gramEnd"/>
      <w:r w:rsidRPr="00E02FD7">
        <w:rPr>
          <w:color w:val="000000" w:themeColor="text1"/>
          <w:sz w:val="24"/>
          <w:szCs w:val="24"/>
        </w:rPr>
        <w:t>-184.</w:t>
      </w:r>
    </w:p>
    <w:p w:rsidR="00EC08DF" w:rsidRPr="00E02FD7" w:rsidRDefault="00EC08DF"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Bench S, Day T, Griffiths P. Developing user centred critical care discharge information to support early critical illness rehabilitation using the Medical Research Council's complex interventions framework. </w:t>
      </w:r>
      <w:r w:rsidRPr="00E02FD7">
        <w:rPr>
          <w:i/>
          <w:color w:val="000000" w:themeColor="text1"/>
          <w:sz w:val="24"/>
          <w:szCs w:val="24"/>
        </w:rPr>
        <w:t xml:space="preserve">Intensive Care </w:t>
      </w:r>
      <w:proofErr w:type="spellStart"/>
      <w:r w:rsidRPr="00E02FD7">
        <w:rPr>
          <w:i/>
          <w:color w:val="000000" w:themeColor="text1"/>
          <w:sz w:val="24"/>
          <w:szCs w:val="24"/>
        </w:rPr>
        <w:t>Nurs</w:t>
      </w:r>
      <w:proofErr w:type="spellEnd"/>
      <w:r w:rsidRPr="00E02FD7">
        <w:rPr>
          <w:color w:val="000000" w:themeColor="text1"/>
          <w:sz w:val="24"/>
          <w:szCs w:val="24"/>
        </w:rPr>
        <w:t xml:space="preserve"> 2012</w:t>
      </w:r>
      <w:proofErr w:type="gramStart"/>
      <w:r w:rsidRPr="00E02FD7">
        <w:rPr>
          <w:color w:val="000000" w:themeColor="text1"/>
          <w:sz w:val="24"/>
          <w:szCs w:val="24"/>
        </w:rPr>
        <w:t>;28:123</w:t>
      </w:r>
      <w:proofErr w:type="gramEnd"/>
      <w:r w:rsidRPr="00E02FD7">
        <w:rPr>
          <w:color w:val="000000" w:themeColor="text1"/>
          <w:sz w:val="24"/>
          <w:szCs w:val="24"/>
        </w:rPr>
        <w:t>-131.</w:t>
      </w:r>
    </w:p>
    <w:p w:rsidR="009833A8" w:rsidRPr="00E02FD7" w:rsidRDefault="009833A8" w:rsidP="00E02FD7">
      <w:pPr>
        <w:pStyle w:val="ListParagraph"/>
        <w:numPr>
          <w:ilvl w:val="0"/>
          <w:numId w:val="3"/>
        </w:numPr>
        <w:spacing w:line="480" w:lineRule="auto"/>
        <w:ind w:left="567" w:hanging="567"/>
        <w:rPr>
          <w:color w:val="000000" w:themeColor="text1"/>
          <w:sz w:val="24"/>
          <w:szCs w:val="24"/>
        </w:rPr>
      </w:pPr>
      <w:r w:rsidRPr="00E02FD7">
        <w:rPr>
          <w:sz w:val="24"/>
          <w:szCs w:val="24"/>
        </w:rPr>
        <w:t>Fogg L</w:t>
      </w:r>
      <w:r w:rsidR="00B47853" w:rsidRPr="00E02FD7">
        <w:rPr>
          <w:sz w:val="24"/>
          <w:szCs w:val="24"/>
        </w:rPr>
        <w:t>,</w:t>
      </w:r>
      <w:r w:rsidRPr="00E02FD7">
        <w:rPr>
          <w:sz w:val="24"/>
          <w:szCs w:val="24"/>
        </w:rPr>
        <w:t xml:space="preserve"> Gross D. Threats to validity in randomized clinical trials. </w:t>
      </w:r>
      <w:r w:rsidRPr="00E02FD7">
        <w:rPr>
          <w:i/>
          <w:sz w:val="24"/>
          <w:szCs w:val="24"/>
        </w:rPr>
        <w:t>Research in Nursing &amp; Health</w:t>
      </w:r>
      <w:r w:rsidRPr="00E02FD7">
        <w:rPr>
          <w:sz w:val="24"/>
          <w:szCs w:val="24"/>
        </w:rPr>
        <w:t xml:space="preserve"> </w:t>
      </w:r>
      <w:r w:rsidR="00B47853" w:rsidRPr="00E02FD7">
        <w:rPr>
          <w:sz w:val="24"/>
          <w:szCs w:val="24"/>
        </w:rPr>
        <w:t xml:space="preserve">2000; </w:t>
      </w:r>
      <w:r w:rsidRPr="00E02FD7">
        <w:rPr>
          <w:sz w:val="24"/>
          <w:szCs w:val="24"/>
        </w:rPr>
        <w:t>23</w:t>
      </w:r>
      <w:r w:rsidR="00B47853" w:rsidRPr="00E02FD7">
        <w:rPr>
          <w:sz w:val="24"/>
          <w:szCs w:val="24"/>
        </w:rPr>
        <w:t>:</w:t>
      </w:r>
      <w:r w:rsidRPr="00E02FD7">
        <w:rPr>
          <w:sz w:val="24"/>
          <w:szCs w:val="24"/>
        </w:rPr>
        <w:t>79-87.</w:t>
      </w:r>
    </w:p>
    <w:p w:rsidR="009833A8" w:rsidRPr="00E02FD7" w:rsidRDefault="009833A8" w:rsidP="00E02FD7">
      <w:pPr>
        <w:pStyle w:val="ListParagraph"/>
        <w:numPr>
          <w:ilvl w:val="0"/>
          <w:numId w:val="3"/>
        </w:numPr>
        <w:spacing w:line="480" w:lineRule="auto"/>
        <w:ind w:left="567" w:hanging="567"/>
        <w:rPr>
          <w:color w:val="000000" w:themeColor="text1"/>
          <w:sz w:val="24"/>
          <w:szCs w:val="24"/>
        </w:rPr>
      </w:pPr>
      <w:proofErr w:type="spellStart"/>
      <w:r w:rsidRPr="00E02FD7">
        <w:rPr>
          <w:sz w:val="24"/>
          <w:szCs w:val="24"/>
        </w:rPr>
        <w:t>Finiss</w:t>
      </w:r>
      <w:proofErr w:type="spellEnd"/>
      <w:r w:rsidRPr="00E02FD7">
        <w:rPr>
          <w:sz w:val="24"/>
          <w:szCs w:val="24"/>
        </w:rPr>
        <w:t xml:space="preserve"> D, </w:t>
      </w:r>
      <w:proofErr w:type="spellStart"/>
      <w:r w:rsidRPr="00E02FD7">
        <w:rPr>
          <w:sz w:val="24"/>
          <w:szCs w:val="24"/>
        </w:rPr>
        <w:t>Kaptchuk</w:t>
      </w:r>
      <w:proofErr w:type="spellEnd"/>
      <w:r w:rsidRPr="00E02FD7">
        <w:rPr>
          <w:sz w:val="24"/>
          <w:szCs w:val="24"/>
        </w:rPr>
        <w:t xml:space="preserve"> T, Miller F</w:t>
      </w:r>
      <w:r w:rsidR="00BB1749" w:rsidRPr="00E02FD7">
        <w:rPr>
          <w:sz w:val="24"/>
          <w:szCs w:val="24"/>
        </w:rPr>
        <w:t xml:space="preserve"> et al. </w:t>
      </w:r>
      <w:r w:rsidRPr="00E02FD7">
        <w:rPr>
          <w:sz w:val="24"/>
          <w:szCs w:val="24"/>
        </w:rPr>
        <w:t xml:space="preserve">Biological, clinical and ethical advances of placebo effects. </w:t>
      </w:r>
      <w:r w:rsidRPr="00E02FD7">
        <w:rPr>
          <w:i/>
          <w:sz w:val="24"/>
          <w:szCs w:val="24"/>
        </w:rPr>
        <w:t>Lancet</w:t>
      </w:r>
      <w:r w:rsidRPr="00E02FD7">
        <w:rPr>
          <w:sz w:val="24"/>
          <w:szCs w:val="24"/>
        </w:rPr>
        <w:t xml:space="preserve"> </w:t>
      </w:r>
      <w:r w:rsidR="00BB1749" w:rsidRPr="00E02FD7">
        <w:rPr>
          <w:sz w:val="24"/>
          <w:szCs w:val="24"/>
        </w:rPr>
        <w:t xml:space="preserve">2010; </w:t>
      </w:r>
      <w:r w:rsidRPr="00E02FD7">
        <w:rPr>
          <w:sz w:val="24"/>
          <w:szCs w:val="24"/>
        </w:rPr>
        <w:t>375</w:t>
      </w:r>
      <w:r w:rsidR="00BB1749" w:rsidRPr="00E02FD7">
        <w:rPr>
          <w:sz w:val="24"/>
          <w:szCs w:val="24"/>
        </w:rPr>
        <w:t>:</w:t>
      </w:r>
      <w:r w:rsidRPr="00E02FD7">
        <w:rPr>
          <w:sz w:val="24"/>
          <w:szCs w:val="24"/>
        </w:rPr>
        <w:t>686-695.</w:t>
      </w:r>
    </w:p>
    <w:p w:rsidR="00A118C5" w:rsidRPr="00E02FD7" w:rsidRDefault="00A118C5" w:rsidP="00E02FD7">
      <w:pPr>
        <w:pStyle w:val="ListParagraph"/>
        <w:numPr>
          <w:ilvl w:val="0"/>
          <w:numId w:val="3"/>
        </w:numPr>
        <w:spacing w:line="480" w:lineRule="auto"/>
        <w:ind w:left="567" w:hanging="567"/>
        <w:rPr>
          <w:color w:val="000000" w:themeColor="text1"/>
          <w:sz w:val="24"/>
          <w:szCs w:val="24"/>
        </w:rPr>
      </w:pPr>
      <w:proofErr w:type="spellStart"/>
      <w:r w:rsidRPr="00E02FD7">
        <w:rPr>
          <w:color w:val="000000" w:themeColor="text1"/>
          <w:sz w:val="24"/>
          <w:szCs w:val="24"/>
        </w:rPr>
        <w:t>ICUsteps</w:t>
      </w:r>
      <w:proofErr w:type="spellEnd"/>
      <w:r w:rsidRPr="00E02FD7">
        <w:rPr>
          <w:color w:val="000000" w:themeColor="text1"/>
          <w:sz w:val="24"/>
          <w:szCs w:val="24"/>
        </w:rPr>
        <w:t>: Intensive Care; a guide for patients and relatives (2010). [http://www.icusteps.org].</w:t>
      </w:r>
      <w:r w:rsidR="00474B3D" w:rsidRPr="00E02FD7">
        <w:rPr>
          <w:color w:val="000000" w:themeColor="text1"/>
          <w:sz w:val="24"/>
          <w:szCs w:val="24"/>
        </w:rPr>
        <w:t xml:space="preserve"> Accessed October 2014.</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proofErr w:type="spellStart"/>
      <w:r w:rsidRPr="00E02FD7">
        <w:rPr>
          <w:color w:val="000000" w:themeColor="text1"/>
          <w:sz w:val="24"/>
          <w:szCs w:val="24"/>
        </w:rPr>
        <w:t>Zigmond</w:t>
      </w:r>
      <w:proofErr w:type="spellEnd"/>
      <w:r w:rsidRPr="00E02FD7">
        <w:rPr>
          <w:color w:val="000000" w:themeColor="text1"/>
          <w:sz w:val="24"/>
          <w:szCs w:val="24"/>
        </w:rPr>
        <w:t xml:space="preserve"> A, </w:t>
      </w:r>
      <w:proofErr w:type="spellStart"/>
      <w:r w:rsidRPr="00E02FD7">
        <w:rPr>
          <w:color w:val="000000" w:themeColor="text1"/>
          <w:sz w:val="24"/>
          <w:szCs w:val="24"/>
        </w:rPr>
        <w:t>Snaith</w:t>
      </w:r>
      <w:proofErr w:type="spellEnd"/>
      <w:r w:rsidRPr="00E02FD7">
        <w:rPr>
          <w:color w:val="000000" w:themeColor="text1"/>
          <w:sz w:val="24"/>
          <w:szCs w:val="24"/>
        </w:rPr>
        <w:t xml:space="preserve"> R</w:t>
      </w:r>
      <w:r w:rsidR="004913C2" w:rsidRPr="00E02FD7">
        <w:rPr>
          <w:color w:val="000000" w:themeColor="text1"/>
          <w:sz w:val="24"/>
          <w:szCs w:val="24"/>
        </w:rPr>
        <w:t>.</w:t>
      </w:r>
      <w:r w:rsidRPr="00E02FD7">
        <w:rPr>
          <w:color w:val="000000" w:themeColor="text1"/>
          <w:sz w:val="24"/>
          <w:szCs w:val="24"/>
        </w:rPr>
        <w:t xml:space="preserve"> The hospital anxiety and depression scale. </w:t>
      </w:r>
      <w:proofErr w:type="spellStart"/>
      <w:r w:rsidRPr="00E02FD7">
        <w:rPr>
          <w:i/>
          <w:sz w:val="24"/>
          <w:szCs w:val="24"/>
        </w:rPr>
        <w:t>Acta</w:t>
      </w:r>
      <w:proofErr w:type="spellEnd"/>
      <w:r w:rsidRPr="00E02FD7">
        <w:rPr>
          <w:i/>
          <w:sz w:val="24"/>
          <w:szCs w:val="24"/>
        </w:rPr>
        <w:t xml:space="preserve"> </w:t>
      </w:r>
      <w:proofErr w:type="spellStart"/>
      <w:r w:rsidRPr="00E02FD7">
        <w:rPr>
          <w:i/>
          <w:sz w:val="24"/>
          <w:szCs w:val="24"/>
        </w:rPr>
        <w:t>Psychiatr</w:t>
      </w:r>
      <w:proofErr w:type="spellEnd"/>
      <w:r w:rsidRPr="00E02FD7">
        <w:rPr>
          <w:i/>
          <w:sz w:val="24"/>
          <w:szCs w:val="24"/>
        </w:rPr>
        <w:t xml:space="preserve"> </w:t>
      </w:r>
      <w:proofErr w:type="spellStart"/>
      <w:r w:rsidRPr="00E02FD7">
        <w:rPr>
          <w:i/>
          <w:sz w:val="24"/>
          <w:szCs w:val="24"/>
        </w:rPr>
        <w:t>Scand</w:t>
      </w:r>
      <w:proofErr w:type="spellEnd"/>
      <w:r w:rsidRPr="00E02FD7">
        <w:rPr>
          <w:i/>
          <w:color w:val="000000" w:themeColor="text1"/>
          <w:sz w:val="24"/>
          <w:szCs w:val="24"/>
        </w:rPr>
        <w:t xml:space="preserve"> </w:t>
      </w:r>
      <w:r w:rsidRPr="00E02FD7">
        <w:rPr>
          <w:color w:val="000000" w:themeColor="text1"/>
          <w:sz w:val="24"/>
          <w:szCs w:val="24"/>
        </w:rPr>
        <w:t>1983</w:t>
      </w:r>
      <w:proofErr w:type="gramStart"/>
      <w:r w:rsidR="004913C2" w:rsidRPr="00E02FD7">
        <w:rPr>
          <w:color w:val="000000" w:themeColor="text1"/>
          <w:sz w:val="24"/>
          <w:szCs w:val="24"/>
        </w:rPr>
        <w:t>;</w:t>
      </w:r>
      <w:r w:rsidRPr="00E02FD7">
        <w:rPr>
          <w:color w:val="000000" w:themeColor="text1"/>
          <w:sz w:val="24"/>
          <w:szCs w:val="24"/>
        </w:rPr>
        <w:t>67:361</w:t>
      </w:r>
      <w:proofErr w:type="gramEnd"/>
      <w:r w:rsidRPr="00E02FD7">
        <w:rPr>
          <w:color w:val="000000" w:themeColor="text1"/>
          <w:sz w:val="24"/>
          <w:szCs w:val="24"/>
        </w:rPr>
        <w:t>-70.</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proofErr w:type="spellStart"/>
      <w:r w:rsidRPr="005741FB">
        <w:rPr>
          <w:color w:val="000000" w:themeColor="text1"/>
          <w:sz w:val="24"/>
          <w:szCs w:val="24"/>
          <w:lang w:val="fr-FR"/>
        </w:rPr>
        <w:t>Bjelland</w:t>
      </w:r>
      <w:proofErr w:type="spellEnd"/>
      <w:r w:rsidRPr="005741FB">
        <w:rPr>
          <w:color w:val="000000" w:themeColor="text1"/>
          <w:sz w:val="24"/>
          <w:szCs w:val="24"/>
          <w:lang w:val="fr-FR"/>
        </w:rPr>
        <w:t xml:space="preserve"> I, Dahl A, Haug T</w:t>
      </w:r>
      <w:r w:rsidR="002D6871" w:rsidRPr="005741FB">
        <w:rPr>
          <w:color w:val="000000" w:themeColor="text1"/>
          <w:sz w:val="24"/>
          <w:szCs w:val="24"/>
          <w:lang w:val="fr-FR"/>
        </w:rPr>
        <w:t xml:space="preserve"> et al. </w:t>
      </w:r>
      <w:r w:rsidRPr="00E02FD7">
        <w:rPr>
          <w:color w:val="000000" w:themeColor="text1"/>
          <w:sz w:val="24"/>
          <w:szCs w:val="24"/>
        </w:rPr>
        <w:t xml:space="preserve">The validity of the hospital anxiety and depression scale; an updated literature review. </w:t>
      </w:r>
      <w:r w:rsidRPr="00E02FD7">
        <w:rPr>
          <w:i/>
          <w:sz w:val="24"/>
          <w:szCs w:val="24"/>
        </w:rPr>
        <w:t xml:space="preserve">J </w:t>
      </w:r>
      <w:proofErr w:type="spellStart"/>
      <w:r w:rsidRPr="00E02FD7">
        <w:rPr>
          <w:i/>
          <w:sz w:val="24"/>
          <w:szCs w:val="24"/>
        </w:rPr>
        <w:t>Psychosom</w:t>
      </w:r>
      <w:proofErr w:type="spellEnd"/>
      <w:r w:rsidRPr="00E02FD7">
        <w:rPr>
          <w:i/>
          <w:sz w:val="24"/>
          <w:szCs w:val="24"/>
        </w:rPr>
        <w:t xml:space="preserve"> Res</w:t>
      </w:r>
      <w:r w:rsidRPr="00E02FD7">
        <w:t xml:space="preserve"> </w:t>
      </w:r>
      <w:r w:rsidRPr="00E02FD7">
        <w:rPr>
          <w:color w:val="000000" w:themeColor="text1"/>
          <w:sz w:val="24"/>
          <w:szCs w:val="24"/>
        </w:rPr>
        <w:t>2002</w:t>
      </w:r>
      <w:proofErr w:type="gramStart"/>
      <w:r w:rsidR="004913C2" w:rsidRPr="00E02FD7">
        <w:rPr>
          <w:color w:val="000000" w:themeColor="text1"/>
          <w:sz w:val="24"/>
          <w:szCs w:val="24"/>
        </w:rPr>
        <w:t>;</w:t>
      </w:r>
      <w:r w:rsidRPr="00E02FD7">
        <w:rPr>
          <w:color w:val="000000" w:themeColor="text1"/>
          <w:sz w:val="24"/>
          <w:szCs w:val="24"/>
        </w:rPr>
        <w:t>52:62</w:t>
      </w:r>
      <w:proofErr w:type="gramEnd"/>
      <w:r w:rsidRPr="00E02FD7">
        <w:rPr>
          <w:color w:val="000000" w:themeColor="text1"/>
          <w:sz w:val="24"/>
          <w:szCs w:val="24"/>
        </w:rPr>
        <w:t>-77.</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Carver C</w:t>
      </w:r>
      <w:r w:rsidR="004913C2" w:rsidRPr="00E02FD7">
        <w:rPr>
          <w:color w:val="000000" w:themeColor="text1"/>
          <w:sz w:val="24"/>
          <w:szCs w:val="24"/>
        </w:rPr>
        <w:t>.</w:t>
      </w:r>
      <w:r w:rsidRPr="00E02FD7">
        <w:rPr>
          <w:color w:val="000000" w:themeColor="text1"/>
          <w:sz w:val="24"/>
          <w:szCs w:val="24"/>
        </w:rPr>
        <w:t xml:space="preserve"> You want to measure coping but your protocol’s too long:  consider the Brief COPE.</w:t>
      </w:r>
      <w:r w:rsidRPr="00E02FD7">
        <w:rPr>
          <w:i/>
          <w:color w:val="000000" w:themeColor="text1"/>
          <w:sz w:val="24"/>
          <w:szCs w:val="24"/>
        </w:rPr>
        <w:t xml:space="preserve"> </w:t>
      </w:r>
      <w:proofErr w:type="spellStart"/>
      <w:r w:rsidRPr="00E02FD7">
        <w:rPr>
          <w:i/>
          <w:color w:val="000000" w:themeColor="text1"/>
          <w:sz w:val="24"/>
          <w:szCs w:val="24"/>
        </w:rPr>
        <w:t>Int</w:t>
      </w:r>
      <w:proofErr w:type="spellEnd"/>
      <w:r w:rsidRPr="00E02FD7">
        <w:rPr>
          <w:i/>
          <w:color w:val="000000" w:themeColor="text1"/>
          <w:sz w:val="24"/>
          <w:szCs w:val="24"/>
        </w:rPr>
        <w:t xml:space="preserve"> J </w:t>
      </w:r>
      <w:proofErr w:type="spellStart"/>
      <w:r w:rsidRPr="00E02FD7">
        <w:rPr>
          <w:i/>
          <w:color w:val="000000" w:themeColor="text1"/>
          <w:sz w:val="24"/>
          <w:szCs w:val="24"/>
        </w:rPr>
        <w:t>Behav</w:t>
      </w:r>
      <w:proofErr w:type="spellEnd"/>
      <w:r w:rsidRPr="00E02FD7">
        <w:rPr>
          <w:i/>
          <w:color w:val="000000" w:themeColor="text1"/>
          <w:sz w:val="24"/>
          <w:szCs w:val="24"/>
        </w:rPr>
        <w:t xml:space="preserve"> Med </w:t>
      </w:r>
      <w:r w:rsidRPr="00E02FD7">
        <w:rPr>
          <w:color w:val="000000" w:themeColor="text1"/>
          <w:sz w:val="24"/>
          <w:szCs w:val="24"/>
        </w:rPr>
        <w:t>1997</w:t>
      </w:r>
      <w:proofErr w:type="gramStart"/>
      <w:r w:rsidR="004913C2" w:rsidRPr="00E02FD7">
        <w:rPr>
          <w:color w:val="000000" w:themeColor="text1"/>
          <w:sz w:val="24"/>
          <w:szCs w:val="24"/>
        </w:rPr>
        <w:t>;</w:t>
      </w:r>
      <w:r w:rsidRPr="00E02FD7">
        <w:rPr>
          <w:color w:val="000000" w:themeColor="text1"/>
          <w:sz w:val="24"/>
          <w:szCs w:val="24"/>
        </w:rPr>
        <w:t>4:92</w:t>
      </w:r>
      <w:proofErr w:type="gramEnd"/>
      <w:r w:rsidRPr="00E02FD7">
        <w:rPr>
          <w:color w:val="000000" w:themeColor="text1"/>
          <w:sz w:val="24"/>
          <w:szCs w:val="24"/>
        </w:rPr>
        <w:t>-100.</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Howie J, Heaney D, Maxwell M</w:t>
      </w:r>
      <w:r w:rsidR="002D6871" w:rsidRPr="00E02FD7">
        <w:rPr>
          <w:color w:val="000000" w:themeColor="text1"/>
          <w:sz w:val="24"/>
          <w:szCs w:val="24"/>
        </w:rPr>
        <w:t xml:space="preserve"> et al. </w:t>
      </w:r>
      <w:r w:rsidRPr="00E02FD7">
        <w:rPr>
          <w:color w:val="000000" w:themeColor="text1"/>
          <w:sz w:val="24"/>
          <w:szCs w:val="24"/>
        </w:rPr>
        <w:t xml:space="preserve">A comparison of a Patient Enablement Instrument (PEI) against two established satisfaction scales as an outcome measure of primary care consultations. </w:t>
      </w:r>
      <w:r w:rsidRPr="00E02FD7">
        <w:rPr>
          <w:i/>
          <w:sz w:val="24"/>
          <w:szCs w:val="24"/>
        </w:rPr>
        <w:t xml:space="preserve">BMC Fam </w:t>
      </w:r>
      <w:proofErr w:type="spellStart"/>
      <w:r w:rsidRPr="00E02FD7">
        <w:rPr>
          <w:i/>
          <w:sz w:val="24"/>
          <w:szCs w:val="24"/>
        </w:rPr>
        <w:t>Pract</w:t>
      </w:r>
      <w:proofErr w:type="spellEnd"/>
      <w:r w:rsidRPr="00E02FD7">
        <w:rPr>
          <w:color w:val="000000" w:themeColor="text1"/>
          <w:sz w:val="24"/>
          <w:szCs w:val="24"/>
        </w:rPr>
        <w:t xml:space="preserve"> 1998</w:t>
      </w:r>
      <w:proofErr w:type="gramStart"/>
      <w:r w:rsidR="004913C2" w:rsidRPr="00E02FD7">
        <w:rPr>
          <w:color w:val="000000" w:themeColor="text1"/>
          <w:sz w:val="24"/>
          <w:szCs w:val="24"/>
        </w:rPr>
        <w:t>;</w:t>
      </w:r>
      <w:r w:rsidRPr="00E02FD7">
        <w:rPr>
          <w:color w:val="000000" w:themeColor="text1"/>
          <w:sz w:val="24"/>
          <w:szCs w:val="24"/>
        </w:rPr>
        <w:t>15:165</w:t>
      </w:r>
      <w:proofErr w:type="gramEnd"/>
      <w:r w:rsidRPr="00E02FD7">
        <w:rPr>
          <w:color w:val="000000" w:themeColor="text1"/>
          <w:sz w:val="24"/>
          <w:szCs w:val="24"/>
        </w:rPr>
        <w:t>-171.</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Bench S, </w:t>
      </w:r>
      <w:proofErr w:type="spellStart"/>
      <w:r w:rsidRPr="00E02FD7">
        <w:rPr>
          <w:color w:val="000000" w:themeColor="text1"/>
          <w:sz w:val="24"/>
          <w:szCs w:val="24"/>
        </w:rPr>
        <w:t>Heelas</w:t>
      </w:r>
      <w:proofErr w:type="spellEnd"/>
      <w:r w:rsidRPr="00E02FD7">
        <w:rPr>
          <w:color w:val="000000" w:themeColor="text1"/>
          <w:sz w:val="24"/>
          <w:szCs w:val="24"/>
        </w:rPr>
        <w:t xml:space="preserve"> K, White C</w:t>
      </w:r>
      <w:r w:rsidR="002D6871" w:rsidRPr="00E02FD7">
        <w:rPr>
          <w:color w:val="000000" w:themeColor="text1"/>
          <w:sz w:val="24"/>
          <w:szCs w:val="24"/>
        </w:rPr>
        <w:t xml:space="preserve"> et al. </w:t>
      </w:r>
      <w:proofErr w:type="gramStart"/>
      <w:r w:rsidRPr="00E02FD7">
        <w:rPr>
          <w:color w:val="000000" w:themeColor="text1"/>
          <w:sz w:val="24"/>
          <w:szCs w:val="24"/>
        </w:rPr>
        <w:t>Providing</w:t>
      </w:r>
      <w:proofErr w:type="gramEnd"/>
      <w:r w:rsidRPr="00E02FD7">
        <w:rPr>
          <w:color w:val="000000" w:themeColor="text1"/>
          <w:sz w:val="24"/>
          <w:szCs w:val="24"/>
        </w:rPr>
        <w:t xml:space="preserve"> critical care patients with a personalised discharge summary: a questionnaire survey and retrospective analysis exploring feasibility and effectiveness. </w:t>
      </w:r>
      <w:r w:rsidRPr="00E02FD7">
        <w:rPr>
          <w:i/>
          <w:color w:val="000000" w:themeColor="text1"/>
          <w:sz w:val="24"/>
          <w:szCs w:val="24"/>
        </w:rPr>
        <w:t xml:space="preserve">Intensive Care </w:t>
      </w:r>
      <w:proofErr w:type="spellStart"/>
      <w:r w:rsidRPr="00E02FD7">
        <w:rPr>
          <w:i/>
          <w:color w:val="000000" w:themeColor="text1"/>
          <w:sz w:val="24"/>
          <w:szCs w:val="24"/>
        </w:rPr>
        <w:t>Nurs</w:t>
      </w:r>
      <w:proofErr w:type="spellEnd"/>
      <w:r w:rsidRPr="00E02FD7">
        <w:rPr>
          <w:color w:val="000000" w:themeColor="text1"/>
          <w:sz w:val="24"/>
          <w:szCs w:val="24"/>
        </w:rPr>
        <w:t xml:space="preserve"> 2014</w:t>
      </w:r>
      <w:proofErr w:type="gramStart"/>
      <w:r w:rsidR="004913C2" w:rsidRPr="00E02FD7">
        <w:rPr>
          <w:color w:val="000000" w:themeColor="text1"/>
          <w:sz w:val="24"/>
          <w:szCs w:val="24"/>
        </w:rPr>
        <w:t>;</w:t>
      </w:r>
      <w:r w:rsidRPr="00E02FD7">
        <w:rPr>
          <w:color w:val="000000" w:themeColor="text1"/>
          <w:sz w:val="24"/>
          <w:szCs w:val="24"/>
        </w:rPr>
        <w:t>30:69</w:t>
      </w:r>
      <w:proofErr w:type="gramEnd"/>
      <w:r w:rsidRPr="00E02FD7">
        <w:rPr>
          <w:color w:val="000000" w:themeColor="text1"/>
          <w:sz w:val="24"/>
          <w:szCs w:val="24"/>
        </w:rPr>
        <w:t>-76.</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proofErr w:type="spellStart"/>
      <w:r w:rsidRPr="00E02FD7">
        <w:rPr>
          <w:color w:val="000000" w:themeColor="text1"/>
          <w:sz w:val="24"/>
          <w:szCs w:val="24"/>
        </w:rPr>
        <w:t>Knaus</w:t>
      </w:r>
      <w:proofErr w:type="spellEnd"/>
      <w:r w:rsidRPr="00E02FD7">
        <w:rPr>
          <w:color w:val="000000" w:themeColor="text1"/>
          <w:sz w:val="24"/>
          <w:szCs w:val="24"/>
        </w:rPr>
        <w:t xml:space="preserve"> W, Draper E, Wagner D</w:t>
      </w:r>
      <w:r w:rsidR="002D6871" w:rsidRPr="00E02FD7">
        <w:rPr>
          <w:color w:val="000000" w:themeColor="text1"/>
          <w:sz w:val="24"/>
          <w:szCs w:val="24"/>
        </w:rPr>
        <w:t xml:space="preserve"> et al. </w:t>
      </w:r>
      <w:r w:rsidRPr="00E02FD7">
        <w:rPr>
          <w:color w:val="000000" w:themeColor="text1"/>
          <w:sz w:val="24"/>
          <w:szCs w:val="24"/>
        </w:rPr>
        <w:t xml:space="preserve">APACHE II: a severity of disease classification system. </w:t>
      </w:r>
      <w:proofErr w:type="spellStart"/>
      <w:r w:rsidRPr="00E02FD7">
        <w:rPr>
          <w:i/>
          <w:color w:val="000000" w:themeColor="text1"/>
          <w:sz w:val="24"/>
          <w:szCs w:val="24"/>
        </w:rPr>
        <w:t>Crit</w:t>
      </w:r>
      <w:proofErr w:type="spellEnd"/>
      <w:r w:rsidRPr="00E02FD7">
        <w:rPr>
          <w:i/>
          <w:color w:val="000000" w:themeColor="text1"/>
          <w:sz w:val="24"/>
          <w:szCs w:val="24"/>
        </w:rPr>
        <w:t xml:space="preserve"> Care Med</w:t>
      </w:r>
      <w:r w:rsidRPr="00E02FD7">
        <w:rPr>
          <w:color w:val="000000" w:themeColor="text1"/>
          <w:sz w:val="24"/>
          <w:szCs w:val="24"/>
        </w:rPr>
        <w:t xml:space="preserve"> 1985</w:t>
      </w:r>
      <w:proofErr w:type="gramStart"/>
      <w:r w:rsidR="004913C2" w:rsidRPr="00E02FD7">
        <w:rPr>
          <w:color w:val="000000" w:themeColor="text1"/>
          <w:sz w:val="24"/>
          <w:szCs w:val="24"/>
        </w:rPr>
        <w:t>;</w:t>
      </w:r>
      <w:r w:rsidRPr="00E02FD7">
        <w:rPr>
          <w:color w:val="000000" w:themeColor="text1"/>
          <w:sz w:val="24"/>
          <w:szCs w:val="24"/>
        </w:rPr>
        <w:t>13:818</w:t>
      </w:r>
      <w:proofErr w:type="gramEnd"/>
      <w:r w:rsidRPr="00E02FD7">
        <w:rPr>
          <w:color w:val="000000" w:themeColor="text1"/>
          <w:sz w:val="24"/>
          <w:szCs w:val="24"/>
        </w:rPr>
        <w:t>–29.</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Gammon J, Mulholland C</w:t>
      </w:r>
      <w:r w:rsidR="004913C2" w:rsidRPr="00E02FD7">
        <w:rPr>
          <w:color w:val="000000" w:themeColor="text1"/>
          <w:sz w:val="24"/>
          <w:szCs w:val="24"/>
        </w:rPr>
        <w:t>.</w:t>
      </w:r>
      <w:r w:rsidRPr="00E02FD7">
        <w:rPr>
          <w:color w:val="000000" w:themeColor="text1"/>
          <w:sz w:val="24"/>
          <w:szCs w:val="24"/>
        </w:rPr>
        <w:t xml:space="preserve"> Effect of preparatory information prior to elective total hip replacement on psychological coping outcomes. </w:t>
      </w:r>
      <w:r w:rsidRPr="00E02FD7">
        <w:rPr>
          <w:i/>
          <w:color w:val="000000" w:themeColor="text1"/>
          <w:sz w:val="24"/>
          <w:szCs w:val="24"/>
        </w:rPr>
        <w:t>JAN</w:t>
      </w:r>
      <w:r w:rsidRPr="00E02FD7">
        <w:rPr>
          <w:color w:val="000000" w:themeColor="text1"/>
          <w:sz w:val="24"/>
          <w:szCs w:val="24"/>
        </w:rPr>
        <w:t xml:space="preserve"> 2006</w:t>
      </w:r>
      <w:proofErr w:type="gramStart"/>
      <w:r w:rsidR="004913C2" w:rsidRPr="00E02FD7">
        <w:rPr>
          <w:color w:val="000000" w:themeColor="text1"/>
          <w:sz w:val="24"/>
          <w:szCs w:val="24"/>
        </w:rPr>
        <w:t>;</w:t>
      </w:r>
      <w:r w:rsidRPr="00E02FD7">
        <w:rPr>
          <w:color w:val="000000" w:themeColor="text1"/>
          <w:sz w:val="24"/>
          <w:szCs w:val="24"/>
        </w:rPr>
        <w:t>24:303</w:t>
      </w:r>
      <w:proofErr w:type="gramEnd"/>
      <w:r w:rsidRPr="00E02FD7">
        <w:rPr>
          <w:color w:val="000000" w:themeColor="text1"/>
          <w:sz w:val="24"/>
          <w:szCs w:val="24"/>
        </w:rPr>
        <w:t>-8.</w:t>
      </w:r>
    </w:p>
    <w:p w:rsidR="00A118C5" w:rsidRPr="00E02FD7" w:rsidRDefault="00A118C5" w:rsidP="00E02FD7">
      <w:pPr>
        <w:pStyle w:val="ListParagraph"/>
        <w:numPr>
          <w:ilvl w:val="0"/>
          <w:numId w:val="3"/>
        </w:numPr>
        <w:autoSpaceDE w:val="0"/>
        <w:autoSpaceDN w:val="0"/>
        <w:adjustRightInd w:val="0"/>
        <w:spacing w:afterLines="200" w:after="480" w:line="480" w:lineRule="auto"/>
        <w:ind w:left="567" w:hanging="567"/>
        <w:rPr>
          <w:rFonts w:eastAsia="Times New Roman" w:cs="Times New Roman"/>
          <w:noProof/>
          <w:sz w:val="24"/>
          <w:szCs w:val="24"/>
        </w:rPr>
      </w:pPr>
      <w:r w:rsidRPr="00E02FD7">
        <w:rPr>
          <w:rFonts w:eastAsia="Times New Roman" w:cs="Times New Roman"/>
          <w:color w:val="000000" w:themeColor="text1"/>
          <w:sz w:val="24"/>
          <w:szCs w:val="24"/>
        </w:rPr>
        <w:t>Medical Research Council (MRC)</w:t>
      </w:r>
      <w:r w:rsidR="004913C2" w:rsidRPr="00E02FD7">
        <w:rPr>
          <w:rFonts w:eastAsia="Times New Roman" w:cs="Times New Roman"/>
          <w:color w:val="000000" w:themeColor="text1"/>
          <w:sz w:val="24"/>
          <w:szCs w:val="24"/>
        </w:rPr>
        <w:t>.</w:t>
      </w:r>
      <w:r w:rsidRPr="00E02FD7">
        <w:rPr>
          <w:rFonts w:eastAsia="Times New Roman" w:cs="Times New Roman"/>
          <w:color w:val="000000" w:themeColor="text1"/>
          <w:sz w:val="24"/>
          <w:szCs w:val="24"/>
        </w:rPr>
        <w:t xml:space="preserve"> Cluster randomised trials: methodological and ethical considerations</w:t>
      </w:r>
      <w:r w:rsidR="00474B3D" w:rsidRPr="00E02FD7">
        <w:rPr>
          <w:rFonts w:eastAsia="Times New Roman" w:cs="Times New Roman"/>
          <w:color w:val="000000" w:themeColor="text1"/>
          <w:sz w:val="24"/>
          <w:szCs w:val="24"/>
        </w:rPr>
        <w:t xml:space="preserve">. </w:t>
      </w:r>
      <w:r w:rsidRPr="00E02FD7">
        <w:rPr>
          <w:rFonts w:eastAsia="Times New Roman" w:cs="Times New Roman"/>
          <w:color w:val="000000" w:themeColor="text1"/>
          <w:sz w:val="24"/>
          <w:szCs w:val="24"/>
        </w:rPr>
        <w:t xml:space="preserve">2002. </w:t>
      </w:r>
      <w:r w:rsidR="00C93C6A" w:rsidRPr="00E02FD7">
        <w:rPr>
          <w:rFonts w:eastAsia="Times New Roman" w:cs="Times New Roman"/>
          <w:sz w:val="24"/>
          <w:szCs w:val="24"/>
        </w:rPr>
        <w:t>[</w:t>
      </w:r>
      <w:hyperlink r:id="rId12" w:history="1">
        <w:r w:rsidRPr="00E02FD7">
          <w:rPr>
            <w:rStyle w:val="Hyperlink"/>
            <w:rFonts w:eastAsia="Times New Roman" w:cs="Times New Roman"/>
            <w:color w:val="auto"/>
            <w:sz w:val="24"/>
            <w:szCs w:val="24"/>
            <w:u w:val="none"/>
          </w:rPr>
          <w:t>http://www.mrc.ac.uk/Utilities/Documentrecord/index.htm?d=MRC002406 -</w:t>
        </w:r>
      </w:hyperlink>
      <w:r w:rsidR="00C93C6A" w:rsidRPr="00E02FD7">
        <w:rPr>
          <w:rFonts w:eastAsia="Times New Roman" w:cs="Times New Roman"/>
          <w:sz w:val="24"/>
          <w:szCs w:val="24"/>
        </w:rPr>
        <w:t>]</w:t>
      </w:r>
      <w:r w:rsidRPr="00E02FD7">
        <w:rPr>
          <w:rFonts w:eastAsia="Times New Roman" w:cs="Times New Roman"/>
          <w:noProof/>
          <w:sz w:val="24"/>
          <w:szCs w:val="24"/>
        </w:rPr>
        <w:t>.</w:t>
      </w:r>
      <w:r w:rsidR="00474B3D" w:rsidRPr="00E02FD7">
        <w:rPr>
          <w:rFonts w:eastAsia="Times New Roman" w:cs="Times New Roman"/>
          <w:noProof/>
          <w:sz w:val="24"/>
          <w:szCs w:val="24"/>
        </w:rPr>
        <w:t xml:space="preserve"> </w:t>
      </w:r>
      <w:r w:rsidR="00474B3D" w:rsidRPr="00E02FD7">
        <w:rPr>
          <w:color w:val="000000" w:themeColor="text1"/>
          <w:sz w:val="24"/>
          <w:szCs w:val="24"/>
        </w:rPr>
        <w:t>Accessed October 2014.</w:t>
      </w:r>
    </w:p>
    <w:p w:rsidR="00A118C5" w:rsidRPr="00E02FD7" w:rsidRDefault="00A118C5" w:rsidP="00E02FD7">
      <w:pPr>
        <w:pStyle w:val="ListParagraph"/>
        <w:numPr>
          <w:ilvl w:val="0"/>
          <w:numId w:val="3"/>
        </w:numPr>
        <w:spacing w:afterLines="200" w:after="480" w:line="480" w:lineRule="auto"/>
        <w:ind w:left="567" w:hanging="567"/>
        <w:rPr>
          <w:color w:val="000000" w:themeColor="text1"/>
          <w:sz w:val="24"/>
          <w:szCs w:val="24"/>
        </w:rPr>
      </w:pPr>
      <w:r w:rsidRPr="00E02FD7">
        <w:rPr>
          <w:color w:val="000000" w:themeColor="text1"/>
          <w:sz w:val="24"/>
          <w:szCs w:val="24"/>
        </w:rPr>
        <w:t>Hayes R, Moulton L</w:t>
      </w:r>
      <w:r w:rsidR="004913C2" w:rsidRPr="00E02FD7">
        <w:rPr>
          <w:color w:val="000000" w:themeColor="text1"/>
          <w:sz w:val="24"/>
          <w:szCs w:val="24"/>
        </w:rPr>
        <w:t>.</w:t>
      </w:r>
      <w:r w:rsidRPr="00E02FD7">
        <w:rPr>
          <w:color w:val="000000" w:themeColor="text1"/>
          <w:sz w:val="24"/>
          <w:szCs w:val="24"/>
        </w:rPr>
        <w:t xml:space="preserve"> </w:t>
      </w:r>
      <w:r w:rsidRPr="00E02FD7">
        <w:rPr>
          <w:i/>
          <w:color w:val="000000" w:themeColor="text1"/>
          <w:sz w:val="24"/>
          <w:szCs w:val="24"/>
        </w:rPr>
        <w:t>Cluster randomised trials</w:t>
      </w:r>
      <w:r w:rsidRPr="00E02FD7">
        <w:rPr>
          <w:color w:val="000000" w:themeColor="text1"/>
          <w:sz w:val="24"/>
          <w:szCs w:val="24"/>
        </w:rPr>
        <w:t>,</w:t>
      </w:r>
      <w:r w:rsidRPr="00E02FD7">
        <w:rPr>
          <w:b/>
          <w:color w:val="000000" w:themeColor="text1"/>
          <w:sz w:val="24"/>
          <w:szCs w:val="24"/>
        </w:rPr>
        <w:t xml:space="preserve"> </w:t>
      </w:r>
      <w:r w:rsidRPr="00E02FD7">
        <w:rPr>
          <w:color w:val="000000" w:themeColor="text1"/>
          <w:sz w:val="24"/>
          <w:szCs w:val="24"/>
        </w:rPr>
        <w:t>Interdisciplinary statistics series</w:t>
      </w:r>
      <w:r w:rsidR="00474B3D" w:rsidRPr="00E02FD7">
        <w:rPr>
          <w:color w:val="000000" w:themeColor="text1"/>
          <w:sz w:val="24"/>
          <w:szCs w:val="24"/>
        </w:rPr>
        <w:t>.</w:t>
      </w:r>
      <w:r w:rsidRPr="00E02FD7">
        <w:rPr>
          <w:b/>
          <w:color w:val="000000" w:themeColor="text1"/>
          <w:sz w:val="24"/>
          <w:szCs w:val="24"/>
        </w:rPr>
        <w:t xml:space="preserve"> </w:t>
      </w:r>
      <w:r w:rsidRPr="00E02FD7">
        <w:rPr>
          <w:color w:val="000000" w:themeColor="text1"/>
          <w:sz w:val="24"/>
          <w:szCs w:val="24"/>
        </w:rPr>
        <w:t>Florida: Chapman &amp; Hall</w:t>
      </w:r>
      <w:r w:rsidR="001A0F00" w:rsidRPr="00E02FD7">
        <w:rPr>
          <w:color w:val="000000" w:themeColor="text1"/>
          <w:sz w:val="24"/>
          <w:szCs w:val="24"/>
        </w:rPr>
        <w:t xml:space="preserve"> 2009</w:t>
      </w:r>
      <w:r w:rsidR="00474B3D" w:rsidRPr="00E02FD7">
        <w:rPr>
          <w:color w:val="000000" w:themeColor="text1"/>
          <w:sz w:val="24"/>
          <w:szCs w:val="24"/>
        </w:rPr>
        <w:t>.</w:t>
      </w:r>
      <w:r w:rsidRPr="00E02FD7">
        <w:rPr>
          <w:color w:val="000000" w:themeColor="text1"/>
          <w:sz w:val="24"/>
          <w:szCs w:val="24"/>
        </w:rPr>
        <w:t xml:space="preserve"> </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White I, Carpenter J, Horton N</w:t>
      </w:r>
      <w:r w:rsidR="004913C2" w:rsidRPr="00E02FD7">
        <w:rPr>
          <w:color w:val="000000" w:themeColor="text1"/>
          <w:sz w:val="24"/>
          <w:szCs w:val="24"/>
        </w:rPr>
        <w:t>.</w:t>
      </w:r>
      <w:r w:rsidRPr="00E02FD7">
        <w:rPr>
          <w:color w:val="000000" w:themeColor="text1"/>
          <w:sz w:val="24"/>
          <w:szCs w:val="24"/>
        </w:rPr>
        <w:t xml:space="preserve"> Including all individuals is not enough: lessons for intention-to-treat analysis. </w:t>
      </w:r>
      <w:proofErr w:type="spellStart"/>
      <w:r w:rsidRPr="00E02FD7">
        <w:rPr>
          <w:i/>
          <w:sz w:val="24"/>
          <w:szCs w:val="24"/>
        </w:rPr>
        <w:t>PLoS</w:t>
      </w:r>
      <w:proofErr w:type="spellEnd"/>
      <w:r w:rsidRPr="00E02FD7">
        <w:rPr>
          <w:i/>
          <w:sz w:val="24"/>
          <w:szCs w:val="24"/>
        </w:rPr>
        <w:t xml:space="preserve"> </w:t>
      </w:r>
      <w:proofErr w:type="spellStart"/>
      <w:r w:rsidRPr="00E02FD7">
        <w:rPr>
          <w:i/>
          <w:sz w:val="24"/>
          <w:szCs w:val="24"/>
        </w:rPr>
        <w:t>Clin</w:t>
      </w:r>
      <w:proofErr w:type="spellEnd"/>
      <w:r w:rsidRPr="00E02FD7">
        <w:rPr>
          <w:i/>
          <w:sz w:val="24"/>
          <w:szCs w:val="24"/>
        </w:rPr>
        <w:t xml:space="preserve"> Trials</w:t>
      </w:r>
      <w:r w:rsidRPr="00E02FD7">
        <w:rPr>
          <w:color w:val="000000" w:themeColor="text1"/>
          <w:sz w:val="24"/>
          <w:szCs w:val="24"/>
        </w:rPr>
        <w:t xml:space="preserve"> 2012</w:t>
      </w:r>
      <w:proofErr w:type="gramStart"/>
      <w:r w:rsidR="004913C2" w:rsidRPr="00E02FD7">
        <w:rPr>
          <w:color w:val="000000" w:themeColor="text1"/>
          <w:sz w:val="24"/>
          <w:szCs w:val="24"/>
        </w:rPr>
        <w:t>;</w:t>
      </w:r>
      <w:r w:rsidRPr="00E02FD7">
        <w:rPr>
          <w:color w:val="000000" w:themeColor="text1"/>
          <w:sz w:val="24"/>
          <w:szCs w:val="24"/>
        </w:rPr>
        <w:t>9:396</w:t>
      </w:r>
      <w:proofErr w:type="gramEnd"/>
      <w:r w:rsidRPr="00E02FD7">
        <w:rPr>
          <w:color w:val="000000" w:themeColor="text1"/>
          <w:sz w:val="24"/>
          <w:szCs w:val="24"/>
        </w:rPr>
        <w:t>-407.</w:t>
      </w:r>
    </w:p>
    <w:p w:rsidR="00A124DE" w:rsidRPr="00E02FD7" w:rsidRDefault="00BB1749" w:rsidP="00E02FD7">
      <w:pPr>
        <w:pStyle w:val="ListParagraph"/>
        <w:numPr>
          <w:ilvl w:val="0"/>
          <w:numId w:val="3"/>
        </w:numPr>
        <w:spacing w:line="480" w:lineRule="auto"/>
        <w:ind w:left="567" w:hanging="567"/>
        <w:rPr>
          <w:color w:val="000000" w:themeColor="text1"/>
          <w:sz w:val="24"/>
          <w:szCs w:val="24"/>
        </w:rPr>
      </w:pPr>
      <w:proofErr w:type="spellStart"/>
      <w:r w:rsidRPr="00E02FD7">
        <w:rPr>
          <w:sz w:val="24"/>
          <w:szCs w:val="24"/>
        </w:rPr>
        <w:t>CONsolidated</w:t>
      </w:r>
      <w:proofErr w:type="spellEnd"/>
      <w:r w:rsidRPr="00E02FD7">
        <w:rPr>
          <w:sz w:val="24"/>
          <w:szCs w:val="24"/>
        </w:rPr>
        <w:t xml:space="preserve"> Standards of Reporting Trials (</w:t>
      </w:r>
      <w:r w:rsidR="00A124DE" w:rsidRPr="00E02FD7">
        <w:rPr>
          <w:sz w:val="24"/>
          <w:szCs w:val="24"/>
        </w:rPr>
        <w:t>CONSORT</w:t>
      </w:r>
      <w:r w:rsidRPr="00E02FD7">
        <w:rPr>
          <w:sz w:val="24"/>
          <w:szCs w:val="24"/>
        </w:rPr>
        <w:t>)</w:t>
      </w:r>
      <w:r w:rsidR="00765B1D" w:rsidRPr="00E02FD7">
        <w:rPr>
          <w:sz w:val="24"/>
          <w:szCs w:val="24"/>
        </w:rPr>
        <w:t>:</w:t>
      </w:r>
      <w:r w:rsidR="00A124DE" w:rsidRPr="00E02FD7">
        <w:rPr>
          <w:sz w:val="24"/>
          <w:szCs w:val="24"/>
        </w:rPr>
        <w:t xml:space="preserve"> </w:t>
      </w:r>
      <w:r w:rsidRPr="00E02FD7">
        <w:rPr>
          <w:sz w:val="24"/>
          <w:szCs w:val="24"/>
        </w:rPr>
        <w:t>Baseline data. 2010 guideline. Section 15. [</w:t>
      </w:r>
      <w:r w:rsidR="00A124DE" w:rsidRPr="00E02FD7">
        <w:rPr>
          <w:sz w:val="24"/>
          <w:szCs w:val="24"/>
        </w:rPr>
        <w:t>http://www.consort-statement.org/checklists/view/32-consort/510-baseline-data</w:t>
      </w:r>
      <w:r w:rsidRPr="00E02FD7">
        <w:rPr>
          <w:sz w:val="24"/>
          <w:szCs w:val="24"/>
        </w:rPr>
        <w:t>]. Accessed May 2015.</w:t>
      </w:r>
    </w:p>
    <w:p w:rsidR="00D8698D" w:rsidRPr="00E02FD7" w:rsidRDefault="00D8698D" w:rsidP="00E02FD7">
      <w:pPr>
        <w:pStyle w:val="ListParagraph"/>
        <w:numPr>
          <w:ilvl w:val="0"/>
          <w:numId w:val="3"/>
        </w:numPr>
        <w:spacing w:after="100" w:afterAutospacing="1" w:line="480" w:lineRule="auto"/>
        <w:ind w:left="567" w:hanging="567"/>
        <w:rPr>
          <w:color w:val="000000" w:themeColor="text1"/>
          <w:sz w:val="24"/>
          <w:szCs w:val="24"/>
        </w:rPr>
      </w:pPr>
      <w:r w:rsidRPr="00E02FD7">
        <w:rPr>
          <w:color w:val="000000" w:themeColor="text1"/>
          <w:sz w:val="24"/>
          <w:szCs w:val="24"/>
        </w:rPr>
        <w:t>Medical Research Council (MRC): Developing and evaluating complex interventions: new guidance. 2008.  [http://www.mrc.ac.uk/Utilities/Documentrecord/index.htm?d=MRC004871]. Accessed October 2014.</w:t>
      </w:r>
    </w:p>
    <w:p w:rsidR="00CC1329" w:rsidRPr="00E02FD7" w:rsidRDefault="00CC1329" w:rsidP="00E02FD7">
      <w:pPr>
        <w:pStyle w:val="ListParagraph"/>
        <w:numPr>
          <w:ilvl w:val="0"/>
          <w:numId w:val="3"/>
        </w:numPr>
        <w:spacing w:after="100" w:afterAutospacing="1" w:line="480" w:lineRule="auto"/>
        <w:ind w:left="567" w:hanging="567"/>
        <w:rPr>
          <w:color w:val="000000" w:themeColor="text1"/>
          <w:sz w:val="24"/>
          <w:szCs w:val="24"/>
        </w:rPr>
      </w:pPr>
      <w:r w:rsidRPr="00E02FD7">
        <w:rPr>
          <w:color w:val="000000" w:themeColor="text1"/>
          <w:sz w:val="24"/>
          <w:szCs w:val="24"/>
        </w:rPr>
        <w:t>Desai S, Law T, Needham D</w:t>
      </w:r>
      <w:r w:rsidR="004913C2" w:rsidRPr="00E02FD7">
        <w:rPr>
          <w:color w:val="000000" w:themeColor="text1"/>
          <w:sz w:val="24"/>
          <w:szCs w:val="24"/>
        </w:rPr>
        <w:t>.</w:t>
      </w:r>
      <w:r w:rsidRPr="00E02FD7">
        <w:rPr>
          <w:color w:val="000000" w:themeColor="text1"/>
          <w:sz w:val="24"/>
          <w:szCs w:val="24"/>
        </w:rPr>
        <w:t xml:space="preserve"> Long-term complications of critical care. </w:t>
      </w:r>
      <w:proofErr w:type="spellStart"/>
      <w:r w:rsidRPr="00E02FD7">
        <w:rPr>
          <w:i/>
          <w:color w:val="000000" w:themeColor="text1"/>
          <w:sz w:val="24"/>
          <w:szCs w:val="24"/>
        </w:rPr>
        <w:t>Crit</w:t>
      </w:r>
      <w:proofErr w:type="spellEnd"/>
      <w:r w:rsidRPr="00E02FD7">
        <w:rPr>
          <w:i/>
          <w:color w:val="000000" w:themeColor="text1"/>
          <w:sz w:val="24"/>
          <w:szCs w:val="24"/>
        </w:rPr>
        <w:t xml:space="preserve"> Care Med</w:t>
      </w:r>
      <w:r w:rsidRPr="00E02FD7">
        <w:rPr>
          <w:color w:val="000000" w:themeColor="text1"/>
          <w:sz w:val="24"/>
          <w:szCs w:val="24"/>
        </w:rPr>
        <w:t xml:space="preserve"> 2011</w:t>
      </w:r>
      <w:r w:rsidR="004913C2" w:rsidRPr="00E02FD7">
        <w:rPr>
          <w:color w:val="000000" w:themeColor="text1"/>
          <w:sz w:val="24"/>
          <w:szCs w:val="24"/>
        </w:rPr>
        <w:t>;</w:t>
      </w:r>
      <w:r w:rsidRPr="00E02FD7">
        <w:rPr>
          <w:color w:val="000000" w:themeColor="text1"/>
          <w:sz w:val="24"/>
          <w:szCs w:val="24"/>
        </w:rPr>
        <w:t xml:space="preserve"> 39:371-9.</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proofErr w:type="spellStart"/>
      <w:r w:rsidRPr="00E02FD7">
        <w:rPr>
          <w:color w:val="000000" w:themeColor="text1"/>
          <w:sz w:val="24"/>
          <w:szCs w:val="24"/>
        </w:rPr>
        <w:t>Chaboyer</w:t>
      </w:r>
      <w:proofErr w:type="spellEnd"/>
      <w:r w:rsidRPr="00E02FD7">
        <w:rPr>
          <w:color w:val="000000" w:themeColor="text1"/>
          <w:sz w:val="24"/>
          <w:szCs w:val="24"/>
        </w:rPr>
        <w:t xml:space="preserve"> W, </w:t>
      </w:r>
      <w:proofErr w:type="spellStart"/>
      <w:r w:rsidRPr="00E02FD7">
        <w:rPr>
          <w:color w:val="000000" w:themeColor="text1"/>
          <w:sz w:val="24"/>
          <w:szCs w:val="24"/>
        </w:rPr>
        <w:t>Thalib</w:t>
      </w:r>
      <w:proofErr w:type="spellEnd"/>
      <w:r w:rsidRPr="00E02FD7">
        <w:rPr>
          <w:color w:val="000000" w:themeColor="text1"/>
          <w:sz w:val="24"/>
          <w:szCs w:val="24"/>
        </w:rPr>
        <w:t xml:space="preserve"> L, Alcorn K</w:t>
      </w:r>
      <w:r w:rsidR="002D6871" w:rsidRPr="00E02FD7">
        <w:rPr>
          <w:color w:val="000000" w:themeColor="text1"/>
          <w:sz w:val="24"/>
          <w:szCs w:val="24"/>
        </w:rPr>
        <w:t xml:space="preserve"> et al. </w:t>
      </w:r>
      <w:r w:rsidRPr="00E02FD7">
        <w:rPr>
          <w:color w:val="000000" w:themeColor="text1"/>
          <w:sz w:val="24"/>
          <w:szCs w:val="24"/>
        </w:rPr>
        <w:t>The effect of an ICU liaison nurse on patients and family's anxiety prior to transfer to the ward: an intervention study.</w:t>
      </w:r>
      <w:r w:rsidRPr="00E02FD7">
        <w:rPr>
          <w:i/>
          <w:color w:val="000000" w:themeColor="text1"/>
          <w:sz w:val="24"/>
          <w:szCs w:val="24"/>
        </w:rPr>
        <w:t xml:space="preserve"> Intensive Care </w:t>
      </w:r>
      <w:proofErr w:type="spellStart"/>
      <w:r w:rsidRPr="00E02FD7">
        <w:rPr>
          <w:i/>
          <w:color w:val="000000" w:themeColor="text1"/>
          <w:sz w:val="24"/>
          <w:szCs w:val="24"/>
        </w:rPr>
        <w:t>Nurs</w:t>
      </w:r>
      <w:proofErr w:type="spellEnd"/>
      <w:r w:rsidRPr="00E02FD7">
        <w:rPr>
          <w:i/>
          <w:color w:val="000000" w:themeColor="text1"/>
          <w:sz w:val="24"/>
          <w:szCs w:val="24"/>
        </w:rPr>
        <w:t xml:space="preserve"> </w:t>
      </w:r>
      <w:r w:rsidRPr="00E02FD7">
        <w:rPr>
          <w:color w:val="000000" w:themeColor="text1"/>
          <w:sz w:val="24"/>
          <w:szCs w:val="24"/>
        </w:rPr>
        <w:t>2007</w:t>
      </w:r>
      <w:proofErr w:type="gramStart"/>
      <w:r w:rsidR="004913C2" w:rsidRPr="00E02FD7">
        <w:rPr>
          <w:color w:val="000000" w:themeColor="text1"/>
          <w:sz w:val="24"/>
          <w:szCs w:val="24"/>
        </w:rPr>
        <w:t>;</w:t>
      </w:r>
      <w:r w:rsidRPr="00E02FD7">
        <w:rPr>
          <w:color w:val="000000" w:themeColor="text1"/>
          <w:sz w:val="24"/>
          <w:szCs w:val="24"/>
        </w:rPr>
        <w:t>23:362</w:t>
      </w:r>
      <w:proofErr w:type="gramEnd"/>
      <w:r w:rsidRPr="00E02FD7">
        <w:rPr>
          <w:color w:val="000000" w:themeColor="text1"/>
          <w:sz w:val="24"/>
          <w:szCs w:val="24"/>
        </w:rPr>
        <w:t>-9.</w:t>
      </w:r>
    </w:p>
    <w:p w:rsidR="009833A8" w:rsidRPr="00E02FD7" w:rsidRDefault="009833A8" w:rsidP="00E02FD7">
      <w:pPr>
        <w:pStyle w:val="ListParagraph"/>
        <w:numPr>
          <w:ilvl w:val="0"/>
          <w:numId w:val="3"/>
        </w:numPr>
        <w:spacing w:line="480" w:lineRule="auto"/>
        <w:ind w:left="567" w:hanging="567"/>
        <w:rPr>
          <w:color w:val="000000" w:themeColor="text1"/>
          <w:sz w:val="24"/>
          <w:szCs w:val="24"/>
        </w:rPr>
      </w:pPr>
      <w:r w:rsidRPr="00E02FD7">
        <w:rPr>
          <w:color w:val="000000"/>
          <w:sz w:val="24"/>
          <w:szCs w:val="24"/>
        </w:rPr>
        <w:t>Day T, Bench S. Griffiths P.</w:t>
      </w:r>
      <w:r w:rsidRPr="00E02FD7">
        <w:rPr>
          <w:b/>
          <w:color w:val="000000"/>
          <w:sz w:val="24"/>
          <w:szCs w:val="24"/>
        </w:rPr>
        <w:t xml:space="preserve"> </w:t>
      </w:r>
      <w:r w:rsidRPr="00E02FD7">
        <w:rPr>
          <w:sz w:val="24"/>
          <w:szCs w:val="24"/>
        </w:rPr>
        <w:t xml:space="preserve">The role of pilot testing for a randomised control trial of a complex intervention in critical care. </w:t>
      </w:r>
      <w:r w:rsidRPr="00E02FD7">
        <w:rPr>
          <w:i/>
          <w:sz w:val="24"/>
          <w:szCs w:val="24"/>
        </w:rPr>
        <w:t>Journal of Research in Nursing</w:t>
      </w:r>
      <w:r w:rsidRPr="00E02FD7">
        <w:rPr>
          <w:sz w:val="24"/>
          <w:szCs w:val="24"/>
        </w:rPr>
        <w:t xml:space="preserve">. Published Online First: 5 September 2014. </w:t>
      </w:r>
      <w:proofErr w:type="spellStart"/>
      <w:proofErr w:type="gramStart"/>
      <w:r w:rsidRPr="00E02FD7">
        <w:rPr>
          <w:sz w:val="24"/>
          <w:szCs w:val="24"/>
        </w:rPr>
        <w:t>doi</w:t>
      </w:r>
      <w:proofErr w:type="spellEnd"/>
      <w:proofErr w:type="gramEnd"/>
      <w:r w:rsidRPr="00E02FD7">
        <w:rPr>
          <w:rFonts w:cs="Arial"/>
          <w:sz w:val="24"/>
          <w:szCs w:val="24"/>
        </w:rPr>
        <w:t>: 10.1177/1744987114547607.</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Ramsay P, </w:t>
      </w:r>
      <w:proofErr w:type="spellStart"/>
      <w:r w:rsidRPr="00E02FD7">
        <w:rPr>
          <w:color w:val="000000" w:themeColor="text1"/>
          <w:sz w:val="24"/>
          <w:szCs w:val="24"/>
        </w:rPr>
        <w:t>Huby</w:t>
      </w:r>
      <w:proofErr w:type="spellEnd"/>
      <w:r w:rsidRPr="00E02FD7">
        <w:rPr>
          <w:color w:val="000000" w:themeColor="text1"/>
          <w:sz w:val="24"/>
          <w:szCs w:val="24"/>
        </w:rPr>
        <w:t xml:space="preserve"> G, Rattray J</w:t>
      </w:r>
      <w:r w:rsidR="002D6871" w:rsidRPr="00E02FD7">
        <w:rPr>
          <w:color w:val="000000" w:themeColor="text1"/>
          <w:sz w:val="24"/>
          <w:szCs w:val="24"/>
        </w:rPr>
        <w:t xml:space="preserve"> et al. </w:t>
      </w:r>
      <w:r w:rsidRPr="00E02FD7">
        <w:rPr>
          <w:color w:val="000000" w:themeColor="text1"/>
          <w:sz w:val="24"/>
          <w:szCs w:val="24"/>
        </w:rPr>
        <w:t xml:space="preserve">A longitudinal qualitative exploration of healthcare and informal support needs among survivors of critical illness: the RELINQUISH protocol. </w:t>
      </w:r>
      <w:r w:rsidRPr="00E02FD7">
        <w:rPr>
          <w:i/>
          <w:color w:val="000000" w:themeColor="text1"/>
          <w:sz w:val="24"/>
          <w:szCs w:val="24"/>
        </w:rPr>
        <w:t>BMJ Open</w:t>
      </w:r>
      <w:r w:rsidRPr="00E02FD7">
        <w:rPr>
          <w:color w:val="000000" w:themeColor="text1"/>
          <w:sz w:val="24"/>
          <w:szCs w:val="24"/>
        </w:rPr>
        <w:t xml:space="preserve"> 2012</w:t>
      </w:r>
      <w:proofErr w:type="gramStart"/>
      <w:r w:rsidR="004913C2" w:rsidRPr="00E02FD7">
        <w:rPr>
          <w:color w:val="000000" w:themeColor="text1"/>
          <w:sz w:val="24"/>
          <w:szCs w:val="24"/>
        </w:rPr>
        <w:t>;</w:t>
      </w:r>
      <w:r w:rsidRPr="00E02FD7">
        <w:rPr>
          <w:color w:val="000000" w:themeColor="text1"/>
          <w:sz w:val="24"/>
          <w:szCs w:val="24"/>
        </w:rPr>
        <w:t>2:e001507</w:t>
      </w:r>
      <w:proofErr w:type="gramEnd"/>
      <w:r w:rsidRPr="00E02FD7">
        <w:rPr>
          <w:color w:val="000000" w:themeColor="text1"/>
          <w:sz w:val="24"/>
          <w:szCs w:val="24"/>
        </w:rPr>
        <w:t xml:space="preserve">. </w:t>
      </w:r>
      <w:proofErr w:type="gramStart"/>
      <w:r w:rsidRPr="00E02FD7">
        <w:rPr>
          <w:color w:val="000000" w:themeColor="text1"/>
          <w:sz w:val="24"/>
          <w:szCs w:val="24"/>
        </w:rPr>
        <w:t>doi:</w:t>
      </w:r>
      <w:proofErr w:type="gramEnd"/>
      <w:r w:rsidRPr="00E02FD7">
        <w:rPr>
          <w:color w:val="000000" w:themeColor="text1"/>
          <w:sz w:val="24"/>
          <w:szCs w:val="24"/>
        </w:rPr>
        <w:t>10.1136/bmjopen-2012-001507.</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Walsh T, Salisbury L, Ramsay P</w:t>
      </w:r>
      <w:r w:rsidR="002D6871" w:rsidRPr="00E02FD7">
        <w:rPr>
          <w:color w:val="000000" w:themeColor="text1"/>
          <w:sz w:val="24"/>
          <w:szCs w:val="24"/>
        </w:rPr>
        <w:t xml:space="preserve"> et al. </w:t>
      </w:r>
      <w:r w:rsidRPr="00E02FD7">
        <w:rPr>
          <w:color w:val="000000" w:themeColor="text1"/>
          <w:sz w:val="24"/>
          <w:szCs w:val="24"/>
        </w:rPr>
        <w:t xml:space="preserve">A randomised controlled trial evaluating a rehabilitation complex intervention for patients following intensive care discharge: the RECOVER study. </w:t>
      </w:r>
      <w:r w:rsidRPr="00E02FD7">
        <w:rPr>
          <w:i/>
          <w:color w:val="000000" w:themeColor="text1"/>
          <w:sz w:val="24"/>
          <w:szCs w:val="24"/>
        </w:rPr>
        <w:t>BMJ Open</w:t>
      </w:r>
      <w:r w:rsidRPr="00E02FD7">
        <w:rPr>
          <w:color w:val="000000" w:themeColor="text1"/>
          <w:sz w:val="24"/>
          <w:szCs w:val="24"/>
        </w:rPr>
        <w:t xml:space="preserve"> 2012</w:t>
      </w:r>
      <w:proofErr w:type="gramStart"/>
      <w:r w:rsidR="004913C2" w:rsidRPr="00E02FD7">
        <w:rPr>
          <w:color w:val="000000" w:themeColor="text1"/>
          <w:sz w:val="24"/>
          <w:szCs w:val="24"/>
        </w:rPr>
        <w:t>;</w:t>
      </w:r>
      <w:r w:rsidRPr="00E02FD7">
        <w:rPr>
          <w:color w:val="000000" w:themeColor="text1"/>
          <w:sz w:val="24"/>
          <w:szCs w:val="24"/>
        </w:rPr>
        <w:t>2:e001475</w:t>
      </w:r>
      <w:proofErr w:type="gramEnd"/>
      <w:r w:rsidRPr="00E02FD7">
        <w:rPr>
          <w:color w:val="000000" w:themeColor="text1"/>
          <w:sz w:val="24"/>
          <w:szCs w:val="24"/>
        </w:rPr>
        <w:t xml:space="preserve"> doi:10.1136/bmjopen-2012-001475. </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Jackson J, Hart R, Gordon S</w:t>
      </w:r>
      <w:r w:rsidR="002D6871" w:rsidRPr="00E02FD7">
        <w:rPr>
          <w:color w:val="000000" w:themeColor="text1"/>
          <w:sz w:val="24"/>
          <w:szCs w:val="24"/>
        </w:rPr>
        <w:t xml:space="preserve"> et al. </w:t>
      </w:r>
      <w:r w:rsidRPr="00E02FD7">
        <w:rPr>
          <w:color w:val="000000" w:themeColor="text1"/>
          <w:sz w:val="24"/>
          <w:szCs w:val="24"/>
        </w:rPr>
        <w:t xml:space="preserve">Post-traumatic stress disorder and post-traumatic stress symptoms following critical illness in medical intensive care unit patients: assessing the magnitude of the problem. </w:t>
      </w:r>
      <w:proofErr w:type="spellStart"/>
      <w:r w:rsidRPr="00E02FD7">
        <w:rPr>
          <w:i/>
          <w:sz w:val="24"/>
          <w:szCs w:val="24"/>
        </w:rPr>
        <w:t>Crit</w:t>
      </w:r>
      <w:proofErr w:type="spellEnd"/>
      <w:r w:rsidRPr="00E02FD7">
        <w:rPr>
          <w:i/>
          <w:sz w:val="24"/>
          <w:szCs w:val="24"/>
        </w:rPr>
        <w:t xml:space="preserve"> Care</w:t>
      </w:r>
      <w:r w:rsidRPr="00E02FD7">
        <w:rPr>
          <w:color w:val="000000" w:themeColor="text1"/>
          <w:sz w:val="24"/>
          <w:szCs w:val="24"/>
        </w:rPr>
        <w:t xml:space="preserve"> 2007</w:t>
      </w:r>
      <w:proofErr w:type="gramStart"/>
      <w:r w:rsidR="004913C2" w:rsidRPr="00E02FD7">
        <w:rPr>
          <w:color w:val="000000" w:themeColor="text1"/>
          <w:sz w:val="24"/>
          <w:szCs w:val="24"/>
        </w:rPr>
        <w:t>;</w:t>
      </w:r>
      <w:r w:rsidRPr="00E02FD7">
        <w:rPr>
          <w:color w:val="000000" w:themeColor="text1"/>
          <w:sz w:val="24"/>
          <w:szCs w:val="24"/>
        </w:rPr>
        <w:t>11:R27</w:t>
      </w:r>
      <w:proofErr w:type="gramEnd"/>
      <w:r w:rsidRPr="00E02FD7">
        <w:rPr>
          <w:color w:val="000000" w:themeColor="text1"/>
          <w:sz w:val="24"/>
          <w:szCs w:val="24"/>
        </w:rPr>
        <w:t xml:space="preserve">. </w:t>
      </w:r>
      <w:proofErr w:type="gramStart"/>
      <w:r w:rsidRPr="00E02FD7">
        <w:rPr>
          <w:color w:val="000000" w:themeColor="text1"/>
          <w:sz w:val="24"/>
          <w:szCs w:val="24"/>
        </w:rPr>
        <w:t>doi:</w:t>
      </w:r>
      <w:proofErr w:type="gramEnd"/>
      <w:r w:rsidRPr="00E02FD7">
        <w:rPr>
          <w:color w:val="000000" w:themeColor="text1"/>
          <w:sz w:val="24"/>
          <w:szCs w:val="24"/>
        </w:rPr>
        <w:t>10.1186/cc5707.</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Knowles R, </w:t>
      </w:r>
      <w:proofErr w:type="spellStart"/>
      <w:r w:rsidRPr="00E02FD7">
        <w:rPr>
          <w:color w:val="000000" w:themeColor="text1"/>
          <w:sz w:val="24"/>
          <w:szCs w:val="24"/>
        </w:rPr>
        <w:t>Tarrier</w:t>
      </w:r>
      <w:proofErr w:type="spellEnd"/>
      <w:r w:rsidRPr="00E02FD7">
        <w:rPr>
          <w:color w:val="000000" w:themeColor="text1"/>
          <w:sz w:val="24"/>
          <w:szCs w:val="24"/>
        </w:rPr>
        <w:t xml:space="preserve"> N</w:t>
      </w:r>
      <w:r w:rsidR="004913C2" w:rsidRPr="00E02FD7">
        <w:rPr>
          <w:color w:val="000000" w:themeColor="text1"/>
          <w:sz w:val="24"/>
          <w:szCs w:val="24"/>
        </w:rPr>
        <w:t>.</w:t>
      </w:r>
      <w:r w:rsidRPr="00E02FD7">
        <w:rPr>
          <w:color w:val="000000" w:themeColor="text1"/>
          <w:sz w:val="24"/>
          <w:szCs w:val="24"/>
        </w:rPr>
        <w:t xml:space="preserve"> Evaluation of the effect of prospective patient diaries on emotional well-being in intensive care unit survivors: a randomized controlled trial. </w:t>
      </w:r>
      <w:proofErr w:type="spellStart"/>
      <w:r w:rsidRPr="00E02FD7">
        <w:rPr>
          <w:i/>
          <w:sz w:val="24"/>
          <w:szCs w:val="24"/>
        </w:rPr>
        <w:t>Crit</w:t>
      </w:r>
      <w:proofErr w:type="spellEnd"/>
      <w:r w:rsidRPr="00E02FD7">
        <w:rPr>
          <w:i/>
          <w:sz w:val="24"/>
          <w:szCs w:val="24"/>
        </w:rPr>
        <w:t xml:space="preserve"> Care Med</w:t>
      </w:r>
      <w:r w:rsidRPr="00E02FD7">
        <w:rPr>
          <w:color w:val="000000" w:themeColor="text1"/>
          <w:sz w:val="24"/>
          <w:szCs w:val="24"/>
        </w:rPr>
        <w:t xml:space="preserve"> 2009</w:t>
      </w:r>
      <w:proofErr w:type="gramStart"/>
      <w:r w:rsidR="004913C2" w:rsidRPr="00E02FD7">
        <w:rPr>
          <w:color w:val="000000" w:themeColor="text1"/>
          <w:sz w:val="24"/>
          <w:szCs w:val="24"/>
        </w:rPr>
        <w:t>;</w:t>
      </w:r>
      <w:r w:rsidRPr="00E02FD7">
        <w:rPr>
          <w:color w:val="000000" w:themeColor="text1"/>
          <w:sz w:val="24"/>
          <w:szCs w:val="24"/>
        </w:rPr>
        <w:t>37:184</w:t>
      </w:r>
      <w:proofErr w:type="gramEnd"/>
      <w:r w:rsidRPr="00E02FD7">
        <w:rPr>
          <w:color w:val="000000" w:themeColor="text1"/>
          <w:sz w:val="24"/>
          <w:szCs w:val="24"/>
        </w:rPr>
        <w:t>-191.</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proofErr w:type="spellStart"/>
      <w:r w:rsidRPr="005741FB">
        <w:rPr>
          <w:color w:val="000000" w:themeColor="text1"/>
          <w:sz w:val="24"/>
          <w:szCs w:val="24"/>
          <w:lang w:val="fr-FR"/>
        </w:rPr>
        <w:t>Garrouste-Orgeas</w:t>
      </w:r>
      <w:proofErr w:type="spellEnd"/>
      <w:r w:rsidRPr="005741FB">
        <w:rPr>
          <w:color w:val="000000" w:themeColor="text1"/>
          <w:sz w:val="24"/>
          <w:szCs w:val="24"/>
          <w:lang w:val="fr-FR"/>
        </w:rPr>
        <w:t xml:space="preserve"> M, Coquet I, Périer A</w:t>
      </w:r>
      <w:r w:rsidR="002D6871" w:rsidRPr="005741FB">
        <w:rPr>
          <w:color w:val="000000" w:themeColor="text1"/>
          <w:sz w:val="24"/>
          <w:szCs w:val="24"/>
          <w:lang w:val="fr-FR"/>
        </w:rPr>
        <w:t xml:space="preserve"> et al. </w:t>
      </w:r>
      <w:r w:rsidRPr="005741FB">
        <w:rPr>
          <w:color w:val="000000" w:themeColor="text1"/>
          <w:sz w:val="24"/>
          <w:szCs w:val="24"/>
          <w:lang w:val="fr-FR"/>
        </w:rPr>
        <w:t xml:space="preserve"> </w:t>
      </w:r>
      <w:r w:rsidRPr="00E02FD7">
        <w:rPr>
          <w:color w:val="000000" w:themeColor="text1"/>
          <w:sz w:val="24"/>
          <w:szCs w:val="24"/>
        </w:rPr>
        <w:t xml:space="preserve">Impact of an intensive care unit diary on psychological distress in patients and relatives. </w:t>
      </w:r>
      <w:proofErr w:type="spellStart"/>
      <w:r w:rsidRPr="00E02FD7">
        <w:rPr>
          <w:i/>
          <w:sz w:val="24"/>
          <w:szCs w:val="24"/>
        </w:rPr>
        <w:t>Crit</w:t>
      </w:r>
      <w:proofErr w:type="spellEnd"/>
      <w:r w:rsidRPr="00E02FD7">
        <w:rPr>
          <w:i/>
          <w:sz w:val="24"/>
          <w:szCs w:val="24"/>
        </w:rPr>
        <w:t xml:space="preserve"> Care Med</w:t>
      </w:r>
      <w:r w:rsidRPr="00E02FD7">
        <w:rPr>
          <w:color w:val="000000" w:themeColor="text1"/>
          <w:sz w:val="24"/>
          <w:szCs w:val="24"/>
        </w:rPr>
        <w:t xml:space="preserve"> 2012</w:t>
      </w:r>
      <w:proofErr w:type="gramStart"/>
      <w:r w:rsidR="00C713D8" w:rsidRPr="00E02FD7">
        <w:rPr>
          <w:color w:val="000000" w:themeColor="text1"/>
          <w:sz w:val="24"/>
          <w:szCs w:val="24"/>
        </w:rPr>
        <w:t>;</w:t>
      </w:r>
      <w:r w:rsidRPr="00E02FD7">
        <w:rPr>
          <w:color w:val="000000" w:themeColor="text1"/>
          <w:sz w:val="24"/>
          <w:szCs w:val="24"/>
        </w:rPr>
        <w:t>40:2033</w:t>
      </w:r>
      <w:proofErr w:type="gramEnd"/>
      <w:r w:rsidRPr="00E02FD7">
        <w:rPr>
          <w:color w:val="000000" w:themeColor="text1"/>
          <w:sz w:val="24"/>
          <w:szCs w:val="24"/>
        </w:rPr>
        <w:t>-40.</w:t>
      </w:r>
    </w:p>
    <w:p w:rsidR="00CC1329" w:rsidRPr="00E02FD7" w:rsidRDefault="00CC1329" w:rsidP="00E02FD7">
      <w:pPr>
        <w:pStyle w:val="ListParagraph"/>
        <w:numPr>
          <w:ilvl w:val="0"/>
          <w:numId w:val="3"/>
        </w:numPr>
        <w:spacing w:after="100" w:afterAutospacing="1" w:line="480" w:lineRule="auto"/>
        <w:ind w:left="567" w:hanging="567"/>
        <w:jc w:val="both"/>
        <w:rPr>
          <w:sz w:val="24"/>
          <w:szCs w:val="24"/>
        </w:rPr>
      </w:pPr>
      <w:proofErr w:type="spellStart"/>
      <w:r w:rsidRPr="00E02FD7">
        <w:rPr>
          <w:sz w:val="24"/>
          <w:szCs w:val="24"/>
        </w:rPr>
        <w:t>Eddleston</w:t>
      </w:r>
      <w:proofErr w:type="spellEnd"/>
      <w:r w:rsidRPr="00E02FD7">
        <w:rPr>
          <w:sz w:val="24"/>
          <w:szCs w:val="24"/>
        </w:rPr>
        <w:t xml:space="preserve"> J, White P, Guthrie E</w:t>
      </w:r>
      <w:r w:rsidR="00C713D8" w:rsidRPr="00E02FD7">
        <w:rPr>
          <w:sz w:val="24"/>
          <w:szCs w:val="24"/>
        </w:rPr>
        <w:t xml:space="preserve">. </w:t>
      </w:r>
      <w:r w:rsidRPr="00E02FD7">
        <w:rPr>
          <w:sz w:val="24"/>
          <w:szCs w:val="24"/>
        </w:rPr>
        <w:t xml:space="preserve">Survival, morbidity, and quality of life after discharge from intensive care. </w:t>
      </w:r>
      <w:proofErr w:type="spellStart"/>
      <w:r w:rsidRPr="00E02FD7">
        <w:rPr>
          <w:i/>
          <w:sz w:val="24"/>
          <w:szCs w:val="24"/>
        </w:rPr>
        <w:t>Crit</w:t>
      </w:r>
      <w:proofErr w:type="spellEnd"/>
      <w:r w:rsidRPr="00E02FD7">
        <w:rPr>
          <w:i/>
          <w:sz w:val="24"/>
          <w:szCs w:val="24"/>
        </w:rPr>
        <w:t xml:space="preserve"> Care Med</w:t>
      </w:r>
      <w:r w:rsidRPr="00E02FD7">
        <w:rPr>
          <w:sz w:val="24"/>
          <w:szCs w:val="24"/>
        </w:rPr>
        <w:t xml:space="preserve"> 2000</w:t>
      </w:r>
      <w:proofErr w:type="gramStart"/>
      <w:r w:rsidR="00C713D8" w:rsidRPr="00E02FD7">
        <w:rPr>
          <w:sz w:val="24"/>
          <w:szCs w:val="24"/>
        </w:rPr>
        <w:t>;</w:t>
      </w:r>
      <w:r w:rsidRPr="00E02FD7">
        <w:rPr>
          <w:sz w:val="24"/>
          <w:szCs w:val="24"/>
        </w:rPr>
        <w:t>28:2293</w:t>
      </w:r>
      <w:proofErr w:type="gramEnd"/>
      <w:r w:rsidRPr="00E02FD7">
        <w:rPr>
          <w:sz w:val="24"/>
          <w:szCs w:val="24"/>
        </w:rPr>
        <w:t>-9.</w:t>
      </w:r>
    </w:p>
    <w:p w:rsidR="00CC1329" w:rsidRPr="00E02FD7" w:rsidRDefault="00CC1329" w:rsidP="00E02FD7">
      <w:pPr>
        <w:pStyle w:val="ListParagraph"/>
        <w:numPr>
          <w:ilvl w:val="0"/>
          <w:numId w:val="3"/>
        </w:numPr>
        <w:spacing w:after="100" w:afterAutospacing="1" w:line="480" w:lineRule="auto"/>
        <w:ind w:left="567" w:hanging="567"/>
        <w:rPr>
          <w:sz w:val="24"/>
          <w:szCs w:val="24"/>
        </w:rPr>
      </w:pPr>
      <w:proofErr w:type="spellStart"/>
      <w:r w:rsidRPr="00E02FD7">
        <w:rPr>
          <w:sz w:val="24"/>
          <w:szCs w:val="24"/>
        </w:rPr>
        <w:t>Mellinghoff</w:t>
      </w:r>
      <w:proofErr w:type="spellEnd"/>
      <w:r w:rsidRPr="00E02FD7">
        <w:rPr>
          <w:sz w:val="24"/>
          <w:szCs w:val="24"/>
        </w:rPr>
        <w:t xml:space="preserve"> J, Rhodes A, Grands M</w:t>
      </w:r>
      <w:r w:rsidR="00C713D8" w:rsidRPr="00E02FD7">
        <w:rPr>
          <w:sz w:val="24"/>
          <w:szCs w:val="24"/>
        </w:rPr>
        <w:t>.</w:t>
      </w:r>
      <w:r w:rsidRPr="00E02FD7">
        <w:rPr>
          <w:sz w:val="24"/>
          <w:szCs w:val="24"/>
        </w:rPr>
        <w:t xml:space="preserve"> Factors and Consequences associated with a delay in the discharge process of patients from an adult critical care unit. </w:t>
      </w:r>
      <w:proofErr w:type="spellStart"/>
      <w:r w:rsidRPr="00E02FD7">
        <w:rPr>
          <w:i/>
          <w:sz w:val="24"/>
          <w:szCs w:val="24"/>
        </w:rPr>
        <w:t>Crit</w:t>
      </w:r>
      <w:proofErr w:type="spellEnd"/>
      <w:r w:rsidRPr="00E02FD7">
        <w:rPr>
          <w:i/>
          <w:sz w:val="24"/>
          <w:szCs w:val="24"/>
        </w:rPr>
        <w:t xml:space="preserve"> Care</w:t>
      </w:r>
      <w:r w:rsidRPr="00E02FD7">
        <w:rPr>
          <w:sz w:val="24"/>
          <w:szCs w:val="24"/>
        </w:rPr>
        <w:t xml:space="preserve"> 2011</w:t>
      </w:r>
      <w:proofErr w:type="gramStart"/>
      <w:r w:rsidR="00C713D8" w:rsidRPr="00E02FD7">
        <w:rPr>
          <w:sz w:val="24"/>
          <w:szCs w:val="24"/>
        </w:rPr>
        <w:t>;</w:t>
      </w:r>
      <w:r w:rsidRPr="00E02FD7">
        <w:rPr>
          <w:sz w:val="24"/>
          <w:szCs w:val="24"/>
        </w:rPr>
        <w:t>15:463</w:t>
      </w:r>
      <w:proofErr w:type="gramEnd"/>
      <w:r w:rsidRPr="00E02FD7">
        <w:rPr>
          <w:sz w:val="24"/>
          <w:szCs w:val="24"/>
        </w:rPr>
        <w:t>.</w:t>
      </w:r>
    </w:p>
    <w:p w:rsidR="009833A8" w:rsidRPr="00E02FD7" w:rsidRDefault="009833A8" w:rsidP="00E02FD7">
      <w:pPr>
        <w:pStyle w:val="ListParagraph"/>
        <w:numPr>
          <w:ilvl w:val="0"/>
          <w:numId w:val="3"/>
        </w:numPr>
        <w:spacing w:after="100" w:afterAutospacing="1" w:line="480" w:lineRule="auto"/>
        <w:ind w:left="567" w:hanging="567"/>
        <w:jc w:val="both"/>
        <w:rPr>
          <w:sz w:val="24"/>
          <w:szCs w:val="24"/>
        </w:rPr>
      </w:pPr>
      <w:r w:rsidRPr="00E02FD7">
        <w:rPr>
          <w:sz w:val="24"/>
          <w:szCs w:val="24"/>
        </w:rPr>
        <w:t xml:space="preserve">Davidson J., Jones C. &amp; </w:t>
      </w:r>
      <w:proofErr w:type="spellStart"/>
      <w:r w:rsidRPr="00E02FD7">
        <w:rPr>
          <w:sz w:val="24"/>
          <w:szCs w:val="24"/>
        </w:rPr>
        <w:t>Bienvenue</w:t>
      </w:r>
      <w:proofErr w:type="spellEnd"/>
      <w:r w:rsidRPr="00E02FD7">
        <w:rPr>
          <w:sz w:val="24"/>
          <w:szCs w:val="24"/>
        </w:rPr>
        <w:t xml:space="preserve"> J. Family response to critical illness: post intensive care syndrome-family. </w:t>
      </w:r>
      <w:r w:rsidRPr="00E02FD7">
        <w:rPr>
          <w:i/>
          <w:sz w:val="24"/>
          <w:szCs w:val="24"/>
        </w:rPr>
        <w:t>Critical Care Medicine</w:t>
      </w:r>
      <w:r w:rsidRPr="00E02FD7">
        <w:rPr>
          <w:sz w:val="24"/>
          <w:szCs w:val="24"/>
        </w:rPr>
        <w:t xml:space="preserve"> </w:t>
      </w:r>
      <w:r w:rsidR="00BB1749" w:rsidRPr="00E02FD7">
        <w:rPr>
          <w:sz w:val="24"/>
          <w:szCs w:val="24"/>
        </w:rPr>
        <w:t xml:space="preserve">2012; </w:t>
      </w:r>
      <w:r w:rsidRPr="00E02FD7">
        <w:rPr>
          <w:sz w:val="24"/>
          <w:szCs w:val="24"/>
        </w:rPr>
        <w:t>40</w:t>
      </w:r>
      <w:r w:rsidR="00BB1749" w:rsidRPr="00E02FD7">
        <w:rPr>
          <w:sz w:val="24"/>
          <w:szCs w:val="24"/>
        </w:rPr>
        <w:t>:</w:t>
      </w:r>
      <w:r w:rsidRPr="00E02FD7">
        <w:rPr>
          <w:sz w:val="24"/>
          <w:szCs w:val="24"/>
        </w:rPr>
        <w:t xml:space="preserve"> (2), 618-624.</w:t>
      </w:r>
    </w:p>
    <w:p w:rsidR="009833A8" w:rsidRPr="00E02FD7" w:rsidRDefault="009833A8" w:rsidP="00E02FD7">
      <w:pPr>
        <w:pStyle w:val="ListParagraph"/>
        <w:numPr>
          <w:ilvl w:val="0"/>
          <w:numId w:val="3"/>
        </w:numPr>
        <w:spacing w:after="100" w:afterAutospacing="1" w:line="480" w:lineRule="auto"/>
        <w:ind w:left="567" w:hanging="567"/>
        <w:rPr>
          <w:sz w:val="24"/>
          <w:szCs w:val="24"/>
        </w:rPr>
      </w:pPr>
      <w:r w:rsidRPr="00E02FD7">
        <w:rPr>
          <w:sz w:val="24"/>
          <w:szCs w:val="24"/>
        </w:rPr>
        <w:t>Griffiths J., Hatch R., Bishop J</w:t>
      </w:r>
      <w:r w:rsidR="00BB1749" w:rsidRPr="00E02FD7">
        <w:rPr>
          <w:sz w:val="24"/>
          <w:szCs w:val="24"/>
        </w:rPr>
        <w:t xml:space="preserve"> et al.</w:t>
      </w:r>
      <w:r w:rsidRPr="00E02FD7">
        <w:rPr>
          <w:sz w:val="24"/>
          <w:szCs w:val="24"/>
        </w:rPr>
        <w:t xml:space="preserve"> An exploration of social and economic outcome and associated health-related quality of life after critical illness in general intensive care unit survivors: </w:t>
      </w:r>
      <w:proofErr w:type="gramStart"/>
      <w:r w:rsidRPr="00E02FD7">
        <w:rPr>
          <w:sz w:val="24"/>
          <w:szCs w:val="24"/>
        </w:rPr>
        <w:t>a 12 month follow</w:t>
      </w:r>
      <w:proofErr w:type="gramEnd"/>
      <w:r w:rsidRPr="00E02FD7">
        <w:rPr>
          <w:sz w:val="24"/>
          <w:szCs w:val="24"/>
        </w:rPr>
        <w:t xml:space="preserve"> up study. </w:t>
      </w:r>
      <w:r w:rsidRPr="00E02FD7">
        <w:rPr>
          <w:i/>
          <w:sz w:val="24"/>
          <w:szCs w:val="24"/>
        </w:rPr>
        <w:t>Critical Care</w:t>
      </w:r>
      <w:r w:rsidRPr="00E02FD7">
        <w:rPr>
          <w:sz w:val="24"/>
          <w:szCs w:val="24"/>
        </w:rPr>
        <w:t xml:space="preserve"> </w:t>
      </w:r>
      <w:r w:rsidR="00BB1749" w:rsidRPr="00E02FD7">
        <w:rPr>
          <w:sz w:val="24"/>
          <w:szCs w:val="24"/>
        </w:rPr>
        <w:t xml:space="preserve">2013; </w:t>
      </w:r>
      <w:r w:rsidRPr="00E02FD7">
        <w:rPr>
          <w:sz w:val="24"/>
          <w:szCs w:val="24"/>
        </w:rPr>
        <w:t>17</w:t>
      </w:r>
      <w:r w:rsidR="00BB1749" w:rsidRPr="00E02FD7">
        <w:rPr>
          <w:sz w:val="24"/>
          <w:szCs w:val="24"/>
        </w:rPr>
        <w:t>:</w:t>
      </w:r>
      <w:r w:rsidRPr="00E02FD7">
        <w:rPr>
          <w:sz w:val="24"/>
          <w:szCs w:val="24"/>
        </w:rPr>
        <w:t xml:space="preserve">R100. </w:t>
      </w:r>
      <w:proofErr w:type="gramStart"/>
      <w:r w:rsidRPr="00E02FD7">
        <w:rPr>
          <w:sz w:val="24"/>
          <w:szCs w:val="24"/>
        </w:rPr>
        <w:t>doi:</w:t>
      </w:r>
      <w:proofErr w:type="gramEnd"/>
      <w:r w:rsidRPr="00E02FD7">
        <w:rPr>
          <w:sz w:val="24"/>
          <w:szCs w:val="24"/>
        </w:rPr>
        <w:t>10.1186/cc12745.</w:t>
      </w:r>
    </w:p>
    <w:p w:rsidR="007E33CE" w:rsidRPr="00E02FD7" w:rsidRDefault="007E33CE" w:rsidP="00E02FD7">
      <w:pPr>
        <w:pStyle w:val="ListParagraph"/>
        <w:numPr>
          <w:ilvl w:val="0"/>
          <w:numId w:val="3"/>
        </w:numPr>
        <w:spacing w:after="100" w:afterAutospacing="1" w:line="480" w:lineRule="auto"/>
        <w:ind w:left="567" w:hanging="567"/>
        <w:rPr>
          <w:sz w:val="24"/>
          <w:szCs w:val="24"/>
        </w:rPr>
      </w:pPr>
      <w:r w:rsidRPr="00E02FD7">
        <w:rPr>
          <w:sz w:val="24"/>
          <w:szCs w:val="24"/>
        </w:rPr>
        <w:t xml:space="preserve">Lancaster G, Dodd S, Williamson P. Design and analysis of pilot studies: recommendations for good practice. </w:t>
      </w:r>
      <w:r w:rsidRPr="00E02FD7">
        <w:rPr>
          <w:i/>
          <w:sz w:val="24"/>
          <w:szCs w:val="24"/>
        </w:rPr>
        <w:t>Journal of Evaluation in Clinical Practice</w:t>
      </w:r>
      <w:r w:rsidRPr="00E02FD7">
        <w:rPr>
          <w:sz w:val="24"/>
          <w:szCs w:val="24"/>
        </w:rPr>
        <w:t xml:space="preserve"> 2004; 10: 307-312.</w:t>
      </w:r>
    </w:p>
    <w:p w:rsidR="00CC1329" w:rsidRPr="00E02FD7" w:rsidRDefault="00CC1329" w:rsidP="00E02FD7">
      <w:pPr>
        <w:pStyle w:val="ListParagraph"/>
        <w:numPr>
          <w:ilvl w:val="0"/>
          <w:numId w:val="3"/>
        </w:numPr>
        <w:spacing w:line="480" w:lineRule="auto"/>
        <w:ind w:left="567" w:hanging="567"/>
        <w:rPr>
          <w:color w:val="000000" w:themeColor="text1"/>
          <w:sz w:val="24"/>
          <w:szCs w:val="24"/>
        </w:rPr>
      </w:pPr>
      <w:r w:rsidRPr="00E02FD7">
        <w:rPr>
          <w:color w:val="000000" w:themeColor="text1"/>
          <w:sz w:val="24"/>
          <w:szCs w:val="24"/>
        </w:rPr>
        <w:t xml:space="preserve">Arnold D, Burns K, </w:t>
      </w:r>
      <w:proofErr w:type="spellStart"/>
      <w:r w:rsidRPr="00E02FD7">
        <w:rPr>
          <w:color w:val="000000" w:themeColor="text1"/>
          <w:sz w:val="24"/>
          <w:szCs w:val="24"/>
        </w:rPr>
        <w:t>Adhikari</w:t>
      </w:r>
      <w:proofErr w:type="spellEnd"/>
      <w:r w:rsidRPr="00E02FD7">
        <w:rPr>
          <w:color w:val="000000" w:themeColor="text1"/>
          <w:sz w:val="24"/>
          <w:szCs w:val="24"/>
        </w:rPr>
        <w:t xml:space="preserve"> N</w:t>
      </w:r>
      <w:r w:rsidR="002D6871" w:rsidRPr="00E02FD7">
        <w:rPr>
          <w:color w:val="000000" w:themeColor="text1"/>
          <w:sz w:val="24"/>
          <w:szCs w:val="24"/>
        </w:rPr>
        <w:t xml:space="preserve"> et al. </w:t>
      </w:r>
      <w:r w:rsidRPr="00E02FD7">
        <w:rPr>
          <w:color w:val="000000" w:themeColor="text1"/>
          <w:sz w:val="24"/>
          <w:szCs w:val="24"/>
        </w:rPr>
        <w:t xml:space="preserve">The design and interpretation of pilot trials in clinical research in critical care. </w:t>
      </w:r>
      <w:proofErr w:type="spellStart"/>
      <w:r w:rsidRPr="00E02FD7">
        <w:rPr>
          <w:i/>
          <w:sz w:val="24"/>
          <w:szCs w:val="24"/>
        </w:rPr>
        <w:t>Crit</w:t>
      </w:r>
      <w:proofErr w:type="spellEnd"/>
      <w:r w:rsidRPr="00E02FD7">
        <w:rPr>
          <w:i/>
          <w:sz w:val="24"/>
          <w:szCs w:val="24"/>
        </w:rPr>
        <w:t xml:space="preserve"> Care Med</w:t>
      </w:r>
      <w:r w:rsidRPr="00E02FD7">
        <w:rPr>
          <w:color w:val="000000" w:themeColor="text1"/>
          <w:sz w:val="24"/>
          <w:szCs w:val="24"/>
        </w:rPr>
        <w:t xml:space="preserve"> 2009</w:t>
      </w:r>
      <w:proofErr w:type="gramStart"/>
      <w:r w:rsidR="00C713D8" w:rsidRPr="00E02FD7">
        <w:rPr>
          <w:color w:val="000000" w:themeColor="text1"/>
          <w:sz w:val="24"/>
          <w:szCs w:val="24"/>
        </w:rPr>
        <w:t>;</w:t>
      </w:r>
      <w:r w:rsidRPr="00E02FD7">
        <w:rPr>
          <w:color w:val="000000" w:themeColor="text1"/>
          <w:sz w:val="24"/>
          <w:szCs w:val="24"/>
        </w:rPr>
        <w:t>37:S69</w:t>
      </w:r>
      <w:proofErr w:type="gramEnd"/>
      <w:r w:rsidRPr="00E02FD7">
        <w:rPr>
          <w:color w:val="000000" w:themeColor="text1"/>
          <w:sz w:val="24"/>
          <w:szCs w:val="24"/>
        </w:rPr>
        <w:t>-74.</w:t>
      </w:r>
    </w:p>
    <w:p w:rsidR="00E021B7" w:rsidRPr="00CF0AD1" w:rsidRDefault="00CC1329" w:rsidP="00E02FD7">
      <w:pPr>
        <w:pStyle w:val="ListParagraph"/>
        <w:numPr>
          <w:ilvl w:val="0"/>
          <w:numId w:val="3"/>
        </w:numPr>
        <w:spacing w:line="480" w:lineRule="auto"/>
        <w:ind w:left="567" w:hanging="567"/>
        <w:rPr>
          <w:b/>
          <w:sz w:val="24"/>
          <w:szCs w:val="24"/>
        </w:rPr>
      </w:pPr>
      <w:proofErr w:type="spellStart"/>
      <w:r w:rsidRPr="005741FB">
        <w:rPr>
          <w:color w:val="000000" w:themeColor="text1"/>
          <w:sz w:val="24"/>
          <w:szCs w:val="24"/>
          <w:lang w:val="fr-FR"/>
        </w:rPr>
        <w:t>Arain</w:t>
      </w:r>
      <w:proofErr w:type="spellEnd"/>
      <w:r w:rsidRPr="005741FB">
        <w:rPr>
          <w:color w:val="000000" w:themeColor="text1"/>
          <w:sz w:val="24"/>
          <w:szCs w:val="24"/>
          <w:lang w:val="fr-FR"/>
        </w:rPr>
        <w:t xml:space="preserve"> M, Campbell M, Cooper C</w:t>
      </w:r>
      <w:r w:rsidR="002D6871" w:rsidRPr="005741FB">
        <w:rPr>
          <w:color w:val="000000" w:themeColor="text1"/>
          <w:sz w:val="24"/>
          <w:szCs w:val="24"/>
          <w:lang w:val="fr-FR"/>
        </w:rPr>
        <w:t xml:space="preserve"> et al. </w:t>
      </w:r>
      <w:r w:rsidRPr="00CF0AD1">
        <w:rPr>
          <w:color w:val="000000" w:themeColor="text1"/>
          <w:sz w:val="24"/>
          <w:szCs w:val="24"/>
        </w:rPr>
        <w:t xml:space="preserve">What is a pilot or feasibility study? A review of current practice and editorial policy. </w:t>
      </w:r>
      <w:r w:rsidRPr="00CF0AD1">
        <w:rPr>
          <w:i/>
          <w:sz w:val="24"/>
          <w:szCs w:val="24"/>
        </w:rPr>
        <w:t xml:space="preserve">BMC Med Res </w:t>
      </w:r>
      <w:proofErr w:type="spellStart"/>
      <w:r w:rsidRPr="00CF0AD1">
        <w:rPr>
          <w:i/>
          <w:sz w:val="24"/>
          <w:szCs w:val="24"/>
        </w:rPr>
        <w:t>Methodol</w:t>
      </w:r>
      <w:proofErr w:type="spellEnd"/>
      <w:r w:rsidRPr="00CF0AD1">
        <w:rPr>
          <w:color w:val="000000" w:themeColor="text1"/>
          <w:sz w:val="24"/>
          <w:szCs w:val="24"/>
        </w:rPr>
        <w:t xml:space="preserve"> 2010</w:t>
      </w:r>
      <w:proofErr w:type="gramStart"/>
      <w:r w:rsidR="00C713D8" w:rsidRPr="00CF0AD1">
        <w:rPr>
          <w:color w:val="000000" w:themeColor="text1"/>
          <w:sz w:val="24"/>
          <w:szCs w:val="24"/>
        </w:rPr>
        <w:t>;</w:t>
      </w:r>
      <w:r w:rsidRPr="00CF0AD1">
        <w:rPr>
          <w:color w:val="000000" w:themeColor="text1"/>
          <w:sz w:val="24"/>
          <w:szCs w:val="24"/>
        </w:rPr>
        <w:t>10:1</w:t>
      </w:r>
      <w:proofErr w:type="gramEnd"/>
      <w:r w:rsidRPr="00CF0AD1">
        <w:rPr>
          <w:color w:val="000000" w:themeColor="text1"/>
          <w:sz w:val="24"/>
          <w:szCs w:val="24"/>
        </w:rPr>
        <w:t>-7.</w:t>
      </w:r>
    </w:p>
    <w:sectPr w:rsidR="00E021B7" w:rsidRPr="00CF0AD1" w:rsidSect="002C02E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6C2" w:rsidRDefault="002F66C2" w:rsidP="0068570D">
      <w:pPr>
        <w:spacing w:after="0" w:line="240" w:lineRule="auto"/>
      </w:pPr>
      <w:r>
        <w:separator/>
      </w:r>
    </w:p>
  </w:endnote>
  <w:endnote w:type="continuationSeparator" w:id="0">
    <w:p w:rsidR="002F66C2" w:rsidRDefault="002F66C2" w:rsidP="0068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75989"/>
      <w:docPartObj>
        <w:docPartGallery w:val="Page Numbers (Bottom of Page)"/>
        <w:docPartUnique/>
      </w:docPartObj>
    </w:sdtPr>
    <w:sdtEndPr/>
    <w:sdtContent>
      <w:p w:rsidR="002F66C2" w:rsidRDefault="002F66C2">
        <w:pPr>
          <w:pStyle w:val="Footer"/>
          <w:jc w:val="right"/>
        </w:pPr>
        <w:r>
          <w:fldChar w:fldCharType="begin"/>
        </w:r>
        <w:r>
          <w:instrText xml:space="preserve"> PAGE   \* MERGEFORMAT </w:instrText>
        </w:r>
        <w:r>
          <w:fldChar w:fldCharType="separate"/>
        </w:r>
        <w:r w:rsidR="005741FB">
          <w:rPr>
            <w:noProof/>
          </w:rPr>
          <w:t>1</w:t>
        </w:r>
        <w:r>
          <w:rPr>
            <w:noProof/>
          </w:rPr>
          <w:fldChar w:fldCharType="end"/>
        </w:r>
      </w:p>
    </w:sdtContent>
  </w:sdt>
  <w:p w:rsidR="002F66C2" w:rsidRDefault="002F6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6C2" w:rsidRDefault="002F66C2" w:rsidP="0068570D">
      <w:pPr>
        <w:spacing w:after="0" w:line="240" w:lineRule="auto"/>
      </w:pPr>
      <w:r>
        <w:separator/>
      </w:r>
    </w:p>
  </w:footnote>
  <w:footnote w:type="continuationSeparator" w:id="0">
    <w:p w:rsidR="002F66C2" w:rsidRDefault="002F66C2" w:rsidP="00685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C2" w:rsidRDefault="002F66C2">
    <w:pPr>
      <w:pStyle w:val="Header"/>
      <w:jc w:val="right"/>
    </w:pPr>
  </w:p>
  <w:p w:rsidR="002F66C2" w:rsidRDefault="002F6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B5D"/>
    <w:multiLevelType w:val="hybridMultilevel"/>
    <w:tmpl w:val="DA326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E681B"/>
    <w:multiLevelType w:val="hybridMultilevel"/>
    <w:tmpl w:val="586C7C9A"/>
    <w:lvl w:ilvl="0" w:tplc="B5680480">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E626BC1"/>
    <w:multiLevelType w:val="hybridMultilevel"/>
    <w:tmpl w:val="4516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80055E"/>
    <w:multiLevelType w:val="hybridMultilevel"/>
    <w:tmpl w:val="4E78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365FCC"/>
    <w:multiLevelType w:val="hybridMultilevel"/>
    <w:tmpl w:val="F734285A"/>
    <w:lvl w:ilvl="0" w:tplc="7D3E4300">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772357"/>
    <w:multiLevelType w:val="hybridMultilevel"/>
    <w:tmpl w:val="E2044F82"/>
    <w:lvl w:ilvl="0" w:tplc="8466DD7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A5120A6"/>
    <w:multiLevelType w:val="hybridMultilevel"/>
    <w:tmpl w:val="6A84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746C03"/>
    <w:multiLevelType w:val="hybridMultilevel"/>
    <w:tmpl w:val="F83CA19A"/>
    <w:lvl w:ilvl="0" w:tplc="B5680480">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B7C7DB7"/>
    <w:multiLevelType w:val="hybridMultilevel"/>
    <w:tmpl w:val="70DA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A64797"/>
    <w:multiLevelType w:val="hybridMultilevel"/>
    <w:tmpl w:val="7D3A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100280"/>
    <w:multiLevelType w:val="hybridMultilevel"/>
    <w:tmpl w:val="BA5E2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895C47"/>
    <w:multiLevelType w:val="hybridMultilevel"/>
    <w:tmpl w:val="C066AD1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nsid w:val="739B650B"/>
    <w:multiLevelType w:val="hybridMultilevel"/>
    <w:tmpl w:val="5614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A6649D"/>
    <w:multiLevelType w:val="hybridMultilevel"/>
    <w:tmpl w:val="5C163122"/>
    <w:lvl w:ilvl="0" w:tplc="C2F4A96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4"/>
  </w:num>
  <w:num w:numId="4">
    <w:abstractNumId w:val="6"/>
  </w:num>
  <w:num w:numId="5">
    <w:abstractNumId w:val="1"/>
  </w:num>
  <w:num w:numId="6">
    <w:abstractNumId w:val="7"/>
  </w:num>
  <w:num w:numId="7">
    <w:abstractNumId w:val="9"/>
  </w:num>
  <w:num w:numId="8">
    <w:abstractNumId w:val="12"/>
  </w:num>
  <w:num w:numId="9">
    <w:abstractNumId w:val="2"/>
  </w:num>
  <w:num w:numId="10">
    <w:abstractNumId w:val="8"/>
  </w:num>
  <w:num w:numId="11">
    <w:abstractNumId w:val="3"/>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38"/>
    <w:rsid w:val="00001379"/>
    <w:rsid w:val="000073FD"/>
    <w:rsid w:val="00014281"/>
    <w:rsid w:val="0002395C"/>
    <w:rsid w:val="00030AF8"/>
    <w:rsid w:val="00031CBC"/>
    <w:rsid w:val="00036CD9"/>
    <w:rsid w:val="00037A54"/>
    <w:rsid w:val="00040256"/>
    <w:rsid w:val="0004113F"/>
    <w:rsid w:val="00042C93"/>
    <w:rsid w:val="00047233"/>
    <w:rsid w:val="00047B04"/>
    <w:rsid w:val="00053FB9"/>
    <w:rsid w:val="00056FB0"/>
    <w:rsid w:val="00060E70"/>
    <w:rsid w:val="00063F72"/>
    <w:rsid w:val="0006760A"/>
    <w:rsid w:val="000733D5"/>
    <w:rsid w:val="00075300"/>
    <w:rsid w:val="00080FB8"/>
    <w:rsid w:val="00090965"/>
    <w:rsid w:val="00093DB2"/>
    <w:rsid w:val="000941C3"/>
    <w:rsid w:val="00095690"/>
    <w:rsid w:val="0009573A"/>
    <w:rsid w:val="000A19E3"/>
    <w:rsid w:val="000A7E31"/>
    <w:rsid w:val="000B6B46"/>
    <w:rsid w:val="000B6C47"/>
    <w:rsid w:val="000B7263"/>
    <w:rsid w:val="000B7373"/>
    <w:rsid w:val="000D0EE4"/>
    <w:rsid w:val="000D3577"/>
    <w:rsid w:val="000D674B"/>
    <w:rsid w:val="000F08CD"/>
    <w:rsid w:val="000F6875"/>
    <w:rsid w:val="000F768C"/>
    <w:rsid w:val="000F7F3A"/>
    <w:rsid w:val="0010696B"/>
    <w:rsid w:val="00111705"/>
    <w:rsid w:val="001222E8"/>
    <w:rsid w:val="001250BD"/>
    <w:rsid w:val="001327A6"/>
    <w:rsid w:val="001338C7"/>
    <w:rsid w:val="001340BA"/>
    <w:rsid w:val="00135717"/>
    <w:rsid w:val="00136110"/>
    <w:rsid w:val="00137459"/>
    <w:rsid w:val="001424B4"/>
    <w:rsid w:val="001435AF"/>
    <w:rsid w:val="001466D4"/>
    <w:rsid w:val="00154A0B"/>
    <w:rsid w:val="00155D0F"/>
    <w:rsid w:val="00157255"/>
    <w:rsid w:val="001602DC"/>
    <w:rsid w:val="001609A9"/>
    <w:rsid w:val="00163054"/>
    <w:rsid w:val="00163E13"/>
    <w:rsid w:val="001802FC"/>
    <w:rsid w:val="00180A3A"/>
    <w:rsid w:val="00180B7F"/>
    <w:rsid w:val="00181142"/>
    <w:rsid w:val="00181E26"/>
    <w:rsid w:val="00184C9E"/>
    <w:rsid w:val="00185DF1"/>
    <w:rsid w:val="00185F29"/>
    <w:rsid w:val="00191BDF"/>
    <w:rsid w:val="00193EFF"/>
    <w:rsid w:val="001A0F00"/>
    <w:rsid w:val="001A51E3"/>
    <w:rsid w:val="001A7F11"/>
    <w:rsid w:val="001B01C5"/>
    <w:rsid w:val="001B2B64"/>
    <w:rsid w:val="001C260C"/>
    <w:rsid w:val="001C3E02"/>
    <w:rsid w:val="001D0A72"/>
    <w:rsid w:val="001D0C59"/>
    <w:rsid w:val="001D220E"/>
    <w:rsid w:val="001D28C1"/>
    <w:rsid w:val="001D35AB"/>
    <w:rsid w:val="001D4233"/>
    <w:rsid w:val="001D42B4"/>
    <w:rsid w:val="001D64BA"/>
    <w:rsid w:val="001D748A"/>
    <w:rsid w:val="001E0C70"/>
    <w:rsid w:val="001F1455"/>
    <w:rsid w:val="001F6CDA"/>
    <w:rsid w:val="0020301F"/>
    <w:rsid w:val="002034D4"/>
    <w:rsid w:val="002038CF"/>
    <w:rsid w:val="002039EC"/>
    <w:rsid w:val="002067A9"/>
    <w:rsid w:val="00206DC2"/>
    <w:rsid w:val="00210C20"/>
    <w:rsid w:val="00212A1D"/>
    <w:rsid w:val="002173AB"/>
    <w:rsid w:val="002179A1"/>
    <w:rsid w:val="0022286F"/>
    <w:rsid w:val="002247FA"/>
    <w:rsid w:val="00225431"/>
    <w:rsid w:val="00225966"/>
    <w:rsid w:val="002302D3"/>
    <w:rsid w:val="002439F9"/>
    <w:rsid w:val="00243CCF"/>
    <w:rsid w:val="00245BF3"/>
    <w:rsid w:val="002645C3"/>
    <w:rsid w:val="00266766"/>
    <w:rsid w:val="0027361B"/>
    <w:rsid w:val="00273C52"/>
    <w:rsid w:val="0027724C"/>
    <w:rsid w:val="00280DC0"/>
    <w:rsid w:val="00281604"/>
    <w:rsid w:val="00281FAA"/>
    <w:rsid w:val="002850EA"/>
    <w:rsid w:val="00285A6B"/>
    <w:rsid w:val="00285FDA"/>
    <w:rsid w:val="00290643"/>
    <w:rsid w:val="00296015"/>
    <w:rsid w:val="0029772A"/>
    <w:rsid w:val="002A0BCA"/>
    <w:rsid w:val="002A1BDA"/>
    <w:rsid w:val="002A26E1"/>
    <w:rsid w:val="002A2CC1"/>
    <w:rsid w:val="002C02E8"/>
    <w:rsid w:val="002C100E"/>
    <w:rsid w:val="002C1A61"/>
    <w:rsid w:val="002C2F9A"/>
    <w:rsid w:val="002C3D43"/>
    <w:rsid w:val="002D1637"/>
    <w:rsid w:val="002D1CCD"/>
    <w:rsid w:val="002D28CF"/>
    <w:rsid w:val="002D6871"/>
    <w:rsid w:val="002E204E"/>
    <w:rsid w:val="002F31EF"/>
    <w:rsid w:val="002F66C2"/>
    <w:rsid w:val="002F7AAA"/>
    <w:rsid w:val="003038FF"/>
    <w:rsid w:val="00303A4C"/>
    <w:rsid w:val="00303F7A"/>
    <w:rsid w:val="00304B42"/>
    <w:rsid w:val="00310E7B"/>
    <w:rsid w:val="003133B0"/>
    <w:rsid w:val="0031584B"/>
    <w:rsid w:val="00322ABF"/>
    <w:rsid w:val="00324712"/>
    <w:rsid w:val="00324F68"/>
    <w:rsid w:val="00332735"/>
    <w:rsid w:val="003358D6"/>
    <w:rsid w:val="00337B0D"/>
    <w:rsid w:val="00341372"/>
    <w:rsid w:val="00343247"/>
    <w:rsid w:val="00344038"/>
    <w:rsid w:val="00344378"/>
    <w:rsid w:val="003452F3"/>
    <w:rsid w:val="00353A37"/>
    <w:rsid w:val="0036647F"/>
    <w:rsid w:val="00372B38"/>
    <w:rsid w:val="003815DC"/>
    <w:rsid w:val="00385FA3"/>
    <w:rsid w:val="0038764A"/>
    <w:rsid w:val="00394CB0"/>
    <w:rsid w:val="00397EE8"/>
    <w:rsid w:val="003A0392"/>
    <w:rsid w:val="003A11F4"/>
    <w:rsid w:val="003A4A1F"/>
    <w:rsid w:val="003A65E1"/>
    <w:rsid w:val="003B0C32"/>
    <w:rsid w:val="003B508A"/>
    <w:rsid w:val="003B7896"/>
    <w:rsid w:val="003C3404"/>
    <w:rsid w:val="003D12D3"/>
    <w:rsid w:val="003D1FFB"/>
    <w:rsid w:val="003D727C"/>
    <w:rsid w:val="003E2CA1"/>
    <w:rsid w:val="003E6B3A"/>
    <w:rsid w:val="003F1D87"/>
    <w:rsid w:val="003F5148"/>
    <w:rsid w:val="003F5A14"/>
    <w:rsid w:val="003F6931"/>
    <w:rsid w:val="004033EC"/>
    <w:rsid w:val="004049A8"/>
    <w:rsid w:val="00412451"/>
    <w:rsid w:val="00422362"/>
    <w:rsid w:val="004476E8"/>
    <w:rsid w:val="00450315"/>
    <w:rsid w:val="0045308B"/>
    <w:rsid w:val="00472CDD"/>
    <w:rsid w:val="0047438A"/>
    <w:rsid w:val="00474495"/>
    <w:rsid w:val="00474B3D"/>
    <w:rsid w:val="00480B46"/>
    <w:rsid w:val="00487A83"/>
    <w:rsid w:val="00487E6B"/>
    <w:rsid w:val="004913C2"/>
    <w:rsid w:val="00495C0D"/>
    <w:rsid w:val="004A542B"/>
    <w:rsid w:val="004B1504"/>
    <w:rsid w:val="004B4ABA"/>
    <w:rsid w:val="004B505E"/>
    <w:rsid w:val="004B5E9D"/>
    <w:rsid w:val="004C3932"/>
    <w:rsid w:val="004E5C53"/>
    <w:rsid w:val="004F056A"/>
    <w:rsid w:val="004F4E69"/>
    <w:rsid w:val="00501F42"/>
    <w:rsid w:val="005078E3"/>
    <w:rsid w:val="00514E18"/>
    <w:rsid w:val="005154A2"/>
    <w:rsid w:val="00517EF1"/>
    <w:rsid w:val="0053089E"/>
    <w:rsid w:val="0053753F"/>
    <w:rsid w:val="00544A91"/>
    <w:rsid w:val="00550562"/>
    <w:rsid w:val="005528FF"/>
    <w:rsid w:val="00554080"/>
    <w:rsid w:val="005632AC"/>
    <w:rsid w:val="00565FFA"/>
    <w:rsid w:val="00573869"/>
    <w:rsid w:val="005741FB"/>
    <w:rsid w:val="00574D8C"/>
    <w:rsid w:val="005801DA"/>
    <w:rsid w:val="0058103C"/>
    <w:rsid w:val="00582158"/>
    <w:rsid w:val="00587AE2"/>
    <w:rsid w:val="00595806"/>
    <w:rsid w:val="005A09E2"/>
    <w:rsid w:val="005A3684"/>
    <w:rsid w:val="005A407A"/>
    <w:rsid w:val="005B4F86"/>
    <w:rsid w:val="005C38F8"/>
    <w:rsid w:val="005C3C9E"/>
    <w:rsid w:val="005C669D"/>
    <w:rsid w:val="005D1020"/>
    <w:rsid w:val="005D502E"/>
    <w:rsid w:val="005D64A6"/>
    <w:rsid w:val="005D7D39"/>
    <w:rsid w:val="005E2FAD"/>
    <w:rsid w:val="005E429D"/>
    <w:rsid w:val="005E703E"/>
    <w:rsid w:val="005F486C"/>
    <w:rsid w:val="005F6879"/>
    <w:rsid w:val="00604086"/>
    <w:rsid w:val="00610DA7"/>
    <w:rsid w:val="00617921"/>
    <w:rsid w:val="0062352E"/>
    <w:rsid w:val="00625E61"/>
    <w:rsid w:val="00635B32"/>
    <w:rsid w:val="006365C8"/>
    <w:rsid w:val="0064075E"/>
    <w:rsid w:val="006459D4"/>
    <w:rsid w:val="00645EEC"/>
    <w:rsid w:val="0064688B"/>
    <w:rsid w:val="00652A7D"/>
    <w:rsid w:val="00654828"/>
    <w:rsid w:val="00655189"/>
    <w:rsid w:val="006561B7"/>
    <w:rsid w:val="0066601F"/>
    <w:rsid w:val="0067126A"/>
    <w:rsid w:val="00675890"/>
    <w:rsid w:val="00675FDA"/>
    <w:rsid w:val="00677A4E"/>
    <w:rsid w:val="00681D0C"/>
    <w:rsid w:val="00681E82"/>
    <w:rsid w:val="00684084"/>
    <w:rsid w:val="006846FA"/>
    <w:rsid w:val="0068570D"/>
    <w:rsid w:val="006864F6"/>
    <w:rsid w:val="006919FA"/>
    <w:rsid w:val="0069619F"/>
    <w:rsid w:val="006A6992"/>
    <w:rsid w:val="006B63F3"/>
    <w:rsid w:val="006B7098"/>
    <w:rsid w:val="006B7F4C"/>
    <w:rsid w:val="006C2CEA"/>
    <w:rsid w:val="006C3ABB"/>
    <w:rsid w:val="006C3F66"/>
    <w:rsid w:val="006C4488"/>
    <w:rsid w:val="006C4AD5"/>
    <w:rsid w:val="006C5E96"/>
    <w:rsid w:val="006D0252"/>
    <w:rsid w:val="006D6712"/>
    <w:rsid w:val="006E014F"/>
    <w:rsid w:val="006E0664"/>
    <w:rsid w:val="0070787C"/>
    <w:rsid w:val="00707CBA"/>
    <w:rsid w:val="007110AA"/>
    <w:rsid w:val="007155F1"/>
    <w:rsid w:val="00720F9E"/>
    <w:rsid w:val="00721F5D"/>
    <w:rsid w:val="00725F1B"/>
    <w:rsid w:val="00726565"/>
    <w:rsid w:val="00726D20"/>
    <w:rsid w:val="007578D6"/>
    <w:rsid w:val="00764AD3"/>
    <w:rsid w:val="00765B1D"/>
    <w:rsid w:val="00766164"/>
    <w:rsid w:val="00775478"/>
    <w:rsid w:val="00776B14"/>
    <w:rsid w:val="00777CB6"/>
    <w:rsid w:val="00782130"/>
    <w:rsid w:val="00786564"/>
    <w:rsid w:val="00792228"/>
    <w:rsid w:val="00792EED"/>
    <w:rsid w:val="00797E00"/>
    <w:rsid w:val="007C006E"/>
    <w:rsid w:val="007C02E4"/>
    <w:rsid w:val="007C1672"/>
    <w:rsid w:val="007C1BAF"/>
    <w:rsid w:val="007C23A6"/>
    <w:rsid w:val="007C254D"/>
    <w:rsid w:val="007C2799"/>
    <w:rsid w:val="007C6203"/>
    <w:rsid w:val="007C77C7"/>
    <w:rsid w:val="007D23DC"/>
    <w:rsid w:val="007D4207"/>
    <w:rsid w:val="007D6B46"/>
    <w:rsid w:val="007E25A3"/>
    <w:rsid w:val="007E3170"/>
    <w:rsid w:val="007E33CE"/>
    <w:rsid w:val="007E4CE9"/>
    <w:rsid w:val="007E5D79"/>
    <w:rsid w:val="007F4FDF"/>
    <w:rsid w:val="007F7F86"/>
    <w:rsid w:val="008056FA"/>
    <w:rsid w:val="00811127"/>
    <w:rsid w:val="00811B1C"/>
    <w:rsid w:val="00814431"/>
    <w:rsid w:val="008144A5"/>
    <w:rsid w:val="00821C21"/>
    <w:rsid w:val="00821F9F"/>
    <w:rsid w:val="00822A62"/>
    <w:rsid w:val="008300B6"/>
    <w:rsid w:val="008307A2"/>
    <w:rsid w:val="00840538"/>
    <w:rsid w:val="0084114A"/>
    <w:rsid w:val="00844755"/>
    <w:rsid w:val="00845621"/>
    <w:rsid w:val="008456E5"/>
    <w:rsid w:val="008468F7"/>
    <w:rsid w:val="00850BAA"/>
    <w:rsid w:val="00855CCE"/>
    <w:rsid w:val="008575E4"/>
    <w:rsid w:val="008621F0"/>
    <w:rsid w:val="008631F5"/>
    <w:rsid w:val="00866E84"/>
    <w:rsid w:val="008707FA"/>
    <w:rsid w:val="00887989"/>
    <w:rsid w:val="008935AE"/>
    <w:rsid w:val="008A0A37"/>
    <w:rsid w:val="008A47B8"/>
    <w:rsid w:val="008A6BFD"/>
    <w:rsid w:val="008A6EAC"/>
    <w:rsid w:val="008B0194"/>
    <w:rsid w:val="008B0A8F"/>
    <w:rsid w:val="008B28A0"/>
    <w:rsid w:val="008C613A"/>
    <w:rsid w:val="008D2EB8"/>
    <w:rsid w:val="008D6167"/>
    <w:rsid w:val="008D7E5B"/>
    <w:rsid w:val="008E0787"/>
    <w:rsid w:val="008E19C7"/>
    <w:rsid w:val="008E2E28"/>
    <w:rsid w:val="008E6004"/>
    <w:rsid w:val="008E60D6"/>
    <w:rsid w:val="008F28CF"/>
    <w:rsid w:val="008F3105"/>
    <w:rsid w:val="008F3FA5"/>
    <w:rsid w:val="008F5CFB"/>
    <w:rsid w:val="00900E6E"/>
    <w:rsid w:val="00902B46"/>
    <w:rsid w:val="009036D8"/>
    <w:rsid w:val="009117F0"/>
    <w:rsid w:val="00911F12"/>
    <w:rsid w:val="00912339"/>
    <w:rsid w:val="009131F2"/>
    <w:rsid w:val="0091504D"/>
    <w:rsid w:val="0092663D"/>
    <w:rsid w:val="00936318"/>
    <w:rsid w:val="00942E10"/>
    <w:rsid w:val="0094430A"/>
    <w:rsid w:val="00951B8B"/>
    <w:rsid w:val="009524F2"/>
    <w:rsid w:val="009532B8"/>
    <w:rsid w:val="00957335"/>
    <w:rsid w:val="00960D50"/>
    <w:rsid w:val="00962808"/>
    <w:rsid w:val="00967AD9"/>
    <w:rsid w:val="0097168E"/>
    <w:rsid w:val="00975384"/>
    <w:rsid w:val="00981FE8"/>
    <w:rsid w:val="00982527"/>
    <w:rsid w:val="009833A8"/>
    <w:rsid w:val="009844DF"/>
    <w:rsid w:val="0098650F"/>
    <w:rsid w:val="009A303D"/>
    <w:rsid w:val="009A5558"/>
    <w:rsid w:val="009B1B18"/>
    <w:rsid w:val="009B7991"/>
    <w:rsid w:val="009C33B9"/>
    <w:rsid w:val="009D2F95"/>
    <w:rsid w:val="009D6B65"/>
    <w:rsid w:val="009F0891"/>
    <w:rsid w:val="009F6613"/>
    <w:rsid w:val="009F6660"/>
    <w:rsid w:val="00A0023E"/>
    <w:rsid w:val="00A00664"/>
    <w:rsid w:val="00A030F9"/>
    <w:rsid w:val="00A0565A"/>
    <w:rsid w:val="00A05FD2"/>
    <w:rsid w:val="00A1104B"/>
    <w:rsid w:val="00A118C5"/>
    <w:rsid w:val="00A124DE"/>
    <w:rsid w:val="00A166C3"/>
    <w:rsid w:val="00A22DB0"/>
    <w:rsid w:val="00A243F4"/>
    <w:rsid w:val="00A251A2"/>
    <w:rsid w:val="00A2534F"/>
    <w:rsid w:val="00A2634E"/>
    <w:rsid w:val="00A26A78"/>
    <w:rsid w:val="00A31E31"/>
    <w:rsid w:val="00A33B5E"/>
    <w:rsid w:val="00A437E8"/>
    <w:rsid w:val="00A54868"/>
    <w:rsid w:val="00A60F5A"/>
    <w:rsid w:val="00A63F00"/>
    <w:rsid w:val="00A640FB"/>
    <w:rsid w:val="00A710DC"/>
    <w:rsid w:val="00A82791"/>
    <w:rsid w:val="00A90F63"/>
    <w:rsid w:val="00A91406"/>
    <w:rsid w:val="00A959A7"/>
    <w:rsid w:val="00A96750"/>
    <w:rsid w:val="00A969D3"/>
    <w:rsid w:val="00AA36BA"/>
    <w:rsid w:val="00AA422B"/>
    <w:rsid w:val="00AA7DF9"/>
    <w:rsid w:val="00AB3895"/>
    <w:rsid w:val="00AB4697"/>
    <w:rsid w:val="00AB6CE0"/>
    <w:rsid w:val="00AC48E6"/>
    <w:rsid w:val="00AC61B5"/>
    <w:rsid w:val="00AC7AC7"/>
    <w:rsid w:val="00AE3FCB"/>
    <w:rsid w:val="00AE4BF3"/>
    <w:rsid w:val="00AE6FB9"/>
    <w:rsid w:val="00AF48C1"/>
    <w:rsid w:val="00AF7316"/>
    <w:rsid w:val="00B12F32"/>
    <w:rsid w:val="00B20E01"/>
    <w:rsid w:val="00B34322"/>
    <w:rsid w:val="00B35C5D"/>
    <w:rsid w:val="00B36471"/>
    <w:rsid w:val="00B42AF0"/>
    <w:rsid w:val="00B44375"/>
    <w:rsid w:val="00B45D00"/>
    <w:rsid w:val="00B47853"/>
    <w:rsid w:val="00B53F81"/>
    <w:rsid w:val="00B57D18"/>
    <w:rsid w:val="00B655CE"/>
    <w:rsid w:val="00B71809"/>
    <w:rsid w:val="00B8214B"/>
    <w:rsid w:val="00B95547"/>
    <w:rsid w:val="00B9612D"/>
    <w:rsid w:val="00BA1169"/>
    <w:rsid w:val="00BB0F6D"/>
    <w:rsid w:val="00BB1749"/>
    <w:rsid w:val="00BB1842"/>
    <w:rsid w:val="00BB30B1"/>
    <w:rsid w:val="00BB3387"/>
    <w:rsid w:val="00BB67DB"/>
    <w:rsid w:val="00BC169E"/>
    <w:rsid w:val="00BC411D"/>
    <w:rsid w:val="00BD11A2"/>
    <w:rsid w:val="00BD44B6"/>
    <w:rsid w:val="00BD4FA1"/>
    <w:rsid w:val="00BD60B9"/>
    <w:rsid w:val="00BD713D"/>
    <w:rsid w:val="00BD75F0"/>
    <w:rsid w:val="00BE632F"/>
    <w:rsid w:val="00BE7B4B"/>
    <w:rsid w:val="00BE7C2C"/>
    <w:rsid w:val="00BF33F7"/>
    <w:rsid w:val="00BF52A3"/>
    <w:rsid w:val="00C00983"/>
    <w:rsid w:val="00C03736"/>
    <w:rsid w:val="00C05228"/>
    <w:rsid w:val="00C140B6"/>
    <w:rsid w:val="00C157C4"/>
    <w:rsid w:val="00C200E5"/>
    <w:rsid w:val="00C2610B"/>
    <w:rsid w:val="00C324BF"/>
    <w:rsid w:val="00C33576"/>
    <w:rsid w:val="00C346A5"/>
    <w:rsid w:val="00C369F2"/>
    <w:rsid w:val="00C43613"/>
    <w:rsid w:val="00C51834"/>
    <w:rsid w:val="00C53AF2"/>
    <w:rsid w:val="00C56386"/>
    <w:rsid w:val="00C606C5"/>
    <w:rsid w:val="00C61069"/>
    <w:rsid w:val="00C6522E"/>
    <w:rsid w:val="00C65EED"/>
    <w:rsid w:val="00C661BD"/>
    <w:rsid w:val="00C661C4"/>
    <w:rsid w:val="00C700AA"/>
    <w:rsid w:val="00C713D8"/>
    <w:rsid w:val="00C74057"/>
    <w:rsid w:val="00C7572A"/>
    <w:rsid w:val="00C77E16"/>
    <w:rsid w:val="00C81738"/>
    <w:rsid w:val="00C9250C"/>
    <w:rsid w:val="00C92A51"/>
    <w:rsid w:val="00C92D1B"/>
    <w:rsid w:val="00C93C6A"/>
    <w:rsid w:val="00C96A5E"/>
    <w:rsid w:val="00C96C13"/>
    <w:rsid w:val="00CA114D"/>
    <w:rsid w:val="00CB0CF1"/>
    <w:rsid w:val="00CB2061"/>
    <w:rsid w:val="00CB3741"/>
    <w:rsid w:val="00CC1329"/>
    <w:rsid w:val="00CC2187"/>
    <w:rsid w:val="00CC5202"/>
    <w:rsid w:val="00CC5ACE"/>
    <w:rsid w:val="00CD0147"/>
    <w:rsid w:val="00CD3EEC"/>
    <w:rsid w:val="00CD66D2"/>
    <w:rsid w:val="00CE0EEE"/>
    <w:rsid w:val="00CE1255"/>
    <w:rsid w:val="00CE5EED"/>
    <w:rsid w:val="00CE6B2C"/>
    <w:rsid w:val="00CF0AD1"/>
    <w:rsid w:val="00CF55B2"/>
    <w:rsid w:val="00CF77A3"/>
    <w:rsid w:val="00D01133"/>
    <w:rsid w:val="00D01507"/>
    <w:rsid w:val="00D059E8"/>
    <w:rsid w:val="00D07F74"/>
    <w:rsid w:val="00D124DF"/>
    <w:rsid w:val="00D16231"/>
    <w:rsid w:val="00D200F4"/>
    <w:rsid w:val="00D22D6C"/>
    <w:rsid w:val="00D25E28"/>
    <w:rsid w:val="00D2669F"/>
    <w:rsid w:val="00D31CA5"/>
    <w:rsid w:val="00D34CE3"/>
    <w:rsid w:val="00D44CBF"/>
    <w:rsid w:val="00D45047"/>
    <w:rsid w:val="00D46A97"/>
    <w:rsid w:val="00D46D3D"/>
    <w:rsid w:val="00D47863"/>
    <w:rsid w:val="00D50676"/>
    <w:rsid w:val="00D51AE3"/>
    <w:rsid w:val="00D55B98"/>
    <w:rsid w:val="00D56A40"/>
    <w:rsid w:val="00D56E9C"/>
    <w:rsid w:val="00D70A95"/>
    <w:rsid w:val="00D7501E"/>
    <w:rsid w:val="00D76951"/>
    <w:rsid w:val="00D80A90"/>
    <w:rsid w:val="00D8318E"/>
    <w:rsid w:val="00D8698D"/>
    <w:rsid w:val="00D90BC1"/>
    <w:rsid w:val="00D90FC2"/>
    <w:rsid w:val="00D9477E"/>
    <w:rsid w:val="00DA05E7"/>
    <w:rsid w:val="00DA1CA0"/>
    <w:rsid w:val="00DA247F"/>
    <w:rsid w:val="00DB1D7C"/>
    <w:rsid w:val="00DB2ABA"/>
    <w:rsid w:val="00DB52F0"/>
    <w:rsid w:val="00DB68BE"/>
    <w:rsid w:val="00DC07FA"/>
    <w:rsid w:val="00DC0822"/>
    <w:rsid w:val="00DC2738"/>
    <w:rsid w:val="00DC47A8"/>
    <w:rsid w:val="00DC486F"/>
    <w:rsid w:val="00DD1409"/>
    <w:rsid w:val="00DD369C"/>
    <w:rsid w:val="00DD5D2F"/>
    <w:rsid w:val="00DE328F"/>
    <w:rsid w:val="00DE6F23"/>
    <w:rsid w:val="00DE7CA6"/>
    <w:rsid w:val="00DF320A"/>
    <w:rsid w:val="00DF510E"/>
    <w:rsid w:val="00DF6F60"/>
    <w:rsid w:val="00E00DCE"/>
    <w:rsid w:val="00E021B7"/>
    <w:rsid w:val="00E02867"/>
    <w:rsid w:val="00E02FD7"/>
    <w:rsid w:val="00E04E13"/>
    <w:rsid w:val="00E051AE"/>
    <w:rsid w:val="00E1227D"/>
    <w:rsid w:val="00E25695"/>
    <w:rsid w:val="00E27BDE"/>
    <w:rsid w:val="00E300EC"/>
    <w:rsid w:val="00E301C1"/>
    <w:rsid w:val="00E3055D"/>
    <w:rsid w:val="00E348D3"/>
    <w:rsid w:val="00E34C96"/>
    <w:rsid w:val="00E41481"/>
    <w:rsid w:val="00E428C4"/>
    <w:rsid w:val="00E43590"/>
    <w:rsid w:val="00E457FD"/>
    <w:rsid w:val="00E53A89"/>
    <w:rsid w:val="00E54778"/>
    <w:rsid w:val="00E54F68"/>
    <w:rsid w:val="00E55C49"/>
    <w:rsid w:val="00E57218"/>
    <w:rsid w:val="00E609DA"/>
    <w:rsid w:val="00E62051"/>
    <w:rsid w:val="00E666E0"/>
    <w:rsid w:val="00E71922"/>
    <w:rsid w:val="00E75F5A"/>
    <w:rsid w:val="00E8197F"/>
    <w:rsid w:val="00E84305"/>
    <w:rsid w:val="00E86940"/>
    <w:rsid w:val="00E86B9E"/>
    <w:rsid w:val="00E91782"/>
    <w:rsid w:val="00E9392C"/>
    <w:rsid w:val="00E94363"/>
    <w:rsid w:val="00E944BD"/>
    <w:rsid w:val="00E956B9"/>
    <w:rsid w:val="00EA1D8C"/>
    <w:rsid w:val="00EA2063"/>
    <w:rsid w:val="00EA4D14"/>
    <w:rsid w:val="00EA5185"/>
    <w:rsid w:val="00EB02B7"/>
    <w:rsid w:val="00EB0A95"/>
    <w:rsid w:val="00EC08DF"/>
    <w:rsid w:val="00EC2EEB"/>
    <w:rsid w:val="00ED0167"/>
    <w:rsid w:val="00ED2D1E"/>
    <w:rsid w:val="00ED4EB9"/>
    <w:rsid w:val="00EE00F5"/>
    <w:rsid w:val="00EE22A8"/>
    <w:rsid w:val="00EE3CA9"/>
    <w:rsid w:val="00EE43A7"/>
    <w:rsid w:val="00EF2611"/>
    <w:rsid w:val="00EF29B2"/>
    <w:rsid w:val="00EF2D87"/>
    <w:rsid w:val="00EF32B6"/>
    <w:rsid w:val="00F02656"/>
    <w:rsid w:val="00F0333E"/>
    <w:rsid w:val="00F035C4"/>
    <w:rsid w:val="00F07BC1"/>
    <w:rsid w:val="00F11688"/>
    <w:rsid w:val="00F15CFC"/>
    <w:rsid w:val="00F15E22"/>
    <w:rsid w:val="00F16AFF"/>
    <w:rsid w:val="00F317D9"/>
    <w:rsid w:val="00F417E8"/>
    <w:rsid w:val="00F418E6"/>
    <w:rsid w:val="00F41C53"/>
    <w:rsid w:val="00F439E3"/>
    <w:rsid w:val="00F5306A"/>
    <w:rsid w:val="00F5366C"/>
    <w:rsid w:val="00F57BA0"/>
    <w:rsid w:val="00F607BA"/>
    <w:rsid w:val="00F711B0"/>
    <w:rsid w:val="00F834C4"/>
    <w:rsid w:val="00F86EF8"/>
    <w:rsid w:val="00F95E5F"/>
    <w:rsid w:val="00F9786B"/>
    <w:rsid w:val="00FB17CC"/>
    <w:rsid w:val="00FB5DAF"/>
    <w:rsid w:val="00FC5F53"/>
    <w:rsid w:val="00FD3247"/>
    <w:rsid w:val="00FD4067"/>
    <w:rsid w:val="00FF1A0C"/>
    <w:rsid w:val="00FF2A4E"/>
    <w:rsid w:val="00FF53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90"/>
  </w:style>
  <w:style w:type="paragraph" w:styleId="Heading3">
    <w:name w:val="heading 3"/>
    <w:basedOn w:val="Normal"/>
    <w:next w:val="Normal"/>
    <w:link w:val="Heading3Char"/>
    <w:uiPriority w:val="9"/>
    <w:semiHidden/>
    <w:unhideWhenUsed/>
    <w:qFormat/>
    <w:rsid w:val="000F76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0822"/>
    <w:pPr>
      <w:keepNext/>
      <w:keepLines/>
      <w:spacing w:before="200" w:after="0" w:line="480" w:lineRule="auto"/>
      <w:outlineLvl w:val="3"/>
    </w:pPr>
    <w:rPr>
      <w:rFonts w:ascii="Times New Roman" w:eastAsiaTheme="majorEastAsia" w:hAnsi="Times New Roman" w:cstheme="majorBid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70D"/>
  </w:style>
  <w:style w:type="paragraph" w:styleId="Footer">
    <w:name w:val="footer"/>
    <w:basedOn w:val="Normal"/>
    <w:link w:val="FooterChar"/>
    <w:uiPriority w:val="99"/>
    <w:unhideWhenUsed/>
    <w:rsid w:val="00685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70D"/>
  </w:style>
  <w:style w:type="character" w:styleId="CommentReference">
    <w:name w:val="annotation reference"/>
    <w:basedOn w:val="DefaultParagraphFont"/>
    <w:uiPriority w:val="99"/>
    <w:semiHidden/>
    <w:unhideWhenUsed/>
    <w:rsid w:val="0010696B"/>
    <w:rPr>
      <w:sz w:val="16"/>
      <w:szCs w:val="16"/>
    </w:rPr>
  </w:style>
  <w:style w:type="paragraph" w:styleId="CommentText">
    <w:name w:val="annotation text"/>
    <w:basedOn w:val="Normal"/>
    <w:link w:val="CommentTextChar"/>
    <w:uiPriority w:val="99"/>
    <w:unhideWhenUsed/>
    <w:rsid w:val="0010696B"/>
    <w:pPr>
      <w:spacing w:line="240" w:lineRule="auto"/>
    </w:pPr>
    <w:rPr>
      <w:rFonts w:ascii="Calibri" w:eastAsia="Calibri" w:hAnsi="Calibri" w:cs="Times New Roman"/>
      <w:sz w:val="20"/>
      <w:szCs w:val="20"/>
      <w:lang w:val="es-ES_tradnl"/>
    </w:rPr>
  </w:style>
  <w:style w:type="character" w:customStyle="1" w:styleId="CommentTextChar">
    <w:name w:val="Comment Text Char"/>
    <w:basedOn w:val="DefaultParagraphFont"/>
    <w:link w:val="CommentText"/>
    <w:uiPriority w:val="99"/>
    <w:rsid w:val="0010696B"/>
    <w:rPr>
      <w:rFonts w:ascii="Calibri" w:eastAsia="Calibri" w:hAnsi="Calibri" w:cs="Times New Roman"/>
      <w:sz w:val="20"/>
      <w:szCs w:val="20"/>
      <w:lang w:val="es-ES_tradnl"/>
    </w:rPr>
  </w:style>
  <w:style w:type="paragraph" w:styleId="BalloonText">
    <w:name w:val="Balloon Text"/>
    <w:basedOn w:val="Normal"/>
    <w:link w:val="BalloonTextChar"/>
    <w:uiPriority w:val="99"/>
    <w:semiHidden/>
    <w:unhideWhenUsed/>
    <w:rsid w:val="0010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6B"/>
    <w:rPr>
      <w:rFonts w:ascii="Tahoma" w:hAnsi="Tahoma" w:cs="Tahoma"/>
      <w:sz w:val="16"/>
      <w:szCs w:val="16"/>
    </w:rPr>
  </w:style>
  <w:style w:type="character" w:customStyle="1" w:styleId="Heading4Char">
    <w:name w:val="Heading 4 Char"/>
    <w:basedOn w:val="DefaultParagraphFont"/>
    <w:link w:val="Heading4"/>
    <w:uiPriority w:val="9"/>
    <w:rsid w:val="00DC0822"/>
    <w:rPr>
      <w:rFonts w:ascii="Times New Roman" w:eastAsiaTheme="majorEastAsia" w:hAnsi="Times New Roman" w:cstheme="majorBidi"/>
      <w:b/>
      <w:bCs/>
      <w:i/>
      <w:iCs/>
      <w:sz w:val="24"/>
      <w:szCs w:val="24"/>
      <w:lang w:eastAsia="en-GB"/>
    </w:rPr>
  </w:style>
  <w:style w:type="character" w:customStyle="1" w:styleId="Heading3Char">
    <w:name w:val="Heading 3 Char"/>
    <w:basedOn w:val="DefaultParagraphFont"/>
    <w:link w:val="Heading3"/>
    <w:uiPriority w:val="9"/>
    <w:semiHidden/>
    <w:rsid w:val="000F768C"/>
    <w:rPr>
      <w:rFonts w:asciiTheme="majorHAnsi" w:eastAsiaTheme="majorEastAsia" w:hAnsiTheme="majorHAnsi" w:cstheme="majorBidi"/>
      <w:b/>
      <w:bCs/>
      <w:color w:val="4F81BD" w:themeColor="accent1"/>
    </w:rPr>
  </w:style>
  <w:style w:type="character" w:customStyle="1" w:styleId="definition">
    <w:name w:val="definition"/>
    <w:basedOn w:val="DefaultParagraphFont"/>
    <w:rsid w:val="00610DA7"/>
  </w:style>
  <w:style w:type="paragraph" w:styleId="DocumentMap">
    <w:name w:val="Document Map"/>
    <w:basedOn w:val="Normal"/>
    <w:link w:val="DocumentMapChar"/>
    <w:uiPriority w:val="99"/>
    <w:semiHidden/>
    <w:unhideWhenUsed/>
    <w:rsid w:val="005958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95806"/>
    <w:rPr>
      <w:rFonts w:ascii="Tahoma" w:hAnsi="Tahoma" w:cs="Tahoma"/>
      <w:sz w:val="16"/>
      <w:szCs w:val="16"/>
    </w:rPr>
  </w:style>
  <w:style w:type="table" w:styleId="TableGrid">
    <w:name w:val="Table Grid"/>
    <w:basedOn w:val="TableNormal"/>
    <w:uiPriority w:val="59"/>
    <w:rsid w:val="0007530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3F81"/>
    <w:pPr>
      <w:ind w:left="720"/>
      <w:contextualSpacing/>
    </w:pPr>
  </w:style>
  <w:style w:type="character" w:styleId="Emphasis">
    <w:name w:val="Emphasis"/>
    <w:basedOn w:val="DefaultParagraphFont"/>
    <w:uiPriority w:val="20"/>
    <w:qFormat/>
    <w:rsid w:val="00422362"/>
    <w:rPr>
      <w:i/>
      <w:iCs/>
    </w:rPr>
  </w:style>
  <w:style w:type="character" w:styleId="Hyperlink">
    <w:name w:val="Hyperlink"/>
    <w:basedOn w:val="DefaultParagraphFont"/>
    <w:uiPriority w:val="99"/>
    <w:unhideWhenUsed/>
    <w:rsid w:val="00B8214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D28CF"/>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2D28CF"/>
    <w:rPr>
      <w:rFonts w:ascii="Calibri" w:eastAsia="Calibri" w:hAnsi="Calibri" w:cs="Times New Roman"/>
      <w:b/>
      <w:bCs/>
      <w:sz w:val="20"/>
      <w:szCs w:val="20"/>
      <w:lang w:val="es-ES_tradnl"/>
    </w:rPr>
  </w:style>
  <w:style w:type="paragraph" w:styleId="NormalWeb">
    <w:name w:val="Normal (Web)"/>
    <w:basedOn w:val="Normal"/>
    <w:uiPriority w:val="99"/>
    <w:semiHidden/>
    <w:unhideWhenUsed/>
    <w:rsid w:val="00B44375"/>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90"/>
  </w:style>
  <w:style w:type="paragraph" w:styleId="Heading3">
    <w:name w:val="heading 3"/>
    <w:basedOn w:val="Normal"/>
    <w:next w:val="Normal"/>
    <w:link w:val="Heading3Char"/>
    <w:uiPriority w:val="9"/>
    <w:semiHidden/>
    <w:unhideWhenUsed/>
    <w:qFormat/>
    <w:rsid w:val="000F76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0822"/>
    <w:pPr>
      <w:keepNext/>
      <w:keepLines/>
      <w:spacing w:before="200" w:after="0" w:line="480" w:lineRule="auto"/>
      <w:outlineLvl w:val="3"/>
    </w:pPr>
    <w:rPr>
      <w:rFonts w:ascii="Times New Roman" w:eastAsiaTheme="majorEastAsia" w:hAnsi="Times New Roman" w:cstheme="majorBid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70D"/>
  </w:style>
  <w:style w:type="paragraph" w:styleId="Footer">
    <w:name w:val="footer"/>
    <w:basedOn w:val="Normal"/>
    <w:link w:val="FooterChar"/>
    <w:uiPriority w:val="99"/>
    <w:unhideWhenUsed/>
    <w:rsid w:val="00685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70D"/>
  </w:style>
  <w:style w:type="character" w:styleId="CommentReference">
    <w:name w:val="annotation reference"/>
    <w:basedOn w:val="DefaultParagraphFont"/>
    <w:uiPriority w:val="99"/>
    <w:semiHidden/>
    <w:unhideWhenUsed/>
    <w:rsid w:val="0010696B"/>
    <w:rPr>
      <w:sz w:val="16"/>
      <w:szCs w:val="16"/>
    </w:rPr>
  </w:style>
  <w:style w:type="paragraph" w:styleId="CommentText">
    <w:name w:val="annotation text"/>
    <w:basedOn w:val="Normal"/>
    <w:link w:val="CommentTextChar"/>
    <w:uiPriority w:val="99"/>
    <w:unhideWhenUsed/>
    <w:rsid w:val="0010696B"/>
    <w:pPr>
      <w:spacing w:line="240" w:lineRule="auto"/>
    </w:pPr>
    <w:rPr>
      <w:rFonts w:ascii="Calibri" w:eastAsia="Calibri" w:hAnsi="Calibri" w:cs="Times New Roman"/>
      <w:sz w:val="20"/>
      <w:szCs w:val="20"/>
      <w:lang w:val="es-ES_tradnl"/>
    </w:rPr>
  </w:style>
  <w:style w:type="character" w:customStyle="1" w:styleId="CommentTextChar">
    <w:name w:val="Comment Text Char"/>
    <w:basedOn w:val="DefaultParagraphFont"/>
    <w:link w:val="CommentText"/>
    <w:uiPriority w:val="99"/>
    <w:rsid w:val="0010696B"/>
    <w:rPr>
      <w:rFonts w:ascii="Calibri" w:eastAsia="Calibri" w:hAnsi="Calibri" w:cs="Times New Roman"/>
      <w:sz w:val="20"/>
      <w:szCs w:val="20"/>
      <w:lang w:val="es-ES_tradnl"/>
    </w:rPr>
  </w:style>
  <w:style w:type="paragraph" w:styleId="BalloonText">
    <w:name w:val="Balloon Text"/>
    <w:basedOn w:val="Normal"/>
    <w:link w:val="BalloonTextChar"/>
    <w:uiPriority w:val="99"/>
    <w:semiHidden/>
    <w:unhideWhenUsed/>
    <w:rsid w:val="0010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6B"/>
    <w:rPr>
      <w:rFonts w:ascii="Tahoma" w:hAnsi="Tahoma" w:cs="Tahoma"/>
      <w:sz w:val="16"/>
      <w:szCs w:val="16"/>
    </w:rPr>
  </w:style>
  <w:style w:type="character" w:customStyle="1" w:styleId="Heading4Char">
    <w:name w:val="Heading 4 Char"/>
    <w:basedOn w:val="DefaultParagraphFont"/>
    <w:link w:val="Heading4"/>
    <w:uiPriority w:val="9"/>
    <w:rsid w:val="00DC0822"/>
    <w:rPr>
      <w:rFonts w:ascii="Times New Roman" w:eastAsiaTheme="majorEastAsia" w:hAnsi="Times New Roman" w:cstheme="majorBidi"/>
      <w:b/>
      <w:bCs/>
      <w:i/>
      <w:iCs/>
      <w:sz w:val="24"/>
      <w:szCs w:val="24"/>
      <w:lang w:eastAsia="en-GB"/>
    </w:rPr>
  </w:style>
  <w:style w:type="character" w:customStyle="1" w:styleId="Heading3Char">
    <w:name w:val="Heading 3 Char"/>
    <w:basedOn w:val="DefaultParagraphFont"/>
    <w:link w:val="Heading3"/>
    <w:uiPriority w:val="9"/>
    <w:semiHidden/>
    <w:rsid w:val="000F768C"/>
    <w:rPr>
      <w:rFonts w:asciiTheme="majorHAnsi" w:eastAsiaTheme="majorEastAsia" w:hAnsiTheme="majorHAnsi" w:cstheme="majorBidi"/>
      <w:b/>
      <w:bCs/>
      <w:color w:val="4F81BD" w:themeColor="accent1"/>
    </w:rPr>
  </w:style>
  <w:style w:type="character" w:customStyle="1" w:styleId="definition">
    <w:name w:val="definition"/>
    <w:basedOn w:val="DefaultParagraphFont"/>
    <w:rsid w:val="00610DA7"/>
  </w:style>
  <w:style w:type="paragraph" w:styleId="DocumentMap">
    <w:name w:val="Document Map"/>
    <w:basedOn w:val="Normal"/>
    <w:link w:val="DocumentMapChar"/>
    <w:uiPriority w:val="99"/>
    <w:semiHidden/>
    <w:unhideWhenUsed/>
    <w:rsid w:val="005958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95806"/>
    <w:rPr>
      <w:rFonts w:ascii="Tahoma" w:hAnsi="Tahoma" w:cs="Tahoma"/>
      <w:sz w:val="16"/>
      <w:szCs w:val="16"/>
    </w:rPr>
  </w:style>
  <w:style w:type="table" w:styleId="TableGrid">
    <w:name w:val="Table Grid"/>
    <w:basedOn w:val="TableNormal"/>
    <w:uiPriority w:val="59"/>
    <w:rsid w:val="0007530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3F81"/>
    <w:pPr>
      <w:ind w:left="720"/>
      <w:contextualSpacing/>
    </w:pPr>
  </w:style>
  <w:style w:type="character" w:styleId="Emphasis">
    <w:name w:val="Emphasis"/>
    <w:basedOn w:val="DefaultParagraphFont"/>
    <w:uiPriority w:val="20"/>
    <w:qFormat/>
    <w:rsid w:val="00422362"/>
    <w:rPr>
      <w:i/>
      <w:iCs/>
    </w:rPr>
  </w:style>
  <w:style w:type="character" w:styleId="Hyperlink">
    <w:name w:val="Hyperlink"/>
    <w:basedOn w:val="DefaultParagraphFont"/>
    <w:uiPriority w:val="99"/>
    <w:unhideWhenUsed/>
    <w:rsid w:val="00B8214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D28CF"/>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2D28CF"/>
    <w:rPr>
      <w:rFonts w:ascii="Calibri" w:eastAsia="Calibri" w:hAnsi="Calibri" w:cs="Times New Roman"/>
      <w:b/>
      <w:bCs/>
      <w:sz w:val="20"/>
      <w:szCs w:val="20"/>
      <w:lang w:val="es-ES_tradnl"/>
    </w:rPr>
  </w:style>
  <w:style w:type="paragraph" w:styleId="NormalWeb">
    <w:name w:val="Normal (Web)"/>
    <w:basedOn w:val="Normal"/>
    <w:uiPriority w:val="99"/>
    <w:semiHidden/>
    <w:unhideWhenUsed/>
    <w:rsid w:val="00B44375"/>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5068">
      <w:bodyDiv w:val="1"/>
      <w:marLeft w:val="0"/>
      <w:marRight w:val="0"/>
      <w:marTop w:val="0"/>
      <w:marBottom w:val="0"/>
      <w:divBdr>
        <w:top w:val="none" w:sz="0" w:space="0" w:color="auto"/>
        <w:left w:val="none" w:sz="0" w:space="0" w:color="auto"/>
        <w:bottom w:val="none" w:sz="0" w:space="0" w:color="auto"/>
        <w:right w:val="none" w:sz="0" w:space="0" w:color="auto"/>
      </w:divBdr>
    </w:div>
    <w:div w:id="798231587">
      <w:bodyDiv w:val="1"/>
      <w:marLeft w:val="0"/>
      <w:marRight w:val="0"/>
      <w:marTop w:val="0"/>
      <w:marBottom w:val="0"/>
      <w:divBdr>
        <w:top w:val="none" w:sz="0" w:space="0" w:color="auto"/>
        <w:left w:val="none" w:sz="0" w:space="0" w:color="auto"/>
        <w:bottom w:val="none" w:sz="0" w:space="0" w:color="auto"/>
        <w:right w:val="none" w:sz="0" w:space="0" w:color="auto"/>
      </w:divBdr>
    </w:div>
    <w:div w:id="1130519131">
      <w:bodyDiv w:val="1"/>
      <w:marLeft w:val="0"/>
      <w:marRight w:val="0"/>
      <w:marTop w:val="0"/>
      <w:marBottom w:val="0"/>
      <w:divBdr>
        <w:top w:val="none" w:sz="0" w:space="0" w:color="auto"/>
        <w:left w:val="none" w:sz="0" w:space="0" w:color="auto"/>
        <w:bottom w:val="none" w:sz="0" w:space="0" w:color="auto"/>
        <w:right w:val="none" w:sz="0" w:space="0" w:color="auto"/>
      </w:divBdr>
    </w:div>
    <w:div w:id="1288856776">
      <w:bodyDiv w:val="1"/>
      <w:marLeft w:val="0"/>
      <w:marRight w:val="0"/>
      <w:marTop w:val="0"/>
      <w:marBottom w:val="0"/>
      <w:divBdr>
        <w:top w:val="none" w:sz="0" w:space="0" w:color="auto"/>
        <w:left w:val="none" w:sz="0" w:space="0" w:color="auto"/>
        <w:bottom w:val="none" w:sz="0" w:space="0" w:color="auto"/>
        <w:right w:val="none" w:sz="0" w:space="0" w:color="auto"/>
      </w:divBdr>
    </w:div>
    <w:div w:id="1402605461">
      <w:bodyDiv w:val="1"/>
      <w:marLeft w:val="0"/>
      <w:marRight w:val="0"/>
      <w:marTop w:val="0"/>
      <w:marBottom w:val="0"/>
      <w:divBdr>
        <w:top w:val="none" w:sz="0" w:space="0" w:color="auto"/>
        <w:left w:val="none" w:sz="0" w:space="0" w:color="auto"/>
        <w:bottom w:val="none" w:sz="0" w:space="0" w:color="auto"/>
        <w:right w:val="none" w:sz="0" w:space="0" w:color="auto"/>
      </w:divBdr>
    </w:div>
    <w:div w:id="1763522957">
      <w:bodyDiv w:val="1"/>
      <w:marLeft w:val="0"/>
      <w:marRight w:val="0"/>
      <w:marTop w:val="0"/>
      <w:marBottom w:val="0"/>
      <w:divBdr>
        <w:top w:val="none" w:sz="0" w:space="0" w:color="auto"/>
        <w:left w:val="none" w:sz="0" w:space="0" w:color="auto"/>
        <w:bottom w:val="none" w:sz="0" w:space="0" w:color="auto"/>
        <w:right w:val="none" w:sz="0" w:space="0" w:color="auto"/>
      </w:divBdr>
    </w:div>
    <w:div w:id="19641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rc.ac.uk/Utilities/Documentrecord/index.htm?d=MRC00240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22951546"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F633-AC23-4185-86FC-B41CA2B8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8748</Words>
  <Characters>48119</Characters>
  <Application>Microsoft Office Word</Application>
  <DocSecurity>4</DocSecurity>
  <Lines>1458</Lines>
  <Paragraphs>1672</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55195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Galbraith Z.</cp:lastModifiedBy>
  <cp:revision>2</cp:revision>
  <cp:lastPrinted>2015-05-18T07:43:00Z</cp:lastPrinted>
  <dcterms:created xsi:type="dcterms:W3CDTF">2015-07-29T10:48:00Z</dcterms:created>
  <dcterms:modified xsi:type="dcterms:W3CDTF">2015-07-29T10:48:00Z</dcterms:modified>
</cp:coreProperties>
</file>