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F4F" w:rsidRPr="009F3D8F" w:rsidRDefault="008A5F4F" w:rsidP="008A5F4F">
      <w:pPr>
        <w:pStyle w:val="Articletitle"/>
        <w:rPr>
          <w:b w:val="0"/>
          <w:i/>
          <w:sz w:val="24"/>
        </w:rPr>
      </w:pPr>
      <w:bookmarkStart w:id="0" w:name="_GoBack"/>
      <w:bookmarkEnd w:id="0"/>
      <w:r>
        <w:rPr>
          <w:b w:val="0"/>
          <w:i/>
          <w:sz w:val="24"/>
        </w:rPr>
        <w:t xml:space="preserve">Review Article </w:t>
      </w:r>
    </w:p>
    <w:p w:rsidR="008A5F4F" w:rsidRPr="006E059B" w:rsidRDefault="008A5F4F" w:rsidP="008A5F4F">
      <w:pPr>
        <w:pStyle w:val="Articletitle"/>
        <w:rPr>
          <w:sz w:val="24"/>
        </w:rPr>
      </w:pPr>
      <w:r>
        <w:rPr>
          <w:sz w:val="24"/>
        </w:rPr>
        <w:t xml:space="preserve">Theory-based strategies for enhancing the impact and usage of digital health behaviour change interventions: A review </w:t>
      </w:r>
    </w:p>
    <w:p w:rsidR="008A5F4F" w:rsidRPr="006E059B" w:rsidRDefault="008A5F4F" w:rsidP="008A5F4F">
      <w:pPr>
        <w:pStyle w:val="Authornames"/>
        <w:rPr>
          <w:sz w:val="24"/>
        </w:rPr>
      </w:pPr>
      <w:r w:rsidRPr="006E059B">
        <w:rPr>
          <w:sz w:val="24"/>
        </w:rPr>
        <w:t>Leanne G Morrison</w:t>
      </w:r>
    </w:p>
    <w:p w:rsidR="008A5F4F" w:rsidRPr="006E059B" w:rsidRDefault="008A5F4F" w:rsidP="008A5F4F">
      <w:pPr>
        <w:pStyle w:val="Affiliation"/>
      </w:pPr>
      <w:r>
        <w:t>Department</w:t>
      </w:r>
      <w:r w:rsidRPr="006E059B">
        <w:t xml:space="preserve"> of Psychology, University of Southampton, </w:t>
      </w:r>
      <w:r>
        <w:t>Highfield, Southampton, SO17 1BJ, UK</w:t>
      </w:r>
    </w:p>
    <w:p w:rsidR="008A5F4F" w:rsidRPr="006E059B" w:rsidRDefault="008A5F4F" w:rsidP="008A5F4F">
      <w:pPr>
        <w:pStyle w:val="Correspondencedetails"/>
      </w:pPr>
      <w:r>
        <w:t>Telephone: +44(0)23 8059 7222, E</w:t>
      </w:r>
      <w:r w:rsidRPr="006E059B">
        <w:t xml:space="preserve">mail: </w:t>
      </w:r>
      <w:hyperlink r:id="rId9" w:history="1">
        <w:r w:rsidRPr="006E059B">
          <w:rPr>
            <w:rStyle w:val="Hyperlink"/>
          </w:rPr>
          <w:t>L.Morrison@soton.ac.uk</w:t>
        </w:r>
      </w:hyperlink>
      <w:r w:rsidRPr="006E059B">
        <w:t xml:space="preserve"> </w:t>
      </w:r>
    </w:p>
    <w:p w:rsidR="008A5F4F" w:rsidRDefault="008A5F4F" w:rsidP="009F3D8F">
      <w:pPr>
        <w:pStyle w:val="Abstract"/>
        <w:spacing w:before="0" w:after="0" w:line="480" w:lineRule="auto"/>
        <w:ind w:left="0" w:right="0"/>
        <w:rPr>
          <w:b/>
          <w:sz w:val="24"/>
          <w:lang w:val="en-US" w:eastAsia="x-none"/>
        </w:rPr>
        <w:sectPr w:rsidR="008A5F4F" w:rsidSect="0081311C">
          <w:footerReference w:type="default" r:id="rId10"/>
          <w:pgSz w:w="11901" w:h="16840" w:code="9"/>
          <w:pgMar w:top="2835" w:right="1701" w:bottom="2835" w:left="1701" w:header="709" w:footer="709" w:gutter="0"/>
          <w:cols w:space="708"/>
          <w:docGrid w:linePitch="360"/>
        </w:sectPr>
      </w:pPr>
    </w:p>
    <w:p w:rsidR="009F3D8F" w:rsidRPr="008A5F4F" w:rsidRDefault="009F3D8F" w:rsidP="009F3D8F">
      <w:pPr>
        <w:pStyle w:val="Abstract"/>
        <w:spacing w:before="0" w:after="0" w:line="480" w:lineRule="auto"/>
        <w:ind w:left="0" w:right="0"/>
        <w:rPr>
          <w:b/>
          <w:sz w:val="24"/>
          <w:lang w:val="en-US" w:eastAsia="x-none"/>
        </w:rPr>
      </w:pPr>
      <w:r w:rsidRPr="008A5F4F">
        <w:rPr>
          <w:b/>
          <w:sz w:val="24"/>
          <w:lang w:val="en-US" w:eastAsia="x-none"/>
        </w:rPr>
        <w:lastRenderedPageBreak/>
        <w:t xml:space="preserve">Abstract </w:t>
      </w:r>
    </w:p>
    <w:p w:rsidR="00266354" w:rsidRPr="00A02F7D" w:rsidRDefault="00E46E90" w:rsidP="00B03A10">
      <w:pPr>
        <w:pStyle w:val="Abstract"/>
        <w:spacing w:before="0" w:after="0" w:line="480" w:lineRule="auto"/>
        <w:ind w:left="0" w:right="0"/>
        <w:rPr>
          <w:sz w:val="24"/>
        </w:rPr>
      </w:pPr>
      <w:r w:rsidRPr="00A02F7D">
        <w:rPr>
          <w:sz w:val="24"/>
          <w:lang w:val="en-US" w:eastAsia="x-none"/>
        </w:rPr>
        <w:t xml:space="preserve">There is growing evidence that digital interventions can successfully effect meaningful changes in health-related </w:t>
      </w:r>
      <w:r w:rsidR="008078E4" w:rsidRPr="00A02F7D">
        <w:rPr>
          <w:sz w:val="24"/>
          <w:lang w:val="en-US" w:eastAsia="x-none"/>
        </w:rPr>
        <w:t>behavior</w:t>
      </w:r>
      <w:r w:rsidRPr="00A02F7D">
        <w:rPr>
          <w:sz w:val="24"/>
          <w:lang w:val="en-US" w:eastAsia="x-none"/>
        </w:rPr>
        <w:t xml:space="preserve">.  However, optimization of digital intervention delivery is challenged by low usage, high attrition and small effect sizes.  Whilst a number of conceptual frameworks and models exist to guide intervention planning and development, insufficient attention has been paid to how existing psychological theory could inform the optimal implementation and delivery of the design features commonly used in digital health </w:t>
      </w:r>
      <w:r w:rsidR="008078E4" w:rsidRPr="00A02F7D">
        <w:rPr>
          <w:sz w:val="24"/>
          <w:lang w:val="en-US" w:eastAsia="x-none"/>
        </w:rPr>
        <w:t>behavior</w:t>
      </w:r>
      <w:r w:rsidRPr="00A02F7D">
        <w:rPr>
          <w:sz w:val="24"/>
          <w:lang w:val="en-US" w:eastAsia="x-none"/>
        </w:rPr>
        <w:t xml:space="preserve"> change interventions.  This paper provides a critical review of psychological theories and models in order to consider their implications for </w:t>
      </w:r>
      <w:r w:rsidR="00A02F7D" w:rsidRPr="00A02F7D">
        <w:rPr>
          <w:sz w:val="24"/>
          <w:lang w:val="en-US" w:eastAsia="x-none"/>
        </w:rPr>
        <w:t>the design of digital interventions</w:t>
      </w:r>
      <w:r w:rsidRPr="00A02F7D">
        <w:rPr>
          <w:sz w:val="24"/>
          <w:lang w:val="en-US" w:eastAsia="x-none"/>
        </w:rPr>
        <w:t xml:space="preserve">.  The theories reviewed include theories of: persuasion and attitude change; motivation; volition and self-regulation; patient preferences for participation in medical decision making; </w:t>
      </w:r>
      <w:r w:rsidR="007132C4" w:rsidRPr="00A02F7D">
        <w:rPr>
          <w:sz w:val="24"/>
          <w:lang w:val="en-US" w:eastAsia="x-none"/>
        </w:rPr>
        <w:t xml:space="preserve">and </w:t>
      </w:r>
      <w:r w:rsidRPr="00A02F7D">
        <w:rPr>
          <w:sz w:val="24"/>
          <w:lang w:val="en-US" w:eastAsia="x-none"/>
        </w:rPr>
        <w:t>social support.  A set of theory-based guidelines is provided to inform the development of future interventions.</w:t>
      </w:r>
    </w:p>
    <w:p w:rsidR="009F3D8F" w:rsidRPr="00A02F7D" w:rsidRDefault="009F3D8F" w:rsidP="009F3D8F">
      <w:pPr>
        <w:pStyle w:val="Heading1"/>
      </w:pPr>
      <w:r w:rsidRPr="00A02F7D">
        <w:t>Keywords</w:t>
      </w:r>
      <w:r w:rsidR="00997B0F" w:rsidRPr="00A02F7D">
        <w:rPr>
          <w:rFonts w:cs="Times New Roman"/>
          <w:szCs w:val="24"/>
        </w:rPr>
        <w:t xml:space="preserve"> </w:t>
      </w:r>
    </w:p>
    <w:p w:rsidR="002B1B1A" w:rsidRPr="00A02F7D" w:rsidRDefault="00EF1264" w:rsidP="009F3D8F">
      <w:pPr>
        <w:pStyle w:val="Keywords"/>
        <w:spacing w:before="0" w:after="0" w:line="480" w:lineRule="auto"/>
        <w:ind w:left="0" w:right="0"/>
        <w:rPr>
          <w:sz w:val="24"/>
        </w:rPr>
      </w:pPr>
      <w:r w:rsidRPr="00A02F7D">
        <w:rPr>
          <w:bCs/>
          <w:sz w:val="24"/>
          <w:lang w:val="en-US" w:eastAsia="x-none"/>
        </w:rPr>
        <w:t xml:space="preserve">Health </w:t>
      </w:r>
      <w:r w:rsidR="008078E4" w:rsidRPr="00A02F7D">
        <w:rPr>
          <w:bCs/>
          <w:sz w:val="24"/>
          <w:lang w:val="en-US" w:eastAsia="x-none"/>
        </w:rPr>
        <w:t>behavior</w:t>
      </w:r>
      <w:r w:rsidRPr="00A02F7D">
        <w:rPr>
          <w:bCs/>
          <w:sz w:val="24"/>
          <w:lang w:val="en-US" w:eastAsia="x-none"/>
        </w:rPr>
        <w:t>, Internet intervention, psychological theory, engagement, eHealth,</w:t>
      </w:r>
      <w:r w:rsidR="00E46E90" w:rsidRPr="00A02F7D">
        <w:rPr>
          <w:bCs/>
          <w:sz w:val="24"/>
          <w:lang w:val="en-US" w:eastAsia="x-none"/>
        </w:rPr>
        <w:t xml:space="preserve"> health promotion</w:t>
      </w:r>
    </w:p>
    <w:p w:rsidR="00997B0F" w:rsidRPr="00A02F7D" w:rsidRDefault="00E46E90" w:rsidP="009F3D8F">
      <w:pPr>
        <w:pStyle w:val="Heading1"/>
        <w:spacing w:line="480" w:lineRule="auto"/>
        <w:rPr>
          <w:rFonts w:cs="Times New Roman"/>
          <w:sz w:val="28"/>
          <w:szCs w:val="24"/>
        </w:rPr>
      </w:pPr>
      <w:r w:rsidRPr="00A02F7D">
        <w:rPr>
          <w:rFonts w:cs="Times New Roman"/>
          <w:sz w:val="28"/>
          <w:szCs w:val="24"/>
        </w:rPr>
        <w:t>Introduction</w:t>
      </w:r>
    </w:p>
    <w:p w:rsidR="00E46E90" w:rsidRPr="00A02F7D" w:rsidRDefault="00E46E90" w:rsidP="00757D29">
      <w:pPr>
        <w:rPr>
          <w:bCs/>
          <w:color w:val="000000" w:themeColor="text1"/>
          <w:lang w:eastAsia="x-none"/>
        </w:rPr>
      </w:pPr>
      <w:r w:rsidRPr="00A02F7D">
        <w:rPr>
          <w:bCs/>
          <w:color w:val="000000" w:themeColor="text1"/>
          <w:lang w:eastAsia="x-none"/>
        </w:rPr>
        <w:t>The feasibility and potential for digital interventions (DIs) to effect change in health-related outcomes has been established for a variety of health issues.</w:t>
      </w:r>
      <w:r w:rsidR="00757D29" w:rsidRPr="00A02F7D">
        <w:rPr>
          <w:bCs/>
          <w:color w:val="000000" w:themeColor="text1"/>
          <w:vertAlign w:val="superscript"/>
          <w:lang w:eastAsia="x-none"/>
        </w:rPr>
        <w:t>1,2</w:t>
      </w:r>
      <w:r w:rsidR="00757D29" w:rsidRPr="00A02F7D">
        <w:rPr>
          <w:bCs/>
          <w:color w:val="000000" w:themeColor="text1"/>
          <w:lang w:eastAsia="x-none"/>
        </w:rPr>
        <w:t xml:space="preserve">  </w:t>
      </w:r>
      <w:r w:rsidRPr="00A02F7D">
        <w:rPr>
          <w:bCs/>
          <w:color w:val="000000" w:themeColor="text1"/>
          <w:lang w:eastAsia="x-none"/>
        </w:rPr>
        <w:t>Howe</w:t>
      </w:r>
      <w:r w:rsidR="00C320A0" w:rsidRPr="00A02F7D">
        <w:rPr>
          <w:bCs/>
          <w:color w:val="000000" w:themeColor="text1"/>
          <w:lang w:eastAsia="x-none"/>
        </w:rPr>
        <w:t xml:space="preserve">ver, low </w:t>
      </w:r>
      <w:r w:rsidR="00C320A0" w:rsidRPr="00A02F7D">
        <w:rPr>
          <w:bCs/>
          <w:color w:val="000000" w:themeColor="text1"/>
          <w:lang w:eastAsia="x-none"/>
        </w:rPr>
        <w:lastRenderedPageBreak/>
        <w:t xml:space="preserve">reported effect sizes </w:t>
      </w:r>
      <w:r w:rsidRPr="00A02F7D">
        <w:rPr>
          <w:bCs/>
          <w:color w:val="000000" w:themeColor="text1"/>
          <w:lang w:eastAsia="x-none"/>
        </w:rPr>
        <w:t xml:space="preserve">and lack of sustained usage of DIs highlights the need to </w:t>
      </w:r>
      <w:r w:rsidR="00C320A0" w:rsidRPr="00A02F7D">
        <w:rPr>
          <w:bCs/>
          <w:color w:val="000000" w:themeColor="text1"/>
          <w:lang w:eastAsia="x-none"/>
        </w:rPr>
        <w:t xml:space="preserve">further </w:t>
      </w:r>
      <w:r w:rsidRPr="00A02F7D">
        <w:rPr>
          <w:bCs/>
          <w:color w:val="000000" w:themeColor="text1"/>
          <w:lang w:eastAsia="x-none"/>
        </w:rPr>
        <w:t xml:space="preserve">understand how engagement </w:t>
      </w:r>
      <w:r w:rsidR="00C320A0" w:rsidRPr="00A02F7D">
        <w:rPr>
          <w:bCs/>
          <w:color w:val="000000" w:themeColor="text1"/>
          <w:lang w:eastAsia="x-none"/>
        </w:rPr>
        <w:t xml:space="preserve">with and effectiveness of </w:t>
      </w:r>
      <w:r w:rsidRPr="00A02F7D">
        <w:rPr>
          <w:bCs/>
          <w:color w:val="000000" w:themeColor="text1"/>
          <w:lang w:eastAsia="x-none"/>
        </w:rPr>
        <w:t>DIs can be optimised</w:t>
      </w:r>
      <w:r w:rsidR="00C320A0" w:rsidRPr="00A02F7D">
        <w:rPr>
          <w:bCs/>
          <w:color w:val="000000" w:themeColor="text1"/>
          <w:lang w:eastAsia="x-none"/>
        </w:rPr>
        <w:t>.</w:t>
      </w:r>
      <w:r w:rsidR="00757D29" w:rsidRPr="00A02F7D">
        <w:rPr>
          <w:bCs/>
          <w:color w:val="000000" w:themeColor="text1"/>
          <w:vertAlign w:val="superscript"/>
          <w:lang w:eastAsia="x-none"/>
        </w:rPr>
        <w:t>3,4</w:t>
      </w:r>
      <w:r w:rsidR="00757D29" w:rsidRPr="00A02F7D">
        <w:rPr>
          <w:bCs/>
          <w:color w:val="000000" w:themeColor="text1"/>
          <w:lang w:eastAsia="x-none"/>
        </w:rPr>
        <w:t xml:space="preserve">  </w:t>
      </w:r>
      <w:r w:rsidRPr="00A02F7D">
        <w:rPr>
          <w:bCs/>
          <w:color w:val="000000" w:themeColor="text1"/>
          <w:lang w:eastAsia="x-none"/>
        </w:rPr>
        <w:t>Several models and frameworks have been developed to guide the design and development of DIs that provide a useful starting point for selecting specific design features or behaviour change techniques (BCTs).</w:t>
      </w:r>
      <w:r w:rsidR="00757D29" w:rsidRPr="00A02F7D">
        <w:rPr>
          <w:bCs/>
          <w:color w:val="000000" w:themeColor="text1"/>
          <w:vertAlign w:val="superscript"/>
          <w:lang w:eastAsia="x-none"/>
        </w:rPr>
        <w:t>5-8</w:t>
      </w:r>
      <w:r w:rsidRPr="00A02F7D">
        <w:rPr>
          <w:bCs/>
          <w:color w:val="000000" w:themeColor="text1"/>
          <w:lang w:eastAsia="x-none"/>
        </w:rPr>
        <w:t xml:space="preserve">  Psychological theory is also commonly used to inform the content and underlying philosophy of health behaviour change interventions, i.e. </w:t>
      </w:r>
      <w:r w:rsidRPr="00A02F7D">
        <w:rPr>
          <w:bCs/>
          <w:i/>
          <w:iCs/>
          <w:color w:val="000000" w:themeColor="text1"/>
          <w:lang w:eastAsia="x-none"/>
        </w:rPr>
        <w:t>what</w:t>
      </w:r>
      <w:r w:rsidRPr="00A02F7D">
        <w:rPr>
          <w:bCs/>
          <w:color w:val="000000" w:themeColor="text1"/>
          <w:lang w:eastAsia="x-none"/>
        </w:rPr>
        <w:t xml:space="preserve"> design features and/or BCTs are used.  </w:t>
      </w:r>
      <w:r w:rsidRPr="00A02F7D">
        <w:t xml:space="preserve"> </w:t>
      </w:r>
      <w:r w:rsidR="006D079F" w:rsidRPr="00A02F7D">
        <w:t>M</w:t>
      </w:r>
      <w:r w:rsidRPr="00A02F7D">
        <w:t>eta-analys</w:t>
      </w:r>
      <w:r w:rsidR="006D079F" w:rsidRPr="00A02F7D">
        <w:t>e</w:t>
      </w:r>
      <w:r w:rsidRPr="00A02F7D">
        <w:t>s</w:t>
      </w:r>
      <w:r w:rsidR="006D079F" w:rsidRPr="00A02F7D">
        <w:t xml:space="preserve"> examining the role of theory have reported mixed results; while some support the use of theory</w:t>
      </w:r>
      <w:r w:rsidR="00F117AF" w:rsidRPr="00A02F7D">
        <w:rPr>
          <w:vertAlign w:val="superscript"/>
        </w:rPr>
        <w:t>2</w:t>
      </w:r>
      <w:r w:rsidR="006D079F" w:rsidRPr="00A02F7D">
        <w:t xml:space="preserve"> others indicate</w:t>
      </w:r>
      <w:r w:rsidRPr="00A02F7D">
        <w:t xml:space="preserve"> that theory-based interventions are not necessarily more effective at changing health-related behaviour.</w:t>
      </w:r>
      <w:r w:rsidR="00757D29" w:rsidRPr="00A02F7D">
        <w:rPr>
          <w:vertAlign w:val="superscript"/>
        </w:rPr>
        <w:t>9</w:t>
      </w:r>
      <w:r w:rsidRPr="00A02F7D">
        <w:t xml:space="preserve">  </w:t>
      </w:r>
    </w:p>
    <w:p w:rsidR="00E46E90" w:rsidRPr="00A02F7D" w:rsidRDefault="00E46E90" w:rsidP="001444E3">
      <w:pPr>
        <w:ind w:firstLine="720"/>
        <w:rPr>
          <w:bCs/>
          <w:color w:val="000000" w:themeColor="text1"/>
          <w:lang w:eastAsia="x-none"/>
        </w:rPr>
      </w:pPr>
      <w:r w:rsidRPr="00A02F7D">
        <w:rPr>
          <w:bCs/>
          <w:color w:val="000000" w:themeColor="text1"/>
          <w:lang w:eastAsia="x-none"/>
        </w:rPr>
        <w:t xml:space="preserve">A limitation of these models, frameworks and meta-analyses is that they do not specify or examine </w:t>
      </w:r>
      <w:r w:rsidRPr="00A02F7D">
        <w:t xml:space="preserve">the different ways in which theory can be translated and implemented within a behaviour change intervention, that is </w:t>
      </w:r>
      <w:r w:rsidRPr="00A02F7D">
        <w:rPr>
          <w:bCs/>
          <w:i/>
          <w:iCs/>
          <w:color w:val="000000" w:themeColor="text1"/>
          <w:lang w:eastAsia="x-none"/>
        </w:rPr>
        <w:t>how</w:t>
      </w:r>
      <w:r w:rsidRPr="00A02F7D">
        <w:rPr>
          <w:bCs/>
          <w:color w:val="000000" w:themeColor="text1"/>
          <w:lang w:eastAsia="x-none"/>
        </w:rPr>
        <w:t xml:space="preserve"> specific design features or BCTs </w:t>
      </w:r>
      <w:r w:rsidR="00126A39">
        <w:rPr>
          <w:bCs/>
          <w:color w:val="000000" w:themeColor="text1"/>
          <w:lang w:eastAsia="x-none"/>
        </w:rPr>
        <w:t>can</w:t>
      </w:r>
      <w:r w:rsidR="00126A39" w:rsidRPr="00A02F7D">
        <w:rPr>
          <w:bCs/>
          <w:color w:val="000000" w:themeColor="text1"/>
          <w:lang w:eastAsia="x-none"/>
        </w:rPr>
        <w:t xml:space="preserve"> </w:t>
      </w:r>
      <w:r w:rsidRPr="00A02F7D">
        <w:rPr>
          <w:bCs/>
          <w:color w:val="000000" w:themeColor="text1"/>
          <w:lang w:eastAsia="x-none"/>
        </w:rPr>
        <w:t xml:space="preserve">be implemented and the implications of implementing features in different ways.  This means that additional theory-based guidance is needed to inform the optimal </w:t>
      </w:r>
      <w:r w:rsidR="001444E3">
        <w:rPr>
          <w:bCs/>
          <w:color w:val="000000" w:themeColor="text1"/>
          <w:lang w:eastAsia="x-none"/>
        </w:rPr>
        <w:t>implementation</w:t>
      </w:r>
      <w:r w:rsidR="001444E3" w:rsidRPr="00A02F7D">
        <w:rPr>
          <w:bCs/>
          <w:color w:val="000000" w:themeColor="text1"/>
          <w:lang w:eastAsia="x-none"/>
        </w:rPr>
        <w:t xml:space="preserve"> </w:t>
      </w:r>
      <w:r w:rsidRPr="00A02F7D">
        <w:rPr>
          <w:bCs/>
          <w:color w:val="000000" w:themeColor="text1"/>
          <w:lang w:eastAsia="x-none"/>
        </w:rPr>
        <w:t xml:space="preserve">of different design features and BCTs within different intervention contexts. </w:t>
      </w:r>
    </w:p>
    <w:p w:rsidR="00F6453C" w:rsidRPr="00A02F7D" w:rsidRDefault="00614DA8" w:rsidP="00F901B1">
      <w:pPr>
        <w:pStyle w:val="Newparagraph"/>
        <w:rPr>
          <w:bCs/>
          <w:color w:val="000000" w:themeColor="text1"/>
          <w:lang w:eastAsia="x-none"/>
        </w:rPr>
      </w:pPr>
      <w:r>
        <w:rPr>
          <w:bCs/>
          <w:color w:val="000000" w:themeColor="text1"/>
          <w:lang w:eastAsia="x-none"/>
        </w:rPr>
        <w:t xml:space="preserve">This review represents an exploratory exercise to understand what insights psychological theory can provide for the </w:t>
      </w:r>
      <w:r w:rsidR="00857906" w:rsidRPr="00A02F7D">
        <w:rPr>
          <w:bCs/>
          <w:color w:val="000000" w:themeColor="text1"/>
          <w:lang w:eastAsia="x-none"/>
        </w:rPr>
        <w:t>optim</w:t>
      </w:r>
      <w:r>
        <w:rPr>
          <w:bCs/>
          <w:color w:val="000000" w:themeColor="text1"/>
          <w:lang w:eastAsia="x-none"/>
        </w:rPr>
        <w:t>al</w:t>
      </w:r>
      <w:r w:rsidR="00857906" w:rsidRPr="00A02F7D">
        <w:rPr>
          <w:bCs/>
          <w:color w:val="000000" w:themeColor="text1"/>
          <w:lang w:eastAsia="x-none"/>
        </w:rPr>
        <w:t xml:space="preserve"> implementation </w:t>
      </w:r>
      <w:r>
        <w:rPr>
          <w:bCs/>
          <w:color w:val="000000" w:themeColor="text1"/>
          <w:lang w:eastAsia="x-none"/>
        </w:rPr>
        <w:t xml:space="preserve">and communication </w:t>
      </w:r>
      <w:r w:rsidR="00857906" w:rsidRPr="00A02F7D">
        <w:rPr>
          <w:bCs/>
          <w:color w:val="000000" w:themeColor="text1"/>
          <w:lang w:eastAsia="x-none"/>
        </w:rPr>
        <w:t>of DI content</w:t>
      </w:r>
      <w:r w:rsidR="00E46E90" w:rsidRPr="00A02F7D">
        <w:rPr>
          <w:bCs/>
          <w:color w:val="000000" w:themeColor="text1"/>
          <w:lang w:eastAsia="x-none"/>
        </w:rPr>
        <w:t xml:space="preserve">.  </w:t>
      </w:r>
      <w:r>
        <w:rPr>
          <w:bCs/>
          <w:color w:val="000000" w:themeColor="text1"/>
          <w:lang w:eastAsia="x-none"/>
        </w:rPr>
        <w:t xml:space="preserve">As such, no formal criteria were used to select theories for inclusion in this </w:t>
      </w:r>
      <w:r>
        <w:rPr>
          <w:bCs/>
          <w:color w:val="000000" w:themeColor="text1"/>
          <w:lang w:eastAsia="x-none"/>
        </w:rPr>
        <w:lastRenderedPageBreak/>
        <w:t>review.  Instead, a sample of commonly cited theories and models that are used to understa</w:t>
      </w:r>
      <w:r w:rsidR="00F901B1">
        <w:rPr>
          <w:bCs/>
          <w:color w:val="000000" w:themeColor="text1"/>
          <w:lang w:eastAsia="x-none"/>
        </w:rPr>
        <w:t xml:space="preserve">nd health-related behaviour and </w:t>
      </w:r>
      <w:r>
        <w:rPr>
          <w:bCs/>
          <w:color w:val="000000" w:themeColor="text1"/>
          <w:lang w:eastAsia="x-none"/>
        </w:rPr>
        <w:t xml:space="preserve">communication in healthcare are considered.  This review is not intended to provide a systematic or exhaustive set of recommendations based on all relevant theory, nor does it suggest that the theories included are superior to those that have not been discussed.  </w:t>
      </w:r>
      <w:r w:rsidR="00F6453C" w:rsidRPr="00A02F7D">
        <w:rPr>
          <w:bCs/>
          <w:color w:val="000000" w:themeColor="text1"/>
          <w:lang w:eastAsia="x-none"/>
        </w:rPr>
        <w:t>For the purposes of this review a DI is defined as a self-guided Internet- or computer-based health behaviour change intervention.  While many of the insights and recommendations from the review are likely to be relevant to other forms of DI (e.g. mobile/Smartphone-based interventions) it is beyond the scope of this review to provide an in depth consideration of</w:t>
      </w:r>
      <w:r w:rsidR="000D2086" w:rsidRPr="00A02F7D">
        <w:rPr>
          <w:bCs/>
          <w:color w:val="000000" w:themeColor="text1"/>
          <w:lang w:eastAsia="x-none"/>
        </w:rPr>
        <w:t xml:space="preserve"> all digital platforms that each </w:t>
      </w:r>
      <w:r w:rsidR="00F6453C" w:rsidRPr="00A02F7D">
        <w:rPr>
          <w:bCs/>
          <w:color w:val="000000" w:themeColor="text1"/>
          <w:lang w:eastAsia="x-none"/>
        </w:rPr>
        <w:t>off</w:t>
      </w:r>
      <w:r w:rsidR="000D2086" w:rsidRPr="00A02F7D">
        <w:rPr>
          <w:bCs/>
          <w:color w:val="000000" w:themeColor="text1"/>
          <w:lang w:eastAsia="x-none"/>
        </w:rPr>
        <w:t>er additional</w:t>
      </w:r>
      <w:r w:rsidR="00F6453C" w:rsidRPr="00A02F7D">
        <w:rPr>
          <w:bCs/>
          <w:color w:val="000000" w:themeColor="text1"/>
          <w:lang w:eastAsia="x-none"/>
        </w:rPr>
        <w:t xml:space="preserve"> unique capabilities (e.g. context-aware sensing).</w:t>
      </w:r>
    </w:p>
    <w:p w:rsidR="00997B0F" w:rsidRPr="00A02F7D" w:rsidRDefault="00614DA8" w:rsidP="00614DA8">
      <w:pPr>
        <w:pStyle w:val="Newparagraph"/>
        <w:rPr>
          <w:bCs/>
          <w:color w:val="000000" w:themeColor="text1"/>
          <w:lang w:eastAsia="x-none"/>
        </w:rPr>
      </w:pPr>
      <w:r>
        <w:rPr>
          <w:bCs/>
          <w:color w:val="000000" w:themeColor="text1"/>
          <w:lang w:eastAsia="x-none"/>
        </w:rPr>
        <w:t xml:space="preserve">Each theory will be discussed under wider conceptual categories in order to minimise repetitiveness and enhance integration of individual theories and overlapping concepts/implications.   </w:t>
      </w:r>
      <w:r w:rsidR="00E46E90" w:rsidRPr="00A02F7D">
        <w:rPr>
          <w:bCs/>
          <w:color w:val="000000" w:themeColor="text1"/>
          <w:lang w:eastAsia="x-none"/>
        </w:rPr>
        <w:t xml:space="preserve">The sections that follow will </w:t>
      </w:r>
      <w:r w:rsidR="00857906" w:rsidRPr="00A02F7D">
        <w:rPr>
          <w:bCs/>
          <w:color w:val="000000" w:themeColor="text1"/>
          <w:lang w:eastAsia="x-none"/>
        </w:rPr>
        <w:t xml:space="preserve">critically </w:t>
      </w:r>
      <w:r w:rsidR="00E46E90" w:rsidRPr="00A02F7D">
        <w:rPr>
          <w:bCs/>
          <w:color w:val="000000" w:themeColor="text1"/>
          <w:lang w:eastAsia="x-none"/>
        </w:rPr>
        <w:t xml:space="preserve">discuss </w:t>
      </w:r>
      <w:r w:rsidR="00E85084">
        <w:rPr>
          <w:bCs/>
          <w:color w:val="000000" w:themeColor="text1"/>
          <w:lang w:eastAsia="x-none"/>
        </w:rPr>
        <w:t xml:space="preserve">specific </w:t>
      </w:r>
      <w:r w:rsidR="00857906" w:rsidRPr="00A02F7D">
        <w:rPr>
          <w:bCs/>
          <w:color w:val="000000" w:themeColor="text1"/>
          <w:lang w:eastAsia="x-none"/>
        </w:rPr>
        <w:t xml:space="preserve">theories </w:t>
      </w:r>
      <w:r w:rsidR="00E85084">
        <w:rPr>
          <w:bCs/>
          <w:color w:val="000000" w:themeColor="text1"/>
          <w:lang w:eastAsia="x-none"/>
        </w:rPr>
        <w:t xml:space="preserve">under the categories </w:t>
      </w:r>
      <w:r w:rsidR="00857906" w:rsidRPr="00A02F7D">
        <w:rPr>
          <w:bCs/>
          <w:color w:val="000000" w:themeColor="text1"/>
          <w:lang w:eastAsia="x-none"/>
        </w:rPr>
        <w:t>of</w:t>
      </w:r>
      <w:r w:rsidR="00E46E90" w:rsidRPr="00A02F7D">
        <w:rPr>
          <w:bCs/>
          <w:color w:val="000000" w:themeColor="text1"/>
          <w:lang w:eastAsia="x-none"/>
        </w:rPr>
        <w:t xml:space="preserve"> persuasion and attitude change, </w:t>
      </w:r>
      <w:r w:rsidR="00857906" w:rsidRPr="00A02F7D">
        <w:rPr>
          <w:bCs/>
          <w:color w:val="000000" w:themeColor="text1"/>
          <w:lang w:eastAsia="x-none"/>
        </w:rPr>
        <w:t xml:space="preserve">motivation, </w:t>
      </w:r>
      <w:r w:rsidR="00E46E90" w:rsidRPr="00A02F7D">
        <w:rPr>
          <w:bCs/>
          <w:color w:val="000000" w:themeColor="text1"/>
          <w:lang w:eastAsia="x-none"/>
        </w:rPr>
        <w:t>v</w:t>
      </w:r>
      <w:r w:rsidR="00857906" w:rsidRPr="00A02F7D">
        <w:rPr>
          <w:bCs/>
          <w:color w:val="000000" w:themeColor="text1"/>
          <w:lang w:eastAsia="x-none"/>
        </w:rPr>
        <w:t xml:space="preserve">olition and self-regulation, </w:t>
      </w:r>
      <w:r w:rsidR="00E46E90" w:rsidRPr="00A02F7D">
        <w:rPr>
          <w:bCs/>
          <w:color w:val="000000" w:themeColor="text1"/>
          <w:lang w:eastAsia="x-none"/>
        </w:rPr>
        <w:t xml:space="preserve">patient preferences for participation in medical decision making, </w:t>
      </w:r>
      <w:r w:rsidR="00857906" w:rsidRPr="00A02F7D">
        <w:rPr>
          <w:bCs/>
          <w:color w:val="000000" w:themeColor="text1"/>
          <w:lang w:eastAsia="x-none"/>
        </w:rPr>
        <w:t xml:space="preserve">and </w:t>
      </w:r>
      <w:r w:rsidR="00E46E90" w:rsidRPr="00A02F7D">
        <w:rPr>
          <w:bCs/>
          <w:color w:val="000000" w:themeColor="text1"/>
          <w:lang w:eastAsia="x-none"/>
        </w:rPr>
        <w:t>social support.</w:t>
      </w:r>
      <w:r w:rsidR="00E85084">
        <w:rPr>
          <w:bCs/>
          <w:color w:val="000000" w:themeColor="text1"/>
          <w:lang w:eastAsia="x-none"/>
        </w:rPr>
        <w:t xml:space="preserve">  For simplicity, specific theories will be discussed under one of the above categories only. </w:t>
      </w:r>
      <w:r w:rsidR="00857906" w:rsidRPr="00A02F7D">
        <w:rPr>
          <w:bCs/>
          <w:color w:val="000000" w:themeColor="text1"/>
          <w:lang w:eastAsia="x-none"/>
        </w:rPr>
        <w:t xml:space="preserve">An amalgamated set of theory-based recommendations for DI design is then presented. </w:t>
      </w:r>
      <w:r w:rsidR="00E46E90" w:rsidRPr="00A02F7D">
        <w:rPr>
          <w:bCs/>
          <w:color w:val="000000" w:themeColor="text1"/>
          <w:lang w:eastAsia="x-none"/>
        </w:rPr>
        <w:t xml:space="preserve">It is beyond the scope of this review to provide an exhaustive summary of the evidence in support for individual theories.  </w:t>
      </w:r>
    </w:p>
    <w:p w:rsidR="00E46E90" w:rsidRPr="00A02F7D" w:rsidRDefault="00E46E90" w:rsidP="00142D4D">
      <w:pPr>
        <w:pStyle w:val="Heading1"/>
        <w:rPr>
          <w:rFonts w:cs="Times New Roman"/>
          <w:sz w:val="28"/>
          <w:szCs w:val="24"/>
        </w:rPr>
      </w:pPr>
      <w:r w:rsidRPr="00A02F7D">
        <w:rPr>
          <w:rFonts w:cs="Times New Roman"/>
          <w:sz w:val="28"/>
          <w:szCs w:val="24"/>
        </w:rPr>
        <w:lastRenderedPageBreak/>
        <w:t>Theories of persuasion and attitude change</w:t>
      </w:r>
    </w:p>
    <w:p w:rsidR="00E46E90" w:rsidRPr="00A02F7D" w:rsidRDefault="00A02F7D" w:rsidP="00F901B1">
      <w:r w:rsidRPr="00A02F7D">
        <w:t xml:space="preserve">Theories of persuasion </w:t>
      </w:r>
      <w:r w:rsidR="00F901B1">
        <w:t xml:space="preserve">and attitude change </w:t>
      </w:r>
      <w:r w:rsidRPr="00A02F7D">
        <w:t>offer guidance on what particular tailoring strategies may be more acceptable and effective in particular contexts.</w:t>
      </w:r>
      <w:r>
        <w:t xml:space="preserve">  Tailoring refers to the provision of </w:t>
      </w:r>
      <w:r w:rsidR="00126A39">
        <w:t>information, advice, and support that is individualised to the user based on their known characteristics, behaviours or scores on relevant theoretical constructs.</w:t>
      </w:r>
      <w:r w:rsidR="001E6604" w:rsidRPr="001E6604">
        <w:rPr>
          <w:vertAlign w:val="superscript"/>
        </w:rPr>
        <w:t>10</w:t>
      </w:r>
      <w:r w:rsidR="00126A39">
        <w:t xml:space="preserve">  </w:t>
      </w:r>
      <w:r w:rsidR="00DA34C6" w:rsidRPr="00A02F7D">
        <w:t xml:space="preserve">With the onset of mobile computing </w:t>
      </w:r>
      <w:r w:rsidR="008078E4" w:rsidRPr="00A02F7D">
        <w:t>the Internet is</w:t>
      </w:r>
      <w:r w:rsidR="00DA34C6" w:rsidRPr="00A02F7D">
        <w:t xml:space="preserve"> increasingly being considered as a way to access information quickly, efficiently and </w:t>
      </w:r>
      <w:r w:rsidR="00EF3587" w:rsidRPr="00A02F7D">
        <w:t xml:space="preserve">in some cases </w:t>
      </w:r>
      <w:r w:rsidR="00DA34C6" w:rsidRPr="00A02F7D">
        <w:t xml:space="preserve">fleetingly.  </w:t>
      </w:r>
      <w:r w:rsidR="00EF3587" w:rsidRPr="00A02F7D">
        <w:t>Tailored</w:t>
      </w:r>
      <w:r w:rsidR="00DA34C6" w:rsidRPr="00A02F7D">
        <w:t xml:space="preserve"> DI content and delivery enables direct access to personally relevant information </w:t>
      </w:r>
      <w:r w:rsidR="00EF3587" w:rsidRPr="00A02F7D">
        <w:t xml:space="preserve">and thus may </w:t>
      </w:r>
      <w:r w:rsidR="00AA3E61">
        <w:t xml:space="preserve">enhance attitude change and subsequent behaviour as well as </w:t>
      </w:r>
      <w:r w:rsidR="00EF3587" w:rsidRPr="00A02F7D">
        <w:t>initial uptake and usage</w:t>
      </w:r>
      <w:r w:rsidR="00AA3E61">
        <w:t xml:space="preserve"> of </w:t>
      </w:r>
      <w:proofErr w:type="spellStart"/>
      <w:r w:rsidR="00AA3E61">
        <w:t>DIs</w:t>
      </w:r>
      <w:r w:rsidR="00DA34C6" w:rsidRPr="00A02F7D">
        <w:t>.</w:t>
      </w:r>
      <w:proofErr w:type="spellEnd"/>
      <w:r w:rsidR="00DA34C6" w:rsidRPr="00A02F7D">
        <w:t xml:space="preserve">  </w:t>
      </w:r>
      <w:r w:rsidR="00EF3587" w:rsidRPr="00A02F7D">
        <w:t xml:space="preserve">Within the health domain, providing tailored content may also reassure users that they are receiving and following advice that is right for them.  </w:t>
      </w:r>
      <w:r w:rsidR="00DA34C6" w:rsidRPr="00A02F7D">
        <w:t xml:space="preserve">While self-guided DIs cannot be individualised to the same extent as guided or face-to-face interventions, automated algorithms can be used to </w:t>
      </w:r>
      <w:r w:rsidR="00137826" w:rsidRPr="00A02F7D">
        <w:t xml:space="preserve">tailor interventions in a number of ways according to pre-known variables or data entered by individual users.    </w:t>
      </w:r>
      <w:r w:rsidR="00E46E90" w:rsidRPr="00A02F7D">
        <w:t xml:space="preserve">  </w:t>
      </w:r>
    </w:p>
    <w:p w:rsidR="00E46E90" w:rsidRDefault="00137826" w:rsidP="00F901B1">
      <w:pPr>
        <w:ind w:firstLine="567"/>
      </w:pPr>
      <w:r w:rsidRPr="00A02F7D">
        <w:t>According to the</w:t>
      </w:r>
      <w:r w:rsidR="00E46E90" w:rsidRPr="00A02F7D">
        <w:t xml:space="preserve"> Elaboration Likelihood Model (ELM)</w:t>
      </w:r>
      <w:r w:rsidRPr="00A02F7D">
        <w:t>, tailored DIs are more likely to result in durable attitude change and</w:t>
      </w:r>
      <w:r w:rsidR="00857906" w:rsidRPr="00A02F7D">
        <w:t xml:space="preserve"> consequent behaviour change </w:t>
      </w:r>
      <w:r w:rsidRPr="00A02F7D">
        <w:t xml:space="preserve">because they </w:t>
      </w:r>
      <w:r w:rsidR="00E46E90" w:rsidRPr="00A02F7D">
        <w:t>increase the perceived personal relevance of the intervention content, thus increasing motivation to thoughtfully (centrally) process the arguments presented.</w:t>
      </w:r>
      <w:r w:rsidRPr="00A02F7D">
        <w:rPr>
          <w:vertAlign w:val="superscript"/>
        </w:rPr>
        <w:t>1</w:t>
      </w:r>
      <w:r w:rsidR="001E6604">
        <w:rPr>
          <w:vertAlign w:val="superscript"/>
        </w:rPr>
        <w:t>1</w:t>
      </w:r>
      <w:r w:rsidR="00E46E90" w:rsidRPr="00A02F7D">
        <w:t xml:space="preserve">  Tailored intervention content </w:t>
      </w:r>
      <w:r w:rsidR="00126A39">
        <w:t xml:space="preserve">may </w:t>
      </w:r>
      <w:r w:rsidR="00E46E90" w:rsidRPr="00A02F7D">
        <w:t xml:space="preserve">also contain less ‘noise’, which decreases the </w:t>
      </w:r>
      <w:r w:rsidR="00E46E90" w:rsidRPr="00A02F7D">
        <w:lastRenderedPageBreak/>
        <w:t xml:space="preserve">cognitive load placed on </w:t>
      </w:r>
      <w:r w:rsidR="00F901B1">
        <w:t>users</w:t>
      </w:r>
      <w:r w:rsidR="00E46E90" w:rsidRPr="00A02F7D">
        <w:t xml:space="preserve"> enabling attention to be focused on the most important and personally relevant messages.</w:t>
      </w:r>
      <w:r w:rsidR="001E6604">
        <w:rPr>
          <w:vertAlign w:val="superscript"/>
        </w:rPr>
        <w:t>12</w:t>
      </w:r>
      <w:r w:rsidR="00E46E90" w:rsidRPr="00A02F7D">
        <w:t xml:space="preserve"> </w:t>
      </w:r>
    </w:p>
    <w:p w:rsidR="00AA3E61" w:rsidRPr="00A02F7D" w:rsidRDefault="00AA3E61" w:rsidP="00827B47">
      <w:pPr>
        <w:ind w:firstLine="567"/>
      </w:pPr>
      <w:r w:rsidRPr="00A02F7D">
        <w:rPr>
          <w:bCs/>
          <w:iCs/>
        </w:rPr>
        <w:t>A number of different approaches and strategies for tailoring DI content are available ranging from the relatively simple (e.g. inserting a person’s name) to the relatively more complex (e.g. adapting presented content according to a number of individual variables).</w:t>
      </w:r>
      <w:proofErr w:type="gramStart"/>
      <w:r w:rsidR="001E6604">
        <w:rPr>
          <w:bCs/>
          <w:iCs/>
          <w:vertAlign w:val="superscript"/>
        </w:rPr>
        <w:t>13</w:t>
      </w:r>
      <w:r w:rsidRPr="00A02F7D">
        <w:rPr>
          <w:bCs/>
          <w:iCs/>
        </w:rPr>
        <w:t xml:space="preserve">  In</w:t>
      </w:r>
      <w:proofErr w:type="gramEnd"/>
      <w:r w:rsidRPr="00A02F7D">
        <w:rPr>
          <w:bCs/>
          <w:iCs/>
        </w:rPr>
        <w:t xml:space="preserve"> order to select the strategy that will best </w:t>
      </w:r>
      <w:r>
        <w:rPr>
          <w:bCs/>
          <w:iCs/>
        </w:rPr>
        <w:t>encourage thoughtful elaboration</w:t>
      </w:r>
      <w:r w:rsidRPr="00A02F7D">
        <w:rPr>
          <w:bCs/>
          <w:iCs/>
        </w:rPr>
        <w:t xml:space="preserve"> it is vital to establish why and how tailoring works.   The Self-Reference Encoding model</w:t>
      </w:r>
      <w:r w:rsidR="001E6604">
        <w:rPr>
          <w:bCs/>
          <w:iCs/>
          <w:vertAlign w:val="superscript"/>
        </w:rPr>
        <w:t>14</w:t>
      </w:r>
      <w:r w:rsidRPr="00A02F7D">
        <w:t xml:space="preserve"> argues that tailored intervention content will only encourage effortful processing when self-relevant cues are provided (e.g. person’s name).  Planting self-relevant cues within computer-based generic information (e.g. name, the number and type of cigarettes smoked, number of years a participant had smoked, risk awareness) was associated with greater self-reported smoking cessation behaviour than implicitly adapting the intervention content according to participants’ characteristics and theoretical variables.</w:t>
      </w:r>
      <w:r w:rsidR="00827B47">
        <w:rPr>
          <w:vertAlign w:val="superscript"/>
        </w:rPr>
        <w:t>15</w:t>
      </w:r>
      <w:r w:rsidRPr="00A02F7D">
        <w:t xml:space="preserve">  Sophisticated algorithms for adaptive intervention tailoring may not then be necessary if simple personalisation strategies are sufficient for triggering self-referent encoding and thus behavioural change.  This finding also has important resource implications for the development of DIs since complex, adaptive interventions require more time and technical expertise to develop and test.</w:t>
      </w:r>
    </w:p>
    <w:p w:rsidR="00425D4B" w:rsidRPr="00A02F7D" w:rsidRDefault="00E46E90" w:rsidP="00827B47">
      <w:pPr>
        <w:ind w:firstLine="567"/>
      </w:pPr>
      <w:r w:rsidRPr="00A02F7D">
        <w:rPr>
          <w:bCs/>
          <w:iCs/>
        </w:rPr>
        <w:lastRenderedPageBreak/>
        <w:t xml:space="preserve">However, increasing the personal relevance of </w:t>
      </w:r>
      <w:r w:rsidR="008078E4" w:rsidRPr="00A02F7D">
        <w:rPr>
          <w:bCs/>
          <w:iCs/>
        </w:rPr>
        <w:t>information</w:t>
      </w:r>
      <w:r w:rsidRPr="00A02F7D">
        <w:rPr>
          <w:bCs/>
          <w:iCs/>
        </w:rPr>
        <w:t xml:space="preserve"> may also have adverse effects on attitude and </w:t>
      </w:r>
      <w:proofErr w:type="gramStart"/>
      <w:r w:rsidRPr="00A02F7D">
        <w:rPr>
          <w:bCs/>
          <w:iCs/>
        </w:rPr>
        <w:t>persuasion</w:t>
      </w:r>
      <w:r w:rsidRPr="00A02F7D">
        <w:t>.</w:t>
      </w:r>
      <w:r w:rsidR="00827B47">
        <w:rPr>
          <w:vertAlign w:val="superscript"/>
        </w:rPr>
        <w:t>16</w:t>
      </w:r>
      <w:r w:rsidR="00757D29" w:rsidRPr="00A02F7D">
        <w:t xml:space="preserve">  </w:t>
      </w:r>
      <w:r w:rsidRPr="00A02F7D">
        <w:t>For</w:t>
      </w:r>
      <w:proofErr w:type="gramEnd"/>
      <w:r w:rsidRPr="00A02F7D">
        <w:t xml:space="preserve"> example, </w:t>
      </w:r>
      <w:r w:rsidR="00AA3E61" w:rsidRPr="00A02F7D">
        <w:t>an increased motivation to consider tailored arguments due to high personal relevance may only result in persuasion if the tailored arguments themselves are convincing.</w:t>
      </w:r>
      <w:r w:rsidR="00827B47">
        <w:rPr>
          <w:vertAlign w:val="superscript"/>
        </w:rPr>
        <w:t>17</w:t>
      </w:r>
      <w:r w:rsidR="00AA3E61" w:rsidRPr="00A02F7D">
        <w:t xml:space="preserve">  Careful consideration of weak arguments, or arguments that evoke negative reactions, </w:t>
      </w:r>
      <w:r w:rsidR="00AA3E61">
        <w:t>may be</w:t>
      </w:r>
      <w:r w:rsidR="00AA3E61" w:rsidRPr="00A02F7D">
        <w:t xml:space="preserve"> less likely to result in persuasion.  If DI content is likely to be unpopular or unconvincing it may be preferable to encourage users to process information peripherally.  </w:t>
      </w:r>
      <w:r w:rsidR="00AA3E61">
        <w:t xml:space="preserve">Additionally, </w:t>
      </w:r>
      <w:r w:rsidRPr="00A02F7D">
        <w:t xml:space="preserve">tailored </w:t>
      </w:r>
      <w:r w:rsidR="008078E4" w:rsidRPr="00A02F7D">
        <w:t>DI</w:t>
      </w:r>
      <w:r w:rsidRPr="00A02F7D">
        <w:t xml:space="preserve"> content has been perceived as less credible than no</w:t>
      </w:r>
      <w:r w:rsidR="00757D29" w:rsidRPr="00A02F7D">
        <w:t xml:space="preserve">n-tailored </w:t>
      </w:r>
      <w:r w:rsidR="00143DD5" w:rsidRPr="00A02F7D">
        <w:t>DI</w:t>
      </w:r>
      <w:r w:rsidR="00757D29" w:rsidRPr="00A02F7D">
        <w:t xml:space="preserve"> </w:t>
      </w:r>
      <w:proofErr w:type="gramStart"/>
      <w:r w:rsidR="00757D29" w:rsidRPr="00A02F7D">
        <w:t>content</w:t>
      </w:r>
      <w:r w:rsidR="00757D29" w:rsidRPr="00A02F7D">
        <w:rPr>
          <w:noProof/>
        </w:rPr>
        <w:t>.</w:t>
      </w:r>
      <w:r w:rsidR="00827B47">
        <w:rPr>
          <w:noProof/>
          <w:vertAlign w:val="superscript"/>
        </w:rPr>
        <w:t>18</w:t>
      </w:r>
      <w:r w:rsidRPr="00A02F7D">
        <w:t xml:space="preserve">  According</w:t>
      </w:r>
      <w:proofErr w:type="gramEnd"/>
      <w:r w:rsidRPr="00A02F7D">
        <w:t xml:space="preserve"> to ELM, </w:t>
      </w:r>
      <w:r w:rsidR="00B12B86" w:rsidRPr="00A02F7D">
        <w:t xml:space="preserve">if </w:t>
      </w:r>
      <w:r w:rsidRPr="00A02F7D">
        <w:t>tailored arguments are not congruent with prior attitudes or beliefs, this may inadvert</w:t>
      </w:r>
      <w:r w:rsidR="00B12B86" w:rsidRPr="00A02F7D">
        <w:t xml:space="preserve">ently promote careful critique </w:t>
      </w:r>
      <w:r w:rsidRPr="00A02F7D">
        <w:t>of the arguments in a bid to maintain cognitive consistency</w:t>
      </w:r>
      <w:r w:rsidR="00827B47">
        <w:rPr>
          <w:vertAlign w:val="superscript"/>
        </w:rPr>
        <w:t>16</w:t>
      </w:r>
      <w:r w:rsidR="00075A51" w:rsidRPr="00A02F7D">
        <w:t>, and in the context of DIs may lead to early drop out</w:t>
      </w:r>
      <w:r w:rsidRPr="00A02F7D">
        <w:t>.</w:t>
      </w:r>
      <w:r w:rsidR="00B12B86" w:rsidRPr="00A02F7D">
        <w:t xml:space="preserve">  </w:t>
      </w:r>
      <w:r w:rsidR="00425D4B" w:rsidRPr="00A02F7D">
        <w:t xml:space="preserve">Increasing the personal relevance of information through tailoring may not always encourage </w:t>
      </w:r>
      <w:r w:rsidR="0081311C" w:rsidRPr="00A02F7D">
        <w:t>user</w:t>
      </w:r>
      <w:r w:rsidR="00425D4B" w:rsidRPr="00A02F7D">
        <w:t xml:space="preserve">s to follow the central route to persuasion.  If the information presented is already highly salient to the </w:t>
      </w:r>
      <w:r w:rsidR="0081311C" w:rsidRPr="00A02F7D">
        <w:t>user, or the user</w:t>
      </w:r>
      <w:r w:rsidR="00425D4B" w:rsidRPr="00A02F7D">
        <w:t xml:space="preserve"> is knowledgeable in the topic area, this may actually decrease motivation to think carefully about the intervention </w:t>
      </w:r>
      <w:proofErr w:type="gramStart"/>
      <w:r w:rsidR="00425D4B" w:rsidRPr="00A02F7D">
        <w:t>content.</w:t>
      </w:r>
      <w:r w:rsidR="00827B47">
        <w:rPr>
          <w:vertAlign w:val="superscript"/>
        </w:rPr>
        <w:t>11</w:t>
      </w:r>
      <w:r w:rsidR="00425D4B" w:rsidRPr="00A02F7D">
        <w:t xml:space="preserve">  In</w:t>
      </w:r>
      <w:proofErr w:type="gramEnd"/>
      <w:r w:rsidR="00425D4B" w:rsidRPr="00A02F7D">
        <w:t xml:space="preserve"> this instance, providing untailored intervention content may better attract and retain </w:t>
      </w:r>
      <w:r w:rsidR="0081311C" w:rsidRPr="00A02F7D">
        <w:t>user</w:t>
      </w:r>
      <w:r w:rsidR="00425D4B" w:rsidRPr="00A02F7D">
        <w:t xml:space="preserve">s’ attention, thus encouraging continued DI usage.  </w:t>
      </w:r>
      <w:r w:rsidR="00B12B86" w:rsidRPr="00A02F7D">
        <w:t xml:space="preserve">  </w:t>
      </w:r>
    </w:p>
    <w:p w:rsidR="00E46E90" w:rsidRPr="00A02F7D" w:rsidRDefault="00485385" w:rsidP="00F901B1">
      <w:pPr>
        <w:ind w:firstLine="567"/>
      </w:pPr>
      <w:r w:rsidRPr="00A02F7D">
        <w:t>I</w:t>
      </w:r>
      <w:r w:rsidR="00425D4B" w:rsidRPr="00A02F7D">
        <w:t xml:space="preserve">n </w:t>
      </w:r>
      <w:r w:rsidR="00373A45" w:rsidRPr="00A02F7D">
        <w:t>a self-guided</w:t>
      </w:r>
      <w:r w:rsidR="00425D4B" w:rsidRPr="00A02F7D">
        <w:t xml:space="preserve"> digital setting it is not usually possible to know users </w:t>
      </w:r>
      <w:r w:rsidR="00373A45" w:rsidRPr="00A02F7D">
        <w:t>in advance or to flexibly adapt</w:t>
      </w:r>
      <w:r w:rsidRPr="00A02F7D">
        <w:t xml:space="preserve"> automated tailoring algorithms to</w:t>
      </w:r>
      <w:r w:rsidR="00425D4B" w:rsidRPr="00A02F7D">
        <w:t xml:space="preserve"> counteract </w:t>
      </w:r>
      <w:r w:rsidR="00373A45" w:rsidRPr="00A02F7D">
        <w:t xml:space="preserve">any </w:t>
      </w:r>
      <w:r w:rsidR="00425D4B" w:rsidRPr="00A02F7D">
        <w:t>adverse reactions or counterarguments</w:t>
      </w:r>
      <w:r w:rsidRPr="00A02F7D">
        <w:t xml:space="preserve"> that may arise</w:t>
      </w:r>
      <w:r w:rsidR="00425D4B" w:rsidRPr="00A02F7D">
        <w:t>.  This highlights the need to conduct sufficient, in-</w:t>
      </w:r>
      <w:r w:rsidR="00425D4B" w:rsidRPr="00A02F7D">
        <w:lastRenderedPageBreak/>
        <w:t xml:space="preserve">depth qualitative </w:t>
      </w:r>
      <w:r w:rsidR="00433D48" w:rsidRPr="00A02F7D">
        <w:t>pilot</w:t>
      </w:r>
      <w:r w:rsidR="00433D48">
        <w:t xml:space="preserve"> studies</w:t>
      </w:r>
      <w:r w:rsidR="00433D48" w:rsidRPr="00A02F7D">
        <w:t xml:space="preserve"> </w:t>
      </w:r>
      <w:r w:rsidRPr="00A02F7D">
        <w:t xml:space="preserve">to build an understanding of the prior experiences of the target population and the contexts in which they will be seeking to use and follow the </w:t>
      </w:r>
      <w:proofErr w:type="gramStart"/>
      <w:r w:rsidRPr="00A02F7D">
        <w:t>intervention.</w:t>
      </w:r>
      <w:r w:rsidR="00827B47">
        <w:rPr>
          <w:vertAlign w:val="superscript"/>
        </w:rPr>
        <w:t>19</w:t>
      </w:r>
      <w:r w:rsidRPr="00A02F7D">
        <w:t xml:space="preserve">  In</w:t>
      </w:r>
      <w:proofErr w:type="gramEnd"/>
      <w:r w:rsidRPr="00A02F7D">
        <w:t xml:space="preserve"> this way relevant beliefs, prior knowledge, and potential adverse reactions can be acknowledged and addressed before any new contradictory information is introduced</w:t>
      </w:r>
      <w:r w:rsidR="00143DD5" w:rsidRPr="00A02F7D">
        <w:t>.</w:t>
      </w:r>
      <w:r w:rsidRPr="00A02F7D">
        <w:t xml:space="preserve"> </w:t>
      </w:r>
      <w:r w:rsidR="00425D4B" w:rsidRPr="00A02F7D">
        <w:t xml:space="preserve"> </w:t>
      </w:r>
    </w:p>
    <w:p w:rsidR="00E46E90" w:rsidRPr="00A02F7D" w:rsidRDefault="00075A51" w:rsidP="00143DD5">
      <w:pPr>
        <w:ind w:firstLine="720"/>
      </w:pPr>
      <w:r w:rsidRPr="00A02F7D">
        <w:t xml:space="preserve"> </w:t>
      </w:r>
      <w:r w:rsidR="00D13F4C" w:rsidRPr="00A02F7D">
        <w:t xml:space="preserve">  </w:t>
      </w:r>
    </w:p>
    <w:p w:rsidR="00E46E90" w:rsidRPr="00A02F7D" w:rsidRDefault="00373A45" w:rsidP="00142D4D">
      <w:pPr>
        <w:pStyle w:val="Heading2"/>
        <w:rPr>
          <w:rFonts w:cs="Times New Roman"/>
          <w:b w:val="0"/>
          <w:szCs w:val="24"/>
        </w:rPr>
      </w:pPr>
      <w:r w:rsidRPr="00A02F7D">
        <w:rPr>
          <w:rFonts w:cs="Times New Roman"/>
          <w:b w:val="0"/>
          <w:szCs w:val="24"/>
        </w:rPr>
        <w:t>Remaining</w:t>
      </w:r>
      <w:r w:rsidR="00E46E90" w:rsidRPr="00A02F7D">
        <w:rPr>
          <w:rFonts w:cs="Times New Roman"/>
          <w:b w:val="0"/>
          <w:szCs w:val="24"/>
        </w:rPr>
        <w:t xml:space="preserve"> questions</w:t>
      </w:r>
    </w:p>
    <w:p w:rsidR="00E46E90" w:rsidRPr="00A02F7D" w:rsidRDefault="00EF3587" w:rsidP="00827B47">
      <w:r w:rsidRPr="00A02F7D">
        <w:t xml:space="preserve">Theoretical explanations of tailoring </w:t>
      </w:r>
      <w:r w:rsidR="00E46E90" w:rsidRPr="00A02F7D">
        <w:t xml:space="preserve">do not fully explain whether and/or how self-referent encoding or effortful information processing can lead to changes in behaviour.  Current hypotheses propose that self-referent encoding leads to cognitive changes </w:t>
      </w:r>
      <w:r w:rsidR="00D13F4C" w:rsidRPr="00A02F7D">
        <w:t>(e.g.</w:t>
      </w:r>
      <w:r w:rsidR="00E46E90" w:rsidRPr="00A02F7D">
        <w:t xml:space="preserve"> changes in in</w:t>
      </w:r>
      <w:r w:rsidR="00D13F4C" w:rsidRPr="00A02F7D">
        <w:t>tention</w:t>
      </w:r>
      <w:r w:rsidR="00E46E90" w:rsidRPr="00A02F7D">
        <w:t xml:space="preserve"> or increased accessibility of information</w:t>
      </w:r>
      <w:r w:rsidR="00D13F4C" w:rsidRPr="00A02F7D">
        <w:t xml:space="preserve">) that result in </w:t>
      </w:r>
      <w:r w:rsidR="00E46E90" w:rsidRPr="00A02F7D">
        <w:t xml:space="preserve">greater motivation to perform </w:t>
      </w:r>
      <w:proofErr w:type="gramStart"/>
      <w:r w:rsidR="00E46E90" w:rsidRPr="00A02F7D">
        <w:t>behaviour.</w:t>
      </w:r>
      <w:r w:rsidR="00827B47">
        <w:rPr>
          <w:vertAlign w:val="superscript"/>
        </w:rPr>
        <w:t>20</w:t>
      </w:r>
      <w:r w:rsidRPr="00A02F7D">
        <w:t xml:space="preserve">  Building</w:t>
      </w:r>
      <w:proofErr w:type="gramEnd"/>
      <w:r w:rsidRPr="00A02F7D">
        <w:t xml:space="preserve"> a clearer picture of whether and how the use of tailoring can influence both usage of DIs and subsequent behaviour change </w:t>
      </w:r>
      <w:r w:rsidR="00546F2C">
        <w:t>may</w:t>
      </w:r>
      <w:r w:rsidR="00546F2C" w:rsidRPr="00A02F7D">
        <w:t xml:space="preserve"> </w:t>
      </w:r>
      <w:r w:rsidRPr="00A02F7D">
        <w:t xml:space="preserve">serve to enhance the effectiveness of DIs and ensure those effects can be reproduced.  </w:t>
      </w:r>
      <w:r w:rsidR="00E46E90" w:rsidRPr="00A02F7D">
        <w:t xml:space="preserve">  </w:t>
      </w:r>
    </w:p>
    <w:p w:rsidR="00E46E90" w:rsidRPr="00A02F7D" w:rsidRDefault="00E46E90" w:rsidP="00142D4D">
      <w:pPr>
        <w:pStyle w:val="Heading1"/>
        <w:rPr>
          <w:rFonts w:cs="Times New Roman"/>
          <w:sz w:val="28"/>
          <w:szCs w:val="24"/>
        </w:rPr>
      </w:pPr>
      <w:r w:rsidRPr="00A02F7D">
        <w:rPr>
          <w:rFonts w:cs="Times New Roman"/>
          <w:sz w:val="28"/>
          <w:szCs w:val="24"/>
        </w:rPr>
        <w:t>Theories of motivation</w:t>
      </w:r>
    </w:p>
    <w:p w:rsidR="00E46E90" w:rsidRPr="00A02F7D" w:rsidRDefault="00B563EE" w:rsidP="00827B47">
      <w:r w:rsidRPr="00A02F7D">
        <w:t>Health behaviour change typically requires a considerable degree of self-regulatory effort and is therefore not usually considered to be an inherently enjoyable activity.  This can undermine motivation to engage in the behaviour change process.  DIs may further discourage continued usage by using tunnelled</w:t>
      </w:r>
      <w:r w:rsidR="00827B47">
        <w:rPr>
          <w:vertAlign w:val="superscript"/>
        </w:rPr>
        <w:t>21</w:t>
      </w:r>
      <w:r w:rsidR="00A26CD1" w:rsidRPr="00A02F7D">
        <w:t xml:space="preserve">, session-based delivery that </w:t>
      </w:r>
      <w:r w:rsidR="00373A45" w:rsidRPr="00A02F7D">
        <w:lastRenderedPageBreak/>
        <w:t>may be</w:t>
      </w:r>
      <w:r w:rsidRPr="00A02F7D">
        <w:t xml:space="preserve"> incompatible with </w:t>
      </w:r>
      <w:r w:rsidR="00A26CD1" w:rsidRPr="00A02F7D">
        <w:t xml:space="preserve">the perceived advantages of technology such as quick, flexible and on-the-go access to information.  </w:t>
      </w:r>
      <w:r w:rsidR="0084020D" w:rsidRPr="00A02F7D">
        <w:t xml:space="preserve">Theories of motivation </w:t>
      </w:r>
      <w:r w:rsidRPr="00A02F7D">
        <w:t xml:space="preserve">can offer </w:t>
      </w:r>
      <w:r w:rsidR="0084020D" w:rsidRPr="00A02F7D">
        <w:t>guidance on</w:t>
      </w:r>
      <w:r w:rsidR="00A26CD1" w:rsidRPr="00A02F7D">
        <w:t xml:space="preserve"> </w:t>
      </w:r>
      <w:r w:rsidR="0084020D" w:rsidRPr="00A02F7D">
        <w:t xml:space="preserve">how </w:t>
      </w:r>
      <w:r w:rsidRPr="00A02F7D">
        <w:t xml:space="preserve">best to implement a range of DI features in a way that will enhance rather than thwart users’ motivation </w:t>
      </w:r>
      <w:r w:rsidR="00F901B1">
        <w:t xml:space="preserve">to </w:t>
      </w:r>
      <w:r w:rsidRPr="00A02F7D">
        <w:t>engage with the behaviour change process</w:t>
      </w:r>
      <w:r w:rsidR="00D1328E">
        <w:t xml:space="preserve"> and use </w:t>
      </w:r>
      <w:proofErr w:type="spellStart"/>
      <w:proofErr w:type="gramStart"/>
      <w:r w:rsidR="00D1328E">
        <w:t>DIs</w:t>
      </w:r>
      <w:proofErr w:type="gramEnd"/>
      <w:r w:rsidRPr="00A02F7D">
        <w:t>.</w:t>
      </w:r>
      <w:proofErr w:type="spellEnd"/>
      <w:r w:rsidRPr="00A02F7D">
        <w:t xml:space="preserve">  </w:t>
      </w:r>
    </w:p>
    <w:p w:rsidR="0084020D" w:rsidRPr="00A02F7D" w:rsidRDefault="0084020D" w:rsidP="00827B47">
      <w:pPr>
        <w:ind w:firstLine="567"/>
      </w:pPr>
      <w:r w:rsidRPr="00A02F7D">
        <w:t xml:space="preserve">Self-determination Theory (SDT) proposes that </w:t>
      </w:r>
      <w:r w:rsidR="00433D48">
        <w:t xml:space="preserve">the </w:t>
      </w:r>
      <w:r w:rsidRPr="00A02F7D">
        <w:t xml:space="preserve">initiation, performance and maintenance of </w:t>
      </w:r>
      <w:r w:rsidR="00B563EE" w:rsidRPr="00A02F7D">
        <w:t xml:space="preserve">any </w:t>
      </w:r>
      <w:r w:rsidRPr="00A02F7D">
        <w:t xml:space="preserve">behaviour will be more likely if that behaviour is autonomously motivated, that is, </w:t>
      </w:r>
      <w:r w:rsidR="00433D48">
        <w:t xml:space="preserve">the behaviour is </w:t>
      </w:r>
      <w:r w:rsidRPr="00A02F7D">
        <w:t>perform</w:t>
      </w:r>
      <w:r w:rsidR="00433D48">
        <w:t>ed</w:t>
      </w:r>
      <w:r w:rsidRPr="00A02F7D">
        <w:t xml:space="preserve"> out of a sense of choice rather than external pressure.</w:t>
      </w:r>
      <w:r w:rsidR="00827B47">
        <w:rPr>
          <w:vertAlign w:val="superscript"/>
        </w:rPr>
        <w:t>22</w:t>
      </w:r>
      <w:r w:rsidRPr="00A02F7D">
        <w:t xml:space="preserve">  SDT further argues that autonomous motivation can be enhanced by supporting individuals’ need for autonomy (i.e. behaviour is under volitional control), relatedness (i.e. support from and connection to others), and competence (i.e. confidence and ability to perform a behaviour).</w:t>
      </w:r>
      <w:r w:rsidR="00B563EE" w:rsidRPr="00A02F7D">
        <w:t xml:space="preserve">  </w:t>
      </w:r>
      <w:r w:rsidRPr="00A02F7D">
        <w:t xml:space="preserve">Identifying strategies for providing choice and flexibility within tunnelled architectures may help to enhance </w:t>
      </w:r>
      <w:r w:rsidR="0081311C" w:rsidRPr="00A02F7D">
        <w:t>user</w:t>
      </w:r>
      <w:r w:rsidRPr="00A02F7D">
        <w:t>s’ sense of autonomy.</w:t>
      </w:r>
      <w:r w:rsidR="00827B47">
        <w:rPr>
          <w:vertAlign w:val="superscript"/>
        </w:rPr>
        <w:t>23</w:t>
      </w:r>
      <w:r w:rsidR="0081311C" w:rsidRPr="00A02F7D">
        <w:t xml:space="preserve">  For example, user</w:t>
      </w:r>
      <w:r w:rsidRPr="00A02F7D">
        <w:t xml:space="preserve">s can be empowered to self-select their own </w:t>
      </w:r>
      <w:r w:rsidR="00B563EE" w:rsidRPr="00A02F7D">
        <w:t xml:space="preserve">health-related </w:t>
      </w:r>
      <w:r w:rsidRPr="00A02F7D">
        <w:t xml:space="preserve">goals or </w:t>
      </w:r>
      <w:r w:rsidR="00B563EE" w:rsidRPr="00A02F7D">
        <w:t xml:space="preserve">invited to </w:t>
      </w:r>
      <w:r w:rsidRPr="00A02F7D">
        <w:t xml:space="preserve">try out different suggestions for behavioural change </w:t>
      </w:r>
      <w:r w:rsidR="00B563EE" w:rsidRPr="00A02F7D">
        <w:t xml:space="preserve">that are accompanied by a meaningful rationale, </w:t>
      </w:r>
      <w:r w:rsidRPr="00A02F7D">
        <w:t>rather than instructed to follow specific behavioural directives.</w:t>
      </w:r>
      <w:r w:rsidR="00827B47">
        <w:rPr>
          <w:vertAlign w:val="superscript"/>
        </w:rPr>
        <w:t>19</w:t>
      </w:r>
      <w:r w:rsidRPr="00A02F7D">
        <w:t xml:space="preserve">  Interventions may also enhance </w:t>
      </w:r>
      <w:r w:rsidR="0081311C" w:rsidRPr="00A02F7D">
        <w:t>user</w:t>
      </w:r>
      <w:r w:rsidRPr="00A02F7D">
        <w:t xml:space="preserve">s’ sense of autonomy </w:t>
      </w:r>
      <w:r w:rsidR="00D13F4C" w:rsidRPr="00A02F7D">
        <w:t xml:space="preserve">by </w:t>
      </w:r>
      <w:r w:rsidR="00B563EE" w:rsidRPr="00A02F7D">
        <w:t xml:space="preserve">encouraging the user to reflect on their own personal, </w:t>
      </w:r>
      <w:r w:rsidRPr="00A02F7D">
        <w:t xml:space="preserve">intrinsic </w:t>
      </w:r>
      <w:r w:rsidR="00B563EE" w:rsidRPr="00A02F7D">
        <w:t>reasons</w:t>
      </w:r>
      <w:r w:rsidRPr="00A02F7D">
        <w:t xml:space="preserve"> for </w:t>
      </w:r>
      <w:r w:rsidR="00B563EE" w:rsidRPr="00A02F7D">
        <w:t xml:space="preserve">health </w:t>
      </w:r>
      <w:r w:rsidRPr="00A02F7D">
        <w:t>behaviour change</w:t>
      </w:r>
      <w:r w:rsidR="00D1328E">
        <w:t xml:space="preserve"> or DI usage</w:t>
      </w:r>
      <w:r w:rsidR="00827B47">
        <w:t xml:space="preserve"> (e.g.</w:t>
      </w:r>
      <w:r w:rsidR="00827B47">
        <w:rPr>
          <w:vertAlign w:val="superscript"/>
        </w:rPr>
        <w:t>24</w:t>
      </w:r>
      <w:r w:rsidR="00827B47">
        <w:t>)</w:t>
      </w:r>
      <w:r w:rsidRPr="00A02F7D">
        <w:t xml:space="preserve"> </w:t>
      </w:r>
      <w:r w:rsidR="00B563EE" w:rsidRPr="00A02F7D">
        <w:t>and how these reasons fit with other core values (e.g. long-term health, quality of life, vitality etc.)</w:t>
      </w:r>
      <w:r w:rsidRPr="00A02F7D">
        <w:t>.</w:t>
      </w:r>
      <w:r w:rsidR="00827B47">
        <w:rPr>
          <w:vertAlign w:val="superscript"/>
        </w:rPr>
        <w:t>25</w:t>
      </w:r>
      <w:proofErr w:type="gramStart"/>
      <w:r w:rsidR="00827B47">
        <w:rPr>
          <w:vertAlign w:val="superscript"/>
        </w:rPr>
        <w:t>,26</w:t>
      </w:r>
      <w:proofErr w:type="gramEnd"/>
      <w:r w:rsidR="00B563EE" w:rsidRPr="00A02F7D">
        <w:t xml:space="preserve"> </w:t>
      </w:r>
      <w:r w:rsidR="00373A45" w:rsidRPr="00A02F7D">
        <w:t xml:space="preserve"> </w:t>
      </w:r>
      <w:r w:rsidR="00B563EE" w:rsidRPr="00A02F7D">
        <w:t xml:space="preserve">Following SDT, the provision of </w:t>
      </w:r>
      <w:r w:rsidR="00B563EE" w:rsidRPr="00A02F7D">
        <w:lastRenderedPageBreak/>
        <w:t>positively framed tailored feedback (e.g. in response to goal setting, self-assessment</w:t>
      </w:r>
      <w:r w:rsidR="0081311C" w:rsidRPr="00A02F7D">
        <w:t>, self-monitoring) can address user</w:t>
      </w:r>
      <w:r w:rsidR="00B563EE" w:rsidRPr="00A02F7D">
        <w:t>s’ need for competence.</w:t>
      </w:r>
      <w:r w:rsidR="00827B47">
        <w:rPr>
          <w:vertAlign w:val="superscript"/>
        </w:rPr>
        <w:t>22</w:t>
      </w:r>
      <w:r w:rsidRPr="00A02F7D">
        <w:t xml:space="preserve">         </w:t>
      </w:r>
    </w:p>
    <w:p w:rsidR="0084020D" w:rsidRPr="00A02F7D" w:rsidRDefault="00B563EE" w:rsidP="00827B47">
      <w:pPr>
        <w:ind w:firstLine="567"/>
      </w:pPr>
      <w:r w:rsidRPr="00A02F7D">
        <w:t xml:space="preserve">It can be more difficult to address </w:t>
      </w:r>
      <w:r w:rsidR="0081311C" w:rsidRPr="00A02F7D">
        <w:t>user</w:t>
      </w:r>
      <w:r w:rsidRPr="00A02F7D">
        <w:t xml:space="preserve">s’ need for relatedness within DIs as computer-mediated peer support may arguably offer a poor substitute for ‘real’ social support, particularly for </w:t>
      </w:r>
      <w:r w:rsidR="0081311C" w:rsidRPr="00A02F7D">
        <w:t>user</w:t>
      </w:r>
      <w:r w:rsidRPr="00A02F7D">
        <w:t>s who have a stronger need for relatedness outside of the intervention context.</w:t>
      </w:r>
      <w:r w:rsidR="00827B47">
        <w:rPr>
          <w:vertAlign w:val="superscript"/>
        </w:rPr>
        <w:t>27</w:t>
      </w:r>
      <w:r w:rsidRPr="00A02F7D">
        <w:t xml:space="preserve">  Indeed, there is mixed evidence in support of computer-mediated support tools across the health domain</w:t>
      </w:r>
      <w:r w:rsidR="00BB27A2" w:rsidRPr="00A02F7D">
        <w:t>.</w:t>
      </w:r>
      <w:r w:rsidR="00C67AA4" w:rsidRPr="00A02F7D">
        <w:rPr>
          <w:vertAlign w:val="superscript"/>
        </w:rPr>
        <w:t>8</w:t>
      </w:r>
      <w:r w:rsidRPr="00A02F7D">
        <w:t xml:space="preserve">  </w:t>
      </w:r>
      <w:r w:rsidR="00BB27A2" w:rsidRPr="00A02F7D">
        <w:t>Where it is not appropriate or necessary</w:t>
      </w:r>
      <w:r w:rsidRPr="00A02F7D">
        <w:t xml:space="preserve"> to mediate social interaction, DIs may alternatively satisfy </w:t>
      </w:r>
      <w:r w:rsidR="0081311C" w:rsidRPr="00A02F7D">
        <w:t>user</w:t>
      </w:r>
      <w:r w:rsidRPr="00A02F7D">
        <w:t>s’ need for relatedness by ensuring that users feel listened to (e.g. by acknowledging barriers to health behaviour change</w:t>
      </w:r>
      <w:r w:rsidR="00827B47">
        <w:t xml:space="preserve"> e.g.</w:t>
      </w:r>
      <w:r w:rsidR="00827B47">
        <w:rPr>
          <w:vertAlign w:val="superscript"/>
        </w:rPr>
        <w:t>28</w:t>
      </w:r>
      <w:r w:rsidRPr="00A02F7D">
        <w:t xml:space="preserve">, providing opportunities for the user to offer feedback to the research team, introducing the research team via ‘meet the team’ pages etc.).  </w:t>
      </w:r>
    </w:p>
    <w:p w:rsidR="00E46E90" w:rsidRPr="00546F2C" w:rsidRDefault="002803DD" w:rsidP="00D258E0">
      <w:pPr>
        <w:ind w:firstLine="720"/>
        <w:rPr>
          <w:rFonts w:eastAsia="Calibri"/>
          <w:bCs/>
          <w:iCs/>
          <w:lang w:val="en-US"/>
        </w:rPr>
      </w:pPr>
      <w:r w:rsidRPr="00546F2C">
        <w:rPr>
          <w:rStyle w:val="Heading4Char"/>
          <w:rFonts w:eastAsia="Calibri"/>
          <w:iCs/>
          <w:szCs w:val="24"/>
          <w:lang w:val="en-US"/>
        </w:rPr>
        <w:t xml:space="preserve">The extent to which users’ motivation </w:t>
      </w:r>
      <w:r w:rsidR="00D258E0">
        <w:rPr>
          <w:rStyle w:val="Heading4Char"/>
          <w:rFonts w:eastAsia="Calibri"/>
          <w:iCs/>
          <w:szCs w:val="24"/>
          <w:lang w:val="en-US"/>
        </w:rPr>
        <w:t xml:space="preserve">and autonomy </w:t>
      </w:r>
      <w:r w:rsidR="00546F2C">
        <w:rPr>
          <w:rStyle w:val="Heading4Char"/>
          <w:rFonts w:eastAsia="Calibri"/>
          <w:iCs/>
          <w:szCs w:val="24"/>
          <w:lang w:val="en-US"/>
        </w:rPr>
        <w:t>can</w:t>
      </w:r>
      <w:r w:rsidR="00546F2C" w:rsidRPr="00546F2C">
        <w:rPr>
          <w:rStyle w:val="Heading4Char"/>
          <w:rFonts w:eastAsia="Calibri"/>
          <w:iCs/>
          <w:szCs w:val="24"/>
          <w:lang w:val="en-US"/>
        </w:rPr>
        <w:t xml:space="preserve"> </w:t>
      </w:r>
      <w:r w:rsidRPr="00546F2C">
        <w:rPr>
          <w:rStyle w:val="Heading4Char"/>
          <w:rFonts w:eastAsia="Calibri"/>
          <w:iCs/>
          <w:szCs w:val="24"/>
          <w:lang w:val="en-US"/>
        </w:rPr>
        <w:t xml:space="preserve">be </w:t>
      </w:r>
      <w:r w:rsidR="00D258E0">
        <w:rPr>
          <w:rStyle w:val="Heading4Char"/>
          <w:rFonts w:eastAsia="Calibri"/>
          <w:iCs/>
          <w:szCs w:val="24"/>
          <w:lang w:val="en-US"/>
        </w:rPr>
        <w:t>supported</w:t>
      </w:r>
      <w:r w:rsidR="00D258E0" w:rsidRPr="00546F2C">
        <w:rPr>
          <w:rStyle w:val="Heading4Char"/>
          <w:rFonts w:eastAsia="Calibri"/>
          <w:iCs/>
          <w:szCs w:val="24"/>
          <w:lang w:val="en-US"/>
        </w:rPr>
        <w:t xml:space="preserve"> </w:t>
      </w:r>
      <w:r w:rsidRPr="00546F2C">
        <w:rPr>
          <w:rStyle w:val="Heading4Char"/>
          <w:rFonts w:eastAsia="Calibri"/>
          <w:iCs/>
          <w:szCs w:val="24"/>
          <w:lang w:val="en-US"/>
        </w:rPr>
        <w:t>through DI design may differ according to other psychological characteristics, including health locus of control.</w:t>
      </w:r>
      <w:r w:rsidR="00827B47">
        <w:rPr>
          <w:rStyle w:val="Heading4Char"/>
          <w:rFonts w:eastAsia="Calibri"/>
          <w:iCs/>
          <w:szCs w:val="24"/>
          <w:vertAlign w:val="superscript"/>
          <w:lang w:val="en-US"/>
        </w:rPr>
        <w:t>29</w:t>
      </w:r>
      <w:r w:rsidRPr="00546F2C">
        <w:rPr>
          <w:rStyle w:val="Heading4Char"/>
          <w:rFonts w:eastAsia="Calibri"/>
          <w:iCs/>
          <w:szCs w:val="24"/>
          <w:lang w:val="en-US"/>
        </w:rPr>
        <w:t xml:space="preserve">  </w:t>
      </w:r>
      <w:r w:rsidR="0084020D" w:rsidRPr="00546F2C">
        <w:rPr>
          <w:rStyle w:val="Heading4Char"/>
          <w:rFonts w:eastAsia="Calibri"/>
          <w:iCs/>
          <w:szCs w:val="24"/>
          <w:lang w:val="en-US"/>
        </w:rPr>
        <w:t>An internal health locus of control has been argued to have a positive association with health-related outcomes.</w:t>
      </w:r>
      <w:r w:rsidR="00827B47">
        <w:rPr>
          <w:rStyle w:val="Heading4Char"/>
          <w:rFonts w:eastAsia="Calibri"/>
          <w:iCs/>
          <w:szCs w:val="24"/>
          <w:vertAlign w:val="superscript"/>
          <w:lang w:val="en-US"/>
        </w:rPr>
        <w:t>30</w:t>
      </w:r>
      <w:r w:rsidR="0084020D" w:rsidRPr="00546F2C">
        <w:rPr>
          <w:rStyle w:val="Heading4Char"/>
          <w:rFonts w:eastAsia="Calibri"/>
          <w:iCs/>
          <w:szCs w:val="24"/>
          <w:lang w:val="en-US"/>
        </w:rPr>
        <w:t xml:space="preserve">  </w:t>
      </w:r>
      <w:r w:rsidR="00433D48">
        <w:rPr>
          <w:rStyle w:val="Heading4Char"/>
          <w:rFonts w:eastAsia="Calibri"/>
          <w:iCs/>
          <w:szCs w:val="24"/>
          <w:lang w:val="en-US"/>
        </w:rPr>
        <w:t>D</w:t>
      </w:r>
      <w:r w:rsidR="005B2BE1" w:rsidRPr="00546F2C">
        <w:rPr>
          <w:rStyle w:val="Heading4Char"/>
          <w:rFonts w:eastAsia="Calibri"/>
          <w:iCs/>
          <w:szCs w:val="24"/>
          <w:lang w:val="en-US"/>
        </w:rPr>
        <w:t>esign features that offer choice and flexibility may help to enhance perceived intern</w:t>
      </w:r>
      <w:r w:rsidR="00596206" w:rsidRPr="00546F2C">
        <w:rPr>
          <w:rStyle w:val="Heading4Char"/>
          <w:rFonts w:eastAsia="Calibri"/>
          <w:iCs/>
          <w:szCs w:val="24"/>
          <w:lang w:val="en-US"/>
        </w:rPr>
        <w:t>al locus of control by encouraging</w:t>
      </w:r>
      <w:r w:rsidR="005B2BE1" w:rsidRPr="00546F2C">
        <w:rPr>
          <w:rStyle w:val="Heading4Char"/>
          <w:rFonts w:eastAsia="Calibri"/>
          <w:iCs/>
          <w:szCs w:val="24"/>
          <w:lang w:val="en-US"/>
        </w:rPr>
        <w:t xml:space="preserve"> users to make their own decisions and self-manage their behavior change process</w:t>
      </w:r>
      <w:r w:rsidR="00D1328E">
        <w:rPr>
          <w:rStyle w:val="Heading4Char"/>
          <w:rFonts w:eastAsia="Calibri"/>
          <w:iCs/>
          <w:szCs w:val="24"/>
          <w:lang w:val="en-US"/>
        </w:rPr>
        <w:t xml:space="preserve"> and DI usage</w:t>
      </w:r>
      <w:r w:rsidR="005B2BE1" w:rsidRPr="00546F2C">
        <w:rPr>
          <w:rStyle w:val="Heading4Char"/>
          <w:rFonts w:eastAsia="Calibri"/>
          <w:iCs/>
          <w:szCs w:val="24"/>
          <w:lang w:val="en-US"/>
        </w:rPr>
        <w:t xml:space="preserve">.  </w:t>
      </w:r>
      <w:r w:rsidRPr="00546F2C">
        <w:t>However,</w:t>
      </w:r>
      <w:r w:rsidR="0084020D" w:rsidRPr="00546F2C">
        <w:t xml:space="preserve"> </w:t>
      </w:r>
      <w:r w:rsidR="0081311C" w:rsidRPr="00546F2C">
        <w:t>user</w:t>
      </w:r>
      <w:r w:rsidR="005B2BE1" w:rsidRPr="00546F2C">
        <w:t>s with a strong</w:t>
      </w:r>
      <w:r w:rsidR="0084020D" w:rsidRPr="00546F2C">
        <w:t xml:space="preserve"> external locus of control may appreciate more tunnelled design architectures and more frequent and directive contacts with the intervention.            </w:t>
      </w:r>
      <w:r w:rsidR="0084020D" w:rsidRPr="00546F2C">
        <w:rPr>
          <w:rStyle w:val="Heading4Char"/>
          <w:rFonts w:eastAsia="Calibri"/>
          <w:iCs/>
          <w:szCs w:val="24"/>
          <w:lang w:val="en-US"/>
        </w:rPr>
        <w:t xml:space="preserve"> </w:t>
      </w:r>
    </w:p>
    <w:p w:rsidR="0084020D" w:rsidRPr="00A02F7D" w:rsidRDefault="00373A45" w:rsidP="00142D4D">
      <w:pPr>
        <w:pStyle w:val="Heading2"/>
        <w:rPr>
          <w:rFonts w:eastAsia="Calibri" w:cs="Times New Roman"/>
          <w:b w:val="0"/>
          <w:szCs w:val="24"/>
          <w:lang w:val="en-US"/>
        </w:rPr>
      </w:pPr>
      <w:r w:rsidRPr="00A02F7D">
        <w:rPr>
          <w:rFonts w:cs="Times New Roman"/>
          <w:b w:val="0"/>
          <w:szCs w:val="24"/>
          <w:lang w:val="en-US"/>
        </w:rPr>
        <w:lastRenderedPageBreak/>
        <w:t>Remaining</w:t>
      </w:r>
      <w:r w:rsidR="0084020D" w:rsidRPr="00A02F7D">
        <w:rPr>
          <w:rFonts w:cs="Times New Roman"/>
          <w:b w:val="0"/>
          <w:szCs w:val="24"/>
          <w:lang w:val="en-US"/>
        </w:rPr>
        <w:t xml:space="preserve"> questions</w:t>
      </w:r>
    </w:p>
    <w:p w:rsidR="00E46E90" w:rsidRPr="00A02F7D" w:rsidRDefault="0084020D" w:rsidP="00143DD5">
      <w:r w:rsidRPr="00A02F7D">
        <w:t xml:space="preserve">Theories of motivation </w:t>
      </w:r>
      <w:r w:rsidR="002803DD" w:rsidRPr="00A02F7D">
        <w:t xml:space="preserve">offer useful design strategies for enhancing motivation to </w:t>
      </w:r>
      <w:r w:rsidR="00D1328E">
        <w:t xml:space="preserve">change health-related behaviours and to </w:t>
      </w:r>
      <w:r w:rsidR="002803DD" w:rsidRPr="00A02F7D">
        <w:t xml:space="preserve">use and engage with </w:t>
      </w:r>
      <w:proofErr w:type="spellStart"/>
      <w:r w:rsidR="002803DD" w:rsidRPr="00A02F7D">
        <w:t>DIs</w:t>
      </w:r>
      <w:r w:rsidRPr="00A02F7D">
        <w:t>.</w:t>
      </w:r>
      <w:proofErr w:type="spellEnd"/>
      <w:r w:rsidRPr="00A02F7D">
        <w:t xml:space="preserve">  However, </w:t>
      </w:r>
      <w:r w:rsidR="002803DD" w:rsidRPr="00A02F7D">
        <w:t>some uncertainties in implementation remain</w:t>
      </w:r>
      <w:r w:rsidRPr="00A02F7D">
        <w:t xml:space="preserve">.  For example, at what point does providing </w:t>
      </w:r>
      <w:r w:rsidR="002803DD" w:rsidRPr="00A02F7D">
        <w:t xml:space="preserve">positively-framed </w:t>
      </w:r>
      <w:r w:rsidR="0081311C" w:rsidRPr="00A02F7D">
        <w:t>feedback on</w:t>
      </w:r>
      <w:r w:rsidRPr="00A02F7D">
        <w:t xml:space="preserve"> go</w:t>
      </w:r>
      <w:r w:rsidR="00373A45" w:rsidRPr="00A02F7D">
        <w:t>al progress become an extrinsic motivator</w:t>
      </w:r>
      <w:r w:rsidR="002803DD" w:rsidRPr="00A02F7D">
        <w:t>, and thus undermine autonomous motivation</w:t>
      </w:r>
      <w:r w:rsidRPr="00A02F7D">
        <w:t xml:space="preserve">? </w:t>
      </w:r>
      <w:r w:rsidR="002803DD" w:rsidRPr="00A02F7D">
        <w:t xml:space="preserve">Similarly, at what point </w:t>
      </w:r>
      <w:r w:rsidRPr="00A02F7D">
        <w:t>does providing choice become burdensome and overwhelming</w:t>
      </w:r>
      <w:r w:rsidR="002803DD" w:rsidRPr="00A02F7D">
        <w:t xml:space="preserve">, and thus discourage continued </w:t>
      </w:r>
      <w:r w:rsidR="00D1328E">
        <w:t xml:space="preserve">behaviour change or </w:t>
      </w:r>
      <w:r w:rsidR="002803DD" w:rsidRPr="00A02F7D">
        <w:t>usage of a DI</w:t>
      </w:r>
      <w:r w:rsidRPr="00A02F7D">
        <w:t xml:space="preserve">? </w:t>
      </w:r>
      <w:r w:rsidR="002803DD" w:rsidRPr="00A02F7D">
        <w:t xml:space="preserve">Indeed, </w:t>
      </w:r>
      <w:r w:rsidRPr="00A02F7D">
        <w:t xml:space="preserve">research on patient preferences for medical decision making </w:t>
      </w:r>
      <w:r w:rsidR="002803DD" w:rsidRPr="00A02F7D">
        <w:t xml:space="preserve">(discussed later) </w:t>
      </w:r>
      <w:r w:rsidR="0081311C" w:rsidRPr="00A02F7D">
        <w:t>highlights that not all user</w:t>
      </w:r>
      <w:r w:rsidRPr="00A02F7D">
        <w:t>s may want to take an active autonomous role in the management of their health.</w:t>
      </w:r>
      <w:r w:rsidR="002803DD" w:rsidRPr="00A02F7D">
        <w:t xml:space="preserve">  </w:t>
      </w:r>
    </w:p>
    <w:p w:rsidR="0084020D" w:rsidRPr="00A02F7D" w:rsidRDefault="0084020D" w:rsidP="00142D4D">
      <w:pPr>
        <w:pStyle w:val="Heading1"/>
        <w:rPr>
          <w:rFonts w:cs="Times New Roman"/>
          <w:sz w:val="28"/>
          <w:szCs w:val="24"/>
        </w:rPr>
      </w:pPr>
      <w:r w:rsidRPr="00A02F7D">
        <w:rPr>
          <w:rFonts w:cs="Times New Roman"/>
          <w:sz w:val="28"/>
          <w:szCs w:val="24"/>
        </w:rPr>
        <w:t>Theories of volition and self-regulation</w:t>
      </w:r>
    </w:p>
    <w:p w:rsidR="00882101" w:rsidRDefault="00BC122A" w:rsidP="00827B47">
      <w:pPr>
        <w:rPr>
          <w:lang w:val="en-US" w:eastAsia="x-none"/>
        </w:rPr>
      </w:pPr>
      <w:r w:rsidRPr="00A02F7D">
        <w:rPr>
          <w:lang w:val="en-US" w:eastAsia="x-none"/>
        </w:rPr>
        <w:t xml:space="preserve">Goal setting and self-monitoring are commonly employed behavior change techniques within health </w:t>
      </w:r>
      <w:proofErr w:type="gramStart"/>
      <w:r w:rsidRPr="00A02F7D">
        <w:rPr>
          <w:lang w:val="en-US" w:eastAsia="x-none"/>
        </w:rPr>
        <w:t>interventions.</w:t>
      </w:r>
      <w:r w:rsidR="005B2BE1" w:rsidRPr="00A02F7D">
        <w:rPr>
          <w:vertAlign w:val="superscript"/>
          <w:lang w:val="en-US" w:eastAsia="x-none"/>
        </w:rPr>
        <w:t>8</w:t>
      </w:r>
      <w:r w:rsidRPr="00A02F7D">
        <w:rPr>
          <w:lang w:val="en-US" w:eastAsia="x-none"/>
        </w:rPr>
        <w:t xml:space="preserve">  As</w:t>
      </w:r>
      <w:proofErr w:type="gramEnd"/>
      <w:r w:rsidRPr="00A02F7D">
        <w:rPr>
          <w:lang w:val="en-US" w:eastAsia="x-none"/>
        </w:rPr>
        <w:t xml:space="preserve"> previously discussed, theories of motivation </w:t>
      </w:r>
      <w:proofErr w:type="spellStart"/>
      <w:r w:rsidRPr="00A02F7D">
        <w:rPr>
          <w:lang w:val="en-US" w:eastAsia="x-none"/>
        </w:rPr>
        <w:t>emphasise</w:t>
      </w:r>
      <w:proofErr w:type="spellEnd"/>
      <w:r w:rsidRPr="00A02F7D">
        <w:rPr>
          <w:lang w:val="en-US" w:eastAsia="x-none"/>
        </w:rPr>
        <w:t xml:space="preserve"> the value of enabling choice and flexibility in how an intervention can be followed</w:t>
      </w:r>
      <w:r w:rsidR="0081311C" w:rsidRPr="00A02F7D">
        <w:rPr>
          <w:lang w:val="en-US" w:eastAsia="x-none"/>
        </w:rPr>
        <w:t>.  However, user</w:t>
      </w:r>
      <w:r w:rsidR="00380605" w:rsidRPr="00A02F7D">
        <w:rPr>
          <w:lang w:val="en-US" w:eastAsia="x-none"/>
        </w:rPr>
        <w:t>s may not always choose or self-set appropriate goa</w:t>
      </w:r>
      <w:r w:rsidR="006F58A6" w:rsidRPr="00A02F7D">
        <w:rPr>
          <w:lang w:val="en-US" w:eastAsia="x-none"/>
        </w:rPr>
        <w:t>ls when following a</w:t>
      </w:r>
      <w:r w:rsidR="00380605" w:rsidRPr="00A02F7D">
        <w:rPr>
          <w:lang w:val="en-US" w:eastAsia="x-none"/>
        </w:rPr>
        <w:t xml:space="preserve"> </w:t>
      </w:r>
      <w:r w:rsidR="006F58A6" w:rsidRPr="00A02F7D">
        <w:rPr>
          <w:lang w:val="en-US" w:eastAsia="x-none"/>
        </w:rPr>
        <w:t>self-</w:t>
      </w:r>
      <w:r w:rsidR="00380605" w:rsidRPr="00A02F7D">
        <w:rPr>
          <w:lang w:val="en-US" w:eastAsia="x-none"/>
        </w:rPr>
        <w:t>guided DI.  Providing feedback on goal progress is further challenged by DI delivery as it requires considerable resource input in order to adequately tailor feedback to individual users and provide sufficiently varied motivational messages.  Yet evidence suggests that tailored feedback may be a vital component of DIs that require active interaction or engagement from the user.</w:t>
      </w:r>
      <w:r w:rsidR="00827B47">
        <w:rPr>
          <w:vertAlign w:val="superscript"/>
          <w:lang w:val="en-US" w:eastAsia="x-none"/>
        </w:rPr>
        <w:t>31</w:t>
      </w:r>
      <w:r w:rsidR="00380605" w:rsidRPr="00A02F7D">
        <w:rPr>
          <w:lang w:val="en-US" w:eastAsia="x-none"/>
        </w:rPr>
        <w:t xml:space="preserve">  Early drop out from the behavior change </w:t>
      </w:r>
      <w:r w:rsidR="00380605" w:rsidRPr="00A02F7D">
        <w:rPr>
          <w:lang w:val="en-US" w:eastAsia="x-none"/>
        </w:rPr>
        <w:lastRenderedPageBreak/>
        <w:t xml:space="preserve">process </w:t>
      </w:r>
      <w:r w:rsidR="009E179C">
        <w:rPr>
          <w:lang w:val="en-US" w:eastAsia="x-none"/>
        </w:rPr>
        <w:t xml:space="preserve">and usage of DIs </w:t>
      </w:r>
      <w:r w:rsidR="00380605" w:rsidRPr="00A02F7D">
        <w:rPr>
          <w:lang w:val="en-US" w:eastAsia="x-none"/>
        </w:rPr>
        <w:t>may result if users purs</w:t>
      </w:r>
      <w:r w:rsidR="00A131B4" w:rsidRPr="00A02F7D">
        <w:rPr>
          <w:lang w:val="en-US" w:eastAsia="x-none"/>
        </w:rPr>
        <w:t>u</w:t>
      </w:r>
      <w:r w:rsidR="00380605" w:rsidRPr="00A02F7D">
        <w:rPr>
          <w:lang w:val="en-US" w:eastAsia="x-none"/>
        </w:rPr>
        <w:t xml:space="preserve">e inappropriate goals and are not sufficiently motivated by automated feedback messages from the DI.  </w:t>
      </w:r>
      <w:r w:rsidR="0084020D" w:rsidRPr="00A02F7D">
        <w:rPr>
          <w:lang w:val="en-US" w:eastAsia="x-none"/>
        </w:rPr>
        <w:t xml:space="preserve">Theories of volition and self-regulation provide guidance on the </w:t>
      </w:r>
      <w:r w:rsidR="00380605" w:rsidRPr="00A02F7D">
        <w:rPr>
          <w:lang w:val="en-US" w:eastAsia="x-none"/>
        </w:rPr>
        <w:t xml:space="preserve">types of goals and progress feedback that will better support </w:t>
      </w:r>
      <w:r w:rsidR="0081311C" w:rsidRPr="00A02F7D">
        <w:rPr>
          <w:lang w:val="en-US" w:eastAsia="x-none"/>
        </w:rPr>
        <w:t>user</w:t>
      </w:r>
      <w:r w:rsidR="00380605" w:rsidRPr="00A02F7D">
        <w:rPr>
          <w:lang w:val="en-US" w:eastAsia="x-none"/>
        </w:rPr>
        <w:t>s to change health-related behavior and the considerations that need to be made when developing and tailoring relevant DI design features</w:t>
      </w:r>
      <w:r w:rsidR="0084020D" w:rsidRPr="00A02F7D">
        <w:rPr>
          <w:lang w:val="en-US" w:eastAsia="x-none"/>
        </w:rPr>
        <w:t>.</w:t>
      </w:r>
    </w:p>
    <w:p w:rsidR="00E46E90" w:rsidRPr="00882101" w:rsidRDefault="0084020D" w:rsidP="00827B47">
      <w:pPr>
        <w:ind w:firstLine="720"/>
        <w:rPr>
          <w:lang w:val="en-US" w:eastAsia="x-none"/>
        </w:rPr>
      </w:pPr>
      <w:r w:rsidRPr="00A02F7D">
        <w:rPr>
          <w:color w:val="000000"/>
        </w:rPr>
        <w:t xml:space="preserve">Goal Setting Theory </w:t>
      </w:r>
      <w:r w:rsidR="00380605" w:rsidRPr="00A02F7D">
        <w:rPr>
          <w:color w:val="000000"/>
        </w:rPr>
        <w:t xml:space="preserve">and Social Cognitive Theory (SCT) </w:t>
      </w:r>
      <w:r w:rsidRPr="00A02F7D">
        <w:rPr>
          <w:color w:val="000000"/>
        </w:rPr>
        <w:t xml:space="preserve">argue that goals </w:t>
      </w:r>
      <w:r w:rsidR="00380605" w:rsidRPr="00A02F7D">
        <w:rPr>
          <w:color w:val="000000"/>
        </w:rPr>
        <w:t xml:space="preserve">will be more effective at motivating behaviour when they </w:t>
      </w:r>
      <w:r w:rsidRPr="00A02F7D">
        <w:rPr>
          <w:color w:val="000000"/>
        </w:rPr>
        <w:t xml:space="preserve">are </w:t>
      </w:r>
      <w:r w:rsidRPr="00A02F7D">
        <w:rPr>
          <w:color w:val="000000"/>
          <w:lang w:val="en-US"/>
        </w:rPr>
        <w:t>specific</w:t>
      </w:r>
      <w:r w:rsidR="00380605" w:rsidRPr="00A02F7D">
        <w:rPr>
          <w:color w:val="000000"/>
          <w:lang w:val="en-US"/>
        </w:rPr>
        <w:t>, learning orientated, achievable in the short-term but sufficiently challenging, and linked to a longer-term, distal goal</w:t>
      </w:r>
      <w:r w:rsidRPr="00A02F7D">
        <w:rPr>
          <w:color w:val="000000"/>
        </w:rPr>
        <w:t>.</w:t>
      </w:r>
      <w:r w:rsidR="00827B47">
        <w:rPr>
          <w:color w:val="000000"/>
          <w:vertAlign w:val="superscript"/>
        </w:rPr>
        <w:t>32</w:t>
      </w:r>
      <w:r w:rsidR="0005282A" w:rsidRPr="00A02F7D">
        <w:rPr>
          <w:color w:val="000000"/>
          <w:vertAlign w:val="superscript"/>
        </w:rPr>
        <w:t>-3</w:t>
      </w:r>
      <w:r w:rsidR="00827B47">
        <w:rPr>
          <w:color w:val="000000"/>
          <w:vertAlign w:val="superscript"/>
        </w:rPr>
        <w:t>9</w:t>
      </w:r>
      <w:r w:rsidR="0005282A" w:rsidRPr="00A02F7D">
        <w:rPr>
          <w:color w:val="000000"/>
          <w:lang w:val="en-US"/>
        </w:rPr>
        <w:t xml:space="preserve">  </w:t>
      </w:r>
      <w:r w:rsidR="00380605" w:rsidRPr="00A02F7D">
        <w:t>Given the number of complex characteristics associated with appropriate and successful goals it is vit</w:t>
      </w:r>
      <w:r w:rsidR="0081311C" w:rsidRPr="00A02F7D">
        <w:t>al that DIs do not assume that user</w:t>
      </w:r>
      <w:r w:rsidR="00380605" w:rsidRPr="00A02F7D">
        <w:t xml:space="preserve">s have adequate prior knowledge about the goal setting process or how to choose appropriate goals for themselves.  Sufficient time and space should be dedicated within DIs for building </w:t>
      </w:r>
      <w:r w:rsidRPr="00A02F7D">
        <w:t xml:space="preserve">a clear rationale </w:t>
      </w:r>
      <w:r w:rsidR="009968D1" w:rsidRPr="00A02F7D">
        <w:t xml:space="preserve">that explains why </w:t>
      </w:r>
      <w:r w:rsidRPr="00A02F7D">
        <w:t>goal setting</w:t>
      </w:r>
      <w:r w:rsidR="009968D1" w:rsidRPr="00A02F7D">
        <w:t xml:space="preserve"> will be useful </w:t>
      </w:r>
      <w:r w:rsidR="000B771D" w:rsidRPr="00A02F7D">
        <w:t>and how it can be done using examples and templates</w:t>
      </w:r>
      <w:r w:rsidR="00F824D3">
        <w:rPr>
          <w:b/>
          <w:i/>
        </w:rPr>
        <w:t xml:space="preserve"> </w:t>
      </w:r>
      <w:r w:rsidR="00F824D3" w:rsidRPr="00882101">
        <w:rPr>
          <w:bCs/>
          <w:iCs/>
        </w:rPr>
        <w:t>(e.g.</w:t>
      </w:r>
      <w:r w:rsidR="00827B47">
        <w:rPr>
          <w:iCs/>
          <w:vertAlign w:val="superscript"/>
        </w:rPr>
        <w:t>40</w:t>
      </w:r>
      <w:r w:rsidR="00F824D3" w:rsidRPr="00882101">
        <w:rPr>
          <w:bCs/>
          <w:iCs/>
        </w:rPr>
        <w:t>).</w:t>
      </w:r>
      <w:r w:rsidR="0005282A" w:rsidRPr="00A02F7D">
        <w:t xml:space="preserve">  </w:t>
      </w:r>
      <w:r w:rsidR="009968D1" w:rsidRPr="00A02F7D">
        <w:rPr>
          <w:color w:val="000000"/>
        </w:rPr>
        <w:t>In line with m</w:t>
      </w:r>
      <w:r w:rsidRPr="00A02F7D">
        <w:rPr>
          <w:color w:val="000000"/>
        </w:rPr>
        <w:t>otivational theories</w:t>
      </w:r>
      <w:r w:rsidR="009968D1" w:rsidRPr="00A02F7D">
        <w:rPr>
          <w:color w:val="000000"/>
        </w:rPr>
        <w:t xml:space="preserve">, guidance for the </w:t>
      </w:r>
      <w:r w:rsidRPr="00A02F7D">
        <w:rPr>
          <w:color w:val="000000"/>
        </w:rPr>
        <w:t xml:space="preserve">goal setting process </w:t>
      </w:r>
      <w:r w:rsidR="009968D1" w:rsidRPr="00A02F7D">
        <w:rPr>
          <w:color w:val="000000"/>
        </w:rPr>
        <w:t xml:space="preserve">needs to be provided in a way that will support </w:t>
      </w:r>
      <w:r w:rsidRPr="00A02F7D">
        <w:rPr>
          <w:color w:val="000000"/>
        </w:rPr>
        <w:t xml:space="preserve">autonomous </w:t>
      </w:r>
      <w:proofErr w:type="gramStart"/>
      <w:r w:rsidRPr="00A02F7D">
        <w:rPr>
          <w:color w:val="000000"/>
        </w:rPr>
        <w:t>motivation</w:t>
      </w:r>
      <w:r w:rsidR="009968D1" w:rsidRPr="00A02F7D">
        <w:rPr>
          <w:color w:val="000000"/>
        </w:rPr>
        <w:t xml:space="preserve">  </w:t>
      </w:r>
      <w:r w:rsidRPr="00A02F7D">
        <w:rPr>
          <w:color w:val="000000"/>
        </w:rPr>
        <w:t>For</w:t>
      </w:r>
      <w:proofErr w:type="gramEnd"/>
      <w:r w:rsidRPr="00A02F7D">
        <w:rPr>
          <w:color w:val="000000"/>
        </w:rPr>
        <w:t xml:space="preserve"> example </w:t>
      </w:r>
      <w:r w:rsidR="0081311C" w:rsidRPr="00A02F7D">
        <w:rPr>
          <w:color w:val="000000"/>
        </w:rPr>
        <w:t>user</w:t>
      </w:r>
      <w:r w:rsidRPr="00A02F7D">
        <w:rPr>
          <w:color w:val="000000"/>
        </w:rPr>
        <w:t xml:space="preserve">s </w:t>
      </w:r>
      <w:r w:rsidR="009968D1" w:rsidRPr="00A02F7D">
        <w:rPr>
          <w:color w:val="000000"/>
        </w:rPr>
        <w:t xml:space="preserve">can be invited </w:t>
      </w:r>
      <w:r w:rsidRPr="00A02F7D">
        <w:rPr>
          <w:color w:val="000000"/>
        </w:rPr>
        <w:t>to choose</w:t>
      </w:r>
      <w:r w:rsidR="009968D1" w:rsidRPr="00A02F7D">
        <w:rPr>
          <w:color w:val="000000"/>
        </w:rPr>
        <w:t xml:space="preserve"> from</w:t>
      </w:r>
      <w:r w:rsidRPr="00A02F7D">
        <w:rPr>
          <w:color w:val="000000"/>
        </w:rPr>
        <w:t xml:space="preserve"> a set of assigned goals.  </w:t>
      </w:r>
      <w:r w:rsidR="009968D1" w:rsidRPr="00A02F7D">
        <w:rPr>
          <w:color w:val="000000"/>
        </w:rPr>
        <w:t>Following theories of attitude change and persuasion, i</w:t>
      </w:r>
      <w:r w:rsidRPr="00A02F7D">
        <w:rPr>
          <w:color w:val="000000"/>
        </w:rPr>
        <w:t>t</w:t>
      </w:r>
      <w:r w:rsidR="009968D1" w:rsidRPr="00A02F7D">
        <w:rPr>
          <w:color w:val="000000"/>
        </w:rPr>
        <w:t xml:space="preserve"> should</w:t>
      </w:r>
      <w:r w:rsidRPr="00A02F7D">
        <w:rPr>
          <w:color w:val="000000"/>
        </w:rPr>
        <w:t xml:space="preserve"> also be ma</w:t>
      </w:r>
      <w:r w:rsidR="009968D1" w:rsidRPr="00A02F7D">
        <w:rPr>
          <w:color w:val="000000"/>
        </w:rPr>
        <w:t>de</w:t>
      </w:r>
      <w:r w:rsidRPr="00A02F7D">
        <w:rPr>
          <w:color w:val="000000"/>
        </w:rPr>
        <w:t xml:space="preserve"> clear to </w:t>
      </w:r>
      <w:r w:rsidR="0081311C" w:rsidRPr="00A02F7D">
        <w:rPr>
          <w:color w:val="000000"/>
        </w:rPr>
        <w:t>user</w:t>
      </w:r>
      <w:r w:rsidRPr="00A02F7D">
        <w:rPr>
          <w:color w:val="000000"/>
        </w:rPr>
        <w:t xml:space="preserve">s </w:t>
      </w:r>
      <w:r w:rsidR="009968D1" w:rsidRPr="00A02F7D">
        <w:rPr>
          <w:color w:val="000000"/>
        </w:rPr>
        <w:t xml:space="preserve">when </w:t>
      </w:r>
      <w:r w:rsidRPr="00A02F7D">
        <w:rPr>
          <w:color w:val="000000"/>
        </w:rPr>
        <w:t xml:space="preserve">the </w:t>
      </w:r>
      <w:r w:rsidR="009968D1" w:rsidRPr="00A02F7D">
        <w:rPr>
          <w:color w:val="000000"/>
        </w:rPr>
        <w:t>recommended</w:t>
      </w:r>
      <w:r w:rsidRPr="00A02F7D">
        <w:rPr>
          <w:color w:val="000000"/>
        </w:rPr>
        <w:t xml:space="preserve"> goal</w:t>
      </w:r>
      <w:r w:rsidR="009968D1" w:rsidRPr="00A02F7D">
        <w:rPr>
          <w:color w:val="000000"/>
        </w:rPr>
        <w:t xml:space="preserve"> options</w:t>
      </w:r>
      <w:r w:rsidRPr="00A02F7D">
        <w:rPr>
          <w:color w:val="000000"/>
        </w:rPr>
        <w:t xml:space="preserve"> ha</w:t>
      </w:r>
      <w:r w:rsidR="009968D1" w:rsidRPr="00A02F7D">
        <w:rPr>
          <w:color w:val="000000"/>
        </w:rPr>
        <w:t>ve</w:t>
      </w:r>
      <w:r w:rsidRPr="00A02F7D">
        <w:rPr>
          <w:color w:val="000000"/>
        </w:rPr>
        <w:t xml:space="preserve"> been informed </w:t>
      </w:r>
      <w:r w:rsidR="009968D1" w:rsidRPr="00A02F7D">
        <w:rPr>
          <w:color w:val="000000"/>
        </w:rPr>
        <w:t xml:space="preserve">from </w:t>
      </w:r>
      <w:r w:rsidRPr="00A02F7D">
        <w:rPr>
          <w:color w:val="000000"/>
        </w:rPr>
        <w:t>their collaborative input (</w:t>
      </w:r>
      <w:r w:rsidR="009968D1" w:rsidRPr="00A02F7D">
        <w:rPr>
          <w:color w:val="000000"/>
        </w:rPr>
        <w:t>i.e</w:t>
      </w:r>
      <w:r w:rsidRPr="00A02F7D">
        <w:rPr>
          <w:color w:val="000000"/>
        </w:rPr>
        <w:t xml:space="preserve">. </w:t>
      </w:r>
      <w:r w:rsidR="009968D1" w:rsidRPr="00A02F7D">
        <w:rPr>
          <w:color w:val="000000"/>
        </w:rPr>
        <w:t>tailored based on data provided by the user</w:t>
      </w:r>
      <w:r w:rsidRPr="00A02F7D">
        <w:rPr>
          <w:color w:val="000000"/>
        </w:rPr>
        <w:t>) rather than arbitrary assignment.</w:t>
      </w:r>
    </w:p>
    <w:p w:rsidR="009E179C" w:rsidRDefault="009968D1" w:rsidP="00827B47">
      <w:r w:rsidRPr="00A02F7D">
        <w:rPr>
          <w:color w:val="000000"/>
        </w:rPr>
        <w:lastRenderedPageBreak/>
        <w:tab/>
        <w:t>F</w:t>
      </w:r>
      <w:r w:rsidR="0084020D" w:rsidRPr="00A02F7D">
        <w:rPr>
          <w:color w:val="000000"/>
        </w:rPr>
        <w:t>eedback on goal progress is argued to facilitate the ongoing self-regulation of goal-directed behaviour.</w:t>
      </w:r>
      <w:r w:rsidR="00827B47">
        <w:rPr>
          <w:color w:val="000000"/>
          <w:vertAlign w:val="superscript"/>
        </w:rPr>
        <w:t>41</w:t>
      </w:r>
      <w:proofErr w:type="gramStart"/>
      <w:r w:rsidR="00827B47">
        <w:rPr>
          <w:color w:val="000000"/>
          <w:vertAlign w:val="superscript"/>
        </w:rPr>
        <w:t>,42</w:t>
      </w:r>
      <w:proofErr w:type="gramEnd"/>
      <w:r w:rsidR="0084020D" w:rsidRPr="00A02F7D">
        <w:rPr>
          <w:color w:val="000000"/>
        </w:rPr>
        <w:t xml:space="preserve">  </w:t>
      </w:r>
      <w:r w:rsidRPr="00A02F7D">
        <w:rPr>
          <w:color w:val="000000"/>
        </w:rPr>
        <w:t>Users’</w:t>
      </w:r>
      <w:r w:rsidR="0084020D" w:rsidRPr="00A02F7D">
        <w:rPr>
          <w:color w:val="000000"/>
        </w:rPr>
        <w:t xml:space="preserve"> satisfaction </w:t>
      </w:r>
      <w:r w:rsidRPr="00A02F7D">
        <w:rPr>
          <w:color w:val="000000"/>
        </w:rPr>
        <w:t xml:space="preserve">with their goal progress and feedback can influence their motivation to continue goal pursuit.  Evidence from Goal Setting Theory and SCT </w:t>
      </w:r>
      <w:r w:rsidR="006F58A6" w:rsidRPr="00A02F7D">
        <w:rPr>
          <w:color w:val="000000"/>
        </w:rPr>
        <w:t>for</w:t>
      </w:r>
      <w:r w:rsidRPr="00A02F7D">
        <w:rPr>
          <w:color w:val="000000"/>
        </w:rPr>
        <w:t xml:space="preserve"> the role of satisfaction </w:t>
      </w:r>
      <w:r w:rsidR="006F58A6" w:rsidRPr="00A02F7D">
        <w:rPr>
          <w:color w:val="000000"/>
        </w:rPr>
        <w:t>in</w:t>
      </w:r>
      <w:r w:rsidRPr="00A02F7D">
        <w:rPr>
          <w:color w:val="000000"/>
        </w:rPr>
        <w:t xml:space="preserve"> goal motivation points to </w:t>
      </w:r>
      <w:r w:rsidR="0084020D" w:rsidRPr="00A02F7D">
        <w:rPr>
          <w:color w:val="000000"/>
        </w:rPr>
        <w:t xml:space="preserve">an inverted-U relationship </w:t>
      </w:r>
      <w:r w:rsidRPr="00A02F7D">
        <w:rPr>
          <w:color w:val="000000"/>
        </w:rPr>
        <w:t>whereby abandonment or disengagement from goal pursuit may result if goal progress is well below the expected standard or if the positive progress made decreases the salience of a health goal.</w:t>
      </w:r>
      <w:r w:rsidR="00827B47">
        <w:rPr>
          <w:color w:val="000000"/>
          <w:vertAlign w:val="superscript"/>
        </w:rPr>
        <w:t>36</w:t>
      </w:r>
      <w:r w:rsidR="0005282A" w:rsidRPr="00A02F7D">
        <w:rPr>
          <w:color w:val="000000"/>
          <w:vertAlign w:val="superscript"/>
        </w:rPr>
        <w:t>,4</w:t>
      </w:r>
      <w:r w:rsidR="00827B47">
        <w:rPr>
          <w:color w:val="000000"/>
          <w:vertAlign w:val="superscript"/>
        </w:rPr>
        <w:t>1</w:t>
      </w:r>
      <w:r w:rsidR="0005282A" w:rsidRPr="00A02F7D">
        <w:rPr>
          <w:color w:val="000000"/>
          <w:vertAlign w:val="superscript"/>
        </w:rPr>
        <w:t>,4</w:t>
      </w:r>
      <w:r w:rsidR="00827B47">
        <w:rPr>
          <w:color w:val="000000"/>
          <w:vertAlign w:val="superscript"/>
        </w:rPr>
        <w:t>3</w:t>
      </w:r>
      <w:r w:rsidRPr="00A02F7D">
        <w:rPr>
          <w:color w:val="000000"/>
        </w:rPr>
        <w:t xml:space="preserve">  </w:t>
      </w:r>
      <w:r w:rsidR="0084020D" w:rsidRPr="00A02F7D">
        <w:t>The Health Action Process Approach posits that individuals’ self-efficacy beliefs facilitate the regulation of behaviour</w:t>
      </w:r>
      <w:r w:rsidRPr="00A02F7D">
        <w:t xml:space="preserve"> and thus</w:t>
      </w:r>
      <w:r w:rsidR="0084020D" w:rsidRPr="00A02F7D">
        <w:t xml:space="preserve"> feedback on goal performance should contain resource communication rather than risk communication, that is, increase individuals’ perceptions of their capability to change behaviour rather than highlight the implications of not changing behaviour.</w:t>
      </w:r>
      <w:r w:rsidR="0005282A" w:rsidRPr="00A02F7D">
        <w:rPr>
          <w:vertAlign w:val="superscript"/>
        </w:rPr>
        <w:t>4</w:t>
      </w:r>
      <w:r w:rsidR="00827B47">
        <w:rPr>
          <w:vertAlign w:val="superscript"/>
        </w:rPr>
        <w:t>4</w:t>
      </w:r>
      <w:r w:rsidR="0084020D" w:rsidRPr="00A02F7D">
        <w:rPr>
          <w:vertAlign w:val="superscript"/>
        </w:rPr>
        <w:t xml:space="preserve"> </w:t>
      </w:r>
      <w:r w:rsidR="0084020D" w:rsidRPr="00A02F7D">
        <w:t xml:space="preserve"> The Common Sense Model of Illness emphasises the role of coherence</w:t>
      </w:r>
      <w:r w:rsidR="00493261" w:rsidRPr="00A02F7D">
        <w:t xml:space="preserve"> and thus</w:t>
      </w:r>
      <w:r w:rsidR="0084020D" w:rsidRPr="00A02F7D">
        <w:t xml:space="preserve"> feedback on goal performance or self-monitoring </w:t>
      </w:r>
      <w:r w:rsidR="00126A39">
        <w:t>may</w:t>
      </w:r>
      <w:r w:rsidR="00126A39" w:rsidRPr="00A02F7D">
        <w:t xml:space="preserve"> </w:t>
      </w:r>
      <w:r w:rsidR="0084020D" w:rsidRPr="00A02F7D">
        <w:t>regulate ongoing positive behavioural changes more effectively if it can provide a clear and persuasive demonstration of how planned or actual behaviour directly affects anticipated or actual health outcomes.</w:t>
      </w:r>
      <w:r w:rsidR="00827B47">
        <w:rPr>
          <w:vertAlign w:val="superscript"/>
        </w:rPr>
        <w:t>45,46</w:t>
      </w:r>
      <w:r w:rsidR="0084020D" w:rsidRPr="00A02F7D">
        <w:t xml:space="preserve">  </w:t>
      </w:r>
      <w:r w:rsidR="0005282A" w:rsidRPr="00A02F7D">
        <w:t xml:space="preserve">  </w:t>
      </w:r>
      <w:r w:rsidR="0084020D" w:rsidRPr="00A02F7D">
        <w:t xml:space="preserve">According to </w:t>
      </w:r>
      <w:r w:rsidR="00EA2A5D" w:rsidRPr="00A02F7D">
        <w:t>Temporal Self-Regulation Theory</w:t>
      </w:r>
      <w:r w:rsidR="0084020D" w:rsidRPr="00A02F7D">
        <w:t xml:space="preserve"> behaviour is </w:t>
      </w:r>
      <w:r w:rsidR="00493261" w:rsidRPr="00A02F7D">
        <w:t>motivated by</w:t>
      </w:r>
      <w:r w:rsidR="0084020D" w:rsidRPr="00A02F7D">
        <w:t xml:space="preserve"> a decisional balance exercise that weighs up the </w:t>
      </w:r>
      <w:r w:rsidR="00493261" w:rsidRPr="00A02F7D">
        <w:t>immediate</w:t>
      </w:r>
      <w:r w:rsidR="0084020D" w:rsidRPr="00A02F7D">
        <w:t xml:space="preserve"> costs of </w:t>
      </w:r>
      <w:r w:rsidR="00493261" w:rsidRPr="00A02F7D">
        <w:t xml:space="preserve">performing </w:t>
      </w:r>
      <w:r w:rsidR="0084020D" w:rsidRPr="00A02F7D">
        <w:t xml:space="preserve">a behaviour against </w:t>
      </w:r>
      <w:r w:rsidR="00493261" w:rsidRPr="00A02F7D">
        <w:t xml:space="preserve">the </w:t>
      </w:r>
      <w:r w:rsidR="0084020D" w:rsidRPr="00A02F7D">
        <w:t>long</w:t>
      </w:r>
      <w:r w:rsidR="00493261" w:rsidRPr="00A02F7D">
        <w:t>er</w:t>
      </w:r>
      <w:r w:rsidR="0084020D" w:rsidRPr="00A02F7D">
        <w:t xml:space="preserve">-term benefits – if immediate costs are high and benefits low, motivation to </w:t>
      </w:r>
      <w:r w:rsidR="00493261" w:rsidRPr="00A02F7D">
        <w:t xml:space="preserve">pursue a health-related goal </w:t>
      </w:r>
      <w:r w:rsidR="0084020D" w:rsidRPr="00A02F7D">
        <w:t xml:space="preserve">will be lower regardless of </w:t>
      </w:r>
      <w:r w:rsidR="00493261" w:rsidRPr="00A02F7D">
        <w:t xml:space="preserve">any </w:t>
      </w:r>
      <w:r w:rsidR="0084020D" w:rsidRPr="00A02F7D">
        <w:t>previously held intentions.</w:t>
      </w:r>
      <w:r w:rsidR="002A5B14" w:rsidRPr="00A02F7D">
        <w:rPr>
          <w:vertAlign w:val="superscript"/>
        </w:rPr>
        <w:t>4</w:t>
      </w:r>
      <w:r w:rsidR="00827B47">
        <w:rPr>
          <w:vertAlign w:val="superscript"/>
        </w:rPr>
        <w:t>7</w:t>
      </w:r>
      <w:r w:rsidR="0084020D" w:rsidRPr="00A02F7D">
        <w:t xml:space="preserve">  Thus, feedback focused on the immediate benefits of </w:t>
      </w:r>
      <w:r w:rsidR="0084020D" w:rsidRPr="00A02F7D">
        <w:lastRenderedPageBreak/>
        <w:t xml:space="preserve">behaviour may be optimal during the early stages of behaviour change.  However, as behaviour change progresses and </w:t>
      </w:r>
      <w:r w:rsidR="0081311C" w:rsidRPr="00A02F7D">
        <w:t>user</w:t>
      </w:r>
      <w:r w:rsidR="0084020D" w:rsidRPr="00A02F7D">
        <w:t xml:space="preserve">s experience </w:t>
      </w:r>
      <w:r w:rsidR="00493261" w:rsidRPr="00A02F7D">
        <w:t xml:space="preserve">mastery via </w:t>
      </w:r>
      <w:r w:rsidR="0084020D" w:rsidRPr="00A02F7D">
        <w:t xml:space="preserve">positive cumulative feedback loops, feedback focused on the </w:t>
      </w:r>
      <w:r w:rsidR="00493261" w:rsidRPr="00A02F7D">
        <w:t xml:space="preserve">longer-term </w:t>
      </w:r>
      <w:r w:rsidR="0084020D" w:rsidRPr="00A02F7D">
        <w:t xml:space="preserve">benefits of </w:t>
      </w:r>
      <w:r w:rsidR="00493261" w:rsidRPr="00A02F7D">
        <w:t xml:space="preserve">health behaviour </w:t>
      </w:r>
      <w:r w:rsidR="0084020D" w:rsidRPr="00A02F7D">
        <w:t>may be more appropriate.</w:t>
      </w:r>
      <w:r w:rsidR="00493261" w:rsidRPr="00A02F7D">
        <w:t xml:space="preserve">  </w:t>
      </w:r>
    </w:p>
    <w:p w:rsidR="00E46E90" w:rsidRPr="00A02F7D" w:rsidRDefault="00493261" w:rsidP="008D6C7D">
      <w:pPr>
        <w:ind w:firstLine="720"/>
      </w:pPr>
      <w:r w:rsidRPr="00A02F7D">
        <w:t>In sum, automated algorithms for tailoring goal-related progress feedback need to encourage a sufficient level of satisfaction, be sensitive to and address challenges to self-efficacy, strengthen the perceived connection between current goal pursuit and future beneficial outcomes, an</w:t>
      </w:r>
      <w:r w:rsidR="006F58A6" w:rsidRPr="00A02F7D">
        <w:t>d adapt to the changing needs or</w:t>
      </w:r>
      <w:r w:rsidRPr="00A02F7D">
        <w:t xml:space="preserve"> mastery experiences of the user</w:t>
      </w:r>
      <w:r w:rsidR="009E179C" w:rsidRPr="00A02F7D">
        <w:t>.</w:t>
      </w:r>
      <w:r w:rsidR="009E179C">
        <w:t xml:space="preserve">  Appropriate and theory-based implementation of progress feedback may also have implications for DI usage.  Motivation to continue using a DI may wane if users are dissatisfied or discouraged by their goal-related progress and/or if the immediate costs to using DIs are high (e.g. time, effort) compared to longer term health gains.  This highlights the importance of providing feedback that not only reinforces goal-directed behaviour, but also provides a positive, affective experience that reinforces DI usage in the short-term.  In the longer-term, DI usage may naturally and appropriately wane as users experience mastery and acquire the tools needed to sustain behavioural change.     </w:t>
      </w:r>
      <w:r w:rsidR="009E179C" w:rsidRPr="00A02F7D">
        <w:t xml:space="preserve"> </w:t>
      </w:r>
    </w:p>
    <w:p w:rsidR="0084020D" w:rsidRPr="00A02F7D" w:rsidRDefault="006F58A6" w:rsidP="00C320A0">
      <w:pPr>
        <w:pStyle w:val="Heading2"/>
        <w:rPr>
          <w:rFonts w:cs="Times New Roman"/>
          <w:b w:val="0"/>
          <w:szCs w:val="24"/>
        </w:rPr>
      </w:pPr>
      <w:r w:rsidRPr="00A02F7D">
        <w:rPr>
          <w:rFonts w:cs="Times New Roman"/>
          <w:b w:val="0"/>
          <w:szCs w:val="24"/>
        </w:rPr>
        <w:t xml:space="preserve">Remaining </w:t>
      </w:r>
      <w:r w:rsidR="0084020D" w:rsidRPr="00A02F7D">
        <w:rPr>
          <w:rFonts w:cs="Times New Roman"/>
          <w:b w:val="0"/>
          <w:szCs w:val="24"/>
        </w:rPr>
        <w:t>questions</w:t>
      </w:r>
    </w:p>
    <w:p w:rsidR="0084020D" w:rsidRPr="00546F2C" w:rsidRDefault="00493261" w:rsidP="00827B47">
      <w:r w:rsidRPr="00A02F7D">
        <w:t xml:space="preserve">Although it is evident that providing choice and flexibility in the delivery of DIs can enhance autonomous motivation, </w:t>
      </w:r>
      <w:r w:rsidR="0084020D" w:rsidRPr="00A02F7D">
        <w:t xml:space="preserve">it is not yet clear to what extent </w:t>
      </w:r>
      <w:r w:rsidR="0081311C" w:rsidRPr="00A02F7D">
        <w:t>user</w:t>
      </w:r>
      <w:r w:rsidR="0084020D" w:rsidRPr="00A02F7D">
        <w:t xml:space="preserve">s should/want to </w:t>
      </w:r>
      <w:r w:rsidR="0084020D" w:rsidRPr="00A02F7D">
        <w:lastRenderedPageBreak/>
        <w:t xml:space="preserve">be involved in the goal setting process </w:t>
      </w:r>
      <w:r w:rsidRPr="00A02F7D">
        <w:t>specifically</w:t>
      </w:r>
      <w:r w:rsidR="0084020D" w:rsidRPr="00A02F7D">
        <w:t xml:space="preserve">.  </w:t>
      </w:r>
      <w:r w:rsidRPr="00A02F7D">
        <w:t xml:space="preserve">While there is evidence to suggest that goal-directed behaviour can be higher for self- or jointly set </w:t>
      </w:r>
      <w:r w:rsidR="006F58A6" w:rsidRPr="00A02F7D">
        <w:t xml:space="preserve">health </w:t>
      </w:r>
      <w:r w:rsidRPr="00A02F7D">
        <w:t>goals</w:t>
      </w:r>
      <w:r w:rsidR="00827B47">
        <w:rPr>
          <w:vertAlign w:val="superscript"/>
        </w:rPr>
        <w:t>48</w:t>
      </w:r>
      <w:r w:rsidRPr="00A02F7D">
        <w:t xml:space="preserve"> there is also evidence to suggest that self-set and collaboratively set goals are not always more effective for pro</w:t>
      </w:r>
      <w:r w:rsidR="002A5B14" w:rsidRPr="00A02F7D">
        <w:t xml:space="preserve">moting some health behaviours, </w:t>
      </w:r>
      <w:r w:rsidRPr="00A02F7D">
        <w:t xml:space="preserve">such as diet and physical </w:t>
      </w:r>
      <w:proofErr w:type="gramStart"/>
      <w:r w:rsidRPr="00A02F7D">
        <w:t>activity.</w:t>
      </w:r>
      <w:r w:rsidR="00827B47">
        <w:rPr>
          <w:vertAlign w:val="superscript"/>
        </w:rPr>
        <w:t>38</w:t>
      </w:r>
      <w:r w:rsidRPr="00A02F7D">
        <w:t xml:space="preserve">  In</w:t>
      </w:r>
      <w:proofErr w:type="gramEnd"/>
      <w:r w:rsidRPr="00A02F7D">
        <w:t xml:space="preserve"> a health context expert input or more directive guidance within the DI may be appreciated and thus assigned goals may not necessarily undermine autonomous motivation.  More empirical research is needed to establish the specific contexts and health behaviours for which directive versus non-directive goal-setting guidance is associated with the greatest motivational and health-related benefit.  </w:t>
      </w:r>
      <w:r w:rsidR="0084020D" w:rsidRPr="00A02F7D">
        <w:t xml:space="preserve">In reality, </w:t>
      </w:r>
      <w:r w:rsidR="0081311C" w:rsidRPr="00A02F7D">
        <w:t>user</w:t>
      </w:r>
      <w:r w:rsidR="0084020D" w:rsidRPr="00A02F7D">
        <w:t>s will have many salient goals competing for limited cognitive attention</w:t>
      </w:r>
      <w:r w:rsidR="006F58A6" w:rsidRPr="00A02F7D">
        <w:t>,</w:t>
      </w:r>
      <w:r w:rsidR="0084020D" w:rsidRPr="00A02F7D">
        <w:t xml:space="preserve"> with health goals </w:t>
      </w:r>
      <w:r w:rsidR="006F58A6" w:rsidRPr="00A02F7D">
        <w:t xml:space="preserve">potentially </w:t>
      </w:r>
      <w:r w:rsidR="0084020D" w:rsidRPr="00A02F7D">
        <w:t xml:space="preserve">decreasing in salience outside of the intervention context.  It </w:t>
      </w:r>
      <w:r w:rsidRPr="00A02F7D">
        <w:t>is necessary to identify and test strategies for</w:t>
      </w:r>
      <w:r w:rsidR="0084020D" w:rsidRPr="00A02F7D">
        <w:t xml:space="preserve"> design</w:t>
      </w:r>
      <w:r w:rsidRPr="00A02F7D">
        <w:t>ing</w:t>
      </w:r>
      <w:r w:rsidR="0084020D" w:rsidRPr="00A02F7D">
        <w:t xml:space="preserve"> </w:t>
      </w:r>
      <w:r w:rsidRPr="00A02F7D">
        <w:t xml:space="preserve">automated </w:t>
      </w:r>
      <w:r w:rsidR="0084020D" w:rsidRPr="00A02F7D">
        <w:t>goal setting features so that they accommodate and facilitate multiple goal pursuit.</w:t>
      </w:r>
      <w:r w:rsidR="00827B47">
        <w:rPr>
          <w:vertAlign w:val="superscript"/>
        </w:rPr>
        <w:t>49</w:t>
      </w:r>
      <w:r w:rsidR="0084020D" w:rsidRPr="00A02F7D">
        <w:t xml:space="preserve">  For example, goal setting </w:t>
      </w:r>
      <w:r w:rsidRPr="00A02F7D">
        <w:t xml:space="preserve">features </w:t>
      </w:r>
      <w:r w:rsidR="0084020D" w:rsidRPr="00A02F7D">
        <w:t xml:space="preserve">could </w:t>
      </w:r>
      <w:r w:rsidRPr="00A02F7D">
        <w:t xml:space="preserve">attempt to </w:t>
      </w:r>
      <w:r w:rsidR="0084020D" w:rsidRPr="00A02F7D">
        <w:t xml:space="preserve">reduce </w:t>
      </w:r>
      <w:r w:rsidRPr="00A02F7D">
        <w:t xml:space="preserve">goal </w:t>
      </w:r>
      <w:r w:rsidR="0084020D" w:rsidRPr="00A02F7D">
        <w:t xml:space="preserve">conflict </w:t>
      </w:r>
      <w:r w:rsidRPr="00A02F7D">
        <w:t xml:space="preserve">and increase goal salience </w:t>
      </w:r>
      <w:r w:rsidR="0084020D" w:rsidRPr="00A02F7D">
        <w:t xml:space="preserve">by </w:t>
      </w:r>
      <w:r w:rsidRPr="00A02F7D">
        <w:t xml:space="preserve">supporting </w:t>
      </w:r>
      <w:r w:rsidR="0081311C" w:rsidRPr="00A02F7D">
        <w:t>users</w:t>
      </w:r>
      <w:r w:rsidRPr="00A02F7D">
        <w:t xml:space="preserve"> to </w:t>
      </w:r>
      <w:r w:rsidR="0084020D" w:rsidRPr="00A02F7D">
        <w:t xml:space="preserve">identify </w:t>
      </w:r>
      <w:r w:rsidRPr="00A02F7D">
        <w:t xml:space="preserve">health </w:t>
      </w:r>
      <w:r w:rsidR="0084020D" w:rsidRPr="00A02F7D">
        <w:t xml:space="preserve">goals that fit with </w:t>
      </w:r>
      <w:r w:rsidR="006456F2" w:rsidRPr="00A02F7D">
        <w:t xml:space="preserve">highly </w:t>
      </w:r>
      <w:r w:rsidR="0084020D" w:rsidRPr="00A02F7D">
        <w:t>valued personal goals or self-conceptions.</w:t>
      </w:r>
      <w:r w:rsidR="00827B47">
        <w:rPr>
          <w:vertAlign w:val="superscript"/>
        </w:rPr>
        <w:t>50</w:t>
      </w:r>
      <w:r w:rsidR="00F01593" w:rsidRPr="00A02F7D">
        <w:t xml:space="preserve"> </w:t>
      </w:r>
      <w:r w:rsidR="00F01593" w:rsidRPr="008D6C7D">
        <w:t xml:space="preserve">Implementation intentions (or if-then planning) have also shown promise in supporting individuals to initiate goal-directed </w:t>
      </w:r>
      <w:r w:rsidR="000F63D6">
        <w:t xml:space="preserve">health </w:t>
      </w:r>
      <w:r w:rsidR="00F01593" w:rsidRPr="008D6C7D">
        <w:t>behaviour at critical moments.</w:t>
      </w:r>
      <w:r w:rsidR="00827B47">
        <w:rPr>
          <w:vertAlign w:val="superscript"/>
        </w:rPr>
        <w:t>51</w:t>
      </w:r>
      <w:r w:rsidR="000B771D" w:rsidRPr="008D6C7D">
        <w:t xml:space="preserve">  However, as previously discussed, users can have difficulty following the principles of if-then planning in the context of </w:t>
      </w:r>
      <w:r w:rsidR="006F58A6" w:rsidRPr="008D6C7D">
        <w:t>self-</w:t>
      </w:r>
      <w:r w:rsidR="000B771D" w:rsidRPr="008D6C7D">
        <w:t>guided DIs.</w:t>
      </w:r>
      <w:r w:rsidR="00827B47">
        <w:rPr>
          <w:vertAlign w:val="superscript"/>
        </w:rPr>
        <w:t>40</w:t>
      </w:r>
      <w:r w:rsidR="00F01593" w:rsidRPr="00546F2C">
        <w:t xml:space="preserve"> </w:t>
      </w:r>
      <w:r w:rsidR="0084020D" w:rsidRPr="00546F2C">
        <w:t xml:space="preserve">  </w:t>
      </w:r>
    </w:p>
    <w:p w:rsidR="0084020D" w:rsidRPr="00A02F7D" w:rsidRDefault="0084020D" w:rsidP="00142D4D">
      <w:pPr>
        <w:pStyle w:val="Heading1"/>
        <w:rPr>
          <w:rFonts w:cs="Times New Roman"/>
          <w:sz w:val="28"/>
          <w:szCs w:val="24"/>
        </w:rPr>
      </w:pPr>
      <w:r w:rsidRPr="00A02F7D">
        <w:rPr>
          <w:rFonts w:cs="Times New Roman"/>
          <w:sz w:val="28"/>
          <w:szCs w:val="24"/>
        </w:rPr>
        <w:lastRenderedPageBreak/>
        <w:t>Patient preferences for participation in medical decision making</w:t>
      </w:r>
    </w:p>
    <w:p w:rsidR="0084020D" w:rsidRPr="00A02F7D" w:rsidRDefault="009A3325" w:rsidP="009F6E60">
      <w:r w:rsidRPr="00A02F7D">
        <w:t xml:space="preserve">Unguided DIs </w:t>
      </w:r>
      <w:proofErr w:type="gramStart"/>
      <w:r w:rsidRPr="00A02F7D">
        <w:t>require</w:t>
      </w:r>
      <w:proofErr w:type="gramEnd"/>
      <w:r w:rsidRPr="00A02F7D">
        <w:t xml:space="preserve"> users to autonomously interpret, follow and implement the intervention advice provided.  Not all users will be confident to make health-related behavioural changes with only minimal, automated guidance, which may subsequently undermine the possible health-related impact of DIs</w:t>
      </w:r>
      <w:r w:rsidR="009F6E60">
        <w:t xml:space="preserve"> and/or their uptake and continued usage</w:t>
      </w:r>
      <w:r w:rsidRPr="00A02F7D">
        <w:t xml:space="preserve">.  </w:t>
      </w:r>
      <w:r w:rsidR="0084020D" w:rsidRPr="00A02F7D">
        <w:t xml:space="preserve">Models of patient preferences for participation in medical decision making </w:t>
      </w:r>
      <w:r w:rsidRPr="00A02F7D">
        <w:t xml:space="preserve">can provide guidance on design features that can be used to support varied preferences for user involvement in DI delivery </w:t>
      </w:r>
      <w:r w:rsidR="00F01593" w:rsidRPr="00A02F7D">
        <w:t>within a health-based context.</w:t>
      </w:r>
    </w:p>
    <w:p w:rsidR="009F6E60" w:rsidRDefault="0084020D" w:rsidP="00827B47">
      <w:pPr>
        <w:ind w:firstLine="567"/>
      </w:pPr>
      <w:r w:rsidRPr="00A02F7D">
        <w:t>Examinations of patient preferences for participation in medical decision making do not appear to reveal a clear superior model.</w:t>
      </w:r>
      <w:r w:rsidR="00F01593" w:rsidRPr="00A02F7D">
        <w:rPr>
          <w:vertAlign w:val="superscript"/>
        </w:rPr>
        <w:t>5</w:t>
      </w:r>
      <w:r w:rsidR="00827B47">
        <w:rPr>
          <w:vertAlign w:val="superscript"/>
        </w:rPr>
        <w:t>2-54</w:t>
      </w:r>
      <w:r w:rsidRPr="00A02F7D">
        <w:t xml:space="preserve">  </w:t>
      </w:r>
      <w:r w:rsidR="00F877E1" w:rsidRPr="00A02F7D">
        <w:t>Whil</w:t>
      </w:r>
      <w:r w:rsidR="009A3325" w:rsidRPr="00A02F7D">
        <w:t>e</w:t>
      </w:r>
      <w:r w:rsidR="00F877E1" w:rsidRPr="00A02F7D">
        <w:t xml:space="preserve"> t</w:t>
      </w:r>
      <w:r w:rsidRPr="00A02F7D">
        <w:t xml:space="preserve">he majority of patients </w:t>
      </w:r>
      <w:r w:rsidR="00F877E1" w:rsidRPr="00A02F7D">
        <w:t>appear to</w:t>
      </w:r>
      <w:r w:rsidRPr="00A02F7D">
        <w:t xml:space="preserve"> prefer a shared decision making model</w:t>
      </w:r>
      <w:r w:rsidR="00F877E1" w:rsidRPr="00A02F7D">
        <w:t xml:space="preserve">, a significant minority do </w:t>
      </w:r>
      <w:r w:rsidRPr="00A02F7D">
        <w:t xml:space="preserve">prefer to take on a more </w:t>
      </w:r>
      <w:r w:rsidR="00F877E1" w:rsidRPr="00A02F7D">
        <w:t xml:space="preserve">or less </w:t>
      </w:r>
      <w:r w:rsidRPr="00A02F7D">
        <w:t>active role in medical encounters.  A range of factors appear to moderate patient preferences including, demographic variables, previous experience of health/medical encounters, and familiarity with one’s health condition.</w:t>
      </w:r>
      <w:r w:rsidR="00827B47">
        <w:rPr>
          <w:vertAlign w:val="superscript"/>
        </w:rPr>
        <w:t>52-55</w:t>
      </w:r>
      <w:r w:rsidR="009A3325" w:rsidRPr="00A02F7D">
        <w:t xml:space="preserve">  Preferences for participation are not necessarily mutually exclusive and can vary at different stages of the decision making or intervention process, such as: knowledge gathering; information provision and disclosure of treatment choices; discussion of treatment choices; decision making and selection of treatment choices.</w:t>
      </w:r>
      <w:r w:rsidR="00827B47">
        <w:rPr>
          <w:vertAlign w:val="superscript"/>
        </w:rPr>
        <w:t>53,56</w:t>
      </w:r>
      <w:r w:rsidR="009A3325" w:rsidRPr="00A02F7D">
        <w:t xml:space="preserve"> </w:t>
      </w:r>
    </w:p>
    <w:p w:rsidR="009F6E60" w:rsidRDefault="009F6E60" w:rsidP="007E7A69">
      <w:pPr>
        <w:ind w:firstLine="567"/>
      </w:pPr>
      <w:r>
        <w:t>Given t</w:t>
      </w:r>
      <w:r w:rsidR="009A3325" w:rsidRPr="00A02F7D">
        <w:t>he possibility of varied preferences for participation between individual users and at different stages</w:t>
      </w:r>
      <w:r>
        <w:t xml:space="preserve">, </w:t>
      </w:r>
      <w:r w:rsidR="009A3325" w:rsidRPr="00A02F7D">
        <w:t>DI delivery</w:t>
      </w:r>
      <w:r>
        <w:t xml:space="preserve"> could be tailored </w:t>
      </w:r>
      <w:r w:rsidRPr="00A02F7D">
        <w:t xml:space="preserve">to users’ self-reported </w:t>
      </w:r>
      <w:r w:rsidRPr="00A02F7D">
        <w:lastRenderedPageBreak/>
        <w:t>preferences for involvement informed by a screening measure or qualitative pilot work.  However, there does not appear to be strong prospective evidence that tailoring to individuals’ preferences results in better health outcomes</w:t>
      </w:r>
      <w:r>
        <w:t xml:space="preserve"> or satisfaction</w:t>
      </w:r>
      <w:r w:rsidRPr="00A02F7D">
        <w:t>.</w:t>
      </w:r>
      <w:r w:rsidRPr="00A02F7D">
        <w:rPr>
          <w:vertAlign w:val="superscript"/>
        </w:rPr>
        <w:t>5</w:t>
      </w:r>
      <w:r w:rsidR="007E7A69">
        <w:rPr>
          <w:vertAlign w:val="superscript"/>
        </w:rPr>
        <w:t>7</w:t>
      </w:r>
      <w:r w:rsidRPr="00A02F7D">
        <w:t xml:space="preserve">  Given that preferences also appear to be governed by contextual variables that are likely to change over the course of an intervention, a one-off screening measure at the start of an intervention may not be sufficient.</w:t>
      </w:r>
      <w:r w:rsidR="007E7A69">
        <w:rPr>
          <w:vertAlign w:val="superscript"/>
        </w:rPr>
        <w:t>55</w:t>
      </w:r>
      <w:r w:rsidRPr="00A02F7D">
        <w:t xml:space="preserve">  Instead, the providers’ belief in a participation model and the concordance between patients’ and providers’ preferences for a participation model can result in better outcomes.</w:t>
      </w:r>
      <w:r w:rsidR="007E7A69">
        <w:rPr>
          <w:vertAlign w:val="superscript"/>
        </w:rPr>
        <w:t>57</w:t>
      </w:r>
      <w:r w:rsidRPr="00A02F7D">
        <w:t xml:space="preserve">  Better DI health outcome </w:t>
      </w:r>
      <w:r>
        <w:t xml:space="preserve">and intervention engagement </w:t>
      </w:r>
      <w:r w:rsidRPr="00A02F7D">
        <w:t>may be seen if DI developers can convey a clear rationale for the intervention design and the opportunities offered for user involvement rather than seeking to tailor to individual preferences.</w:t>
      </w:r>
    </w:p>
    <w:p w:rsidR="00E85084" w:rsidRDefault="009F6E60" w:rsidP="00D258E0">
      <w:pPr>
        <w:ind w:firstLine="567"/>
      </w:pPr>
      <w:r>
        <w:t xml:space="preserve">A further possibility may be to </w:t>
      </w:r>
      <w:r w:rsidR="009A3325" w:rsidRPr="00A02F7D">
        <w:t>offer a range of optional supportive</w:t>
      </w:r>
      <w:r w:rsidR="00340F95" w:rsidRPr="00A02F7D">
        <w:t xml:space="preserve"> tools that can be used to successfully engage </w:t>
      </w:r>
      <w:r w:rsidR="0081311C" w:rsidRPr="00A02F7D">
        <w:t>user</w:t>
      </w:r>
      <w:r w:rsidR="00340F95" w:rsidRPr="00A02F7D">
        <w:t xml:space="preserve">s who are less comfortable taking an entirely autonomous role in the behaviour change process.  </w:t>
      </w:r>
      <w:r w:rsidR="0084020D" w:rsidRPr="00A02F7D">
        <w:t xml:space="preserve">For example, </w:t>
      </w:r>
      <w:r w:rsidR="00340F95" w:rsidRPr="00A02F7D">
        <w:t>optional contact with the intervention team could be offered where resources permit</w:t>
      </w:r>
      <w:r w:rsidR="0084020D" w:rsidRPr="00A02F7D">
        <w:t xml:space="preserve"> (e.g. email</w:t>
      </w:r>
      <w:r w:rsidR="00340F95" w:rsidRPr="00A02F7D">
        <w:t xml:space="preserve"> or </w:t>
      </w:r>
      <w:r w:rsidR="0084020D" w:rsidRPr="00A02F7D">
        <w:t>telephone</w:t>
      </w:r>
      <w:r w:rsidR="00340F95" w:rsidRPr="00A02F7D">
        <w:t xml:space="preserve"> coaching</w:t>
      </w:r>
      <w:r w:rsidR="00D258E0">
        <w:rPr>
          <w:vertAlign w:val="superscript"/>
        </w:rPr>
        <w:t>58</w:t>
      </w:r>
      <w:r w:rsidR="0084020D" w:rsidRPr="00A02F7D">
        <w:t>)</w:t>
      </w:r>
      <w:r w:rsidR="002A5B14" w:rsidRPr="00A02F7D">
        <w:t>.</w:t>
      </w:r>
      <w:r w:rsidR="00340F95" w:rsidRPr="00A02F7D">
        <w:t xml:space="preserve"> </w:t>
      </w:r>
      <w:r w:rsidR="0084020D" w:rsidRPr="00A02F7D">
        <w:t xml:space="preserve"> </w:t>
      </w:r>
      <w:r w:rsidR="00340F95" w:rsidRPr="00A02F7D">
        <w:t>Alternatively</w:t>
      </w:r>
      <w:r w:rsidR="0084020D" w:rsidRPr="00A02F7D">
        <w:t xml:space="preserve">, providing optional additional information </w:t>
      </w:r>
      <w:r w:rsidR="00340F95" w:rsidRPr="00A02F7D">
        <w:t xml:space="preserve">or vignettes from other real or hypothetical DI users </w:t>
      </w:r>
      <w:r w:rsidR="0084020D" w:rsidRPr="00A02F7D">
        <w:t xml:space="preserve">may be a useful strategy </w:t>
      </w:r>
      <w:r w:rsidR="00340F95" w:rsidRPr="00A02F7D">
        <w:t>w</w:t>
      </w:r>
      <w:r w:rsidR="006C6954">
        <w:t>here resources are more limited (e.g.</w:t>
      </w:r>
      <w:r w:rsidR="007E7A69">
        <w:rPr>
          <w:vertAlign w:val="superscript"/>
        </w:rPr>
        <w:t>5</w:t>
      </w:r>
      <w:r w:rsidR="00C4711F">
        <w:rPr>
          <w:vertAlign w:val="superscript"/>
        </w:rPr>
        <w:t>9</w:t>
      </w:r>
      <w:r w:rsidR="006C6954">
        <w:t>).</w:t>
      </w:r>
      <w:r w:rsidR="00340F95" w:rsidRPr="00A02F7D">
        <w:t xml:space="preserve">  Providing additional </w:t>
      </w:r>
      <w:r w:rsidR="00DB3782" w:rsidRPr="00A02F7D">
        <w:t xml:space="preserve">information or </w:t>
      </w:r>
      <w:r w:rsidR="00340F95" w:rsidRPr="00A02F7D">
        <w:t xml:space="preserve">supportive features as an option ensures that </w:t>
      </w:r>
      <w:r w:rsidR="0081311C" w:rsidRPr="00A02F7D">
        <w:t>user</w:t>
      </w:r>
      <w:r w:rsidR="00340F95" w:rsidRPr="00A02F7D">
        <w:t xml:space="preserve">s who require greater support can be successfully engaged without burdening </w:t>
      </w:r>
      <w:r w:rsidR="0081311C" w:rsidRPr="00A02F7D">
        <w:t>user</w:t>
      </w:r>
      <w:r w:rsidR="00340F95" w:rsidRPr="00A02F7D">
        <w:t xml:space="preserve">s who </w:t>
      </w:r>
      <w:r w:rsidR="00F877E1" w:rsidRPr="00A02F7D">
        <w:t>desire more freedom and control</w:t>
      </w:r>
      <w:r w:rsidR="0084020D" w:rsidRPr="00A02F7D">
        <w:t>.</w:t>
      </w:r>
      <w:r w:rsidR="00C4711F">
        <w:rPr>
          <w:vertAlign w:val="superscript"/>
        </w:rPr>
        <w:t>60</w:t>
      </w:r>
      <w:r w:rsidR="0084020D" w:rsidRPr="00A02F7D">
        <w:t xml:space="preserve">  </w:t>
      </w:r>
    </w:p>
    <w:p w:rsidR="0084020D" w:rsidRPr="00A02F7D" w:rsidRDefault="0084020D" w:rsidP="009F6E60">
      <w:pPr>
        <w:ind w:firstLine="567"/>
      </w:pPr>
    </w:p>
    <w:p w:rsidR="0084020D" w:rsidRPr="00A02F7D" w:rsidRDefault="001B7FD4" w:rsidP="00C320A0">
      <w:pPr>
        <w:pStyle w:val="Heading2"/>
        <w:rPr>
          <w:rFonts w:cs="Times New Roman"/>
          <w:b w:val="0"/>
          <w:szCs w:val="24"/>
          <w:lang w:val="en-US"/>
        </w:rPr>
      </w:pPr>
      <w:r w:rsidRPr="00A02F7D">
        <w:rPr>
          <w:rFonts w:cs="Times New Roman"/>
          <w:b w:val="0"/>
          <w:szCs w:val="24"/>
          <w:lang w:val="en-US"/>
        </w:rPr>
        <w:t>Remaining</w:t>
      </w:r>
      <w:r w:rsidR="0084020D" w:rsidRPr="00A02F7D">
        <w:rPr>
          <w:rFonts w:cs="Times New Roman"/>
          <w:b w:val="0"/>
          <w:szCs w:val="24"/>
          <w:lang w:val="en-US"/>
        </w:rPr>
        <w:t xml:space="preserve"> questions</w:t>
      </w:r>
    </w:p>
    <w:p w:rsidR="0084020D" w:rsidRPr="00A02F7D" w:rsidRDefault="0084020D" w:rsidP="006C6954">
      <w:r w:rsidRPr="00A02F7D">
        <w:t xml:space="preserve">Much of the empirical research on preferences for decision making is based on the self-report of patients in hypothetical contexts.  This </w:t>
      </w:r>
      <w:r w:rsidR="006C6954">
        <w:t>says</w:t>
      </w:r>
      <w:r w:rsidRPr="00A02F7D">
        <w:t xml:space="preserve"> little about patients’ actual behaviour in patient-provider </w:t>
      </w:r>
      <w:proofErr w:type="gramStart"/>
      <w:r w:rsidRPr="00A02F7D">
        <w:t>communication.</w:t>
      </w:r>
      <w:r w:rsidR="00F01593" w:rsidRPr="00A02F7D">
        <w:rPr>
          <w:vertAlign w:val="superscript"/>
        </w:rPr>
        <w:t>5</w:t>
      </w:r>
      <w:r w:rsidR="007E7A69">
        <w:rPr>
          <w:vertAlign w:val="superscript"/>
        </w:rPr>
        <w:t>5</w:t>
      </w:r>
      <w:r w:rsidRPr="00A02F7D">
        <w:t xml:space="preserve">  </w:t>
      </w:r>
      <w:r w:rsidR="00340F95" w:rsidRPr="00A02F7D">
        <w:t>Similarly</w:t>
      </w:r>
      <w:proofErr w:type="gramEnd"/>
      <w:r w:rsidR="00340F95" w:rsidRPr="00A02F7D">
        <w:t xml:space="preserve">, knowing what users prefer does not </w:t>
      </w:r>
      <w:r w:rsidR="006C6954">
        <w:t>necessarily identify</w:t>
      </w:r>
      <w:r w:rsidR="00340F95" w:rsidRPr="00A02F7D">
        <w:t xml:space="preserve"> what is actually effective in practice.  </w:t>
      </w:r>
      <w:r w:rsidRPr="00A02F7D">
        <w:t xml:space="preserve">The theory and empirical research has also been </w:t>
      </w:r>
      <w:r w:rsidR="00340F95" w:rsidRPr="00A02F7D">
        <w:t xml:space="preserve">largely </w:t>
      </w:r>
      <w:r w:rsidRPr="00A02F7D">
        <w:t>developed within the context of face-to-face medical encounters.</w:t>
      </w:r>
      <w:r w:rsidR="00340F95" w:rsidRPr="00A02F7D">
        <w:t xml:space="preserve">  Additional empirical research is needed to explore models of participation and decision making in the context of self-</w:t>
      </w:r>
      <w:r w:rsidR="001B7FD4" w:rsidRPr="00A02F7D">
        <w:t>guided</w:t>
      </w:r>
      <w:r w:rsidR="00340F95" w:rsidRPr="00A02F7D">
        <w:t xml:space="preserve"> DIs and the association with health behaviour change</w:t>
      </w:r>
      <w:r w:rsidR="009F6E60">
        <w:t xml:space="preserve"> and intervention usage</w:t>
      </w:r>
      <w:r w:rsidR="00340F95" w:rsidRPr="00A02F7D">
        <w:t>.</w:t>
      </w:r>
      <w:r w:rsidRPr="00A02F7D">
        <w:t xml:space="preserve">  </w:t>
      </w:r>
    </w:p>
    <w:p w:rsidR="0084020D" w:rsidRPr="00A02F7D" w:rsidRDefault="0084020D" w:rsidP="00142D4D">
      <w:pPr>
        <w:pStyle w:val="Heading1"/>
        <w:rPr>
          <w:rFonts w:cs="Times New Roman"/>
          <w:sz w:val="28"/>
          <w:szCs w:val="24"/>
        </w:rPr>
      </w:pPr>
      <w:r w:rsidRPr="00A02F7D">
        <w:rPr>
          <w:rFonts w:cs="Times New Roman"/>
          <w:sz w:val="28"/>
          <w:szCs w:val="24"/>
        </w:rPr>
        <w:t>Social support theory</w:t>
      </w:r>
    </w:p>
    <w:p w:rsidR="0084020D" w:rsidRPr="00A02F7D" w:rsidRDefault="007524D9" w:rsidP="0084020D">
      <w:r w:rsidRPr="00A02F7D">
        <w:t>DIs can offer computer-mediated forms of social support that are qualitatively different from face-to-face social interactions with peers or health professionals.  The types of computer-mediated social support available and the sophistication with which t</w:t>
      </w:r>
      <w:r w:rsidR="001B7FD4" w:rsidRPr="00A02F7D">
        <w:t>hey are implemented can be wide</w:t>
      </w:r>
      <w:r w:rsidRPr="00A02F7D">
        <w:t xml:space="preserve">-ranging and are often constrained by available resources or technical skills of the development team (e.g. asynchronous versus synchronous; animated avatars; intelligent, adaptive conversation systems; moderated peer support discussions etc.).  </w:t>
      </w:r>
      <w:r w:rsidR="0084020D" w:rsidRPr="00A02F7D">
        <w:t xml:space="preserve">Social support theory provides guidance on the </w:t>
      </w:r>
      <w:r w:rsidRPr="00A02F7D">
        <w:t xml:space="preserve">extent to which </w:t>
      </w:r>
      <w:r w:rsidRPr="00A02F7D">
        <w:lastRenderedPageBreak/>
        <w:t xml:space="preserve">offering computer-mediated social interaction can offer health-related benefit and the </w:t>
      </w:r>
      <w:r w:rsidR="0084020D" w:rsidRPr="00A02F7D">
        <w:t xml:space="preserve">contexts in which </w:t>
      </w:r>
      <w:r w:rsidR="0081311C" w:rsidRPr="00A02F7D">
        <w:t>user</w:t>
      </w:r>
      <w:r w:rsidR="0084020D" w:rsidRPr="00A02F7D">
        <w:t xml:space="preserve">s may experience </w:t>
      </w:r>
      <w:r w:rsidRPr="00A02F7D">
        <w:t xml:space="preserve">the greatest </w:t>
      </w:r>
      <w:r w:rsidR="0084020D" w:rsidRPr="00A02F7D">
        <w:t xml:space="preserve">benefit.  </w:t>
      </w:r>
    </w:p>
    <w:p w:rsidR="0084020D" w:rsidRPr="00A02F7D" w:rsidRDefault="0084020D" w:rsidP="00C4711F">
      <w:pPr>
        <w:ind w:firstLine="567"/>
      </w:pPr>
      <w:r w:rsidRPr="00A02F7D">
        <w:t>Several factors appear to influence the association between social support and health, including demographic characteristics, the presence of psychosocial stressors, and characteristics of the health problem.</w:t>
      </w:r>
      <w:r w:rsidR="00C4711F">
        <w:rPr>
          <w:vertAlign w:val="superscript"/>
        </w:rPr>
        <w:t>61</w:t>
      </w:r>
      <w:r w:rsidR="00F01593" w:rsidRPr="00A02F7D">
        <w:rPr>
          <w:vertAlign w:val="superscript"/>
        </w:rPr>
        <w:t>,6</w:t>
      </w:r>
      <w:r w:rsidR="00C4711F">
        <w:rPr>
          <w:vertAlign w:val="superscript"/>
        </w:rPr>
        <w:t>2</w:t>
      </w:r>
      <w:r w:rsidRPr="00A02F7D">
        <w:t xml:space="preserve">  For example, the buffering hypothesis argues that social support will only have a positive effect on health in the pre</w:t>
      </w:r>
      <w:r w:rsidR="00EA2A5D" w:rsidRPr="00A02F7D">
        <w:t>sence of psychosocial stressors</w:t>
      </w:r>
      <w:r w:rsidRPr="00A02F7D">
        <w:t>.</w:t>
      </w:r>
      <w:r w:rsidR="00336144" w:rsidRPr="00A02F7D">
        <w:rPr>
          <w:vertAlign w:val="superscript"/>
        </w:rPr>
        <w:t>6</w:t>
      </w:r>
      <w:r w:rsidR="00C4711F">
        <w:rPr>
          <w:vertAlign w:val="superscript"/>
        </w:rPr>
        <w:t>3</w:t>
      </w:r>
      <w:r w:rsidRPr="00A02F7D">
        <w:t xml:space="preserve">  Weak Tie Network Theory </w:t>
      </w:r>
      <w:r w:rsidR="000C05F9" w:rsidRPr="00A02F7D">
        <w:t xml:space="preserve">further </w:t>
      </w:r>
      <w:r w:rsidRPr="00A02F7D">
        <w:t xml:space="preserve">argues that computer-mediated communication or support, characterised by weaker ties or interaction with strangers, will </w:t>
      </w:r>
      <w:r w:rsidR="0081311C" w:rsidRPr="00A02F7D">
        <w:t>be particularly beneficial for user</w:t>
      </w:r>
      <w:r w:rsidRPr="00A02F7D">
        <w:t>s managing stigmatised conditions</w:t>
      </w:r>
      <w:r w:rsidR="000C05F9" w:rsidRPr="00A02F7D">
        <w:t>.</w:t>
      </w:r>
      <w:r w:rsidR="00F01593" w:rsidRPr="00A02F7D">
        <w:rPr>
          <w:vertAlign w:val="superscript"/>
        </w:rPr>
        <w:t>6</w:t>
      </w:r>
      <w:r w:rsidR="00C4711F">
        <w:rPr>
          <w:vertAlign w:val="superscript"/>
        </w:rPr>
        <w:t>4</w:t>
      </w:r>
      <w:r w:rsidR="000C05F9" w:rsidRPr="00A02F7D">
        <w:t xml:space="preserve">  </w:t>
      </w:r>
      <w:r w:rsidR="007524D9" w:rsidRPr="00A02F7D">
        <w:rPr>
          <w:noProof/>
        </w:rPr>
        <w:t>Hupcey</w:t>
      </w:r>
      <w:r w:rsidR="00F01593" w:rsidRPr="00A02F7D">
        <w:rPr>
          <w:noProof/>
          <w:vertAlign w:val="superscript"/>
        </w:rPr>
        <w:t>6</w:t>
      </w:r>
      <w:r w:rsidR="00C4711F">
        <w:rPr>
          <w:noProof/>
          <w:vertAlign w:val="superscript"/>
        </w:rPr>
        <w:t>2</w:t>
      </w:r>
      <w:r w:rsidR="007524D9" w:rsidRPr="00A02F7D">
        <w:t xml:space="preserve"> further argues that support needs are time sensitive, that is, individuals’ support needs will change through the course of an illness or the process of behaviour change.  </w:t>
      </w:r>
      <w:r w:rsidRPr="00A02F7D">
        <w:t>It seems then that not all users of a DI will benefit from the inclusion of features designed to provide social support.</w:t>
      </w:r>
      <w:r w:rsidR="007524D9" w:rsidRPr="00A02F7D">
        <w:t xml:space="preserve">  </w:t>
      </w:r>
      <w:r w:rsidRPr="00A02F7D">
        <w:t xml:space="preserve">  </w:t>
      </w:r>
      <w:r w:rsidR="007524D9" w:rsidRPr="00A02F7D">
        <w:t xml:space="preserve">DI features enabling social interaction are likely to result in greater health-related benefit when users are facing psychosocial stressors (e.g. perceived stigma, chronic illness) and when the level and type of social interaction offered is tailored to their current and changing support needs.  DI features that enable interaction with strangers (i.e. weak ties) are likely to offer greatest benefit to </w:t>
      </w:r>
      <w:r w:rsidR="0081311C" w:rsidRPr="00A02F7D">
        <w:t>user</w:t>
      </w:r>
      <w:r w:rsidRPr="00A02F7D">
        <w:t>s facing psychosocial stressors that threaten or change their perceived sense of identity</w:t>
      </w:r>
      <w:r w:rsidR="001B7FD4" w:rsidRPr="00A02F7D">
        <w:t xml:space="preserve">. </w:t>
      </w:r>
      <w:r w:rsidRPr="00A02F7D">
        <w:t xml:space="preserve"> </w:t>
      </w:r>
      <w:r w:rsidR="007524D9" w:rsidRPr="00A02F7D">
        <w:t xml:space="preserve">DI features that enable interaction with the user’s existing social network (i.e. </w:t>
      </w:r>
      <w:r w:rsidR="007524D9" w:rsidRPr="00A02F7D">
        <w:lastRenderedPageBreak/>
        <w:t xml:space="preserve">close ties) are likely to offer greatest benefit to </w:t>
      </w:r>
      <w:r w:rsidR="0081311C" w:rsidRPr="00A02F7D">
        <w:t>users</w:t>
      </w:r>
      <w:r w:rsidRPr="00A02F7D">
        <w:t xml:space="preserve"> facing psychosocial stressors that reinforce their perceived sense of identity.        </w:t>
      </w:r>
    </w:p>
    <w:p w:rsidR="0084020D" w:rsidRPr="00A02F7D" w:rsidRDefault="0084020D" w:rsidP="00C4711F">
      <w:pPr>
        <w:ind w:firstLine="567"/>
      </w:pPr>
      <w:r w:rsidRPr="00A02F7D">
        <w:t>Social support does not always have beneficial effects on health-related outcomes, and in some contexts may actually have a detrimental effect on health.</w:t>
      </w:r>
      <w:r w:rsidR="00C4711F">
        <w:rPr>
          <w:vertAlign w:val="superscript"/>
        </w:rPr>
        <w:t>65</w:t>
      </w:r>
      <w:r w:rsidRPr="00A02F7D">
        <w:t xml:space="preserve">  </w:t>
      </w:r>
      <w:r w:rsidR="009540C1">
        <w:t>Interpersonal conce</w:t>
      </w:r>
      <w:r w:rsidR="00882101">
        <w:t>ptualisations of social support</w:t>
      </w:r>
      <w:r w:rsidR="00882101" w:rsidRPr="008D6C7D">
        <w:rPr>
          <w:vertAlign w:val="superscript"/>
        </w:rPr>
        <w:t>6</w:t>
      </w:r>
      <w:r w:rsidR="00C4711F">
        <w:rPr>
          <w:vertAlign w:val="superscript"/>
        </w:rPr>
        <w:t>5</w:t>
      </w:r>
      <w:r w:rsidR="00882101">
        <w:t xml:space="preserve"> </w:t>
      </w:r>
      <w:r w:rsidR="009540C1">
        <w:t>and m</w:t>
      </w:r>
      <w:r w:rsidRPr="00A02F7D">
        <w:t xml:space="preserve">odels </w:t>
      </w:r>
      <w:r w:rsidR="009540C1">
        <w:t>such as reciprocation, stressful interactions, and negative provider support</w:t>
      </w:r>
      <w:r w:rsidR="00882101" w:rsidRPr="008D6C7D">
        <w:rPr>
          <w:vertAlign w:val="superscript"/>
        </w:rPr>
        <w:t>6</w:t>
      </w:r>
      <w:r w:rsidR="00C4711F">
        <w:rPr>
          <w:vertAlign w:val="superscript"/>
        </w:rPr>
        <w:t>2</w:t>
      </w:r>
      <w:r w:rsidR="009540C1">
        <w:t xml:space="preserve"> </w:t>
      </w:r>
      <w:r w:rsidRPr="00A02F7D">
        <w:t xml:space="preserve">propose characteristics </w:t>
      </w:r>
      <w:r w:rsidR="00433D48">
        <w:t xml:space="preserve">that are </w:t>
      </w:r>
      <w:r w:rsidRPr="00A02F7D">
        <w:t>detrimental to the relationship be</w:t>
      </w:r>
      <w:r w:rsidR="0050401D">
        <w:t>tween social support and health</w:t>
      </w:r>
      <w:r w:rsidR="000A2BF2">
        <w:t>, such as</w:t>
      </w:r>
      <w:r w:rsidRPr="00A02F7D">
        <w:t xml:space="preserve">: social regulation or control; relational demands or conflict; feelings of guilt, anxiety, or of being a burden; and low levels of reciprocity. </w:t>
      </w:r>
      <w:r w:rsidR="007524D9" w:rsidRPr="00A02F7D">
        <w:t>There is also evidence to suggest that providing social support may have greater health benefits than receiving it.</w:t>
      </w:r>
      <w:r w:rsidR="00C4711F">
        <w:rPr>
          <w:vertAlign w:val="superscript"/>
        </w:rPr>
        <w:t>66</w:t>
      </w:r>
      <w:r w:rsidR="007524D9" w:rsidRPr="00A02F7D">
        <w:t xml:space="preserve"> </w:t>
      </w:r>
      <w:r w:rsidRPr="00A02F7D">
        <w:t xml:space="preserve">Careful monitoring or regulation of design features </w:t>
      </w:r>
      <w:r w:rsidR="007524D9" w:rsidRPr="00A02F7D">
        <w:t xml:space="preserve">enabling </w:t>
      </w:r>
      <w:r w:rsidRPr="00A02F7D">
        <w:t xml:space="preserve">social </w:t>
      </w:r>
      <w:r w:rsidR="007524D9" w:rsidRPr="00A02F7D">
        <w:t xml:space="preserve">interaction are </w:t>
      </w:r>
      <w:r w:rsidRPr="00A02F7D">
        <w:t xml:space="preserve">therefore </w:t>
      </w:r>
      <w:r w:rsidR="007524D9" w:rsidRPr="00A02F7D">
        <w:t xml:space="preserve">essential </w:t>
      </w:r>
      <w:r w:rsidRPr="00A02F7D">
        <w:t xml:space="preserve">to ensure that they </w:t>
      </w:r>
      <w:r w:rsidR="007524D9" w:rsidRPr="00A02F7D">
        <w:t xml:space="preserve">do </w:t>
      </w:r>
      <w:r w:rsidRPr="00A02F7D">
        <w:t>not creat</w:t>
      </w:r>
      <w:r w:rsidR="007524D9" w:rsidRPr="00A02F7D">
        <w:t>e</w:t>
      </w:r>
      <w:r w:rsidRPr="00A02F7D">
        <w:t xml:space="preserve"> an atmosphere detrimental to health</w:t>
      </w:r>
      <w:r w:rsidR="000A2BF2">
        <w:t xml:space="preserve"> outcomes</w:t>
      </w:r>
      <w:r w:rsidR="00336144" w:rsidRPr="00A02F7D">
        <w:t xml:space="preserve"> </w:t>
      </w:r>
      <w:r w:rsidRPr="00A02F7D">
        <w:t>(e.g. conflict between users, obligation to interact with other users</w:t>
      </w:r>
      <w:r w:rsidR="007524D9" w:rsidRPr="00A02F7D">
        <w:t>, low participation from users</w:t>
      </w:r>
      <w:r w:rsidRPr="00A02F7D">
        <w:t xml:space="preserve">).  </w:t>
      </w:r>
      <w:r w:rsidR="007524D9" w:rsidRPr="00A02F7D">
        <w:t xml:space="preserve">This is even more vital for asynchronous DI features that are not facilitated by a health professional.  </w:t>
      </w:r>
      <w:r w:rsidR="003E4152" w:rsidRPr="00A02F7D">
        <w:t xml:space="preserve">If provision of support is more important than receipt </w:t>
      </w:r>
      <w:r w:rsidR="00A131B4" w:rsidRPr="00A02F7D">
        <w:t>users</w:t>
      </w:r>
      <w:r w:rsidR="003E4152" w:rsidRPr="00A02F7D">
        <w:t xml:space="preserve"> will only find benefit from DI features enabling social interaction when they actively participate.  </w:t>
      </w:r>
      <w:r w:rsidRPr="00A02F7D">
        <w:t xml:space="preserve">A clear rationale for the inclusion of social support features </w:t>
      </w:r>
      <w:r w:rsidR="003E4152" w:rsidRPr="00A02F7D">
        <w:t>can help to</w:t>
      </w:r>
      <w:r w:rsidRPr="00A02F7D">
        <w:t xml:space="preserve"> ensure that </w:t>
      </w:r>
      <w:r w:rsidR="00A131B4" w:rsidRPr="00A02F7D">
        <w:t>user</w:t>
      </w:r>
      <w:r w:rsidRPr="00A02F7D">
        <w:t xml:space="preserve">s do not perceive them as contrived or fake.  </w:t>
      </w:r>
      <w:r w:rsidR="003E4152" w:rsidRPr="00A02F7D">
        <w:t>However, given</w:t>
      </w:r>
      <w:r w:rsidRPr="00A02F7D">
        <w:t xml:space="preserve"> that ‘lurking’ in chat rooms or discussion forums can be more common than active participation</w:t>
      </w:r>
      <w:r w:rsidR="00C4711F">
        <w:rPr>
          <w:vertAlign w:val="superscript"/>
        </w:rPr>
        <w:t>67</w:t>
      </w:r>
      <w:r w:rsidR="003E4152" w:rsidRPr="00A02F7D">
        <w:t xml:space="preserve"> it may require </w:t>
      </w:r>
      <w:r w:rsidR="003E4152" w:rsidRPr="00A02F7D">
        <w:lastRenderedPageBreak/>
        <w:t xml:space="preserve">considerable resource input and moderation for social interaction provided by DIs to offer any substantial health-related benefit.  </w:t>
      </w:r>
      <w:r w:rsidRPr="00A02F7D">
        <w:t xml:space="preserve"> </w:t>
      </w:r>
    </w:p>
    <w:p w:rsidR="0084020D" w:rsidRPr="00A02F7D" w:rsidRDefault="001B7FD4" w:rsidP="00C320A0">
      <w:pPr>
        <w:pStyle w:val="Heading2"/>
        <w:rPr>
          <w:rFonts w:cs="Times New Roman"/>
          <w:b w:val="0"/>
          <w:szCs w:val="24"/>
        </w:rPr>
      </w:pPr>
      <w:r w:rsidRPr="00A02F7D">
        <w:rPr>
          <w:rFonts w:cs="Times New Roman"/>
          <w:b w:val="0"/>
          <w:szCs w:val="24"/>
          <w:lang w:val="en-US"/>
        </w:rPr>
        <w:t>Remaining</w:t>
      </w:r>
      <w:r w:rsidR="0084020D" w:rsidRPr="00A02F7D">
        <w:rPr>
          <w:rFonts w:cs="Times New Roman"/>
          <w:b w:val="0"/>
          <w:szCs w:val="24"/>
          <w:lang w:val="en-US"/>
        </w:rPr>
        <w:t xml:space="preserve"> questions</w:t>
      </w:r>
      <w:r w:rsidR="0084020D" w:rsidRPr="00A02F7D">
        <w:rPr>
          <w:rFonts w:cs="Times New Roman"/>
          <w:b w:val="0"/>
          <w:szCs w:val="24"/>
        </w:rPr>
        <w:t xml:space="preserve">    </w:t>
      </w:r>
    </w:p>
    <w:p w:rsidR="0084020D" w:rsidRPr="00A02F7D" w:rsidRDefault="0084020D" w:rsidP="006C6954">
      <w:r w:rsidRPr="00A02F7D">
        <w:t>The precise mechanisms underlying the effect of support on health have not yet been established.  Some have suggested an affective mechanism.</w:t>
      </w:r>
      <w:r w:rsidR="00F01593" w:rsidRPr="00A02F7D">
        <w:rPr>
          <w:vertAlign w:val="superscript"/>
        </w:rPr>
        <w:t>6</w:t>
      </w:r>
      <w:r w:rsidR="00C4711F">
        <w:rPr>
          <w:vertAlign w:val="superscript"/>
        </w:rPr>
        <w:t>1</w:t>
      </w:r>
      <w:proofErr w:type="gramStart"/>
      <w:r w:rsidR="00F01593" w:rsidRPr="00A02F7D">
        <w:rPr>
          <w:vertAlign w:val="superscript"/>
        </w:rPr>
        <w:t>,6</w:t>
      </w:r>
      <w:r w:rsidR="00C4711F">
        <w:rPr>
          <w:vertAlign w:val="superscript"/>
        </w:rPr>
        <w:t>6</w:t>
      </w:r>
      <w:proofErr w:type="gramEnd"/>
      <w:r w:rsidRPr="00A02F7D">
        <w:t xml:space="preserve">  That is, social support evokes positive emotions and reduces the effects of negative emotions.  Other explanations suggest that social support may facilitate the adoption of more adaptive coping behaviour or health promoting </w:t>
      </w:r>
      <w:proofErr w:type="gramStart"/>
      <w:r w:rsidRPr="00A02F7D">
        <w:t>behaviours.</w:t>
      </w:r>
      <w:r w:rsidR="00F01593" w:rsidRPr="00A02F7D">
        <w:rPr>
          <w:vertAlign w:val="superscript"/>
        </w:rPr>
        <w:t>6</w:t>
      </w:r>
      <w:r w:rsidR="00C4711F">
        <w:rPr>
          <w:vertAlign w:val="superscript"/>
        </w:rPr>
        <w:t>8</w:t>
      </w:r>
      <w:r w:rsidRPr="00A02F7D">
        <w:t xml:space="preserve">  Building</w:t>
      </w:r>
      <w:proofErr w:type="gramEnd"/>
      <w:r w:rsidRPr="00A02F7D">
        <w:t xml:space="preserve"> a clearer understanding of the mechanisms underlying the association between social support and health will enable </w:t>
      </w:r>
      <w:r w:rsidR="006C6954">
        <w:t>the provision of</w:t>
      </w:r>
      <w:r w:rsidRPr="00A02F7D">
        <w:t xml:space="preserve"> more persuasive rationales to users </w:t>
      </w:r>
      <w:r w:rsidR="006C6954">
        <w:t>that may help to</w:t>
      </w:r>
      <w:r w:rsidRPr="00A02F7D">
        <w:t xml:space="preserve"> encourage greater engagement with </w:t>
      </w:r>
      <w:r w:rsidR="000A2BF2">
        <w:t xml:space="preserve">and benefit from </w:t>
      </w:r>
      <w:r w:rsidRPr="00A02F7D">
        <w:t>social support features.</w:t>
      </w:r>
      <w:r w:rsidR="003E4152" w:rsidRPr="00A02F7D">
        <w:t xml:space="preserve">  </w:t>
      </w:r>
      <w:r w:rsidRPr="00A02F7D">
        <w:t xml:space="preserve">It seems clear that providing or allowing for social support within an intervention will have specific benefits for specific populations who actively participate.  However, what does not seem clear is whether social support is associated with health promotion or whether a lack of social support is associated with morbidity and mortality.  If the latter is true, this again emphasises that features </w:t>
      </w:r>
      <w:r w:rsidR="001B7FD4" w:rsidRPr="00A02F7D">
        <w:t>enabling</w:t>
      </w:r>
      <w:r w:rsidRPr="00A02F7D">
        <w:t xml:space="preserve"> social </w:t>
      </w:r>
      <w:r w:rsidR="001B7FD4" w:rsidRPr="00A02F7D">
        <w:t>interaction</w:t>
      </w:r>
      <w:r w:rsidRPr="00A02F7D">
        <w:t xml:space="preserve"> </w:t>
      </w:r>
      <w:r w:rsidR="00433D48">
        <w:t xml:space="preserve">should only be included </w:t>
      </w:r>
      <w:r w:rsidRPr="00A02F7D">
        <w:t xml:space="preserve">for those who need it, and not for those who already feel supported. </w:t>
      </w:r>
      <w:r w:rsidR="003E4152" w:rsidRPr="00A02F7D">
        <w:t xml:space="preserve"> Dimensions of social support are also reported to have lower predictive power for explaining health-related outcomes than other psychosocial variables including motivation and self-efficacy.</w:t>
      </w:r>
      <w:r w:rsidR="00F01593" w:rsidRPr="00A02F7D">
        <w:rPr>
          <w:vertAlign w:val="superscript"/>
        </w:rPr>
        <w:t>6</w:t>
      </w:r>
      <w:r w:rsidR="00C4711F">
        <w:rPr>
          <w:vertAlign w:val="superscript"/>
        </w:rPr>
        <w:t>9</w:t>
      </w:r>
      <w:r w:rsidR="003E4152" w:rsidRPr="00A02F7D">
        <w:t xml:space="preserve">  It may not then be wise to prioritise inclusion of DI features that enable </w:t>
      </w:r>
      <w:r w:rsidR="003E4152" w:rsidRPr="00A02F7D">
        <w:lastRenderedPageBreak/>
        <w:t xml:space="preserve">social interaction </w:t>
      </w:r>
      <w:r w:rsidR="001B7FD4" w:rsidRPr="00A02F7D">
        <w:t xml:space="preserve">where resources are limited </w:t>
      </w:r>
      <w:r w:rsidR="003E4152" w:rsidRPr="00A02F7D">
        <w:t xml:space="preserve">given the inconsistency prevalent in research on social support and health coupled with the </w:t>
      </w:r>
      <w:r w:rsidR="001B7FD4" w:rsidRPr="00A02F7D">
        <w:t xml:space="preserve">high </w:t>
      </w:r>
      <w:r w:rsidR="003E4152" w:rsidRPr="00A02F7D">
        <w:t xml:space="preserve">resource requirements to ensure that they are credible, beneficial and </w:t>
      </w:r>
      <w:r w:rsidR="000A2BF2">
        <w:t>appropriately</w:t>
      </w:r>
      <w:r w:rsidR="003E4152" w:rsidRPr="00A02F7D">
        <w:t xml:space="preserve"> engaged with.  </w:t>
      </w:r>
      <w:r w:rsidRPr="00A02F7D">
        <w:t xml:space="preserve">          </w:t>
      </w:r>
    </w:p>
    <w:p w:rsidR="0084020D" w:rsidRPr="00A02F7D" w:rsidRDefault="0084020D" w:rsidP="00142D4D">
      <w:pPr>
        <w:pStyle w:val="Heading1"/>
        <w:rPr>
          <w:rFonts w:cs="Times New Roman"/>
          <w:sz w:val="28"/>
          <w:szCs w:val="24"/>
        </w:rPr>
      </w:pPr>
      <w:r w:rsidRPr="00A02F7D">
        <w:rPr>
          <w:rFonts w:cs="Times New Roman"/>
          <w:sz w:val="28"/>
          <w:szCs w:val="24"/>
        </w:rPr>
        <w:t xml:space="preserve">Summary and conclusion  </w:t>
      </w:r>
    </w:p>
    <w:p w:rsidR="0084020D" w:rsidRPr="00A02F7D" w:rsidRDefault="0084020D" w:rsidP="006C6954">
      <w:r w:rsidRPr="00A02F7D">
        <w:t xml:space="preserve">This paper provides a critical review of psychological theories in order to understand how theory can be used to better inform the delivery of content </w:t>
      </w:r>
      <w:r w:rsidR="00C96C46">
        <w:t>(e.g. BCTs</w:t>
      </w:r>
      <w:r w:rsidR="00C4711F">
        <w:rPr>
          <w:vertAlign w:val="superscript"/>
        </w:rPr>
        <w:t>70</w:t>
      </w:r>
      <w:r w:rsidR="00C96C46">
        <w:t xml:space="preserve">) </w:t>
      </w:r>
      <w:r w:rsidRPr="00A02F7D">
        <w:t xml:space="preserve">and the implementation of design features included within </w:t>
      </w:r>
      <w:proofErr w:type="spellStart"/>
      <w:r w:rsidRPr="00A02F7D">
        <w:t>DIs.</w:t>
      </w:r>
      <w:proofErr w:type="spellEnd"/>
      <w:r w:rsidRPr="00A02F7D">
        <w:t xml:space="preserve">  A summary of theory-based recommendations is provided in Table 1.  </w:t>
      </w:r>
    </w:p>
    <w:p w:rsidR="0084020D" w:rsidRPr="00A02F7D" w:rsidRDefault="0084020D" w:rsidP="0084020D">
      <w:pPr>
        <w:ind w:firstLine="720"/>
      </w:pPr>
      <w:r w:rsidRPr="00A02F7D">
        <w:t xml:space="preserve">[Insert Table 1 here].   </w:t>
      </w:r>
    </w:p>
    <w:p w:rsidR="00C33339" w:rsidRDefault="00C96C46" w:rsidP="00C96C46">
      <w:pPr>
        <w:ind w:firstLine="720"/>
      </w:pPr>
      <w:r>
        <w:t>T</w:t>
      </w:r>
      <w:r w:rsidR="0084020D" w:rsidRPr="00A02F7D">
        <w:t xml:space="preserve">he findings from this review </w:t>
      </w:r>
      <w:r>
        <w:t xml:space="preserve">have two implications for the future development of </w:t>
      </w:r>
      <w:proofErr w:type="spellStart"/>
      <w:r>
        <w:t>DIs.</w:t>
      </w:r>
      <w:proofErr w:type="spellEnd"/>
      <w:r>
        <w:t xml:space="preserve">  First, this review provides a number of theory-based recommendations that may guide the implementation of specific BCTs (e.g. goals and planning, feedback and monitoring) and suggest the contexts in which specific BCTs (e.g. social support) may be more/less appropriate.  For example, the qualities of goals and feedback that appear to maximise the benefits of planning and monitoring techniques and the support needed to facilitate successful goal setting are suggested.  T</w:t>
      </w:r>
      <w:r w:rsidR="0084020D" w:rsidRPr="00A02F7D">
        <w:t xml:space="preserve">he provision of support from health professionals and/or peers may only be relevant and useful for </w:t>
      </w:r>
      <w:r>
        <w:t xml:space="preserve">users who are managing </w:t>
      </w:r>
      <w:r w:rsidR="0084020D" w:rsidRPr="00A02F7D">
        <w:t xml:space="preserve">chronic or stigmatising health conditions or who </w:t>
      </w:r>
      <w:r>
        <w:t xml:space="preserve">have stronger </w:t>
      </w:r>
      <w:r w:rsidR="0084020D" w:rsidRPr="00A02F7D">
        <w:t>perceive</w:t>
      </w:r>
      <w:r>
        <w:t>d</w:t>
      </w:r>
      <w:r w:rsidR="006C6954">
        <w:t xml:space="preserve"> </w:t>
      </w:r>
      <w:r w:rsidR="0084020D" w:rsidRPr="00A02F7D">
        <w:t>support</w:t>
      </w:r>
      <w:r>
        <w:t xml:space="preserve"> needs</w:t>
      </w:r>
      <w:r w:rsidR="0084020D" w:rsidRPr="00A02F7D">
        <w:t xml:space="preserve">.  </w:t>
      </w:r>
    </w:p>
    <w:p w:rsidR="0084020D" w:rsidRPr="00A02F7D" w:rsidRDefault="00C33339" w:rsidP="00C4711F">
      <w:pPr>
        <w:ind w:firstLine="720"/>
      </w:pPr>
      <w:r>
        <w:t xml:space="preserve">Second, this review provides a number of theory-based recommendations for optimising users’ overall experiences of engaging with </w:t>
      </w:r>
      <w:proofErr w:type="spellStart"/>
      <w:r>
        <w:t>DIs.</w:t>
      </w:r>
      <w:proofErr w:type="spellEnd"/>
      <w:r>
        <w:t xml:space="preserve">  For example, </w:t>
      </w:r>
      <w:r w:rsidR="0084020D" w:rsidRPr="00A02F7D">
        <w:t xml:space="preserve">the </w:t>
      </w:r>
      <w:r w:rsidR="0084020D" w:rsidRPr="00A02F7D">
        <w:lastRenderedPageBreak/>
        <w:t xml:space="preserve">implementation of any design feature </w:t>
      </w:r>
      <w:r>
        <w:t xml:space="preserve">or BCT </w:t>
      </w:r>
      <w:r w:rsidR="0084020D" w:rsidRPr="00A02F7D">
        <w:t xml:space="preserve">needs to </w:t>
      </w:r>
      <w:r w:rsidR="00F877E1" w:rsidRPr="00A02F7D">
        <w:t xml:space="preserve">support users’ sense of autonomy where possible and appropriate by offering choice and flexibility in </w:t>
      </w:r>
      <w:r>
        <w:t>how they use the</w:t>
      </w:r>
      <w:r w:rsidRPr="00A02F7D">
        <w:t xml:space="preserve"> </w:t>
      </w:r>
      <w:r w:rsidR="00F877E1" w:rsidRPr="00A02F7D">
        <w:t xml:space="preserve">intervention </w:t>
      </w:r>
      <w:r>
        <w:t>or</w:t>
      </w:r>
      <w:r w:rsidRPr="00A02F7D">
        <w:t xml:space="preserve"> </w:t>
      </w:r>
      <w:r w:rsidR="00F877E1" w:rsidRPr="00A02F7D">
        <w:t>engag</w:t>
      </w:r>
      <w:r>
        <w:t>e</w:t>
      </w:r>
      <w:r w:rsidR="00F877E1" w:rsidRPr="00A02F7D">
        <w:t xml:space="preserve"> </w:t>
      </w:r>
      <w:r>
        <w:t>with</w:t>
      </w:r>
      <w:r w:rsidRPr="00A02F7D">
        <w:t xml:space="preserve"> </w:t>
      </w:r>
      <w:r w:rsidR="00F877E1" w:rsidRPr="00A02F7D">
        <w:t xml:space="preserve">the behaviour change process.  </w:t>
      </w:r>
      <w:r>
        <w:t>T</w:t>
      </w:r>
      <w:r w:rsidR="0084020D" w:rsidRPr="00A02F7D">
        <w:t xml:space="preserve">his </w:t>
      </w:r>
      <w:r w:rsidRPr="00A02F7D">
        <w:t>m</w:t>
      </w:r>
      <w:r>
        <w:t>ay</w:t>
      </w:r>
      <w:r w:rsidRPr="00A02F7D">
        <w:t xml:space="preserve"> </w:t>
      </w:r>
      <w:r w:rsidR="0084020D" w:rsidRPr="00A02F7D">
        <w:t xml:space="preserve">be achieving a balance between tailoring intervention content to relevant theoretical variables whilst still allowing </w:t>
      </w:r>
      <w:r w:rsidR="00A131B4" w:rsidRPr="00A02F7D">
        <w:t>user</w:t>
      </w:r>
      <w:r w:rsidR="0084020D" w:rsidRPr="00A02F7D">
        <w:t>s to choose the information and support they feel they need and</w:t>
      </w:r>
      <w:r w:rsidR="001E37E4" w:rsidRPr="00A02F7D">
        <w:t>/or want (e.g. ‘self-tailoring’</w:t>
      </w:r>
      <w:r w:rsidR="00C4711F">
        <w:rPr>
          <w:vertAlign w:val="superscript"/>
        </w:rPr>
        <w:t>71</w:t>
      </w:r>
      <w:r w:rsidR="0084020D" w:rsidRPr="00A02F7D">
        <w:t xml:space="preserve">).  </w:t>
      </w:r>
    </w:p>
    <w:p w:rsidR="0084020D" w:rsidRPr="00A02F7D" w:rsidRDefault="0084020D" w:rsidP="00AD5060">
      <w:pPr>
        <w:ind w:firstLine="720"/>
      </w:pPr>
      <w:r w:rsidRPr="00A02F7D">
        <w:t xml:space="preserve">Additional empirical study is required to confirm whether interventions that follow these theory-based recommendations are associated with greater </w:t>
      </w:r>
      <w:r w:rsidR="001B7FD4" w:rsidRPr="00A02F7D">
        <w:t xml:space="preserve">uptake, </w:t>
      </w:r>
      <w:r w:rsidRPr="00A02F7D">
        <w:t>usage, engagement and improvement in health-related outcomes.</w:t>
      </w:r>
      <w:r w:rsidR="00C33339">
        <w:t xml:space="preserve">  Further systematic and comprehensive reviews are also needed to generate theory-based recommendations for implementing the full range of BCTs defined within existing taxonomies.</w:t>
      </w:r>
      <w:r w:rsidR="00C4711F">
        <w:rPr>
          <w:vertAlign w:val="superscript"/>
        </w:rPr>
        <w:t>70</w:t>
      </w:r>
      <w:r w:rsidRPr="00A02F7D">
        <w:t xml:space="preserve">  </w:t>
      </w:r>
      <w:r w:rsidR="00C33339">
        <w:t>T</w:t>
      </w:r>
      <w:r w:rsidRPr="00A02F7D">
        <w:t xml:space="preserve">his review </w:t>
      </w:r>
      <w:r w:rsidR="00C33339">
        <w:t xml:space="preserve">has </w:t>
      </w:r>
      <w:r w:rsidRPr="00A02F7D">
        <w:t>highlight</w:t>
      </w:r>
      <w:r w:rsidR="00C33339">
        <w:t>ed</w:t>
      </w:r>
      <w:r w:rsidRPr="00A02F7D">
        <w:t xml:space="preserve"> a number of unanswered questions concerning how psychological theory can be translated to inform optimal intervention design.  It is hoped that these questions may inspire and stimulate further empirical study.</w:t>
      </w:r>
    </w:p>
    <w:p w:rsidR="009F3D8F" w:rsidRPr="00A02F7D" w:rsidRDefault="009F3D8F" w:rsidP="009F3D8F"/>
    <w:p w:rsidR="009F3D8F" w:rsidRPr="00A02F7D" w:rsidRDefault="009F3D8F" w:rsidP="009F3D8F">
      <w:pPr>
        <w:rPr>
          <w:b/>
        </w:rPr>
      </w:pPr>
      <w:r w:rsidRPr="00A02F7D">
        <w:rPr>
          <w:b/>
        </w:rPr>
        <w:t>Declarations</w:t>
      </w:r>
    </w:p>
    <w:p w:rsidR="009D589A" w:rsidRPr="00A02F7D" w:rsidRDefault="009D589A" w:rsidP="009F3D8F">
      <w:pPr>
        <w:rPr>
          <w:i/>
          <w:iCs/>
        </w:rPr>
      </w:pPr>
      <w:r w:rsidRPr="00A02F7D">
        <w:rPr>
          <w:i/>
          <w:iCs/>
        </w:rPr>
        <w:t>Conflicting interests</w:t>
      </w:r>
    </w:p>
    <w:p w:rsidR="009F3D8F" w:rsidRPr="00A02F7D" w:rsidRDefault="009F3D8F" w:rsidP="009F3D8F">
      <w:r w:rsidRPr="00A02F7D">
        <w:t>The author declares that there is no conflict of interest.</w:t>
      </w:r>
    </w:p>
    <w:p w:rsidR="009D589A" w:rsidRPr="00A02F7D" w:rsidRDefault="009D589A" w:rsidP="009F3D8F">
      <w:pPr>
        <w:rPr>
          <w:i/>
          <w:iCs/>
        </w:rPr>
      </w:pPr>
      <w:r w:rsidRPr="00A02F7D">
        <w:rPr>
          <w:i/>
          <w:iCs/>
        </w:rPr>
        <w:t>Funding</w:t>
      </w:r>
    </w:p>
    <w:p w:rsidR="009F3D8F" w:rsidRPr="00A02F7D" w:rsidRDefault="009F3D8F" w:rsidP="009F3D8F">
      <w:r w:rsidRPr="00A02F7D">
        <w:lastRenderedPageBreak/>
        <w:t xml:space="preserve">This work was supported by the UK Economic and Social Research Council under Grant number RES-149-25-1069.  </w:t>
      </w:r>
    </w:p>
    <w:p w:rsidR="009D589A" w:rsidRPr="00A02F7D" w:rsidRDefault="009F3D8F" w:rsidP="009F3D8F">
      <w:r w:rsidRPr="00A02F7D">
        <w:rPr>
          <w:i/>
          <w:iCs/>
        </w:rPr>
        <w:t>Ethical approval</w:t>
      </w:r>
    </w:p>
    <w:p w:rsidR="009F3D8F" w:rsidRPr="00A02F7D" w:rsidRDefault="009F3D8F" w:rsidP="009F3D8F">
      <w:r w:rsidRPr="00A02F7D">
        <w:t xml:space="preserve">N/A </w:t>
      </w:r>
    </w:p>
    <w:p w:rsidR="009D589A" w:rsidRPr="00A02F7D" w:rsidRDefault="009F3D8F" w:rsidP="009F3D8F">
      <w:r w:rsidRPr="00A02F7D">
        <w:rPr>
          <w:i/>
          <w:iCs/>
        </w:rPr>
        <w:t>Guarantor</w:t>
      </w:r>
    </w:p>
    <w:p w:rsidR="009F3D8F" w:rsidRPr="00A02F7D" w:rsidRDefault="009F3D8F" w:rsidP="009F3D8F">
      <w:r w:rsidRPr="00A02F7D">
        <w:t>LM</w:t>
      </w:r>
    </w:p>
    <w:p w:rsidR="009D589A" w:rsidRPr="00A02F7D" w:rsidRDefault="009F3D8F" w:rsidP="009D589A">
      <w:proofErr w:type="spellStart"/>
      <w:r w:rsidRPr="00A02F7D">
        <w:rPr>
          <w:i/>
          <w:iCs/>
        </w:rPr>
        <w:t>Contributorship</w:t>
      </w:r>
      <w:proofErr w:type="spellEnd"/>
      <w:r w:rsidRPr="00A02F7D">
        <w:t xml:space="preserve"> </w:t>
      </w:r>
    </w:p>
    <w:p w:rsidR="009F3D8F" w:rsidRPr="00A02F7D" w:rsidRDefault="009D589A" w:rsidP="009D589A">
      <w:r w:rsidRPr="00A02F7D">
        <w:t>L</w:t>
      </w:r>
      <w:r w:rsidR="009F3D8F" w:rsidRPr="00A02F7D">
        <w:t xml:space="preserve">M reviewed the literature and drafted the manuscript. </w:t>
      </w:r>
    </w:p>
    <w:p w:rsidR="009D589A" w:rsidRPr="00A02F7D" w:rsidRDefault="009F3D8F" w:rsidP="009F3D8F">
      <w:r w:rsidRPr="00A02F7D">
        <w:rPr>
          <w:i/>
          <w:iCs/>
        </w:rPr>
        <w:t>Acknowledgements</w:t>
      </w:r>
    </w:p>
    <w:p w:rsidR="009F3D8F" w:rsidRPr="00A02F7D" w:rsidRDefault="009F3D8F" w:rsidP="009D589A">
      <w:r w:rsidRPr="00A02F7D">
        <w:t>The author would like to thank Professor Lucy Yardley for her constructive commen</w:t>
      </w:r>
      <w:r w:rsidR="009D589A" w:rsidRPr="00A02F7D">
        <w:t>ts on drafts of the manuscript.</w:t>
      </w:r>
    </w:p>
    <w:p w:rsidR="00E66188" w:rsidRPr="00A02F7D" w:rsidRDefault="00161344" w:rsidP="00142D4D">
      <w:pPr>
        <w:pStyle w:val="Heading1"/>
        <w:rPr>
          <w:rFonts w:cs="Times New Roman"/>
          <w:szCs w:val="24"/>
        </w:rPr>
      </w:pPr>
      <w:r w:rsidRPr="00A02F7D">
        <w:rPr>
          <w:rFonts w:cs="Times New Roman"/>
          <w:szCs w:val="24"/>
        </w:rPr>
        <w:t>References</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Lustria MLA, Noar SM, Cortese J, et al. A meta-analysis of web-delivered tailored health behavior change interventions. </w:t>
      </w:r>
      <w:r w:rsidRPr="00A02F7D">
        <w:rPr>
          <w:i/>
          <w:iCs/>
          <w:noProof/>
        </w:rPr>
        <w:t xml:space="preserve">J Health Commun </w:t>
      </w:r>
      <w:r w:rsidRPr="00A02F7D">
        <w:rPr>
          <w:noProof/>
        </w:rPr>
        <w:t xml:space="preserve">2013; 18(9): 1039–69. </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Webb TL, Joseph J, Yardley L, et al. Using the internet to promote health behavior change: a systematic review and meta-analysis of the impact of theoretical basis, use of behavior change techniques, and mode of delivery on efficacy. </w:t>
      </w:r>
      <w:r w:rsidRPr="00A02F7D">
        <w:rPr>
          <w:i/>
          <w:iCs/>
          <w:noProof/>
        </w:rPr>
        <w:t xml:space="preserve">J Med Internet Res </w:t>
      </w:r>
      <w:r w:rsidRPr="00A02F7D">
        <w:rPr>
          <w:noProof/>
        </w:rPr>
        <w:t xml:space="preserve">2010; 12(1): e4. </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lastRenderedPageBreak/>
        <w:t xml:space="preserve">Brouwer W, Kroeze W, Crutzen R, et al. Which intervention characteristics are related to more exposure to internet-delivered healthy lifestyle promotion interventions? A systematic review. </w:t>
      </w:r>
      <w:r w:rsidRPr="00A02F7D">
        <w:rPr>
          <w:i/>
          <w:iCs/>
          <w:noProof/>
        </w:rPr>
        <w:t xml:space="preserve">J Med Internet Res </w:t>
      </w:r>
      <w:r w:rsidRPr="00A02F7D">
        <w:rPr>
          <w:noProof/>
        </w:rPr>
        <w:t xml:space="preserve">2011; 13(1): e2. </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Kohl LFM, Crutzen R and de Vries NK. Online prevention aimed at lifestyle behaviors: a systematic review of reviews. </w:t>
      </w:r>
      <w:r w:rsidRPr="00A02F7D">
        <w:rPr>
          <w:i/>
          <w:iCs/>
          <w:noProof/>
        </w:rPr>
        <w:t xml:space="preserve">J Med Internet Res </w:t>
      </w:r>
      <w:r w:rsidRPr="00A02F7D">
        <w:rPr>
          <w:noProof/>
        </w:rPr>
        <w:t xml:space="preserve">2013; 15(7): e146. </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Kok G, Schaalma H, Ruiter RAC, et al. Intervention mapping: protocol for applying health psychology theory to prevention programmes. </w:t>
      </w:r>
      <w:r w:rsidRPr="00A02F7D">
        <w:rPr>
          <w:i/>
          <w:iCs/>
          <w:noProof/>
        </w:rPr>
        <w:t xml:space="preserve">J Health Psychol </w:t>
      </w:r>
      <w:r w:rsidRPr="00A02F7D">
        <w:rPr>
          <w:noProof/>
        </w:rPr>
        <w:t xml:space="preserve">2004; 9(1): 85–98. </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Michie S, van Stralen MM and West R. The behaviour change wheel: a new method for characterising and designing behaviour change interventions. </w:t>
      </w:r>
      <w:r w:rsidRPr="00A02F7D">
        <w:rPr>
          <w:i/>
          <w:iCs/>
          <w:noProof/>
        </w:rPr>
        <w:t xml:space="preserve">Implement Sci </w:t>
      </w:r>
      <w:r w:rsidRPr="00A02F7D">
        <w:rPr>
          <w:noProof/>
        </w:rPr>
        <w:t xml:space="preserve">2011; 6(1): 42. </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Mohr DC, Schueller SM, Montague E, et al. The Behavioral Intervention Technology Model: An integrated conceptual and technological framework for eHealth and mHealth Interventions. </w:t>
      </w:r>
      <w:r w:rsidRPr="00A02F7D">
        <w:rPr>
          <w:i/>
          <w:iCs/>
          <w:noProof/>
        </w:rPr>
        <w:t xml:space="preserve">J Med Internet Res </w:t>
      </w:r>
      <w:r w:rsidRPr="00A02F7D">
        <w:rPr>
          <w:noProof/>
        </w:rPr>
        <w:t xml:space="preserve">2014; 16(6): e146. </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Morrison LG, Yardley L, Powell J, et al. What design features are used in effective e-health interventions? A review using techniques from Critical Interpretive Synthesis. </w:t>
      </w:r>
      <w:r w:rsidRPr="00A02F7D">
        <w:rPr>
          <w:i/>
          <w:iCs/>
          <w:noProof/>
        </w:rPr>
        <w:t xml:space="preserve">Telemed e-Health </w:t>
      </w:r>
      <w:r w:rsidRPr="00A02F7D">
        <w:rPr>
          <w:noProof/>
        </w:rPr>
        <w:t xml:space="preserve">2012; 18(2): 137–44. </w:t>
      </w:r>
    </w:p>
    <w:p w:rsidR="00336144" w:rsidRDefault="00336144" w:rsidP="00336144">
      <w:pPr>
        <w:pStyle w:val="NormalWeb"/>
        <w:numPr>
          <w:ilvl w:val="0"/>
          <w:numId w:val="36"/>
        </w:numPr>
        <w:spacing w:before="0" w:beforeAutospacing="0" w:after="0" w:afterAutospacing="0" w:line="480" w:lineRule="auto"/>
        <w:rPr>
          <w:noProof/>
        </w:rPr>
      </w:pPr>
      <w:r w:rsidRPr="00A02F7D">
        <w:rPr>
          <w:noProof/>
        </w:rPr>
        <w:lastRenderedPageBreak/>
        <w:t xml:space="preserve">Prestwich A, Sniehotta FF, Whittington C, et al. Does theory influence the effectiveness of health behavior interventions? Meta-analysis. </w:t>
      </w:r>
      <w:r w:rsidRPr="00A02F7D">
        <w:rPr>
          <w:i/>
          <w:iCs/>
          <w:noProof/>
        </w:rPr>
        <w:t xml:space="preserve">Health Psychol </w:t>
      </w:r>
      <w:r w:rsidRPr="00A02F7D">
        <w:rPr>
          <w:noProof/>
        </w:rPr>
        <w:t xml:space="preserve">2014; 33(5): 465–74. </w:t>
      </w:r>
    </w:p>
    <w:p w:rsidR="007E7A69" w:rsidRPr="00A02F7D" w:rsidRDefault="007E7A69" w:rsidP="00336144">
      <w:pPr>
        <w:pStyle w:val="NormalWeb"/>
        <w:numPr>
          <w:ilvl w:val="0"/>
          <w:numId w:val="36"/>
        </w:numPr>
        <w:spacing w:before="0" w:beforeAutospacing="0" w:after="0" w:afterAutospacing="0" w:line="480" w:lineRule="auto"/>
        <w:rPr>
          <w:noProof/>
        </w:rPr>
      </w:pPr>
      <w:r>
        <w:rPr>
          <w:noProof/>
        </w:rPr>
        <w:t xml:space="preserve">Kreuter MW, Bull FC, Clark EM, et al. Understanding how people process health information: A comparison of tailored and nontailored weight-loss materials. </w:t>
      </w:r>
      <w:r>
        <w:rPr>
          <w:i/>
          <w:iCs/>
          <w:noProof/>
        </w:rPr>
        <w:t xml:space="preserve">Health Psychol </w:t>
      </w:r>
      <w:r>
        <w:rPr>
          <w:noProof/>
        </w:rPr>
        <w:t xml:space="preserve">1999;18:487-494. </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Petty RE and Cacioppo JT. The Elaboration Likelihood Model of persuasion. </w:t>
      </w:r>
      <w:r w:rsidRPr="00A02F7D">
        <w:rPr>
          <w:i/>
          <w:iCs/>
          <w:noProof/>
        </w:rPr>
        <w:t xml:space="preserve">Adv Exp Soc Psychol </w:t>
      </w:r>
      <w:r w:rsidRPr="00A02F7D">
        <w:rPr>
          <w:noProof/>
        </w:rPr>
        <w:t xml:space="preserve">1986; 19: 123–205. </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DiClemente CC, Marinilli AS, Singh M, et al. The role of feedback in the process of health behavior change. </w:t>
      </w:r>
      <w:r w:rsidRPr="00A02F7D">
        <w:rPr>
          <w:i/>
          <w:iCs/>
          <w:noProof/>
        </w:rPr>
        <w:t xml:space="preserve">Am J Health Behav </w:t>
      </w:r>
      <w:r w:rsidRPr="00A02F7D">
        <w:rPr>
          <w:noProof/>
        </w:rPr>
        <w:t xml:space="preserve">2001; 25(3): 217–227. </w:t>
      </w:r>
    </w:p>
    <w:p w:rsidR="00C4711F" w:rsidRDefault="00C4711F" w:rsidP="00C4711F">
      <w:pPr>
        <w:pStyle w:val="NormalWeb"/>
        <w:numPr>
          <w:ilvl w:val="0"/>
          <w:numId w:val="36"/>
        </w:numPr>
        <w:spacing w:before="0" w:beforeAutospacing="0" w:after="0" w:afterAutospacing="0" w:line="480" w:lineRule="auto"/>
        <w:rPr>
          <w:noProof/>
        </w:rPr>
      </w:pPr>
      <w:r w:rsidRPr="00A02F7D">
        <w:rPr>
          <w:noProof/>
        </w:rPr>
        <w:t xml:space="preserve">Dijkstra A, De Vries H. The development of computer-generated tailored interventions. </w:t>
      </w:r>
      <w:r w:rsidRPr="00A02F7D">
        <w:rPr>
          <w:i/>
          <w:noProof/>
        </w:rPr>
        <w:t>Patient Educ Couns</w:t>
      </w:r>
      <w:r w:rsidRPr="00A02F7D">
        <w:rPr>
          <w:noProof/>
        </w:rPr>
        <w:t xml:space="preserve"> 1999; 36: 193-203. </w:t>
      </w:r>
    </w:p>
    <w:p w:rsidR="00C4711F" w:rsidRPr="00A02F7D" w:rsidRDefault="00C4711F" w:rsidP="00C4711F">
      <w:pPr>
        <w:pStyle w:val="NormalWeb"/>
        <w:numPr>
          <w:ilvl w:val="0"/>
          <w:numId w:val="36"/>
        </w:numPr>
        <w:spacing w:before="0" w:beforeAutospacing="0" w:after="0" w:afterAutospacing="0" w:line="480" w:lineRule="auto"/>
        <w:rPr>
          <w:noProof/>
        </w:rPr>
      </w:pPr>
      <w:r w:rsidRPr="00A02F7D">
        <w:rPr>
          <w:noProof/>
        </w:rPr>
        <w:t xml:space="preserve">Rogers TB, Kuiper NA and Kirker WS. Self-reference and the encoding of personal information. </w:t>
      </w:r>
      <w:r w:rsidRPr="00A02F7D">
        <w:rPr>
          <w:i/>
          <w:iCs/>
          <w:noProof/>
        </w:rPr>
        <w:t xml:space="preserve">J Pers Soc Psychol </w:t>
      </w:r>
      <w:r w:rsidRPr="00A02F7D">
        <w:rPr>
          <w:noProof/>
        </w:rPr>
        <w:t xml:space="preserve">1977; 35(9): 677–688. </w:t>
      </w:r>
    </w:p>
    <w:p w:rsidR="00C4711F" w:rsidRDefault="00C4711F" w:rsidP="00C4711F">
      <w:pPr>
        <w:pStyle w:val="NormalWeb"/>
        <w:numPr>
          <w:ilvl w:val="0"/>
          <w:numId w:val="36"/>
        </w:numPr>
        <w:spacing w:before="0" w:beforeAutospacing="0" w:after="0" w:afterAutospacing="0" w:line="480" w:lineRule="auto"/>
        <w:rPr>
          <w:noProof/>
        </w:rPr>
      </w:pPr>
      <w:r w:rsidRPr="00A02F7D">
        <w:rPr>
          <w:noProof/>
        </w:rPr>
        <w:t xml:space="preserve">Dijkstra, A. Working mechanisms of computer-tailored health education: evidence from smoking cessation. </w:t>
      </w:r>
      <w:r w:rsidRPr="00A02F7D">
        <w:rPr>
          <w:i/>
          <w:iCs/>
          <w:noProof/>
        </w:rPr>
        <w:t xml:space="preserve">Health Educ Res </w:t>
      </w:r>
      <w:r w:rsidRPr="00A02F7D">
        <w:rPr>
          <w:noProof/>
        </w:rPr>
        <w:t>2005; 20(5): 527–39.</w:t>
      </w:r>
    </w:p>
    <w:p w:rsidR="00336144" w:rsidRDefault="00336144" w:rsidP="00336144">
      <w:pPr>
        <w:pStyle w:val="NormalWeb"/>
        <w:numPr>
          <w:ilvl w:val="0"/>
          <w:numId w:val="36"/>
        </w:numPr>
        <w:spacing w:before="0" w:beforeAutospacing="0" w:after="0" w:afterAutospacing="0" w:line="480" w:lineRule="auto"/>
        <w:rPr>
          <w:noProof/>
        </w:rPr>
      </w:pPr>
      <w:r w:rsidRPr="00A02F7D">
        <w:rPr>
          <w:noProof/>
        </w:rPr>
        <w:t xml:space="preserve">Petty RE, Rucker D, Bizer G, et al. The elaboration likelihood model of persuasion. In: Seiter JS and Glass GH (eds), </w:t>
      </w:r>
      <w:r w:rsidRPr="00A02F7D">
        <w:rPr>
          <w:i/>
          <w:iCs/>
          <w:noProof/>
        </w:rPr>
        <w:t>Perspectives on persuasion, social influence and compliance gaining</w:t>
      </w:r>
      <w:r w:rsidRPr="00A02F7D">
        <w:rPr>
          <w:noProof/>
        </w:rPr>
        <w:t>. Boston: Allyn &amp; Bacon, 2004, pp.65-89.</w:t>
      </w:r>
    </w:p>
    <w:p w:rsidR="00C4711F" w:rsidRPr="00A02F7D" w:rsidRDefault="00C4711F" w:rsidP="00C4711F">
      <w:pPr>
        <w:pStyle w:val="NormalWeb"/>
        <w:numPr>
          <w:ilvl w:val="0"/>
          <w:numId w:val="36"/>
        </w:numPr>
        <w:spacing w:before="0" w:beforeAutospacing="0" w:after="0" w:afterAutospacing="0" w:line="480" w:lineRule="auto"/>
        <w:rPr>
          <w:noProof/>
        </w:rPr>
      </w:pPr>
      <w:r w:rsidRPr="00A02F7D">
        <w:rPr>
          <w:noProof/>
        </w:rPr>
        <w:lastRenderedPageBreak/>
        <w:t xml:space="preserve">Updegraff JA, Sherman DK, Luyster FS, et al. The effects of message quality and congruency on perceptions of tailored health communications. </w:t>
      </w:r>
      <w:r w:rsidRPr="00A02F7D">
        <w:rPr>
          <w:i/>
          <w:iCs/>
          <w:noProof/>
        </w:rPr>
        <w:t xml:space="preserve">J Exp Soc Psychol </w:t>
      </w:r>
      <w:r w:rsidRPr="00A02F7D">
        <w:rPr>
          <w:noProof/>
        </w:rPr>
        <w:t xml:space="preserve">2007; 43(2): 249–257. </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Oenema A, Tan F and Brug J. Short-term efficacy of a web-based computer-tailored nutrition intervention: main effects and mediators. </w:t>
      </w:r>
      <w:r w:rsidRPr="00A02F7D">
        <w:rPr>
          <w:i/>
          <w:iCs/>
          <w:noProof/>
        </w:rPr>
        <w:t xml:space="preserve">Ann Behav Med </w:t>
      </w:r>
      <w:r w:rsidRPr="00A02F7D">
        <w:rPr>
          <w:noProof/>
        </w:rPr>
        <w:t xml:space="preserve">2005; 29(1): 54–63. </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Yardley L, Morrison L, Bradbury K, Muller I. The person-based approach to intervention development: Application to digital health-related behavior change interventions. </w:t>
      </w:r>
      <w:r w:rsidRPr="00A02F7D">
        <w:rPr>
          <w:i/>
          <w:noProof/>
        </w:rPr>
        <w:t>J Med Internet Res</w:t>
      </w:r>
      <w:r w:rsidRPr="00A02F7D">
        <w:rPr>
          <w:noProof/>
        </w:rPr>
        <w:t xml:space="preserve"> 2015; 17(1): e30.  </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Dijkstra, A. The psychology of tailoring-ingredients in computer-tailored persuasion. </w:t>
      </w:r>
      <w:r w:rsidRPr="00A02F7D">
        <w:rPr>
          <w:i/>
          <w:iCs/>
          <w:noProof/>
        </w:rPr>
        <w:t xml:space="preserve">Soc Personal Psychol Compass </w:t>
      </w:r>
      <w:r w:rsidRPr="00A02F7D">
        <w:rPr>
          <w:noProof/>
        </w:rPr>
        <w:t>2008; 2(2): 765–784.</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Danaher BG, McKay HG and Seeley JR. The information architecture of behavior change websites. </w:t>
      </w:r>
      <w:r w:rsidRPr="00A02F7D">
        <w:rPr>
          <w:i/>
          <w:iCs/>
          <w:noProof/>
        </w:rPr>
        <w:t>J Med Internet Res</w:t>
      </w:r>
      <w:r w:rsidRPr="00A02F7D">
        <w:rPr>
          <w:noProof/>
        </w:rPr>
        <w:t xml:space="preserve"> 2005; 7(2): e12. </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Ryan R and Deci E. Self-determination theory and the facilitation of intrinsic motivation, social development, and well-being. </w:t>
      </w:r>
      <w:r w:rsidRPr="00A02F7D">
        <w:rPr>
          <w:i/>
          <w:iCs/>
          <w:noProof/>
        </w:rPr>
        <w:t xml:space="preserve">Am Psychol </w:t>
      </w:r>
      <w:r w:rsidRPr="00A02F7D">
        <w:rPr>
          <w:noProof/>
        </w:rPr>
        <w:t>2000; 55(1): 68–78.</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Deci EL, Eghrari H, Patrick BC, et al. Facilitating internalization: the self-determination theory perspective. </w:t>
      </w:r>
      <w:r w:rsidRPr="00A02F7D">
        <w:rPr>
          <w:i/>
          <w:iCs/>
          <w:noProof/>
        </w:rPr>
        <w:t xml:space="preserve">J Pers </w:t>
      </w:r>
      <w:r w:rsidRPr="00A02F7D">
        <w:rPr>
          <w:noProof/>
        </w:rPr>
        <w:t xml:space="preserve">1994; 62(1): 119–42. </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lastRenderedPageBreak/>
        <w:t xml:space="preserve">Yardley L, Ware LJ, Smith ER, et al. Randomised controlled feasibility trial of a web-based weight management intervention with nurse support for obese patients in primary care. </w:t>
      </w:r>
      <w:r w:rsidRPr="00A02F7D">
        <w:rPr>
          <w:i/>
          <w:noProof/>
        </w:rPr>
        <w:t>Int J Behav Nutr Phys Act</w:t>
      </w:r>
      <w:r w:rsidRPr="00A02F7D">
        <w:rPr>
          <w:noProof/>
        </w:rPr>
        <w:t xml:space="preserve"> 2014; 11: 67. </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Deci EL, Koestner R and Ryan RM. A meta-analytic review of experiments examining the effects of extrinsic rewards on intrinsic motivation. </w:t>
      </w:r>
      <w:r w:rsidRPr="00A02F7D">
        <w:rPr>
          <w:i/>
          <w:iCs/>
          <w:noProof/>
        </w:rPr>
        <w:t xml:space="preserve">Psychol Bull </w:t>
      </w:r>
      <w:r w:rsidRPr="00A02F7D">
        <w:rPr>
          <w:noProof/>
        </w:rPr>
        <w:t>1999; 125(6): 627–668.</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Ryan RM, Patrick H, Deci EL, et al. Facilitating health behaviour change and its maintenance: Interventions based on Self-Determination Theory. </w:t>
      </w:r>
      <w:r w:rsidRPr="00A02F7D">
        <w:rPr>
          <w:i/>
          <w:iCs/>
          <w:noProof/>
        </w:rPr>
        <w:t xml:space="preserve">Eur Health Psychol </w:t>
      </w:r>
      <w:r w:rsidRPr="00A02F7D">
        <w:rPr>
          <w:noProof/>
        </w:rPr>
        <w:t xml:space="preserve">2008; 10(1): 2-5. </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Deci E. </w:t>
      </w:r>
      <w:r w:rsidRPr="00A02F7D">
        <w:rPr>
          <w:i/>
          <w:iCs/>
          <w:noProof/>
        </w:rPr>
        <w:t>The psychology of self-determination</w:t>
      </w:r>
      <w:r w:rsidRPr="00A02F7D">
        <w:rPr>
          <w:noProof/>
        </w:rPr>
        <w:t>. Lexington, MA: Health, 1980.</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Yardley L, Miller S, Teasdale E, et al. Using mixed methods to design a web-based behavioural intervention to reduce transmission of colds and flu. </w:t>
      </w:r>
      <w:r w:rsidRPr="00A02F7D">
        <w:rPr>
          <w:i/>
          <w:noProof/>
        </w:rPr>
        <w:t>J Health Psychol</w:t>
      </w:r>
      <w:r w:rsidRPr="00A02F7D">
        <w:rPr>
          <w:noProof/>
        </w:rPr>
        <w:t xml:space="preserve"> 2011; 16(2): 353-364.</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Wallston BS, Wallston KA, Kaplan GD, et al. Development and validation of the health locus of control (HLC) scale. </w:t>
      </w:r>
      <w:r w:rsidRPr="00A02F7D">
        <w:rPr>
          <w:i/>
          <w:noProof/>
        </w:rPr>
        <w:t xml:space="preserve">J Consult Clin Psychol </w:t>
      </w:r>
      <w:r w:rsidRPr="00A02F7D">
        <w:rPr>
          <w:noProof/>
        </w:rPr>
        <w:t xml:space="preserve">1976; 44(4): 580-585. </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Wallston BS and Wallston KA. Locus of control and health: A review of the literature. </w:t>
      </w:r>
      <w:r w:rsidRPr="00A02F7D">
        <w:rPr>
          <w:i/>
          <w:iCs/>
          <w:noProof/>
        </w:rPr>
        <w:t xml:space="preserve">Health Educ Behav </w:t>
      </w:r>
      <w:r w:rsidRPr="00A02F7D">
        <w:rPr>
          <w:noProof/>
        </w:rPr>
        <w:t xml:space="preserve">1978; 6(1): 107–117. </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Morrison L, Moss-Morris R, Michie S, et al. Optimizing engagement with Internet-based health behaviour change interventions: Comparison of self-</w:t>
      </w:r>
      <w:r w:rsidRPr="00A02F7D">
        <w:rPr>
          <w:noProof/>
        </w:rPr>
        <w:lastRenderedPageBreak/>
        <w:t xml:space="preserve">assessment with and without tailored feedback using a mixed methods approach. </w:t>
      </w:r>
      <w:r w:rsidRPr="00A02F7D">
        <w:rPr>
          <w:i/>
          <w:noProof/>
        </w:rPr>
        <w:t xml:space="preserve">Br J Health Psychol </w:t>
      </w:r>
      <w:r w:rsidRPr="00A02F7D">
        <w:rPr>
          <w:noProof/>
        </w:rPr>
        <w:t xml:space="preserve">2014; 19(4): 839-855.    </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Locke E and Latham G. </w:t>
      </w:r>
      <w:r w:rsidRPr="00A02F7D">
        <w:rPr>
          <w:i/>
          <w:iCs/>
          <w:noProof/>
        </w:rPr>
        <w:t>A theory of goal setting and task performance</w:t>
      </w:r>
      <w:r w:rsidRPr="00A02F7D">
        <w:rPr>
          <w:noProof/>
        </w:rPr>
        <w:t>. Eaglewood Cliffs, NJ: Prentice Hall, 1990.</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Glanz K and Bishop DB. The role of behavioral science theory in development and implementation of public health interventions. </w:t>
      </w:r>
      <w:r w:rsidRPr="00A02F7D">
        <w:rPr>
          <w:i/>
          <w:iCs/>
          <w:noProof/>
        </w:rPr>
        <w:t xml:space="preserve">Ann Rev Pub Health </w:t>
      </w:r>
      <w:r w:rsidRPr="00A02F7D">
        <w:rPr>
          <w:noProof/>
        </w:rPr>
        <w:t xml:space="preserve">2010; 31: 399–418. </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Klein HJ, Whitener EM and Ilgen DR. The role of goal specificity in the goal-setting process. </w:t>
      </w:r>
      <w:r w:rsidRPr="00A02F7D">
        <w:rPr>
          <w:i/>
          <w:iCs/>
          <w:noProof/>
        </w:rPr>
        <w:t xml:space="preserve">Motiv Emot </w:t>
      </w:r>
      <w:r w:rsidRPr="00A02F7D">
        <w:rPr>
          <w:noProof/>
        </w:rPr>
        <w:t xml:space="preserve">1990; 14(3): 179–193. </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Bandura A. Health promotion by social cognitive means. </w:t>
      </w:r>
      <w:r w:rsidRPr="00A02F7D">
        <w:rPr>
          <w:i/>
          <w:iCs/>
          <w:noProof/>
        </w:rPr>
        <w:t xml:space="preserve">Health Educ Behav </w:t>
      </w:r>
      <w:r w:rsidRPr="00A02F7D">
        <w:rPr>
          <w:noProof/>
        </w:rPr>
        <w:t xml:space="preserve">2004: 31(2): 143–64. </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Locke EA and Latham GP. Building a practically useful theory of goal setting and task motivation: A 35-year odyssey. </w:t>
      </w:r>
      <w:r w:rsidRPr="00A02F7D">
        <w:rPr>
          <w:i/>
          <w:iCs/>
          <w:noProof/>
        </w:rPr>
        <w:t xml:space="preserve">Am Psychol </w:t>
      </w:r>
      <w:r w:rsidRPr="00A02F7D">
        <w:rPr>
          <w:noProof/>
        </w:rPr>
        <w:t xml:space="preserve">2002; 57(9): 705–717. </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Latham GP and Seijts GH. The effects of proximal and distal goals on performance on a moderately complex task. </w:t>
      </w:r>
      <w:r w:rsidRPr="00A02F7D">
        <w:rPr>
          <w:i/>
          <w:iCs/>
          <w:noProof/>
        </w:rPr>
        <w:t xml:space="preserve">J Organiz Behav </w:t>
      </w:r>
      <w:r w:rsidRPr="00A02F7D">
        <w:rPr>
          <w:noProof/>
        </w:rPr>
        <w:t xml:space="preserve">1999; 20(4): 421–429. </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Shilts MK, Horowitz M and Townsend MS. Goal setting as a strategy for dietary and physical activity behavior change: A review of the literature. </w:t>
      </w:r>
      <w:r w:rsidRPr="00A02F7D">
        <w:rPr>
          <w:i/>
          <w:iCs/>
          <w:noProof/>
        </w:rPr>
        <w:t xml:space="preserve">Am J Health Prom </w:t>
      </w:r>
      <w:r w:rsidRPr="00A02F7D">
        <w:rPr>
          <w:noProof/>
        </w:rPr>
        <w:t xml:space="preserve">2004; 19(2): 81–93. </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lastRenderedPageBreak/>
        <w:t xml:space="preserve">Winters D and Latham GP. The effect of learning versus outcome goals on a simple versus a complex task. </w:t>
      </w:r>
      <w:r w:rsidRPr="00A02F7D">
        <w:rPr>
          <w:i/>
          <w:iCs/>
          <w:noProof/>
        </w:rPr>
        <w:t xml:space="preserve">Group Organiz Manage </w:t>
      </w:r>
      <w:r w:rsidRPr="00A02F7D">
        <w:rPr>
          <w:noProof/>
        </w:rPr>
        <w:t>1996; 21(2): 236–250.</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Yardley L, Williams S, Bradbury K, et al. Integrating user perspectives into the development of a web-based weight management intervention. </w:t>
      </w:r>
      <w:r w:rsidRPr="00A02F7D">
        <w:rPr>
          <w:i/>
          <w:noProof/>
        </w:rPr>
        <w:t>Clin Obesity</w:t>
      </w:r>
      <w:r w:rsidRPr="00A02F7D">
        <w:rPr>
          <w:noProof/>
        </w:rPr>
        <w:t xml:space="preserve"> 2012; 2(5-6): 132-141.</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Bandura A and Cervone D. Self-evaluative and self-efficacy mechanisms governing the motivational effects of goal systems. </w:t>
      </w:r>
      <w:r w:rsidRPr="00A02F7D">
        <w:rPr>
          <w:i/>
          <w:iCs/>
          <w:noProof/>
        </w:rPr>
        <w:t xml:space="preserve">J Pers Soc Psychol </w:t>
      </w:r>
      <w:r w:rsidRPr="00A02F7D">
        <w:rPr>
          <w:noProof/>
        </w:rPr>
        <w:t xml:space="preserve">1983; 45(5): 1017–1028. </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Scheier M and Carver C. Goals and confidence as self-regulatory elements underlying health and illness behaviour. In: Cameron L and Leventhal H (eds) </w:t>
      </w:r>
      <w:r w:rsidRPr="00A02F7D">
        <w:rPr>
          <w:i/>
          <w:iCs/>
          <w:noProof/>
        </w:rPr>
        <w:t>The self-regulation of health and illness behaviour</w:t>
      </w:r>
      <w:r w:rsidRPr="00A02F7D">
        <w:rPr>
          <w:noProof/>
        </w:rPr>
        <w:t xml:space="preserve">. London: Routledge, 2003, pp.17-41.  </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Fishbach A and Dhar R. Goals as excuses or guides: The liberating effect of perceived goal progress on choice. </w:t>
      </w:r>
      <w:r w:rsidRPr="00A02F7D">
        <w:rPr>
          <w:i/>
          <w:iCs/>
          <w:noProof/>
        </w:rPr>
        <w:t xml:space="preserve">J Consum Res </w:t>
      </w:r>
      <w:r w:rsidRPr="00A02F7D">
        <w:rPr>
          <w:noProof/>
        </w:rPr>
        <w:t xml:space="preserve">2005; 32(3): 370–377. </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Schwarzer R and Renner B. Social-cognitive predictors of health behavior: Action self-efficacy and coping self-efficacy. </w:t>
      </w:r>
      <w:r w:rsidRPr="00A02F7D">
        <w:rPr>
          <w:i/>
          <w:iCs/>
          <w:noProof/>
        </w:rPr>
        <w:t xml:space="preserve">Health Psychol </w:t>
      </w:r>
      <w:r w:rsidRPr="00A02F7D">
        <w:rPr>
          <w:noProof/>
        </w:rPr>
        <w:t>2000; 19(5): 487–495.</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Leventhal H, Brissette I and Leventhal E. The common-sense model of self-regulation and illness. In: Cameron L and Leventhal H (eds) </w:t>
      </w:r>
      <w:r w:rsidRPr="00A02F7D">
        <w:rPr>
          <w:i/>
          <w:iCs/>
          <w:noProof/>
        </w:rPr>
        <w:t>The self-regulation of health and illness</w:t>
      </w:r>
      <w:r w:rsidRPr="00A02F7D">
        <w:rPr>
          <w:noProof/>
        </w:rPr>
        <w:t>. London: Routledge, 2003, pp.42-65.</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lastRenderedPageBreak/>
        <w:t xml:space="preserve">Hall PA and Fong GT. The effects of a brief time perspective intervention for increasing physical activity among young adults. </w:t>
      </w:r>
      <w:r w:rsidRPr="00A02F7D">
        <w:rPr>
          <w:i/>
          <w:iCs/>
          <w:noProof/>
        </w:rPr>
        <w:t xml:space="preserve">Psychol Health </w:t>
      </w:r>
      <w:r w:rsidRPr="00A02F7D">
        <w:rPr>
          <w:noProof/>
        </w:rPr>
        <w:t xml:space="preserve">2003; 18(6): 685–706. </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Hall PA and Fong GT. Temporal self-regulation theory: A model for individual health behavior. </w:t>
      </w:r>
      <w:r w:rsidRPr="00A02F7D">
        <w:rPr>
          <w:i/>
          <w:iCs/>
          <w:noProof/>
        </w:rPr>
        <w:t xml:space="preserve">Health Psychol Rev </w:t>
      </w:r>
      <w:r w:rsidRPr="00A02F7D">
        <w:rPr>
          <w:noProof/>
        </w:rPr>
        <w:t>2007; 1(1): 6–52.</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Okun MA and Karoly P. Perceived goal ownership, regulatory goal cognition, and health behavior change. </w:t>
      </w:r>
      <w:r w:rsidRPr="00A02F7D">
        <w:rPr>
          <w:i/>
          <w:iCs/>
          <w:noProof/>
        </w:rPr>
        <w:t xml:space="preserve">Am J Health Behav </w:t>
      </w:r>
      <w:r w:rsidRPr="00A02F7D">
        <w:rPr>
          <w:noProof/>
        </w:rPr>
        <w:t>2007; 31(1): 98–109.</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Gebhardt W. On multiple goals and continuous conflict. </w:t>
      </w:r>
      <w:r w:rsidRPr="00A02F7D">
        <w:rPr>
          <w:i/>
          <w:iCs/>
          <w:noProof/>
        </w:rPr>
        <w:t xml:space="preserve">Eur Health Psychol </w:t>
      </w:r>
      <w:r w:rsidRPr="00A02F7D">
        <w:rPr>
          <w:noProof/>
        </w:rPr>
        <w:t xml:space="preserve">2008; 10(2): 25–28.   </w:t>
      </w:r>
    </w:p>
    <w:p w:rsidR="00882101" w:rsidRDefault="00336144" w:rsidP="00336144">
      <w:pPr>
        <w:pStyle w:val="NormalWeb"/>
        <w:numPr>
          <w:ilvl w:val="0"/>
          <w:numId w:val="36"/>
        </w:numPr>
        <w:spacing w:before="0" w:beforeAutospacing="0" w:after="0" w:afterAutospacing="0" w:line="480" w:lineRule="auto"/>
        <w:rPr>
          <w:noProof/>
        </w:rPr>
      </w:pPr>
      <w:r w:rsidRPr="00A02F7D">
        <w:rPr>
          <w:noProof/>
        </w:rPr>
        <w:t xml:space="preserve">Karoly P, Ruehlman LS, Okun MA, et al. Perceived self-regulation of exercise goals and interfering goals among regular and irregular exercisers: a life space analysis. </w:t>
      </w:r>
      <w:r w:rsidRPr="00A02F7D">
        <w:rPr>
          <w:i/>
          <w:iCs/>
          <w:noProof/>
        </w:rPr>
        <w:t xml:space="preserve">Psychol Sport Exercise </w:t>
      </w:r>
      <w:r w:rsidRPr="00A02F7D">
        <w:rPr>
          <w:noProof/>
        </w:rPr>
        <w:t>2004; 6(4): 427–442.</w:t>
      </w:r>
    </w:p>
    <w:p w:rsidR="00336144" w:rsidRPr="00A02F7D" w:rsidRDefault="000F63D6" w:rsidP="00336144">
      <w:pPr>
        <w:pStyle w:val="NormalWeb"/>
        <w:numPr>
          <w:ilvl w:val="0"/>
          <w:numId w:val="36"/>
        </w:numPr>
        <w:spacing w:before="0" w:beforeAutospacing="0" w:after="0" w:afterAutospacing="0" w:line="480" w:lineRule="auto"/>
        <w:rPr>
          <w:noProof/>
        </w:rPr>
      </w:pPr>
      <w:r>
        <w:rPr>
          <w:noProof/>
        </w:rPr>
        <w:t xml:space="preserve">Sheeran P, Milne S, Webb TL, et al. Implementation intentions and health behaviour. In: Conner M and Norman P (eds) </w:t>
      </w:r>
      <w:r>
        <w:rPr>
          <w:i/>
          <w:iCs/>
          <w:noProof/>
        </w:rPr>
        <w:t xml:space="preserve">Predicting health behaviour: Research and practice with social cognition models </w:t>
      </w:r>
      <w:r>
        <w:rPr>
          <w:noProof/>
        </w:rPr>
        <w:t>(2</w:t>
      </w:r>
      <w:r w:rsidRPr="000F63D6">
        <w:rPr>
          <w:noProof/>
          <w:vertAlign w:val="superscript"/>
        </w:rPr>
        <w:t>nd</w:t>
      </w:r>
      <w:r>
        <w:rPr>
          <w:noProof/>
        </w:rPr>
        <w:t xml:space="preserve"> ed). Buckingham: Open University Press, 2005, pp.276 – 323. </w:t>
      </w:r>
      <w:r w:rsidR="00336144" w:rsidRPr="00A02F7D">
        <w:rPr>
          <w:noProof/>
        </w:rPr>
        <w:t xml:space="preserve"> </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Benbassat J, Pilpel D and Tidhar M. Patients’ preferences for participation in clinical decision making: a review of published surveys. </w:t>
      </w:r>
      <w:r w:rsidRPr="00A02F7D">
        <w:rPr>
          <w:i/>
          <w:iCs/>
          <w:noProof/>
        </w:rPr>
        <w:t xml:space="preserve">Behav Med </w:t>
      </w:r>
      <w:r w:rsidRPr="00A02F7D">
        <w:rPr>
          <w:noProof/>
        </w:rPr>
        <w:t xml:space="preserve">1998; 24(2): 81–8. </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lastRenderedPageBreak/>
        <w:t xml:space="preserve">Deber RB, Kraetschmer N, Urowitz S, et al. Do people want to be autonomous patients? Preferred roles in treatment decision-making in several patient populations. </w:t>
      </w:r>
      <w:r w:rsidRPr="00A02F7D">
        <w:rPr>
          <w:i/>
          <w:iCs/>
          <w:noProof/>
        </w:rPr>
        <w:t xml:space="preserve">Health Expect </w:t>
      </w:r>
      <w:r w:rsidRPr="00A02F7D">
        <w:rPr>
          <w:noProof/>
        </w:rPr>
        <w:t xml:space="preserve">2007; 10(3): 248–58. </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Swenson SL, Buell S, Zettler P, et al. Patient-centered communication: do patients really prefer it? </w:t>
      </w:r>
      <w:r w:rsidRPr="00A02F7D">
        <w:rPr>
          <w:i/>
          <w:iCs/>
          <w:noProof/>
        </w:rPr>
        <w:t xml:space="preserve">J Gen Intern Med </w:t>
      </w:r>
      <w:r w:rsidRPr="00A02F7D">
        <w:rPr>
          <w:noProof/>
        </w:rPr>
        <w:t xml:space="preserve">2004; 19(11), 1069–79. </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O’Donnell M and Hunskaar S. Preferences for involvement in treatment decision-making generally and in hormone replacement and urinary incontinence treatment decision-making specifically. </w:t>
      </w:r>
      <w:r w:rsidRPr="00A02F7D">
        <w:rPr>
          <w:i/>
          <w:iCs/>
          <w:noProof/>
        </w:rPr>
        <w:t xml:space="preserve">Patient Educ Couns </w:t>
      </w:r>
      <w:r w:rsidRPr="00A02F7D">
        <w:rPr>
          <w:noProof/>
        </w:rPr>
        <w:t xml:space="preserve">2007; 68(3): 243–51. </w:t>
      </w:r>
    </w:p>
    <w:p w:rsidR="00336144" w:rsidRDefault="00336144" w:rsidP="00336144">
      <w:pPr>
        <w:pStyle w:val="NormalWeb"/>
        <w:numPr>
          <w:ilvl w:val="0"/>
          <w:numId w:val="36"/>
        </w:numPr>
        <w:spacing w:before="0" w:beforeAutospacing="0" w:after="0" w:afterAutospacing="0" w:line="480" w:lineRule="auto"/>
        <w:rPr>
          <w:noProof/>
        </w:rPr>
      </w:pPr>
      <w:r w:rsidRPr="00A02F7D">
        <w:rPr>
          <w:noProof/>
        </w:rPr>
        <w:t xml:space="preserve">Flynn KE, Smith MA and Vanness D. A typology of preferences for participation in healthcare decision making. </w:t>
      </w:r>
      <w:r w:rsidRPr="00A02F7D">
        <w:rPr>
          <w:i/>
          <w:iCs/>
          <w:noProof/>
        </w:rPr>
        <w:t xml:space="preserve">Soc Sci Med </w:t>
      </w:r>
      <w:r w:rsidRPr="00A02F7D">
        <w:rPr>
          <w:noProof/>
        </w:rPr>
        <w:t xml:space="preserve">2006; 63(5): 1158–69. </w:t>
      </w:r>
    </w:p>
    <w:p w:rsidR="00C4711F" w:rsidRPr="00A02F7D" w:rsidRDefault="00C4711F" w:rsidP="00C4711F">
      <w:pPr>
        <w:pStyle w:val="NormalWeb"/>
        <w:numPr>
          <w:ilvl w:val="0"/>
          <w:numId w:val="36"/>
        </w:numPr>
        <w:spacing w:before="0" w:beforeAutospacing="0" w:after="0" w:afterAutospacing="0" w:line="480" w:lineRule="auto"/>
        <w:rPr>
          <w:noProof/>
        </w:rPr>
      </w:pPr>
      <w:r w:rsidRPr="00A02F7D">
        <w:rPr>
          <w:noProof/>
        </w:rPr>
        <w:t xml:space="preserve">Kiesler DJ and Auerbach SM. Optimal matches of patient preferences for information, decision-making and interpersonal behavior: evidence, models and interventions. </w:t>
      </w:r>
      <w:r w:rsidRPr="00A02F7D">
        <w:rPr>
          <w:i/>
          <w:iCs/>
          <w:noProof/>
        </w:rPr>
        <w:t xml:space="preserve">Patient Educ Couns </w:t>
      </w:r>
      <w:r>
        <w:rPr>
          <w:noProof/>
        </w:rPr>
        <w:t>2006; 61(3): 319–41.</w:t>
      </w:r>
    </w:p>
    <w:p w:rsidR="00336144" w:rsidRDefault="00336144" w:rsidP="00336144">
      <w:pPr>
        <w:pStyle w:val="NormalWeb"/>
        <w:numPr>
          <w:ilvl w:val="0"/>
          <w:numId w:val="36"/>
        </w:numPr>
        <w:spacing w:before="0" w:beforeAutospacing="0" w:after="0" w:afterAutospacing="0" w:line="480" w:lineRule="auto"/>
        <w:rPr>
          <w:noProof/>
        </w:rPr>
      </w:pPr>
      <w:r w:rsidRPr="00A02F7D">
        <w:rPr>
          <w:noProof/>
        </w:rPr>
        <w:t xml:space="preserve">Dennison L, Morrison L, Lloyd S, et al. Does brief telephone support improve engagement with a web-based weight management intervention? Randomized controlled trial. </w:t>
      </w:r>
      <w:r w:rsidRPr="00A02F7D">
        <w:rPr>
          <w:i/>
          <w:noProof/>
        </w:rPr>
        <w:t>J Med Internet Res</w:t>
      </w:r>
      <w:r w:rsidRPr="00A02F7D">
        <w:rPr>
          <w:noProof/>
        </w:rPr>
        <w:t xml:space="preserve"> 2014; 16(3): e95. </w:t>
      </w:r>
    </w:p>
    <w:p w:rsidR="00C4711F" w:rsidRPr="00A02F7D" w:rsidRDefault="00C4711F" w:rsidP="00336144">
      <w:pPr>
        <w:pStyle w:val="NormalWeb"/>
        <w:numPr>
          <w:ilvl w:val="0"/>
          <w:numId w:val="36"/>
        </w:numPr>
        <w:spacing w:before="0" w:beforeAutospacing="0" w:after="0" w:afterAutospacing="0" w:line="480" w:lineRule="auto"/>
        <w:rPr>
          <w:noProof/>
        </w:rPr>
      </w:pPr>
      <w:r>
        <w:rPr>
          <w:noProof/>
        </w:rPr>
        <w:t xml:space="preserve">Strecher VJ, McClure JB, Alexander GL. Web-based smoking cessation programs: Results of a randomized trial. </w:t>
      </w:r>
      <w:r>
        <w:rPr>
          <w:i/>
          <w:iCs/>
          <w:noProof/>
        </w:rPr>
        <w:t xml:space="preserve">Am J Prev Med </w:t>
      </w:r>
      <w:r>
        <w:rPr>
          <w:noProof/>
        </w:rPr>
        <w:t xml:space="preserve">2008, 34(5): 373-381. </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lastRenderedPageBreak/>
        <w:t xml:space="preserve">Yardley L, Morrison LG, Andreou P, et al. Understanding reactions to an internet-delivered health-care intervention: accommodating user preferences for information provision. </w:t>
      </w:r>
      <w:r w:rsidRPr="00A02F7D">
        <w:rPr>
          <w:i/>
          <w:iCs/>
          <w:noProof/>
        </w:rPr>
        <w:t xml:space="preserve">BMC Med Inf Decis Making </w:t>
      </w:r>
      <w:r w:rsidRPr="00A02F7D">
        <w:rPr>
          <w:noProof/>
        </w:rPr>
        <w:t xml:space="preserve">2010; 10(52): 52. </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House J, Umberson D and Landis K. Structures and processes of social support. </w:t>
      </w:r>
      <w:r w:rsidRPr="00A02F7D">
        <w:rPr>
          <w:i/>
          <w:iCs/>
          <w:noProof/>
        </w:rPr>
        <w:t xml:space="preserve">Annu Rev Soc Psychol </w:t>
      </w:r>
      <w:r w:rsidRPr="00A02F7D">
        <w:rPr>
          <w:noProof/>
        </w:rPr>
        <w:t xml:space="preserve">1988; 14: 293–318. </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Hupcey JE. Clarifying the social support theory-research linkage. </w:t>
      </w:r>
      <w:r w:rsidRPr="00A02F7D">
        <w:rPr>
          <w:i/>
          <w:iCs/>
          <w:noProof/>
        </w:rPr>
        <w:t xml:space="preserve">J Adv Nurs </w:t>
      </w:r>
      <w:r w:rsidRPr="00A02F7D">
        <w:rPr>
          <w:noProof/>
        </w:rPr>
        <w:t xml:space="preserve">1998; 27(6): 1231–1241. </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Cohen S, Gottlieb, B and Underwood L. Social relationships and health. In: Cohen S, Underwood L and Gottlieb B (eds) </w:t>
      </w:r>
      <w:r w:rsidRPr="00A02F7D">
        <w:rPr>
          <w:i/>
          <w:iCs/>
          <w:noProof/>
        </w:rPr>
        <w:t>Social support measurement and intervention: A guide for health and social scientists</w:t>
      </w:r>
      <w:r w:rsidRPr="00A02F7D">
        <w:rPr>
          <w:noProof/>
        </w:rPr>
        <w:t>. New York: Oxford University Press, 2000, pp.3-25.</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Wright KB and Bell SB. Health-related support groups on the Internet: Linking empirical findings to social support and computer-mediated communication theory. </w:t>
      </w:r>
      <w:r w:rsidRPr="00A02F7D">
        <w:rPr>
          <w:i/>
          <w:iCs/>
          <w:noProof/>
        </w:rPr>
        <w:t xml:space="preserve">J Health Psychol </w:t>
      </w:r>
      <w:r w:rsidRPr="00A02F7D">
        <w:rPr>
          <w:noProof/>
        </w:rPr>
        <w:t xml:space="preserve">2003; 8(1): 39–54. </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Lu L and Argyle M. Receiving and giving support: Effects on relationships and well-being. </w:t>
      </w:r>
      <w:r w:rsidRPr="00A02F7D">
        <w:rPr>
          <w:i/>
          <w:iCs/>
          <w:noProof/>
        </w:rPr>
        <w:t xml:space="preserve">Counsel Psychol Quart </w:t>
      </w:r>
      <w:r w:rsidRPr="00A02F7D">
        <w:rPr>
          <w:noProof/>
        </w:rPr>
        <w:t xml:space="preserve">1992; 5(2): 123–133. </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Brown SL, Nesse RM, Vinokur AD, et al. Providing social support may be more beneficial than receiving it: Results from a prospective study of mortality. </w:t>
      </w:r>
      <w:r w:rsidRPr="00A02F7D">
        <w:rPr>
          <w:i/>
          <w:iCs/>
          <w:noProof/>
        </w:rPr>
        <w:t xml:space="preserve">Psychol Sci </w:t>
      </w:r>
      <w:r w:rsidRPr="00A02F7D">
        <w:rPr>
          <w:noProof/>
        </w:rPr>
        <w:t xml:space="preserve">2003; 14(4): 320–327. </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lastRenderedPageBreak/>
        <w:t xml:space="preserve">McConnon A, Kirk SFL and Ransley JK. Process evaluation of an internet-based resource for weight control: use and views of an obese sample. </w:t>
      </w:r>
      <w:r w:rsidRPr="00A02F7D">
        <w:rPr>
          <w:i/>
          <w:iCs/>
          <w:noProof/>
        </w:rPr>
        <w:t xml:space="preserve">J Nutr Educ Behav </w:t>
      </w:r>
      <w:r w:rsidRPr="00A02F7D">
        <w:rPr>
          <w:noProof/>
        </w:rPr>
        <w:t xml:space="preserve">2009; 41(4): 261–7. </w:t>
      </w:r>
    </w:p>
    <w:p w:rsidR="00336144" w:rsidRPr="00A02F7D" w:rsidRDefault="00336144" w:rsidP="00336144">
      <w:pPr>
        <w:pStyle w:val="NormalWeb"/>
        <w:numPr>
          <w:ilvl w:val="0"/>
          <w:numId w:val="36"/>
        </w:numPr>
        <w:spacing w:before="0" w:beforeAutospacing="0" w:after="0" w:afterAutospacing="0" w:line="480" w:lineRule="auto"/>
        <w:rPr>
          <w:noProof/>
        </w:rPr>
      </w:pPr>
      <w:r w:rsidRPr="00A02F7D">
        <w:rPr>
          <w:noProof/>
        </w:rPr>
        <w:t xml:space="preserve">House J, Landis K and Umberson. Social relationships and health. </w:t>
      </w:r>
      <w:r w:rsidRPr="00A02F7D">
        <w:rPr>
          <w:i/>
          <w:iCs/>
          <w:noProof/>
        </w:rPr>
        <w:t xml:space="preserve">Sci </w:t>
      </w:r>
      <w:r w:rsidRPr="00A02F7D">
        <w:rPr>
          <w:noProof/>
        </w:rPr>
        <w:t xml:space="preserve">1988; 241(4865): 540–5. </w:t>
      </w:r>
    </w:p>
    <w:p w:rsidR="00336144" w:rsidRDefault="00336144" w:rsidP="00336144">
      <w:pPr>
        <w:pStyle w:val="NormalWeb"/>
        <w:numPr>
          <w:ilvl w:val="0"/>
          <w:numId w:val="36"/>
        </w:numPr>
        <w:spacing w:before="0" w:beforeAutospacing="0" w:after="0" w:afterAutospacing="0" w:line="480" w:lineRule="auto"/>
        <w:rPr>
          <w:noProof/>
        </w:rPr>
      </w:pPr>
      <w:r w:rsidRPr="00A02F7D">
        <w:rPr>
          <w:noProof/>
        </w:rPr>
        <w:t xml:space="preserve">Kelly RB, Zyzanski SJ and Alemagno SA. Prediction of motivation and behavior change following health promotion: Role of health beliefs, social support, and self-efficacy. </w:t>
      </w:r>
      <w:r w:rsidRPr="00A02F7D">
        <w:rPr>
          <w:i/>
          <w:iCs/>
          <w:noProof/>
        </w:rPr>
        <w:t xml:space="preserve">Soc Sci Med </w:t>
      </w:r>
      <w:r w:rsidRPr="00A02F7D">
        <w:rPr>
          <w:noProof/>
        </w:rPr>
        <w:t xml:space="preserve">1991; 32(3): 311–320. </w:t>
      </w:r>
    </w:p>
    <w:p w:rsidR="007E7A69" w:rsidRPr="00A02F7D" w:rsidRDefault="007E7A69" w:rsidP="00336144">
      <w:pPr>
        <w:pStyle w:val="NormalWeb"/>
        <w:numPr>
          <w:ilvl w:val="0"/>
          <w:numId w:val="36"/>
        </w:numPr>
        <w:spacing w:before="0" w:beforeAutospacing="0" w:after="0" w:afterAutospacing="0" w:line="480" w:lineRule="auto"/>
        <w:rPr>
          <w:noProof/>
        </w:rPr>
      </w:pPr>
      <w:r>
        <w:rPr>
          <w:noProof/>
        </w:rPr>
        <w:t xml:space="preserve">Michie S, Richardson M, Johnston M, et al. The behaviour change technique taxonomy (v1) of 93 hierarchically clustered techniques: Building an international consensus for the reporting of behaviour change interventions. </w:t>
      </w:r>
      <w:r>
        <w:rPr>
          <w:i/>
          <w:iCs/>
          <w:noProof/>
        </w:rPr>
        <w:t>Ann Behav Med</w:t>
      </w:r>
      <w:r>
        <w:rPr>
          <w:noProof/>
        </w:rPr>
        <w:t xml:space="preserve"> 2013;46:81-95. </w:t>
      </w:r>
    </w:p>
    <w:p w:rsidR="0081311C" w:rsidRPr="00A02F7D" w:rsidRDefault="00336144" w:rsidP="0081311C">
      <w:pPr>
        <w:pStyle w:val="NormalWeb"/>
        <w:numPr>
          <w:ilvl w:val="0"/>
          <w:numId w:val="36"/>
        </w:numPr>
        <w:spacing w:before="0" w:beforeAutospacing="0" w:after="0" w:afterAutospacing="0" w:line="480" w:lineRule="auto"/>
        <w:rPr>
          <w:b/>
          <w:bCs/>
        </w:rPr>
        <w:sectPr w:rsidR="0081311C" w:rsidRPr="00A02F7D" w:rsidSect="0081311C">
          <w:pgSz w:w="11901" w:h="16840" w:code="9"/>
          <w:pgMar w:top="2835" w:right="1701" w:bottom="2835" w:left="1701" w:header="709" w:footer="709" w:gutter="0"/>
          <w:cols w:space="708"/>
          <w:docGrid w:linePitch="360"/>
        </w:sectPr>
      </w:pPr>
      <w:r w:rsidRPr="00A02F7D">
        <w:rPr>
          <w:noProof/>
        </w:rPr>
        <w:t xml:space="preserve">Lorig KR and Holman HR. Self-management education: History, definition, outcomes, and mechanisms. </w:t>
      </w:r>
      <w:r w:rsidRPr="00A02F7D">
        <w:rPr>
          <w:i/>
          <w:iCs/>
          <w:noProof/>
        </w:rPr>
        <w:t xml:space="preserve">Ann Behav Med </w:t>
      </w:r>
      <w:r w:rsidRPr="00A02F7D">
        <w:rPr>
          <w:noProof/>
        </w:rPr>
        <w:t>2003; 26(1): 1–7.</w:t>
      </w:r>
      <w:r w:rsidR="0081311C" w:rsidRPr="00A02F7D">
        <w:rPr>
          <w:b/>
          <w:bCs/>
        </w:rPr>
        <w:t xml:space="preserve"> </w:t>
      </w:r>
    </w:p>
    <w:p w:rsidR="00E66188" w:rsidRPr="00A02F7D" w:rsidRDefault="004E56A8" w:rsidP="0081311C">
      <w:pPr>
        <w:pStyle w:val="NormalWeb"/>
        <w:spacing w:before="0" w:beforeAutospacing="0" w:after="0" w:afterAutospacing="0" w:line="480" w:lineRule="auto"/>
      </w:pPr>
      <w:proofErr w:type="gramStart"/>
      <w:r w:rsidRPr="00A02F7D">
        <w:rPr>
          <w:b/>
          <w:bCs/>
        </w:rPr>
        <w:lastRenderedPageBreak/>
        <w:t>Table 1.</w:t>
      </w:r>
      <w:proofErr w:type="gramEnd"/>
      <w:r w:rsidRPr="00A02F7D">
        <w:t xml:space="preserve"> </w:t>
      </w:r>
      <w:proofErr w:type="gramStart"/>
      <w:r w:rsidR="00C91079" w:rsidRPr="00A02F7D">
        <w:t>Theory-based recommendations for the design of Internet-based health interventions</w:t>
      </w:r>
      <w:r w:rsidR="00997B0F" w:rsidRPr="00A02F7D">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6"/>
        <w:gridCol w:w="9780"/>
      </w:tblGrid>
      <w:tr w:rsidR="00AD77F2" w:rsidRPr="00A02F7D" w:rsidTr="00AD77F2">
        <w:tc>
          <w:tcPr>
            <w:tcW w:w="1606" w:type="dxa"/>
            <w:tcBorders>
              <w:top w:val="single" w:sz="4" w:space="0" w:color="auto"/>
              <w:bottom w:val="single" w:sz="4" w:space="0" w:color="auto"/>
            </w:tcBorders>
          </w:tcPr>
          <w:p w:rsidR="00AD77F2" w:rsidRPr="00A02F7D" w:rsidRDefault="00AD77F2" w:rsidP="00246091">
            <w:pPr>
              <w:rPr>
                <w:rFonts w:ascii="Times New Roman" w:hAnsi="Times New Roman" w:cs="Times New Roman"/>
              </w:rPr>
            </w:pPr>
            <w:r w:rsidRPr="00A02F7D">
              <w:rPr>
                <w:rFonts w:ascii="Times New Roman" w:hAnsi="Times New Roman" w:cs="Times New Roman"/>
              </w:rPr>
              <w:t xml:space="preserve">Design Feature </w:t>
            </w:r>
          </w:p>
        </w:tc>
        <w:tc>
          <w:tcPr>
            <w:tcW w:w="9780" w:type="dxa"/>
            <w:tcBorders>
              <w:top w:val="single" w:sz="4" w:space="0" w:color="auto"/>
              <w:bottom w:val="single" w:sz="4" w:space="0" w:color="auto"/>
            </w:tcBorders>
          </w:tcPr>
          <w:p w:rsidR="00AD77F2" w:rsidRPr="00A02F7D" w:rsidRDefault="00AD77F2" w:rsidP="00246091">
            <w:pPr>
              <w:rPr>
                <w:rFonts w:ascii="Times New Roman" w:hAnsi="Times New Roman" w:cs="Times New Roman"/>
              </w:rPr>
            </w:pPr>
            <w:r w:rsidRPr="00A02F7D">
              <w:rPr>
                <w:rFonts w:ascii="Times New Roman" w:hAnsi="Times New Roman" w:cs="Times New Roman"/>
              </w:rPr>
              <w:t>Recommendation</w:t>
            </w:r>
          </w:p>
        </w:tc>
      </w:tr>
      <w:tr w:rsidR="00AD77F2" w:rsidRPr="00A02F7D" w:rsidTr="00AD77F2">
        <w:tc>
          <w:tcPr>
            <w:tcW w:w="1606" w:type="dxa"/>
            <w:tcBorders>
              <w:top w:val="single" w:sz="4" w:space="0" w:color="auto"/>
            </w:tcBorders>
          </w:tcPr>
          <w:p w:rsidR="00AD77F2" w:rsidRPr="00A02F7D" w:rsidRDefault="00AD77F2" w:rsidP="00246091">
            <w:pPr>
              <w:rPr>
                <w:rFonts w:ascii="Times New Roman" w:hAnsi="Times New Roman" w:cs="Times New Roman"/>
              </w:rPr>
            </w:pPr>
            <w:r w:rsidRPr="00A02F7D">
              <w:rPr>
                <w:rFonts w:ascii="Times New Roman" w:hAnsi="Times New Roman" w:cs="Times New Roman"/>
              </w:rPr>
              <w:t>Tailoring</w:t>
            </w:r>
          </w:p>
        </w:tc>
        <w:tc>
          <w:tcPr>
            <w:tcW w:w="9780" w:type="dxa"/>
            <w:tcBorders>
              <w:top w:val="single" w:sz="4" w:space="0" w:color="auto"/>
            </w:tcBorders>
          </w:tcPr>
          <w:p w:rsidR="00AD77F2" w:rsidRPr="00A02F7D" w:rsidRDefault="00AD77F2" w:rsidP="00A131B4">
            <w:pPr>
              <w:pStyle w:val="ListParagraph"/>
              <w:numPr>
                <w:ilvl w:val="0"/>
                <w:numId w:val="31"/>
              </w:numPr>
              <w:spacing w:after="0" w:line="480" w:lineRule="auto"/>
              <w:rPr>
                <w:rFonts w:ascii="Times New Roman" w:hAnsi="Times New Roman" w:cs="Times New Roman"/>
                <w:sz w:val="24"/>
                <w:szCs w:val="24"/>
              </w:rPr>
            </w:pPr>
            <w:r w:rsidRPr="00A02F7D">
              <w:rPr>
                <w:rFonts w:ascii="Times New Roman" w:hAnsi="Times New Roman" w:cs="Times New Roman"/>
                <w:sz w:val="24"/>
                <w:szCs w:val="24"/>
              </w:rPr>
              <w:t xml:space="preserve">Tailored content should: a) contain explicit self-referent cues or personally relevant information (e.g. user’s name); b) </w:t>
            </w:r>
            <w:r w:rsidRPr="00A02F7D">
              <w:rPr>
                <w:rFonts w:ascii="Times New Roman" w:eastAsiaTheme="minorEastAsia" w:hAnsi="Times New Roman" w:cs="Times New Roman"/>
                <w:sz w:val="24"/>
                <w:szCs w:val="24"/>
                <w:lang w:eastAsia="zh-CN"/>
              </w:rPr>
              <w:t xml:space="preserve">acknowledge potential counterarguments before seeking to persuade, change beliefs or introduce new knowledge. </w:t>
            </w:r>
          </w:p>
        </w:tc>
      </w:tr>
      <w:tr w:rsidR="00AD77F2" w:rsidRPr="00A02F7D" w:rsidTr="00AD77F2">
        <w:tc>
          <w:tcPr>
            <w:tcW w:w="1606" w:type="dxa"/>
          </w:tcPr>
          <w:p w:rsidR="00AD77F2" w:rsidRPr="00A02F7D" w:rsidRDefault="00AD77F2" w:rsidP="00246091">
            <w:pPr>
              <w:rPr>
                <w:rFonts w:ascii="Times New Roman" w:hAnsi="Times New Roman" w:cs="Times New Roman"/>
              </w:rPr>
            </w:pPr>
            <w:r w:rsidRPr="00A02F7D">
              <w:rPr>
                <w:rFonts w:ascii="Times New Roman" w:hAnsi="Times New Roman" w:cs="Times New Roman"/>
              </w:rPr>
              <w:t xml:space="preserve">Social support and interaction </w:t>
            </w:r>
          </w:p>
        </w:tc>
        <w:tc>
          <w:tcPr>
            <w:tcW w:w="9780" w:type="dxa"/>
          </w:tcPr>
          <w:p w:rsidR="00AD77F2" w:rsidRPr="00A02F7D" w:rsidRDefault="00AD77F2" w:rsidP="00A131B4">
            <w:pPr>
              <w:pStyle w:val="ListParagraph"/>
              <w:numPr>
                <w:ilvl w:val="0"/>
                <w:numId w:val="32"/>
              </w:numPr>
              <w:spacing w:after="0" w:line="480" w:lineRule="auto"/>
              <w:rPr>
                <w:rFonts w:ascii="Times New Roman" w:hAnsi="Times New Roman" w:cs="Times New Roman"/>
                <w:sz w:val="24"/>
                <w:szCs w:val="24"/>
              </w:rPr>
            </w:pPr>
            <w:r w:rsidRPr="00A02F7D">
              <w:rPr>
                <w:rFonts w:ascii="Times New Roman" w:hAnsi="Times New Roman" w:cs="Times New Roman"/>
                <w:sz w:val="24"/>
                <w:szCs w:val="24"/>
              </w:rPr>
              <w:t xml:space="preserve">Social support features are useful when: a) users lack sufficient peer support outside of the intervention content; b) they can offer an acceptable and realistic substitute for face-to-face interaction; c) users are managing a health problem that requires a change in identity or disclosing experiences of stigmatised conditions; d) they provide opportunities for users to provide as well as receive peer support; e) frequency and type of support provided can adapt to users’ changing support needs; f) they can be adequately moderated or facilitated.   </w:t>
            </w:r>
          </w:p>
        </w:tc>
      </w:tr>
      <w:tr w:rsidR="00AD77F2" w:rsidRPr="00A02F7D" w:rsidTr="00AD77F2">
        <w:tc>
          <w:tcPr>
            <w:tcW w:w="1606" w:type="dxa"/>
          </w:tcPr>
          <w:p w:rsidR="00AD77F2" w:rsidRPr="00A02F7D" w:rsidRDefault="00AD77F2" w:rsidP="00246091">
            <w:pPr>
              <w:rPr>
                <w:rFonts w:ascii="Times New Roman" w:hAnsi="Times New Roman" w:cs="Times New Roman"/>
              </w:rPr>
            </w:pPr>
            <w:r w:rsidRPr="00A02F7D">
              <w:rPr>
                <w:rFonts w:ascii="Times New Roman" w:hAnsi="Times New Roman" w:cs="Times New Roman"/>
              </w:rPr>
              <w:t xml:space="preserve">Self-management </w:t>
            </w:r>
          </w:p>
        </w:tc>
        <w:tc>
          <w:tcPr>
            <w:tcW w:w="9780" w:type="dxa"/>
          </w:tcPr>
          <w:p w:rsidR="00AD77F2" w:rsidRPr="00A02F7D" w:rsidRDefault="00AD77F2" w:rsidP="00C91079">
            <w:pPr>
              <w:pStyle w:val="ListParagraph"/>
              <w:numPr>
                <w:ilvl w:val="0"/>
                <w:numId w:val="33"/>
              </w:numPr>
              <w:spacing w:after="0" w:line="480" w:lineRule="auto"/>
              <w:rPr>
                <w:rFonts w:ascii="Times New Roman" w:hAnsi="Times New Roman" w:cs="Times New Roman"/>
                <w:sz w:val="24"/>
                <w:szCs w:val="24"/>
              </w:rPr>
            </w:pPr>
            <w:r w:rsidRPr="00A02F7D">
              <w:rPr>
                <w:rFonts w:ascii="Times New Roman" w:hAnsi="Times New Roman" w:cs="Times New Roman"/>
                <w:sz w:val="24"/>
                <w:szCs w:val="24"/>
              </w:rPr>
              <w:t xml:space="preserve">Goals are more likely to motivate behavioural change if they are: a) achievable; b) sufficiently challenging; c) specific; d) specify proximal changes to behaviour that are tied to a distal aim; e) learning orientated; f) fit with already valued goals or self-conceptions.  </w:t>
            </w:r>
          </w:p>
          <w:p w:rsidR="00AD77F2" w:rsidRPr="00A02F7D" w:rsidRDefault="00AD77F2" w:rsidP="00C91079">
            <w:pPr>
              <w:pStyle w:val="ListParagraph"/>
              <w:numPr>
                <w:ilvl w:val="0"/>
                <w:numId w:val="33"/>
              </w:numPr>
              <w:spacing w:after="0" w:line="480" w:lineRule="auto"/>
              <w:rPr>
                <w:rFonts w:ascii="Times New Roman" w:hAnsi="Times New Roman" w:cs="Times New Roman"/>
                <w:sz w:val="24"/>
                <w:szCs w:val="24"/>
              </w:rPr>
            </w:pPr>
            <w:r w:rsidRPr="00A02F7D">
              <w:rPr>
                <w:rFonts w:ascii="Times New Roman" w:hAnsi="Times New Roman" w:cs="Times New Roman"/>
                <w:sz w:val="24"/>
                <w:szCs w:val="24"/>
              </w:rPr>
              <w:lastRenderedPageBreak/>
              <w:t xml:space="preserve">Provide rationale for goal setting and guidance through the process. </w:t>
            </w:r>
          </w:p>
          <w:p w:rsidR="00AD77F2" w:rsidRPr="00A02F7D" w:rsidRDefault="00AD77F2" w:rsidP="00C91079">
            <w:pPr>
              <w:pStyle w:val="ListParagraph"/>
              <w:numPr>
                <w:ilvl w:val="0"/>
                <w:numId w:val="33"/>
              </w:numPr>
              <w:spacing w:after="0" w:line="480" w:lineRule="auto"/>
              <w:rPr>
                <w:rFonts w:ascii="Times New Roman" w:hAnsi="Times New Roman" w:cs="Times New Roman"/>
                <w:sz w:val="24"/>
                <w:szCs w:val="24"/>
              </w:rPr>
            </w:pPr>
            <w:r w:rsidRPr="00A02F7D">
              <w:rPr>
                <w:rFonts w:ascii="Times New Roman" w:hAnsi="Times New Roman" w:cs="Times New Roman"/>
                <w:sz w:val="24"/>
                <w:szCs w:val="24"/>
              </w:rPr>
              <w:t xml:space="preserve">Allow users to choose from a pre-defined list of goals in order to support autonomy and ensure that appropriate goals are set.  </w:t>
            </w:r>
          </w:p>
          <w:p w:rsidR="00AD77F2" w:rsidRPr="00A02F7D" w:rsidRDefault="00AD77F2" w:rsidP="00A131B4">
            <w:pPr>
              <w:pStyle w:val="ListParagraph"/>
              <w:numPr>
                <w:ilvl w:val="0"/>
                <w:numId w:val="33"/>
              </w:numPr>
              <w:spacing w:after="0" w:line="480" w:lineRule="auto"/>
              <w:rPr>
                <w:rFonts w:ascii="Times New Roman" w:hAnsi="Times New Roman" w:cs="Times New Roman"/>
                <w:sz w:val="24"/>
                <w:szCs w:val="24"/>
              </w:rPr>
            </w:pPr>
            <w:r w:rsidRPr="00A02F7D">
              <w:rPr>
                <w:rFonts w:ascii="Times New Roman" w:hAnsi="Times New Roman" w:cs="Times New Roman"/>
                <w:sz w:val="24"/>
                <w:szCs w:val="24"/>
              </w:rPr>
              <w:t xml:space="preserve">Tailored feedback on goal progress should: a) strengthen self-efficacy beliefs; b) be positively framed (i.e. emphasise the immediate benefits of positive change, rather than the negative consequences of not changing behaviour); c) demonstrate a clear link between users’ (current and future) behaviour and health-related outcomes; d) adapt to changing needs and experience of the user.   </w:t>
            </w:r>
          </w:p>
        </w:tc>
      </w:tr>
      <w:tr w:rsidR="00AD77F2" w:rsidRPr="00A02F7D" w:rsidTr="00AD77F2">
        <w:tc>
          <w:tcPr>
            <w:tcW w:w="1606" w:type="dxa"/>
          </w:tcPr>
          <w:p w:rsidR="00AD77F2" w:rsidRPr="00A02F7D" w:rsidRDefault="00AD77F2" w:rsidP="00246091">
            <w:pPr>
              <w:rPr>
                <w:rFonts w:ascii="Times New Roman" w:hAnsi="Times New Roman" w:cs="Times New Roman"/>
              </w:rPr>
            </w:pPr>
            <w:r w:rsidRPr="00A02F7D">
              <w:rPr>
                <w:rFonts w:ascii="Times New Roman" w:hAnsi="Times New Roman" w:cs="Times New Roman"/>
              </w:rPr>
              <w:lastRenderedPageBreak/>
              <w:t xml:space="preserve">Information architecture </w:t>
            </w:r>
          </w:p>
        </w:tc>
        <w:tc>
          <w:tcPr>
            <w:tcW w:w="9780" w:type="dxa"/>
          </w:tcPr>
          <w:p w:rsidR="00AD77F2" w:rsidRPr="00A02F7D" w:rsidRDefault="00AD77F2" w:rsidP="00A607EC">
            <w:pPr>
              <w:pStyle w:val="ListParagraph"/>
              <w:numPr>
                <w:ilvl w:val="0"/>
                <w:numId w:val="34"/>
              </w:numPr>
              <w:spacing w:after="0" w:line="480" w:lineRule="auto"/>
              <w:ind w:left="742"/>
              <w:rPr>
                <w:rFonts w:ascii="Times New Roman" w:hAnsi="Times New Roman" w:cs="Times New Roman"/>
                <w:sz w:val="24"/>
                <w:szCs w:val="24"/>
              </w:rPr>
            </w:pPr>
            <w:r w:rsidRPr="00A02F7D">
              <w:rPr>
                <w:rFonts w:ascii="Times New Roman" w:hAnsi="Times New Roman" w:cs="Times New Roman"/>
                <w:sz w:val="24"/>
                <w:szCs w:val="24"/>
              </w:rPr>
              <w:t xml:space="preserve">Target population should be consulted during intervention development in order to ascertain their perceived role and expected level of involvement in different aspects of intervention delivery </w:t>
            </w:r>
            <w:r w:rsidRPr="00A02F7D">
              <w:rPr>
                <w:rFonts w:ascii="Times New Roman" w:eastAsiaTheme="minorEastAsia" w:hAnsi="Times New Roman" w:cs="Times New Roman"/>
                <w:sz w:val="24"/>
                <w:szCs w:val="24"/>
                <w:lang w:eastAsia="zh-CN"/>
              </w:rPr>
              <w:t xml:space="preserve">(e.g. access to informational content, choice in goal-setting and self-monitoring, frequency of contact to and from the intervention).  </w:t>
            </w:r>
          </w:p>
          <w:p w:rsidR="00AD77F2" w:rsidRPr="00A02F7D" w:rsidRDefault="00AD77F2" w:rsidP="00A131B4">
            <w:pPr>
              <w:pStyle w:val="ListParagraph"/>
              <w:numPr>
                <w:ilvl w:val="0"/>
                <w:numId w:val="34"/>
              </w:numPr>
              <w:spacing w:after="0" w:line="480" w:lineRule="auto"/>
              <w:ind w:left="742"/>
              <w:rPr>
                <w:rFonts w:ascii="Times New Roman" w:hAnsi="Times New Roman" w:cs="Times New Roman"/>
                <w:sz w:val="24"/>
                <w:szCs w:val="24"/>
              </w:rPr>
            </w:pPr>
            <w:r w:rsidRPr="00A02F7D">
              <w:rPr>
                <w:rFonts w:ascii="Times New Roman" w:hAnsi="Times New Roman" w:cs="Times New Roman"/>
                <w:sz w:val="24"/>
                <w:szCs w:val="24"/>
              </w:rPr>
              <w:t xml:space="preserve">Where appropriate, users should be afforded autonomy and control over intervention usage (e.g. navigational choices, selection and application of behaviour change techniques).  </w:t>
            </w:r>
          </w:p>
        </w:tc>
      </w:tr>
      <w:tr w:rsidR="00AD77F2" w:rsidRPr="006E059B" w:rsidTr="00AD77F2">
        <w:tc>
          <w:tcPr>
            <w:tcW w:w="1606" w:type="dxa"/>
            <w:tcBorders>
              <w:bottom w:val="single" w:sz="4" w:space="0" w:color="auto"/>
            </w:tcBorders>
          </w:tcPr>
          <w:p w:rsidR="00AD77F2" w:rsidRPr="00A02F7D" w:rsidRDefault="00AD77F2" w:rsidP="00246091">
            <w:pPr>
              <w:rPr>
                <w:rFonts w:ascii="Times New Roman" w:hAnsi="Times New Roman" w:cs="Times New Roman"/>
              </w:rPr>
            </w:pPr>
            <w:r w:rsidRPr="00A02F7D">
              <w:rPr>
                <w:rFonts w:ascii="Times New Roman" w:hAnsi="Times New Roman" w:cs="Times New Roman"/>
              </w:rPr>
              <w:t xml:space="preserve">General </w:t>
            </w:r>
          </w:p>
        </w:tc>
        <w:tc>
          <w:tcPr>
            <w:tcW w:w="9780" w:type="dxa"/>
            <w:tcBorders>
              <w:bottom w:val="single" w:sz="4" w:space="0" w:color="auto"/>
            </w:tcBorders>
          </w:tcPr>
          <w:p w:rsidR="00AD77F2" w:rsidRPr="00A02F7D" w:rsidRDefault="00AD77F2" w:rsidP="00C91079">
            <w:pPr>
              <w:pStyle w:val="ListParagraph"/>
              <w:numPr>
                <w:ilvl w:val="0"/>
                <w:numId w:val="35"/>
              </w:numPr>
              <w:spacing w:after="0" w:line="480" w:lineRule="auto"/>
              <w:rPr>
                <w:rFonts w:ascii="Times New Roman" w:hAnsi="Times New Roman" w:cs="Times New Roman"/>
                <w:sz w:val="24"/>
                <w:szCs w:val="24"/>
              </w:rPr>
            </w:pPr>
            <w:r w:rsidRPr="00A02F7D">
              <w:rPr>
                <w:rFonts w:ascii="Times New Roman" w:hAnsi="Times New Roman" w:cs="Times New Roman"/>
                <w:sz w:val="24"/>
                <w:szCs w:val="24"/>
              </w:rPr>
              <w:t xml:space="preserve">Users should be invited to provide feedback to the intervention, research team, or health </w:t>
            </w:r>
            <w:r w:rsidRPr="00A02F7D">
              <w:rPr>
                <w:rFonts w:ascii="Times New Roman" w:hAnsi="Times New Roman" w:cs="Times New Roman"/>
                <w:sz w:val="24"/>
                <w:szCs w:val="24"/>
              </w:rPr>
              <w:lastRenderedPageBreak/>
              <w:t xml:space="preserve">professionals. </w:t>
            </w:r>
          </w:p>
          <w:p w:rsidR="00AD77F2" w:rsidRPr="00A02F7D" w:rsidRDefault="00AD77F2" w:rsidP="00A131B4">
            <w:pPr>
              <w:pStyle w:val="ListParagraph"/>
              <w:numPr>
                <w:ilvl w:val="0"/>
                <w:numId w:val="35"/>
              </w:numPr>
              <w:spacing w:after="0" w:line="480" w:lineRule="auto"/>
              <w:rPr>
                <w:rFonts w:ascii="Times New Roman" w:hAnsi="Times New Roman" w:cs="Times New Roman"/>
                <w:sz w:val="24"/>
                <w:szCs w:val="24"/>
              </w:rPr>
            </w:pPr>
            <w:r w:rsidRPr="00A02F7D">
              <w:rPr>
                <w:rFonts w:ascii="Times New Roman" w:hAnsi="Times New Roman" w:cs="Times New Roman"/>
                <w:sz w:val="24"/>
                <w:szCs w:val="24"/>
              </w:rPr>
              <w:t xml:space="preserve">The intervention should provide a meaningful rationale for why behaviour change is important and the specific information and advice that is provided.  This rationale should acknowledge users’ concerns (e.g. that behaviour change is not necessarily easy or enjoyable). </w:t>
            </w:r>
          </w:p>
        </w:tc>
      </w:tr>
    </w:tbl>
    <w:p w:rsidR="006E059B" w:rsidRPr="006E059B" w:rsidRDefault="006E059B" w:rsidP="0081311C"/>
    <w:sectPr w:rsidR="006E059B" w:rsidRPr="006E059B" w:rsidSect="0081311C">
      <w:pgSz w:w="16840" w:h="11901" w:orient="landscape" w:code="9"/>
      <w:pgMar w:top="1701" w:right="2835" w:bottom="1701"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1B4" w:rsidRDefault="00A131B4" w:rsidP="00AF2C92">
      <w:r>
        <w:separator/>
      </w:r>
    </w:p>
  </w:endnote>
  <w:endnote w:type="continuationSeparator" w:id="0">
    <w:p w:rsidR="00A131B4" w:rsidRDefault="00A131B4"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6129197"/>
      <w:docPartObj>
        <w:docPartGallery w:val="Page Numbers (Bottom of Page)"/>
        <w:docPartUnique/>
      </w:docPartObj>
    </w:sdtPr>
    <w:sdtEndPr>
      <w:rPr>
        <w:noProof/>
      </w:rPr>
    </w:sdtEndPr>
    <w:sdtContent>
      <w:p w:rsidR="00A131B4" w:rsidRDefault="00A131B4">
        <w:pPr>
          <w:pStyle w:val="Footer"/>
          <w:jc w:val="right"/>
        </w:pPr>
        <w:r>
          <w:fldChar w:fldCharType="begin"/>
        </w:r>
        <w:r>
          <w:instrText xml:space="preserve"> PAGE   \* MERGEFORMAT </w:instrText>
        </w:r>
        <w:r>
          <w:fldChar w:fldCharType="separate"/>
        </w:r>
        <w:r w:rsidR="008A5F4F">
          <w:rPr>
            <w:noProof/>
          </w:rPr>
          <w:t>1</w:t>
        </w:r>
        <w:r>
          <w:rPr>
            <w:noProof/>
          </w:rPr>
          <w:fldChar w:fldCharType="end"/>
        </w:r>
      </w:p>
    </w:sdtContent>
  </w:sdt>
  <w:p w:rsidR="00A131B4" w:rsidRDefault="00A131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1B4" w:rsidRDefault="00A131B4" w:rsidP="00AF2C92">
      <w:r>
        <w:separator/>
      </w:r>
    </w:p>
  </w:footnote>
  <w:footnote w:type="continuationSeparator" w:id="0">
    <w:p w:rsidR="00A131B4" w:rsidRDefault="00A131B4" w:rsidP="00AF2C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1FECAFE"/>
    <w:lvl w:ilvl="0">
      <w:start w:val="1"/>
      <w:numFmt w:val="decimal"/>
      <w:lvlText w:val="%1."/>
      <w:lvlJc w:val="left"/>
      <w:pPr>
        <w:tabs>
          <w:tab w:val="num" w:pos="1492"/>
        </w:tabs>
        <w:ind w:left="1492" w:hanging="360"/>
      </w:pPr>
    </w:lvl>
  </w:abstractNum>
  <w:abstractNum w:abstractNumId="2">
    <w:nsid w:val="FFFFFF7D"/>
    <w:multiLevelType w:val="singleLevel"/>
    <w:tmpl w:val="7C74E2DA"/>
    <w:lvl w:ilvl="0">
      <w:start w:val="1"/>
      <w:numFmt w:val="decimal"/>
      <w:lvlText w:val="%1."/>
      <w:lvlJc w:val="left"/>
      <w:pPr>
        <w:tabs>
          <w:tab w:val="num" w:pos="1209"/>
        </w:tabs>
        <w:ind w:left="1209" w:hanging="360"/>
      </w:pPr>
    </w:lvl>
  </w:abstractNum>
  <w:abstractNum w:abstractNumId="3">
    <w:nsid w:val="FFFFFF7E"/>
    <w:multiLevelType w:val="singleLevel"/>
    <w:tmpl w:val="E8F228EA"/>
    <w:lvl w:ilvl="0">
      <w:start w:val="1"/>
      <w:numFmt w:val="decimal"/>
      <w:lvlText w:val="%1."/>
      <w:lvlJc w:val="left"/>
      <w:pPr>
        <w:tabs>
          <w:tab w:val="num" w:pos="926"/>
        </w:tabs>
        <w:ind w:left="926" w:hanging="360"/>
      </w:pPr>
    </w:lvl>
  </w:abstractNum>
  <w:abstractNum w:abstractNumId="4">
    <w:nsid w:val="FFFFFF7F"/>
    <w:multiLevelType w:val="singleLevel"/>
    <w:tmpl w:val="A274B1E8"/>
    <w:lvl w:ilvl="0">
      <w:start w:val="1"/>
      <w:numFmt w:val="decimal"/>
      <w:lvlText w:val="%1."/>
      <w:lvlJc w:val="left"/>
      <w:pPr>
        <w:tabs>
          <w:tab w:val="num" w:pos="643"/>
        </w:tabs>
        <w:ind w:left="643" w:hanging="360"/>
      </w:pPr>
    </w:lvl>
  </w:abstractNum>
  <w:abstractNum w:abstractNumId="5">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472E25E"/>
    <w:lvl w:ilvl="0">
      <w:start w:val="1"/>
      <w:numFmt w:val="decimal"/>
      <w:lvlText w:val="%1."/>
      <w:lvlJc w:val="left"/>
      <w:pPr>
        <w:tabs>
          <w:tab w:val="num" w:pos="360"/>
        </w:tabs>
        <w:ind w:left="360" w:hanging="360"/>
      </w:pPr>
    </w:lvl>
  </w:abstractNum>
  <w:abstractNum w:abstractNumId="1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3C353D3"/>
    <w:multiLevelType w:val="hybridMultilevel"/>
    <w:tmpl w:val="3ED03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16C735C"/>
    <w:multiLevelType w:val="hybridMultilevel"/>
    <w:tmpl w:val="E042E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2D8A3954"/>
    <w:multiLevelType w:val="hybridMultilevel"/>
    <w:tmpl w:val="8C0AC1A6"/>
    <w:lvl w:ilvl="0" w:tplc="8BB875B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4331662E"/>
    <w:multiLevelType w:val="hybridMultilevel"/>
    <w:tmpl w:val="A06A8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C7116A5"/>
    <w:multiLevelType w:val="hybridMultilevel"/>
    <w:tmpl w:val="696CF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3D340B5"/>
    <w:multiLevelType w:val="hybridMultilevel"/>
    <w:tmpl w:val="3BE4243A"/>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num w:numId="1">
    <w:abstractNumId w:val="17"/>
  </w:num>
  <w:num w:numId="2">
    <w:abstractNumId w:val="23"/>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0"/>
  </w:num>
  <w:num w:numId="14">
    <w:abstractNumId w:val="24"/>
  </w:num>
  <w:num w:numId="15">
    <w:abstractNumId w:val="15"/>
  </w:num>
  <w:num w:numId="16">
    <w:abstractNumId w:val="19"/>
  </w:num>
  <w:num w:numId="17">
    <w:abstractNumId w:val="11"/>
  </w:num>
  <w:num w:numId="18">
    <w:abstractNumId w:val="0"/>
  </w:num>
  <w:num w:numId="19">
    <w:abstractNumId w:val="12"/>
  </w:num>
  <w:num w:numId="20">
    <w:abstractNumId w:val="24"/>
  </w:num>
  <w:num w:numId="21">
    <w:abstractNumId w:val="24"/>
  </w:num>
  <w:num w:numId="22">
    <w:abstractNumId w:val="24"/>
  </w:num>
  <w:num w:numId="23">
    <w:abstractNumId w:val="24"/>
  </w:num>
  <w:num w:numId="24">
    <w:abstractNumId w:val="20"/>
  </w:num>
  <w:num w:numId="25">
    <w:abstractNumId w:val="21"/>
  </w:num>
  <w:num w:numId="26">
    <w:abstractNumId w:val="26"/>
  </w:num>
  <w:num w:numId="27">
    <w:abstractNumId w:val="27"/>
  </w:num>
  <w:num w:numId="28">
    <w:abstractNumId w:val="24"/>
  </w:num>
  <w:num w:numId="29">
    <w:abstractNumId w:val="14"/>
  </w:num>
  <w:num w:numId="30">
    <w:abstractNumId w:val="28"/>
  </w:num>
  <w:num w:numId="31">
    <w:abstractNumId w:val="25"/>
  </w:num>
  <w:num w:numId="32">
    <w:abstractNumId w:val="16"/>
  </w:num>
  <w:num w:numId="33">
    <w:abstractNumId w:val="13"/>
  </w:num>
  <w:num w:numId="34">
    <w:abstractNumId w:val="29"/>
  </w:num>
  <w:num w:numId="35">
    <w:abstractNumId w:val="22"/>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628"/>
    <w:rsid w:val="00001899"/>
    <w:rsid w:val="000049AD"/>
    <w:rsid w:val="0000681B"/>
    <w:rsid w:val="000133C0"/>
    <w:rsid w:val="00014C4E"/>
    <w:rsid w:val="00017107"/>
    <w:rsid w:val="000202E2"/>
    <w:rsid w:val="00022441"/>
    <w:rsid w:val="0002261E"/>
    <w:rsid w:val="00024839"/>
    <w:rsid w:val="00026871"/>
    <w:rsid w:val="0003720D"/>
    <w:rsid w:val="00037A98"/>
    <w:rsid w:val="000427FB"/>
    <w:rsid w:val="0004455E"/>
    <w:rsid w:val="00047CB5"/>
    <w:rsid w:val="00050C99"/>
    <w:rsid w:val="00051FAA"/>
    <w:rsid w:val="0005282A"/>
    <w:rsid w:val="000572A9"/>
    <w:rsid w:val="00061325"/>
    <w:rsid w:val="000733AC"/>
    <w:rsid w:val="00074B81"/>
    <w:rsid w:val="00074D22"/>
    <w:rsid w:val="00075081"/>
    <w:rsid w:val="0007528A"/>
    <w:rsid w:val="00075A51"/>
    <w:rsid w:val="000811AB"/>
    <w:rsid w:val="00083C5F"/>
    <w:rsid w:val="00085A1C"/>
    <w:rsid w:val="0009172C"/>
    <w:rsid w:val="000930EC"/>
    <w:rsid w:val="00095E61"/>
    <w:rsid w:val="000966C1"/>
    <w:rsid w:val="000970AC"/>
    <w:rsid w:val="000A1167"/>
    <w:rsid w:val="000A2BF2"/>
    <w:rsid w:val="000A4428"/>
    <w:rsid w:val="000A6D40"/>
    <w:rsid w:val="000A7BC3"/>
    <w:rsid w:val="000B1661"/>
    <w:rsid w:val="000B1F0B"/>
    <w:rsid w:val="000B2E88"/>
    <w:rsid w:val="000B4603"/>
    <w:rsid w:val="000B771D"/>
    <w:rsid w:val="000C05F9"/>
    <w:rsid w:val="000C09BE"/>
    <w:rsid w:val="000C1380"/>
    <w:rsid w:val="000C554F"/>
    <w:rsid w:val="000D0DC5"/>
    <w:rsid w:val="000D15FF"/>
    <w:rsid w:val="000D2086"/>
    <w:rsid w:val="000D28DF"/>
    <w:rsid w:val="000D488B"/>
    <w:rsid w:val="000D68DF"/>
    <w:rsid w:val="000E138D"/>
    <w:rsid w:val="000E187A"/>
    <w:rsid w:val="000E2D61"/>
    <w:rsid w:val="000E450E"/>
    <w:rsid w:val="000E6259"/>
    <w:rsid w:val="000F4677"/>
    <w:rsid w:val="000F5BE0"/>
    <w:rsid w:val="000F63D6"/>
    <w:rsid w:val="00100587"/>
    <w:rsid w:val="0010284E"/>
    <w:rsid w:val="00103122"/>
    <w:rsid w:val="0010336A"/>
    <w:rsid w:val="001050F1"/>
    <w:rsid w:val="00105AEA"/>
    <w:rsid w:val="00106DAF"/>
    <w:rsid w:val="0011241E"/>
    <w:rsid w:val="00114ABE"/>
    <w:rsid w:val="00116023"/>
    <w:rsid w:val="001261B1"/>
    <w:rsid w:val="00126A39"/>
    <w:rsid w:val="00134A51"/>
    <w:rsid w:val="00137826"/>
    <w:rsid w:val="00140727"/>
    <w:rsid w:val="00142D4D"/>
    <w:rsid w:val="00143DD5"/>
    <w:rsid w:val="001444E3"/>
    <w:rsid w:val="00160628"/>
    <w:rsid w:val="00161344"/>
    <w:rsid w:val="00162195"/>
    <w:rsid w:val="0016322A"/>
    <w:rsid w:val="00165A21"/>
    <w:rsid w:val="001705CE"/>
    <w:rsid w:val="0017714B"/>
    <w:rsid w:val="001804DF"/>
    <w:rsid w:val="00181BDC"/>
    <w:rsid w:val="00181DB0"/>
    <w:rsid w:val="001829E3"/>
    <w:rsid w:val="001924C0"/>
    <w:rsid w:val="0019731E"/>
    <w:rsid w:val="001A09FE"/>
    <w:rsid w:val="001A379E"/>
    <w:rsid w:val="001A67C9"/>
    <w:rsid w:val="001A69DE"/>
    <w:rsid w:val="001A713C"/>
    <w:rsid w:val="001B1C7C"/>
    <w:rsid w:val="001B398F"/>
    <w:rsid w:val="001B46C6"/>
    <w:rsid w:val="001B4B48"/>
    <w:rsid w:val="001B4D1F"/>
    <w:rsid w:val="001B7681"/>
    <w:rsid w:val="001B7CAE"/>
    <w:rsid w:val="001B7FD4"/>
    <w:rsid w:val="001C0772"/>
    <w:rsid w:val="001C0D4F"/>
    <w:rsid w:val="001C1BA3"/>
    <w:rsid w:val="001C1DEC"/>
    <w:rsid w:val="001C5736"/>
    <w:rsid w:val="001D4A30"/>
    <w:rsid w:val="001D647F"/>
    <w:rsid w:val="001D6857"/>
    <w:rsid w:val="001E0572"/>
    <w:rsid w:val="001E0A67"/>
    <w:rsid w:val="001E1028"/>
    <w:rsid w:val="001E14E2"/>
    <w:rsid w:val="001E37E4"/>
    <w:rsid w:val="001E6302"/>
    <w:rsid w:val="001E6604"/>
    <w:rsid w:val="001E79C5"/>
    <w:rsid w:val="001E7DCB"/>
    <w:rsid w:val="001F3411"/>
    <w:rsid w:val="001F4287"/>
    <w:rsid w:val="001F4DBA"/>
    <w:rsid w:val="0020415E"/>
    <w:rsid w:val="00204FF4"/>
    <w:rsid w:val="0021056E"/>
    <w:rsid w:val="0021075D"/>
    <w:rsid w:val="0021165A"/>
    <w:rsid w:val="00211BC9"/>
    <w:rsid w:val="0021620C"/>
    <w:rsid w:val="00216E78"/>
    <w:rsid w:val="00217275"/>
    <w:rsid w:val="002315C5"/>
    <w:rsid w:val="00236F4B"/>
    <w:rsid w:val="00242B0D"/>
    <w:rsid w:val="00246091"/>
    <w:rsid w:val="002467C6"/>
    <w:rsid w:val="0024692A"/>
    <w:rsid w:val="00252BBA"/>
    <w:rsid w:val="00253123"/>
    <w:rsid w:val="00264001"/>
    <w:rsid w:val="00266354"/>
    <w:rsid w:val="00267A18"/>
    <w:rsid w:val="00273462"/>
    <w:rsid w:val="0027395B"/>
    <w:rsid w:val="00275854"/>
    <w:rsid w:val="002803DD"/>
    <w:rsid w:val="00283B41"/>
    <w:rsid w:val="00285F28"/>
    <w:rsid w:val="00286398"/>
    <w:rsid w:val="00293202"/>
    <w:rsid w:val="002A3C42"/>
    <w:rsid w:val="002A5B14"/>
    <w:rsid w:val="002A5D75"/>
    <w:rsid w:val="002B1B1A"/>
    <w:rsid w:val="002B7228"/>
    <w:rsid w:val="002C53EE"/>
    <w:rsid w:val="002D24F7"/>
    <w:rsid w:val="002D2799"/>
    <w:rsid w:val="002D2CD7"/>
    <w:rsid w:val="002D4DDC"/>
    <w:rsid w:val="002D4F75"/>
    <w:rsid w:val="002D6493"/>
    <w:rsid w:val="002D7AB6"/>
    <w:rsid w:val="002E06D0"/>
    <w:rsid w:val="002E3C27"/>
    <w:rsid w:val="002E403A"/>
    <w:rsid w:val="002E7F3A"/>
    <w:rsid w:val="002F4EDB"/>
    <w:rsid w:val="002F6054"/>
    <w:rsid w:val="00310E13"/>
    <w:rsid w:val="00313A18"/>
    <w:rsid w:val="00315713"/>
    <w:rsid w:val="0031686C"/>
    <w:rsid w:val="00316FE0"/>
    <w:rsid w:val="003204D2"/>
    <w:rsid w:val="0032605E"/>
    <w:rsid w:val="003275D1"/>
    <w:rsid w:val="00330B2A"/>
    <w:rsid w:val="00331E17"/>
    <w:rsid w:val="00333063"/>
    <w:rsid w:val="00333307"/>
    <w:rsid w:val="00336144"/>
    <w:rsid w:val="003408E3"/>
    <w:rsid w:val="00340F95"/>
    <w:rsid w:val="00343480"/>
    <w:rsid w:val="00345E89"/>
    <w:rsid w:val="003522A1"/>
    <w:rsid w:val="0035254B"/>
    <w:rsid w:val="00353555"/>
    <w:rsid w:val="003565D4"/>
    <w:rsid w:val="003607FB"/>
    <w:rsid w:val="00360FD5"/>
    <w:rsid w:val="0036340D"/>
    <w:rsid w:val="003634A5"/>
    <w:rsid w:val="00366868"/>
    <w:rsid w:val="00367506"/>
    <w:rsid w:val="00370085"/>
    <w:rsid w:val="00371E01"/>
    <w:rsid w:val="00373A45"/>
    <w:rsid w:val="003744A7"/>
    <w:rsid w:val="00376235"/>
    <w:rsid w:val="00380605"/>
    <w:rsid w:val="00381FB6"/>
    <w:rsid w:val="003836D3"/>
    <w:rsid w:val="00383A52"/>
    <w:rsid w:val="00391652"/>
    <w:rsid w:val="0039507F"/>
    <w:rsid w:val="0039685C"/>
    <w:rsid w:val="003A1260"/>
    <w:rsid w:val="003A295F"/>
    <w:rsid w:val="003A41DD"/>
    <w:rsid w:val="003A7033"/>
    <w:rsid w:val="003B47FE"/>
    <w:rsid w:val="003B5673"/>
    <w:rsid w:val="003B6287"/>
    <w:rsid w:val="003B62C9"/>
    <w:rsid w:val="003C7176"/>
    <w:rsid w:val="003D0929"/>
    <w:rsid w:val="003D4729"/>
    <w:rsid w:val="003D5282"/>
    <w:rsid w:val="003D7DD6"/>
    <w:rsid w:val="003E4152"/>
    <w:rsid w:val="003E5AAF"/>
    <w:rsid w:val="003E600D"/>
    <w:rsid w:val="003E64DF"/>
    <w:rsid w:val="003E6A5D"/>
    <w:rsid w:val="003F0B85"/>
    <w:rsid w:val="003F193A"/>
    <w:rsid w:val="003F4207"/>
    <w:rsid w:val="003F5C46"/>
    <w:rsid w:val="003F7CBB"/>
    <w:rsid w:val="003F7D34"/>
    <w:rsid w:val="00412C8E"/>
    <w:rsid w:val="0041518D"/>
    <w:rsid w:val="0042221D"/>
    <w:rsid w:val="00424DD3"/>
    <w:rsid w:val="00425D4B"/>
    <w:rsid w:val="004269C5"/>
    <w:rsid w:val="00433D48"/>
    <w:rsid w:val="00435939"/>
    <w:rsid w:val="00437CC7"/>
    <w:rsid w:val="00442B9C"/>
    <w:rsid w:val="00445EFA"/>
    <w:rsid w:val="0044738A"/>
    <w:rsid w:val="004473D3"/>
    <w:rsid w:val="00451497"/>
    <w:rsid w:val="00452231"/>
    <w:rsid w:val="004554C4"/>
    <w:rsid w:val="00460C13"/>
    <w:rsid w:val="00463228"/>
    <w:rsid w:val="00463782"/>
    <w:rsid w:val="004667E0"/>
    <w:rsid w:val="0046760E"/>
    <w:rsid w:val="00470E10"/>
    <w:rsid w:val="00477A97"/>
    <w:rsid w:val="00481343"/>
    <w:rsid w:val="00485385"/>
    <w:rsid w:val="0048549E"/>
    <w:rsid w:val="00493261"/>
    <w:rsid w:val="00493347"/>
    <w:rsid w:val="00496092"/>
    <w:rsid w:val="004A08DB"/>
    <w:rsid w:val="004A25D0"/>
    <w:rsid w:val="004A37E8"/>
    <w:rsid w:val="004A7549"/>
    <w:rsid w:val="004B09D4"/>
    <w:rsid w:val="004B309D"/>
    <w:rsid w:val="004B330A"/>
    <w:rsid w:val="004B7C8E"/>
    <w:rsid w:val="004C03AD"/>
    <w:rsid w:val="004C3D3C"/>
    <w:rsid w:val="004D0EDC"/>
    <w:rsid w:val="004D1220"/>
    <w:rsid w:val="004D14B3"/>
    <w:rsid w:val="004D1529"/>
    <w:rsid w:val="004D2253"/>
    <w:rsid w:val="004D5514"/>
    <w:rsid w:val="004D56C3"/>
    <w:rsid w:val="004E0338"/>
    <w:rsid w:val="004E0628"/>
    <w:rsid w:val="004E4FF3"/>
    <w:rsid w:val="004E56A8"/>
    <w:rsid w:val="004F3B55"/>
    <w:rsid w:val="004F4E46"/>
    <w:rsid w:val="004F6B7D"/>
    <w:rsid w:val="005015F6"/>
    <w:rsid w:val="005030C4"/>
    <w:rsid w:val="005031C5"/>
    <w:rsid w:val="00503774"/>
    <w:rsid w:val="0050401D"/>
    <w:rsid w:val="00504FDC"/>
    <w:rsid w:val="005120CC"/>
    <w:rsid w:val="00512B7B"/>
    <w:rsid w:val="00514EA1"/>
    <w:rsid w:val="005155FC"/>
    <w:rsid w:val="0051798B"/>
    <w:rsid w:val="00521F5A"/>
    <w:rsid w:val="00525E06"/>
    <w:rsid w:val="00526454"/>
    <w:rsid w:val="00531823"/>
    <w:rsid w:val="00534ECC"/>
    <w:rsid w:val="00536DC6"/>
    <w:rsid w:val="0053720D"/>
    <w:rsid w:val="00540EF5"/>
    <w:rsid w:val="00541BF3"/>
    <w:rsid w:val="00541CD3"/>
    <w:rsid w:val="00546F2C"/>
    <w:rsid w:val="005476FA"/>
    <w:rsid w:val="0055595E"/>
    <w:rsid w:val="00557988"/>
    <w:rsid w:val="00562C49"/>
    <w:rsid w:val="00562DEF"/>
    <w:rsid w:val="0056321A"/>
    <w:rsid w:val="00563A35"/>
    <w:rsid w:val="00566596"/>
    <w:rsid w:val="005741E9"/>
    <w:rsid w:val="005748CF"/>
    <w:rsid w:val="00584270"/>
    <w:rsid w:val="00584738"/>
    <w:rsid w:val="005920B0"/>
    <w:rsid w:val="0059380D"/>
    <w:rsid w:val="00595A8F"/>
    <w:rsid w:val="00596206"/>
    <w:rsid w:val="005977C2"/>
    <w:rsid w:val="00597BF2"/>
    <w:rsid w:val="005B134E"/>
    <w:rsid w:val="005B2039"/>
    <w:rsid w:val="005B2BE1"/>
    <w:rsid w:val="005B344F"/>
    <w:rsid w:val="005B3FBA"/>
    <w:rsid w:val="005B4A1D"/>
    <w:rsid w:val="005B674D"/>
    <w:rsid w:val="005C0CBE"/>
    <w:rsid w:val="005C1FCF"/>
    <w:rsid w:val="005C6AB7"/>
    <w:rsid w:val="005D1885"/>
    <w:rsid w:val="005D4A38"/>
    <w:rsid w:val="005E2EEA"/>
    <w:rsid w:val="005E3708"/>
    <w:rsid w:val="005E3CCD"/>
    <w:rsid w:val="005E3D6B"/>
    <w:rsid w:val="005E4F74"/>
    <w:rsid w:val="005E5B55"/>
    <w:rsid w:val="005E5E4A"/>
    <w:rsid w:val="005E693D"/>
    <w:rsid w:val="005E75BF"/>
    <w:rsid w:val="005F57BA"/>
    <w:rsid w:val="005F61E6"/>
    <w:rsid w:val="005F6C45"/>
    <w:rsid w:val="00605A69"/>
    <w:rsid w:val="00606C54"/>
    <w:rsid w:val="00614375"/>
    <w:rsid w:val="00614DA8"/>
    <w:rsid w:val="00615B0A"/>
    <w:rsid w:val="006168CF"/>
    <w:rsid w:val="0062011B"/>
    <w:rsid w:val="00626DE0"/>
    <w:rsid w:val="00630901"/>
    <w:rsid w:val="00631F8E"/>
    <w:rsid w:val="00636EE9"/>
    <w:rsid w:val="00640950"/>
    <w:rsid w:val="00641AE7"/>
    <w:rsid w:val="00642629"/>
    <w:rsid w:val="006456F2"/>
    <w:rsid w:val="00650E00"/>
    <w:rsid w:val="0065293D"/>
    <w:rsid w:val="00653EFC"/>
    <w:rsid w:val="00654021"/>
    <w:rsid w:val="00661045"/>
    <w:rsid w:val="00666DA8"/>
    <w:rsid w:val="00671057"/>
    <w:rsid w:val="00675AAF"/>
    <w:rsid w:val="0068031A"/>
    <w:rsid w:val="00680F0F"/>
    <w:rsid w:val="00681B2F"/>
    <w:rsid w:val="0068335F"/>
    <w:rsid w:val="006850CD"/>
    <w:rsid w:val="00687217"/>
    <w:rsid w:val="00693302"/>
    <w:rsid w:val="0069640B"/>
    <w:rsid w:val="006A1B83"/>
    <w:rsid w:val="006A21CD"/>
    <w:rsid w:val="006A5918"/>
    <w:rsid w:val="006B21B2"/>
    <w:rsid w:val="006B4A4A"/>
    <w:rsid w:val="006C19B2"/>
    <w:rsid w:val="006C5BB8"/>
    <w:rsid w:val="006C6936"/>
    <w:rsid w:val="006C6954"/>
    <w:rsid w:val="006C7B01"/>
    <w:rsid w:val="006D079F"/>
    <w:rsid w:val="006D0FE8"/>
    <w:rsid w:val="006D4B2B"/>
    <w:rsid w:val="006D4F3C"/>
    <w:rsid w:val="006D5C66"/>
    <w:rsid w:val="006E059B"/>
    <w:rsid w:val="006E1B3C"/>
    <w:rsid w:val="006E23FB"/>
    <w:rsid w:val="006E325A"/>
    <w:rsid w:val="006E33EC"/>
    <w:rsid w:val="006E3802"/>
    <w:rsid w:val="006E6C02"/>
    <w:rsid w:val="006F231A"/>
    <w:rsid w:val="006F58A6"/>
    <w:rsid w:val="006F6B55"/>
    <w:rsid w:val="006F788D"/>
    <w:rsid w:val="006F78E1"/>
    <w:rsid w:val="00701072"/>
    <w:rsid w:val="00702054"/>
    <w:rsid w:val="007035A4"/>
    <w:rsid w:val="00711799"/>
    <w:rsid w:val="00712B78"/>
    <w:rsid w:val="007132C4"/>
    <w:rsid w:val="0071393B"/>
    <w:rsid w:val="00713EE2"/>
    <w:rsid w:val="007174A2"/>
    <w:rsid w:val="007177FC"/>
    <w:rsid w:val="00720C5E"/>
    <w:rsid w:val="00721701"/>
    <w:rsid w:val="00731835"/>
    <w:rsid w:val="00733B34"/>
    <w:rsid w:val="007341F8"/>
    <w:rsid w:val="00734372"/>
    <w:rsid w:val="00734EB8"/>
    <w:rsid w:val="00735F8B"/>
    <w:rsid w:val="00742D1F"/>
    <w:rsid w:val="00743EBA"/>
    <w:rsid w:val="00744C8E"/>
    <w:rsid w:val="007460B9"/>
    <w:rsid w:val="0074707E"/>
    <w:rsid w:val="007516DC"/>
    <w:rsid w:val="007524D9"/>
    <w:rsid w:val="00752E58"/>
    <w:rsid w:val="00754B80"/>
    <w:rsid w:val="007561CC"/>
    <w:rsid w:val="00757D29"/>
    <w:rsid w:val="00761918"/>
    <w:rsid w:val="00762F03"/>
    <w:rsid w:val="0076413B"/>
    <w:rsid w:val="007648AE"/>
    <w:rsid w:val="00764BF8"/>
    <w:rsid w:val="0076514D"/>
    <w:rsid w:val="00773D59"/>
    <w:rsid w:val="00781003"/>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135D"/>
    <w:rsid w:val="007D730F"/>
    <w:rsid w:val="007D7CD8"/>
    <w:rsid w:val="007E3AA7"/>
    <w:rsid w:val="007E7A69"/>
    <w:rsid w:val="007F737D"/>
    <w:rsid w:val="0080308E"/>
    <w:rsid w:val="00805303"/>
    <w:rsid w:val="00806705"/>
    <w:rsid w:val="00806738"/>
    <w:rsid w:val="008078E4"/>
    <w:rsid w:val="0081311C"/>
    <w:rsid w:val="008216D5"/>
    <w:rsid w:val="008249CE"/>
    <w:rsid w:val="00827B47"/>
    <w:rsid w:val="00831A50"/>
    <w:rsid w:val="00831B3C"/>
    <w:rsid w:val="00831C89"/>
    <w:rsid w:val="00832114"/>
    <w:rsid w:val="00834C46"/>
    <w:rsid w:val="0084020D"/>
    <w:rsid w:val="0084093E"/>
    <w:rsid w:val="00841CE1"/>
    <w:rsid w:val="008473D8"/>
    <w:rsid w:val="008528DC"/>
    <w:rsid w:val="00852B8C"/>
    <w:rsid w:val="00854981"/>
    <w:rsid w:val="00857906"/>
    <w:rsid w:val="00864B2E"/>
    <w:rsid w:val="00865963"/>
    <w:rsid w:val="00871C1D"/>
    <w:rsid w:val="0087450E"/>
    <w:rsid w:val="00875A82"/>
    <w:rsid w:val="00876CA3"/>
    <w:rsid w:val="008772FE"/>
    <w:rsid w:val="008775F1"/>
    <w:rsid w:val="00882101"/>
    <w:rsid w:val="008821AE"/>
    <w:rsid w:val="00883D3A"/>
    <w:rsid w:val="008854F7"/>
    <w:rsid w:val="00885A9D"/>
    <w:rsid w:val="008929D2"/>
    <w:rsid w:val="00893636"/>
    <w:rsid w:val="00893B94"/>
    <w:rsid w:val="00895429"/>
    <w:rsid w:val="00896E9D"/>
    <w:rsid w:val="00896F11"/>
    <w:rsid w:val="008A1049"/>
    <w:rsid w:val="008A1C98"/>
    <w:rsid w:val="008A322D"/>
    <w:rsid w:val="008A4D72"/>
    <w:rsid w:val="008A5F4F"/>
    <w:rsid w:val="008A6285"/>
    <w:rsid w:val="008A63B2"/>
    <w:rsid w:val="008B345D"/>
    <w:rsid w:val="008B4E45"/>
    <w:rsid w:val="008C1FC2"/>
    <w:rsid w:val="008C2980"/>
    <w:rsid w:val="008C4DD6"/>
    <w:rsid w:val="008C5AFB"/>
    <w:rsid w:val="008D07FB"/>
    <w:rsid w:val="008D0C02"/>
    <w:rsid w:val="008D357D"/>
    <w:rsid w:val="008D435A"/>
    <w:rsid w:val="008D6C7D"/>
    <w:rsid w:val="008E387B"/>
    <w:rsid w:val="008E6087"/>
    <w:rsid w:val="008E758D"/>
    <w:rsid w:val="008F10A7"/>
    <w:rsid w:val="008F755D"/>
    <w:rsid w:val="008F7A39"/>
    <w:rsid w:val="009021E8"/>
    <w:rsid w:val="00904677"/>
    <w:rsid w:val="00905EE2"/>
    <w:rsid w:val="00911440"/>
    <w:rsid w:val="00911712"/>
    <w:rsid w:val="00911B27"/>
    <w:rsid w:val="009170BE"/>
    <w:rsid w:val="00920B55"/>
    <w:rsid w:val="00921B80"/>
    <w:rsid w:val="009262C9"/>
    <w:rsid w:val="00930243"/>
    <w:rsid w:val="00930EB9"/>
    <w:rsid w:val="00933DC7"/>
    <w:rsid w:val="009418F4"/>
    <w:rsid w:val="00942BBC"/>
    <w:rsid w:val="00944180"/>
    <w:rsid w:val="00944AA0"/>
    <w:rsid w:val="00947DA2"/>
    <w:rsid w:val="00951177"/>
    <w:rsid w:val="009540C1"/>
    <w:rsid w:val="009673E8"/>
    <w:rsid w:val="00974DB8"/>
    <w:rsid w:val="00980661"/>
    <w:rsid w:val="0098093B"/>
    <w:rsid w:val="009876D4"/>
    <w:rsid w:val="009914A5"/>
    <w:rsid w:val="0099548E"/>
    <w:rsid w:val="00996456"/>
    <w:rsid w:val="009968D1"/>
    <w:rsid w:val="00996A12"/>
    <w:rsid w:val="00997B0F"/>
    <w:rsid w:val="009A1CAD"/>
    <w:rsid w:val="009A3325"/>
    <w:rsid w:val="009A3440"/>
    <w:rsid w:val="009A5832"/>
    <w:rsid w:val="009A6838"/>
    <w:rsid w:val="009B24B5"/>
    <w:rsid w:val="009B3FEB"/>
    <w:rsid w:val="009B4EBC"/>
    <w:rsid w:val="009B5ABB"/>
    <w:rsid w:val="009B73CE"/>
    <w:rsid w:val="009C2461"/>
    <w:rsid w:val="009C6FE2"/>
    <w:rsid w:val="009C7674"/>
    <w:rsid w:val="009D004A"/>
    <w:rsid w:val="009D5880"/>
    <w:rsid w:val="009D589A"/>
    <w:rsid w:val="009E179C"/>
    <w:rsid w:val="009E1FD4"/>
    <w:rsid w:val="009E3B07"/>
    <w:rsid w:val="009E51D1"/>
    <w:rsid w:val="009E5531"/>
    <w:rsid w:val="009F171E"/>
    <w:rsid w:val="009F1DA2"/>
    <w:rsid w:val="009F26F1"/>
    <w:rsid w:val="009F3D2F"/>
    <w:rsid w:val="009F3D8F"/>
    <w:rsid w:val="009F6E60"/>
    <w:rsid w:val="009F7052"/>
    <w:rsid w:val="00A02668"/>
    <w:rsid w:val="00A02801"/>
    <w:rsid w:val="00A02F7D"/>
    <w:rsid w:val="00A06A39"/>
    <w:rsid w:val="00A07F58"/>
    <w:rsid w:val="00A131B4"/>
    <w:rsid w:val="00A131CB"/>
    <w:rsid w:val="00A14847"/>
    <w:rsid w:val="00A16D6D"/>
    <w:rsid w:val="00A21383"/>
    <w:rsid w:val="00A2199F"/>
    <w:rsid w:val="00A21B31"/>
    <w:rsid w:val="00A2360E"/>
    <w:rsid w:val="00A26CD1"/>
    <w:rsid w:val="00A26E0C"/>
    <w:rsid w:val="00A32FCB"/>
    <w:rsid w:val="00A34C25"/>
    <w:rsid w:val="00A3507D"/>
    <w:rsid w:val="00A352B5"/>
    <w:rsid w:val="00A3717A"/>
    <w:rsid w:val="00A4088C"/>
    <w:rsid w:val="00A4456B"/>
    <w:rsid w:val="00A448D4"/>
    <w:rsid w:val="00A452E0"/>
    <w:rsid w:val="00A51EA5"/>
    <w:rsid w:val="00A53742"/>
    <w:rsid w:val="00A557A1"/>
    <w:rsid w:val="00A607EC"/>
    <w:rsid w:val="00A63059"/>
    <w:rsid w:val="00A63AE3"/>
    <w:rsid w:val="00A651A4"/>
    <w:rsid w:val="00A70CDD"/>
    <w:rsid w:val="00A71361"/>
    <w:rsid w:val="00A746E2"/>
    <w:rsid w:val="00A81FF2"/>
    <w:rsid w:val="00A83904"/>
    <w:rsid w:val="00A90A79"/>
    <w:rsid w:val="00A96B30"/>
    <w:rsid w:val="00AA3E61"/>
    <w:rsid w:val="00AA59B5"/>
    <w:rsid w:val="00AA7777"/>
    <w:rsid w:val="00AA7B84"/>
    <w:rsid w:val="00AC0B4C"/>
    <w:rsid w:val="00AC1164"/>
    <w:rsid w:val="00AC2296"/>
    <w:rsid w:val="00AC2754"/>
    <w:rsid w:val="00AC48B0"/>
    <w:rsid w:val="00AC4ACD"/>
    <w:rsid w:val="00AC5DFB"/>
    <w:rsid w:val="00AD13DC"/>
    <w:rsid w:val="00AD5060"/>
    <w:rsid w:val="00AD6DE2"/>
    <w:rsid w:val="00AD77F2"/>
    <w:rsid w:val="00AE0A40"/>
    <w:rsid w:val="00AE1ED4"/>
    <w:rsid w:val="00AE21E1"/>
    <w:rsid w:val="00AE2F8D"/>
    <w:rsid w:val="00AE3BAE"/>
    <w:rsid w:val="00AE6A21"/>
    <w:rsid w:val="00AF1C8F"/>
    <w:rsid w:val="00AF29EF"/>
    <w:rsid w:val="00AF2B68"/>
    <w:rsid w:val="00AF2C92"/>
    <w:rsid w:val="00AF3EC1"/>
    <w:rsid w:val="00AF5025"/>
    <w:rsid w:val="00AF519F"/>
    <w:rsid w:val="00AF5387"/>
    <w:rsid w:val="00AF55F5"/>
    <w:rsid w:val="00AF7E86"/>
    <w:rsid w:val="00B024B9"/>
    <w:rsid w:val="00B03A10"/>
    <w:rsid w:val="00B077FA"/>
    <w:rsid w:val="00B117FB"/>
    <w:rsid w:val="00B127D7"/>
    <w:rsid w:val="00B12B86"/>
    <w:rsid w:val="00B13B0C"/>
    <w:rsid w:val="00B1453A"/>
    <w:rsid w:val="00B20F82"/>
    <w:rsid w:val="00B25BD5"/>
    <w:rsid w:val="00B34079"/>
    <w:rsid w:val="00B37628"/>
    <w:rsid w:val="00B3793A"/>
    <w:rsid w:val="00B401BA"/>
    <w:rsid w:val="00B407E4"/>
    <w:rsid w:val="00B425B6"/>
    <w:rsid w:val="00B42A72"/>
    <w:rsid w:val="00B441AE"/>
    <w:rsid w:val="00B45A65"/>
    <w:rsid w:val="00B45F33"/>
    <w:rsid w:val="00B46D50"/>
    <w:rsid w:val="00B52689"/>
    <w:rsid w:val="00B53170"/>
    <w:rsid w:val="00B548B9"/>
    <w:rsid w:val="00B563EE"/>
    <w:rsid w:val="00B56DBE"/>
    <w:rsid w:val="00B6023B"/>
    <w:rsid w:val="00B62999"/>
    <w:rsid w:val="00B63BE3"/>
    <w:rsid w:val="00B64885"/>
    <w:rsid w:val="00B66810"/>
    <w:rsid w:val="00B72BE3"/>
    <w:rsid w:val="00B73B80"/>
    <w:rsid w:val="00B770C7"/>
    <w:rsid w:val="00B80F26"/>
    <w:rsid w:val="00B822BD"/>
    <w:rsid w:val="00B842F4"/>
    <w:rsid w:val="00B91A7B"/>
    <w:rsid w:val="00B929DD"/>
    <w:rsid w:val="00B93AF6"/>
    <w:rsid w:val="00B95405"/>
    <w:rsid w:val="00B963F1"/>
    <w:rsid w:val="00BA020A"/>
    <w:rsid w:val="00BB025A"/>
    <w:rsid w:val="00BB02A4"/>
    <w:rsid w:val="00BB1270"/>
    <w:rsid w:val="00BB1DC8"/>
    <w:rsid w:val="00BB1E44"/>
    <w:rsid w:val="00BB27A2"/>
    <w:rsid w:val="00BB5267"/>
    <w:rsid w:val="00BB52B8"/>
    <w:rsid w:val="00BB59D8"/>
    <w:rsid w:val="00BB7E69"/>
    <w:rsid w:val="00BC0E51"/>
    <w:rsid w:val="00BC122A"/>
    <w:rsid w:val="00BC3C1F"/>
    <w:rsid w:val="00BC7CE7"/>
    <w:rsid w:val="00BD295E"/>
    <w:rsid w:val="00BD4664"/>
    <w:rsid w:val="00BE1193"/>
    <w:rsid w:val="00BE6C99"/>
    <w:rsid w:val="00BF4849"/>
    <w:rsid w:val="00BF4EA7"/>
    <w:rsid w:val="00C00EDB"/>
    <w:rsid w:val="00C02863"/>
    <w:rsid w:val="00C02C36"/>
    <w:rsid w:val="00C0383A"/>
    <w:rsid w:val="00C067FF"/>
    <w:rsid w:val="00C07CA9"/>
    <w:rsid w:val="00C10EFD"/>
    <w:rsid w:val="00C12862"/>
    <w:rsid w:val="00C13D28"/>
    <w:rsid w:val="00C14585"/>
    <w:rsid w:val="00C165A0"/>
    <w:rsid w:val="00C216CE"/>
    <w:rsid w:val="00C2184F"/>
    <w:rsid w:val="00C22A78"/>
    <w:rsid w:val="00C23C7E"/>
    <w:rsid w:val="00C246C5"/>
    <w:rsid w:val="00C25A82"/>
    <w:rsid w:val="00C30A2A"/>
    <w:rsid w:val="00C310F6"/>
    <w:rsid w:val="00C320A0"/>
    <w:rsid w:val="00C33339"/>
    <w:rsid w:val="00C33993"/>
    <w:rsid w:val="00C37790"/>
    <w:rsid w:val="00C4069E"/>
    <w:rsid w:val="00C41ADC"/>
    <w:rsid w:val="00C44149"/>
    <w:rsid w:val="00C44410"/>
    <w:rsid w:val="00C44A15"/>
    <w:rsid w:val="00C4630A"/>
    <w:rsid w:val="00C4711F"/>
    <w:rsid w:val="00C51DA0"/>
    <w:rsid w:val="00C523F0"/>
    <w:rsid w:val="00C526D2"/>
    <w:rsid w:val="00C53A91"/>
    <w:rsid w:val="00C5794E"/>
    <w:rsid w:val="00C60968"/>
    <w:rsid w:val="00C63D39"/>
    <w:rsid w:val="00C63EDD"/>
    <w:rsid w:val="00C65B36"/>
    <w:rsid w:val="00C67AA4"/>
    <w:rsid w:val="00C7292E"/>
    <w:rsid w:val="00C73B9A"/>
    <w:rsid w:val="00C74E88"/>
    <w:rsid w:val="00C80924"/>
    <w:rsid w:val="00C8286B"/>
    <w:rsid w:val="00C91079"/>
    <w:rsid w:val="00C947F8"/>
    <w:rsid w:val="00C9515F"/>
    <w:rsid w:val="00C963C5"/>
    <w:rsid w:val="00C96C46"/>
    <w:rsid w:val="00CA030C"/>
    <w:rsid w:val="00CA1F41"/>
    <w:rsid w:val="00CA32EE"/>
    <w:rsid w:val="00CA5771"/>
    <w:rsid w:val="00CA6A1A"/>
    <w:rsid w:val="00CC1E75"/>
    <w:rsid w:val="00CC2E0E"/>
    <w:rsid w:val="00CC361C"/>
    <w:rsid w:val="00CC474B"/>
    <w:rsid w:val="00CC658C"/>
    <w:rsid w:val="00CC67BF"/>
    <w:rsid w:val="00CD0843"/>
    <w:rsid w:val="00CD4E31"/>
    <w:rsid w:val="00CD5A78"/>
    <w:rsid w:val="00CD7345"/>
    <w:rsid w:val="00CE372E"/>
    <w:rsid w:val="00CE6E34"/>
    <w:rsid w:val="00CF0A1B"/>
    <w:rsid w:val="00CF19F6"/>
    <w:rsid w:val="00CF2F4F"/>
    <w:rsid w:val="00CF536D"/>
    <w:rsid w:val="00D02E9D"/>
    <w:rsid w:val="00D10CB8"/>
    <w:rsid w:val="00D12806"/>
    <w:rsid w:val="00D12D44"/>
    <w:rsid w:val="00D1328E"/>
    <w:rsid w:val="00D13F4C"/>
    <w:rsid w:val="00D15018"/>
    <w:rsid w:val="00D158AC"/>
    <w:rsid w:val="00D1694C"/>
    <w:rsid w:val="00D20F5E"/>
    <w:rsid w:val="00D23B76"/>
    <w:rsid w:val="00D24B4A"/>
    <w:rsid w:val="00D258E0"/>
    <w:rsid w:val="00D379A3"/>
    <w:rsid w:val="00D45FF3"/>
    <w:rsid w:val="00D5120E"/>
    <w:rsid w:val="00D512CF"/>
    <w:rsid w:val="00D528B9"/>
    <w:rsid w:val="00D53186"/>
    <w:rsid w:val="00D5487D"/>
    <w:rsid w:val="00D56945"/>
    <w:rsid w:val="00D60140"/>
    <w:rsid w:val="00D6024A"/>
    <w:rsid w:val="00D608AC"/>
    <w:rsid w:val="00D608B5"/>
    <w:rsid w:val="00D64739"/>
    <w:rsid w:val="00D71F99"/>
    <w:rsid w:val="00D73CA4"/>
    <w:rsid w:val="00D73D71"/>
    <w:rsid w:val="00D74396"/>
    <w:rsid w:val="00D80284"/>
    <w:rsid w:val="00D81F71"/>
    <w:rsid w:val="00D85296"/>
    <w:rsid w:val="00D8642D"/>
    <w:rsid w:val="00D90A5E"/>
    <w:rsid w:val="00D91A68"/>
    <w:rsid w:val="00D94C3F"/>
    <w:rsid w:val="00D95A68"/>
    <w:rsid w:val="00DA17C7"/>
    <w:rsid w:val="00DA34C6"/>
    <w:rsid w:val="00DA6A9A"/>
    <w:rsid w:val="00DB1EFD"/>
    <w:rsid w:val="00DB3782"/>
    <w:rsid w:val="00DB3EAF"/>
    <w:rsid w:val="00DB46C6"/>
    <w:rsid w:val="00DC3203"/>
    <w:rsid w:val="00DC3C99"/>
    <w:rsid w:val="00DC52F5"/>
    <w:rsid w:val="00DC5FD0"/>
    <w:rsid w:val="00DD0354"/>
    <w:rsid w:val="00DD27D7"/>
    <w:rsid w:val="00DD458C"/>
    <w:rsid w:val="00DD72E9"/>
    <w:rsid w:val="00DD7605"/>
    <w:rsid w:val="00DE2020"/>
    <w:rsid w:val="00DE3476"/>
    <w:rsid w:val="00DE7BEA"/>
    <w:rsid w:val="00DF5B84"/>
    <w:rsid w:val="00DF6D5B"/>
    <w:rsid w:val="00DF771B"/>
    <w:rsid w:val="00DF7EE2"/>
    <w:rsid w:val="00E01BAA"/>
    <w:rsid w:val="00E0282A"/>
    <w:rsid w:val="00E02F9B"/>
    <w:rsid w:val="00E051CE"/>
    <w:rsid w:val="00E07E14"/>
    <w:rsid w:val="00E14F94"/>
    <w:rsid w:val="00E17336"/>
    <w:rsid w:val="00E17D15"/>
    <w:rsid w:val="00E22B95"/>
    <w:rsid w:val="00E30331"/>
    <w:rsid w:val="00E30BB8"/>
    <w:rsid w:val="00E31F9C"/>
    <w:rsid w:val="00E40488"/>
    <w:rsid w:val="00E46E90"/>
    <w:rsid w:val="00E50367"/>
    <w:rsid w:val="00E51ABA"/>
    <w:rsid w:val="00E524CB"/>
    <w:rsid w:val="00E65456"/>
    <w:rsid w:val="00E65A91"/>
    <w:rsid w:val="00E66188"/>
    <w:rsid w:val="00E664FB"/>
    <w:rsid w:val="00E672F0"/>
    <w:rsid w:val="00E70373"/>
    <w:rsid w:val="00E72E40"/>
    <w:rsid w:val="00E73665"/>
    <w:rsid w:val="00E73999"/>
    <w:rsid w:val="00E73BDC"/>
    <w:rsid w:val="00E73E9E"/>
    <w:rsid w:val="00E81660"/>
    <w:rsid w:val="00E85084"/>
    <w:rsid w:val="00E854FE"/>
    <w:rsid w:val="00E906CC"/>
    <w:rsid w:val="00E939A0"/>
    <w:rsid w:val="00E95D85"/>
    <w:rsid w:val="00E97E4E"/>
    <w:rsid w:val="00EA1CC2"/>
    <w:rsid w:val="00EA2A5D"/>
    <w:rsid w:val="00EA2D76"/>
    <w:rsid w:val="00EA4644"/>
    <w:rsid w:val="00EA758A"/>
    <w:rsid w:val="00EB096F"/>
    <w:rsid w:val="00EB199F"/>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F0F45"/>
    <w:rsid w:val="00EF1264"/>
    <w:rsid w:val="00EF3587"/>
    <w:rsid w:val="00EF3836"/>
    <w:rsid w:val="00EF7463"/>
    <w:rsid w:val="00EF7971"/>
    <w:rsid w:val="00F002EF"/>
    <w:rsid w:val="00F01593"/>
    <w:rsid w:val="00F01EE9"/>
    <w:rsid w:val="00F04172"/>
    <w:rsid w:val="00F04900"/>
    <w:rsid w:val="00F065A4"/>
    <w:rsid w:val="00F117AF"/>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43B9D"/>
    <w:rsid w:val="00F44295"/>
    <w:rsid w:val="00F44D5E"/>
    <w:rsid w:val="00F53A35"/>
    <w:rsid w:val="00F55A3D"/>
    <w:rsid w:val="00F5744B"/>
    <w:rsid w:val="00F61209"/>
    <w:rsid w:val="00F6259E"/>
    <w:rsid w:val="00F6453C"/>
    <w:rsid w:val="00F65DD4"/>
    <w:rsid w:val="00F672B2"/>
    <w:rsid w:val="00F824D3"/>
    <w:rsid w:val="00F83973"/>
    <w:rsid w:val="00F877E1"/>
    <w:rsid w:val="00F87FA3"/>
    <w:rsid w:val="00F901B1"/>
    <w:rsid w:val="00F93D8C"/>
    <w:rsid w:val="00FA02AC"/>
    <w:rsid w:val="00FA3102"/>
    <w:rsid w:val="00FA48D4"/>
    <w:rsid w:val="00FA54FA"/>
    <w:rsid w:val="00FA6D39"/>
    <w:rsid w:val="00FB227E"/>
    <w:rsid w:val="00FB3D61"/>
    <w:rsid w:val="00FB44CE"/>
    <w:rsid w:val="00FB5009"/>
    <w:rsid w:val="00FB76AB"/>
    <w:rsid w:val="00FD03FE"/>
    <w:rsid w:val="00FD126E"/>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annotation text" w:uiPriority="99"/>
    <w:lsdException w:name="footer" w:uiPriority="99"/>
    <w:lsdException w:name="Normal (Web)" w:uiPriority="99"/>
    <w:lsdException w:name="Table Grid" w:uiPriority="59"/>
    <w:lsdException w:name="List Paragraph" w:uiPriority="34" w:qFormat="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rsid w:val="00E46E90"/>
    <w:rPr>
      <w:color w:val="0000FF" w:themeColor="hyperlink"/>
      <w:u w:val="single"/>
    </w:rPr>
  </w:style>
  <w:style w:type="paragraph" w:styleId="NormalWeb">
    <w:name w:val="Normal (Web)"/>
    <w:basedOn w:val="Normal"/>
    <w:uiPriority w:val="99"/>
    <w:unhideWhenUsed/>
    <w:rsid w:val="00E46E90"/>
    <w:pPr>
      <w:spacing w:before="100" w:beforeAutospacing="1" w:after="100" w:afterAutospacing="1" w:line="240" w:lineRule="auto"/>
    </w:pPr>
    <w:rPr>
      <w:rFonts w:eastAsiaTheme="minorEastAsia"/>
      <w:lang w:eastAsia="zh-CN"/>
    </w:rPr>
  </w:style>
  <w:style w:type="table" w:styleId="TableGrid">
    <w:name w:val="Table Grid"/>
    <w:basedOn w:val="TableNormal"/>
    <w:uiPriority w:val="59"/>
    <w:rsid w:val="00E46E90"/>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84020D"/>
    <w:pPr>
      <w:spacing w:line="240" w:lineRule="auto"/>
    </w:pPr>
    <w:rPr>
      <w:sz w:val="20"/>
      <w:szCs w:val="20"/>
      <w:lang w:eastAsia="en-US"/>
    </w:rPr>
  </w:style>
  <w:style w:type="character" w:customStyle="1" w:styleId="CommentTextChar">
    <w:name w:val="Comment Text Char"/>
    <w:basedOn w:val="DefaultParagraphFont"/>
    <w:link w:val="CommentText"/>
    <w:uiPriority w:val="99"/>
    <w:rsid w:val="0084020D"/>
    <w:rPr>
      <w:lang w:eastAsia="en-US"/>
    </w:rPr>
  </w:style>
  <w:style w:type="paragraph" w:styleId="ListParagraph">
    <w:name w:val="List Paragraph"/>
    <w:basedOn w:val="Normal"/>
    <w:uiPriority w:val="34"/>
    <w:qFormat/>
    <w:rsid w:val="00C91079"/>
    <w:pPr>
      <w:spacing w:after="200" w:line="240"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F117A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117AF"/>
    <w:rPr>
      <w:rFonts w:ascii="Tahoma" w:hAnsi="Tahoma" w:cs="Tahoma"/>
      <w:sz w:val="16"/>
      <w:szCs w:val="16"/>
    </w:rPr>
  </w:style>
  <w:style w:type="character" w:styleId="CommentReference">
    <w:name w:val="annotation reference"/>
    <w:basedOn w:val="DefaultParagraphFont"/>
    <w:rsid w:val="00075A51"/>
    <w:rPr>
      <w:sz w:val="16"/>
      <w:szCs w:val="16"/>
    </w:rPr>
  </w:style>
  <w:style w:type="paragraph" w:styleId="CommentSubject">
    <w:name w:val="annotation subject"/>
    <w:basedOn w:val="CommentText"/>
    <w:next w:val="CommentText"/>
    <w:link w:val="CommentSubjectChar"/>
    <w:rsid w:val="00075A51"/>
    <w:rPr>
      <w:b/>
      <w:bCs/>
      <w:lang w:eastAsia="en-GB"/>
    </w:rPr>
  </w:style>
  <w:style w:type="character" w:customStyle="1" w:styleId="CommentSubjectChar">
    <w:name w:val="Comment Subject Char"/>
    <w:basedOn w:val="CommentTextChar"/>
    <w:link w:val="CommentSubject"/>
    <w:rsid w:val="00075A51"/>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annotation text" w:uiPriority="99"/>
    <w:lsdException w:name="footer" w:uiPriority="99"/>
    <w:lsdException w:name="Normal (Web)" w:uiPriority="99"/>
    <w:lsdException w:name="Table Grid" w:uiPriority="59"/>
    <w:lsdException w:name="List Paragraph" w:uiPriority="34" w:qFormat="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rsid w:val="00E46E90"/>
    <w:rPr>
      <w:color w:val="0000FF" w:themeColor="hyperlink"/>
      <w:u w:val="single"/>
    </w:rPr>
  </w:style>
  <w:style w:type="paragraph" w:styleId="NormalWeb">
    <w:name w:val="Normal (Web)"/>
    <w:basedOn w:val="Normal"/>
    <w:uiPriority w:val="99"/>
    <w:unhideWhenUsed/>
    <w:rsid w:val="00E46E90"/>
    <w:pPr>
      <w:spacing w:before="100" w:beforeAutospacing="1" w:after="100" w:afterAutospacing="1" w:line="240" w:lineRule="auto"/>
    </w:pPr>
    <w:rPr>
      <w:rFonts w:eastAsiaTheme="minorEastAsia"/>
      <w:lang w:eastAsia="zh-CN"/>
    </w:rPr>
  </w:style>
  <w:style w:type="table" w:styleId="TableGrid">
    <w:name w:val="Table Grid"/>
    <w:basedOn w:val="TableNormal"/>
    <w:uiPriority w:val="59"/>
    <w:rsid w:val="00E46E90"/>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84020D"/>
    <w:pPr>
      <w:spacing w:line="240" w:lineRule="auto"/>
    </w:pPr>
    <w:rPr>
      <w:sz w:val="20"/>
      <w:szCs w:val="20"/>
      <w:lang w:eastAsia="en-US"/>
    </w:rPr>
  </w:style>
  <w:style w:type="character" w:customStyle="1" w:styleId="CommentTextChar">
    <w:name w:val="Comment Text Char"/>
    <w:basedOn w:val="DefaultParagraphFont"/>
    <w:link w:val="CommentText"/>
    <w:uiPriority w:val="99"/>
    <w:rsid w:val="0084020D"/>
    <w:rPr>
      <w:lang w:eastAsia="en-US"/>
    </w:rPr>
  </w:style>
  <w:style w:type="paragraph" w:styleId="ListParagraph">
    <w:name w:val="List Paragraph"/>
    <w:basedOn w:val="Normal"/>
    <w:uiPriority w:val="34"/>
    <w:qFormat/>
    <w:rsid w:val="00C91079"/>
    <w:pPr>
      <w:spacing w:after="200" w:line="240"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F117A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117AF"/>
    <w:rPr>
      <w:rFonts w:ascii="Tahoma" w:hAnsi="Tahoma" w:cs="Tahoma"/>
      <w:sz w:val="16"/>
      <w:szCs w:val="16"/>
    </w:rPr>
  </w:style>
  <w:style w:type="character" w:styleId="CommentReference">
    <w:name w:val="annotation reference"/>
    <w:basedOn w:val="DefaultParagraphFont"/>
    <w:rsid w:val="00075A51"/>
    <w:rPr>
      <w:sz w:val="16"/>
      <w:szCs w:val="16"/>
    </w:rPr>
  </w:style>
  <w:style w:type="paragraph" w:styleId="CommentSubject">
    <w:name w:val="annotation subject"/>
    <w:basedOn w:val="CommentText"/>
    <w:next w:val="CommentText"/>
    <w:link w:val="CommentSubjectChar"/>
    <w:rsid w:val="00075A51"/>
    <w:rPr>
      <w:b/>
      <w:bCs/>
      <w:lang w:eastAsia="en-GB"/>
    </w:rPr>
  </w:style>
  <w:style w:type="character" w:customStyle="1" w:styleId="CommentSubjectChar">
    <w:name w:val="Comment Subject Char"/>
    <w:basedOn w:val="CommentTextChar"/>
    <w:link w:val="CommentSubject"/>
    <w:rsid w:val="00075A5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Morrison@soton.ac.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Publications\Thesis%20-%20theoretical%20review\Final%20version\TF_Template_Word_Windows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F7D56-7169-4296-87A4-E8EC96527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TF_Template_Word_Windows_2010.dotx</Template>
  <TotalTime>37</TotalTime>
  <Pages>37</Pages>
  <Words>7393</Words>
  <Characters>42143</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TF_Template_Word_Windows_2010</vt:lpstr>
    </vt:vector>
  </TitlesOfParts>
  <Company>Informa Plc</Company>
  <LinksUpToDate>false</LinksUpToDate>
  <CharactersWithSpaces>49438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TF_Template_Word_Windows_2010</dc:title>
  <dc:creator>Leanne Morrison</dc:creator>
  <cp:lastModifiedBy>Leanne Morrison</cp:lastModifiedBy>
  <cp:revision>8</cp:revision>
  <cp:lastPrinted>2015-05-28T15:05:00Z</cp:lastPrinted>
  <dcterms:created xsi:type="dcterms:W3CDTF">2015-06-18T11:01:00Z</dcterms:created>
  <dcterms:modified xsi:type="dcterms:W3CDTF">2015-06-18T15:21:00Z</dcterms:modified>
</cp:coreProperties>
</file>