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E5E" w:rsidRPr="00AF30AC" w:rsidRDefault="003D5B23">
      <w:pPr>
        <w:rPr>
          <w:b/>
        </w:rPr>
      </w:pPr>
      <w:r>
        <w:t xml:space="preserve">  </w:t>
      </w:r>
      <w:r w:rsidR="00950A0E">
        <w:t xml:space="preserve">                        </w:t>
      </w:r>
      <w:r>
        <w:t xml:space="preserve"> </w:t>
      </w:r>
    </w:p>
    <w:p w:rsidR="003D5B23" w:rsidRPr="00FB5F03" w:rsidRDefault="00BA7DE2" w:rsidP="00A7050B">
      <w:pPr>
        <w:spacing w:line="480" w:lineRule="auto"/>
        <w:rPr>
          <w:b/>
        </w:rPr>
      </w:pPr>
      <w:r w:rsidRPr="00FB5F03">
        <w:rPr>
          <w:b/>
        </w:rPr>
        <w:t>Introduction</w:t>
      </w:r>
    </w:p>
    <w:p w:rsidR="00745C93" w:rsidRDefault="00BA7DE2" w:rsidP="00A7050B">
      <w:pPr>
        <w:spacing w:line="480" w:lineRule="auto"/>
      </w:pPr>
      <w:r>
        <w:t>This article focuses o</w:t>
      </w:r>
      <w:r w:rsidR="00626C1C">
        <w:t>n the design and performance</w:t>
      </w:r>
      <w:r w:rsidR="00D52082">
        <w:t xml:space="preserve"> of exercises</w:t>
      </w:r>
      <w:r w:rsidR="00CD4D6F">
        <w:t xml:space="preserve"> by</w:t>
      </w:r>
      <w:r w:rsidR="00D52082">
        <w:t xml:space="preserve"> the Fire and Rescue Service (FRS) in the United Kingdom. </w:t>
      </w:r>
      <w:r w:rsidR="005C7DBD">
        <w:t>Exercises stage, imagine and</w:t>
      </w:r>
      <w:r>
        <w:t xml:space="preserve"> s</w:t>
      </w:r>
      <w:r w:rsidR="00490F45">
        <w:t>imulate</w:t>
      </w:r>
      <w:r w:rsidR="006734C9">
        <w:t xml:space="preserve"> possible</w:t>
      </w:r>
      <w:r w:rsidR="00F5640F">
        <w:t xml:space="preserve"> future</w:t>
      </w:r>
      <w:r w:rsidR="00D52082">
        <w:t xml:space="preserve"> fire</w:t>
      </w:r>
      <w:r w:rsidR="00490F45">
        <w:t xml:space="preserve"> </w:t>
      </w:r>
      <w:r>
        <w:t>emergencies by their</w:t>
      </w:r>
      <w:r w:rsidR="00490F45">
        <w:t xml:space="preserve"> potential</w:t>
      </w:r>
      <w:r>
        <w:t xml:space="preserve"> sensual, spatial, t</w:t>
      </w:r>
      <w:r w:rsidR="00A9510F">
        <w:t>emporal and</w:t>
      </w:r>
      <w:r w:rsidR="00F45466">
        <w:t xml:space="preserve"> audio-visual features and effects</w:t>
      </w:r>
      <w:r w:rsidR="003319BE">
        <w:t>.</w:t>
      </w:r>
      <w:r w:rsidR="00D52082">
        <w:t xml:space="preserve"> The article also demonstrates how, by their bringing future emergencies to light in the present, exercises function to assess, develop and create forms of protocol which plan</w:t>
      </w:r>
      <w:r w:rsidR="00626C1C">
        <w:t xml:space="preserve"> out and guide</w:t>
      </w:r>
      <w:r w:rsidR="00D52082">
        <w:t xml:space="preserve"> the FRS’ response to different kinds of fire emergencies</w:t>
      </w:r>
      <w:r w:rsidR="00626C1C">
        <w:t>, before these emergencies</w:t>
      </w:r>
      <w:r w:rsidR="00D52082">
        <w:t xml:space="preserve"> occur. The use of exercises to both imagine future fire emergencies and in turn</w:t>
      </w:r>
      <w:r w:rsidR="00626C1C">
        <w:t xml:space="preserve"> to</w:t>
      </w:r>
      <w:r w:rsidR="00D52082">
        <w:t xml:space="preserve"> plan protocol </w:t>
      </w:r>
      <w:r w:rsidR="00FE5628">
        <w:t>resonates with broader</w:t>
      </w:r>
      <w:r w:rsidR="00374172">
        <w:t xml:space="preserve"> organisational change</w:t>
      </w:r>
      <w:r w:rsidR="00FE5628">
        <w:t>s</w:t>
      </w:r>
      <w:r w:rsidR="00374172">
        <w:t xml:space="preserve"> to </w:t>
      </w:r>
      <w:r w:rsidR="00F11F45">
        <w:t>both the FRS and the wider securing of emergencies</w:t>
      </w:r>
      <w:r w:rsidR="00374172">
        <w:t xml:space="preserve"> over the last decade. The</w:t>
      </w:r>
      <w:r w:rsidR="00E25CBA">
        <w:t xml:space="preserve"> introduction of </w:t>
      </w:r>
      <w:r w:rsidR="00374172">
        <w:t>legislation</w:t>
      </w:r>
      <w:r w:rsidR="00745C93">
        <w:t xml:space="preserve"> such as the </w:t>
      </w:r>
      <w:r w:rsidR="00745C93" w:rsidRPr="00745C93">
        <w:rPr>
          <w:i/>
        </w:rPr>
        <w:t>Fi</w:t>
      </w:r>
      <w:r w:rsidR="00AD1179">
        <w:rPr>
          <w:i/>
        </w:rPr>
        <w:t>re and Rescue Services Act</w:t>
      </w:r>
      <w:r w:rsidR="009B30BE">
        <w:rPr>
          <w:rStyle w:val="EndnoteReference"/>
          <w:i/>
        </w:rPr>
        <w:endnoteReference w:id="1"/>
      </w:r>
      <w:r w:rsidR="00AD1179">
        <w:rPr>
          <w:i/>
        </w:rPr>
        <w:t xml:space="preserve"> </w:t>
      </w:r>
      <w:r w:rsidR="00E25CBA">
        <w:t xml:space="preserve">and the </w:t>
      </w:r>
      <w:r w:rsidR="00E25CBA" w:rsidRPr="00E25CBA">
        <w:rPr>
          <w:i/>
        </w:rPr>
        <w:t>Civil Contingencies Act</w:t>
      </w:r>
      <w:r w:rsidR="009B30BE">
        <w:rPr>
          <w:rStyle w:val="EndnoteReference"/>
          <w:i/>
        </w:rPr>
        <w:endnoteReference w:id="2"/>
      </w:r>
      <w:r w:rsidR="00177915">
        <w:t xml:space="preserve"> means</w:t>
      </w:r>
      <w:r w:rsidR="00FE5628">
        <w:t xml:space="preserve"> s</w:t>
      </w:r>
      <w:r w:rsidR="00626C1C">
        <w:t>trategic emphasis in the FRS is now</w:t>
      </w:r>
      <w:r w:rsidR="00FE5628">
        <w:t xml:space="preserve"> placed not just on responding to fires as and when they occur but also </w:t>
      </w:r>
      <w:r w:rsidR="00626C1C">
        <w:t xml:space="preserve">on </w:t>
      </w:r>
      <w:r w:rsidR="00FE5628">
        <w:t>building capacity to identify fire as a future event which can be governed in the present</w:t>
      </w:r>
      <w:r w:rsidR="006C332B">
        <w:t>.</w:t>
      </w:r>
      <w:r w:rsidR="00374172">
        <w:t xml:space="preserve"> </w:t>
      </w:r>
      <w:r w:rsidR="00914A5A">
        <w:t>Instituting these changes, the FRS follows a</w:t>
      </w:r>
      <w:r w:rsidR="00F11F45">
        <w:t xml:space="preserve"> path noted across political geography and critical s</w:t>
      </w:r>
      <w:r w:rsidR="008A33C5">
        <w:t>ecurity studies which outlines h</w:t>
      </w:r>
      <w:r w:rsidR="00F11F45">
        <w:t>o</w:t>
      </w:r>
      <w:r w:rsidR="008A33C5">
        <w:t>w</w:t>
      </w:r>
      <w:r w:rsidR="00F11F45">
        <w:t xml:space="preserve"> security organisations</w:t>
      </w:r>
      <w:r w:rsidR="00914A5A">
        <w:t xml:space="preserve"> increasingly enact anticipatory forms of governance in which intervention takes place in the present but</w:t>
      </w:r>
      <w:r w:rsidR="008A33C5">
        <w:t xml:space="preserve"> is</w:t>
      </w:r>
      <w:r w:rsidR="00914A5A">
        <w:t xml:space="preserve"> directed towards and shaped by understandings of the possibility of emergencies in the future</w:t>
      </w:r>
      <w:r w:rsidR="00914A5A">
        <w:rPr>
          <w:rStyle w:val="EndnoteReference"/>
        </w:rPr>
        <w:endnoteReference w:id="3"/>
      </w:r>
      <w:r w:rsidR="00914A5A">
        <w:rPr>
          <w:rStyle w:val="EndnoteReference"/>
        </w:rPr>
        <w:endnoteReference w:id="4"/>
      </w:r>
      <w:r w:rsidR="00914A5A">
        <w:rPr>
          <w:rStyle w:val="EndnoteReference"/>
        </w:rPr>
        <w:endnoteReference w:id="5"/>
      </w:r>
      <w:r w:rsidR="00914A5A">
        <w:t xml:space="preserve">. </w:t>
      </w:r>
    </w:p>
    <w:p w:rsidR="001D498F" w:rsidRDefault="00537B5F" w:rsidP="001D498F">
      <w:pPr>
        <w:autoSpaceDE w:val="0"/>
        <w:autoSpaceDN w:val="0"/>
        <w:adjustRightInd w:val="0"/>
        <w:spacing w:after="0" w:line="480" w:lineRule="auto"/>
        <w:rPr>
          <w:rFonts w:cs="AdvP7B6C"/>
        </w:rPr>
      </w:pPr>
      <w:r>
        <w:t>Although heretofore unaccounted for in literature on anticipatory governance, protocol is</w:t>
      </w:r>
      <w:r w:rsidR="00D52082">
        <w:t xml:space="preserve"> emblematic of this turn towards risk based, anticipator</w:t>
      </w:r>
      <w:r>
        <w:t>y forms of governance</w:t>
      </w:r>
      <w:r w:rsidR="0025433E">
        <w:t>.</w:t>
      </w:r>
      <w:r w:rsidR="00CA07A4" w:rsidRPr="00CA07A4">
        <w:t xml:space="preserve"> </w:t>
      </w:r>
      <w:r w:rsidR="00CA07A4">
        <w:t>Protocol</w:t>
      </w:r>
      <w:r>
        <w:t>s are a</w:t>
      </w:r>
      <w:r w:rsidR="00E60B00">
        <w:t xml:space="preserve"> planned sequence</w:t>
      </w:r>
      <w:r w:rsidR="00F404DE">
        <w:t xml:space="preserve"> of action which</w:t>
      </w:r>
      <w:r w:rsidR="00CA07A4">
        <w:t xml:space="preserve"> structure</w:t>
      </w:r>
      <w:r>
        <w:t>s response to</w:t>
      </w:r>
      <w:r w:rsidR="00CA07A4">
        <w:t xml:space="preserve"> emergencies.</w:t>
      </w:r>
      <w:r w:rsidR="009D0E92">
        <w:t xml:space="preserve"> As will be detailed in more depth below, different protocol exists for different types of fire emergencies. In relation to a sp</w:t>
      </w:r>
      <w:r w:rsidR="00830CFF">
        <w:t>ecific type of fire emergency,</w:t>
      </w:r>
      <w:r w:rsidR="00CA07A4">
        <w:t xml:space="preserve"> protocol can</w:t>
      </w:r>
      <w:r w:rsidR="00830CFF">
        <w:t>, for instance, refer to instructions on</w:t>
      </w:r>
      <w:r w:rsidR="00CA07A4">
        <w:t xml:space="preserve"> how to handle equipment, guidance on the distance from which fires should be extinguished or how fire fighters should avoid the dangers associated with tackli</w:t>
      </w:r>
      <w:r w:rsidR="00626C1C">
        <w:t>ng a blaze in</w:t>
      </w:r>
      <w:r w:rsidR="00830CFF">
        <w:t xml:space="preserve"> a</w:t>
      </w:r>
      <w:r w:rsidR="00626C1C">
        <w:t xml:space="preserve"> particular</w:t>
      </w:r>
      <w:r w:rsidR="00830CFF">
        <w:t xml:space="preserve"> kind of space</w:t>
      </w:r>
      <w:r w:rsidR="00CA07A4">
        <w:t xml:space="preserve">. </w:t>
      </w:r>
      <w:r w:rsidR="00CA07A4">
        <w:rPr>
          <w:rFonts w:cs="AdvP7B6C"/>
        </w:rPr>
        <w:t>A</w:t>
      </w:r>
      <w:r w:rsidR="000E1172">
        <w:rPr>
          <w:rFonts w:cs="AdvP7B6C"/>
        </w:rPr>
        <w:t>s part of the anticipatory strategic architecture of the FRS,</w:t>
      </w:r>
      <w:r w:rsidR="00CA07A4">
        <w:rPr>
          <w:rFonts w:cs="AdvP7B6C"/>
        </w:rPr>
        <w:t xml:space="preserve"> protocol</w:t>
      </w:r>
      <w:r w:rsidR="000E1172">
        <w:rPr>
          <w:rFonts w:cs="AdvP7B6C"/>
        </w:rPr>
        <w:t xml:space="preserve"> enacts a form of preparedness by which the FRS plans </w:t>
      </w:r>
      <w:r w:rsidR="000E1172">
        <w:rPr>
          <w:rFonts w:cs="AdvP7B6C"/>
        </w:rPr>
        <w:lastRenderedPageBreak/>
        <w:t>their response for future fire emergencies before they occur.</w:t>
      </w:r>
      <w:r w:rsidR="001A64C7">
        <w:rPr>
          <w:rFonts w:cs="AdvP7B6C"/>
        </w:rPr>
        <w:t xml:space="preserve"> Response on first sight may appear as the most important component of the FRS’ responsibility. It is through response that the FRS attends to fires as they un</w:t>
      </w:r>
      <w:r w:rsidR="00D96A03">
        <w:rPr>
          <w:rFonts w:cs="AdvP7B6C"/>
        </w:rPr>
        <w:t>fold after all. W</w:t>
      </w:r>
      <w:r w:rsidR="000E1172">
        <w:rPr>
          <w:rFonts w:cs="AdvP7B6C"/>
        </w:rPr>
        <w:t>ith the organisational changes instituted over the last decade</w:t>
      </w:r>
      <w:r w:rsidR="00B809F5">
        <w:rPr>
          <w:rFonts w:cs="AdvP7B6C"/>
        </w:rPr>
        <w:t>, however,</w:t>
      </w:r>
      <w:r w:rsidR="007655D9">
        <w:rPr>
          <w:rFonts w:cs="AdvP7B6C"/>
        </w:rPr>
        <w:t xml:space="preserve"> response</w:t>
      </w:r>
      <w:r w:rsidR="001A64C7">
        <w:rPr>
          <w:rFonts w:cs="AdvP7B6C"/>
        </w:rPr>
        <w:t xml:space="preserve"> has undergone a kind of temporal reconfiguration. Instead of merely accounting for action in the</w:t>
      </w:r>
      <w:r w:rsidR="00CA07A4">
        <w:rPr>
          <w:rFonts w:cs="AdvP7B6C"/>
        </w:rPr>
        <w:t xml:space="preserve"> present, the response of the </w:t>
      </w:r>
      <w:r w:rsidR="00D96A03">
        <w:rPr>
          <w:rFonts w:cs="AdvP7B6C"/>
        </w:rPr>
        <w:t>FRS to fires is planned out in</w:t>
      </w:r>
      <w:r w:rsidR="00CA07A4">
        <w:rPr>
          <w:rFonts w:cs="AdvP7B6C"/>
        </w:rPr>
        <w:t xml:space="preserve"> different protocols</w:t>
      </w:r>
      <w:r w:rsidR="001D498F">
        <w:rPr>
          <w:rStyle w:val="EndnoteReference"/>
        </w:rPr>
        <w:endnoteReference w:id="6"/>
      </w:r>
      <w:r w:rsidR="00B809F5">
        <w:rPr>
          <w:rFonts w:cs="AdvP7B6C"/>
        </w:rPr>
        <w:t>. By a</w:t>
      </w:r>
      <w:r w:rsidR="00CA07A4">
        <w:rPr>
          <w:rFonts w:cs="AdvP7B6C"/>
        </w:rPr>
        <w:t>llowing the FRS to prepare in the present for response to future emergencies, protocol</w:t>
      </w:r>
      <w:r w:rsidR="001A64C7">
        <w:rPr>
          <w:rFonts w:cs="AdvP7B6C"/>
        </w:rPr>
        <w:t xml:space="preserve"> cuts ac</w:t>
      </w:r>
      <w:r w:rsidR="00B809F5">
        <w:rPr>
          <w:rFonts w:cs="AdvP7B6C"/>
        </w:rPr>
        <w:t>ross two temporalities. At once</w:t>
      </w:r>
      <w:r w:rsidR="001A64C7">
        <w:rPr>
          <w:rFonts w:cs="AdvP7B6C"/>
        </w:rPr>
        <w:t xml:space="preserve"> </w:t>
      </w:r>
      <w:r w:rsidR="00CA07A4">
        <w:rPr>
          <w:rFonts w:cs="AdvP7B6C"/>
        </w:rPr>
        <w:t>protocol intervenes</w:t>
      </w:r>
      <w:r w:rsidR="001A64C7">
        <w:rPr>
          <w:rFonts w:cs="AdvP7B6C"/>
        </w:rPr>
        <w:t xml:space="preserve"> on the future because it entails planning a set of actions before an event has had the chance to occur. At the </w:t>
      </w:r>
      <w:r w:rsidR="00CA07A4">
        <w:rPr>
          <w:rFonts w:cs="AdvP7B6C"/>
        </w:rPr>
        <w:t>same time, protocol</w:t>
      </w:r>
      <w:r w:rsidR="001A64C7">
        <w:rPr>
          <w:rFonts w:cs="AdvP7B6C"/>
        </w:rPr>
        <w:t xml:space="preserve"> structures the actions taken once the future to which it is oriented unfolds as an event in the present</w:t>
      </w:r>
      <w:r w:rsidR="001D498F">
        <w:rPr>
          <w:rStyle w:val="EndnoteReference"/>
          <w:rFonts w:cs="AdvP7B6C"/>
        </w:rPr>
        <w:endnoteReference w:id="7"/>
      </w:r>
    </w:p>
    <w:p w:rsidR="00ED3B4D" w:rsidRDefault="00ED3B4D" w:rsidP="001979B1">
      <w:pPr>
        <w:autoSpaceDE w:val="0"/>
        <w:autoSpaceDN w:val="0"/>
        <w:adjustRightInd w:val="0"/>
        <w:spacing w:after="0" w:line="480" w:lineRule="auto"/>
      </w:pPr>
    </w:p>
    <w:p w:rsidR="001F761F" w:rsidRDefault="00EB2FE3" w:rsidP="000671A9">
      <w:pPr>
        <w:autoSpaceDE w:val="0"/>
        <w:autoSpaceDN w:val="0"/>
        <w:adjustRightInd w:val="0"/>
        <w:spacing w:after="0" w:line="480" w:lineRule="auto"/>
      </w:pPr>
      <w:r>
        <w:t>The paper</w:t>
      </w:r>
      <w:r w:rsidR="00ED3B4D">
        <w:t xml:space="preserve"> shows how</w:t>
      </w:r>
      <w:r w:rsidR="001D498F">
        <w:t xml:space="preserve"> </w:t>
      </w:r>
      <w:r w:rsidR="00ED3B4D">
        <w:t>exercises operate to assess and devel</w:t>
      </w:r>
      <w:r w:rsidR="00E60B00">
        <w:t xml:space="preserve">op </w:t>
      </w:r>
      <w:r w:rsidR="006D4BFC">
        <w:t>protocol by imagining future fire emergencies to which exercise participants will have to respond. The twin move of</w:t>
      </w:r>
      <w:r w:rsidR="00626C1C">
        <w:t xml:space="preserve"> both</w:t>
      </w:r>
      <w:r w:rsidR="006D4BFC">
        <w:t xml:space="preserve"> assessment and development </w:t>
      </w:r>
      <w:r w:rsidR="009D0E92">
        <w:t>is achieved by presenting in</w:t>
      </w:r>
      <w:r w:rsidR="008E1F58">
        <w:t xml:space="preserve"> exercises future emergencies within</w:t>
      </w:r>
      <w:r w:rsidR="009D0E92">
        <w:t xml:space="preserve"> which the applicability of pre-exist</w:t>
      </w:r>
      <w:r w:rsidR="00E60B00">
        <w:t>ing protocol is challenged</w:t>
      </w:r>
      <w:r w:rsidR="009D0E92">
        <w:t xml:space="preserve">. Pushing the limit of a protocol’s applicability, as will be documented later, means acting out in exercises future emergencies which have never been experienced before. </w:t>
      </w:r>
      <w:r w:rsidR="00273932">
        <w:t xml:space="preserve">To explore exercises in terms of their remaking of </w:t>
      </w:r>
      <w:r w:rsidR="0031194E">
        <w:t>protocol</w:t>
      </w:r>
      <w:r w:rsidR="00273932">
        <w:t xml:space="preserve"> I</w:t>
      </w:r>
      <w:r w:rsidR="002E4530">
        <w:t xml:space="preserve"> examine the forms of knowledge</w:t>
      </w:r>
      <w:r w:rsidR="00B63BED">
        <w:t xml:space="preserve"> and</w:t>
      </w:r>
      <w:r w:rsidR="002F242D">
        <w:t xml:space="preserve"> technologies used</w:t>
      </w:r>
      <w:r w:rsidR="002E4530">
        <w:t xml:space="preserve"> in both</w:t>
      </w:r>
      <w:r w:rsidR="002557A2">
        <w:t xml:space="preserve"> the</w:t>
      </w:r>
      <w:r w:rsidR="00355DA3">
        <w:t xml:space="preserve"> design and performance of exercises.</w:t>
      </w:r>
      <w:r w:rsidR="002F242D">
        <w:t xml:space="preserve"> Deployed together these knowledges and technologies</w:t>
      </w:r>
      <w:r w:rsidR="00E60B00">
        <w:t xml:space="preserve"> coordinate operate as aesthetic forces which make present future emergencies</w:t>
      </w:r>
      <w:r w:rsidR="002F242D">
        <w:t>.</w:t>
      </w:r>
      <w:r w:rsidR="002F4D68">
        <w:t xml:space="preserve"> Drawing on</w:t>
      </w:r>
      <w:r w:rsidR="00626C1C">
        <w:t xml:space="preserve"> a</w:t>
      </w:r>
      <w:r w:rsidR="002F4D68">
        <w:t xml:space="preserve"> burgeoning</w:t>
      </w:r>
      <w:r w:rsidR="009D0E92">
        <w:t xml:space="preserve"> and evermore vast literature</w:t>
      </w:r>
      <w:r w:rsidR="002F4D68">
        <w:t xml:space="preserve"> deriving from cultural</w:t>
      </w:r>
      <w:r w:rsidR="00A86600">
        <w:t xml:space="preserve"> and political</w:t>
      </w:r>
      <w:r w:rsidR="00D02983">
        <w:t xml:space="preserve"> geography</w:t>
      </w:r>
      <w:r w:rsidR="00D02983">
        <w:rPr>
          <w:rStyle w:val="EndnoteReference"/>
        </w:rPr>
        <w:endnoteReference w:id="8"/>
      </w:r>
      <w:r w:rsidR="00D02983">
        <w:rPr>
          <w:rStyle w:val="EndnoteReference"/>
        </w:rPr>
        <w:endnoteReference w:id="9"/>
      </w:r>
      <w:r w:rsidR="002F4D68">
        <w:t>,</w:t>
      </w:r>
      <w:r w:rsidR="00D02983">
        <w:t xml:space="preserve"> literary studies</w:t>
      </w:r>
      <w:r w:rsidR="00D02983">
        <w:rPr>
          <w:rStyle w:val="EndnoteReference"/>
        </w:rPr>
        <w:endnoteReference w:id="10"/>
      </w:r>
      <w:r w:rsidR="00D02983">
        <w:t>, politics</w:t>
      </w:r>
      <w:r w:rsidR="00D02983">
        <w:rPr>
          <w:rStyle w:val="EndnoteReference"/>
        </w:rPr>
        <w:endnoteReference w:id="11"/>
      </w:r>
      <w:r>
        <w:t xml:space="preserve"> and n</w:t>
      </w:r>
      <w:r w:rsidR="00D02983">
        <w:t>ew media studies</w:t>
      </w:r>
      <w:r w:rsidR="00D02983">
        <w:rPr>
          <w:rStyle w:val="EndnoteReference"/>
        </w:rPr>
        <w:endnoteReference w:id="12"/>
      </w:r>
      <w:r w:rsidR="002F4D68">
        <w:t>, the paper conceptualises aesthetics not simply as the study of the principles underpinning the creation of beautiful objects. Instead, aesthetics is taken to mean the s</w:t>
      </w:r>
      <w:r w:rsidR="00A86600">
        <w:t>et of techniques through which different</w:t>
      </w:r>
      <w:r w:rsidR="009D0E92">
        <w:t xml:space="preserve"> scenarios and events</w:t>
      </w:r>
      <w:r w:rsidR="002F4D68">
        <w:t xml:space="preserve"> can be</w:t>
      </w:r>
      <w:r w:rsidR="009D0E92">
        <w:t xml:space="preserve"> rendered,</w:t>
      </w:r>
      <w:r w:rsidR="002F4D68">
        <w:t xml:space="preserve"> ima</w:t>
      </w:r>
      <w:r w:rsidR="009D0E92">
        <w:t>gined and experienced</w:t>
      </w:r>
      <w:r w:rsidR="002F4D68">
        <w:t>.</w:t>
      </w:r>
      <w:r w:rsidR="0042745B">
        <w:t xml:space="preserve"> But aesthetics is used also to refer to how such events are both produced through and beheld upon sensual registers. The senses penetrated to bring the future emergency to light in exercises are various. </w:t>
      </w:r>
      <w:r w:rsidR="00355DA3">
        <w:t>In term</w:t>
      </w:r>
      <w:r w:rsidR="002F242D">
        <w:t>s of the design of exercises</w:t>
      </w:r>
      <w:r w:rsidR="002F4D68">
        <w:t>, for example,</w:t>
      </w:r>
      <w:r w:rsidR="001F761F">
        <w:t xml:space="preserve"> experiential and tacit knowledge of FRS personnel and cinema technologies </w:t>
      </w:r>
      <w:r w:rsidR="001F761F">
        <w:lastRenderedPageBreak/>
        <w:t>work to imagine the event</w:t>
      </w:r>
      <w:r w:rsidR="0073326B">
        <w:t xml:space="preserve"> which will be</w:t>
      </w:r>
      <w:r w:rsidR="001F761F">
        <w:t xml:space="preserve"> exercised.</w:t>
      </w:r>
      <w:r w:rsidR="0042745B">
        <w:t xml:space="preserve"> Whilst</w:t>
      </w:r>
      <w:r w:rsidR="00A2430A">
        <w:t xml:space="preserve"> </w:t>
      </w:r>
      <w:r w:rsidR="0042745B">
        <w:t xml:space="preserve">the performance of exercises rely on the emotional state of participants which is induced in coordination with </w:t>
      </w:r>
      <w:r w:rsidR="001F761F">
        <w:t>the material</w:t>
      </w:r>
      <w:r w:rsidR="002E4530">
        <w:t xml:space="preserve"> props</w:t>
      </w:r>
      <w:r w:rsidR="00E60B00">
        <w:t xml:space="preserve"> of the exercise site alongside</w:t>
      </w:r>
      <w:r w:rsidR="001F761F">
        <w:t xml:space="preserve"> the</w:t>
      </w:r>
      <w:r w:rsidR="00E60B00">
        <w:t xml:space="preserve"> discursive and audio-visual invocation of the future emergency.</w:t>
      </w:r>
    </w:p>
    <w:p w:rsidR="00D02983" w:rsidRDefault="00D02983" w:rsidP="00A7050B">
      <w:pPr>
        <w:spacing w:line="480" w:lineRule="auto"/>
      </w:pPr>
    </w:p>
    <w:p w:rsidR="00626C1C" w:rsidRDefault="00355DA3" w:rsidP="00A7050B">
      <w:pPr>
        <w:spacing w:line="480" w:lineRule="auto"/>
      </w:pPr>
      <w:r>
        <w:t xml:space="preserve">Much has been written about exercises as emblematic of the new forms of knowledge which are harnessed and </w:t>
      </w:r>
      <w:r w:rsidR="00A10652">
        <w:t>deployed as agents of the security apparatus</w:t>
      </w:r>
      <w:r>
        <w:t xml:space="preserve"> think of their operation as to anticipate future events</w:t>
      </w:r>
      <w:r w:rsidR="009B30BE">
        <w:rPr>
          <w:rStyle w:val="EndnoteReference"/>
        </w:rPr>
        <w:endnoteReference w:id="13"/>
      </w:r>
      <w:r w:rsidR="009B30BE">
        <w:rPr>
          <w:rStyle w:val="EndnoteReference"/>
        </w:rPr>
        <w:endnoteReference w:id="14"/>
      </w:r>
      <w:r>
        <w:t>. In recognition of the uncertainty that inhabits the fu</w:t>
      </w:r>
      <w:r w:rsidR="004C1A43">
        <w:t>ture, it has been argued that</w:t>
      </w:r>
      <w:r w:rsidR="00830CFF">
        <w:t xml:space="preserve"> cold statistics made sense of through</w:t>
      </w:r>
      <w:r>
        <w:t xml:space="preserve"> probability logics are not the only forms of kno</w:t>
      </w:r>
      <w:r w:rsidR="00626C1C">
        <w:t>wledge that circulate across a</w:t>
      </w:r>
      <w:r>
        <w:t xml:space="preserve"> security </w:t>
      </w:r>
      <w:r w:rsidR="00BA6EE2">
        <w:t>apparatus</w:t>
      </w:r>
      <w:r w:rsidR="00626C1C">
        <w:t xml:space="preserve"> increasingly looking to intervene on the future in the present</w:t>
      </w:r>
      <w:r w:rsidR="00BA6EE2">
        <w:t>. I</w:t>
      </w:r>
      <w:r w:rsidR="00E956E9">
        <w:t xml:space="preserve">nstead </w:t>
      </w:r>
      <w:r w:rsidR="009D0307">
        <w:t>alternate forms of knowledge, like the aesthetic</w:t>
      </w:r>
      <w:r w:rsidR="00B425B8">
        <w:t xml:space="preserve"> forces</w:t>
      </w:r>
      <w:r w:rsidR="009D0307">
        <w:t xml:space="preserve"> in this paper, </w:t>
      </w:r>
      <w:r>
        <w:t>are too crucial to the ability to secure.</w:t>
      </w:r>
      <w:r w:rsidR="0043363C">
        <w:t xml:space="preserve"> </w:t>
      </w:r>
      <w:r w:rsidR="00B425B8">
        <w:t>As I will show</w:t>
      </w:r>
      <w:r w:rsidR="00505E63">
        <w:t xml:space="preserve"> in more depth</w:t>
      </w:r>
      <w:r w:rsidR="00B425B8">
        <w:t xml:space="preserve"> in a later section, varied literature has scrutinised the foundational role spatial-temporal staging</w:t>
      </w:r>
      <w:r w:rsidR="00B425B8">
        <w:rPr>
          <w:rStyle w:val="EndnoteReference"/>
        </w:rPr>
        <w:endnoteReference w:id="15"/>
      </w:r>
      <w:r w:rsidR="00B425B8">
        <w:t>, different emotions</w:t>
      </w:r>
      <w:r w:rsidR="00B425B8">
        <w:rPr>
          <w:rStyle w:val="EndnoteReference"/>
        </w:rPr>
        <w:endnoteReference w:id="16"/>
      </w:r>
      <w:r w:rsidR="00B425B8">
        <w:t>, visualisation</w:t>
      </w:r>
      <w:r w:rsidR="00B425B8">
        <w:rPr>
          <w:rStyle w:val="EndnoteReference"/>
        </w:rPr>
        <w:endnoteReference w:id="17"/>
      </w:r>
      <w:r w:rsidR="00B425B8">
        <w:t xml:space="preserve"> and materiality</w:t>
      </w:r>
      <w:r w:rsidR="00B425B8">
        <w:rPr>
          <w:rStyle w:val="EndnoteReference"/>
        </w:rPr>
        <w:endnoteReference w:id="18"/>
      </w:r>
      <w:r w:rsidR="00B425B8">
        <w:t xml:space="preserve"> play in the formation and performance of exercises and t</w:t>
      </w:r>
      <w:r w:rsidR="00A86600">
        <w:t>hus how crucial these aesthetic forces</w:t>
      </w:r>
      <w:r w:rsidR="00B425B8">
        <w:t xml:space="preserve"> are to the security apparatus.</w:t>
      </w:r>
      <w:r w:rsidR="0064243C">
        <w:t xml:space="preserve"> </w:t>
      </w:r>
    </w:p>
    <w:p w:rsidR="008A6718" w:rsidRDefault="0064243C" w:rsidP="00A7050B">
      <w:pPr>
        <w:spacing w:line="480" w:lineRule="auto"/>
      </w:pPr>
      <w:r>
        <w:t xml:space="preserve">Alongside showing how exercises assess and develop protocol, the paper contributes to this literature </w:t>
      </w:r>
      <w:r w:rsidR="00EB2FE3">
        <w:t>by</w:t>
      </w:r>
      <w:r w:rsidR="00505E63">
        <w:t xml:space="preserve"> argu</w:t>
      </w:r>
      <w:r w:rsidR="00EB2FE3">
        <w:t>ing</w:t>
      </w:r>
      <w:r w:rsidR="00505E63">
        <w:t xml:space="preserve"> that exercises ima</w:t>
      </w:r>
      <w:r w:rsidR="00F53139">
        <w:t>gine future emergencies through acting as a site for the enmeshing of different aesthetic forces</w:t>
      </w:r>
      <w:r w:rsidR="00505E63">
        <w:t xml:space="preserve">. </w:t>
      </w:r>
      <w:r w:rsidR="00013E34">
        <w:t>To address both the aesthetic forces which collectively constitute the exercise and how exercises assess and develop protocol</w:t>
      </w:r>
      <w:r w:rsidR="001F761F">
        <w:t>,</w:t>
      </w:r>
      <w:r w:rsidR="009566F4">
        <w:t xml:space="preserve"> I engage with</w:t>
      </w:r>
      <w:r w:rsidR="009B30BE">
        <w:t xml:space="preserve"> Karen Barad’s</w:t>
      </w:r>
      <w:r w:rsidR="009B30BE">
        <w:rPr>
          <w:rStyle w:val="EndnoteReference"/>
        </w:rPr>
        <w:endnoteReference w:id="19"/>
      </w:r>
      <w:r w:rsidR="009B30BE">
        <w:t xml:space="preserve"> </w:t>
      </w:r>
      <w:r w:rsidR="001F761F">
        <w:t xml:space="preserve">notion of post-human </w:t>
      </w:r>
      <w:r w:rsidR="00C31327">
        <w:t>perf</w:t>
      </w:r>
      <w:r w:rsidR="00F53139">
        <w:t>ormativity. An argument echoed now across</w:t>
      </w:r>
      <w:r w:rsidR="00C55B6E">
        <w:t xml:space="preserve"> cultural</w:t>
      </w:r>
      <w:r w:rsidR="00D02983">
        <w:t xml:space="preserve"> geography</w:t>
      </w:r>
      <w:r w:rsidR="00D02983">
        <w:rPr>
          <w:rStyle w:val="EndnoteReference"/>
        </w:rPr>
        <w:endnoteReference w:id="20"/>
      </w:r>
      <w:r w:rsidR="00C31327">
        <w:t>, Barad states that</w:t>
      </w:r>
      <w:r w:rsidR="001F761F">
        <w:t xml:space="preserve"> performativity does no</w:t>
      </w:r>
      <w:r w:rsidR="002E4530">
        <w:t>t</w:t>
      </w:r>
      <w:r w:rsidR="001F761F">
        <w:t xml:space="preserve"> need to be confined to an analysis of speech acts but</w:t>
      </w:r>
      <w:r w:rsidR="005764D7">
        <w:t xml:space="preserve"> can</w:t>
      </w:r>
      <w:r w:rsidR="001F761F">
        <w:t xml:space="preserve"> instead</w:t>
      </w:r>
      <w:r w:rsidR="005764D7">
        <w:t xml:space="preserve"> account for</w:t>
      </w:r>
      <w:r w:rsidR="001F761F">
        <w:t xml:space="preserve"> the </w:t>
      </w:r>
      <w:r w:rsidR="00EA3614">
        <w:t xml:space="preserve">active </w:t>
      </w:r>
      <w:r w:rsidR="001F761F">
        <w:t>enrolment of human and non-human</w:t>
      </w:r>
      <w:r w:rsidR="00BA6EE2">
        <w:t xml:space="preserve"> agents</w:t>
      </w:r>
      <w:r w:rsidR="001F761F">
        <w:t xml:space="preserve"> together in knowledge creation processes.</w:t>
      </w:r>
      <w:r w:rsidR="00EA3614">
        <w:t xml:space="preserve"> Barad stresses how the world is iteratively made and remade by the interactions and intra</w:t>
      </w:r>
      <w:r w:rsidR="001606E1">
        <w:t>-a</w:t>
      </w:r>
      <w:r w:rsidR="00EA3614">
        <w:t>ctions between an array of heterogeneous human and non-human forces.</w:t>
      </w:r>
      <w:r w:rsidR="00605D3C">
        <w:t xml:space="preserve"> </w:t>
      </w:r>
      <w:r w:rsidR="009566F4">
        <w:t>To imagine emergencies, t</w:t>
      </w:r>
      <w:r w:rsidR="00E25CBA">
        <w:t xml:space="preserve">he </w:t>
      </w:r>
      <w:r w:rsidR="0044564C">
        <w:t>exercise functions through relations</w:t>
      </w:r>
      <w:r w:rsidR="00E25CBA">
        <w:t xml:space="preserve"> which are made and remade</w:t>
      </w:r>
      <w:r w:rsidR="0044564C">
        <w:t xml:space="preserve"> between</w:t>
      </w:r>
      <w:r w:rsidR="00E25CBA">
        <w:t xml:space="preserve"> </w:t>
      </w:r>
      <w:r w:rsidR="0044564C">
        <w:t xml:space="preserve">different aesthetic forces </w:t>
      </w:r>
      <w:r w:rsidR="00E25CBA">
        <w:t>as the exercise itself is acted out</w:t>
      </w:r>
      <w:r w:rsidR="00C31327">
        <w:t xml:space="preserve"> and performed</w:t>
      </w:r>
      <w:r w:rsidR="00E25CBA">
        <w:t>.</w:t>
      </w:r>
      <w:r w:rsidR="001F761F">
        <w:t xml:space="preserve"> </w:t>
      </w:r>
      <w:r w:rsidR="00C31327">
        <w:t xml:space="preserve">Drawing on Barad’s work, </w:t>
      </w:r>
      <w:r w:rsidR="00562731">
        <w:lastRenderedPageBreak/>
        <w:t xml:space="preserve">I argue </w:t>
      </w:r>
      <w:r w:rsidR="00BA6EE2">
        <w:t>that the relations between</w:t>
      </w:r>
      <w:r w:rsidR="00562731">
        <w:t xml:space="preserve"> multiple agential fo</w:t>
      </w:r>
      <w:r w:rsidR="004C1A43">
        <w:t>rces</w:t>
      </w:r>
      <w:r w:rsidR="00C31327">
        <w:t>, from</w:t>
      </w:r>
      <w:r w:rsidR="009566F4">
        <w:t xml:space="preserve"> the</w:t>
      </w:r>
      <w:r w:rsidR="00BA6EE2">
        <w:t xml:space="preserve"> digital technologies which give the event its audio-visual character, the material space of the e</w:t>
      </w:r>
      <w:r w:rsidR="00C31327">
        <w:t>xercise site to</w:t>
      </w:r>
      <w:r w:rsidR="00E25CBA">
        <w:t xml:space="preserve"> the acting out</w:t>
      </w:r>
      <w:r w:rsidR="00BA6EE2">
        <w:t xml:space="preserve"> of the exercise,</w:t>
      </w:r>
      <w:r w:rsidR="004C1A43">
        <w:t xml:space="preserve"> are </w:t>
      </w:r>
      <w:r w:rsidR="00612A8C">
        <w:t>integral</w:t>
      </w:r>
      <w:r w:rsidR="004C1A43">
        <w:t xml:space="preserve"> to the invocation of future emergencies in exercises</w:t>
      </w:r>
      <w:r w:rsidR="00562731">
        <w:t>.</w:t>
      </w:r>
      <w:r w:rsidR="00013E34">
        <w:t xml:space="preserve"> </w:t>
      </w:r>
    </w:p>
    <w:p w:rsidR="00273932" w:rsidRDefault="00013E34" w:rsidP="00A7050B">
      <w:pPr>
        <w:spacing w:line="480" w:lineRule="auto"/>
      </w:pPr>
      <w:r>
        <w:t>Barad’s departure from understanding performativity merely as a concept that addresses action within the constraints of language allows also for an ap</w:t>
      </w:r>
      <w:r w:rsidR="00605D3C">
        <w:t>praisal of how exercises work to assess and develop</w:t>
      </w:r>
      <w:r>
        <w:t xml:space="preserve"> protocol.</w:t>
      </w:r>
      <w:r w:rsidR="008A6718">
        <w:t xml:space="preserve"> Synthesised with Alexander Galloway and Eugene Thacker’s work on protocol</w:t>
      </w:r>
      <w:r w:rsidR="00792F3C">
        <w:rPr>
          <w:rStyle w:val="EndnoteReference"/>
        </w:rPr>
        <w:endnoteReference w:id="21"/>
      </w:r>
      <w:r w:rsidR="008A6718">
        <w:t>, Barad’s work allows for an understanding of protocols</w:t>
      </w:r>
      <w:r w:rsidR="00605D3C">
        <w:t xml:space="preserve"> not simply</w:t>
      </w:r>
      <w:r w:rsidR="008A6718">
        <w:t xml:space="preserve"> as</w:t>
      </w:r>
      <w:r w:rsidR="00605D3C">
        <w:t xml:space="preserve"> written instructions to which responders in an emergency comply. Instead protocols are the product of</w:t>
      </w:r>
      <w:r w:rsidR="008A6718">
        <w:t>, and actively have a role in governing,</w:t>
      </w:r>
      <w:r w:rsidR="00605D3C">
        <w:t xml:space="preserve"> the particular intersections between aesthetic forces which invoke the f</w:t>
      </w:r>
      <w:r w:rsidR="008A6718">
        <w:t>uture emergency in the exercise</w:t>
      </w:r>
      <w:r w:rsidR="006F03C6">
        <w:t>. This is because exercises work specifically to enact protocol and, as such,</w:t>
      </w:r>
      <w:r w:rsidR="00D33E2D">
        <w:t xml:space="preserve"> the</w:t>
      </w:r>
      <w:r w:rsidR="006F03C6">
        <w:t xml:space="preserve"> aesthetic forces</w:t>
      </w:r>
      <w:r w:rsidR="0011548D">
        <w:t xml:space="preserve"> evident in exercises</w:t>
      </w:r>
      <w:r w:rsidR="006F03C6">
        <w:t xml:space="preserve"> focus on making protocol an object of strategic appraisal. The intersections between aesthetic forces</w:t>
      </w:r>
      <w:r w:rsidR="0011548D">
        <w:t xml:space="preserve"> in exercises are thus centred on testing and producing</w:t>
      </w:r>
      <w:r w:rsidR="006F03C6">
        <w:t xml:space="preserve"> protocol.</w:t>
      </w:r>
      <w:r w:rsidR="00605D3C">
        <w:t xml:space="preserve"> </w:t>
      </w:r>
      <w:r w:rsidR="008A6718">
        <w:t>As a product of exercises, protocol is also emphasised in this paper as contingent, as something made and remade through its</w:t>
      </w:r>
      <w:r w:rsidR="008D3E78">
        <w:t xml:space="preserve"> continual</w:t>
      </w:r>
      <w:r w:rsidR="008A6718">
        <w:t xml:space="preserve"> assessme</w:t>
      </w:r>
      <w:r w:rsidR="00D33E2D">
        <w:t>nt and development in exercises over time.</w:t>
      </w:r>
      <w:r w:rsidR="008A6718">
        <w:t xml:space="preserve"> </w:t>
      </w:r>
    </w:p>
    <w:p w:rsidR="00B30C80" w:rsidRDefault="00C55B6E" w:rsidP="00A7050B">
      <w:pPr>
        <w:spacing w:line="480" w:lineRule="auto"/>
      </w:pPr>
      <w:r>
        <w:t>The paper is structured as follows.</w:t>
      </w:r>
      <w:r w:rsidR="0069189F">
        <w:t xml:space="preserve"> Drawing on Galloway and Thacker,</w:t>
      </w:r>
      <w:r w:rsidR="00DD31F6">
        <w:t xml:space="preserve"> I</w:t>
      </w:r>
      <w:r w:rsidR="006F03C6">
        <w:t xml:space="preserve"> first</w:t>
      </w:r>
      <w:r w:rsidR="00DD31F6">
        <w:t xml:space="preserve"> characterise protocol as a phenomena that enables the enactment of decentralised</w:t>
      </w:r>
      <w:r w:rsidR="0069189F">
        <w:t>, networked</w:t>
      </w:r>
      <w:r w:rsidR="00DD31F6">
        <w:t xml:space="preserve"> power relations based on the</w:t>
      </w:r>
      <w:r w:rsidR="0069189F">
        <w:t>ir</w:t>
      </w:r>
      <w:r w:rsidR="00DD31F6">
        <w:t xml:space="preserve"> capacity for modulation, adaptation </w:t>
      </w:r>
      <w:r w:rsidR="006F03C6">
        <w:t xml:space="preserve">and contingency. I show too how </w:t>
      </w:r>
      <w:r w:rsidR="00DD31F6">
        <w:t>protocol</w:t>
      </w:r>
      <w:r w:rsidR="00F809EB">
        <w:t xml:space="preserve"> can be understood</w:t>
      </w:r>
      <w:r w:rsidR="00DD31F6">
        <w:t xml:space="preserve"> as both a product of human-non-human relations</w:t>
      </w:r>
      <w:r w:rsidR="00983596">
        <w:t xml:space="preserve"> and as a mode of action which consolidates</w:t>
      </w:r>
      <w:r w:rsidR="00DD31F6">
        <w:t xml:space="preserve"> these relations. I then</w:t>
      </w:r>
      <w:r>
        <w:t xml:space="preserve"> situate FRS exercises within a detailed account of the different aesthetic forces discussed in previous literature</w:t>
      </w:r>
      <w:r w:rsidR="00DD31F6">
        <w:t xml:space="preserve"> on exercises.</w:t>
      </w:r>
      <w:r w:rsidR="00C71E70">
        <w:t xml:space="preserve"> In turn, I argue that to properly conceptualise the design and performance of exercises, along with how they enact protocol, emphasis needs to be placed on an account of post-human performativity as advanced by Barad.</w:t>
      </w:r>
      <w:r>
        <w:t xml:space="preserve"> After I turn</w:t>
      </w:r>
      <w:r w:rsidR="00B30C80">
        <w:t xml:space="preserve"> to</w:t>
      </w:r>
      <w:r w:rsidR="00C71E70">
        <w:t xml:space="preserve"> break down the forms of protocol prevalent in the FRS and </w:t>
      </w:r>
      <w:r w:rsidR="00B30C80">
        <w:t xml:space="preserve">describe the design and performance of exercises </w:t>
      </w:r>
      <w:r w:rsidR="004532BB">
        <w:t>in the FRS</w:t>
      </w:r>
      <w:r w:rsidR="00C90D7A">
        <w:t xml:space="preserve"> in terms of</w:t>
      </w:r>
      <w:r>
        <w:t xml:space="preserve"> the aesthetic </w:t>
      </w:r>
      <w:r w:rsidR="0069189F">
        <w:t>forces they</w:t>
      </w:r>
      <w:r>
        <w:t xml:space="preserve"> conf</w:t>
      </w:r>
      <w:r w:rsidR="00C90D7A">
        <w:t xml:space="preserve">igure and enrol to </w:t>
      </w:r>
      <w:r w:rsidR="00C90D7A">
        <w:lastRenderedPageBreak/>
        <w:t>imagine</w:t>
      </w:r>
      <w:r>
        <w:t xml:space="preserve"> future emergencies. </w:t>
      </w:r>
      <w:r w:rsidR="0069189F">
        <w:t>In the conclusion, I show how both pre-existing literature on protocol and Barad’s account of post-human performativity are crucial in explaining how exercises work</w:t>
      </w:r>
      <w:r w:rsidR="00E130B0">
        <w:t xml:space="preserve"> to assess and develop protocol</w:t>
      </w:r>
      <w:r w:rsidR="000E165A">
        <w:t xml:space="preserve"> but open up to interrogation wider questions about the character of risk based security organisations</w:t>
      </w:r>
      <w:r w:rsidR="00E130B0">
        <w:t>.</w:t>
      </w:r>
    </w:p>
    <w:p w:rsidR="003D5B23" w:rsidRDefault="00AD1179" w:rsidP="00A7050B">
      <w:pPr>
        <w:spacing w:line="480" w:lineRule="auto"/>
        <w:rPr>
          <w:b/>
        </w:rPr>
      </w:pPr>
      <w:r>
        <w:rPr>
          <w:b/>
        </w:rPr>
        <w:t>Exercises</w:t>
      </w:r>
      <w:r w:rsidR="00BD192B">
        <w:rPr>
          <w:b/>
        </w:rPr>
        <w:t>: performing emergencies</w:t>
      </w:r>
      <w:r>
        <w:rPr>
          <w:b/>
        </w:rPr>
        <w:t xml:space="preserve"> in the contemporary security a</w:t>
      </w:r>
      <w:r w:rsidR="003D5B23" w:rsidRPr="00FB5F03">
        <w:rPr>
          <w:b/>
        </w:rPr>
        <w:t>pparatus</w:t>
      </w:r>
    </w:p>
    <w:p w:rsidR="00A17013" w:rsidRDefault="00A17013" w:rsidP="00A7050B">
      <w:pPr>
        <w:spacing w:line="480" w:lineRule="auto"/>
      </w:pPr>
      <w:r>
        <w:t xml:space="preserve">In </w:t>
      </w:r>
      <w:r w:rsidRPr="00A17013">
        <w:rPr>
          <w:i/>
        </w:rPr>
        <w:t>Protocol, Control and Networks</w:t>
      </w:r>
      <w:r w:rsidR="00F458E9">
        <w:rPr>
          <w:rStyle w:val="EndnoteReference"/>
          <w:i/>
        </w:rPr>
        <w:endnoteReference w:id="22"/>
      </w:r>
      <w:r>
        <w:t>, Alexander Galloway and Eugene Thacker examine the role of protocol in relation to the operation of biological and internet systems. These two systems are described as decentralised, horizontal netw</w:t>
      </w:r>
      <w:r w:rsidR="00F458E9">
        <w:t>orks comprised of</w:t>
      </w:r>
      <w:r w:rsidR="00525836">
        <w:t xml:space="preserve"> and underpinned by the relations between nodes. </w:t>
      </w:r>
      <w:r w:rsidR="00835B5D">
        <w:t>Protocol is</w:t>
      </w:r>
      <w:r w:rsidR="00525836">
        <w:t xml:space="preserve"> fundamental to the operation of such networks systems. The authors describe protocol as</w:t>
      </w:r>
      <w:r>
        <w:t xml:space="preserve"> ‘the conventional rules and standards that gover</w:t>
      </w:r>
      <w:r w:rsidR="00792F3C">
        <w:t>n relationships in networks’</w:t>
      </w:r>
      <w:r w:rsidR="00792F3C">
        <w:rPr>
          <w:rStyle w:val="EndnoteReference"/>
        </w:rPr>
        <w:endnoteReference w:id="23"/>
      </w:r>
      <w:r>
        <w:t>.</w:t>
      </w:r>
      <w:r w:rsidR="00525836">
        <w:t xml:space="preserve"> An example of protocol in relation to the internet would be the algorithmic rules which allow </w:t>
      </w:r>
      <w:r w:rsidR="00000973">
        <w:t>communication between computers, w</w:t>
      </w:r>
      <w:r w:rsidR="00525836">
        <w:t>hereas biological systems protocol would be the information which</w:t>
      </w:r>
      <w:r w:rsidR="007F4D5B">
        <w:t xml:space="preserve"> circulates</w:t>
      </w:r>
      <w:r w:rsidR="00525836">
        <w:t xml:space="preserve"> </w:t>
      </w:r>
      <w:r w:rsidR="007F4D5B">
        <w:t>between cells in an organism</w:t>
      </w:r>
      <w:r w:rsidR="00D90EAF">
        <w:t xml:space="preserve"> or across an environment</w:t>
      </w:r>
      <w:r w:rsidR="007F4D5B">
        <w:t xml:space="preserve">.  </w:t>
      </w:r>
      <w:r w:rsidR="00B83532">
        <w:t xml:space="preserve"> Operating in networks specifically, the authors understand protocol as emblematic of, and integral to, the orchestration of a particular configuration of power relations premised on decentralisation. Networks have no centre. Rather than a vertically structured hierarchy, nodes are disparately scattered across a space. Nodes are ‘interconnected </w:t>
      </w:r>
      <w:r w:rsidR="00000973">
        <w:t>but autonomous entities’</w:t>
      </w:r>
      <w:r w:rsidR="00792F3C">
        <w:rPr>
          <w:rStyle w:val="EndnoteReference"/>
        </w:rPr>
        <w:endnoteReference w:id="24"/>
      </w:r>
      <w:r w:rsidR="00B83532">
        <w:t xml:space="preserve"> which, through</w:t>
      </w:r>
      <w:r w:rsidR="00000973">
        <w:t xml:space="preserve"> protocol, </w:t>
      </w:r>
      <w:r w:rsidR="00B83532">
        <w:t>are enrolled into the wider functioning of a system.</w:t>
      </w:r>
    </w:p>
    <w:p w:rsidR="00562E91" w:rsidRDefault="00B83532" w:rsidP="00A7050B">
      <w:pPr>
        <w:spacing w:line="480" w:lineRule="auto"/>
      </w:pPr>
      <w:r>
        <w:t>Along with being decentralised, n</w:t>
      </w:r>
      <w:r w:rsidR="00562E91">
        <w:t>etworks too are</w:t>
      </w:r>
      <w:r w:rsidR="00D90EAF">
        <w:t xml:space="preserve"> characterised by their fluctuating nature</w:t>
      </w:r>
      <w:r w:rsidR="00562E91">
        <w:t xml:space="preserve"> and are driven by the necessity to change and be reconfigured over time. In relation to the internet network, for instance, lines of communication between two people will be </w:t>
      </w:r>
      <w:r w:rsidR="00B26E78">
        <w:t>established one minute and then closed the next</w:t>
      </w:r>
      <w:r w:rsidR="00562E91">
        <w:t xml:space="preserve"> w</w:t>
      </w:r>
      <w:r w:rsidR="00B26E78">
        <w:t>hen the conversation is over</w:t>
      </w:r>
      <w:r w:rsidR="00562E91">
        <w:t>. A</w:t>
      </w:r>
      <w:r w:rsidR="00B26E78">
        <w:t>lternately, a</w:t>
      </w:r>
      <w:r w:rsidR="00562E91">
        <w:t xml:space="preserve"> reduction in bandwidth capacity for the transferral of information will mean that an alternate conduit will be found, taking the information through a different place. As</w:t>
      </w:r>
      <w:r>
        <w:t xml:space="preserve"> the conditions governing the relations between nodes upon which</w:t>
      </w:r>
      <w:r w:rsidR="00525836">
        <w:t xml:space="preserve"> networks</w:t>
      </w:r>
      <w:r>
        <w:t xml:space="preserve"> rely, protocol</w:t>
      </w:r>
      <w:r w:rsidR="00525836">
        <w:t xml:space="preserve"> too must be</w:t>
      </w:r>
      <w:r w:rsidR="00562E91">
        <w:t xml:space="preserve"> flexible and adaptive.</w:t>
      </w:r>
      <w:r w:rsidRPr="00B83532">
        <w:t xml:space="preserve"> </w:t>
      </w:r>
      <w:r>
        <w:t xml:space="preserve">In naming the virtues of protocol, </w:t>
      </w:r>
      <w:r>
        <w:lastRenderedPageBreak/>
        <w:t xml:space="preserve">Galloway and Thacker argue that protocol operates in a way that is contingent and that ‘while protocol is universal, it is always achieved through negotiation (meaning that in the future </w:t>
      </w:r>
      <w:r w:rsidR="000933A6">
        <w:t xml:space="preserve">protocol </w:t>
      </w:r>
      <w:r w:rsidR="00792F3C">
        <w:t>will be different)’</w:t>
      </w:r>
      <w:r w:rsidR="00792F3C">
        <w:rPr>
          <w:rStyle w:val="EndnoteReference"/>
        </w:rPr>
        <w:endnoteReference w:id="25"/>
      </w:r>
      <w:r w:rsidR="00562E91">
        <w:t xml:space="preserve"> </w:t>
      </w:r>
      <w:r>
        <w:t>Owing to the contingency cast across the network, p</w:t>
      </w:r>
      <w:r w:rsidR="00562E91">
        <w:t xml:space="preserve">rotocol must be made and remade over time. </w:t>
      </w:r>
      <w:r w:rsidR="000933A6">
        <w:t xml:space="preserve">It must, in other words, too be contingent. </w:t>
      </w:r>
    </w:p>
    <w:p w:rsidR="00C00607" w:rsidRDefault="00C00607" w:rsidP="00A7050B">
      <w:pPr>
        <w:spacing w:line="480" w:lineRule="auto"/>
      </w:pPr>
      <w:r>
        <w:t xml:space="preserve"> Galloway and Thacker not only posit protocol within a wider configuration of power</w:t>
      </w:r>
      <w:r w:rsidR="00835B5D">
        <w:t xml:space="preserve"> and describe its iterative dynamic</w:t>
      </w:r>
      <w:r>
        <w:t xml:space="preserve"> but also explore what protocol actually consists of. Facilitating and governing relations, protocol captures the material substance of nodes in a network (whether that is conversation content or, in the case of biological networks, DNA) and renders this material compatible with wider im</w:t>
      </w:r>
      <w:r w:rsidR="00B26E78">
        <w:t>material structures that enable</w:t>
      </w:r>
      <w:r>
        <w:t xml:space="preserve"> relations to be forged. Conversation</w:t>
      </w:r>
      <w:r w:rsidR="000933A6">
        <w:t>s are turned into meta-data</w:t>
      </w:r>
      <w:r w:rsidR="00D90EAF">
        <w:t xml:space="preserve"> and feed into wider databases</w:t>
      </w:r>
      <w:r w:rsidR="000933A6">
        <w:t xml:space="preserve"> whilst </w:t>
      </w:r>
      <w:r>
        <w:t>DNA is posited within double helix structures</w:t>
      </w:r>
      <w:r w:rsidR="00B26E78">
        <w:t xml:space="preserve"> for instance</w:t>
      </w:r>
      <w:r>
        <w:t>. Combining material objects with their articulation as abstract immaterial c</w:t>
      </w:r>
      <w:r w:rsidR="00B26E78">
        <w:t>ode, the authors observe that protocol</w:t>
      </w:r>
      <w:r>
        <w:t xml:space="preserve"> consists of informati</w:t>
      </w:r>
      <w:r w:rsidR="00E2129A">
        <w:t>on which they describe as</w:t>
      </w:r>
      <w:r>
        <w:t xml:space="preserve"> something ‘immaterial and </w:t>
      </w:r>
      <w:r w:rsidR="008131A5">
        <w:t>materialising, abstract and co</w:t>
      </w:r>
      <w:r w:rsidR="00792F3C">
        <w:t>ncrete, an act and a thing’</w:t>
      </w:r>
      <w:r w:rsidR="00792F3C">
        <w:rPr>
          <w:rStyle w:val="EndnoteReference"/>
        </w:rPr>
        <w:endnoteReference w:id="26"/>
      </w:r>
      <w:r w:rsidR="008131A5">
        <w:t>. In their description of its contents, Galloway and Thacker demonstra</w:t>
      </w:r>
      <w:r w:rsidR="000933A6">
        <w:t>te not only does</w:t>
      </w:r>
      <w:r w:rsidR="008131A5">
        <w:t xml:space="preserve"> protocol</w:t>
      </w:r>
      <w:r w:rsidR="000933A6">
        <w:t xml:space="preserve"> facilitate and govern relations between different nodes. Rather protocol is the product of the </w:t>
      </w:r>
      <w:r w:rsidR="008131A5">
        <w:t xml:space="preserve">enmeshing of an array of heterogeneous forces. Furthermore, that protocol comes into sight when it acts to consolidate relations between such forces. </w:t>
      </w:r>
    </w:p>
    <w:p w:rsidR="008131A5" w:rsidRPr="00A17013" w:rsidRDefault="008131A5" w:rsidP="00A7050B">
      <w:pPr>
        <w:spacing w:line="480" w:lineRule="auto"/>
      </w:pPr>
      <w:r>
        <w:t>The protocol of networks the authors discuss bears much semblance with protocol enacted in the</w:t>
      </w:r>
      <w:r w:rsidR="000933A6">
        <w:t xml:space="preserve"> FRS. Specifically with regards the aims of this paper, protocol</w:t>
      </w:r>
      <w:r>
        <w:t xml:space="preserve"> is understood as inscribing fire governance with a flexible, adaptive capacity; enabling a set of pre-scribed actions t</w:t>
      </w:r>
      <w:r w:rsidR="00B26E78">
        <w:t>o be made and remade in a way that is contingent upon</w:t>
      </w:r>
      <w:r>
        <w:t xml:space="preserve"> new renditions of the fire emergency of the future. Furthermore still, Galloway and Thacker paint a picture of protocol as performative. Protocol is manifest in the effects of its actions; namely to consolidate and </w:t>
      </w:r>
      <w:r w:rsidR="00D90EAF">
        <w:t>sustain relations</w:t>
      </w:r>
      <w:r>
        <w:t xml:space="preserve">. </w:t>
      </w:r>
      <w:r w:rsidR="004B3B9A">
        <w:t>But the performativity of protocol is</w:t>
      </w:r>
      <w:r w:rsidR="000933A6">
        <w:t xml:space="preserve"> underpinned not just by how it facilitates relations but how it is produced through the enmeshing of materially heterogeneous agents.</w:t>
      </w:r>
      <w:r w:rsidR="00D90EAF">
        <w:t xml:space="preserve"> </w:t>
      </w:r>
      <w:r w:rsidR="00410BAC">
        <w:t>Both t</w:t>
      </w:r>
      <w:r w:rsidR="000933A6">
        <w:t>he</w:t>
      </w:r>
      <w:r w:rsidR="00B26E78">
        <w:t xml:space="preserve"> contingent</w:t>
      </w:r>
      <w:r w:rsidR="000933A6">
        <w:t xml:space="preserve"> and </w:t>
      </w:r>
      <w:r w:rsidR="000933A6">
        <w:lastRenderedPageBreak/>
        <w:t>performative nature of protocol</w:t>
      </w:r>
      <w:r w:rsidR="004B3B9A">
        <w:t xml:space="preserve"> will be returned to with regards Barad and post-human performativity later in this section. </w:t>
      </w:r>
    </w:p>
    <w:p w:rsidR="00445696" w:rsidRDefault="000872E1" w:rsidP="00A7050B">
      <w:pPr>
        <w:spacing w:line="480" w:lineRule="auto"/>
      </w:pPr>
      <w:r>
        <w:t xml:space="preserve">In relation to </w:t>
      </w:r>
      <w:r w:rsidR="00AB7896">
        <w:t>the FRS, protocol are shaped,</w:t>
      </w:r>
      <w:r>
        <w:t xml:space="preserve"> tested</w:t>
      </w:r>
      <w:r w:rsidR="00AB7896">
        <w:t xml:space="preserve"> and advanced</w:t>
      </w:r>
      <w:r>
        <w:t xml:space="preserve"> through exercises. </w:t>
      </w:r>
      <w:r w:rsidR="005764E9">
        <w:t>As techniques used to secure and govern emergencies</w:t>
      </w:r>
      <w:r w:rsidR="001A40BA">
        <w:t>, exercises have been the topic</w:t>
      </w:r>
      <w:r w:rsidR="00CF6EEE">
        <w:t xml:space="preserve"> of varied discussion across lit</w:t>
      </w:r>
      <w:r w:rsidR="00FE3B93">
        <w:t>erature spanning not only</w:t>
      </w:r>
      <w:r w:rsidR="00863BA2">
        <w:t xml:space="preserve"> cultural</w:t>
      </w:r>
      <w:r w:rsidR="00FE3B93">
        <w:t xml:space="preserve"> </w:t>
      </w:r>
      <w:r w:rsidR="00CF6EEE">
        <w:t>geography</w:t>
      </w:r>
      <w:r w:rsidR="009B30BE">
        <w:rPr>
          <w:rStyle w:val="EndnoteReference"/>
        </w:rPr>
        <w:endnoteReference w:id="27"/>
      </w:r>
      <w:r w:rsidR="009B30BE">
        <w:rPr>
          <w:rStyle w:val="EndnoteReference"/>
        </w:rPr>
        <w:endnoteReference w:id="28"/>
      </w:r>
      <w:r w:rsidR="00CF6EEE">
        <w:t xml:space="preserve"> but international relations</w:t>
      </w:r>
      <w:r w:rsidR="009B30BE">
        <w:rPr>
          <w:rStyle w:val="EndnoteReference"/>
        </w:rPr>
        <w:endnoteReference w:id="29"/>
      </w:r>
      <w:r w:rsidR="00CF6EEE">
        <w:t xml:space="preserve"> anthropology</w:t>
      </w:r>
      <w:r w:rsidR="009B30BE">
        <w:rPr>
          <w:rStyle w:val="EndnoteReference"/>
        </w:rPr>
        <w:endnoteReference w:id="30"/>
      </w:r>
      <w:r w:rsidR="009B30BE">
        <w:rPr>
          <w:rStyle w:val="EndnoteReference"/>
        </w:rPr>
        <w:endnoteReference w:id="31"/>
      </w:r>
      <w:r w:rsidR="00CF6EEE">
        <w:t xml:space="preserve"> </w:t>
      </w:r>
      <w:r w:rsidR="00F60673">
        <w:t>and</w:t>
      </w:r>
      <w:r w:rsidR="00CF6EEE">
        <w:t xml:space="preserve"> the</w:t>
      </w:r>
      <w:r w:rsidR="00006C90">
        <w:t xml:space="preserve"> performative arts</w:t>
      </w:r>
      <w:r w:rsidR="00006C90">
        <w:rPr>
          <w:rStyle w:val="EndnoteReference"/>
        </w:rPr>
        <w:endnoteReference w:id="32"/>
      </w:r>
      <w:r w:rsidR="00CF6EEE">
        <w:t>.</w:t>
      </w:r>
      <w:r w:rsidR="00562731">
        <w:t xml:space="preserve"> </w:t>
      </w:r>
      <w:r w:rsidR="00893A96">
        <w:t>But</w:t>
      </w:r>
      <w:r w:rsidR="00CE3976">
        <w:t xml:space="preserve"> how</w:t>
      </w:r>
      <w:r w:rsidR="006C332B">
        <w:t xml:space="preserve"> in this literature</w:t>
      </w:r>
      <w:r w:rsidR="00CE3976">
        <w:t xml:space="preserve"> </w:t>
      </w:r>
      <w:r w:rsidR="006C332B">
        <w:t>are</w:t>
      </w:r>
      <w:r w:rsidR="004A41B9">
        <w:t xml:space="preserve"> exercises</w:t>
      </w:r>
      <w:r w:rsidR="006C332B">
        <w:t xml:space="preserve"> seen to</w:t>
      </w:r>
      <w:r w:rsidR="004A41B9">
        <w:t xml:space="preserve"> make present future emergencies</w:t>
      </w:r>
      <w:r w:rsidR="00FC45D1">
        <w:t xml:space="preserve"> which allow protocol to become an object of appraisal</w:t>
      </w:r>
      <w:r w:rsidR="004A41B9">
        <w:t>?</w:t>
      </w:r>
      <w:r w:rsidR="00F2649F">
        <w:t xml:space="preserve"> </w:t>
      </w:r>
      <w:r w:rsidR="00E93CC8">
        <w:t xml:space="preserve"> The ans</w:t>
      </w:r>
      <w:r w:rsidR="00562731">
        <w:t>wer to this question is</w:t>
      </w:r>
      <w:r w:rsidR="00E93CC8">
        <w:t xml:space="preserve"> through a range of different</w:t>
      </w:r>
      <w:r w:rsidR="00562731">
        <w:t xml:space="preserve"> aesthetic forces; knowledges and technologies</w:t>
      </w:r>
      <w:r w:rsidR="00BD192B">
        <w:t xml:space="preserve"> which render the future emergency accessible in different ways in the present</w:t>
      </w:r>
      <w:r w:rsidR="00E93CC8">
        <w:t xml:space="preserve">. </w:t>
      </w:r>
      <w:r w:rsidR="00893A96">
        <w:t xml:space="preserve"> In their work on exercises in the co</w:t>
      </w:r>
      <w:r w:rsidR="00006C90">
        <w:t xml:space="preserve">ntext of UK Civil Contingencies, </w:t>
      </w:r>
      <w:r w:rsidR="00893A96">
        <w:t>Adey and Anderson cl</w:t>
      </w:r>
      <w:r w:rsidR="00BD192B">
        <w:t>aim that exercises operate and bring to life future emergencies by invoking the emotions and senses which are, and will likely be, provoked in emergency responders in the real time unfolding of emergencies</w:t>
      </w:r>
      <w:r w:rsidR="00006C90">
        <w:t>.</w:t>
      </w:r>
      <w:r w:rsidR="00957F9A">
        <w:t xml:space="preserve"> E</w:t>
      </w:r>
      <w:r w:rsidR="00BD192B">
        <w:t>xercises replicate the affective atmosphere experienced in an emergency.</w:t>
      </w:r>
      <w:r w:rsidR="00006C90">
        <w:t xml:space="preserve"> </w:t>
      </w:r>
      <w:r w:rsidR="00893A96">
        <w:t>These atmospheres are constituted by and invoked through calling forth an array of heterogeneous, conflictin</w:t>
      </w:r>
      <w:r w:rsidR="0024138B">
        <w:t>g and temporary emotions</w:t>
      </w:r>
      <w:r w:rsidR="00E93CC8">
        <w:t xml:space="preserve"> with</w:t>
      </w:r>
      <w:r w:rsidR="00077BAA">
        <w:t>in</w:t>
      </w:r>
      <w:r w:rsidR="0024138B">
        <w:t xml:space="preserve"> the emergency response professionals</w:t>
      </w:r>
      <w:r w:rsidR="00893A96">
        <w:t xml:space="preserve"> involved; including laughter, fun and mockery but also panic and confusion.</w:t>
      </w:r>
      <w:r w:rsidR="00FC45D1">
        <w:t xml:space="preserve"> </w:t>
      </w:r>
      <w:r w:rsidR="005976BE">
        <w:t>It is contended by the authors that t</w:t>
      </w:r>
      <w:r w:rsidR="0024138B">
        <w:t>hese emotions</w:t>
      </w:r>
      <w:r w:rsidR="00BD192B">
        <w:t xml:space="preserve"> underpin too</w:t>
      </w:r>
      <w:r w:rsidR="00A451E8">
        <w:t xml:space="preserve"> the temporal structure</w:t>
      </w:r>
      <w:r w:rsidR="00077BAA">
        <w:t xml:space="preserve"> of the exercise. </w:t>
      </w:r>
      <w:r w:rsidR="00893A96">
        <w:t xml:space="preserve"> </w:t>
      </w:r>
      <w:r w:rsidR="004A0D6E">
        <w:t xml:space="preserve">The </w:t>
      </w:r>
      <w:r w:rsidR="00E93CC8">
        <w:t>provocation of different senses</w:t>
      </w:r>
      <w:r w:rsidR="004A0D6E">
        <w:t xml:space="preserve"> creates interruption and disruption between </w:t>
      </w:r>
      <w:r w:rsidR="00B74211">
        <w:t xml:space="preserve">the </w:t>
      </w:r>
      <w:r w:rsidR="004A0D6E">
        <w:t>present</w:t>
      </w:r>
      <w:r w:rsidR="00B74211">
        <w:t xml:space="preserve"> performance of the exercise</w:t>
      </w:r>
      <w:r w:rsidR="004A0D6E">
        <w:t xml:space="preserve"> and</w:t>
      </w:r>
      <w:r w:rsidR="00B74211">
        <w:t xml:space="preserve"> the</w:t>
      </w:r>
      <w:r w:rsidR="004A0D6E">
        <w:t xml:space="preserve"> future</w:t>
      </w:r>
      <w:r w:rsidR="00B74211">
        <w:t xml:space="preserve"> that the exercise purports to represent</w:t>
      </w:r>
      <w:r w:rsidR="004A0D6E">
        <w:t>, allowing a temporality to emerge which ‘is neithe</w:t>
      </w:r>
      <w:r w:rsidR="00006C90">
        <w:t>r present nor future’</w:t>
      </w:r>
      <w:r w:rsidR="00006C90">
        <w:rPr>
          <w:rStyle w:val="EndnoteReference"/>
        </w:rPr>
        <w:endnoteReference w:id="33"/>
      </w:r>
      <w:r w:rsidR="00006C90">
        <w:t xml:space="preserve">. </w:t>
      </w:r>
      <w:r w:rsidR="00E934C7">
        <w:t xml:space="preserve">The authors refer to this </w:t>
      </w:r>
      <w:r w:rsidR="00D45401">
        <w:t>time as an</w:t>
      </w:r>
      <w:r w:rsidR="00FC45D1">
        <w:t xml:space="preserve"> ‘interval’</w:t>
      </w:r>
      <w:r w:rsidR="00FC45D1">
        <w:rPr>
          <w:rStyle w:val="EndnoteReference"/>
        </w:rPr>
        <w:endnoteReference w:id="34"/>
      </w:r>
      <w:r w:rsidR="00D45401">
        <w:t xml:space="preserve"> which</w:t>
      </w:r>
      <w:r w:rsidR="004A0D6E">
        <w:t xml:space="preserve"> breaks the progressive con</w:t>
      </w:r>
      <w:r w:rsidR="00D45401">
        <w:t>tinuum of present-future. Through the stoppages this interval</w:t>
      </w:r>
      <w:r w:rsidR="004A0D6E">
        <w:t xml:space="preserve"> causes</w:t>
      </w:r>
      <w:r w:rsidR="00A01EAB">
        <w:t>,</w:t>
      </w:r>
      <w:r w:rsidR="00445696">
        <w:t xml:space="preserve"> exercise participants</w:t>
      </w:r>
      <w:r w:rsidR="00D45401">
        <w:t xml:space="preserve"> are able</w:t>
      </w:r>
      <w:r w:rsidR="004A0D6E">
        <w:t xml:space="preserve"> t</w:t>
      </w:r>
      <w:r w:rsidR="00A01EAB">
        <w:t>o</w:t>
      </w:r>
      <w:r w:rsidR="004A0D6E">
        <w:t xml:space="preserve"> stop and consider mitigation techniques and to prepare resources for a future yet to unfold. </w:t>
      </w:r>
      <w:r w:rsidR="00D0674E">
        <w:t xml:space="preserve"> </w:t>
      </w:r>
    </w:p>
    <w:p w:rsidR="004A0D6E" w:rsidRDefault="00D0674E" w:rsidP="00A7050B">
      <w:pPr>
        <w:spacing w:line="480" w:lineRule="auto"/>
      </w:pPr>
      <w:r>
        <w:t>Aradau and Van Munster’s</w:t>
      </w:r>
      <w:r w:rsidR="00006C90">
        <w:rPr>
          <w:rStyle w:val="EndnoteReference"/>
        </w:rPr>
        <w:endnoteReference w:id="35"/>
      </w:r>
      <w:r>
        <w:t xml:space="preserve"> take again stresses the temporal actualisation of exercises</w:t>
      </w:r>
      <w:r w:rsidR="00966538">
        <w:t>. But their emphasis</w:t>
      </w:r>
      <w:r>
        <w:t xml:space="preserve"> is on h</w:t>
      </w:r>
      <w:r w:rsidR="005976BE">
        <w:t>ow the discursive description and narration of the exercise works to evoke the temporal unfolding of the exercise</w:t>
      </w:r>
      <w:r w:rsidR="000756EB">
        <w:t xml:space="preserve">. Exercises invariably start, the authors claim, with a description of </w:t>
      </w:r>
      <w:r w:rsidR="000756EB">
        <w:lastRenderedPageBreak/>
        <w:t>the</w:t>
      </w:r>
      <w:r>
        <w:t xml:space="preserve"> time immediately before the emergency and then develop onwards through different stages.</w:t>
      </w:r>
      <w:r w:rsidR="0033200F">
        <w:t xml:space="preserve"> As the authors show, exercises</w:t>
      </w:r>
      <w:r w:rsidR="00E934C7">
        <w:t xml:space="preserve"> also</w:t>
      </w:r>
      <w:r w:rsidR="0033200F">
        <w:t xml:space="preserve"> outline the physical surroundings in which the emergency is </w:t>
      </w:r>
      <w:r w:rsidR="00B1222E">
        <w:t>about to take place; whether</w:t>
      </w:r>
      <w:r w:rsidR="00E934C7">
        <w:t xml:space="preserve"> that is</w:t>
      </w:r>
      <w:r w:rsidR="0033200F">
        <w:t xml:space="preserve"> a racecourse, an international conference at a hotel or a village summer fete</w:t>
      </w:r>
      <w:r w:rsidR="00B1222E">
        <w:t xml:space="preserve"> to use the authors’ examples</w:t>
      </w:r>
      <w:r w:rsidR="0033200F">
        <w:t>.</w:t>
      </w:r>
      <w:r w:rsidR="00E934C7">
        <w:t xml:space="preserve"> The</w:t>
      </w:r>
      <w:r>
        <w:t xml:space="preserve"> temporal structuring of the exercise is</w:t>
      </w:r>
      <w:r w:rsidR="00E934C7">
        <w:t xml:space="preserve"> thus always conjoined with and embedded in</w:t>
      </w:r>
      <w:r>
        <w:t xml:space="preserve"> spatial referents. It is through the discursive narration of the exercise that the space-time of the future emergency is invoked. </w:t>
      </w:r>
    </w:p>
    <w:p w:rsidR="00570F84" w:rsidRDefault="00E934C7" w:rsidP="00A7050B">
      <w:pPr>
        <w:spacing w:line="480" w:lineRule="auto"/>
      </w:pPr>
      <w:r>
        <w:t>Exercises appear in the two works above as</w:t>
      </w:r>
      <w:r w:rsidR="00F760D5">
        <w:t xml:space="preserve"> a maelstrom of senses, but a maelstrom nevertheless organised by spatial-temporal coordinates.</w:t>
      </w:r>
      <w:r w:rsidR="00DF514D">
        <w:t xml:space="preserve"> The harnessing of emotions</w:t>
      </w:r>
      <w:r>
        <w:t xml:space="preserve"> and senses</w:t>
      </w:r>
      <w:r w:rsidR="00DF514D">
        <w:t xml:space="preserve"> through the </w:t>
      </w:r>
      <w:r w:rsidR="00966538">
        <w:t xml:space="preserve">imagined </w:t>
      </w:r>
      <w:r w:rsidR="00DF514D">
        <w:t>space-time of emergencies is accompanied also by discussion of the realism of exercises.</w:t>
      </w:r>
      <w:r w:rsidR="00F760D5">
        <w:t xml:space="preserve"> I raise the matter of realism not to submerge this article into a discussion of the accuracy of events portrayed in exercises but to indicate how the issue of realism reveals other sensual and aesthetic forces at play. For example, d</w:t>
      </w:r>
      <w:r w:rsidR="00B52DD2">
        <w:t>iscourses of realism, to return to Adey and Anderson’s work, appear in the form of</w:t>
      </w:r>
      <w:r w:rsidR="00F760D5">
        <w:t xml:space="preserve"> ex</w:t>
      </w:r>
      <w:r w:rsidR="005976BE">
        <w:t>ercise participants’</w:t>
      </w:r>
      <w:r w:rsidR="00B52DD2">
        <w:t xml:space="preserve"> commentary on the plausibility of the exercise. Plausibility acts as a condition of regulation to ensure the events portrayed are not too fantastical, do not stretch too much the acknowledged normative similitud</w:t>
      </w:r>
      <w:r>
        <w:t>e emergencies of the same type share</w:t>
      </w:r>
      <w:r w:rsidR="00B52DD2">
        <w:t>. As the authors note, ‘events... designed into scenarios</w:t>
      </w:r>
      <w:r w:rsidR="00F760D5">
        <w:t xml:space="preserve"> (exercises)</w:t>
      </w:r>
      <w:r w:rsidR="00B52DD2">
        <w:t xml:space="preserve"> is very rarely </w:t>
      </w:r>
      <w:r w:rsidR="00C41EF9">
        <w:t>about the imaginary of t</w:t>
      </w:r>
      <w:r w:rsidR="00006C90">
        <w:t>he ‘unimaginable’’</w:t>
      </w:r>
      <w:r w:rsidR="00006C90">
        <w:rPr>
          <w:rStyle w:val="EndnoteReference"/>
        </w:rPr>
        <w:endnoteReference w:id="36"/>
      </w:r>
      <w:r w:rsidR="00C41EF9">
        <w:t xml:space="preserve">. What is fantastical and </w:t>
      </w:r>
      <w:r>
        <w:t xml:space="preserve">what is plausible, importantly, is an issue </w:t>
      </w:r>
      <w:r w:rsidR="00050DB0">
        <w:t>arbitrated</w:t>
      </w:r>
      <w:r w:rsidR="00A451E8">
        <w:t xml:space="preserve"> upon</w:t>
      </w:r>
      <w:r>
        <w:t xml:space="preserve"> by </w:t>
      </w:r>
      <w:r w:rsidR="00C41EF9">
        <w:t xml:space="preserve">the </w:t>
      </w:r>
      <w:r w:rsidR="00DF514D">
        <w:t>memory and experiential knowledge</w:t>
      </w:r>
      <w:r w:rsidR="00C41EF9">
        <w:t xml:space="preserve"> of those involved in various aspects of the exercise. Exercises thus ‘anchor the interval of emergency in ‘realistic’ details </w:t>
      </w:r>
      <w:r w:rsidR="00C41EF9" w:rsidRPr="005976BE">
        <w:rPr>
          <w:i/>
        </w:rPr>
        <w:t>that resonate with players’ tacit and codified knowled</w:t>
      </w:r>
      <w:r w:rsidR="00247518" w:rsidRPr="005976BE">
        <w:rPr>
          <w:i/>
        </w:rPr>
        <w:t xml:space="preserve">ges </w:t>
      </w:r>
      <w:r w:rsidR="00006C90">
        <w:t>of the area’</w:t>
      </w:r>
      <w:r w:rsidR="00006C90">
        <w:rPr>
          <w:rStyle w:val="EndnoteReference"/>
        </w:rPr>
        <w:endnoteReference w:id="37"/>
      </w:r>
      <w:r w:rsidR="00006C90">
        <w:t xml:space="preserve">. </w:t>
      </w:r>
      <w:r w:rsidR="00F760D5">
        <w:t xml:space="preserve">In encountering the issue of realism, another sensual force has been revealed in its enrolment within the exercise. </w:t>
      </w:r>
      <w:r w:rsidR="00C41EF9">
        <w:t xml:space="preserve"> The plausibility of the exercise depends on its ability to forg</w:t>
      </w:r>
      <w:r w:rsidR="005976BE">
        <w:t>e connections between the event it portrays</w:t>
      </w:r>
      <w:r w:rsidR="00C41EF9">
        <w:t xml:space="preserve"> and the</w:t>
      </w:r>
      <w:r>
        <w:t xml:space="preserve"> experiential knowledge and</w:t>
      </w:r>
      <w:r w:rsidR="00C41EF9">
        <w:t xml:space="preserve"> memory of its participants. This manoeuvre shows, moreover, that exercises are not only created and performed through invoking a set of sensibilities in their participants but </w:t>
      </w:r>
      <w:r w:rsidR="00B71C26">
        <w:t xml:space="preserve">must also correspond to and derive from pre-inscribed sensual registers accrued over a life time in emergency response. </w:t>
      </w:r>
      <w:r w:rsidR="00C41EF9">
        <w:t xml:space="preserve"> </w:t>
      </w:r>
      <w:r w:rsidR="00B26503">
        <w:lastRenderedPageBreak/>
        <w:t>Along with space-times and a variety of senses, the memory and recollection of</w:t>
      </w:r>
      <w:r>
        <w:t xml:space="preserve"> exercise</w:t>
      </w:r>
      <w:r w:rsidR="00B26503">
        <w:t xml:space="preserve"> participants fee</w:t>
      </w:r>
      <w:r>
        <w:t>ds into the rendition of future emergencies</w:t>
      </w:r>
      <w:r w:rsidR="00B26503">
        <w:t xml:space="preserve"> in the exercise.</w:t>
      </w:r>
    </w:p>
    <w:p w:rsidR="00C41EF9" w:rsidRDefault="001E0D4D" w:rsidP="00A7050B">
      <w:pPr>
        <w:spacing w:line="480" w:lineRule="auto"/>
      </w:pPr>
      <w:r>
        <w:t>In so</w:t>
      </w:r>
      <w:r w:rsidR="00006C90">
        <w:t>me cases</w:t>
      </w:r>
      <w:r w:rsidR="00006C90">
        <w:rPr>
          <w:rStyle w:val="EndnoteReference"/>
        </w:rPr>
        <w:endnoteReference w:id="38"/>
      </w:r>
      <w:r>
        <w:t>, the capability of exercises to offer a realistic impression of future emergencies is intrinsically tied to the qu</w:t>
      </w:r>
      <w:r w:rsidR="00DF783F">
        <w:t>estion of what material props are found in the exercise</w:t>
      </w:r>
      <w:r>
        <w:t>.</w:t>
      </w:r>
      <w:r w:rsidR="00010557" w:rsidRPr="00010557">
        <w:t xml:space="preserve"> </w:t>
      </w:r>
      <w:r w:rsidR="00010557">
        <w:t>Coming in the form of shrapnel</w:t>
      </w:r>
      <w:r w:rsidR="00010557">
        <w:rPr>
          <w:rStyle w:val="EndnoteReference"/>
        </w:rPr>
        <w:endnoteReference w:id="39"/>
      </w:r>
      <w:r w:rsidR="00010557">
        <w:t xml:space="preserve"> or the remnants of humans</w:t>
      </w:r>
      <w:r w:rsidR="00010557">
        <w:rPr>
          <w:rStyle w:val="EndnoteReference"/>
        </w:rPr>
        <w:endnoteReference w:id="40"/>
      </w:r>
      <w:r w:rsidR="00010557">
        <w:t>, for instance, mater</w:t>
      </w:r>
      <w:r w:rsidR="00DF783F">
        <w:t>ial objects render the future emergency imaginary concrete</w:t>
      </w:r>
      <w:r w:rsidR="00010557">
        <w:t>. At least in pre-existing literature, these material props</w:t>
      </w:r>
      <w:r w:rsidR="004F0DA7">
        <w:t xml:space="preserve"> are</w:t>
      </w:r>
      <w:r w:rsidR="00010557">
        <w:t xml:space="preserve"> also</w:t>
      </w:r>
      <w:r w:rsidR="004F0DA7">
        <w:t xml:space="preserve"> the principle means by which the emergency can be invoked in its audio and visual output.</w:t>
      </w:r>
      <w:r>
        <w:t xml:space="preserve"> </w:t>
      </w:r>
      <w:r w:rsidR="00A451E8">
        <w:t>As</w:t>
      </w:r>
      <w:r w:rsidR="00DF783F">
        <w:t xml:space="preserve"> Davis notes,</w:t>
      </w:r>
      <w:r w:rsidR="004F0DA7">
        <w:t xml:space="preserve"> whether</w:t>
      </w:r>
      <w:r w:rsidR="00942BDA">
        <w:t xml:space="preserve"> ‘the wail of a siren, shoes getting in the way, rags for curtains and tablecloths; an upturned table with a spilled va</w:t>
      </w:r>
      <w:r w:rsidR="00AF7E20">
        <w:t>se of flowers or deck of cards’</w:t>
      </w:r>
      <w:r w:rsidR="00006C90">
        <w:rPr>
          <w:rStyle w:val="EndnoteReference"/>
        </w:rPr>
        <w:endnoteReference w:id="41"/>
      </w:r>
      <w:r w:rsidR="004F0DA7">
        <w:t xml:space="preserve"> it is the materialities enrolled into the exercise whi</w:t>
      </w:r>
      <w:r w:rsidR="00DF783F">
        <w:t>ch afford the exercise its capacity to replicate the sights and sounds of the scene of an emergency.</w:t>
      </w:r>
      <w:r>
        <w:t xml:space="preserve"> </w:t>
      </w:r>
      <w:r w:rsidR="00942BDA">
        <w:t xml:space="preserve"> </w:t>
      </w:r>
    </w:p>
    <w:p w:rsidR="007A178A" w:rsidRDefault="000E0C28" w:rsidP="00A7050B">
      <w:pPr>
        <w:spacing w:line="480" w:lineRule="auto"/>
      </w:pPr>
      <w:r>
        <w:t>The coor</w:t>
      </w:r>
      <w:r w:rsidR="00B21152">
        <w:t>dination of space-times, senses</w:t>
      </w:r>
      <w:r>
        <w:t>, matter</w:t>
      </w:r>
      <w:r w:rsidR="00DF514D">
        <w:t>, the audio-visual</w:t>
      </w:r>
      <w:r>
        <w:t xml:space="preserve"> and the insertion of other aesthetic forms of knowledge like</w:t>
      </w:r>
      <w:r w:rsidR="00086F7C">
        <w:t xml:space="preserve"> memory. This ensemble of forces, which can be traced across exercises in a number of contexts, are also evident in the design and performance of exercises in the FRS</w:t>
      </w:r>
      <w:r w:rsidR="005976BE">
        <w:t xml:space="preserve"> as I will go on to demonstrate</w:t>
      </w:r>
      <w:r w:rsidR="00DF514D">
        <w:t>.</w:t>
      </w:r>
      <w:r w:rsidR="002D51AA">
        <w:t xml:space="preserve"> Authors in those works engaged with above also note how different forces coagulate and overlap with one another. Adey and Anderson thus describe how emotional states punctuate the exercise temporally whilst Aradau and Van Munster argue that the spatial and temporal qualities of the exercise are inseparably bound to one another</w:t>
      </w:r>
      <w:r w:rsidR="006852A6">
        <w:t xml:space="preserve">. </w:t>
      </w:r>
      <w:r w:rsidR="00AF7E20">
        <w:t xml:space="preserve"> </w:t>
      </w:r>
      <w:r w:rsidR="002D51AA">
        <w:t>But little attention has been paid to how all the forces circulating in the exercise are enmeshed wi</w:t>
      </w:r>
      <w:r w:rsidR="00966538">
        <w:t>th one another and how this</w:t>
      </w:r>
      <w:r w:rsidR="002D51AA">
        <w:t xml:space="preserve"> set of complex relations</w:t>
      </w:r>
      <w:r w:rsidR="00966538">
        <w:t xml:space="preserve"> are made and remade in order</w:t>
      </w:r>
      <w:r w:rsidR="002D51AA">
        <w:t xml:space="preserve"> to structure, condition and bring to life the emergency that the exercise represents and simulates. Neither does t</w:t>
      </w:r>
      <w:r w:rsidR="00AF2124">
        <w:t>he literature documented</w:t>
      </w:r>
      <w:r w:rsidR="002D51AA">
        <w:t xml:space="preserve"> tie exercises to the assessment and development of protocol which will prepare and structure response for future emergencies.  </w:t>
      </w:r>
    </w:p>
    <w:p w:rsidR="00A6281A" w:rsidRDefault="004C2C93" w:rsidP="00A7050B">
      <w:pPr>
        <w:spacing w:line="480" w:lineRule="auto"/>
      </w:pPr>
      <w:r>
        <w:t>This paper addresses these</w:t>
      </w:r>
      <w:r w:rsidR="002D51AA">
        <w:t xml:space="preserve"> gap</w:t>
      </w:r>
      <w:r>
        <w:t>s</w:t>
      </w:r>
      <w:r w:rsidR="002D51AA">
        <w:t xml:space="preserve"> by exam</w:t>
      </w:r>
      <w:r>
        <w:t xml:space="preserve">ining both how future emergencies are imagined through the relations between aesthetic forces in exercises </w:t>
      </w:r>
      <w:r w:rsidR="002D51AA">
        <w:t xml:space="preserve">and the enactment of protocol through </w:t>
      </w:r>
      <w:r w:rsidR="002D51AA">
        <w:lastRenderedPageBreak/>
        <w:t>understanding exercises as a site of</w:t>
      </w:r>
      <w:r w:rsidR="00DA5702">
        <w:t xml:space="preserve"> what Karen Barad calls</w:t>
      </w:r>
      <w:r w:rsidR="002D51AA">
        <w:t xml:space="preserve"> post-human performativity. </w:t>
      </w:r>
      <w:r w:rsidR="00DA5702">
        <w:t xml:space="preserve">As it appears as a concept across geography and social sciences more generally, </w:t>
      </w:r>
      <w:r w:rsidR="008A4E6A">
        <w:t xml:space="preserve">Barad claims that performativity has been reduced in its potential efficacy to the framing and analysis of speech acts. </w:t>
      </w:r>
      <w:r w:rsidR="00556C75">
        <w:t xml:space="preserve">In conventional understandings of performativity, speech acts bring their referent object into being through </w:t>
      </w:r>
      <w:r w:rsidR="006C56A7">
        <w:t>the representations they offer</w:t>
      </w:r>
      <w:r w:rsidR="00DA5702">
        <w:t>. Not only in other words does language operate to describe reality but rather in its utterance it actively participates in the course of</w:t>
      </w:r>
      <w:r w:rsidR="005F17B5">
        <w:t xml:space="preserve"> making</w:t>
      </w:r>
      <w:r w:rsidR="00DA5702">
        <w:t xml:space="preserve"> reality.</w:t>
      </w:r>
      <w:r w:rsidR="008452D9">
        <w:t xml:space="preserve"> </w:t>
      </w:r>
      <w:r w:rsidR="00A7320C">
        <w:t>According to Barad, performativity could be extended and</w:t>
      </w:r>
      <w:r w:rsidR="008A4E6A">
        <w:t xml:space="preserve"> applied to</w:t>
      </w:r>
      <w:r w:rsidR="00A7320C">
        <w:t xml:space="preserve"> explore</w:t>
      </w:r>
      <w:r w:rsidR="008A4E6A">
        <w:t xml:space="preserve"> </w:t>
      </w:r>
      <w:r w:rsidR="00556C75">
        <w:t>how things come into being through the act of making and remaking relations be</w:t>
      </w:r>
      <w:r w:rsidR="008452D9">
        <w:t>tween human and non-human agents</w:t>
      </w:r>
      <w:r w:rsidR="00556C75">
        <w:t>. Speaking specifically in relation to the production of matter, s</w:t>
      </w:r>
      <w:r w:rsidR="0047283B">
        <w:t xml:space="preserve">tudying </w:t>
      </w:r>
      <w:r w:rsidR="006C56A7">
        <w:t xml:space="preserve">how </w:t>
      </w:r>
      <w:r w:rsidR="0047283B">
        <w:t>these relations</w:t>
      </w:r>
      <w:r w:rsidR="00A7320C">
        <w:t xml:space="preserve"> are established and consolidated works to give</w:t>
      </w:r>
      <w:r w:rsidR="0047283B">
        <w:t xml:space="preserve"> ‘matter its dues as an active participant in the world’s becoming’</w:t>
      </w:r>
      <w:r w:rsidR="00006C90">
        <w:rPr>
          <w:rStyle w:val="EndnoteReference"/>
        </w:rPr>
        <w:endnoteReference w:id="42"/>
      </w:r>
      <w:r w:rsidR="00A7320C">
        <w:t xml:space="preserve">. </w:t>
      </w:r>
      <w:r w:rsidR="006C56A7">
        <w:t xml:space="preserve"> </w:t>
      </w:r>
      <w:r w:rsidR="00A7320C">
        <w:t>The relations found might</w:t>
      </w:r>
      <w:r w:rsidR="008452D9">
        <w:t>, as Barad argues,</w:t>
      </w:r>
      <w:r w:rsidR="00A7320C">
        <w:t xml:space="preserve"> come in the form of intra-actions where configurations form and occur within a circumscribed space. Or inter-actions might be found where wholly separate spheres of activity come into contact with one another.</w:t>
      </w:r>
      <w:r w:rsidR="008452D9">
        <w:t xml:space="preserve"> </w:t>
      </w:r>
      <w:r w:rsidR="00A7320C">
        <w:t>Overall, however, the point is that</w:t>
      </w:r>
      <w:r w:rsidR="00445696">
        <w:t xml:space="preserve"> performativity here refers</w:t>
      </w:r>
      <w:r w:rsidR="00A7320C">
        <w:t xml:space="preserve"> to the act of making and remaking relations between a heterogeneous array of agencies and the production of matter on the basis of these relations.</w:t>
      </w:r>
    </w:p>
    <w:p w:rsidR="005F17B5" w:rsidRDefault="006852A6" w:rsidP="00A7050B">
      <w:pPr>
        <w:spacing w:line="480" w:lineRule="auto"/>
      </w:pPr>
      <w:r>
        <w:t>To be appli</w:t>
      </w:r>
      <w:r w:rsidR="003A489E">
        <w:t xml:space="preserve">cable to how emergencies are imagined in exercises, </w:t>
      </w:r>
      <w:r w:rsidR="006714A0">
        <w:t>post-human performativity must extend beyond matter to how matter relates to a number of other above mentioned f</w:t>
      </w:r>
      <w:r w:rsidR="00FD43E9">
        <w:t>orces such as audio-visual technologies</w:t>
      </w:r>
      <w:r w:rsidR="006714A0">
        <w:t xml:space="preserve">, the sensibilities of human participants and relations between human participants. </w:t>
      </w:r>
      <w:r w:rsidR="003A489E">
        <w:t xml:space="preserve">What </w:t>
      </w:r>
      <w:r w:rsidR="006714A0">
        <w:t>the notion of post-human performativity offers is a means to conceptualise how these forces relate to and enmesh with one another.</w:t>
      </w:r>
      <w:r w:rsidR="00A6281A">
        <w:t xml:space="preserve"> As Barad would note, they</w:t>
      </w:r>
      <w:r w:rsidR="006714A0">
        <w:t xml:space="preserve"> enmesh with one another in the process of the exercise’s unde</w:t>
      </w:r>
      <w:r w:rsidR="005F17B5">
        <w:t>rtaking. Through the exercise’s performance</w:t>
      </w:r>
      <w:r w:rsidR="00EA6674">
        <w:t>, in other words,</w:t>
      </w:r>
      <w:r w:rsidR="006714A0">
        <w:t xml:space="preserve"> various aesthetic</w:t>
      </w:r>
      <w:r w:rsidR="003A489E">
        <w:t xml:space="preserve"> forces encounter one another and collectively</w:t>
      </w:r>
      <w:r w:rsidR="006714A0">
        <w:t xml:space="preserve"> imagine the emergency. </w:t>
      </w:r>
      <w:r w:rsidR="0047283B">
        <w:t xml:space="preserve">Performance equates to the enrolment of one aesthetic force into another and the consolidation of relations between things through the doing of the exercise. In the performance of the exercise, the different aesthetic forces mentioned above- emotions, space-times, materialities and digital </w:t>
      </w:r>
      <w:r w:rsidR="0047283B">
        <w:lastRenderedPageBreak/>
        <w:t>technologies-</w:t>
      </w:r>
      <w:r w:rsidR="004B560A">
        <w:t xml:space="preserve"> come together to</w:t>
      </w:r>
      <w:r w:rsidR="0047283B">
        <w:t xml:space="preserve"> offer renditions of future emergencies which can be prepared for in the here and now.</w:t>
      </w:r>
    </w:p>
    <w:p w:rsidR="00CB0DE6" w:rsidRDefault="00C7273F" w:rsidP="00A7050B">
      <w:pPr>
        <w:spacing w:line="480" w:lineRule="auto"/>
      </w:pPr>
      <w:r>
        <w:t xml:space="preserve"> Barad’s take on performativity has found traction</w:t>
      </w:r>
      <w:r w:rsidR="005F17B5">
        <w:t xml:space="preserve"> both in cultura</w:t>
      </w:r>
      <w:r w:rsidR="00792F3C">
        <w:t>l and political geography</w:t>
      </w:r>
      <w:r w:rsidR="00792F3C">
        <w:rPr>
          <w:rStyle w:val="EndnoteReference"/>
        </w:rPr>
        <w:endnoteReference w:id="43"/>
      </w:r>
      <w:r w:rsidR="005F17B5">
        <w:t xml:space="preserve"> and in </w:t>
      </w:r>
      <w:r w:rsidR="00792F3C">
        <w:t>critical security studies</w:t>
      </w:r>
      <w:r w:rsidR="00792F3C">
        <w:rPr>
          <w:rStyle w:val="EndnoteReference"/>
        </w:rPr>
        <w:endnoteReference w:id="44"/>
      </w:r>
      <w:r w:rsidR="005F17B5">
        <w:t>.</w:t>
      </w:r>
      <w:r>
        <w:t xml:space="preserve"> Aradau</w:t>
      </w:r>
      <w:r w:rsidR="00AA6645">
        <w:t>, for example,</w:t>
      </w:r>
      <w:r>
        <w:t xml:space="preserve"> has read the securitisation of critical infrastructure through Barad’s emphasis on the efficacy of non-human forces which shape and condition governmental interventions. For Aradau, ‘Critical infrastructure is not just the result of a complex assemblage of social practices and values...but it emerges as an object whose materiality has both enabling and constraining effects and what can be said an</w:t>
      </w:r>
      <w:r w:rsidR="00792F3C">
        <w:t>d done to secure it’</w:t>
      </w:r>
      <w:r w:rsidR="00792F3C">
        <w:rPr>
          <w:rStyle w:val="EndnoteReference"/>
        </w:rPr>
        <w:endnoteReference w:id="45"/>
      </w:r>
      <w:r>
        <w:t xml:space="preserve">. For Aradau, Barad’s approach makes way for understanding how the deployment of critical infrastructure protection is contingent in part due to the autonomy of the material things to which it is oriented. </w:t>
      </w:r>
    </w:p>
    <w:p w:rsidR="003A489E" w:rsidRDefault="00C7273F" w:rsidP="00A7050B">
      <w:pPr>
        <w:spacing w:line="480" w:lineRule="auto"/>
      </w:pPr>
      <w:r>
        <w:t xml:space="preserve">Read through Barad’s understanding of performativity, critical infrastructure protection shares with protocol a contingency </w:t>
      </w:r>
      <w:r w:rsidR="009304F9">
        <w:t>dynamic evidenced by Galloway and Thacker</w:t>
      </w:r>
      <w:r w:rsidR="0029707C">
        <w:t xml:space="preserve">. </w:t>
      </w:r>
      <w:r w:rsidR="009304F9">
        <w:t xml:space="preserve">As was noted above, protocol is contingent owing to the contingency of the networks to which it is attendant and operable within. </w:t>
      </w:r>
      <w:r w:rsidR="00C10058">
        <w:t>The necessary making and remaking that protocol goes through is not the only line of similarity that can be drawn between protocol and Barad’s post-human performativity however. Rather, p</w:t>
      </w:r>
      <w:r w:rsidR="009304F9">
        <w:t>rotocol is rendered manifest and produced through relations between heterogeneous mater</w:t>
      </w:r>
      <w:r w:rsidR="00C10058">
        <w:t xml:space="preserve">ial forces. The consolidation and enactment of protocol relies on its emergence on the grounds of the enmeshing of different agencies.  </w:t>
      </w:r>
      <w:r w:rsidR="0029707C">
        <w:t xml:space="preserve">Similarly in the FRS as I will show now, protocol is produced and re-produced through exercises which imagine future emergencies through coordinating different aesthetic forces. </w:t>
      </w:r>
    </w:p>
    <w:p w:rsidR="001D498F" w:rsidRDefault="001D498F" w:rsidP="00A7050B">
      <w:pPr>
        <w:spacing w:line="480" w:lineRule="auto"/>
        <w:rPr>
          <w:b/>
        </w:rPr>
      </w:pPr>
      <w:r w:rsidRPr="001D498F">
        <w:rPr>
          <w:b/>
        </w:rPr>
        <w:t>Protocol in the FRS</w:t>
      </w:r>
    </w:p>
    <w:p w:rsidR="00700B6F" w:rsidRDefault="001D498F" w:rsidP="001D498F">
      <w:pPr>
        <w:autoSpaceDE w:val="0"/>
        <w:autoSpaceDN w:val="0"/>
        <w:adjustRightInd w:val="0"/>
        <w:spacing w:after="0" w:line="480" w:lineRule="auto"/>
        <w:rPr>
          <w:rFonts w:cs="AdvP7B6C"/>
        </w:rPr>
      </w:pPr>
      <w:r>
        <w:rPr>
          <w:rFonts w:cs="AdvP7B6C"/>
        </w:rPr>
        <w:t>The set of protocols d</w:t>
      </w:r>
      <w:r w:rsidR="00700B6F">
        <w:rPr>
          <w:rFonts w:cs="AdvP7B6C"/>
        </w:rPr>
        <w:t>eployed by the FRS to plan response to fire emergencies of the future</w:t>
      </w:r>
      <w:r w:rsidR="00C0450F">
        <w:rPr>
          <w:rFonts w:cs="AdvP7B6C"/>
        </w:rPr>
        <w:t xml:space="preserve"> considered in this paper</w:t>
      </w:r>
      <w:r>
        <w:rPr>
          <w:rFonts w:cs="AdvP7B6C"/>
        </w:rPr>
        <w:t xml:space="preserve"> are collectively known as ‘incident command’</w:t>
      </w:r>
      <w:r>
        <w:rPr>
          <w:rStyle w:val="EndnoteReference"/>
          <w:rFonts w:cs="AdvP7B6C"/>
        </w:rPr>
        <w:endnoteReference w:id="46"/>
      </w:r>
      <w:r>
        <w:rPr>
          <w:rFonts w:cs="AdvP7B6C"/>
        </w:rPr>
        <w:t>.</w:t>
      </w:r>
      <w:r w:rsidR="008A3127">
        <w:rPr>
          <w:rFonts w:cs="AdvP7B6C"/>
        </w:rPr>
        <w:t xml:space="preserve"> Within incident command general</w:t>
      </w:r>
      <w:r w:rsidR="00063DD3">
        <w:rPr>
          <w:rFonts w:cs="AdvP7B6C"/>
        </w:rPr>
        <w:t>ly</w:t>
      </w:r>
      <w:r w:rsidR="008A3127">
        <w:rPr>
          <w:rFonts w:cs="AdvP7B6C"/>
        </w:rPr>
        <w:t xml:space="preserve"> are more specific risk assessment protocols. </w:t>
      </w:r>
      <w:r w:rsidR="00063DD3">
        <w:rPr>
          <w:rFonts w:cs="AdvP7B6C"/>
        </w:rPr>
        <w:t xml:space="preserve">There are three types of risk assessment protocols. </w:t>
      </w:r>
      <w:r w:rsidR="00700B6F">
        <w:rPr>
          <w:rFonts w:cs="AdvP7B6C"/>
        </w:rPr>
        <w:t>Firstly a</w:t>
      </w:r>
      <w:r>
        <w:rPr>
          <w:rFonts w:cs="AdvP7B6C"/>
        </w:rPr>
        <w:t xml:space="preserve"> </w:t>
      </w:r>
      <w:r w:rsidR="00792F3C">
        <w:rPr>
          <w:rFonts w:cs="AdvP7B6C"/>
        </w:rPr>
        <w:t>‘generic risk assessment’</w:t>
      </w:r>
      <w:r w:rsidR="00792F3C">
        <w:rPr>
          <w:rStyle w:val="EndnoteReference"/>
          <w:rFonts w:cs="AdvP7B6C"/>
        </w:rPr>
        <w:endnoteReference w:id="47"/>
      </w:r>
      <w:r>
        <w:rPr>
          <w:rFonts w:cs="AdvP7B6C"/>
        </w:rPr>
        <w:t xml:space="preserve"> exists which sets out and guides response in the even</w:t>
      </w:r>
      <w:r w:rsidR="00700B6F">
        <w:rPr>
          <w:rFonts w:cs="AdvP7B6C"/>
        </w:rPr>
        <w:t xml:space="preserve">t </w:t>
      </w:r>
      <w:r w:rsidR="00700B6F">
        <w:rPr>
          <w:rFonts w:cs="AdvP7B6C"/>
        </w:rPr>
        <w:lastRenderedPageBreak/>
        <w:t>of a fire in particular kinds of space</w:t>
      </w:r>
      <w:r>
        <w:rPr>
          <w:rFonts w:cs="AdvP7B6C"/>
        </w:rPr>
        <w:t xml:space="preserve">. </w:t>
      </w:r>
      <w:r w:rsidR="00063DD3">
        <w:rPr>
          <w:rFonts w:cs="AdvP7B6C"/>
        </w:rPr>
        <w:t>Generic risk assessments address a vast range of different spaces in which fires might unfo</w:t>
      </w:r>
      <w:r w:rsidR="00922D6B">
        <w:rPr>
          <w:rFonts w:cs="AdvP7B6C"/>
        </w:rPr>
        <w:t>ld including high rise buildings</w:t>
      </w:r>
      <w:r w:rsidR="00461110">
        <w:rPr>
          <w:rStyle w:val="EndnoteReference"/>
          <w:rFonts w:cs="AdvP7B6C"/>
        </w:rPr>
        <w:endnoteReference w:id="48"/>
      </w:r>
      <w:r w:rsidR="00063DD3">
        <w:rPr>
          <w:rFonts w:cs="AdvP7B6C"/>
        </w:rPr>
        <w:t>, industrial plants</w:t>
      </w:r>
      <w:r w:rsidR="00461110">
        <w:rPr>
          <w:rStyle w:val="EndnoteReference"/>
          <w:rFonts w:cs="AdvP7B6C"/>
        </w:rPr>
        <w:endnoteReference w:id="49"/>
      </w:r>
      <w:r w:rsidR="00063DD3">
        <w:rPr>
          <w:rFonts w:cs="AdvP7B6C"/>
        </w:rPr>
        <w:t xml:space="preserve"> to farms</w:t>
      </w:r>
      <w:r w:rsidR="00461110">
        <w:rPr>
          <w:rStyle w:val="EndnoteReference"/>
          <w:rFonts w:cs="AdvP7B6C"/>
        </w:rPr>
        <w:endnoteReference w:id="50"/>
      </w:r>
      <w:r w:rsidR="00063DD3">
        <w:rPr>
          <w:rFonts w:cs="AdvP7B6C"/>
        </w:rPr>
        <w:t xml:space="preserve"> and in tunnels</w:t>
      </w:r>
      <w:r w:rsidR="00461110">
        <w:rPr>
          <w:rStyle w:val="EndnoteReference"/>
          <w:rFonts w:cs="AdvP7B6C"/>
        </w:rPr>
        <w:endnoteReference w:id="51"/>
      </w:r>
      <w:r w:rsidR="00063DD3">
        <w:rPr>
          <w:rFonts w:cs="AdvP7B6C"/>
        </w:rPr>
        <w:t xml:space="preserve">. Risk assessments involve identifying the specific hazards, dangers and difficulties tackling fires in different spaces might present. With regard to the generic risk assessment for fires at a height, the specific risks </w:t>
      </w:r>
      <w:r w:rsidR="003E3869">
        <w:rPr>
          <w:rFonts w:cs="AdvP7B6C"/>
        </w:rPr>
        <w:t xml:space="preserve">evident here include the possibility of structural collapse and the rapid spread of fire due to the internal lay-out of the building. In turn, generic risk assessments offer guidelines for how to respond to fires taking place at such sites including what kinds of equipment to use, the distance from which cordons around the building should be established and ways by which to evacuate people. </w:t>
      </w:r>
    </w:p>
    <w:p w:rsidR="001D498F" w:rsidRDefault="001D498F" w:rsidP="001D498F">
      <w:pPr>
        <w:autoSpaceDE w:val="0"/>
        <w:autoSpaceDN w:val="0"/>
        <w:adjustRightInd w:val="0"/>
        <w:spacing w:after="0" w:line="480" w:lineRule="auto"/>
      </w:pPr>
      <w:r>
        <w:rPr>
          <w:rFonts w:cs="AdvP7B6C"/>
        </w:rPr>
        <w:t>Showing the need to</w:t>
      </w:r>
      <w:r w:rsidR="009366F3">
        <w:rPr>
          <w:rFonts w:cs="AdvP7B6C"/>
        </w:rPr>
        <w:t xml:space="preserve"> adapt and</w:t>
      </w:r>
      <w:r>
        <w:rPr>
          <w:rFonts w:cs="AdvP7B6C"/>
        </w:rPr>
        <w:t xml:space="preserve"> create new protocol for </w:t>
      </w:r>
      <w:r w:rsidR="00596885">
        <w:rPr>
          <w:rFonts w:cs="AdvP7B6C"/>
        </w:rPr>
        <w:t>fire emergencies</w:t>
      </w:r>
      <w:r w:rsidR="00E923A5">
        <w:rPr>
          <w:rFonts w:cs="AdvP7B6C"/>
        </w:rPr>
        <w:t xml:space="preserve"> that</w:t>
      </w:r>
      <w:r w:rsidR="00596885">
        <w:rPr>
          <w:rFonts w:cs="AdvP7B6C"/>
        </w:rPr>
        <w:t xml:space="preserve"> have been newly thought up</w:t>
      </w:r>
      <w:r>
        <w:rPr>
          <w:rFonts w:cs="AdvP7B6C"/>
        </w:rPr>
        <w:t>,</w:t>
      </w:r>
      <w:r w:rsidR="00461110">
        <w:rPr>
          <w:rFonts w:cs="AdvP7B6C"/>
        </w:rPr>
        <w:t xml:space="preserve"> and the contingency of protocol in general,</w:t>
      </w:r>
      <w:r>
        <w:rPr>
          <w:rFonts w:cs="AdvP7B6C"/>
        </w:rPr>
        <w:t xml:space="preserve"> the other two forms of protocol work to provide parameters for tailoring response actions</w:t>
      </w:r>
      <w:r w:rsidR="003E3869">
        <w:rPr>
          <w:rFonts w:cs="AdvP7B6C"/>
        </w:rPr>
        <w:t xml:space="preserve"> not just to the type of space</w:t>
      </w:r>
      <w:r w:rsidR="009366F3">
        <w:rPr>
          <w:rFonts w:cs="AdvP7B6C"/>
        </w:rPr>
        <w:t xml:space="preserve"> in which the emergency occurs</w:t>
      </w:r>
      <w:r w:rsidR="003E3869">
        <w:rPr>
          <w:rFonts w:cs="AdvP7B6C"/>
        </w:rPr>
        <w:t xml:space="preserve"> but</w:t>
      </w:r>
      <w:r>
        <w:rPr>
          <w:rFonts w:cs="AdvP7B6C"/>
        </w:rPr>
        <w:t xml:space="preserve"> to the specificity of the</w:t>
      </w:r>
      <w:r w:rsidR="003E3869">
        <w:rPr>
          <w:rFonts w:cs="AdvP7B6C"/>
        </w:rPr>
        <w:t xml:space="preserve"> unique fire</w:t>
      </w:r>
      <w:r>
        <w:rPr>
          <w:rFonts w:cs="AdvP7B6C"/>
        </w:rPr>
        <w:t xml:space="preserve"> event itself. </w:t>
      </w:r>
      <w:r>
        <w:t>Dynamic risk assessment</w:t>
      </w:r>
      <w:r w:rsidR="00E64AC8">
        <w:t>s seek</w:t>
      </w:r>
      <w:r>
        <w:t xml:space="preserve"> to supply guidelines for strategic decisions made in adaptation to the unique, complex and unforeseeable set of developments which might characterise an individual incident. What this dynamic risk assessment refers to, according to one member of staff</w:t>
      </w:r>
      <w:r w:rsidR="00461110">
        <w:t xml:space="preserve"> I interviewed</w:t>
      </w:r>
      <w:r>
        <w:t>, is how strategy might be implemented by fire fighters ‘thinking on their feet’ where an incident’s unfolding transcends the limits of established protocol.</w:t>
      </w:r>
      <w:r w:rsidRPr="004277B6">
        <w:t xml:space="preserve"> </w:t>
      </w:r>
      <w:r>
        <w:t xml:space="preserve">The last form of protocol enacted </w:t>
      </w:r>
      <w:r w:rsidR="003E3869">
        <w:t>are called</w:t>
      </w:r>
      <w:r>
        <w:t xml:space="preserve"> ‘analytical risk assessment’</w:t>
      </w:r>
      <w:r w:rsidR="00E923A5">
        <w:rPr>
          <w:rStyle w:val="EndnoteReference"/>
        </w:rPr>
        <w:endnoteReference w:id="52"/>
      </w:r>
      <w:r w:rsidR="00E923A5">
        <w:t>.</w:t>
      </w:r>
      <w:r>
        <w:t xml:space="preserve"> Actions taken under the structure of analytical risk assessment show a similarity to dynamic risk assessments as they offer guidance on how strategy might be redeployed out of a necessity to adapt to the peculiarity of an incident which is unaccounted for in existing guidance. In contrast to dynamic risk assessment, however, analytic risk assessments concentrate also on how to formulate coordinative response between fire fighters.</w:t>
      </w:r>
      <w:r w:rsidR="00B178E8">
        <w:t xml:space="preserve"> Analytical risk assessments might involve</w:t>
      </w:r>
      <w:r w:rsidR="00461110">
        <w:t>,</w:t>
      </w:r>
      <w:r w:rsidR="00B178E8">
        <w:t xml:space="preserve"> for instance, outlining alternate ways in which communications between fire fighters at different areas within the site might be engendered when conventional forms of communication have broken down</w:t>
      </w:r>
      <w:r w:rsidR="00461110">
        <w:rPr>
          <w:rStyle w:val="EndnoteReference"/>
        </w:rPr>
        <w:endnoteReference w:id="53"/>
      </w:r>
      <w:r w:rsidR="00B178E8">
        <w:t xml:space="preserve">. </w:t>
      </w:r>
    </w:p>
    <w:p w:rsidR="00EE3DBA" w:rsidRDefault="00EE3DBA" w:rsidP="001D498F">
      <w:pPr>
        <w:autoSpaceDE w:val="0"/>
        <w:autoSpaceDN w:val="0"/>
        <w:adjustRightInd w:val="0"/>
        <w:spacing w:after="0" w:line="480" w:lineRule="auto"/>
        <w:rPr>
          <w:rFonts w:cs="AdvP7B6C"/>
        </w:rPr>
      </w:pPr>
    </w:p>
    <w:p w:rsidR="001D498F" w:rsidRDefault="000E6A9C" w:rsidP="001D498F">
      <w:pPr>
        <w:autoSpaceDE w:val="0"/>
        <w:autoSpaceDN w:val="0"/>
        <w:adjustRightInd w:val="0"/>
        <w:spacing w:after="0" w:line="480" w:lineRule="auto"/>
      </w:pPr>
      <w:r>
        <w:rPr>
          <w:rFonts w:cs="AdvP7B6C"/>
        </w:rPr>
        <w:t>As I will turn to demonstrate in the next section</w:t>
      </w:r>
      <w:r w:rsidR="001D498F">
        <w:rPr>
          <w:rFonts w:cs="AdvP7B6C"/>
        </w:rPr>
        <w:t xml:space="preserve">, exercises work to assess pre-existing protocol and develop new forms of protocol. </w:t>
      </w:r>
      <w:r w:rsidR="001D498F">
        <w:t>Both the assessment and development of protocol is achieved in exercises by pushing the limit of pre-scribed protocol. To do so, exercises stage and imagine types o</w:t>
      </w:r>
      <w:r w:rsidR="00E64AC8">
        <w:t xml:space="preserve">f fire emergencies yet to be </w:t>
      </w:r>
      <w:r w:rsidR="00E923A5">
        <w:t>addressed by</w:t>
      </w:r>
      <w:r w:rsidR="001D498F">
        <w:t xml:space="preserve"> pre-existing protocol. In relation to the assessment of protocol, exercises present new emergency scenarios in order to gauge the applicability of proto</w:t>
      </w:r>
      <w:r w:rsidR="00E923A5">
        <w:t>col beyond the type of fire incident</w:t>
      </w:r>
      <w:r w:rsidR="001D498F">
        <w:t xml:space="preserve"> it was formulated around. If </w:t>
      </w:r>
      <w:r w:rsidR="001D498F" w:rsidRPr="0045580C">
        <w:rPr>
          <w:i/>
        </w:rPr>
        <w:t>assessment</w:t>
      </w:r>
      <w:r w:rsidR="001D498F">
        <w:t xml:space="preserve"> of protocol is about gauging the applicability of protocol, the </w:t>
      </w:r>
      <w:r w:rsidR="001D498F" w:rsidRPr="0045580C">
        <w:rPr>
          <w:i/>
        </w:rPr>
        <w:t>development</w:t>
      </w:r>
      <w:r w:rsidR="001D498F">
        <w:t xml:space="preserve"> of protocol is actualised by recording the </w:t>
      </w:r>
      <w:r w:rsidR="00EE3DBA">
        <w:t>action of participants which exceeds pre-established protocol</w:t>
      </w:r>
      <w:r w:rsidR="001D498F">
        <w:t xml:space="preserve">. </w:t>
      </w:r>
      <w:r w:rsidR="00FA2639">
        <w:t>Observations of partic</w:t>
      </w:r>
      <w:r w:rsidR="00461110">
        <w:t>ipants’ actions in exercises are</w:t>
      </w:r>
      <w:r w:rsidR="00FA2639">
        <w:t xml:space="preserve"> then</w:t>
      </w:r>
      <w:r w:rsidR="001D498F">
        <w:t xml:space="preserve"> fed back to generate wholly new forms of response protocol altogether. </w:t>
      </w:r>
    </w:p>
    <w:p w:rsidR="00035992" w:rsidRDefault="00A65FA1" w:rsidP="00A7050B">
      <w:pPr>
        <w:spacing w:line="480" w:lineRule="auto"/>
        <w:rPr>
          <w:b/>
        </w:rPr>
      </w:pPr>
      <w:r>
        <w:rPr>
          <w:b/>
        </w:rPr>
        <w:t>T</w:t>
      </w:r>
      <w:r w:rsidR="006C56A7">
        <w:rPr>
          <w:b/>
        </w:rPr>
        <w:t>he gift of sound and v</w:t>
      </w:r>
      <w:r w:rsidR="001E4B2E" w:rsidRPr="00FB5F03">
        <w:rPr>
          <w:b/>
        </w:rPr>
        <w:t>ision</w:t>
      </w:r>
      <w:r w:rsidR="006C56A7">
        <w:rPr>
          <w:b/>
        </w:rPr>
        <w:t>: designing the e</w:t>
      </w:r>
      <w:r w:rsidR="00EC661C" w:rsidRPr="00FB5F03">
        <w:rPr>
          <w:b/>
        </w:rPr>
        <w:t>xercise</w:t>
      </w:r>
    </w:p>
    <w:p w:rsidR="00C14E7B" w:rsidRDefault="0020294D" w:rsidP="00A7050B">
      <w:pPr>
        <w:spacing w:line="480" w:lineRule="auto"/>
      </w:pPr>
      <w:r>
        <w:t>In this section and the next, I present empirical material generated from 6 months re</w:t>
      </w:r>
      <w:r w:rsidR="00895DE1">
        <w:t>search</w:t>
      </w:r>
      <w:r>
        <w:t xml:space="preserve"> in the FRS</w:t>
      </w:r>
      <w:r w:rsidR="00895DE1">
        <w:t xml:space="preserve">. </w:t>
      </w:r>
      <w:r>
        <w:t>The research involved non-participative ethnographic observation of several exercises taking place in an FRS headquarters in the north</w:t>
      </w:r>
      <w:r w:rsidR="00895DE1">
        <w:t xml:space="preserve"> east of England. T</w:t>
      </w:r>
      <w:r>
        <w:t>he research</w:t>
      </w:r>
      <w:r w:rsidR="00895DE1">
        <w:t xml:space="preserve"> also</w:t>
      </w:r>
      <w:r>
        <w:t xml:space="preserve"> involved semi-structured interviews with members of the FRS’s Learning and Development team who design exercises and coordinate their performance. Drawing on material generated from this research</w:t>
      </w:r>
      <w:r w:rsidR="00A65FA1">
        <w:t>, this section</w:t>
      </w:r>
      <w:r w:rsidR="00C14E7B">
        <w:t xml:space="preserve"> consider</w:t>
      </w:r>
      <w:r w:rsidR="00A65FA1">
        <w:t>s</w:t>
      </w:r>
      <w:r w:rsidR="00C14E7B">
        <w:t xml:space="preserve"> two fundamental elements of ex</w:t>
      </w:r>
      <w:r w:rsidR="00895DE1">
        <w:t>ercises. Firstly, I outline</w:t>
      </w:r>
      <w:r w:rsidR="00C14E7B">
        <w:t xml:space="preserve"> where the ideas for the emergency scenarios depicted and performed in exercises emerge from. I then turn to describe how these ideas are rendered</w:t>
      </w:r>
      <w:r w:rsidR="00895DE1">
        <w:t xml:space="preserve"> audio-visually</w:t>
      </w:r>
      <w:r w:rsidR="00C14E7B">
        <w:t xml:space="preserve">. Both thinking up and rendering emergencies audio-visually </w:t>
      </w:r>
      <w:r w:rsidR="00895DE1">
        <w:t xml:space="preserve">are </w:t>
      </w:r>
      <w:r w:rsidR="000C6A94">
        <w:t>elements in</w:t>
      </w:r>
      <w:r w:rsidR="00895DE1">
        <w:t xml:space="preserve"> the process by which</w:t>
      </w:r>
      <w:r w:rsidR="00C14E7B">
        <w:t xml:space="preserve"> exercises are designed. </w:t>
      </w:r>
    </w:p>
    <w:p w:rsidR="00D52EF3" w:rsidRDefault="00C14E7B" w:rsidP="00A7050B">
      <w:pPr>
        <w:spacing w:line="480" w:lineRule="auto"/>
      </w:pPr>
      <w:r>
        <w:t>Where do the ideas for emergencies found in exercises actually come from? When asking this question, literature which takes exercises in their incarnation as a technique for securing large scale events suggests that exercises have become especially impor</w:t>
      </w:r>
      <w:r w:rsidR="00B939BA">
        <w:t>tant post 9/11</w:t>
      </w:r>
      <w:r w:rsidR="00006C90">
        <w:rPr>
          <w:rStyle w:val="EndnoteReference"/>
        </w:rPr>
        <w:endnoteReference w:id="54"/>
      </w:r>
      <w:r w:rsidR="00006C90">
        <w:t xml:space="preserve">. </w:t>
      </w:r>
      <w:r w:rsidR="00B939BA">
        <w:t xml:space="preserve">This </w:t>
      </w:r>
      <w:r w:rsidR="00EF3C16">
        <w:t xml:space="preserve">is because </w:t>
      </w:r>
      <w:r>
        <w:t>after 9/11</w:t>
      </w:r>
      <w:r w:rsidR="00B939BA">
        <w:t xml:space="preserve"> there was a concerted drive by</w:t>
      </w:r>
      <w:r>
        <w:t xml:space="preserve"> governments across the world to imagine potential emergencies which had heretofo</w:t>
      </w:r>
      <w:r w:rsidR="00B939BA">
        <w:t>re been unthinkable</w:t>
      </w:r>
      <w:r w:rsidR="00EC3BC1">
        <w:rPr>
          <w:rStyle w:val="EndnoteReference"/>
        </w:rPr>
        <w:endnoteReference w:id="55"/>
      </w:r>
      <w:r w:rsidR="00EC3BC1">
        <w:rPr>
          <w:rStyle w:val="EndnoteReference"/>
        </w:rPr>
        <w:endnoteReference w:id="56"/>
      </w:r>
      <w:r w:rsidR="00EC3BC1">
        <w:t xml:space="preserve">. </w:t>
      </w:r>
      <w:r w:rsidR="00B939BA">
        <w:t>After 9/11,</w:t>
      </w:r>
      <w:r>
        <w:t xml:space="preserve"> exercises</w:t>
      </w:r>
      <w:r w:rsidR="00B939BA">
        <w:t xml:space="preserve"> thus</w:t>
      </w:r>
      <w:r>
        <w:t xml:space="preserve"> became a pivotal </w:t>
      </w:r>
      <w:r>
        <w:lastRenderedPageBreak/>
        <w:t xml:space="preserve">means to speculate and act out futures which could not be captured by more conventional </w:t>
      </w:r>
      <w:r w:rsidR="00D52EF3">
        <w:t>risk analysis techniques such as data-mining or</w:t>
      </w:r>
      <w:r w:rsidR="00EF3C16">
        <w:t xml:space="preserve"> risk mapping</w:t>
      </w:r>
      <w:r w:rsidR="00D52EF3">
        <w:t xml:space="preserve">. </w:t>
      </w:r>
      <w:r w:rsidR="00B939BA">
        <w:t xml:space="preserve">In the FRS exercises indeed </w:t>
      </w:r>
      <w:r w:rsidR="00D52EF3">
        <w:t>are efficacious because of their ability to harness and mobilise forms of knowledge considered unconventional in governing risks.</w:t>
      </w:r>
      <w:r w:rsidR="000C6A94">
        <w:t xml:space="preserve"> </w:t>
      </w:r>
      <w:r w:rsidR="00D52EF3">
        <w:t>But the answer to the question of where the ideas for emergencies found in exercises bears a more banal answer in the case of the FRS than</w:t>
      </w:r>
      <w:r w:rsidR="00B939BA">
        <w:t xml:space="preserve"> in cases where larger contingencies are imagined</w:t>
      </w:r>
      <w:r w:rsidR="00D52EF3">
        <w:t xml:space="preserve">. </w:t>
      </w:r>
      <w:r w:rsidR="007C2BFF">
        <w:t>As explained to me by the Training Coordinator of the FRS, ideas for emergencies in exercises simply emerge from experienced fire fighters li</w:t>
      </w:r>
      <w:r w:rsidR="003D773F">
        <w:t>ving within the area that they work in</w:t>
      </w:r>
      <w:r w:rsidR="007C2BFF">
        <w:t xml:space="preserve">. Fire fighters will notice </w:t>
      </w:r>
      <w:r w:rsidR="001A46E9">
        <w:t>a specific building or site in their</w:t>
      </w:r>
      <w:r w:rsidR="007C2BFF">
        <w:t xml:space="preserve"> local </w:t>
      </w:r>
      <w:r w:rsidR="00B939BA">
        <w:t xml:space="preserve">area which bears within it the potential for an emergency fire scenario </w:t>
      </w:r>
      <w:r w:rsidR="007C2BFF">
        <w:t>which the FRS may be un</w:t>
      </w:r>
      <w:r w:rsidR="00B939BA">
        <w:t>prepared for</w:t>
      </w:r>
      <w:r w:rsidR="007C2BFF">
        <w:t xml:space="preserve">. </w:t>
      </w:r>
      <w:r w:rsidR="00B11310">
        <w:t>In turn, the process of designing an exercise around the emergency sensed will be instigated.</w:t>
      </w:r>
    </w:p>
    <w:p w:rsidR="009C3A34" w:rsidRDefault="00AB36E0" w:rsidP="00A7050B">
      <w:pPr>
        <w:spacing w:line="480" w:lineRule="auto"/>
      </w:pPr>
      <w:r>
        <w:t>This insight</w:t>
      </w:r>
      <w:r w:rsidR="007E377C">
        <w:t xml:space="preserve"> immediately suggests the crucial role</w:t>
      </w:r>
      <w:r>
        <w:t xml:space="preserve"> of experient</w:t>
      </w:r>
      <w:r w:rsidR="007E377C">
        <w:t>ial knowledge in designing</w:t>
      </w:r>
      <w:r>
        <w:t xml:space="preserve"> exercises. The ideas for exercises around specific emergencies spring forth not from sophisticated digital analytics</w:t>
      </w:r>
      <w:r w:rsidR="00525554">
        <w:t xml:space="preserve"> for instance</w:t>
      </w:r>
      <w:r>
        <w:t xml:space="preserve"> but from the ability of firefighters to</w:t>
      </w:r>
      <w:r w:rsidR="00B42CFD">
        <w:t xml:space="preserve"> draw on their experience to</w:t>
      </w:r>
      <w:r>
        <w:t xml:space="preserve"> speculat</w:t>
      </w:r>
      <w:r w:rsidR="00525554">
        <w:t>e on the risks</w:t>
      </w:r>
      <w:r>
        <w:t xml:space="preserve"> that could potentially unravel in certain built environments. The speculations of fire fighters are not grounded in a specific memory</w:t>
      </w:r>
      <w:r w:rsidR="00B42CFD">
        <w:t xml:space="preserve"> though</w:t>
      </w:r>
      <w:r>
        <w:t>. Instead, they are based on noting how potential futures exceed what is alread</w:t>
      </w:r>
      <w:r w:rsidR="00B42CFD">
        <w:t>y planned for. The noting of gaps</w:t>
      </w:r>
      <w:r w:rsidR="00984ACF">
        <w:t xml:space="preserve"> in</w:t>
      </w:r>
      <w:r w:rsidR="00B42CFD">
        <w:t xml:space="preserve"> preparedness </w:t>
      </w:r>
      <w:r w:rsidR="00AA1D60">
        <w:t>is</w:t>
      </w:r>
      <w:r w:rsidR="007E377C">
        <w:t xml:space="preserve"> discovered by comparing fire fighters’</w:t>
      </w:r>
      <w:r w:rsidR="00B42CFD">
        <w:t xml:space="preserve"> speculatio</w:t>
      </w:r>
      <w:r w:rsidR="007E377C">
        <w:t>ns about specific sites to</w:t>
      </w:r>
      <w:r w:rsidR="00B42CFD">
        <w:t xml:space="preserve"> existing knowledge of what protocols the FRS have in place. </w:t>
      </w:r>
      <w:r w:rsidR="00984ACF">
        <w:t xml:space="preserve">The potential dangers that a fire at a specific site might bear are checked and compared </w:t>
      </w:r>
      <w:r w:rsidR="00F50007">
        <w:t>to the above mentioned generic risk a</w:t>
      </w:r>
      <w:r w:rsidR="00525554">
        <w:t>ssessments and what are called Site Specific Risk Assessments (SSRIs)</w:t>
      </w:r>
      <w:r w:rsidR="007E377C">
        <w:t>. Referring to particular buildings in a locale, SSRIs are comprised of data on</w:t>
      </w:r>
      <w:r w:rsidR="009C3A34">
        <w:t xml:space="preserve"> the material, infr</w:t>
      </w:r>
      <w:r w:rsidR="001A46E9">
        <w:t xml:space="preserve">astructural contents of a building </w:t>
      </w:r>
      <w:r w:rsidR="007E377C">
        <w:t>and how many lives would be at risk should a fire occur</w:t>
      </w:r>
      <w:r w:rsidR="009C3A34">
        <w:t>.</w:t>
      </w:r>
      <w:r w:rsidR="00B11310">
        <w:t xml:space="preserve"> </w:t>
      </w:r>
      <w:r w:rsidR="007F6105">
        <w:t>Showing how exercises function to test the applicability of protocol</w:t>
      </w:r>
      <w:r w:rsidR="004B560A">
        <w:t>, f</w:t>
      </w:r>
      <w:r w:rsidR="001A46E9">
        <w:t>ire fighter speculations on po</w:t>
      </w:r>
      <w:r w:rsidR="007E377C">
        <w:t>tential emergencies will be</w:t>
      </w:r>
      <w:r w:rsidR="001A46E9">
        <w:t xml:space="preserve"> enacted as exercises if </w:t>
      </w:r>
      <w:r w:rsidR="004B560A">
        <w:t>the emergencies imagined are adjudged to be unaccounted</w:t>
      </w:r>
      <w:r w:rsidR="00F50007">
        <w:t xml:space="preserve"> for in</w:t>
      </w:r>
      <w:r w:rsidR="007F6105">
        <w:t xml:space="preserve"> </w:t>
      </w:r>
      <w:r w:rsidR="00525554">
        <w:t>pre-existing</w:t>
      </w:r>
      <w:r w:rsidR="004B560A">
        <w:t xml:space="preserve"> guidelines</w:t>
      </w:r>
      <w:r w:rsidR="00525554">
        <w:t xml:space="preserve"> such as generic risk assessments</w:t>
      </w:r>
      <w:r w:rsidR="00D5478F">
        <w:t xml:space="preserve">. </w:t>
      </w:r>
    </w:p>
    <w:p w:rsidR="00854F12" w:rsidRDefault="000810A5" w:rsidP="00A7050B">
      <w:pPr>
        <w:spacing w:line="480" w:lineRule="auto"/>
      </w:pPr>
      <w:r>
        <w:lastRenderedPageBreak/>
        <w:t>Photos amassing to a 360 degree perspective</w:t>
      </w:r>
      <w:r w:rsidR="007E377C">
        <w:t xml:space="preserve"> of the site identified are taken. </w:t>
      </w:r>
      <w:r>
        <w:t>The photos taken act as a means to translate th</w:t>
      </w:r>
      <w:r w:rsidR="007E377C">
        <w:t>e experiential knowledge</w:t>
      </w:r>
      <w:r>
        <w:t xml:space="preserve"> of fire fighters into actionable digitised data as photos are loaded up into software called Particle Illusion. Developed initially for cinema, Particle Illusion is a graphic motion technology which is used to offer an audio-visual representation of fire events. Through Particle Illusion, the photos taken at sites will be sequentially synthesised to form a panorama of the site at which the incident is imagined to have occurred. On top of this panorama, an in-built ‘fire graphics’ component in Particle Illusion presents flames and smoke, visualising the extent of fire and the gradu</w:t>
      </w:r>
      <w:r w:rsidR="007E377C">
        <w:t>al deterioration of</w:t>
      </w:r>
      <w:r>
        <w:t xml:space="preserve"> the site</w:t>
      </w:r>
      <w:r w:rsidR="00207B7A">
        <w:t xml:space="preserve"> (See figure 1)</w:t>
      </w:r>
      <w:r>
        <w:t>. Other data</w:t>
      </w:r>
      <w:r w:rsidR="001A46E9">
        <w:t xml:space="preserve"> interject to visualise the fire</w:t>
      </w:r>
      <w:r>
        <w:t xml:space="preserve">. The force of fire will be envisaged by factoring in how wind speeds determine the velocity </w:t>
      </w:r>
      <w:r w:rsidR="007E377C">
        <w:t>and spread of fire. Furthermore</w:t>
      </w:r>
      <w:r>
        <w:t>, the so called ‘weight’ of the fire is represented according to the interaction the fire would have with the material contents f</w:t>
      </w:r>
      <w:r w:rsidR="001E4B2E">
        <w:t>ound at the site. T</w:t>
      </w:r>
      <w:r>
        <w:t>he sound of fire will be inserted through an audio component. Overall an audio-visual clip of around thirty seconds will be created, looped and adjoined to clips showing the initial intensification of fire and its decrea</w:t>
      </w:r>
      <w:r w:rsidR="00D52A13">
        <w:t>se to intimate eventual control.</w:t>
      </w:r>
    </w:p>
    <w:p w:rsidR="00854F12" w:rsidRDefault="001E4B2E" w:rsidP="00A7050B">
      <w:pPr>
        <w:spacing w:line="480" w:lineRule="auto"/>
      </w:pPr>
      <w:r>
        <w:t xml:space="preserve">Through Particle Illusion, future fire emergencies are rendered both audibly and visually. </w:t>
      </w:r>
      <w:r w:rsidR="005E62E9">
        <w:t>It is important to note that this cinematic rendition of future emergencies represents a filtering of the speculations of fire fighters into digital technologies. Futures imagined are the result thus of a part</w:t>
      </w:r>
      <w:r w:rsidR="00EA1C11">
        <w:t>icular enmeshing of experiential knowledge and memory with audio-visual technologies</w:t>
      </w:r>
      <w:r w:rsidR="005E62E9">
        <w:t xml:space="preserve">. However, </w:t>
      </w:r>
      <w:r w:rsidR="00CF55DE">
        <w:t xml:space="preserve">a </w:t>
      </w:r>
      <w:r w:rsidR="00D52A13">
        <w:t>much wider set</w:t>
      </w:r>
      <w:r w:rsidR="00EA1C11">
        <w:t xml:space="preserve"> of knowledges and technologies</w:t>
      </w:r>
      <w:r w:rsidR="00CF55DE">
        <w:t xml:space="preserve"> are interwoven and c</w:t>
      </w:r>
      <w:r w:rsidR="00D74D44">
        <w:t>oordinated in</w:t>
      </w:r>
      <w:r w:rsidR="00F6749B">
        <w:t xml:space="preserve"> imagining emergencies</w:t>
      </w:r>
      <w:r w:rsidR="00CF55DE">
        <w:t>. To outline</w:t>
      </w:r>
      <w:r w:rsidR="00CF1B06">
        <w:t xml:space="preserve"> how</w:t>
      </w:r>
      <w:r w:rsidR="00CF55DE">
        <w:t xml:space="preserve"> this conglomerati</w:t>
      </w:r>
      <w:r w:rsidR="00F6749B">
        <w:t>on of aesthetic forces</w:t>
      </w:r>
      <w:r w:rsidR="00CF1B06">
        <w:t xml:space="preserve"> is enacted</w:t>
      </w:r>
      <w:r w:rsidR="00F6749B">
        <w:t>, I now turn attention</w:t>
      </w:r>
      <w:r w:rsidR="00CF55DE">
        <w:t xml:space="preserve"> to how the exercise is actually performed. </w:t>
      </w:r>
    </w:p>
    <w:p w:rsidR="00CF55DE" w:rsidRPr="00FB5F03" w:rsidRDefault="006C56A7" w:rsidP="00A7050B">
      <w:pPr>
        <w:spacing w:line="480" w:lineRule="auto"/>
        <w:rPr>
          <w:b/>
        </w:rPr>
      </w:pPr>
      <w:bookmarkStart w:id="0" w:name="_GoBack"/>
      <w:bookmarkEnd w:id="0"/>
      <w:r>
        <w:rPr>
          <w:b/>
        </w:rPr>
        <w:t>Doing the exercise, performing the future</w:t>
      </w:r>
    </w:p>
    <w:p w:rsidR="00B51E4F" w:rsidRDefault="0012188B" w:rsidP="00A7050B">
      <w:pPr>
        <w:spacing w:line="480" w:lineRule="auto"/>
      </w:pPr>
      <w:r>
        <w:t>T</w:t>
      </w:r>
      <w:r w:rsidR="007450A9">
        <w:t>he next place one would see the audio-visual renditions Particle Illusion makes o</w:t>
      </w:r>
      <w:r w:rsidR="00133CBE">
        <w:t>f future fires would be in the control r</w:t>
      </w:r>
      <w:r w:rsidR="007450A9">
        <w:t xml:space="preserve">oom of the FRS’s Incident Command Centre (ICC). The ICC is where exercises are held. </w:t>
      </w:r>
      <w:r w:rsidR="00AF6218">
        <w:t>The ICC exists across two storeys.</w:t>
      </w:r>
      <w:r w:rsidR="000409B7">
        <w:t xml:space="preserve"> </w:t>
      </w:r>
      <w:r w:rsidR="00133CBE">
        <w:t>The bottom fl</w:t>
      </w:r>
      <w:r w:rsidR="00033077">
        <w:t>oor features the syndicate room</w:t>
      </w:r>
      <w:r w:rsidR="00207B7A">
        <w:t xml:space="preserve"> (See figure 2)</w:t>
      </w:r>
      <w:r w:rsidR="00133CBE">
        <w:t xml:space="preserve">. </w:t>
      </w:r>
      <w:r w:rsidR="00133CBE">
        <w:lastRenderedPageBreak/>
        <w:t>Divided into four spaces by</w:t>
      </w:r>
      <w:r w:rsidR="00033077">
        <w:t xml:space="preserve"> partitions, the syndicate room is</w:t>
      </w:r>
      <w:r w:rsidR="00133CBE">
        <w:t xml:space="preserve"> where participants act out the exercise itself.</w:t>
      </w:r>
      <w:r w:rsidR="00DB2B95">
        <w:t xml:space="preserve"> </w:t>
      </w:r>
      <w:r w:rsidR="00AF6218">
        <w:t>On the top floor</w:t>
      </w:r>
      <w:r w:rsidR="00A54B02">
        <w:t xml:space="preserve"> are two rooms. One</w:t>
      </w:r>
      <w:r w:rsidR="00133CBE">
        <w:t xml:space="preserve"> of these rooms is</w:t>
      </w:r>
      <w:r w:rsidR="00A54B02">
        <w:t xml:space="preserve"> called the briefing r</w:t>
      </w:r>
      <w:r w:rsidR="00AF6218">
        <w:t>oom. Befo</w:t>
      </w:r>
      <w:r w:rsidR="00DB2B95">
        <w:t>re the exercise starts, participants are gathered in the briefing room and given an initial description of the fire imagined to be taking place.</w:t>
      </w:r>
      <w:r w:rsidR="00C03F99">
        <w:t xml:space="preserve"> </w:t>
      </w:r>
      <w:r w:rsidR="00133CBE">
        <w:t>Adjacent to the b</w:t>
      </w:r>
      <w:r w:rsidR="00AF6218">
        <w:t>riefing</w:t>
      </w:r>
      <w:r w:rsidR="00133CBE">
        <w:t xml:space="preserve"> r</w:t>
      </w:r>
      <w:r w:rsidR="00A54B02">
        <w:t>oom is the aforementioned control room. The control r</w:t>
      </w:r>
      <w:r w:rsidR="00AF6218">
        <w:t>oom has multiple purposes. This room acts as a kind of backstage from which</w:t>
      </w:r>
      <w:r w:rsidR="00C03F99">
        <w:t xml:space="preserve"> exercises are</w:t>
      </w:r>
      <w:r w:rsidR="00AF6218">
        <w:t xml:space="preserve"> orchestrated and coordinated. It is from here that the</w:t>
      </w:r>
      <w:r w:rsidR="00A54B02">
        <w:t xml:space="preserve"> audio-visual</w:t>
      </w:r>
      <w:r w:rsidR="00AF6218">
        <w:t xml:space="preserve"> representations of emergencies</w:t>
      </w:r>
      <w:r w:rsidR="00033077">
        <w:t xml:space="preserve"> generated in Particle Illusion</w:t>
      </w:r>
      <w:r w:rsidR="00AF6218">
        <w:t xml:space="preserve"> will be controlled</w:t>
      </w:r>
      <w:r w:rsidR="00F50007">
        <w:t xml:space="preserve"> and projected into the </w:t>
      </w:r>
      <w:r w:rsidR="00033077">
        <w:t>syndicate room</w:t>
      </w:r>
      <w:r w:rsidR="00AF6218">
        <w:t>. Fur</w:t>
      </w:r>
      <w:r w:rsidR="00A54B02">
        <w:t>thermore, the control r</w:t>
      </w:r>
      <w:r w:rsidR="00AF6218">
        <w:t>oom is used to scrutinise the strategisation, decision making and activity of those tak</w:t>
      </w:r>
      <w:r w:rsidR="00A54B02">
        <w:t>ing part in the exercise.  The control r</w:t>
      </w:r>
      <w:r w:rsidR="00AF6218">
        <w:t>oom consists of twelve screens covering two walls. Four screens are laid out across the bottom of the wall. Running upwards, another two layers of four screens are found. The bottom row of screens in which the audio-visual elements of the emergency imagined are uploaded</w:t>
      </w:r>
      <w:r w:rsidR="00033077">
        <w:t xml:space="preserve"> and projected into the syndicate room</w:t>
      </w:r>
      <w:r w:rsidR="00AF6218">
        <w:t>. The additional two layers of screens are connected to CCT</w:t>
      </w:r>
      <w:r w:rsidR="00A54B02">
        <w:t>V cameras in syndicate r</w:t>
      </w:r>
      <w:r w:rsidR="000409B7">
        <w:t>ooms</w:t>
      </w:r>
      <w:r w:rsidR="00AF6218">
        <w:t>. The first layer of screens focus on the</w:t>
      </w:r>
      <w:r w:rsidR="00A54B02">
        <w:t xml:space="preserve"> activity in each syndicate r</w:t>
      </w:r>
      <w:r w:rsidR="000409B7">
        <w:t>oom</w:t>
      </w:r>
      <w:r w:rsidR="00AF6218">
        <w:t xml:space="preserve"> whilst the second row monit</w:t>
      </w:r>
      <w:r w:rsidR="00A54B02">
        <w:t>or the movement between each syndicate r</w:t>
      </w:r>
      <w:r w:rsidR="00C03F99">
        <w:t>oom,</w:t>
      </w:r>
      <w:r w:rsidR="00AF6218">
        <w:t xml:space="preserve"> giving a seamless perspective on the movement across the whole of the bottom floor of the ICC. Further to CCTV connection</w:t>
      </w:r>
      <w:r w:rsidR="00A54B02">
        <w:t>s, the cont</w:t>
      </w:r>
      <w:r w:rsidR="00033077">
        <w:t>rol room and the syndicate room</w:t>
      </w:r>
      <w:r w:rsidR="00AF6218">
        <w:t xml:space="preserve"> are connected by microphones. Not only can the action and movement of exercise participants be monitored visually but the negotiations between participants in making decisions and enacting strategy can be audibly recorded. </w:t>
      </w:r>
    </w:p>
    <w:p w:rsidR="00AF6218" w:rsidRDefault="00C5640D" w:rsidP="00A7050B">
      <w:pPr>
        <w:spacing w:line="480" w:lineRule="auto"/>
      </w:pPr>
      <w:r>
        <w:t>Sat in the briefing room, exercises start with participants being confronted by a text based description of the incident imagined to have occurred. V</w:t>
      </w:r>
      <w:r w:rsidR="00EC66D2">
        <w:t>ariables of the</w:t>
      </w:r>
      <w:r w:rsidR="00B749F4">
        <w:t xml:space="preserve"> fire</w:t>
      </w:r>
      <w:r w:rsidR="00EC66D2">
        <w:t xml:space="preserve"> incident are outlin</w:t>
      </w:r>
      <w:r w:rsidR="00F50007">
        <w:t>ed</w:t>
      </w:r>
      <w:r w:rsidR="00EC66D2">
        <w:t xml:space="preserve"> including the location of the site, the potential material contents of the site and the possible risk to hum</w:t>
      </w:r>
      <w:r>
        <w:t xml:space="preserve">an life. Operative roles will be designated to exercise participants in this moment. The </w:t>
      </w:r>
      <w:r w:rsidR="00EC66D2">
        <w:t>Incident Commander</w:t>
      </w:r>
      <w:r>
        <w:t>,</w:t>
      </w:r>
      <w:r w:rsidR="00EC66D2">
        <w:t xml:space="preserve"> who will have overall authority in strategic decision making </w:t>
      </w:r>
      <w:r>
        <w:t>about how to attend to the</w:t>
      </w:r>
      <w:r w:rsidR="00C03F99">
        <w:t xml:space="preserve"> fire,</w:t>
      </w:r>
      <w:r>
        <w:t xml:space="preserve"> along with</w:t>
      </w:r>
      <w:r w:rsidR="00EC66D2">
        <w:t xml:space="preserve"> fire fighters, fire engine drivers, Watch Managers and Crew Manag</w:t>
      </w:r>
      <w:r>
        <w:t>ers</w:t>
      </w:r>
      <w:r w:rsidR="00C03F99">
        <w:t xml:space="preserve"> are all roles bestowed on participants</w:t>
      </w:r>
      <w:r>
        <w:t>.</w:t>
      </w:r>
      <w:r w:rsidR="00EC66D2">
        <w:t xml:space="preserve"> The delegation of these roles and duties simultaneously acts to further </w:t>
      </w:r>
      <w:r w:rsidR="00EC66D2">
        <w:lastRenderedPageBreak/>
        <w:t xml:space="preserve">structure the timeline of the </w:t>
      </w:r>
      <w:r w:rsidR="00F50007">
        <w:t>scenario in a way assimilated with</w:t>
      </w:r>
      <w:r w:rsidR="00EC66D2">
        <w:t xml:space="preserve"> real events. The Incident Commander will be the first to arrive at the scene with a driver and two fir</w:t>
      </w:r>
      <w:r>
        <w:t>e fighters. After an indefinite amount of time</w:t>
      </w:r>
      <w:r w:rsidR="00EC66D2">
        <w:t>, the Watch Manager will arrive with more fire fighters and lastly the Crew Manager with additional resources</w:t>
      </w:r>
      <w:r w:rsidR="004532BB">
        <w:t xml:space="preserve">. </w:t>
      </w:r>
    </w:p>
    <w:p w:rsidR="00942BDA" w:rsidRDefault="00B51E4F" w:rsidP="00A7050B">
      <w:pPr>
        <w:spacing w:line="480" w:lineRule="auto"/>
      </w:pPr>
      <w:r>
        <w:t>Once these roles are dis</w:t>
      </w:r>
      <w:r w:rsidR="0080278E">
        <w:t>tributed exercises simulate the transit time to an event</w:t>
      </w:r>
      <w:r>
        <w:t>. Imagining the route does not involve simu</w:t>
      </w:r>
      <w:r w:rsidR="00F50007">
        <w:t>lation of driving to an event</w:t>
      </w:r>
      <w:r w:rsidR="004350F5">
        <w:t xml:space="preserve"> but using</w:t>
      </w:r>
      <w:r>
        <w:t xml:space="preserve"> the spatial di</w:t>
      </w:r>
      <w:r w:rsidR="004350F5">
        <w:t>visions of the ICC itself</w:t>
      </w:r>
      <w:r w:rsidR="001E6624">
        <w:t>. Before arriving at the syndicate r</w:t>
      </w:r>
      <w:r w:rsidR="00E854E4">
        <w:t>ooms, participants are stopped and supplied with</w:t>
      </w:r>
      <w:r>
        <w:t xml:space="preserve"> information on the fire</w:t>
      </w:r>
      <w:r w:rsidR="00E854E4">
        <w:t xml:space="preserve"> that could be expected when travelling to an incident site</w:t>
      </w:r>
      <w:r>
        <w:t>. The first element of</w:t>
      </w:r>
      <w:r w:rsidR="00FA0882">
        <w:t xml:space="preserve"> protocol</w:t>
      </w:r>
      <w:r>
        <w:t xml:space="preserve"> assessment takes place here.</w:t>
      </w:r>
      <w:r w:rsidR="00FA0882">
        <w:t xml:space="preserve"> In driving to an event, fire fighters should be gathering information on the fire and, according to</w:t>
      </w:r>
      <w:r w:rsidR="003902F2">
        <w:t xml:space="preserve"> how</w:t>
      </w:r>
      <w:r w:rsidR="00FA0882">
        <w:t xml:space="preserve"> the risks present</w:t>
      </w:r>
      <w:r w:rsidR="003902F2">
        <w:t xml:space="preserve"> can be made sense of in relation to generic risk assessment</w:t>
      </w:r>
      <w:r w:rsidR="00033077">
        <w:t>s</w:t>
      </w:r>
      <w:r w:rsidR="003902F2">
        <w:t>, decisions should be made such as</w:t>
      </w:r>
      <w:r>
        <w:t xml:space="preserve"> what kinds of equipm</w:t>
      </w:r>
      <w:r w:rsidR="0077202E">
        <w:t>ent will be needed</w:t>
      </w:r>
      <w:r w:rsidR="004350F5">
        <w:t>.</w:t>
      </w:r>
    </w:p>
    <w:p w:rsidR="00935882" w:rsidRDefault="00DA7F7F" w:rsidP="00A7050B">
      <w:pPr>
        <w:spacing w:line="480" w:lineRule="auto"/>
      </w:pPr>
      <w:r>
        <w:t>The arrival at the scene of an incident eq</w:t>
      </w:r>
      <w:r w:rsidR="001E6624">
        <w:t>uates to arriving in the first syndicate r</w:t>
      </w:r>
      <w:r w:rsidR="00F50007">
        <w:t>oom. Entering the syndicate room, participants</w:t>
      </w:r>
      <w:r w:rsidR="003902F2">
        <w:t xml:space="preserve"> encounter</w:t>
      </w:r>
      <w:r>
        <w:t xml:space="preserve"> the fire graphics produced by Parti</w:t>
      </w:r>
      <w:r w:rsidR="00EC3BC1">
        <w:t>cle Illusion. Each of the four syndicate r</w:t>
      </w:r>
      <w:r>
        <w:t>ooms present a different angle on the site at which the fire is taking place. As the rooms are partition</w:t>
      </w:r>
      <w:r w:rsidR="003902F2">
        <w:t>ed from one another,</w:t>
      </w:r>
      <w:r w:rsidR="00F50007">
        <w:t xml:space="preserve"> vi</w:t>
      </w:r>
      <w:r w:rsidR="003902F2">
        <w:t>ews</w:t>
      </w:r>
      <w:r w:rsidR="00F50007">
        <w:t xml:space="preserve"> of the fire </w:t>
      </w:r>
      <w:r w:rsidR="003902F2">
        <w:t>are</w:t>
      </w:r>
      <w:r w:rsidR="00F50007">
        <w:t xml:space="preserve"> limited.</w:t>
      </w:r>
      <w:r w:rsidR="00530309">
        <w:t xml:space="preserve"> The partitions in the syndicate room thus become enrolled in the exercise and take on symbolic power as structures which block the fire from view.</w:t>
      </w:r>
      <w:r w:rsidR="00695CBA">
        <w:t xml:space="preserve"> Arriving at the scene first, the Incident Commander</w:t>
      </w:r>
      <w:r w:rsidR="00540ED2">
        <w:t xml:space="preserve"> confusedly</w:t>
      </w:r>
      <w:r w:rsidR="00695CBA">
        <w:t xml:space="preserve"> navigates </w:t>
      </w:r>
      <w:r w:rsidR="003902F2">
        <w:t>through these rooms, gradually attaining</w:t>
      </w:r>
      <w:r>
        <w:t xml:space="preserve"> a 360 degree perspective on the site. In moving around this imagined emergency site, participants will seek to extrapolate the cause of the fire, its preliminary location in the site, what potential hazards can be identified and if any human beings are vulnerable. </w:t>
      </w:r>
      <w:r w:rsidR="001A0A3D">
        <w:t>In turn, decisions either based on pre-existing protocol or exceeding such protocol are made which direct the FRS’ response strategically.</w:t>
      </w:r>
    </w:p>
    <w:p w:rsidR="00AD1179" w:rsidRDefault="001A0A3D" w:rsidP="00A7050B">
      <w:pPr>
        <w:spacing w:line="480" w:lineRule="auto"/>
      </w:pPr>
      <w:r>
        <w:t>From here, th</w:t>
      </w:r>
      <w:r w:rsidR="001F47F8">
        <w:t xml:space="preserve">e emergency exercised develops </w:t>
      </w:r>
      <w:r w:rsidR="00844EC9">
        <w:t xml:space="preserve">through the deployment of what are known as injects. Engendered by the control room, these injects </w:t>
      </w:r>
      <w:r w:rsidR="001F47F8">
        <w:t>amount to different stages</w:t>
      </w:r>
      <w:r w:rsidR="00844EC9">
        <w:t xml:space="preserve"> which are imagined to occur within the emergency being acted o</w:t>
      </w:r>
      <w:r w:rsidR="001F47F8">
        <w:t xml:space="preserve">ut. Over the course </w:t>
      </w:r>
      <w:r>
        <w:t>of an exercise</w:t>
      </w:r>
      <w:r w:rsidR="00540ED2">
        <w:t xml:space="preserve"> injects include</w:t>
      </w:r>
      <w:r w:rsidR="00844EC9">
        <w:t xml:space="preserve"> the </w:t>
      </w:r>
      <w:r w:rsidR="00540ED2">
        <w:lastRenderedPageBreak/>
        <w:t>audio-</w:t>
      </w:r>
      <w:r w:rsidR="00844EC9">
        <w:t>visual u</w:t>
      </w:r>
      <w:r w:rsidR="00540ED2">
        <w:t>nfolding of the emergency</w:t>
      </w:r>
      <w:r w:rsidR="00844EC9">
        <w:t>.</w:t>
      </w:r>
      <w:r w:rsidR="00540ED2">
        <w:t xml:space="preserve"> Here images are projected into the syndicate rooms.</w:t>
      </w:r>
      <w:r w:rsidR="00844EC9">
        <w:t xml:space="preserve"> The fire may be visualised to spread to different locations within the site, coming into contact with new types of materials.</w:t>
      </w:r>
      <w:r w:rsidR="00540ED2">
        <w:t xml:space="preserve"> At the same time, different sounds will be introduced to intimate the development of the fire.</w:t>
      </w:r>
      <w:r w:rsidR="00530309">
        <w:t xml:space="preserve"> Showing further the enrolment of the material site of the exercise into the emergency imagined, e</w:t>
      </w:r>
      <w:r w:rsidR="00540ED2">
        <w:t xml:space="preserve">xplosions and the collapse of structures, for instance, </w:t>
      </w:r>
      <w:r w:rsidR="00530309">
        <w:t>will be injected and bounce on and across</w:t>
      </w:r>
      <w:r w:rsidR="00540ED2">
        <w:t xml:space="preserve"> the walls and partitions of the syndicate room. </w:t>
      </w:r>
      <w:r w:rsidR="00844EC9">
        <w:t xml:space="preserve"> These injects might also take human form with the introduction of new role players in the exercise. A host of different members of the public could be introduced during the scenario. According to the Training Co-ordinator</w:t>
      </w:r>
      <w:r w:rsidR="00AA1D60">
        <w:t>, this</w:t>
      </w:r>
      <w:r w:rsidR="00AD1179">
        <w:t xml:space="preserve"> has in the past ranged from drunken football fans to angry farmers demanding answers while their livelihood is being swept away in the flames. </w:t>
      </w:r>
    </w:p>
    <w:p w:rsidR="00335165" w:rsidRDefault="00AD1179" w:rsidP="00A7050B">
      <w:pPr>
        <w:spacing w:line="480" w:lineRule="auto"/>
      </w:pPr>
      <w:r>
        <w:t>The timing of the deployment of inje</w:t>
      </w:r>
      <w:r w:rsidR="005C2DBA">
        <w:t>cts and what</w:t>
      </w:r>
      <w:r>
        <w:t xml:space="preserve"> they convey</w:t>
      </w:r>
      <w:r w:rsidR="005C2DBA">
        <w:t xml:space="preserve"> in terms of the development of the emergency are organised by</w:t>
      </w:r>
      <w:r>
        <w:t xml:space="preserve"> a reciprocal tie established between the control room and</w:t>
      </w:r>
      <w:r w:rsidR="001A0A3D">
        <w:t xml:space="preserve"> the</w:t>
      </w:r>
      <w:r>
        <w:t xml:space="preserve"> syndicate room. As a control room operator remarked ‘you sort of...use your timescale dependent on the individual (exercise participant) to get more out of the exercises</w:t>
      </w:r>
      <w:r w:rsidR="00335165">
        <w:t>’. On audio-visual injects, the operator stated that injects involve ‘ramping up or ramping fire down depending on their (exercise participants) actions’. As much as staff taking part in scenarios will make decisions in a way that is conditioned by inje</w:t>
      </w:r>
      <w:r w:rsidR="00B861F8">
        <w:t>cts from the control room, the</w:t>
      </w:r>
      <w:r w:rsidR="00335165">
        <w:t xml:space="preserve"> </w:t>
      </w:r>
      <w:r w:rsidR="00B861F8">
        <w:t>injects themselves will intervene</w:t>
      </w:r>
      <w:r w:rsidR="00335165">
        <w:t xml:space="preserve"> in a way that is conditioned by the decisions made by staff taking part in the exercise</w:t>
      </w:r>
      <w:r w:rsidR="00540ED2">
        <w:t>. As injects direct the development of the emergency, the</w:t>
      </w:r>
      <w:r w:rsidR="00335165">
        <w:t xml:space="preserve"> temporality of the exercise is co-produced by the actions of distin</w:t>
      </w:r>
      <w:r w:rsidR="00752FB5">
        <w:t>ct, albeit inter-related, actors</w:t>
      </w:r>
      <w:r w:rsidR="00335165">
        <w:t xml:space="preserve"> in the exercise site</w:t>
      </w:r>
      <w:r w:rsidR="00752FB5">
        <w:t xml:space="preserve"> and their observers above</w:t>
      </w:r>
      <w:r w:rsidR="00335165">
        <w:t xml:space="preserve">. </w:t>
      </w:r>
    </w:p>
    <w:p w:rsidR="00AD1179" w:rsidRDefault="00335165" w:rsidP="00A7050B">
      <w:pPr>
        <w:spacing w:line="480" w:lineRule="auto"/>
      </w:pPr>
      <w:r>
        <w:t xml:space="preserve">The emergency that the exercise portrays is structured around a dynamic timeline which is continually made and remade by the negotiations between the two on-going hubs of activity and decision found in the ICC: the control room and the syndicate room. Across the duration of the exercise, an </w:t>
      </w:r>
      <w:r w:rsidR="00992540">
        <w:t>incident’s development was</w:t>
      </w:r>
      <w:r>
        <w:t xml:space="preserve"> described by the ICC Technician as ‘very flexible’ and ‘very fluid’. In alignment with Adey and Anderson’s observations, the shifting temporality of the exercise </w:t>
      </w:r>
      <w:r>
        <w:lastRenderedPageBreak/>
        <w:t>replicates and invo</w:t>
      </w:r>
      <w:r w:rsidR="001A0A3D">
        <w:t>kes the contingent and inchoate</w:t>
      </w:r>
      <w:r>
        <w:t xml:space="preserve"> temporality of emergencies in their real time unfolding. The following example was provided to explain how the contingency of emergencies is inscribed into the temporal structuring of exercises. In usual response times, fire-fighters can expect ‘a second appliance (to) come in two minutes’ after the first appliance has arrived. The Training Co-ordinator goes on to note how ‘we might hold those appliances back’</w:t>
      </w:r>
      <w:r>
        <w:rPr>
          <w:rStyle w:val="FootnoteReference"/>
        </w:rPr>
        <w:footnoteReference w:id="1"/>
      </w:r>
      <w:r>
        <w:t xml:space="preserve"> </w:t>
      </w:r>
      <w:r w:rsidR="00AD1179">
        <w:t>in exercises to</w:t>
      </w:r>
      <w:r w:rsidR="00AD1179" w:rsidRPr="00D9202F">
        <w:t xml:space="preserve"> </w:t>
      </w:r>
      <w:r w:rsidR="00AD1179">
        <w:t>increase the complexity of the incident and to examine how staff responding will negotiate with such a development. It is thus not only a set of harmonious reciprocal responses that coordinate the making and remaking of the temporal structuring of the exercise. Instead, slippages in this relation are purposively enacted to create a sense of the contingency which is supposed to organise the life of real emergencies. The performative enrolment of one aesthetic force into another is not only enacted through close attachments betw</w:t>
      </w:r>
      <w:r w:rsidR="00BC2A19">
        <w:t>een one thing and another, with the material space interweaving with the</w:t>
      </w:r>
      <w:r w:rsidR="00AD1179">
        <w:t xml:space="preserve"> audio-visual rendition of fire, for instance. Rather, gaps and junctures in </w:t>
      </w:r>
      <w:r w:rsidR="00BC2A19">
        <w:t>these lines of relation are exploited</w:t>
      </w:r>
      <w:r w:rsidR="00AD1179">
        <w:t xml:space="preserve"> to invoke the contingency of the emergency.</w:t>
      </w:r>
      <w:r w:rsidR="001A0A3D">
        <w:t xml:space="preserve"> Creating this uncertainty around how the emergency will develop, exercise participants can be assessed in terms of how they use dynamic and analytical risk assessments. In other words, how they operate in excess of pre-scribed protocol. The</w:t>
      </w:r>
      <w:r w:rsidR="00530309">
        <w:t>se actions, which exceed protocol, can in turn be recorded and formulated into new protocols.</w:t>
      </w:r>
    </w:p>
    <w:p w:rsidR="00DC3B84" w:rsidRDefault="00AD1179" w:rsidP="00A7050B">
      <w:pPr>
        <w:spacing w:line="480" w:lineRule="auto"/>
      </w:pPr>
      <w:r>
        <w:t xml:space="preserve">In seeing the performance of the exercise as the matter of enrolment between different aesthetic forces, the ‘sense’ of contingency invoked does not just appear in the flat, if rupturous, temporal structuring of the exercise. Instead, it is emergent at the affective and emotional register of the exercise. </w:t>
      </w:r>
      <w:r w:rsidR="002335DD">
        <w:t>As Adey and Anderson were seen to claim, the</w:t>
      </w:r>
      <w:r>
        <w:t xml:space="preserve"> instigation and sharing of a particular moment of laughter,</w:t>
      </w:r>
      <w:r w:rsidR="002335DD">
        <w:t xml:space="preserve"> of</w:t>
      </w:r>
      <w:r w:rsidR="0042568F">
        <w:t xml:space="preserve"> hope or panic between</w:t>
      </w:r>
      <w:r>
        <w:t xml:space="preserve"> exercise participants helps to evoke the </w:t>
      </w:r>
      <w:r w:rsidR="00B861F8">
        <w:t>emergency in its simulated form</w:t>
      </w:r>
      <w:r>
        <w:t>. In particular, exercises in the FRS pro</w:t>
      </w:r>
      <w:r w:rsidR="00B861F8">
        <w:t>ceed through provoking a confusion</w:t>
      </w:r>
      <w:r>
        <w:t xml:space="preserve"> in their participants</w:t>
      </w:r>
      <w:r w:rsidR="00B861F8">
        <w:t xml:space="preserve"> which derives from the event portrayed breaking with</w:t>
      </w:r>
      <w:r w:rsidR="00530309">
        <w:t xml:space="preserve"> what might be expected i</w:t>
      </w:r>
      <w:r w:rsidR="00B861F8">
        <w:t xml:space="preserve">n </w:t>
      </w:r>
      <w:r w:rsidR="00530309">
        <w:t xml:space="preserve">a </w:t>
      </w:r>
      <w:r w:rsidR="00B861F8">
        <w:t>similar events’ representation in generic risk assessments</w:t>
      </w:r>
      <w:r>
        <w:t>.</w:t>
      </w:r>
      <w:r w:rsidR="00B861F8">
        <w:t xml:space="preserve"> Many of the aspects of the exercise </w:t>
      </w:r>
      <w:r w:rsidR="00B861F8">
        <w:lastRenderedPageBreak/>
        <w:t xml:space="preserve">described already attest to this fact. For instance, partitions are enrolled into the imagining of the emergency </w:t>
      </w:r>
      <w:r w:rsidR="00DC3B84">
        <w:t xml:space="preserve">specifically to block the Incident Commander’s vision and knowledge </w:t>
      </w:r>
      <w:r w:rsidR="00530309">
        <w:t>of the fire taking place. Similarly,</w:t>
      </w:r>
      <w:r w:rsidR="00DC3B84">
        <w:t xml:space="preserve"> injects indicating the arrival of additional personnel or resources will be delayed. </w:t>
      </w:r>
      <w:r w:rsidR="00530309">
        <w:t>T</w:t>
      </w:r>
      <w:r w:rsidR="0085273D">
        <w:t>he intermixture of different forces in the exercise work to provoke emotional reactions from participants which in turn circulate and become part of the exercise’s simulation of an emergency.</w:t>
      </w:r>
    </w:p>
    <w:p w:rsidR="00B50CFF" w:rsidRPr="003E2381" w:rsidRDefault="00716880" w:rsidP="001F47F8">
      <w:pPr>
        <w:spacing w:line="480" w:lineRule="auto"/>
        <w:rPr>
          <w:b/>
        </w:rPr>
      </w:pPr>
      <w:r>
        <w:rPr>
          <w:b/>
        </w:rPr>
        <w:t xml:space="preserve">Conclusion: </w:t>
      </w:r>
      <w:r w:rsidR="003E2381" w:rsidRPr="003E2381">
        <w:rPr>
          <w:b/>
        </w:rPr>
        <w:t>Exercises, Post-human Performativity and Protocol</w:t>
      </w:r>
    </w:p>
    <w:p w:rsidR="001F47F8" w:rsidRDefault="00F35CEF" w:rsidP="00A7050B">
      <w:pPr>
        <w:spacing w:line="480" w:lineRule="auto"/>
      </w:pPr>
      <w:r>
        <w:t>E</w:t>
      </w:r>
      <w:r w:rsidR="007826F2">
        <w:t>xercises are an ensemble of heterogeneous human and non-human agencies, what I ha</w:t>
      </w:r>
      <w:r w:rsidR="00716880">
        <w:t>ve called aesthetic forces. Following Barad,</w:t>
      </w:r>
      <w:r>
        <w:t xml:space="preserve"> this complex set of forces</w:t>
      </w:r>
      <w:r w:rsidR="007826F2">
        <w:t xml:space="preserve"> enact relations with o</w:t>
      </w:r>
      <w:r>
        <w:t>ne another and, in doing so, coordinate</w:t>
      </w:r>
      <w:r w:rsidR="007826F2">
        <w:t xml:space="preserve"> to make present future emergencies. The digitally rendered sights and sounds of an emergency, along with its textual, discursive narration, are invested </w:t>
      </w:r>
      <w:r w:rsidR="002B754E">
        <w:t>into and interweave with the physical space of the exercise site. In doing so, the material confines and features of</w:t>
      </w:r>
      <w:r w:rsidR="00DE6D4F">
        <w:t xml:space="preserve"> the</w:t>
      </w:r>
      <w:r w:rsidR="002B754E">
        <w:t xml:space="preserve"> site are too enrolled and enwrapped into the s</w:t>
      </w:r>
      <w:r w:rsidR="00C1442D">
        <w:t>taging of the emergency. T</w:t>
      </w:r>
      <w:r w:rsidR="002B754E">
        <w:t>he space between rooms in the ICC is</w:t>
      </w:r>
      <w:r w:rsidR="00C1442D">
        <w:t xml:space="preserve"> thus</w:t>
      </w:r>
      <w:r w:rsidR="002B754E">
        <w:t xml:space="preserve"> crucial to invoking the transit time to an emergency. Whilst partitions </w:t>
      </w:r>
      <w:r>
        <w:t>which divide the syndicate room</w:t>
      </w:r>
      <w:r w:rsidR="002B754E">
        <w:t xml:space="preserve"> stand in for different angles from which the fire might be viewed and experienced. Having inscribed upon them different audio-visual and textual effects of the emergency, the physical and objective space of the exercise site takes on properties beyond its mere materiality. They are invested instead</w:t>
      </w:r>
      <w:r w:rsidR="00C1442D">
        <w:t xml:space="preserve"> with a symbolic power as props amidst which the emergency unfolds. </w:t>
      </w:r>
      <w:r w:rsidR="002B754E">
        <w:t xml:space="preserve"> </w:t>
      </w:r>
    </w:p>
    <w:p w:rsidR="002B754E" w:rsidRDefault="002B754E" w:rsidP="00A7050B">
      <w:pPr>
        <w:spacing w:line="480" w:lineRule="auto"/>
      </w:pPr>
      <w:r>
        <w:t>But the exercise described above affirms also</w:t>
      </w:r>
      <w:r w:rsidR="00C1442D">
        <w:t xml:space="preserve"> that human action is central to</w:t>
      </w:r>
      <w:r>
        <w:t xml:space="preserve"> the performance and harnessing of these rela</w:t>
      </w:r>
      <w:r w:rsidR="00C1442D">
        <w:t>tions along with</w:t>
      </w:r>
      <w:r>
        <w:t xml:space="preserve"> their</w:t>
      </w:r>
      <w:r w:rsidR="00C1442D">
        <w:t xml:space="preserve"> mutual co-rendering</w:t>
      </w:r>
      <w:r>
        <w:t xml:space="preserve"> of future emergencies. Human mobility might reinforce aesthetic forces already congealed with one another. For spaces in-between rooms to evoke the transit time to an emergency requires the stoppage of human movement from one room to the next. Similarly,</w:t>
      </w:r>
      <w:r w:rsidR="00C1442D">
        <w:t xml:space="preserve"> only human sight can bring to the fore difficulties in attaining a full view of the fire due to the use of partitions in the exercise site</w:t>
      </w:r>
      <w:r>
        <w:t xml:space="preserve">. </w:t>
      </w:r>
      <w:r w:rsidR="00530309">
        <w:t>H</w:t>
      </w:r>
      <w:r w:rsidR="005A29FD">
        <w:t>uman agency not only reinforces relations</w:t>
      </w:r>
      <w:r w:rsidR="00C1442D">
        <w:t xml:space="preserve"> between aesthetic forces which are </w:t>
      </w:r>
      <w:r w:rsidR="005A29FD">
        <w:t>performed</w:t>
      </w:r>
      <w:r w:rsidR="00C1442D">
        <w:t xml:space="preserve"> and established before the immersion of human actors</w:t>
      </w:r>
      <w:r w:rsidR="005A29FD">
        <w:t xml:space="preserve">. </w:t>
      </w:r>
      <w:r w:rsidR="00F64682">
        <w:t xml:space="preserve">Although partitions work to fragment the view of the fire, human actors </w:t>
      </w:r>
      <w:r w:rsidR="00F64682">
        <w:lastRenderedPageBreak/>
        <w:t>introduce</w:t>
      </w:r>
      <w:r w:rsidR="00C1442D">
        <w:t xml:space="preserve"> here</w:t>
      </w:r>
      <w:r w:rsidR="00F64682">
        <w:t xml:space="preserve"> sensual outputs such as confusion which circulates across the exercise site. Furthermore the exercise is underpinned by a temporal structure which emanates from the perpetual interactions betwee</w:t>
      </w:r>
      <w:r w:rsidR="00C1442D">
        <w:t>n exercise participants and those coordinating the exercise. The enrolment of senses and temporal structuring into the wider set of non-human aesthetic forces at play mobilise within the exercise a sense of con</w:t>
      </w:r>
      <w:r w:rsidR="00F35CEF">
        <w:t>t</w:t>
      </w:r>
      <w:r w:rsidR="00400225">
        <w:t>ingency which is deemed integral to common understandings of</w:t>
      </w:r>
      <w:r w:rsidR="00C1442D">
        <w:t xml:space="preserve"> emergencies. </w:t>
      </w:r>
      <w:r w:rsidR="00991602">
        <w:t>Ultimately,</w:t>
      </w:r>
      <w:r w:rsidR="00C1442D" w:rsidRPr="00C1442D">
        <w:t xml:space="preserve"> </w:t>
      </w:r>
      <w:r w:rsidR="00991602">
        <w:t>h</w:t>
      </w:r>
      <w:r w:rsidR="00C1442D">
        <w:t>uman performance actively adds new layer</w:t>
      </w:r>
      <w:r w:rsidR="00F35CEF">
        <w:t>s of complexity to the emergency</w:t>
      </w:r>
      <w:r w:rsidR="00C1442D">
        <w:t xml:space="preserve"> by introducing new forces into the unfolding of the exercise.</w:t>
      </w:r>
    </w:p>
    <w:p w:rsidR="00B33ADD" w:rsidRDefault="00E55D27" w:rsidP="00A7050B">
      <w:pPr>
        <w:spacing w:line="480" w:lineRule="auto"/>
      </w:pPr>
      <w:r>
        <w:t>E</w:t>
      </w:r>
      <w:r w:rsidR="00F64682">
        <w:t>xercises also work to assess and develop new forms of prot</w:t>
      </w:r>
      <w:r w:rsidR="009A0AAE">
        <w:t xml:space="preserve">ocol. </w:t>
      </w:r>
      <w:r w:rsidR="00F64682">
        <w:t>As Galloway and Thacker describe protocol is contingent.</w:t>
      </w:r>
      <w:r w:rsidR="00AD235E">
        <w:t xml:space="preserve"> It is subject to flux and renegotiation.</w:t>
      </w:r>
      <w:r w:rsidR="00F64682">
        <w:t xml:space="preserve"> Exercises </w:t>
      </w:r>
      <w:r w:rsidR="00AD235E">
        <w:t>might be said t</w:t>
      </w:r>
      <w:r w:rsidR="009A0AAE">
        <w:t>o supply protocol with its conting</w:t>
      </w:r>
      <w:r w:rsidR="00B33ADD">
        <w:t>ent nature by</w:t>
      </w:r>
      <w:r>
        <w:t xml:space="preserve"> both testing protocol and pushing</w:t>
      </w:r>
      <w:r w:rsidR="00B33ADD">
        <w:t xml:space="preserve"> the FRS to establish new protocol which</w:t>
      </w:r>
      <w:r w:rsidR="009A0AAE">
        <w:t xml:space="preserve"> adapt</w:t>
      </w:r>
      <w:r w:rsidR="00B33ADD">
        <w:t>s to</w:t>
      </w:r>
      <w:r w:rsidR="00AD235E">
        <w:t xml:space="preserve"> n</w:t>
      </w:r>
      <w:r w:rsidR="00B33ADD">
        <w:t>ew forms of fire emergency incubating</w:t>
      </w:r>
      <w:r w:rsidR="00AD235E">
        <w:t xml:space="preserve"> in the minds of emergency responders. </w:t>
      </w:r>
      <w:r w:rsidR="009A0AAE">
        <w:t>Affording protocol with its contingency is witnessed firstly at the design stage, where future emergencies are only mobilised as exercises if they bear the potential to</w:t>
      </w:r>
      <w:r>
        <w:t xml:space="preserve"> stress-test,</w:t>
      </w:r>
      <w:r w:rsidR="009A0AAE">
        <w:t xml:space="preserve"> exceed and surpass protocols which have already been established. That is, if the emergencies imagined show a gap in the</w:t>
      </w:r>
      <w:r w:rsidR="00B33ADD">
        <w:t xml:space="preserve"> preparedness of the FRS. But protocol is also assessed and developed through the performance of the exercise itself. Confronted by an atmosphere characterised by its sense of contingency, emotions which circulate and conjoin with the audio, visual and material output of an emergency, the performance of fire-fighters in dealing with this situation is recorded and forms the foundation for the development of new protocol. </w:t>
      </w:r>
    </w:p>
    <w:p w:rsidR="00F64682" w:rsidRDefault="00B33ADD" w:rsidP="00A7050B">
      <w:pPr>
        <w:spacing w:line="480" w:lineRule="auto"/>
      </w:pPr>
      <w:r>
        <w:t xml:space="preserve">As protocol is so intimately tied with the exercise both in terms of assessing its applicability and its capacity to be developed anew, </w:t>
      </w:r>
      <w:r w:rsidR="0023645F">
        <w:t xml:space="preserve">Galloway and Thacker can also be followed in claiming that protocol </w:t>
      </w:r>
      <w:r w:rsidR="00DB0C6A">
        <w:t xml:space="preserve">is a product of, and </w:t>
      </w:r>
      <w:r w:rsidR="0023645F">
        <w:t>has a role in mediating</w:t>
      </w:r>
      <w:r w:rsidR="00DB0C6A">
        <w:t>,</w:t>
      </w:r>
      <w:r w:rsidR="0023645F">
        <w:t xml:space="preserve"> the relations set up between materially heterogeneous forces</w:t>
      </w:r>
      <w:r w:rsidR="00E55D27">
        <w:t xml:space="preserve"> through which exercise</w:t>
      </w:r>
      <w:r w:rsidR="00D74B81">
        <w:t>s</w:t>
      </w:r>
      <w:r w:rsidR="00E55D27">
        <w:t xml:space="preserve"> imagine future emergencies</w:t>
      </w:r>
      <w:r w:rsidR="0023645F">
        <w:t>. To reiterate, the authors showed how, in relation to network</w:t>
      </w:r>
      <w:r w:rsidR="00450150">
        <w:t>ed systems, protocol facilitates and governs</w:t>
      </w:r>
      <w:r w:rsidR="0023645F">
        <w:t xml:space="preserve"> relations between disparately scattered nodes. Protocol has this consequence too in exercises because the aesthetic f</w:t>
      </w:r>
      <w:r w:rsidR="00346F7E">
        <w:t xml:space="preserve">orces </w:t>
      </w:r>
      <w:r w:rsidR="00346F7E">
        <w:lastRenderedPageBreak/>
        <w:t>assembled imagine emergencie</w:t>
      </w:r>
      <w:r w:rsidR="0023645F">
        <w:t>s which are oriented toward the assessmen</w:t>
      </w:r>
      <w:r w:rsidR="00450150">
        <w:t>t and development of protocol. As the object which is sought for strategic appraisal in exercises, p</w:t>
      </w:r>
      <w:r w:rsidR="0023645F">
        <w:t xml:space="preserve">rotocol </w:t>
      </w:r>
      <w:r w:rsidR="00DB0C6A">
        <w:t>is central to the mutual harnessing of different forces which make future emergencies present in exercises. However, Galloway and Thacker also stress that protocol consists of information, information which combines material substrates with immaterial language and ru</w:t>
      </w:r>
      <w:r w:rsidR="00346F7E">
        <w:t>les. Protocol is thus built-up of and produced by</w:t>
      </w:r>
      <w:r w:rsidR="00DB0C6A">
        <w:t xml:space="preserve"> the enmeshing of the thoroughly heterogeneous maelstrom of forces which it brings together in the first place. The same dynamic whereby protocol not only plays a role in establishing intersections between human and non-human agents but is a result of their interplay can be observed in exercises in the FRS. </w:t>
      </w:r>
      <w:r w:rsidR="0077756B">
        <w:t xml:space="preserve">Assembled initially to make protocol an object of strategic appraisal, the aesthetic forces which underpin exercises work to present emergencies which cannot be attended to through pre-scribed protocol. These forces not only gather around protocol. Rather they present situations in which fire fighters will necessarily improvise and act in excess of protocol. In turn, new protocol will be established. Protocol are thus the product of the interweaving of different aesthetic forces which make present future emergencies in exercises. </w:t>
      </w:r>
    </w:p>
    <w:p w:rsidR="00971912" w:rsidRDefault="003F1EFC" w:rsidP="00A7050B">
      <w:pPr>
        <w:spacing w:line="480" w:lineRule="auto"/>
      </w:pPr>
      <w:r>
        <w:t>With the turn towards anticipatory, risk based modes of governance not just in relation to the governance of fire but also in emergency response in general (REFS: Anderson and Adey, Lakoff), the array of techniques, knowledges and technologies used by such organisations has been extende</w:t>
      </w:r>
      <w:r w:rsidR="00A75C83">
        <w:t>d. No longer for example is</w:t>
      </w:r>
      <w:r>
        <w:t xml:space="preserve"> fire known merely through probability statistics or attended to through </w:t>
      </w:r>
      <w:r w:rsidR="00A75C83">
        <w:t xml:space="preserve">the </w:t>
      </w:r>
      <w:r>
        <w:t>mobilisation</w:t>
      </w:r>
      <w:r w:rsidR="00A75C83">
        <w:t xml:space="preserve"> of resources</w:t>
      </w:r>
      <w:r>
        <w:t xml:space="preserve"> in the moment of their chance occurrence.  Exercises and protocol are prime examples of the new phenomena which </w:t>
      </w:r>
      <w:r w:rsidR="00A75C83">
        <w:t>have</w:t>
      </w:r>
      <w:r>
        <w:t xml:space="preserve"> rise</w:t>
      </w:r>
      <w:r w:rsidR="001C7DDA">
        <w:t>n</w:t>
      </w:r>
      <w:r>
        <w:t xml:space="preserve"> to prominence in an age of securing the future. Understood as performative devices in the post-human sense that Karen Barad outlines, this article makes sense of, and provides critical tools fo</w:t>
      </w:r>
      <w:r w:rsidR="001C7DDA">
        <w:t>r understanding, the life of</w:t>
      </w:r>
      <w:r>
        <w:t xml:space="preserve"> exercise</w:t>
      </w:r>
      <w:r w:rsidR="001C7DDA">
        <w:t>s and how they enact</w:t>
      </w:r>
      <w:r>
        <w:t xml:space="preserve"> protocol. Both protocol and exercises, as has been argued, are relationally based; their bringing into existence and deployment relies on the play of intersections between diverse forces. </w:t>
      </w:r>
      <w:r w:rsidR="001C7DDA">
        <w:t>As the article has stressed, it is important to understand how, and with what immediate consequences, relations between these forces are configured.</w:t>
      </w:r>
      <w:r w:rsidR="00A75C83">
        <w:t xml:space="preserve"> This might mean exploring, for instance, how audio-</w:t>
      </w:r>
      <w:r w:rsidR="00A75C83">
        <w:lastRenderedPageBreak/>
        <w:t>visual renditions of the emergency generated through computer software interact with the physical space of the exercise site.</w:t>
      </w:r>
      <w:r w:rsidR="001C7DDA">
        <w:t xml:space="preserve"> But protocol allows for an insight too into the kinds of intervention which emerge where security apparatuses orient themselves toward the future. Protocol, as Gallow</w:t>
      </w:r>
      <w:r w:rsidR="00A75C83">
        <w:t>ay and Thacker would have it, are</w:t>
      </w:r>
      <w:r w:rsidR="001C7DDA">
        <w:t xml:space="preserve"> premised on contingency; its capacity to be renegotiated according to the futures acted out in sites su</w:t>
      </w:r>
      <w:r w:rsidR="00A75C83">
        <w:t>ch as the exercise are one of protocol’s</w:t>
      </w:r>
      <w:r w:rsidR="001C7DDA">
        <w:t xml:space="preserve"> </w:t>
      </w:r>
      <w:r w:rsidR="009E4357">
        <w:t>main attributes</w:t>
      </w:r>
      <w:r w:rsidR="001C7DDA">
        <w:t>.</w:t>
      </w:r>
      <w:r w:rsidR="009E4357">
        <w:t xml:space="preserve"> As one of its central components, protocol helps to produce an FRS that is itself iterative and flexible; acclimatising to contingencies of the future it seeks to know and perform in exercises. </w:t>
      </w:r>
    </w:p>
    <w:p w:rsidR="009B30BE" w:rsidRPr="002F09EB" w:rsidRDefault="009B30BE" w:rsidP="00A7050B">
      <w:pPr>
        <w:spacing w:line="480" w:lineRule="auto"/>
        <w:rPr>
          <w:b/>
        </w:rPr>
      </w:pPr>
      <w:r>
        <w:rPr>
          <w:b/>
        </w:rPr>
        <w:t>References</w:t>
      </w:r>
    </w:p>
    <w:sectPr w:rsidR="009B30BE" w:rsidRPr="002F09EB" w:rsidSect="00281E5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4F1" w:rsidRDefault="002F34F1" w:rsidP="002D4775">
      <w:pPr>
        <w:spacing w:after="0" w:line="240" w:lineRule="auto"/>
      </w:pPr>
      <w:r>
        <w:separator/>
      </w:r>
    </w:p>
  </w:endnote>
  <w:endnote w:type="continuationSeparator" w:id="0">
    <w:p w:rsidR="002F34F1" w:rsidRDefault="002F34F1" w:rsidP="002D4775">
      <w:pPr>
        <w:spacing w:after="0" w:line="240" w:lineRule="auto"/>
      </w:pPr>
      <w:r>
        <w:continuationSeparator/>
      </w:r>
    </w:p>
  </w:endnote>
  <w:endnote w:id="1">
    <w:p w:rsidR="00D02983" w:rsidRPr="00EC3BC1" w:rsidRDefault="00D02983" w:rsidP="00EC3BC1">
      <w:pPr>
        <w:spacing w:line="240" w:lineRule="auto"/>
        <w:rPr>
          <w:i/>
          <w:sz w:val="20"/>
          <w:szCs w:val="20"/>
        </w:rPr>
      </w:pPr>
      <w:r w:rsidRPr="00EC3BC1">
        <w:rPr>
          <w:rStyle w:val="EndnoteReference"/>
          <w:sz w:val="20"/>
          <w:szCs w:val="20"/>
        </w:rPr>
        <w:endnoteRef/>
      </w:r>
      <w:r w:rsidRPr="00EC3BC1">
        <w:rPr>
          <w:sz w:val="20"/>
          <w:szCs w:val="20"/>
        </w:rPr>
        <w:t xml:space="preserve"> UK Act of Parliament (2004) </w:t>
      </w:r>
      <w:r w:rsidRPr="00EC3BC1">
        <w:rPr>
          <w:i/>
          <w:sz w:val="20"/>
          <w:szCs w:val="20"/>
        </w:rPr>
        <w:t>Fire and Rescue Services Act</w:t>
      </w:r>
    </w:p>
  </w:endnote>
  <w:endnote w:id="2">
    <w:p w:rsidR="00D02983" w:rsidRPr="00EC3BC1" w:rsidRDefault="00D02983" w:rsidP="00EC3BC1">
      <w:pPr>
        <w:pStyle w:val="EndnoteText"/>
      </w:pPr>
      <w:r w:rsidRPr="00EC3BC1">
        <w:rPr>
          <w:rStyle w:val="EndnoteReference"/>
        </w:rPr>
        <w:endnoteRef/>
      </w:r>
      <w:r w:rsidRPr="00EC3BC1">
        <w:t xml:space="preserve"> UK Act of Parliament (2004) Civil Contingencies Act</w:t>
      </w:r>
    </w:p>
  </w:endnote>
  <w:endnote w:id="3">
    <w:p w:rsidR="00D02983" w:rsidRPr="00EC3BC1" w:rsidRDefault="00D02983" w:rsidP="00914A5A">
      <w:pPr>
        <w:tabs>
          <w:tab w:val="left" w:pos="1635"/>
        </w:tabs>
        <w:spacing w:line="240" w:lineRule="auto"/>
        <w:rPr>
          <w:sz w:val="20"/>
          <w:szCs w:val="20"/>
          <w:u w:val="single"/>
        </w:rPr>
      </w:pPr>
      <w:r>
        <w:rPr>
          <w:rStyle w:val="EndnoteReference"/>
        </w:rPr>
        <w:endnoteRef/>
      </w:r>
      <w:r>
        <w:t xml:space="preserve"> </w:t>
      </w:r>
      <w:r w:rsidRPr="00EC3BC1">
        <w:rPr>
          <w:sz w:val="20"/>
          <w:szCs w:val="20"/>
        </w:rPr>
        <w:t xml:space="preserve">Anderson B (2010) Preemption, Precaution, Preparedness: Anticipatory Action and Future Geographies, </w:t>
      </w:r>
      <w:r w:rsidRPr="00EC3BC1">
        <w:rPr>
          <w:i/>
          <w:sz w:val="20"/>
          <w:szCs w:val="20"/>
        </w:rPr>
        <w:t>Progress in Human Geography</w:t>
      </w:r>
      <w:r w:rsidRPr="00EC3BC1">
        <w:rPr>
          <w:sz w:val="20"/>
          <w:szCs w:val="20"/>
        </w:rPr>
        <w:t>, Volume 34,  pp777-798</w:t>
      </w:r>
    </w:p>
    <w:p w:rsidR="00D02983" w:rsidRDefault="00D02983">
      <w:pPr>
        <w:pStyle w:val="EndnoteText"/>
      </w:pPr>
    </w:p>
  </w:endnote>
  <w:endnote w:id="4">
    <w:p w:rsidR="00D02983" w:rsidRDefault="00D02983" w:rsidP="00914A5A">
      <w:r>
        <w:rPr>
          <w:rStyle w:val="EndnoteReference"/>
        </w:rPr>
        <w:endnoteRef/>
      </w:r>
      <w:r>
        <w:t xml:space="preserve"> de Goede M (2012)</w:t>
      </w:r>
      <w:r w:rsidRPr="00914A5A">
        <w:rPr>
          <w:u w:val="single"/>
        </w:rPr>
        <w:t xml:space="preserve"> </w:t>
      </w:r>
      <w:r w:rsidRPr="00914A5A">
        <w:rPr>
          <w:i/>
        </w:rPr>
        <w:t>Speculative Security: The Politics of Pursuing Terrorist Monies</w:t>
      </w:r>
      <w:r>
        <w:t>, University of Minnesota Press, London</w:t>
      </w:r>
    </w:p>
    <w:p w:rsidR="00D02983" w:rsidRDefault="00D02983">
      <w:pPr>
        <w:pStyle w:val="EndnoteText"/>
      </w:pPr>
    </w:p>
  </w:endnote>
  <w:endnote w:id="5">
    <w:p w:rsidR="00D02983" w:rsidRDefault="00D02983" w:rsidP="00914A5A">
      <w:r>
        <w:rPr>
          <w:rStyle w:val="EndnoteReference"/>
        </w:rPr>
        <w:endnoteRef/>
      </w:r>
      <w:r>
        <w:t xml:space="preserve"> O’Malley P (2004) </w:t>
      </w:r>
      <w:r w:rsidRPr="00914A5A">
        <w:rPr>
          <w:i/>
        </w:rPr>
        <w:t>Risk, Uncertainty and Government</w:t>
      </w:r>
      <w:r>
        <w:t>, Glasshouse, London</w:t>
      </w:r>
    </w:p>
    <w:p w:rsidR="00D02983" w:rsidRDefault="00D02983">
      <w:pPr>
        <w:pStyle w:val="EndnoteText"/>
      </w:pPr>
    </w:p>
  </w:endnote>
  <w:endnote w:id="6">
    <w:p w:rsidR="00D02983" w:rsidRPr="00EC3BC1" w:rsidRDefault="00D02983" w:rsidP="001D498F">
      <w:pPr>
        <w:spacing w:line="240" w:lineRule="auto"/>
        <w:rPr>
          <w:i/>
          <w:sz w:val="20"/>
          <w:szCs w:val="20"/>
        </w:rPr>
      </w:pPr>
      <w:r w:rsidRPr="00EC3BC1">
        <w:rPr>
          <w:rStyle w:val="EndnoteReference"/>
          <w:sz w:val="20"/>
          <w:szCs w:val="20"/>
        </w:rPr>
        <w:endnoteRef/>
      </w:r>
      <w:r w:rsidRPr="00EC3BC1">
        <w:rPr>
          <w:sz w:val="20"/>
          <w:szCs w:val="20"/>
        </w:rPr>
        <w:t xml:space="preserve"> Communities and Local Government (2008) </w:t>
      </w:r>
      <w:r w:rsidRPr="00EC3BC1">
        <w:rPr>
          <w:i/>
          <w:sz w:val="20"/>
          <w:szCs w:val="20"/>
        </w:rPr>
        <w:t>Fire Service Manual: Incident Command, Volume 2, 3</w:t>
      </w:r>
      <w:r w:rsidRPr="00EC3BC1">
        <w:rPr>
          <w:i/>
          <w:sz w:val="20"/>
          <w:szCs w:val="20"/>
          <w:vertAlign w:val="superscript"/>
        </w:rPr>
        <w:t>rd</w:t>
      </w:r>
      <w:r w:rsidRPr="00EC3BC1">
        <w:rPr>
          <w:i/>
          <w:sz w:val="20"/>
          <w:szCs w:val="20"/>
        </w:rPr>
        <w:t xml:space="preserve"> Edition</w:t>
      </w:r>
    </w:p>
  </w:endnote>
  <w:endnote w:id="7">
    <w:p w:rsidR="00D02983" w:rsidRDefault="00D02983" w:rsidP="001D498F">
      <w:pPr>
        <w:tabs>
          <w:tab w:val="left" w:pos="1635"/>
        </w:tabs>
        <w:spacing w:line="240" w:lineRule="auto"/>
        <w:rPr>
          <w:sz w:val="20"/>
          <w:szCs w:val="20"/>
          <w:u w:val="single"/>
        </w:rPr>
      </w:pPr>
      <w:r>
        <w:rPr>
          <w:rStyle w:val="EndnoteReference"/>
          <w:sz w:val="20"/>
          <w:szCs w:val="20"/>
        </w:rPr>
        <w:endnoteRef/>
      </w:r>
      <w:r>
        <w:rPr>
          <w:sz w:val="20"/>
          <w:szCs w:val="20"/>
        </w:rPr>
        <w:t xml:space="preserve"> For a detailed account of how preparedness sits in relation to other anticipatory strategy see Anderson B (2010) Preemption, Precaution, Preparedness: Anticipatory Action and Future Geographies, </w:t>
      </w:r>
      <w:r>
        <w:rPr>
          <w:i/>
          <w:sz w:val="20"/>
          <w:szCs w:val="20"/>
        </w:rPr>
        <w:t>Progress in Human Geography</w:t>
      </w:r>
      <w:r>
        <w:rPr>
          <w:sz w:val="20"/>
          <w:szCs w:val="20"/>
        </w:rPr>
        <w:t>, Volume 34,  pp777-798</w:t>
      </w:r>
    </w:p>
    <w:p w:rsidR="00D02983" w:rsidRDefault="00D02983" w:rsidP="001D498F">
      <w:pPr>
        <w:pStyle w:val="EndnoteText"/>
      </w:pPr>
    </w:p>
  </w:endnote>
  <w:endnote w:id="8">
    <w:p w:rsidR="00D02983" w:rsidRDefault="00D02983">
      <w:pPr>
        <w:pStyle w:val="EndnoteText"/>
      </w:pPr>
      <w:r>
        <w:rPr>
          <w:rStyle w:val="EndnoteReference"/>
        </w:rPr>
        <w:endnoteRef/>
      </w:r>
      <w:r>
        <w:t xml:space="preserve"> Amoore L (2013)</w:t>
      </w:r>
      <w:r w:rsidRPr="00D02983">
        <w:rPr>
          <w:i/>
        </w:rPr>
        <w:t>The Politics of Possibility: Risk and Security Beyond Probability</w:t>
      </w:r>
      <w:r>
        <w:t>, Duke University Press, Durham</w:t>
      </w:r>
    </w:p>
  </w:endnote>
  <w:endnote w:id="9">
    <w:p w:rsidR="00D02983" w:rsidRPr="00D02983" w:rsidRDefault="00D02983" w:rsidP="00D02983">
      <w:pPr>
        <w:rPr>
          <w:sz w:val="20"/>
          <w:szCs w:val="20"/>
          <w:u w:val="single"/>
        </w:rPr>
      </w:pPr>
      <w:r>
        <w:rPr>
          <w:rStyle w:val="EndnoteReference"/>
        </w:rPr>
        <w:endnoteRef/>
      </w:r>
      <w:r>
        <w:t xml:space="preserve"> </w:t>
      </w:r>
      <w:r w:rsidRPr="00D02983">
        <w:rPr>
          <w:sz w:val="20"/>
          <w:szCs w:val="20"/>
        </w:rPr>
        <w:t xml:space="preserve">de Goede M and Randalls S (2009) Precaution, Preemption: Arts and Technologies of the actionable Future, </w:t>
      </w:r>
      <w:r w:rsidRPr="00D02983">
        <w:rPr>
          <w:i/>
          <w:sz w:val="20"/>
          <w:szCs w:val="20"/>
        </w:rPr>
        <w:t>Environment and Planning D: Society and Space</w:t>
      </w:r>
      <w:r w:rsidRPr="00D02983">
        <w:rPr>
          <w:sz w:val="20"/>
          <w:szCs w:val="20"/>
        </w:rPr>
        <w:t>, Volume 27, Issue 5, pp859-878</w:t>
      </w:r>
    </w:p>
    <w:p w:rsidR="00D02983" w:rsidRDefault="00D02983">
      <w:pPr>
        <w:pStyle w:val="EndnoteText"/>
      </w:pPr>
    </w:p>
  </w:endnote>
  <w:endnote w:id="10">
    <w:p w:rsidR="00D02983" w:rsidRDefault="00D02983">
      <w:pPr>
        <w:pStyle w:val="EndnoteText"/>
      </w:pPr>
      <w:r>
        <w:rPr>
          <w:rStyle w:val="EndnoteReference"/>
        </w:rPr>
        <w:endnoteRef/>
      </w:r>
      <w:r>
        <w:t xml:space="preserve"> Berlant L (2011) </w:t>
      </w:r>
      <w:r w:rsidRPr="00D02983">
        <w:rPr>
          <w:i/>
        </w:rPr>
        <w:t>Cruel Optimism</w:t>
      </w:r>
      <w:r>
        <w:t>, Duke University Press, Durham</w:t>
      </w:r>
    </w:p>
  </w:endnote>
  <w:endnote w:id="11">
    <w:p w:rsidR="00D02983" w:rsidRDefault="00D02983">
      <w:pPr>
        <w:pStyle w:val="EndnoteText"/>
      </w:pPr>
      <w:r>
        <w:rPr>
          <w:rStyle w:val="EndnoteReference"/>
        </w:rPr>
        <w:endnoteRef/>
      </w:r>
      <w:r>
        <w:t xml:space="preserve"> Aradau C and Van Munster R (2011) </w:t>
      </w:r>
      <w:r w:rsidRPr="00D02983">
        <w:rPr>
          <w:i/>
        </w:rPr>
        <w:t>The Politics of Catastrophe: Genealogies of the Unknown</w:t>
      </w:r>
      <w:r>
        <w:t>, Routledge, London</w:t>
      </w:r>
    </w:p>
  </w:endnote>
  <w:endnote w:id="12">
    <w:p w:rsidR="00D02983" w:rsidRDefault="00D02983">
      <w:pPr>
        <w:pStyle w:val="EndnoteText"/>
      </w:pPr>
      <w:r>
        <w:rPr>
          <w:rStyle w:val="EndnoteReference"/>
        </w:rPr>
        <w:endnoteRef/>
      </w:r>
      <w:r>
        <w:t xml:space="preserve"> Manovich L (2001) </w:t>
      </w:r>
      <w:r w:rsidRPr="00D02983">
        <w:rPr>
          <w:i/>
        </w:rPr>
        <w:t>The Language of New Media</w:t>
      </w:r>
      <w:r>
        <w:t>, MIT Press, Cambridge</w:t>
      </w:r>
    </w:p>
  </w:endnote>
  <w:endnote w:id="13">
    <w:p w:rsidR="00D02983" w:rsidRPr="00EC3BC1" w:rsidRDefault="00D02983" w:rsidP="00EC3BC1">
      <w:pPr>
        <w:spacing w:line="240" w:lineRule="auto"/>
        <w:rPr>
          <w:sz w:val="20"/>
          <w:szCs w:val="20"/>
        </w:rPr>
      </w:pPr>
      <w:r w:rsidRPr="00EC3BC1">
        <w:rPr>
          <w:rStyle w:val="EndnoteReference"/>
          <w:sz w:val="20"/>
          <w:szCs w:val="20"/>
        </w:rPr>
        <w:endnoteRef/>
      </w:r>
      <w:r w:rsidRPr="00EC3BC1">
        <w:rPr>
          <w:sz w:val="20"/>
          <w:szCs w:val="20"/>
        </w:rPr>
        <w:t xml:space="preserve"> Aradau C and Van Munster R (2012) The Time/Space of Preparedness: Anticipating the ‘Next Terrorist Attack’, </w:t>
      </w:r>
      <w:r w:rsidRPr="00EC3BC1">
        <w:rPr>
          <w:i/>
          <w:sz w:val="20"/>
          <w:szCs w:val="20"/>
        </w:rPr>
        <w:t>Space and Culture</w:t>
      </w:r>
      <w:r w:rsidRPr="00EC3BC1">
        <w:rPr>
          <w:sz w:val="20"/>
          <w:szCs w:val="20"/>
        </w:rPr>
        <w:t>, Volume 15, Issue 2 pp98-109</w:t>
      </w:r>
    </w:p>
  </w:endnote>
  <w:endnote w:id="14">
    <w:p w:rsidR="00D02983" w:rsidRPr="00EC3BC1" w:rsidRDefault="00D02983" w:rsidP="00EC3BC1">
      <w:pPr>
        <w:spacing w:line="240" w:lineRule="auto"/>
        <w:rPr>
          <w:sz w:val="20"/>
          <w:szCs w:val="20"/>
        </w:rPr>
      </w:pPr>
      <w:r w:rsidRPr="00EC3BC1">
        <w:rPr>
          <w:rStyle w:val="EndnoteReference"/>
          <w:sz w:val="20"/>
          <w:szCs w:val="20"/>
        </w:rPr>
        <w:endnoteRef/>
      </w:r>
      <w:r w:rsidRPr="00EC3BC1">
        <w:rPr>
          <w:sz w:val="20"/>
          <w:szCs w:val="20"/>
        </w:rPr>
        <w:t xml:space="preserve">Collier SJ (2008) Enacting Catastrophe; Preparedness, insurance, Budgetary Rationalization, </w:t>
      </w:r>
      <w:r w:rsidRPr="00EC3BC1">
        <w:rPr>
          <w:i/>
          <w:sz w:val="20"/>
          <w:szCs w:val="20"/>
        </w:rPr>
        <w:t>Economy and Society</w:t>
      </w:r>
      <w:r w:rsidRPr="00EC3BC1">
        <w:rPr>
          <w:sz w:val="20"/>
          <w:szCs w:val="20"/>
        </w:rPr>
        <w:t xml:space="preserve">, Volume 37, Issue 2, pp224-250 </w:t>
      </w:r>
    </w:p>
  </w:endnote>
  <w:endnote w:id="15">
    <w:p w:rsidR="00D02983" w:rsidRDefault="00D02983">
      <w:pPr>
        <w:pStyle w:val="EndnoteText"/>
      </w:pPr>
      <w:r>
        <w:rPr>
          <w:rStyle w:val="EndnoteReference"/>
        </w:rPr>
        <w:endnoteRef/>
      </w:r>
      <w:r>
        <w:t xml:space="preserve"> </w:t>
      </w:r>
      <w:r w:rsidRPr="00EC3BC1">
        <w:t xml:space="preserve">Aradau C and Van Munster R (2012) The Time/Space of Preparedness: Anticipating the ‘Next Terrorist Attack’, </w:t>
      </w:r>
      <w:r w:rsidRPr="00EC3BC1">
        <w:rPr>
          <w:i/>
        </w:rPr>
        <w:t>Space and Culture</w:t>
      </w:r>
      <w:r w:rsidRPr="00EC3BC1">
        <w:t>, Volume 15, Issue 2 pp98-109</w:t>
      </w:r>
    </w:p>
  </w:endnote>
  <w:endnote w:id="16">
    <w:p w:rsidR="00D02983" w:rsidRDefault="00D02983">
      <w:pPr>
        <w:pStyle w:val="EndnoteText"/>
      </w:pPr>
      <w:r>
        <w:rPr>
          <w:rStyle w:val="EndnoteReference"/>
        </w:rPr>
        <w:endnoteRef/>
      </w:r>
      <w:r>
        <w:t xml:space="preserve"> </w:t>
      </w:r>
      <w:r w:rsidRPr="00EC3BC1">
        <w:t xml:space="preserve">Adey P and Anderson B (2011a) Affect and Security: Exercising Emergency in UK Civil Contingencies, </w:t>
      </w:r>
      <w:r w:rsidRPr="00EC3BC1">
        <w:rPr>
          <w:i/>
        </w:rPr>
        <w:t>Environment and Planning D: Society and Space</w:t>
      </w:r>
      <w:r w:rsidRPr="00EC3BC1">
        <w:t>, Volume 29, pp1092-1109</w:t>
      </w:r>
    </w:p>
  </w:endnote>
  <w:endnote w:id="17">
    <w:p w:rsidR="00D02983" w:rsidRDefault="00D02983">
      <w:pPr>
        <w:pStyle w:val="EndnoteText"/>
      </w:pPr>
      <w:r>
        <w:rPr>
          <w:rStyle w:val="EndnoteReference"/>
        </w:rPr>
        <w:endnoteRef/>
      </w:r>
      <w:r>
        <w:t xml:space="preserve"> </w:t>
      </w:r>
      <w:r w:rsidRPr="00EC3BC1">
        <w:t xml:space="preserve">Collier SJ (2008) Enacting Catastrophe; Preparedness, insurance, Budgetary Rationalization, </w:t>
      </w:r>
      <w:r w:rsidRPr="00EC3BC1">
        <w:rPr>
          <w:i/>
        </w:rPr>
        <w:t>Economy and Society</w:t>
      </w:r>
      <w:r w:rsidRPr="00EC3BC1">
        <w:t>, Volume 37, Issue 2, pp224-250</w:t>
      </w:r>
    </w:p>
  </w:endnote>
  <w:endnote w:id="18">
    <w:p w:rsidR="00D02983" w:rsidRPr="00EC3BC1" w:rsidRDefault="00D02983" w:rsidP="00B425B8">
      <w:pPr>
        <w:spacing w:line="240" w:lineRule="auto"/>
        <w:rPr>
          <w:sz w:val="20"/>
          <w:szCs w:val="20"/>
        </w:rPr>
      </w:pPr>
      <w:r>
        <w:rPr>
          <w:rStyle w:val="EndnoteReference"/>
        </w:rPr>
        <w:endnoteRef/>
      </w:r>
      <w:r>
        <w:t xml:space="preserve"> </w:t>
      </w:r>
      <w:r w:rsidRPr="00EC3BC1">
        <w:rPr>
          <w:sz w:val="20"/>
          <w:szCs w:val="20"/>
        </w:rPr>
        <w:t xml:space="preserve">Davis T (2003) Stages of Emergency: the Casualties Union, </w:t>
      </w:r>
      <w:r w:rsidRPr="00EC3BC1">
        <w:rPr>
          <w:i/>
          <w:sz w:val="20"/>
          <w:szCs w:val="20"/>
        </w:rPr>
        <w:t>Modern Drama</w:t>
      </w:r>
      <w:r w:rsidRPr="00EC3BC1">
        <w:rPr>
          <w:sz w:val="20"/>
          <w:szCs w:val="20"/>
        </w:rPr>
        <w:t>, Number 2, pp151-181</w:t>
      </w:r>
    </w:p>
    <w:p w:rsidR="00D02983" w:rsidRDefault="00D02983">
      <w:pPr>
        <w:pStyle w:val="EndnoteText"/>
      </w:pPr>
    </w:p>
  </w:endnote>
  <w:endnote w:id="19">
    <w:p w:rsidR="00D02983" w:rsidRPr="00EC3BC1" w:rsidRDefault="00D02983" w:rsidP="00EC3BC1">
      <w:pPr>
        <w:spacing w:line="240" w:lineRule="auto"/>
        <w:rPr>
          <w:sz w:val="20"/>
          <w:szCs w:val="20"/>
        </w:rPr>
      </w:pPr>
      <w:r w:rsidRPr="00EC3BC1">
        <w:rPr>
          <w:rStyle w:val="EndnoteReference"/>
          <w:sz w:val="20"/>
          <w:szCs w:val="20"/>
        </w:rPr>
        <w:endnoteRef/>
      </w:r>
      <w:r w:rsidRPr="00EC3BC1">
        <w:rPr>
          <w:sz w:val="20"/>
          <w:szCs w:val="20"/>
        </w:rPr>
        <w:t xml:space="preserve"> Barad K (2003) Post-human Performativity: Toward An Understanding of How Matter Comes to Matter,</w:t>
      </w:r>
      <w:r w:rsidRPr="00EC3BC1">
        <w:rPr>
          <w:sz w:val="20"/>
          <w:szCs w:val="20"/>
          <w:u w:val="single"/>
        </w:rPr>
        <w:t xml:space="preserve"> </w:t>
      </w:r>
      <w:r w:rsidRPr="00EC3BC1">
        <w:rPr>
          <w:i/>
          <w:sz w:val="20"/>
          <w:szCs w:val="20"/>
        </w:rPr>
        <w:t>Signs</w:t>
      </w:r>
      <w:r w:rsidRPr="00EC3BC1">
        <w:rPr>
          <w:sz w:val="20"/>
          <w:szCs w:val="20"/>
        </w:rPr>
        <w:t>, Number 3, pp801-831</w:t>
      </w:r>
    </w:p>
  </w:endnote>
  <w:endnote w:id="20">
    <w:p w:rsidR="00D02983" w:rsidRDefault="00D02983">
      <w:pPr>
        <w:pStyle w:val="EndnoteText"/>
      </w:pPr>
      <w:r>
        <w:rPr>
          <w:rStyle w:val="EndnoteReference"/>
        </w:rPr>
        <w:endnoteRef/>
      </w:r>
      <w:r>
        <w:t xml:space="preserve"> </w:t>
      </w:r>
      <w:r w:rsidR="00792F3C">
        <w:t xml:space="preserve">See Whatmore S (2006) Materialist Returns: Practising Human Geography In and For a More than Human World, </w:t>
      </w:r>
      <w:r w:rsidR="00792F3C" w:rsidRPr="00792F3C">
        <w:rPr>
          <w:i/>
        </w:rPr>
        <w:t>Cultural Geographies</w:t>
      </w:r>
      <w:r w:rsidR="00792F3C">
        <w:t>, Volume 13, Issue 4, pp600-609</w:t>
      </w:r>
    </w:p>
  </w:endnote>
  <w:endnote w:id="21">
    <w:p w:rsidR="00792F3C" w:rsidRDefault="00792F3C">
      <w:pPr>
        <w:pStyle w:val="EndnoteText"/>
      </w:pPr>
      <w:r>
        <w:rPr>
          <w:rStyle w:val="EndnoteReference"/>
        </w:rPr>
        <w:endnoteRef/>
      </w:r>
      <w:r>
        <w:t xml:space="preserve"> Galloway A and Thacker E (2004) Protocol, Control and Networks, </w:t>
      </w:r>
      <w:r w:rsidRPr="00F458E9">
        <w:rPr>
          <w:i/>
        </w:rPr>
        <w:t>Grey Room</w:t>
      </w:r>
      <w:r>
        <w:t>, No.17, pp.6-29</w:t>
      </w:r>
    </w:p>
  </w:endnote>
  <w:endnote w:id="22">
    <w:p w:rsidR="00D02983" w:rsidRDefault="00D02983">
      <w:pPr>
        <w:pStyle w:val="EndnoteText"/>
      </w:pPr>
      <w:r>
        <w:rPr>
          <w:rStyle w:val="EndnoteReference"/>
        </w:rPr>
        <w:endnoteRef/>
      </w:r>
      <w:r>
        <w:t xml:space="preserve"> </w:t>
      </w:r>
      <w:r w:rsidR="00792F3C">
        <w:t>ibid</w:t>
      </w:r>
    </w:p>
  </w:endnote>
  <w:endnote w:id="23">
    <w:p w:rsidR="00792F3C" w:rsidRDefault="00792F3C">
      <w:pPr>
        <w:pStyle w:val="EndnoteText"/>
      </w:pPr>
      <w:r>
        <w:rPr>
          <w:rStyle w:val="EndnoteReference"/>
        </w:rPr>
        <w:endnoteRef/>
      </w:r>
      <w:r>
        <w:t xml:space="preserve"> ibid</w:t>
      </w:r>
    </w:p>
  </w:endnote>
  <w:endnote w:id="24">
    <w:p w:rsidR="00792F3C" w:rsidRDefault="00792F3C">
      <w:pPr>
        <w:pStyle w:val="EndnoteText"/>
      </w:pPr>
      <w:r>
        <w:rPr>
          <w:rStyle w:val="EndnoteReference"/>
        </w:rPr>
        <w:endnoteRef/>
      </w:r>
      <w:r>
        <w:t xml:space="preserve"> ibid</w:t>
      </w:r>
    </w:p>
  </w:endnote>
  <w:endnote w:id="25">
    <w:p w:rsidR="00792F3C" w:rsidRDefault="00792F3C">
      <w:pPr>
        <w:pStyle w:val="EndnoteText"/>
      </w:pPr>
      <w:r>
        <w:rPr>
          <w:rStyle w:val="EndnoteReference"/>
        </w:rPr>
        <w:endnoteRef/>
      </w:r>
      <w:r>
        <w:t xml:space="preserve"> ibid</w:t>
      </w:r>
    </w:p>
  </w:endnote>
  <w:endnote w:id="26">
    <w:p w:rsidR="00792F3C" w:rsidRDefault="00792F3C">
      <w:pPr>
        <w:pStyle w:val="EndnoteText"/>
      </w:pPr>
      <w:r>
        <w:rPr>
          <w:rStyle w:val="EndnoteReference"/>
        </w:rPr>
        <w:endnoteRef/>
      </w:r>
      <w:r>
        <w:t xml:space="preserve"> ibid</w:t>
      </w:r>
    </w:p>
  </w:endnote>
  <w:endnote w:id="27">
    <w:p w:rsidR="00D02983" w:rsidRPr="00EC3BC1" w:rsidRDefault="00D02983" w:rsidP="00EC3BC1">
      <w:pPr>
        <w:spacing w:line="240" w:lineRule="auto"/>
        <w:rPr>
          <w:sz w:val="20"/>
          <w:szCs w:val="20"/>
        </w:rPr>
      </w:pPr>
      <w:r w:rsidRPr="00EC3BC1">
        <w:rPr>
          <w:rStyle w:val="EndnoteReference"/>
          <w:sz w:val="20"/>
          <w:szCs w:val="20"/>
        </w:rPr>
        <w:endnoteRef/>
      </w:r>
      <w:r w:rsidRPr="00EC3BC1">
        <w:rPr>
          <w:sz w:val="20"/>
          <w:szCs w:val="20"/>
        </w:rPr>
        <w:t xml:space="preserve"> Adey P and Anderson B (2011a) Affect and Security: Exercising Emergency in UK Civil Contingencies, </w:t>
      </w:r>
      <w:r w:rsidRPr="00EC3BC1">
        <w:rPr>
          <w:i/>
          <w:sz w:val="20"/>
          <w:szCs w:val="20"/>
        </w:rPr>
        <w:t>Environment and Planning D: Society and Space</w:t>
      </w:r>
      <w:r w:rsidRPr="00EC3BC1">
        <w:rPr>
          <w:sz w:val="20"/>
          <w:szCs w:val="20"/>
        </w:rPr>
        <w:t>, Volume 29, pp1092-1109</w:t>
      </w:r>
    </w:p>
  </w:endnote>
  <w:endnote w:id="28">
    <w:p w:rsidR="00D02983" w:rsidRPr="00EC3BC1" w:rsidRDefault="00D02983" w:rsidP="00EC3BC1">
      <w:pPr>
        <w:tabs>
          <w:tab w:val="left" w:pos="1635"/>
        </w:tabs>
        <w:spacing w:line="240" w:lineRule="auto"/>
        <w:rPr>
          <w:sz w:val="20"/>
          <w:szCs w:val="20"/>
          <w:u w:val="single"/>
        </w:rPr>
      </w:pPr>
      <w:r w:rsidRPr="00EC3BC1">
        <w:rPr>
          <w:rStyle w:val="EndnoteReference"/>
          <w:sz w:val="20"/>
          <w:szCs w:val="20"/>
        </w:rPr>
        <w:endnoteRef/>
      </w:r>
      <w:r w:rsidRPr="00EC3BC1">
        <w:rPr>
          <w:sz w:val="20"/>
          <w:szCs w:val="20"/>
        </w:rPr>
        <w:t xml:space="preserve"> Adey P and Anderson B (2012) Governing Events and Life: Emergency in UK Civil Contingencies, </w:t>
      </w:r>
      <w:r w:rsidRPr="00EC3BC1">
        <w:rPr>
          <w:i/>
          <w:sz w:val="20"/>
          <w:szCs w:val="20"/>
        </w:rPr>
        <w:t>Political Geography</w:t>
      </w:r>
      <w:r w:rsidRPr="00EC3BC1">
        <w:rPr>
          <w:sz w:val="20"/>
          <w:szCs w:val="20"/>
        </w:rPr>
        <w:t>, Volume 31, pp24-33</w:t>
      </w:r>
    </w:p>
  </w:endnote>
  <w:endnote w:id="29">
    <w:p w:rsidR="00D02983" w:rsidRPr="00EC3BC1" w:rsidRDefault="00D02983" w:rsidP="00EC3BC1">
      <w:pPr>
        <w:spacing w:line="240" w:lineRule="auto"/>
        <w:rPr>
          <w:sz w:val="20"/>
          <w:szCs w:val="20"/>
          <w:u w:val="single"/>
        </w:rPr>
      </w:pPr>
      <w:r w:rsidRPr="00EC3BC1">
        <w:rPr>
          <w:rStyle w:val="EndnoteReference"/>
          <w:sz w:val="20"/>
          <w:szCs w:val="20"/>
        </w:rPr>
        <w:endnoteRef/>
      </w:r>
      <w:r w:rsidRPr="00EC3BC1">
        <w:rPr>
          <w:sz w:val="20"/>
          <w:szCs w:val="20"/>
        </w:rPr>
        <w:t xml:space="preserve"> Aradau C and Van Munster R 2012) The Time/Space of Preparedness: Anticipating the ‘Next Terrorist Attack’, </w:t>
      </w:r>
      <w:r w:rsidRPr="00EC3BC1">
        <w:rPr>
          <w:i/>
          <w:sz w:val="20"/>
          <w:szCs w:val="20"/>
        </w:rPr>
        <w:t>Space and Culture</w:t>
      </w:r>
      <w:r w:rsidRPr="00EC3BC1">
        <w:rPr>
          <w:sz w:val="20"/>
          <w:szCs w:val="20"/>
        </w:rPr>
        <w:t>, Volume 15, Issue 2 pp98-109</w:t>
      </w:r>
    </w:p>
    <w:p w:rsidR="00D02983" w:rsidRPr="00EC3BC1" w:rsidRDefault="00D02983" w:rsidP="00EC3BC1">
      <w:pPr>
        <w:pStyle w:val="EndnoteText"/>
      </w:pPr>
    </w:p>
  </w:endnote>
  <w:endnote w:id="30">
    <w:p w:rsidR="00D02983" w:rsidRPr="00EC3BC1" w:rsidRDefault="00D02983" w:rsidP="00EC3BC1">
      <w:pPr>
        <w:pStyle w:val="EndnoteText"/>
      </w:pPr>
      <w:r w:rsidRPr="00EC3BC1">
        <w:rPr>
          <w:rStyle w:val="EndnoteReference"/>
        </w:rPr>
        <w:endnoteRef/>
      </w:r>
      <w:r w:rsidRPr="00EC3BC1">
        <w:t xml:space="preserve"> Collier SJ (2008) Enacting Catastrophe; Preparedness, insurance, Budgetary Rationalization, </w:t>
      </w:r>
      <w:r w:rsidRPr="00EC3BC1">
        <w:rPr>
          <w:i/>
        </w:rPr>
        <w:t>Economy and Society</w:t>
      </w:r>
      <w:r w:rsidRPr="00EC3BC1">
        <w:t>, Volume 37, Issue 2, pp224-250</w:t>
      </w:r>
    </w:p>
    <w:p w:rsidR="00D02983" w:rsidRPr="00EC3BC1" w:rsidRDefault="00D02983" w:rsidP="00EC3BC1">
      <w:pPr>
        <w:pStyle w:val="EndnoteText"/>
      </w:pPr>
    </w:p>
  </w:endnote>
  <w:endnote w:id="31">
    <w:p w:rsidR="00D02983" w:rsidRPr="00EC3BC1" w:rsidRDefault="00D02983" w:rsidP="00EC3BC1">
      <w:pPr>
        <w:spacing w:line="240" w:lineRule="auto"/>
        <w:rPr>
          <w:sz w:val="20"/>
          <w:szCs w:val="20"/>
          <w:u w:val="single"/>
        </w:rPr>
      </w:pPr>
      <w:r w:rsidRPr="00EC3BC1">
        <w:rPr>
          <w:rStyle w:val="EndnoteReference"/>
          <w:sz w:val="20"/>
          <w:szCs w:val="20"/>
        </w:rPr>
        <w:endnoteRef/>
      </w:r>
      <w:r w:rsidRPr="00EC3BC1">
        <w:rPr>
          <w:sz w:val="20"/>
          <w:szCs w:val="20"/>
        </w:rPr>
        <w:t xml:space="preserve"> Schoch-Spana M (2004) Bioterrorism: Us Public Health and A Secular Apocalypse, </w:t>
      </w:r>
      <w:r w:rsidRPr="00EC3BC1">
        <w:rPr>
          <w:i/>
          <w:sz w:val="20"/>
          <w:szCs w:val="20"/>
        </w:rPr>
        <w:t>Anthropology Today</w:t>
      </w:r>
      <w:r w:rsidRPr="00EC3BC1">
        <w:rPr>
          <w:sz w:val="20"/>
          <w:szCs w:val="20"/>
        </w:rPr>
        <w:t>, Volume 1, Issue 20, pp1-6</w:t>
      </w:r>
    </w:p>
    <w:p w:rsidR="00D02983" w:rsidRPr="00EC3BC1" w:rsidRDefault="00D02983" w:rsidP="00EC3BC1">
      <w:pPr>
        <w:pStyle w:val="EndnoteText"/>
      </w:pPr>
    </w:p>
  </w:endnote>
  <w:endnote w:id="32">
    <w:p w:rsidR="00D02983" w:rsidRPr="00EC3BC1" w:rsidRDefault="00D02983" w:rsidP="00EC3BC1">
      <w:pPr>
        <w:spacing w:line="240" w:lineRule="auto"/>
        <w:rPr>
          <w:sz w:val="20"/>
          <w:szCs w:val="20"/>
        </w:rPr>
      </w:pPr>
      <w:r w:rsidRPr="00EC3BC1">
        <w:rPr>
          <w:rStyle w:val="EndnoteReference"/>
          <w:sz w:val="20"/>
          <w:szCs w:val="20"/>
        </w:rPr>
        <w:endnoteRef/>
      </w:r>
      <w:r w:rsidRPr="00EC3BC1">
        <w:rPr>
          <w:sz w:val="20"/>
          <w:szCs w:val="20"/>
        </w:rPr>
        <w:t xml:space="preserve"> Davis T (2003) Stages of Emergency: the Casualties Union, </w:t>
      </w:r>
      <w:r w:rsidRPr="00EC3BC1">
        <w:rPr>
          <w:i/>
          <w:sz w:val="20"/>
          <w:szCs w:val="20"/>
        </w:rPr>
        <w:t>Modern Drama</w:t>
      </w:r>
      <w:r w:rsidRPr="00EC3BC1">
        <w:rPr>
          <w:sz w:val="20"/>
          <w:szCs w:val="20"/>
        </w:rPr>
        <w:t>, Number 2, pp151-181</w:t>
      </w:r>
    </w:p>
    <w:p w:rsidR="00D02983" w:rsidRPr="00EC3BC1" w:rsidRDefault="00D02983" w:rsidP="00EC3BC1">
      <w:pPr>
        <w:pStyle w:val="EndnoteText"/>
      </w:pPr>
    </w:p>
  </w:endnote>
  <w:endnote w:id="33">
    <w:p w:rsidR="00D02983" w:rsidRPr="00EC3BC1" w:rsidRDefault="00D02983" w:rsidP="00EC3BC1">
      <w:pPr>
        <w:spacing w:line="240" w:lineRule="auto"/>
        <w:rPr>
          <w:sz w:val="20"/>
          <w:szCs w:val="20"/>
        </w:rPr>
      </w:pPr>
      <w:r w:rsidRPr="00EC3BC1">
        <w:rPr>
          <w:rStyle w:val="EndnoteReference"/>
          <w:sz w:val="20"/>
          <w:szCs w:val="20"/>
        </w:rPr>
        <w:endnoteRef/>
      </w:r>
      <w:r w:rsidRPr="00EC3BC1">
        <w:rPr>
          <w:sz w:val="20"/>
          <w:szCs w:val="20"/>
        </w:rPr>
        <w:t xml:space="preserve"> Adey P and Anderson B (2011a) Affect and Security: Exercising Emergency in UK Civil Contingencies, </w:t>
      </w:r>
      <w:r w:rsidRPr="00EC3BC1">
        <w:rPr>
          <w:i/>
          <w:sz w:val="20"/>
          <w:szCs w:val="20"/>
        </w:rPr>
        <w:t>Environment and Planning D: Society and Space</w:t>
      </w:r>
      <w:r w:rsidRPr="00EC3BC1">
        <w:rPr>
          <w:sz w:val="20"/>
          <w:szCs w:val="20"/>
        </w:rPr>
        <w:t>, Volume 29, pp1092-1109</w:t>
      </w:r>
    </w:p>
    <w:p w:rsidR="00D02983" w:rsidRPr="00EC3BC1" w:rsidRDefault="00D02983" w:rsidP="00EC3BC1">
      <w:pPr>
        <w:pStyle w:val="EndnoteText"/>
      </w:pPr>
    </w:p>
  </w:endnote>
  <w:endnote w:id="34">
    <w:p w:rsidR="00D02983" w:rsidRDefault="00D02983">
      <w:pPr>
        <w:pStyle w:val="EndnoteText"/>
      </w:pPr>
      <w:r>
        <w:rPr>
          <w:rStyle w:val="EndnoteReference"/>
        </w:rPr>
        <w:endnoteRef/>
      </w:r>
      <w:r>
        <w:t xml:space="preserve"> ibid</w:t>
      </w:r>
    </w:p>
  </w:endnote>
  <w:endnote w:id="35">
    <w:p w:rsidR="00D02983" w:rsidRPr="00EC3BC1" w:rsidRDefault="00D02983" w:rsidP="00EC3BC1">
      <w:pPr>
        <w:spacing w:line="240" w:lineRule="auto"/>
        <w:rPr>
          <w:sz w:val="20"/>
          <w:szCs w:val="20"/>
        </w:rPr>
      </w:pPr>
      <w:r w:rsidRPr="00EC3BC1">
        <w:rPr>
          <w:rStyle w:val="EndnoteReference"/>
          <w:sz w:val="20"/>
          <w:szCs w:val="20"/>
        </w:rPr>
        <w:endnoteRef/>
      </w:r>
      <w:r w:rsidRPr="00EC3BC1">
        <w:rPr>
          <w:sz w:val="20"/>
          <w:szCs w:val="20"/>
        </w:rPr>
        <w:t xml:space="preserve"> Aradau C and Van Munster R (2012) The Time/Space of Preparedness: Anticipating the ‘Next Terrorist Attack’, </w:t>
      </w:r>
      <w:r w:rsidRPr="00EC3BC1">
        <w:rPr>
          <w:i/>
          <w:sz w:val="20"/>
          <w:szCs w:val="20"/>
        </w:rPr>
        <w:t>Space and Culture</w:t>
      </w:r>
      <w:r w:rsidRPr="00EC3BC1">
        <w:rPr>
          <w:sz w:val="20"/>
          <w:szCs w:val="20"/>
        </w:rPr>
        <w:t>, Volume 15, Issue 2 pp98-109</w:t>
      </w:r>
    </w:p>
    <w:p w:rsidR="00D02983" w:rsidRPr="00EC3BC1" w:rsidRDefault="00D02983" w:rsidP="00EC3BC1">
      <w:pPr>
        <w:pStyle w:val="EndnoteText"/>
      </w:pPr>
    </w:p>
  </w:endnote>
  <w:endnote w:id="36">
    <w:p w:rsidR="00D02983" w:rsidRPr="00EC3BC1" w:rsidRDefault="00D02983" w:rsidP="00EC3BC1">
      <w:pPr>
        <w:spacing w:line="240" w:lineRule="auto"/>
        <w:rPr>
          <w:sz w:val="20"/>
          <w:szCs w:val="20"/>
        </w:rPr>
      </w:pPr>
      <w:r w:rsidRPr="00EC3BC1">
        <w:rPr>
          <w:rStyle w:val="EndnoteReference"/>
          <w:sz w:val="20"/>
          <w:szCs w:val="20"/>
        </w:rPr>
        <w:endnoteRef/>
      </w:r>
      <w:r w:rsidRPr="00EC3BC1">
        <w:rPr>
          <w:sz w:val="20"/>
          <w:szCs w:val="20"/>
        </w:rPr>
        <w:t xml:space="preserve"> Adey P and Anderson B (2011a) Affect and Security: Exercising Emergency in UK Civil Contingencies, </w:t>
      </w:r>
      <w:r w:rsidRPr="00EC3BC1">
        <w:rPr>
          <w:i/>
          <w:sz w:val="20"/>
          <w:szCs w:val="20"/>
        </w:rPr>
        <w:t>Environment and Planning D: Society and Space</w:t>
      </w:r>
      <w:r w:rsidRPr="00EC3BC1">
        <w:rPr>
          <w:sz w:val="20"/>
          <w:szCs w:val="20"/>
        </w:rPr>
        <w:t>, Volume 29, pp1092-1109</w:t>
      </w:r>
    </w:p>
    <w:p w:rsidR="00D02983" w:rsidRPr="00EC3BC1" w:rsidRDefault="00D02983" w:rsidP="00EC3BC1">
      <w:pPr>
        <w:pStyle w:val="EndnoteText"/>
      </w:pPr>
    </w:p>
  </w:endnote>
  <w:endnote w:id="37">
    <w:p w:rsidR="00D02983" w:rsidRPr="00EC3BC1" w:rsidRDefault="00D02983" w:rsidP="00EC3BC1">
      <w:pPr>
        <w:spacing w:line="240" w:lineRule="auto"/>
        <w:rPr>
          <w:sz w:val="20"/>
          <w:szCs w:val="20"/>
        </w:rPr>
      </w:pPr>
      <w:r w:rsidRPr="00EC3BC1">
        <w:rPr>
          <w:rStyle w:val="EndnoteReference"/>
          <w:sz w:val="20"/>
          <w:szCs w:val="20"/>
        </w:rPr>
        <w:endnoteRef/>
      </w:r>
      <w:r w:rsidRPr="00EC3BC1">
        <w:rPr>
          <w:sz w:val="20"/>
          <w:szCs w:val="20"/>
        </w:rPr>
        <w:t xml:space="preserve"> Adey P and Anderson B (2011a) Affect and Security: Exercising Emergency in UK Civil Contingencies, </w:t>
      </w:r>
      <w:r w:rsidRPr="00EC3BC1">
        <w:rPr>
          <w:i/>
          <w:sz w:val="20"/>
          <w:szCs w:val="20"/>
        </w:rPr>
        <w:t>Environment and Planning D: Society and Space</w:t>
      </w:r>
      <w:r w:rsidRPr="00EC3BC1">
        <w:rPr>
          <w:sz w:val="20"/>
          <w:szCs w:val="20"/>
        </w:rPr>
        <w:t>, Volume 29, pp1092-1109</w:t>
      </w:r>
    </w:p>
    <w:p w:rsidR="00D02983" w:rsidRPr="00EC3BC1" w:rsidRDefault="00D02983" w:rsidP="00EC3BC1">
      <w:pPr>
        <w:pStyle w:val="EndnoteText"/>
      </w:pPr>
    </w:p>
  </w:endnote>
  <w:endnote w:id="38">
    <w:p w:rsidR="00D02983" w:rsidRPr="00EC3BC1" w:rsidRDefault="00D02983" w:rsidP="00EC3BC1">
      <w:pPr>
        <w:pStyle w:val="EndnoteText"/>
      </w:pPr>
      <w:r w:rsidRPr="00EC3BC1">
        <w:rPr>
          <w:rStyle w:val="EndnoteReference"/>
        </w:rPr>
        <w:endnoteRef/>
      </w:r>
      <w:r w:rsidRPr="00EC3BC1">
        <w:t xml:space="preserve"> Aradau C and Van Munster R (2012) The Time/Space of Preparedness: Anticipating the ‘Next Terrorist Attack’, </w:t>
      </w:r>
      <w:r w:rsidRPr="00EC3BC1">
        <w:rPr>
          <w:i/>
        </w:rPr>
        <w:t>Space and Culture</w:t>
      </w:r>
      <w:r w:rsidRPr="00EC3BC1">
        <w:t>, Volume 15, Issue 2 pp98-109</w:t>
      </w:r>
    </w:p>
    <w:p w:rsidR="00D02983" w:rsidRPr="00EC3BC1" w:rsidRDefault="00D02983" w:rsidP="00EC3BC1">
      <w:pPr>
        <w:pStyle w:val="EndnoteText"/>
      </w:pPr>
    </w:p>
  </w:endnote>
  <w:endnote w:id="39">
    <w:p w:rsidR="00D02983" w:rsidRPr="00EC3BC1" w:rsidRDefault="00D02983" w:rsidP="00010557">
      <w:pPr>
        <w:spacing w:line="240" w:lineRule="auto"/>
        <w:rPr>
          <w:sz w:val="20"/>
          <w:szCs w:val="20"/>
        </w:rPr>
      </w:pPr>
      <w:r w:rsidRPr="00EC3BC1">
        <w:rPr>
          <w:rStyle w:val="EndnoteReference"/>
          <w:sz w:val="20"/>
          <w:szCs w:val="20"/>
        </w:rPr>
        <w:endnoteRef/>
      </w:r>
      <w:r w:rsidRPr="00EC3BC1">
        <w:rPr>
          <w:sz w:val="20"/>
          <w:szCs w:val="20"/>
        </w:rPr>
        <w:t xml:space="preserve"> Adey P and Anderson B (2011a) Affect and Security: Exercising Emergency in UK Civil Contingencies, </w:t>
      </w:r>
      <w:r w:rsidRPr="00EC3BC1">
        <w:rPr>
          <w:i/>
          <w:sz w:val="20"/>
          <w:szCs w:val="20"/>
        </w:rPr>
        <w:t>Environment and Planning D: Society and Space</w:t>
      </w:r>
      <w:r w:rsidRPr="00EC3BC1">
        <w:rPr>
          <w:sz w:val="20"/>
          <w:szCs w:val="20"/>
        </w:rPr>
        <w:t>, Volume 29, pp1092-1109</w:t>
      </w:r>
    </w:p>
    <w:p w:rsidR="00D02983" w:rsidRPr="00EC3BC1" w:rsidRDefault="00D02983" w:rsidP="00010557">
      <w:pPr>
        <w:pStyle w:val="EndnoteText"/>
      </w:pPr>
    </w:p>
  </w:endnote>
  <w:endnote w:id="40">
    <w:p w:rsidR="00D02983" w:rsidRPr="00EC3BC1" w:rsidRDefault="00D02983" w:rsidP="00010557">
      <w:pPr>
        <w:spacing w:line="240" w:lineRule="auto"/>
        <w:rPr>
          <w:sz w:val="20"/>
          <w:szCs w:val="20"/>
        </w:rPr>
      </w:pPr>
      <w:r w:rsidRPr="00EC3BC1">
        <w:rPr>
          <w:rStyle w:val="EndnoteReference"/>
          <w:sz w:val="20"/>
          <w:szCs w:val="20"/>
        </w:rPr>
        <w:endnoteRef/>
      </w:r>
      <w:r w:rsidRPr="00EC3BC1">
        <w:rPr>
          <w:sz w:val="20"/>
          <w:szCs w:val="20"/>
        </w:rPr>
        <w:t xml:space="preserve"> Davis T (2003) Stages of Emergency: the Casualties Union, </w:t>
      </w:r>
      <w:r w:rsidRPr="00EC3BC1">
        <w:rPr>
          <w:i/>
          <w:sz w:val="20"/>
          <w:szCs w:val="20"/>
        </w:rPr>
        <w:t>Modern Drama</w:t>
      </w:r>
      <w:r w:rsidRPr="00EC3BC1">
        <w:rPr>
          <w:sz w:val="20"/>
          <w:szCs w:val="20"/>
        </w:rPr>
        <w:t>, Number 2, pp151-181</w:t>
      </w:r>
    </w:p>
    <w:p w:rsidR="00D02983" w:rsidRPr="00EC3BC1" w:rsidRDefault="00D02983" w:rsidP="00010557">
      <w:pPr>
        <w:pStyle w:val="EndnoteText"/>
      </w:pPr>
    </w:p>
  </w:endnote>
  <w:endnote w:id="41">
    <w:p w:rsidR="00D02983" w:rsidRPr="00EC3BC1" w:rsidRDefault="00D02983" w:rsidP="00EC3BC1">
      <w:pPr>
        <w:spacing w:line="240" w:lineRule="auto"/>
        <w:rPr>
          <w:sz w:val="20"/>
          <w:szCs w:val="20"/>
        </w:rPr>
      </w:pPr>
      <w:r w:rsidRPr="00EC3BC1">
        <w:rPr>
          <w:rStyle w:val="EndnoteReference"/>
          <w:sz w:val="20"/>
          <w:szCs w:val="20"/>
        </w:rPr>
        <w:endnoteRef/>
      </w:r>
      <w:r w:rsidRPr="00EC3BC1">
        <w:rPr>
          <w:sz w:val="20"/>
          <w:szCs w:val="20"/>
        </w:rPr>
        <w:t xml:space="preserve"> Davis T (2003) Stages of Emergency: the Casualties Union, </w:t>
      </w:r>
      <w:r w:rsidRPr="00EC3BC1">
        <w:rPr>
          <w:i/>
          <w:sz w:val="20"/>
          <w:szCs w:val="20"/>
        </w:rPr>
        <w:t>Modern Drama</w:t>
      </w:r>
      <w:r w:rsidRPr="00EC3BC1">
        <w:rPr>
          <w:sz w:val="20"/>
          <w:szCs w:val="20"/>
        </w:rPr>
        <w:t>, Number 2, pp151-181</w:t>
      </w:r>
    </w:p>
    <w:p w:rsidR="00D02983" w:rsidRPr="00EC3BC1" w:rsidRDefault="00D02983" w:rsidP="00EC3BC1">
      <w:pPr>
        <w:pStyle w:val="EndnoteText"/>
      </w:pPr>
    </w:p>
  </w:endnote>
  <w:endnote w:id="42">
    <w:p w:rsidR="00D02983" w:rsidRPr="00EC3BC1" w:rsidRDefault="00D02983" w:rsidP="00EC3BC1">
      <w:pPr>
        <w:pStyle w:val="EndnoteText"/>
      </w:pPr>
      <w:r w:rsidRPr="00EC3BC1">
        <w:rPr>
          <w:rStyle w:val="EndnoteReference"/>
        </w:rPr>
        <w:endnoteRef/>
      </w:r>
      <w:r w:rsidRPr="00EC3BC1">
        <w:t xml:space="preserve"> Barad K (2003) Post-human Performativity: Toward An Understanding of How Matter Comes to Matter,</w:t>
      </w:r>
      <w:r w:rsidRPr="00EC3BC1">
        <w:rPr>
          <w:u w:val="single"/>
        </w:rPr>
        <w:t xml:space="preserve"> </w:t>
      </w:r>
      <w:r w:rsidRPr="00EC3BC1">
        <w:rPr>
          <w:i/>
        </w:rPr>
        <w:t>Signs</w:t>
      </w:r>
      <w:r w:rsidRPr="00EC3BC1">
        <w:t>, Number 3, pp801-831</w:t>
      </w:r>
    </w:p>
    <w:p w:rsidR="00D02983" w:rsidRPr="00EC3BC1" w:rsidRDefault="00D02983" w:rsidP="00EC3BC1">
      <w:pPr>
        <w:pStyle w:val="EndnoteText"/>
      </w:pPr>
    </w:p>
  </w:endnote>
  <w:endnote w:id="43">
    <w:p w:rsidR="00792F3C" w:rsidRDefault="00792F3C">
      <w:pPr>
        <w:pStyle w:val="EndnoteText"/>
      </w:pPr>
      <w:r>
        <w:rPr>
          <w:rStyle w:val="EndnoteReference"/>
        </w:rPr>
        <w:endnoteRef/>
      </w:r>
      <w:r>
        <w:t xml:space="preserve"> See Whatmore S (2006) Materialist Returns: Practising Human Geography In and For a More than Human World, </w:t>
      </w:r>
      <w:r w:rsidRPr="00792F3C">
        <w:rPr>
          <w:i/>
        </w:rPr>
        <w:t>Cultural Geographies</w:t>
      </w:r>
      <w:r>
        <w:t>, Volume 13, Issue 4, pp600-609</w:t>
      </w:r>
    </w:p>
  </w:endnote>
  <w:endnote w:id="44">
    <w:p w:rsidR="00792F3C" w:rsidRDefault="00792F3C" w:rsidP="00792F3C">
      <w:r>
        <w:rPr>
          <w:rStyle w:val="EndnoteReference"/>
        </w:rPr>
        <w:endnoteRef/>
      </w:r>
      <w:r>
        <w:t xml:space="preserve"> </w:t>
      </w:r>
      <w:r w:rsidRPr="00792F3C">
        <w:rPr>
          <w:sz w:val="20"/>
          <w:szCs w:val="20"/>
        </w:rPr>
        <w:t xml:space="preserve">Aradau C (2010) Security That Matters: Critical Infrastructure and Objects of Protection, </w:t>
      </w:r>
      <w:r w:rsidRPr="00792F3C">
        <w:rPr>
          <w:i/>
          <w:sz w:val="20"/>
          <w:szCs w:val="20"/>
        </w:rPr>
        <w:t>Security Dialogue</w:t>
      </w:r>
      <w:r w:rsidRPr="00792F3C">
        <w:rPr>
          <w:sz w:val="20"/>
          <w:szCs w:val="20"/>
        </w:rPr>
        <w:t>, Volume 41, Issue 5, pp 491-514</w:t>
      </w:r>
    </w:p>
    <w:p w:rsidR="00792F3C" w:rsidRDefault="00792F3C">
      <w:pPr>
        <w:pStyle w:val="EndnoteText"/>
      </w:pPr>
    </w:p>
  </w:endnote>
  <w:endnote w:id="45">
    <w:p w:rsidR="00792F3C" w:rsidRDefault="00792F3C">
      <w:pPr>
        <w:pStyle w:val="EndnoteText"/>
      </w:pPr>
      <w:r>
        <w:rPr>
          <w:rStyle w:val="EndnoteReference"/>
        </w:rPr>
        <w:endnoteRef/>
      </w:r>
      <w:r>
        <w:t xml:space="preserve"> ibid p429</w:t>
      </w:r>
    </w:p>
  </w:endnote>
  <w:endnote w:id="46">
    <w:p w:rsidR="00D02983" w:rsidRPr="00EC3BC1" w:rsidRDefault="00D02983" w:rsidP="001D498F">
      <w:pPr>
        <w:spacing w:line="240" w:lineRule="auto"/>
        <w:rPr>
          <w:i/>
          <w:sz w:val="20"/>
          <w:szCs w:val="20"/>
        </w:rPr>
      </w:pPr>
      <w:r w:rsidRPr="00EC3BC1">
        <w:rPr>
          <w:rStyle w:val="EndnoteReference"/>
          <w:sz w:val="20"/>
          <w:szCs w:val="20"/>
        </w:rPr>
        <w:endnoteRef/>
      </w:r>
      <w:r w:rsidRPr="00EC3BC1">
        <w:rPr>
          <w:sz w:val="20"/>
          <w:szCs w:val="20"/>
        </w:rPr>
        <w:t xml:space="preserve"> Communities and Local Government (2008) </w:t>
      </w:r>
      <w:r w:rsidRPr="00EC3BC1">
        <w:rPr>
          <w:i/>
          <w:sz w:val="20"/>
          <w:szCs w:val="20"/>
        </w:rPr>
        <w:t>Fire Service Manual: Incident Command, Volume 2, 3</w:t>
      </w:r>
      <w:r w:rsidRPr="00EC3BC1">
        <w:rPr>
          <w:i/>
          <w:sz w:val="20"/>
          <w:szCs w:val="20"/>
          <w:vertAlign w:val="superscript"/>
        </w:rPr>
        <w:t>rd</w:t>
      </w:r>
      <w:r w:rsidRPr="00EC3BC1">
        <w:rPr>
          <w:i/>
          <w:sz w:val="20"/>
          <w:szCs w:val="20"/>
        </w:rPr>
        <w:t xml:space="preserve"> Edition</w:t>
      </w:r>
    </w:p>
    <w:p w:rsidR="00D02983" w:rsidRPr="00EC3BC1" w:rsidRDefault="00D02983" w:rsidP="001D498F">
      <w:pPr>
        <w:pStyle w:val="EndnoteText"/>
      </w:pPr>
    </w:p>
  </w:endnote>
  <w:endnote w:id="47">
    <w:p w:rsidR="00792F3C" w:rsidRDefault="00792F3C">
      <w:pPr>
        <w:pStyle w:val="EndnoteText"/>
      </w:pPr>
      <w:r>
        <w:rPr>
          <w:rStyle w:val="EndnoteReference"/>
        </w:rPr>
        <w:endnoteRef/>
      </w:r>
      <w:r>
        <w:t xml:space="preserve"> ibid</w:t>
      </w:r>
    </w:p>
  </w:endnote>
  <w:endnote w:id="48">
    <w:p w:rsidR="00D02983" w:rsidRDefault="00D02983">
      <w:pPr>
        <w:pStyle w:val="EndnoteText"/>
      </w:pPr>
      <w:r>
        <w:rPr>
          <w:rStyle w:val="EndnoteReference"/>
        </w:rPr>
        <w:endnoteRef/>
      </w:r>
      <w:r>
        <w:t xml:space="preserve"> Communities and Local Government (2011) </w:t>
      </w:r>
      <w:r w:rsidRPr="00461110">
        <w:rPr>
          <w:i/>
        </w:rPr>
        <w:t>Generic Risk Assessments, GRA 3.1 Fighting Fires in Buildings</w:t>
      </w:r>
    </w:p>
  </w:endnote>
  <w:endnote w:id="49">
    <w:p w:rsidR="00D02983" w:rsidRPr="00461110" w:rsidRDefault="00D02983">
      <w:pPr>
        <w:pStyle w:val="EndnoteText"/>
        <w:rPr>
          <w:i/>
        </w:rPr>
      </w:pPr>
      <w:r>
        <w:rPr>
          <w:rStyle w:val="EndnoteReference"/>
        </w:rPr>
        <w:endnoteRef/>
      </w:r>
      <w:r>
        <w:t xml:space="preserve"> Communities and Local Government (2011) </w:t>
      </w:r>
      <w:r w:rsidRPr="00461110">
        <w:rPr>
          <w:i/>
        </w:rPr>
        <w:t>Generic Risk Assessments,</w:t>
      </w:r>
      <w:r>
        <w:rPr>
          <w:i/>
        </w:rPr>
        <w:t>GRA 5.1 Incidents Involving Electricity</w:t>
      </w:r>
    </w:p>
  </w:endnote>
  <w:endnote w:id="50">
    <w:p w:rsidR="00D02983" w:rsidRDefault="00D02983">
      <w:pPr>
        <w:pStyle w:val="EndnoteText"/>
      </w:pPr>
      <w:r>
        <w:rPr>
          <w:rStyle w:val="EndnoteReference"/>
        </w:rPr>
        <w:endnoteRef/>
      </w:r>
      <w:r>
        <w:t xml:space="preserve"> Communities and Local Government (2011) </w:t>
      </w:r>
      <w:r w:rsidRPr="00461110">
        <w:rPr>
          <w:i/>
        </w:rPr>
        <w:t>Generic Risk Assessments,</w:t>
      </w:r>
      <w:r>
        <w:rPr>
          <w:i/>
        </w:rPr>
        <w:t>GRA3.5 Fighting Fires in Farms</w:t>
      </w:r>
    </w:p>
  </w:endnote>
  <w:endnote w:id="51">
    <w:p w:rsidR="00D02983" w:rsidRDefault="00D02983">
      <w:pPr>
        <w:pStyle w:val="EndnoteText"/>
      </w:pPr>
      <w:r>
        <w:rPr>
          <w:rStyle w:val="EndnoteReference"/>
        </w:rPr>
        <w:endnoteRef/>
      </w:r>
      <w:r>
        <w:t xml:space="preserve"> Communities and Local Government (2013) </w:t>
      </w:r>
      <w:r w:rsidRPr="00461110">
        <w:rPr>
          <w:i/>
        </w:rPr>
        <w:t>Generic Risk Assessments,</w:t>
      </w:r>
      <w:r>
        <w:rPr>
          <w:i/>
        </w:rPr>
        <w:t>GRA2.7 Rescues from Tunnels</w:t>
      </w:r>
    </w:p>
  </w:endnote>
  <w:endnote w:id="52">
    <w:p w:rsidR="00E923A5" w:rsidRDefault="00E923A5">
      <w:pPr>
        <w:pStyle w:val="EndnoteText"/>
      </w:pPr>
      <w:r>
        <w:rPr>
          <w:rStyle w:val="EndnoteReference"/>
        </w:rPr>
        <w:endnoteRef/>
      </w:r>
      <w:r>
        <w:t xml:space="preserve"> ibid, p 68</w:t>
      </w:r>
    </w:p>
  </w:endnote>
  <w:endnote w:id="53">
    <w:p w:rsidR="00D02983" w:rsidRDefault="00D02983">
      <w:pPr>
        <w:pStyle w:val="EndnoteText"/>
      </w:pPr>
      <w:r>
        <w:rPr>
          <w:rStyle w:val="EndnoteReference"/>
        </w:rPr>
        <w:endnoteRef/>
      </w:r>
      <w:r>
        <w:t xml:space="preserve"> </w:t>
      </w:r>
      <w:r w:rsidRPr="00EC3BC1">
        <w:t xml:space="preserve">Communities and Local Government (2008) </w:t>
      </w:r>
      <w:r w:rsidRPr="00EC3BC1">
        <w:rPr>
          <w:i/>
        </w:rPr>
        <w:t>Fire Service Manual: Incident Command, Volume 2, 3</w:t>
      </w:r>
      <w:r w:rsidRPr="00EC3BC1">
        <w:rPr>
          <w:i/>
          <w:vertAlign w:val="superscript"/>
        </w:rPr>
        <w:t>rd</w:t>
      </w:r>
      <w:r w:rsidRPr="00EC3BC1">
        <w:rPr>
          <w:i/>
        </w:rPr>
        <w:t xml:space="preserve"> Edition</w:t>
      </w:r>
    </w:p>
  </w:endnote>
  <w:endnote w:id="54">
    <w:p w:rsidR="00D02983" w:rsidRPr="00EC3BC1" w:rsidRDefault="00D02983" w:rsidP="00EC3BC1">
      <w:pPr>
        <w:pStyle w:val="EndnoteText"/>
      </w:pPr>
      <w:r w:rsidRPr="00EC3BC1">
        <w:rPr>
          <w:rStyle w:val="EndnoteReference"/>
        </w:rPr>
        <w:endnoteRef/>
      </w:r>
      <w:r w:rsidRPr="00EC3BC1">
        <w:t xml:space="preserve"> </w:t>
      </w:r>
      <w:r>
        <w:t>Aradau C and Van Munster R (2011</w:t>
      </w:r>
      <w:r w:rsidRPr="00EC3BC1">
        <w:t xml:space="preserve">) The Politics of Catastrophe; Genealogies of the Unknown, London Routledge </w:t>
      </w:r>
    </w:p>
    <w:p w:rsidR="00D02983" w:rsidRPr="00EC3BC1" w:rsidRDefault="00D02983" w:rsidP="00EC3BC1">
      <w:pPr>
        <w:pStyle w:val="EndnoteText"/>
      </w:pPr>
    </w:p>
  </w:endnote>
  <w:endnote w:id="55">
    <w:p w:rsidR="00D02983" w:rsidRPr="00EC3BC1" w:rsidRDefault="00D02983" w:rsidP="00EC3BC1">
      <w:pPr>
        <w:spacing w:line="240" w:lineRule="auto"/>
        <w:rPr>
          <w:sz w:val="20"/>
          <w:szCs w:val="20"/>
          <w:u w:val="single"/>
        </w:rPr>
      </w:pPr>
      <w:r w:rsidRPr="00EC3BC1">
        <w:rPr>
          <w:rStyle w:val="EndnoteReference"/>
          <w:sz w:val="20"/>
          <w:szCs w:val="20"/>
        </w:rPr>
        <w:endnoteRef/>
      </w:r>
      <w:r w:rsidRPr="00EC3BC1">
        <w:rPr>
          <w:sz w:val="20"/>
          <w:szCs w:val="20"/>
        </w:rPr>
        <w:t xml:space="preserve"> de Goede (2008) Beyond Risk: Pre-mediation and the Post 9/11 Imagination, </w:t>
      </w:r>
      <w:r w:rsidRPr="00EC3BC1">
        <w:rPr>
          <w:i/>
          <w:sz w:val="20"/>
          <w:szCs w:val="20"/>
        </w:rPr>
        <w:t>Security Dialogue</w:t>
      </w:r>
      <w:r w:rsidRPr="00EC3BC1">
        <w:rPr>
          <w:sz w:val="20"/>
          <w:szCs w:val="20"/>
        </w:rPr>
        <w:t>, Volume 39, Issue 2-3, pp 155-76</w:t>
      </w:r>
    </w:p>
  </w:endnote>
  <w:endnote w:id="56">
    <w:p w:rsidR="00D02983" w:rsidRPr="00EC3BC1" w:rsidRDefault="00D02983" w:rsidP="00EC3BC1">
      <w:pPr>
        <w:spacing w:line="240" w:lineRule="auto"/>
        <w:rPr>
          <w:sz w:val="20"/>
          <w:szCs w:val="20"/>
        </w:rPr>
      </w:pPr>
      <w:r w:rsidRPr="00EC3BC1">
        <w:rPr>
          <w:rStyle w:val="EndnoteReference"/>
          <w:sz w:val="20"/>
          <w:szCs w:val="20"/>
        </w:rPr>
        <w:endnoteRef/>
      </w:r>
      <w:r w:rsidRPr="00EC3BC1">
        <w:rPr>
          <w:sz w:val="20"/>
          <w:szCs w:val="20"/>
        </w:rPr>
        <w:t xml:space="preserve"> Grusin R (2010) </w:t>
      </w:r>
      <w:r w:rsidRPr="00EC3BC1">
        <w:rPr>
          <w:i/>
          <w:sz w:val="20"/>
          <w:szCs w:val="20"/>
        </w:rPr>
        <w:t>Premediation: Affect and Mediality after 9/11</w:t>
      </w:r>
      <w:r w:rsidRPr="00EC3BC1">
        <w:rPr>
          <w:sz w:val="20"/>
          <w:szCs w:val="20"/>
        </w:rPr>
        <w:t>, Palgrave Macmillan, London</w:t>
      </w: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792F3C" w:rsidRDefault="00792F3C" w:rsidP="00EC3BC1">
      <w:pPr>
        <w:pStyle w:val="EndnoteText"/>
        <w:rPr>
          <w:b/>
        </w:rPr>
      </w:pPr>
    </w:p>
    <w:p w:rsidR="00D02983" w:rsidRPr="00EC3BC1" w:rsidRDefault="00D02983" w:rsidP="00EC3BC1">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P7B6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53845"/>
      <w:docPartObj>
        <w:docPartGallery w:val="Page Numbers (Bottom of Page)"/>
        <w:docPartUnique/>
      </w:docPartObj>
    </w:sdtPr>
    <w:sdtContent>
      <w:p w:rsidR="00D02983" w:rsidRDefault="0047580C">
        <w:pPr>
          <w:pStyle w:val="Footer"/>
        </w:pPr>
        <w:fldSimple w:instr=" PAGE   \* MERGEFORMAT ">
          <w:r w:rsidR="006E0648">
            <w:rPr>
              <w:noProof/>
            </w:rPr>
            <w:t>1</w:t>
          </w:r>
        </w:fldSimple>
      </w:p>
    </w:sdtContent>
  </w:sdt>
  <w:p w:rsidR="00D02983" w:rsidRDefault="00D029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4F1" w:rsidRDefault="002F34F1" w:rsidP="002D4775">
      <w:pPr>
        <w:spacing w:after="0" w:line="240" w:lineRule="auto"/>
      </w:pPr>
      <w:r>
        <w:separator/>
      </w:r>
    </w:p>
  </w:footnote>
  <w:footnote w:type="continuationSeparator" w:id="0">
    <w:p w:rsidR="002F34F1" w:rsidRDefault="002F34F1" w:rsidP="002D4775">
      <w:pPr>
        <w:spacing w:after="0" w:line="240" w:lineRule="auto"/>
      </w:pPr>
      <w:r>
        <w:continuationSeparator/>
      </w:r>
    </w:p>
  </w:footnote>
  <w:footnote w:id="1">
    <w:p w:rsidR="00D02983" w:rsidRDefault="00D02983" w:rsidP="00EA078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53844"/>
      <w:docPartObj>
        <w:docPartGallery w:val="Page Numbers (Top of Page)"/>
        <w:docPartUnique/>
      </w:docPartObj>
    </w:sdtPr>
    <w:sdtContent>
      <w:p w:rsidR="00D02983" w:rsidRDefault="0047580C">
        <w:pPr>
          <w:pStyle w:val="Header"/>
        </w:pPr>
        <w:fldSimple w:instr=" PAGE   \* MERGEFORMAT ">
          <w:r w:rsidR="006E0648">
            <w:rPr>
              <w:noProof/>
            </w:rPr>
            <w:t>1</w:t>
          </w:r>
        </w:fldSimple>
      </w:p>
    </w:sdtContent>
  </w:sdt>
  <w:p w:rsidR="00D02983" w:rsidRDefault="00D029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50B5"/>
    <w:multiLevelType w:val="hybridMultilevel"/>
    <w:tmpl w:val="A4EA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06722"/>
    <w:multiLevelType w:val="hybridMultilevel"/>
    <w:tmpl w:val="C5EA2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E0CD3"/>
    <w:multiLevelType w:val="hybridMultilevel"/>
    <w:tmpl w:val="D6D2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E11AA7"/>
    <w:multiLevelType w:val="hybridMultilevel"/>
    <w:tmpl w:val="9B8A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F5696A"/>
    <w:multiLevelType w:val="hybridMultilevel"/>
    <w:tmpl w:val="978C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6D1E8C"/>
    <w:multiLevelType w:val="hybridMultilevel"/>
    <w:tmpl w:val="4BB2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163918"/>
    <w:multiLevelType w:val="hybridMultilevel"/>
    <w:tmpl w:val="0C92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2C4174"/>
    <w:multiLevelType w:val="hybridMultilevel"/>
    <w:tmpl w:val="D0968CBA"/>
    <w:lvl w:ilvl="0" w:tplc="ABE61C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163EBB"/>
    <w:multiLevelType w:val="hybridMultilevel"/>
    <w:tmpl w:val="5BC8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17515B1"/>
    <w:multiLevelType w:val="hybridMultilevel"/>
    <w:tmpl w:val="19A88DB0"/>
    <w:lvl w:ilvl="0" w:tplc="730E7E6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807A95"/>
    <w:multiLevelType w:val="hybridMultilevel"/>
    <w:tmpl w:val="52B6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3"/>
  </w:num>
  <w:num w:numId="5">
    <w:abstractNumId w:val="8"/>
  </w:num>
  <w:num w:numId="6">
    <w:abstractNumId w:val="4"/>
  </w:num>
  <w:num w:numId="7">
    <w:abstractNumId w:val="2"/>
  </w:num>
  <w:num w:numId="8">
    <w:abstractNumId w:val="10"/>
  </w:num>
  <w:num w:numId="9">
    <w:abstractNumId w:val="0"/>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FELayout/>
  </w:compat>
  <w:rsids>
    <w:rsidRoot w:val="003D5B23"/>
    <w:rsid w:val="00000973"/>
    <w:rsid w:val="00005271"/>
    <w:rsid w:val="00005F75"/>
    <w:rsid w:val="00006B64"/>
    <w:rsid w:val="00006C90"/>
    <w:rsid w:val="0000767D"/>
    <w:rsid w:val="00010557"/>
    <w:rsid w:val="000111D8"/>
    <w:rsid w:val="00012160"/>
    <w:rsid w:val="000133F0"/>
    <w:rsid w:val="00013614"/>
    <w:rsid w:val="00013E34"/>
    <w:rsid w:val="00014004"/>
    <w:rsid w:val="00016496"/>
    <w:rsid w:val="00033077"/>
    <w:rsid w:val="00034630"/>
    <w:rsid w:val="00035992"/>
    <w:rsid w:val="000409B7"/>
    <w:rsid w:val="000412B2"/>
    <w:rsid w:val="00041890"/>
    <w:rsid w:val="00046005"/>
    <w:rsid w:val="00047284"/>
    <w:rsid w:val="000476C9"/>
    <w:rsid w:val="00050DB0"/>
    <w:rsid w:val="00054945"/>
    <w:rsid w:val="00055EE3"/>
    <w:rsid w:val="00056065"/>
    <w:rsid w:val="000574E5"/>
    <w:rsid w:val="00061C0A"/>
    <w:rsid w:val="00063DD3"/>
    <w:rsid w:val="000671A9"/>
    <w:rsid w:val="000756EB"/>
    <w:rsid w:val="00077BAA"/>
    <w:rsid w:val="00077CAB"/>
    <w:rsid w:val="000810A5"/>
    <w:rsid w:val="00086B61"/>
    <w:rsid w:val="00086F7C"/>
    <w:rsid w:val="000872E1"/>
    <w:rsid w:val="000874D1"/>
    <w:rsid w:val="000933A6"/>
    <w:rsid w:val="000A12D0"/>
    <w:rsid w:val="000C56AE"/>
    <w:rsid w:val="000C6A94"/>
    <w:rsid w:val="000D0A9C"/>
    <w:rsid w:val="000D153C"/>
    <w:rsid w:val="000D5203"/>
    <w:rsid w:val="000D7D74"/>
    <w:rsid w:val="000E0C28"/>
    <w:rsid w:val="000E1172"/>
    <w:rsid w:val="000E165A"/>
    <w:rsid w:val="000E6A9C"/>
    <w:rsid w:val="000F3ADC"/>
    <w:rsid w:val="00101EE4"/>
    <w:rsid w:val="00107B82"/>
    <w:rsid w:val="0011548D"/>
    <w:rsid w:val="0012188B"/>
    <w:rsid w:val="00123794"/>
    <w:rsid w:val="00131720"/>
    <w:rsid w:val="001334B2"/>
    <w:rsid w:val="00133CBE"/>
    <w:rsid w:val="001419EB"/>
    <w:rsid w:val="00144008"/>
    <w:rsid w:val="001529B2"/>
    <w:rsid w:val="00153C8A"/>
    <w:rsid w:val="001551AA"/>
    <w:rsid w:val="0015654B"/>
    <w:rsid w:val="001606E1"/>
    <w:rsid w:val="00162B7E"/>
    <w:rsid w:val="00177915"/>
    <w:rsid w:val="0018759B"/>
    <w:rsid w:val="00190A36"/>
    <w:rsid w:val="00195298"/>
    <w:rsid w:val="001979B1"/>
    <w:rsid w:val="001A0A3D"/>
    <w:rsid w:val="001A40BA"/>
    <w:rsid w:val="001A46E9"/>
    <w:rsid w:val="001A5A44"/>
    <w:rsid w:val="001A64C7"/>
    <w:rsid w:val="001C069D"/>
    <w:rsid w:val="001C3567"/>
    <w:rsid w:val="001C4EB1"/>
    <w:rsid w:val="001C5134"/>
    <w:rsid w:val="001C7DA1"/>
    <w:rsid w:val="001C7DDA"/>
    <w:rsid w:val="001D498F"/>
    <w:rsid w:val="001D6BE5"/>
    <w:rsid w:val="001E0D4D"/>
    <w:rsid w:val="001E4B2E"/>
    <w:rsid w:val="001E6624"/>
    <w:rsid w:val="001E782E"/>
    <w:rsid w:val="001F0911"/>
    <w:rsid w:val="001F47F8"/>
    <w:rsid w:val="001F5AD8"/>
    <w:rsid w:val="001F761F"/>
    <w:rsid w:val="0020294D"/>
    <w:rsid w:val="00203785"/>
    <w:rsid w:val="00203ECB"/>
    <w:rsid w:val="002050D7"/>
    <w:rsid w:val="00207264"/>
    <w:rsid w:val="00207B7A"/>
    <w:rsid w:val="00211A44"/>
    <w:rsid w:val="00220058"/>
    <w:rsid w:val="00220C35"/>
    <w:rsid w:val="002335DD"/>
    <w:rsid w:val="0023645F"/>
    <w:rsid w:val="00236C31"/>
    <w:rsid w:val="00237833"/>
    <w:rsid w:val="0024138B"/>
    <w:rsid w:val="00244C06"/>
    <w:rsid w:val="00247518"/>
    <w:rsid w:val="00251B2A"/>
    <w:rsid w:val="0025433E"/>
    <w:rsid w:val="002557A2"/>
    <w:rsid w:val="00255CF8"/>
    <w:rsid w:val="00257C9E"/>
    <w:rsid w:val="002615A7"/>
    <w:rsid w:val="00262DF8"/>
    <w:rsid w:val="002674F3"/>
    <w:rsid w:val="00273932"/>
    <w:rsid w:val="0027587E"/>
    <w:rsid w:val="00281E5E"/>
    <w:rsid w:val="00284643"/>
    <w:rsid w:val="00284E88"/>
    <w:rsid w:val="002913AD"/>
    <w:rsid w:val="00292CFC"/>
    <w:rsid w:val="0029707C"/>
    <w:rsid w:val="002A1891"/>
    <w:rsid w:val="002A2828"/>
    <w:rsid w:val="002A337D"/>
    <w:rsid w:val="002A6DD3"/>
    <w:rsid w:val="002A7153"/>
    <w:rsid w:val="002B754E"/>
    <w:rsid w:val="002C0E4D"/>
    <w:rsid w:val="002C16A3"/>
    <w:rsid w:val="002C314E"/>
    <w:rsid w:val="002C3F40"/>
    <w:rsid w:val="002D4775"/>
    <w:rsid w:val="002D51AA"/>
    <w:rsid w:val="002D6837"/>
    <w:rsid w:val="002E4530"/>
    <w:rsid w:val="002E6398"/>
    <w:rsid w:val="002F09EB"/>
    <w:rsid w:val="002F0C52"/>
    <w:rsid w:val="002F242D"/>
    <w:rsid w:val="002F34F1"/>
    <w:rsid w:val="002F4D68"/>
    <w:rsid w:val="002F50AC"/>
    <w:rsid w:val="003019C7"/>
    <w:rsid w:val="00303959"/>
    <w:rsid w:val="00304AE3"/>
    <w:rsid w:val="003109AD"/>
    <w:rsid w:val="003114DE"/>
    <w:rsid w:val="0031194E"/>
    <w:rsid w:val="00320CAC"/>
    <w:rsid w:val="00323864"/>
    <w:rsid w:val="0032398C"/>
    <w:rsid w:val="003270D5"/>
    <w:rsid w:val="00330ED3"/>
    <w:rsid w:val="003319BE"/>
    <w:rsid w:val="0033200F"/>
    <w:rsid w:val="00335165"/>
    <w:rsid w:val="00345593"/>
    <w:rsid w:val="00345D45"/>
    <w:rsid w:val="00346F7E"/>
    <w:rsid w:val="003511EE"/>
    <w:rsid w:val="003518BE"/>
    <w:rsid w:val="003541F2"/>
    <w:rsid w:val="00355DA3"/>
    <w:rsid w:val="003564FF"/>
    <w:rsid w:val="0035652E"/>
    <w:rsid w:val="00356DD5"/>
    <w:rsid w:val="00356E86"/>
    <w:rsid w:val="003619B2"/>
    <w:rsid w:val="00372C25"/>
    <w:rsid w:val="00374172"/>
    <w:rsid w:val="00384C14"/>
    <w:rsid w:val="0038624E"/>
    <w:rsid w:val="0038768B"/>
    <w:rsid w:val="003902F2"/>
    <w:rsid w:val="00390545"/>
    <w:rsid w:val="00394A13"/>
    <w:rsid w:val="003951B8"/>
    <w:rsid w:val="00395247"/>
    <w:rsid w:val="0039664C"/>
    <w:rsid w:val="003A489E"/>
    <w:rsid w:val="003A6515"/>
    <w:rsid w:val="003C77EF"/>
    <w:rsid w:val="003C782E"/>
    <w:rsid w:val="003D3C2C"/>
    <w:rsid w:val="003D4715"/>
    <w:rsid w:val="003D5366"/>
    <w:rsid w:val="003D5B23"/>
    <w:rsid w:val="003D5B79"/>
    <w:rsid w:val="003D773F"/>
    <w:rsid w:val="003D7E61"/>
    <w:rsid w:val="003E1CAA"/>
    <w:rsid w:val="003E2381"/>
    <w:rsid w:val="003E2BC7"/>
    <w:rsid w:val="003E2E29"/>
    <w:rsid w:val="003E33C0"/>
    <w:rsid w:val="003E3869"/>
    <w:rsid w:val="003E7192"/>
    <w:rsid w:val="003F1C50"/>
    <w:rsid w:val="003F1EFC"/>
    <w:rsid w:val="003F789A"/>
    <w:rsid w:val="00400225"/>
    <w:rsid w:val="00404233"/>
    <w:rsid w:val="00404E6C"/>
    <w:rsid w:val="00406699"/>
    <w:rsid w:val="00407473"/>
    <w:rsid w:val="004078D5"/>
    <w:rsid w:val="004078DE"/>
    <w:rsid w:val="00410BAC"/>
    <w:rsid w:val="00411BAB"/>
    <w:rsid w:val="004124FE"/>
    <w:rsid w:val="00415B3A"/>
    <w:rsid w:val="00415D8F"/>
    <w:rsid w:val="0042568F"/>
    <w:rsid w:val="0042745B"/>
    <w:rsid w:val="004277B6"/>
    <w:rsid w:val="0043363C"/>
    <w:rsid w:val="004350F5"/>
    <w:rsid w:val="00436B49"/>
    <w:rsid w:val="0044564C"/>
    <w:rsid w:val="00445696"/>
    <w:rsid w:val="00445C42"/>
    <w:rsid w:val="00450150"/>
    <w:rsid w:val="004515E3"/>
    <w:rsid w:val="004532BB"/>
    <w:rsid w:val="00454CC4"/>
    <w:rsid w:val="0045580C"/>
    <w:rsid w:val="00455EE1"/>
    <w:rsid w:val="004604F7"/>
    <w:rsid w:val="00461110"/>
    <w:rsid w:val="00463B90"/>
    <w:rsid w:val="0046661F"/>
    <w:rsid w:val="00467868"/>
    <w:rsid w:val="00467C6E"/>
    <w:rsid w:val="0047283B"/>
    <w:rsid w:val="00474286"/>
    <w:rsid w:val="0047580C"/>
    <w:rsid w:val="0048197D"/>
    <w:rsid w:val="0048659B"/>
    <w:rsid w:val="0048661D"/>
    <w:rsid w:val="00490C0B"/>
    <w:rsid w:val="00490F45"/>
    <w:rsid w:val="00494130"/>
    <w:rsid w:val="0049664C"/>
    <w:rsid w:val="00496960"/>
    <w:rsid w:val="004A0D6E"/>
    <w:rsid w:val="004A41B9"/>
    <w:rsid w:val="004B02AF"/>
    <w:rsid w:val="004B1101"/>
    <w:rsid w:val="004B3B9A"/>
    <w:rsid w:val="004B4548"/>
    <w:rsid w:val="004B560A"/>
    <w:rsid w:val="004C0503"/>
    <w:rsid w:val="004C1A43"/>
    <w:rsid w:val="004C2C93"/>
    <w:rsid w:val="004C6828"/>
    <w:rsid w:val="004C69CC"/>
    <w:rsid w:val="004C7BA7"/>
    <w:rsid w:val="004D0764"/>
    <w:rsid w:val="004D3228"/>
    <w:rsid w:val="004D5A56"/>
    <w:rsid w:val="004E4E03"/>
    <w:rsid w:val="004F0DA7"/>
    <w:rsid w:val="004F1A02"/>
    <w:rsid w:val="004F2691"/>
    <w:rsid w:val="004F2912"/>
    <w:rsid w:val="004F3580"/>
    <w:rsid w:val="004F7DE9"/>
    <w:rsid w:val="0050045E"/>
    <w:rsid w:val="00502DEE"/>
    <w:rsid w:val="00505E63"/>
    <w:rsid w:val="00505FB1"/>
    <w:rsid w:val="005072C4"/>
    <w:rsid w:val="00510E8A"/>
    <w:rsid w:val="00512213"/>
    <w:rsid w:val="00513D3F"/>
    <w:rsid w:val="005170EF"/>
    <w:rsid w:val="00525554"/>
    <w:rsid w:val="00525731"/>
    <w:rsid w:val="00525836"/>
    <w:rsid w:val="00526AAB"/>
    <w:rsid w:val="00530309"/>
    <w:rsid w:val="00531E0F"/>
    <w:rsid w:val="00537B5F"/>
    <w:rsid w:val="00540817"/>
    <w:rsid w:val="00540ED2"/>
    <w:rsid w:val="00545586"/>
    <w:rsid w:val="00545848"/>
    <w:rsid w:val="005520BC"/>
    <w:rsid w:val="00556C75"/>
    <w:rsid w:val="00561A63"/>
    <w:rsid w:val="00562731"/>
    <w:rsid w:val="00562E91"/>
    <w:rsid w:val="00570F84"/>
    <w:rsid w:val="005761CA"/>
    <w:rsid w:val="005764D7"/>
    <w:rsid w:val="005764E9"/>
    <w:rsid w:val="00581351"/>
    <w:rsid w:val="005850FF"/>
    <w:rsid w:val="00586957"/>
    <w:rsid w:val="00587D27"/>
    <w:rsid w:val="00590D33"/>
    <w:rsid w:val="005963A9"/>
    <w:rsid w:val="00596885"/>
    <w:rsid w:val="005976BE"/>
    <w:rsid w:val="005A29FD"/>
    <w:rsid w:val="005B0293"/>
    <w:rsid w:val="005B0B04"/>
    <w:rsid w:val="005B0C4C"/>
    <w:rsid w:val="005B5AA9"/>
    <w:rsid w:val="005C2DBA"/>
    <w:rsid w:val="005C7DBD"/>
    <w:rsid w:val="005D2D45"/>
    <w:rsid w:val="005D319E"/>
    <w:rsid w:val="005E62E9"/>
    <w:rsid w:val="005E7453"/>
    <w:rsid w:val="005F17B5"/>
    <w:rsid w:val="005F1BA3"/>
    <w:rsid w:val="005F20BE"/>
    <w:rsid w:val="005F62AC"/>
    <w:rsid w:val="00600A97"/>
    <w:rsid w:val="00600E33"/>
    <w:rsid w:val="006038BB"/>
    <w:rsid w:val="00605D3C"/>
    <w:rsid w:val="0061066F"/>
    <w:rsid w:val="00611354"/>
    <w:rsid w:val="00612A8C"/>
    <w:rsid w:val="0061679C"/>
    <w:rsid w:val="00617B2B"/>
    <w:rsid w:val="00625457"/>
    <w:rsid w:val="00626C1C"/>
    <w:rsid w:val="00634F16"/>
    <w:rsid w:val="006356F1"/>
    <w:rsid w:val="0064243C"/>
    <w:rsid w:val="00650483"/>
    <w:rsid w:val="00652B15"/>
    <w:rsid w:val="00655D46"/>
    <w:rsid w:val="00661A98"/>
    <w:rsid w:val="00666D65"/>
    <w:rsid w:val="00667D0E"/>
    <w:rsid w:val="006714A0"/>
    <w:rsid w:val="006734C9"/>
    <w:rsid w:val="00677BCC"/>
    <w:rsid w:val="006809D0"/>
    <w:rsid w:val="006852A6"/>
    <w:rsid w:val="0069189F"/>
    <w:rsid w:val="00692F58"/>
    <w:rsid w:val="00694D07"/>
    <w:rsid w:val="00695CBA"/>
    <w:rsid w:val="006963B1"/>
    <w:rsid w:val="006A74ED"/>
    <w:rsid w:val="006B5E15"/>
    <w:rsid w:val="006B6851"/>
    <w:rsid w:val="006C332B"/>
    <w:rsid w:val="006C3A08"/>
    <w:rsid w:val="006C50EC"/>
    <w:rsid w:val="006C56A7"/>
    <w:rsid w:val="006C589E"/>
    <w:rsid w:val="006D206B"/>
    <w:rsid w:val="006D28DE"/>
    <w:rsid w:val="006D4BFC"/>
    <w:rsid w:val="006D761B"/>
    <w:rsid w:val="006E0648"/>
    <w:rsid w:val="006E25C8"/>
    <w:rsid w:val="006F03C6"/>
    <w:rsid w:val="006F0B0A"/>
    <w:rsid w:val="006F12DC"/>
    <w:rsid w:val="006F3181"/>
    <w:rsid w:val="006F711E"/>
    <w:rsid w:val="00700B6F"/>
    <w:rsid w:val="00716880"/>
    <w:rsid w:val="00717813"/>
    <w:rsid w:val="00723063"/>
    <w:rsid w:val="00725C34"/>
    <w:rsid w:val="007304FB"/>
    <w:rsid w:val="0073081F"/>
    <w:rsid w:val="0073326B"/>
    <w:rsid w:val="0073493B"/>
    <w:rsid w:val="007370A9"/>
    <w:rsid w:val="007450A9"/>
    <w:rsid w:val="00745C93"/>
    <w:rsid w:val="00746B1A"/>
    <w:rsid w:val="00752FB5"/>
    <w:rsid w:val="0075361F"/>
    <w:rsid w:val="00762C2A"/>
    <w:rsid w:val="00764EE7"/>
    <w:rsid w:val="007655D9"/>
    <w:rsid w:val="00766827"/>
    <w:rsid w:val="00767440"/>
    <w:rsid w:val="00767CE9"/>
    <w:rsid w:val="0077202E"/>
    <w:rsid w:val="0077756B"/>
    <w:rsid w:val="007826F2"/>
    <w:rsid w:val="0078300B"/>
    <w:rsid w:val="007876C3"/>
    <w:rsid w:val="007900AA"/>
    <w:rsid w:val="00792F3C"/>
    <w:rsid w:val="0079304B"/>
    <w:rsid w:val="00795978"/>
    <w:rsid w:val="007961B7"/>
    <w:rsid w:val="0079630F"/>
    <w:rsid w:val="007A06F6"/>
    <w:rsid w:val="007A178A"/>
    <w:rsid w:val="007A21F5"/>
    <w:rsid w:val="007B65A8"/>
    <w:rsid w:val="007C01BC"/>
    <w:rsid w:val="007C26C5"/>
    <w:rsid w:val="007C2BFF"/>
    <w:rsid w:val="007E377C"/>
    <w:rsid w:val="007F1235"/>
    <w:rsid w:val="007F4D5B"/>
    <w:rsid w:val="007F6105"/>
    <w:rsid w:val="007F6AFE"/>
    <w:rsid w:val="0080278E"/>
    <w:rsid w:val="00807FC1"/>
    <w:rsid w:val="008131A5"/>
    <w:rsid w:val="008131F9"/>
    <w:rsid w:val="00822926"/>
    <w:rsid w:val="00830CFF"/>
    <w:rsid w:val="008343AE"/>
    <w:rsid w:val="00834416"/>
    <w:rsid w:val="00835B5D"/>
    <w:rsid w:val="00840B82"/>
    <w:rsid w:val="00840FF0"/>
    <w:rsid w:val="008418B7"/>
    <w:rsid w:val="00841CE6"/>
    <w:rsid w:val="00844EC9"/>
    <w:rsid w:val="008452D9"/>
    <w:rsid w:val="0085273D"/>
    <w:rsid w:val="00852D38"/>
    <w:rsid w:val="00854F12"/>
    <w:rsid w:val="00856AA5"/>
    <w:rsid w:val="00863BA2"/>
    <w:rsid w:val="008865C2"/>
    <w:rsid w:val="00886809"/>
    <w:rsid w:val="008874AB"/>
    <w:rsid w:val="008916F8"/>
    <w:rsid w:val="00893A96"/>
    <w:rsid w:val="00893F3C"/>
    <w:rsid w:val="00895DE1"/>
    <w:rsid w:val="008A012F"/>
    <w:rsid w:val="008A3127"/>
    <w:rsid w:val="008A33C5"/>
    <w:rsid w:val="008A4E6A"/>
    <w:rsid w:val="008A6718"/>
    <w:rsid w:val="008B0F2B"/>
    <w:rsid w:val="008B2581"/>
    <w:rsid w:val="008B7CED"/>
    <w:rsid w:val="008C1560"/>
    <w:rsid w:val="008C1A20"/>
    <w:rsid w:val="008C1A9C"/>
    <w:rsid w:val="008D0A4C"/>
    <w:rsid w:val="008D3E78"/>
    <w:rsid w:val="008E0D0D"/>
    <w:rsid w:val="008E1F58"/>
    <w:rsid w:val="008E2492"/>
    <w:rsid w:val="008E39FA"/>
    <w:rsid w:val="008E3DD1"/>
    <w:rsid w:val="008E5F21"/>
    <w:rsid w:val="008E7BBF"/>
    <w:rsid w:val="008F29B9"/>
    <w:rsid w:val="0090228B"/>
    <w:rsid w:val="00910ECB"/>
    <w:rsid w:val="00914A5A"/>
    <w:rsid w:val="00921C06"/>
    <w:rsid w:val="00922D6B"/>
    <w:rsid w:val="009304F9"/>
    <w:rsid w:val="0093243E"/>
    <w:rsid w:val="009354BC"/>
    <w:rsid w:val="00935882"/>
    <w:rsid w:val="009366F3"/>
    <w:rsid w:val="00941AEA"/>
    <w:rsid w:val="00942BDA"/>
    <w:rsid w:val="00942EF6"/>
    <w:rsid w:val="00945EBF"/>
    <w:rsid w:val="0095007A"/>
    <w:rsid w:val="00950A0E"/>
    <w:rsid w:val="00955D12"/>
    <w:rsid w:val="009566F4"/>
    <w:rsid w:val="00957F9A"/>
    <w:rsid w:val="009630D0"/>
    <w:rsid w:val="00964614"/>
    <w:rsid w:val="00964FEA"/>
    <w:rsid w:val="00965608"/>
    <w:rsid w:val="00966538"/>
    <w:rsid w:val="00971912"/>
    <w:rsid w:val="00976AA3"/>
    <w:rsid w:val="0098003E"/>
    <w:rsid w:val="00980DC9"/>
    <w:rsid w:val="009816AF"/>
    <w:rsid w:val="00983596"/>
    <w:rsid w:val="00983AEC"/>
    <w:rsid w:val="00984ACF"/>
    <w:rsid w:val="009868A5"/>
    <w:rsid w:val="00986CA9"/>
    <w:rsid w:val="00991602"/>
    <w:rsid w:val="00991E8C"/>
    <w:rsid w:val="00992540"/>
    <w:rsid w:val="009A0AAE"/>
    <w:rsid w:val="009A1635"/>
    <w:rsid w:val="009A6992"/>
    <w:rsid w:val="009B30BE"/>
    <w:rsid w:val="009B7763"/>
    <w:rsid w:val="009C04C0"/>
    <w:rsid w:val="009C19F8"/>
    <w:rsid w:val="009C22F8"/>
    <w:rsid w:val="009C2670"/>
    <w:rsid w:val="009C3A34"/>
    <w:rsid w:val="009C47FC"/>
    <w:rsid w:val="009D0307"/>
    <w:rsid w:val="009D0E92"/>
    <w:rsid w:val="009D6D12"/>
    <w:rsid w:val="009E3E7A"/>
    <w:rsid w:val="009E4357"/>
    <w:rsid w:val="009F0825"/>
    <w:rsid w:val="009F5C80"/>
    <w:rsid w:val="009F6A3A"/>
    <w:rsid w:val="00A00365"/>
    <w:rsid w:val="00A01EAB"/>
    <w:rsid w:val="00A0577F"/>
    <w:rsid w:val="00A10652"/>
    <w:rsid w:val="00A14203"/>
    <w:rsid w:val="00A14818"/>
    <w:rsid w:val="00A163C4"/>
    <w:rsid w:val="00A17013"/>
    <w:rsid w:val="00A17745"/>
    <w:rsid w:val="00A20098"/>
    <w:rsid w:val="00A21BCE"/>
    <w:rsid w:val="00A2430A"/>
    <w:rsid w:val="00A27D45"/>
    <w:rsid w:val="00A364EA"/>
    <w:rsid w:val="00A42FED"/>
    <w:rsid w:val="00A4310B"/>
    <w:rsid w:val="00A44CAC"/>
    <w:rsid w:val="00A451E8"/>
    <w:rsid w:val="00A53F34"/>
    <w:rsid w:val="00A54B02"/>
    <w:rsid w:val="00A57B3B"/>
    <w:rsid w:val="00A60BE9"/>
    <w:rsid w:val="00A6281A"/>
    <w:rsid w:val="00A6354A"/>
    <w:rsid w:val="00A65FA1"/>
    <w:rsid w:val="00A70179"/>
    <w:rsid w:val="00A7050B"/>
    <w:rsid w:val="00A7320C"/>
    <w:rsid w:val="00A74380"/>
    <w:rsid w:val="00A75228"/>
    <w:rsid w:val="00A75C83"/>
    <w:rsid w:val="00A7718B"/>
    <w:rsid w:val="00A8319D"/>
    <w:rsid w:val="00A85265"/>
    <w:rsid w:val="00A86600"/>
    <w:rsid w:val="00A914DF"/>
    <w:rsid w:val="00A9313E"/>
    <w:rsid w:val="00A9510F"/>
    <w:rsid w:val="00AA0383"/>
    <w:rsid w:val="00AA0931"/>
    <w:rsid w:val="00AA1D60"/>
    <w:rsid w:val="00AA20D3"/>
    <w:rsid w:val="00AA32A6"/>
    <w:rsid w:val="00AA6645"/>
    <w:rsid w:val="00AA7DA6"/>
    <w:rsid w:val="00AB36E0"/>
    <w:rsid w:val="00AB53D7"/>
    <w:rsid w:val="00AB7896"/>
    <w:rsid w:val="00AD1179"/>
    <w:rsid w:val="00AD235E"/>
    <w:rsid w:val="00AE0392"/>
    <w:rsid w:val="00AE77A1"/>
    <w:rsid w:val="00AF1980"/>
    <w:rsid w:val="00AF2124"/>
    <w:rsid w:val="00AF21DA"/>
    <w:rsid w:val="00AF30AC"/>
    <w:rsid w:val="00AF6218"/>
    <w:rsid w:val="00AF7E20"/>
    <w:rsid w:val="00B01F9A"/>
    <w:rsid w:val="00B06DC1"/>
    <w:rsid w:val="00B10ED5"/>
    <w:rsid w:val="00B11310"/>
    <w:rsid w:val="00B1222E"/>
    <w:rsid w:val="00B12900"/>
    <w:rsid w:val="00B13B87"/>
    <w:rsid w:val="00B178E8"/>
    <w:rsid w:val="00B21152"/>
    <w:rsid w:val="00B2131F"/>
    <w:rsid w:val="00B26503"/>
    <w:rsid w:val="00B26E78"/>
    <w:rsid w:val="00B30C80"/>
    <w:rsid w:val="00B3321A"/>
    <w:rsid w:val="00B33ADD"/>
    <w:rsid w:val="00B33EC7"/>
    <w:rsid w:val="00B34625"/>
    <w:rsid w:val="00B425B8"/>
    <w:rsid w:val="00B42CFD"/>
    <w:rsid w:val="00B4386B"/>
    <w:rsid w:val="00B50CFF"/>
    <w:rsid w:val="00B51E4F"/>
    <w:rsid w:val="00B52DD2"/>
    <w:rsid w:val="00B617E6"/>
    <w:rsid w:val="00B62E16"/>
    <w:rsid w:val="00B63BED"/>
    <w:rsid w:val="00B71C26"/>
    <w:rsid w:val="00B72E2C"/>
    <w:rsid w:val="00B74211"/>
    <w:rsid w:val="00B749F4"/>
    <w:rsid w:val="00B7734C"/>
    <w:rsid w:val="00B809F5"/>
    <w:rsid w:val="00B80ACD"/>
    <w:rsid w:val="00B81879"/>
    <w:rsid w:val="00B83532"/>
    <w:rsid w:val="00B861F8"/>
    <w:rsid w:val="00B939BA"/>
    <w:rsid w:val="00B9451D"/>
    <w:rsid w:val="00B95580"/>
    <w:rsid w:val="00BA6EE2"/>
    <w:rsid w:val="00BA7DE2"/>
    <w:rsid w:val="00BB0B20"/>
    <w:rsid w:val="00BC2A19"/>
    <w:rsid w:val="00BC2B16"/>
    <w:rsid w:val="00BD192B"/>
    <w:rsid w:val="00BD5EB7"/>
    <w:rsid w:val="00BD7D27"/>
    <w:rsid w:val="00BE77A0"/>
    <w:rsid w:val="00BF2F8E"/>
    <w:rsid w:val="00BF52D3"/>
    <w:rsid w:val="00C00607"/>
    <w:rsid w:val="00C02401"/>
    <w:rsid w:val="00C028E5"/>
    <w:rsid w:val="00C03F99"/>
    <w:rsid w:val="00C0450F"/>
    <w:rsid w:val="00C10058"/>
    <w:rsid w:val="00C1060F"/>
    <w:rsid w:val="00C13AF7"/>
    <w:rsid w:val="00C1442D"/>
    <w:rsid w:val="00C14E7B"/>
    <w:rsid w:val="00C226FC"/>
    <w:rsid w:val="00C22F86"/>
    <w:rsid w:val="00C31327"/>
    <w:rsid w:val="00C41EF9"/>
    <w:rsid w:val="00C44ED4"/>
    <w:rsid w:val="00C45C9E"/>
    <w:rsid w:val="00C5536C"/>
    <w:rsid w:val="00C55B6E"/>
    <w:rsid w:val="00C5640D"/>
    <w:rsid w:val="00C609A7"/>
    <w:rsid w:val="00C665D2"/>
    <w:rsid w:val="00C71E70"/>
    <w:rsid w:val="00C7273F"/>
    <w:rsid w:val="00C84317"/>
    <w:rsid w:val="00C90D7A"/>
    <w:rsid w:val="00C93212"/>
    <w:rsid w:val="00C94BBB"/>
    <w:rsid w:val="00C9588C"/>
    <w:rsid w:val="00CA07A4"/>
    <w:rsid w:val="00CA666A"/>
    <w:rsid w:val="00CB0DCF"/>
    <w:rsid w:val="00CB0DE6"/>
    <w:rsid w:val="00CB21B5"/>
    <w:rsid w:val="00CC44DE"/>
    <w:rsid w:val="00CC4CB6"/>
    <w:rsid w:val="00CC65C8"/>
    <w:rsid w:val="00CD4D6F"/>
    <w:rsid w:val="00CD5001"/>
    <w:rsid w:val="00CD5A67"/>
    <w:rsid w:val="00CE3976"/>
    <w:rsid w:val="00CF1B06"/>
    <w:rsid w:val="00CF451A"/>
    <w:rsid w:val="00CF55DE"/>
    <w:rsid w:val="00CF6EEE"/>
    <w:rsid w:val="00D0041D"/>
    <w:rsid w:val="00D02983"/>
    <w:rsid w:val="00D053BE"/>
    <w:rsid w:val="00D05CCD"/>
    <w:rsid w:val="00D0674E"/>
    <w:rsid w:val="00D070D4"/>
    <w:rsid w:val="00D1311F"/>
    <w:rsid w:val="00D1339E"/>
    <w:rsid w:val="00D157F1"/>
    <w:rsid w:val="00D15EE4"/>
    <w:rsid w:val="00D27A3C"/>
    <w:rsid w:val="00D27B11"/>
    <w:rsid w:val="00D32A70"/>
    <w:rsid w:val="00D339DA"/>
    <w:rsid w:val="00D33E2D"/>
    <w:rsid w:val="00D40027"/>
    <w:rsid w:val="00D44C89"/>
    <w:rsid w:val="00D45401"/>
    <w:rsid w:val="00D50688"/>
    <w:rsid w:val="00D52082"/>
    <w:rsid w:val="00D52A13"/>
    <w:rsid w:val="00D52EF3"/>
    <w:rsid w:val="00D53815"/>
    <w:rsid w:val="00D5478F"/>
    <w:rsid w:val="00D61DE7"/>
    <w:rsid w:val="00D640A2"/>
    <w:rsid w:val="00D700ED"/>
    <w:rsid w:val="00D72159"/>
    <w:rsid w:val="00D72B4C"/>
    <w:rsid w:val="00D74B81"/>
    <w:rsid w:val="00D74D44"/>
    <w:rsid w:val="00D8257B"/>
    <w:rsid w:val="00D90EAF"/>
    <w:rsid w:val="00D96A03"/>
    <w:rsid w:val="00D96FA2"/>
    <w:rsid w:val="00DA5702"/>
    <w:rsid w:val="00DA7360"/>
    <w:rsid w:val="00DA7F7F"/>
    <w:rsid w:val="00DB0C6A"/>
    <w:rsid w:val="00DB256C"/>
    <w:rsid w:val="00DB2B95"/>
    <w:rsid w:val="00DB3012"/>
    <w:rsid w:val="00DB4083"/>
    <w:rsid w:val="00DC16B2"/>
    <w:rsid w:val="00DC2C47"/>
    <w:rsid w:val="00DC2D39"/>
    <w:rsid w:val="00DC3B84"/>
    <w:rsid w:val="00DC4A8A"/>
    <w:rsid w:val="00DC6BE7"/>
    <w:rsid w:val="00DD3114"/>
    <w:rsid w:val="00DD31F6"/>
    <w:rsid w:val="00DE25B3"/>
    <w:rsid w:val="00DE57F6"/>
    <w:rsid w:val="00DE6D4F"/>
    <w:rsid w:val="00DF1058"/>
    <w:rsid w:val="00DF514D"/>
    <w:rsid w:val="00DF6B06"/>
    <w:rsid w:val="00DF783F"/>
    <w:rsid w:val="00E03D36"/>
    <w:rsid w:val="00E130B0"/>
    <w:rsid w:val="00E20ED0"/>
    <w:rsid w:val="00E2129A"/>
    <w:rsid w:val="00E2245B"/>
    <w:rsid w:val="00E23A88"/>
    <w:rsid w:val="00E25CBA"/>
    <w:rsid w:val="00E30FEE"/>
    <w:rsid w:val="00E327C0"/>
    <w:rsid w:val="00E34B73"/>
    <w:rsid w:val="00E35B1D"/>
    <w:rsid w:val="00E509ED"/>
    <w:rsid w:val="00E55D27"/>
    <w:rsid w:val="00E60B00"/>
    <w:rsid w:val="00E64AC8"/>
    <w:rsid w:val="00E662BE"/>
    <w:rsid w:val="00E67177"/>
    <w:rsid w:val="00E70CD3"/>
    <w:rsid w:val="00E72234"/>
    <w:rsid w:val="00E746D1"/>
    <w:rsid w:val="00E759BA"/>
    <w:rsid w:val="00E82C90"/>
    <w:rsid w:val="00E854E4"/>
    <w:rsid w:val="00E923A5"/>
    <w:rsid w:val="00E934C7"/>
    <w:rsid w:val="00E93CC8"/>
    <w:rsid w:val="00E94ED1"/>
    <w:rsid w:val="00E956E9"/>
    <w:rsid w:val="00EA0458"/>
    <w:rsid w:val="00EA078C"/>
    <w:rsid w:val="00EA1C11"/>
    <w:rsid w:val="00EA2046"/>
    <w:rsid w:val="00EA3614"/>
    <w:rsid w:val="00EA6674"/>
    <w:rsid w:val="00EB2FE3"/>
    <w:rsid w:val="00EB4D6D"/>
    <w:rsid w:val="00EB7215"/>
    <w:rsid w:val="00EB72F3"/>
    <w:rsid w:val="00EC2517"/>
    <w:rsid w:val="00EC3BC1"/>
    <w:rsid w:val="00EC661C"/>
    <w:rsid w:val="00EC66D2"/>
    <w:rsid w:val="00ED26E2"/>
    <w:rsid w:val="00ED3B4D"/>
    <w:rsid w:val="00ED5569"/>
    <w:rsid w:val="00ED58CB"/>
    <w:rsid w:val="00EE3DBA"/>
    <w:rsid w:val="00EE6728"/>
    <w:rsid w:val="00EE6F8D"/>
    <w:rsid w:val="00EF3C16"/>
    <w:rsid w:val="00EF6C8A"/>
    <w:rsid w:val="00EF6E86"/>
    <w:rsid w:val="00F0055D"/>
    <w:rsid w:val="00F010C6"/>
    <w:rsid w:val="00F01762"/>
    <w:rsid w:val="00F06609"/>
    <w:rsid w:val="00F109CC"/>
    <w:rsid w:val="00F11F45"/>
    <w:rsid w:val="00F2649F"/>
    <w:rsid w:val="00F2709A"/>
    <w:rsid w:val="00F32C0D"/>
    <w:rsid w:val="00F34C0F"/>
    <w:rsid w:val="00F35CEF"/>
    <w:rsid w:val="00F404DE"/>
    <w:rsid w:val="00F43FEE"/>
    <w:rsid w:val="00F45466"/>
    <w:rsid w:val="00F458E9"/>
    <w:rsid w:val="00F50007"/>
    <w:rsid w:val="00F53139"/>
    <w:rsid w:val="00F55FC7"/>
    <w:rsid w:val="00F5640F"/>
    <w:rsid w:val="00F60673"/>
    <w:rsid w:val="00F63723"/>
    <w:rsid w:val="00F639FF"/>
    <w:rsid w:val="00F63D9B"/>
    <w:rsid w:val="00F64682"/>
    <w:rsid w:val="00F6749B"/>
    <w:rsid w:val="00F73C31"/>
    <w:rsid w:val="00F74DEA"/>
    <w:rsid w:val="00F75FD0"/>
    <w:rsid w:val="00F760D5"/>
    <w:rsid w:val="00F809EB"/>
    <w:rsid w:val="00F83532"/>
    <w:rsid w:val="00F8536E"/>
    <w:rsid w:val="00F939FE"/>
    <w:rsid w:val="00FA0882"/>
    <w:rsid w:val="00FA1547"/>
    <w:rsid w:val="00FA2639"/>
    <w:rsid w:val="00FA4364"/>
    <w:rsid w:val="00FA5466"/>
    <w:rsid w:val="00FB231A"/>
    <w:rsid w:val="00FB47B3"/>
    <w:rsid w:val="00FB5F03"/>
    <w:rsid w:val="00FB6457"/>
    <w:rsid w:val="00FC45D1"/>
    <w:rsid w:val="00FC6ED2"/>
    <w:rsid w:val="00FC7A4E"/>
    <w:rsid w:val="00FD0E89"/>
    <w:rsid w:val="00FD21E8"/>
    <w:rsid w:val="00FD43E9"/>
    <w:rsid w:val="00FE2EE6"/>
    <w:rsid w:val="00FE3B93"/>
    <w:rsid w:val="00FE4805"/>
    <w:rsid w:val="00FE562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978"/>
  </w:style>
  <w:style w:type="paragraph" w:styleId="Heading1">
    <w:name w:val="heading 1"/>
    <w:basedOn w:val="Normal"/>
    <w:next w:val="Normal"/>
    <w:link w:val="Heading1Char"/>
    <w:uiPriority w:val="9"/>
    <w:qFormat/>
    <w:rsid w:val="009B30BE"/>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775"/>
  </w:style>
  <w:style w:type="paragraph" w:styleId="Footer">
    <w:name w:val="footer"/>
    <w:basedOn w:val="Normal"/>
    <w:link w:val="FooterChar"/>
    <w:uiPriority w:val="99"/>
    <w:unhideWhenUsed/>
    <w:rsid w:val="002D4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775"/>
  </w:style>
  <w:style w:type="paragraph" w:styleId="ListParagraph">
    <w:name w:val="List Paragraph"/>
    <w:basedOn w:val="Normal"/>
    <w:uiPriority w:val="34"/>
    <w:qFormat/>
    <w:rsid w:val="002050D7"/>
    <w:pPr>
      <w:ind w:left="720"/>
      <w:contextualSpacing/>
    </w:pPr>
  </w:style>
  <w:style w:type="paragraph" w:styleId="FootnoteText">
    <w:name w:val="footnote text"/>
    <w:basedOn w:val="Normal"/>
    <w:link w:val="FootnoteTextChar"/>
    <w:uiPriority w:val="99"/>
    <w:semiHidden/>
    <w:unhideWhenUsed/>
    <w:rsid w:val="003119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194E"/>
    <w:rPr>
      <w:sz w:val="20"/>
      <w:szCs w:val="20"/>
    </w:rPr>
  </w:style>
  <w:style w:type="character" w:styleId="FootnoteReference">
    <w:name w:val="footnote reference"/>
    <w:basedOn w:val="DefaultParagraphFont"/>
    <w:uiPriority w:val="99"/>
    <w:semiHidden/>
    <w:unhideWhenUsed/>
    <w:rsid w:val="0031194E"/>
    <w:rPr>
      <w:vertAlign w:val="superscript"/>
    </w:rPr>
  </w:style>
  <w:style w:type="paragraph" w:styleId="EndnoteText">
    <w:name w:val="endnote text"/>
    <w:basedOn w:val="Normal"/>
    <w:link w:val="EndnoteTextChar"/>
    <w:uiPriority w:val="99"/>
    <w:semiHidden/>
    <w:unhideWhenUsed/>
    <w:rsid w:val="00B01F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F9A"/>
    <w:rPr>
      <w:sz w:val="20"/>
      <w:szCs w:val="20"/>
    </w:rPr>
  </w:style>
  <w:style w:type="character" w:styleId="EndnoteReference">
    <w:name w:val="endnote reference"/>
    <w:basedOn w:val="DefaultParagraphFont"/>
    <w:uiPriority w:val="99"/>
    <w:semiHidden/>
    <w:unhideWhenUsed/>
    <w:rsid w:val="00B01F9A"/>
    <w:rPr>
      <w:vertAlign w:val="superscript"/>
    </w:rPr>
  </w:style>
  <w:style w:type="character" w:customStyle="1" w:styleId="Heading1Char">
    <w:name w:val="Heading 1 Char"/>
    <w:basedOn w:val="DefaultParagraphFont"/>
    <w:link w:val="Heading1"/>
    <w:uiPriority w:val="9"/>
    <w:rsid w:val="009B30BE"/>
    <w:rPr>
      <w:rFonts w:asciiTheme="majorHAnsi" w:eastAsiaTheme="majorEastAsia" w:hAnsiTheme="majorHAnsi" w:cstheme="majorBidi"/>
      <w:b/>
      <w:bCs/>
      <w:color w:val="365F91" w:themeColor="accent1" w:themeShade="BF"/>
      <w:sz w:val="28"/>
      <w:szCs w:val="28"/>
      <w:lang w:val="en-US" w:eastAsia="en-US" w:bidi="en-US"/>
    </w:rPr>
  </w:style>
  <w:style w:type="paragraph" w:styleId="BalloonText">
    <w:name w:val="Balloon Text"/>
    <w:basedOn w:val="Normal"/>
    <w:link w:val="BalloonTextChar"/>
    <w:uiPriority w:val="99"/>
    <w:semiHidden/>
    <w:unhideWhenUsed/>
    <w:rsid w:val="009B3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0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775"/>
  </w:style>
  <w:style w:type="paragraph" w:styleId="Footer">
    <w:name w:val="footer"/>
    <w:basedOn w:val="Normal"/>
    <w:link w:val="FooterChar"/>
    <w:uiPriority w:val="99"/>
    <w:unhideWhenUsed/>
    <w:rsid w:val="002D4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775"/>
  </w:style>
  <w:style w:type="paragraph" w:styleId="ListParagraph">
    <w:name w:val="List Paragraph"/>
    <w:basedOn w:val="Normal"/>
    <w:uiPriority w:val="34"/>
    <w:qFormat/>
    <w:rsid w:val="002050D7"/>
    <w:pPr>
      <w:ind w:left="720"/>
      <w:contextualSpacing/>
    </w:pPr>
  </w:style>
  <w:style w:type="paragraph" w:styleId="FootnoteText">
    <w:name w:val="footnote text"/>
    <w:basedOn w:val="Normal"/>
    <w:link w:val="FootnoteTextChar"/>
    <w:uiPriority w:val="99"/>
    <w:semiHidden/>
    <w:unhideWhenUsed/>
    <w:rsid w:val="003119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194E"/>
    <w:rPr>
      <w:sz w:val="20"/>
      <w:szCs w:val="20"/>
    </w:rPr>
  </w:style>
  <w:style w:type="character" w:styleId="FootnoteReference">
    <w:name w:val="footnote reference"/>
    <w:basedOn w:val="DefaultParagraphFont"/>
    <w:uiPriority w:val="99"/>
    <w:semiHidden/>
    <w:unhideWhenUsed/>
    <w:rsid w:val="0031194E"/>
    <w:rPr>
      <w:vertAlign w:val="superscript"/>
    </w:rPr>
  </w:style>
</w:styles>
</file>

<file path=word/webSettings.xml><?xml version="1.0" encoding="utf-8"?>
<w:webSettings xmlns:r="http://schemas.openxmlformats.org/officeDocument/2006/relationships" xmlns:w="http://schemas.openxmlformats.org/wordprocessingml/2006/main">
  <w:divs>
    <w:div w:id="182322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30C8E-41F8-42E4-89B8-2FEDC5C0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3557</TotalTime>
  <Pages>26</Pages>
  <Words>7805</Words>
  <Characters>44495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dc:creator>
  <cp:lastModifiedBy>Nat</cp:lastModifiedBy>
  <cp:revision>399</cp:revision>
  <dcterms:created xsi:type="dcterms:W3CDTF">2014-12-08T14:12:00Z</dcterms:created>
  <dcterms:modified xsi:type="dcterms:W3CDTF">2015-06-19T14:36:00Z</dcterms:modified>
</cp:coreProperties>
</file>