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0" w:type="dxa"/>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850"/>
      </w:tblGrid>
      <w:tr w:rsidR="00487E6E" w:rsidTr="00487E6E">
        <w:trPr>
          <w:tblCellSpacing w:w="0" w:type="dxa"/>
          <w:jc w:val="center"/>
        </w:trPr>
        <w:tc>
          <w:tcPr>
            <w:tcW w:w="0" w:type="auto"/>
            <w:tcBorders>
              <w:top w:val="nil"/>
              <w:left w:val="nil"/>
              <w:bottom w:val="nil"/>
              <w:right w:val="nil"/>
            </w:tcBorders>
            <w:shd w:val="clear" w:color="auto" w:fill="FFFFFF"/>
            <w:tcMar>
              <w:top w:w="0" w:type="dxa"/>
              <w:left w:w="150" w:type="dxa"/>
              <w:bottom w:w="0" w:type="dxa"/>
              <w:right w:w="150" w:type="dxa"/>
            </w:tcMar>
            <w:vAlign w:val="center"/>
            <w:hideMark/>
          </w:tcPr>
          <w:p w:rsidR="00487E6E" w:rsidRPr="00E12A54" w:rsidRDefault="00487E6E">
            <w:pPr>
              <w:jc w:val="center"/>
            </w:pPr>
            <w:r w:rsidRPr="00E12A54">
              <w:rPr>
                <w:rStyle w:val="Strong"/>
                <w:rFonts w:ascii="Tahoma" w:hAnsi="Tahoma" w:cs="Tahoma"/>
              </w:rPr>
              <w:t>International High Power Laser Ablation and Directed Energy</w:t>
            </w:r>
          </w:p>
        </w:tc>
      </w:tr>
      <w:tr w:rsidR="00487E6E" w:rsidTr="00487E6E">
        <w:trPr>
          <w:tblCellSpacing w:w="0" w:type="dxa"/>
          <w:jc w:val="center"/>
        </w:trPr>
        <w:tc>
          <w:tcPr>
            <w:tcW w:w="0" w:type="auto"/>
            <w:tcBorders>
              <w:top w:val="nil"/>
              <w:left w:val="nil"/>
              <w:bottom w:val="nil"/>
              <w:right w:val="nil"/>
            </w:tcBorders>
            <w:shd w:val="clear" w:color="auto" w:fill="FFFFFF"/>
            <w:tcMar>
              <w:top w:w="0" w:type="dxa"/>
              <w:left w:w="150" w:type="dxa"/>
              <w:bottom w:w="0" w:type="dxa"/>
              <w:right w:w="150" w:type="dxa"/>
            </w:tcMar>
            <w:vAlign w:val="center"/>
            <w:hideMark/>
          </w:tcPr>
          <w:p w:rsidR="00487E6E" w:rsidRDefault="00487E6E">
            <w:pPr>
              <w:jc w:val="center"/>
              <w:rPr>
                <w:sz w:val="16"/>
                <w:szCs w:val="16"/>
              </w:rPr>
            </w:pPr>
            <w:r>
              <w:rPr>
                <w:rStyle w:val="Strong"/>
                <w:rFonts w:ascii="Tahoma" w:hAnsi="Tahoma" w:cs="Tahoma"/>
                <w:sz w:val="30"/>
                <w:szCs w:val="30"/>
              </w:rPr>
              <w:t> </w:t>
            </w:r>
            <w:r>
              <w:rPr>
                <w:rStyle w:val="Strong"/>
                <w:rFonts w:ascii="Tahoma" w:hAnsi="Tahoma" w:cs="Tahoma"/>
                <w:shd w:val="clear" w:color="auto" w:fill="FFFFFF"/>
              </w:rPr>
              <w:t>Santa Fe, New Mexico</w:t>
            </w:r>
          </w:p>
        </w:tc>
      </w:tr>
      <w:tr w:rsidR="00487E6E" w:rsidTr="00487E6E">
        <w:trPr>
          <w:tblCellSpacing w:w="0" w:type="dxa"/>
          <w:jc w:val="center"/>
        </w:trPr>
        <w:tc>
          <w:tcPr>
            <w:tcW w:w="0" w:type="auto"/>
            <w:tcBorders>
              <w:top w:val="nil"/>
              <w:left w:val="nil"/>
              <w:bottom w:val="nil"/>
              <w:right w:val="nil"/>
            </w:tcBorders>
            <w:shd w:val="clear" w:color="auto" w:fill="FFFFFF"/>
            <w:tcMar>
              <w:top w:w="0" w:type="dxa"/>
              <w:left w:w="150" w:type="dxa"/>
              <w:bottom w:w="0" w:type="dxa"/>
              <w:right w:w="150" w:type="dxa"/>
            </w:tcMar>
            <w:vAlign w:val="center"/>
            <w:hideMark/>
          </w:tcPr>
          <w:p w:rsidR="00487E6E" w:rsidRDefault="00487E6E">
            <w:pPr>
              <w:jc w:val="center"/>
              <w:rPr>
                <w:sz w:val="16"/>
                <w:szCs w:val="16"/>
              </w:rPr>
            </w:pPr>
            <w:r>
              <w:rPr>
                <w:rStyle w:val="Strong"/>
                <w:rFonts w:ascii="Tahoma" w:hAnsi="Tahoma" w:cs="Tahoma"/>
                <w:sz w:val="30"/>
                <w:szCs w:val="30"/>
              </w:rPr>
              <w:t> </w:t>
            </w:r>
            <w:r>
              <w:rPr>
                <w:rStyle w:val="Strong"/>
                <w:rFonts w:ascii="Tahoma" w:hAnsi="Tahoma" w:cs="Tahoma"/>
                <w:shd w:val="clear" w:color="auto" w:fill="FFFFFF"/>
              </w:rPr>
              <w:t> 4-7 April 2016</w:t>
            </w:r>
          </w:p>
        </w:tc>
      </w:tr>
    </w:tbl>
    <w:p w:rsidR="00A92348" w:rsidRDefault="00A92348"/>
    <w:p w:rsidR="00ED6ADD" w:rsidRPr="00E12A54" w:rsidRDefault="00ED6ADD">
      <w:pPr>
        <w:rPr>
          <w:sz w:val="22"/>
          <w:szCs w:val="22"/>
        </w:rPr>
      </w:pPr>
    </w:p>
    <w:p w:rsidR="00ED6ADD" w:rsidRPr="00E12A54" w:rsidRDefault="00ED6ADD" w:rsidP="00E12A54">
      <w:pPr>
        <w:jc w:val="center"/>
        <w:rPr>
          <w:b/>
          <w:bCs/>
          <w:sz w:val="22"/>
          <w:szCs w:val="22"/>
        </w:rPr>
      </w:pPr>
      <w:proofErr w:type="spellStart"/>
      <w:r w:rsidRPr="00E12A54">
        <w:rPr>
          <w:b/>
          <w:bCs/>
          <w:sz w:val="22"/>
          <w:szCs w:val="22"/>
        </w:rPr>
        <w:t>R.W</w:t>
      </w:r>
      <w:r w:rsidR="00E12A54" w:rsidRPr="00E12A54">
        <w:rPr>
          <w:b/>
          <w:bCs/>
          <w:sz w:val="22"/>
          <w:szCs w:val="22"/>
        </w:rPr>
        <w:t>.</w:t>
      </w:r>
      <w:r w:rsidRPr="00E12A54">
        <w:rPr>
          <w:b/>
          <w:bCs/>
          <w:sz w:val="22"/>
          <w:szCs w:val="22"/>
        </w:rPr>
        <w:t>Eason</w:t>
      </w:r>
      <w:proofErr w:type="spellEnd"/>
      <w:r w:rsidRPr="00E12A54">
        <w:rPr>
          <w:b/>
          <w:bCs/>
          <w:sz w:val="22"/>
          <w:szCs w:val="22"/>
        </w:rPr>
        <w:t xml:space="preserve">, </w:t>
      </w:r>
      <w:proofErr w:type="spellStart"/>
      <w:r w:rsidRPr="00E12A54">
        <w:rPr>
          <w:b/>
          <w:bCs/>
          <w:sz w:val="22"/>
          <w:szCs w:val="22"/>
        </w:rPr>
        <w:t>B.Mills</w:t>
      </w:r>
      <w:proofErr w:type="spellEnd"/>
      <w:r w:rsidRPr="00E12A54">
        <w:rPr>
          <w:b/>
          <w:bCs/>
          <w:sz w:val="22"/>
          <w:szCs w:val="22"/>
        </w:rPr>
        <w:t xml:space="preserve">, </w:t>
      </w:r>
      <w:proofErr w:type="spellStart"/>
      <w:r w:rsidRPr="00E12A54">
        <w:rPr>
          <w:b/>
          <w:bCs/>
          <w:sz w:val="22"/>
          <w:szCs w:val="22"/>
        </w:rPr>
        <w:t>M.Feinaeugle</w:t>
      </w:r>
      <w:proofErr w:type="spellEnd"/>
      <w:r w:rsidRPr="00E12A54">
        <w:rPr>
          <w:b/>
          <w:bCs/>
          <w:sz w:val="22"/>
          <w:szCs w:val="22"/>
        </w:rPr>
        <w:t xml:space="preserve">, </w:t>
      </w:r>
      <w:proofErr w:type="spellStart"/>
      <w:r w:rsidRPr="00E12A54">
        <w:rPr>
          <w:b/>
          <w:bCs/>
          <w:sz w:val="22"/>
          <w:szCs w:val="22"/>
        </w:rPr>
        <w:t>D.J</w:t>
      </w:r>
      <w:r w:rsidR="00E12A54" w:rsidRPr="00E12A54">
        <w:rPr>
          <w:b/>
          <w:bCs/>
          <w:sz w:val="22"/>
          <w:szCs w:val="22"/>
        </w:rPr>
        <w:t>.</w:t>
      </w:r>
      <w:r w:rsidRPr="00E12A54">
        <w:rPr>
          <w:b/>
          <w:bCs/>
          <w:sz w:val="22"/>
          <w:szCs w:val="22"/>
        </w:rPr>
        <w:t>Heath</w:t>
      </w:r>
      <w:proofErr w:type="spellEnd"/>
      <w:r w:rsidRPr="00E12A54">
        <w:rPr>
          <w:b/>
          <w:bCs/>
          <w:sz w:val="22"/>
          <w:szCs w:val="22"/>
        </w:rPr>
        <w:t xml:space="preserve">, </w:t>
      </w:r>
      <w:proofErr w:type="spellStart"/>
      <w:r w:rsidRPr="00E12A54">
        <w:rPr>
          <w:b/>
          <w:bCs/>
          <w:sz w:val="22"/>
          <w:szCs w:val="22"/>
        </w:rPr>
        <w:t>J</w:t>
      </w:r>
      <w:r w:rsidR="004A311E" w:rsidRPr="00E12A54">
        <w:rPr>
          <w:b/>
          <w:bCs/>
          <w:sz w:val="22"/>
          <w:szCs w:val="22"/>
        </w:rPr>
        <w:t>.</w:t>
      </w:r>
      <w:r w:rsidRPr="00E12A54">
        <w:rPr>
          <w:b/>
          <w:bCs/>
          <w:sz w:val="22"/>
          <w:szCs w:val="22"/>
        </w:rPr>
        <w:t>Grant</w:t>
      </w:r>
      <w:proofErr w:type="spellEnd"/>
      <w:r w:rsidRPr="00E12A54">
        <w:rPr>
          <w:b/>
          <w:bCs/>
          <w:sz w:val="22"/>
          <w:szCs w:val="22"/>
        </w:rPr>
        <w:t>-Jacob</w:t>
      </w:r>
    </w:p>
    <w:p w:rsidR="00ED6ADD" w:rsidRPr="00E12A54" w:rsidRDefault="00ED6ADD">
      <w:pPr>
        <w:rPr>
          <w:sz w:val="22"/>
          <w:szCs w:val="22"/>
        </w:rPr>
      </w:pPr>
    </w:p>
    <w:p w:rsidR="00ED6ADD" w:rsidRPr="00E12A54" w:rsidRDefault="00ED6ADD" w:rsidP="00E12A54">
      <w:pPr>
        <w:pStyle w:val="OEBodySP"/>
        <w:spacing w:before="120"/>
        <w:ind w:firstLine="0"/>
        <w:jc w:val="center"/>
        <w:rPr>
          <w:rFonts w:asciiTheme="minorBidi" w:hAnsiTheme="minorBidi" w:cstheme="minorBidi"/>
          <w:b/>
          <w:bCs/>
          <w:sz w:val="24"/>
          <w:szCs w:val="24"/>
        </w:rPr>
      </w:pPr>
      <w:r w:rsidRPr="00E12A54">
        <w:rPr>
          <w:rFonts w:asciiTheme="minorBidi" w:hAnsiTheme="minorBidi" w:cstheme="minorBidi"/>
          <w:b/>
          <w:bCs/>
          <w:sz w:val="24"/>
          <w:szCs w:val="24"/>
        </w:rPr>
        <w:t xml:space="preserve">Laser-induced backward transfer of intact </w:t>
      </w:r>
      <w:proofErr w:type="spellStart"/>
      <w:r w:rsidRPr="00E12A54">
        <w:rPr>
          <w:rFonts w:asciiTheme="minorBidi" w:hAnsiTheme="minorBidi" w:cstheme="minorBidi"/>
          <w:b/>
          <w:bCs/>
          <w:sz w:val="24"/>
          <w:szCs w:val="24"/>
        </w:rPr>
        <w:t>nano</w:t>
      </w:r>
      <w:proofErr w:type="spellEnd"/>
      <w:r w:rsidRPr="00E12A54">
        <w:rPr>
          <w:rFonts w:asciiTheme="minorBidi" w:hAnsiTheme="minorBidi" w:cstheme="minorBidi"/>
          <w:b/>
          <w:bCs/>
          <w:sz w:val="24"/>
          <w:szCs w:val="24"/>
        </w:rPr>
        <w:t>-structured polymer deposits</w:t>
      </w:r>
    </w:p>
    <w:p w:rsidR="00ED6ADD" w:rsidRPr="00E12A54" w:rsidRDefault="00ED6ADD" w:rsidP="00ED6ADD">
      <w:pPr>
        <w:pStyle w:val="OEBodySP"/>
        <w:spacing w:before="120"/>
        <w:ind w:firstLine="0"/>
        <w:jc w:val="center"/>
        <w:rPr>
          <w:rFonts w:asciiTheme="minorBidi" w:hAnsiTheme="minorBidi" w:cstheme="minorBidi"/>
          <w:b/>
          <w:bCs/>
          <w:sz w:val="22"/>
          <w:szCs w:val="22"/>
        </w:rPr>
      </w:pPr>
    </w:p>
    <w:p w:rsidR="00ED6ADD" w:rsidRPr="00E12A54" w:rsidRDefault="00ED6ADD" w:rsidP="00ED6ADD">
      <w:pPr>
        <w:pStyle w:val="OEBodySP"/>
        <w:spacing w:before="120"/>
        <w:ind w:firstLine="0"/>
        <w:rPr>
          <w:rFonts w:asciiTheme="minorBidi" w:hAnsiTheme="minorBidi" w:cstheme="minorBidi"/>
          <w:sz w:val="22"/>
          <w:szCs w:val="22"/>
        </w:rPr>
      </w:pPr>
      <w:r w:rsidRPr="00E12A54">
        <w:rPr>
          <w:rFonts w:asciiTheme="minorBidi" w:hAnsiTheme="minorBidi" w:cstheme="minorBidi"/>
          <w:sz w:val="22"/>
          <w:szCs w:val="22"/>
        </w:rPr>
        <w:t xml:space="preserve">Laser-induced forward transfer (LIFT) is a technique for printing thin-film materials in a solid or liquid state from a pre-prepared donor to an adjacent receiver, and has been investigated by many groups worldwide since its first demonstration 30 years ago [1]. More recently a variant of this technique, known as laser-induced backward transfer (LIBT), has shown the potential for printing materials in a reverse geometry, and while not yet as developed as the LIFT technique, offers considerable advantages in terms of intact printing of solid-phase materials. While LIBT has different requirements in terms of transparency of the donor film to the incident laser pulse, we believe the different mechanisms involved in LIBT offer an interesting alternative for applications where intact printing is required, with the minimum of associated debris. </w:t>
      </w:r>
    </w:p>
    <w:p w:rsidR="00ED6ADD" w:rsidRPr="00E12A54" w:rsidRDefault="00ED6ADD" w:rsidP="00ED6ADD">
      <w:pPr>
        <w:pStyle w:val="OEBodySP"/>
        <w:spacing w:before="120"/>
        <w:ind w:firstLine="0"/>
        <w:rPr>
          <w:rFonts w:asciiTheme="minorBidi" w:hAnsiTheme="minorBidi" w:cstheme="minorBidi"/>
          <w:sz w:val="22"/>
          <w:szCs w:val="22"/>
        </w:rPr>
      </w:pPr>
      <w:r w:rsidRPr="00E12A54">
        <w:rPr>
          <w:rFonts w:asciiTheme="minorBidi" w:hAnsiTheme="minorBidi" w:cstheme="minorBidi"/>
          <w:sz w:val="22"/>
          <w:szCs w:val="22"/>
        </w:rPr>
        <w:t xml:space="preserve">The LIBT experiments were carried out using a </w:t>
      </w:r>
      <w:proofErr w:type="spellStart"/>
      <w:r w:rsidRPr="00E12A54">
        <w:rPr>
          <w:rFonts w:asciiTheme="minorBidi" w:hAnsiTheme="minorBidi" w:cstheme="minorBidi"/>
          <w:sz w:val="22"/>
          <w:szCs w:val="22"/>
        </w:rPr>
        <w:t>Ti</w:t>
      </w:r>
      <w:proofErr w:type="gramStart"/>
      <w:r w:rsidRPr="00E12A54">
        <w:rPr>
          <w:rFonts w:asciiTheme="minorBidi" w:hAnsiTheme="minorBidi" w:cstheme="minorBidi"/>
          <w:sz w:val="22"/>
          <w:szCs w:val="22"/>
        </w:rPr>
        <w:t>:sapphire</w:t>
      </w:r>
      <w:proofErr w:type="spellEnd"/>
      <w:proofErr w:type="gramEnd"/>
      <w:r w:rsidRPr="00E12A54">
        <w:rPr>
          <w:rFonts w:asciiTheme="minorBidi" w:hAnsiTheme="minorBidi" w:cstheme="minorBidi"/>
          <w:sz w:val="22"/>
          <w:szCs w:val="22"/>
        </w:rPr>
        <w:t xml:space="preserve"> laser oscillator and amplifier with a central wavelength of 800nm and a pulse duration of ~150fs. The spatial intensity profile of the laser output was </w:t>
      </w:r>
      <w:proofErr w:type="spellStart"/>
      <w:r w:rsidRPr="00E12A54">
        <w:rPr>
          <w:rFonts w:asciiTheme="minorBidi" w:hAnsiTheme="minorBidi" w:cstheme="minorBidi"/>
          <w:sz w:val="22"/>
          <w:szCs w:val="22"/>
        </w:rPr>
        <w:t>homogenised</w:t>
      </w:r>
      <w:proofErr w:type="spellEnd"/>
      <w:r w:rsidRPr="00E12A54">
        <w:rPr>
          <w:rFonts w:asciiTheme="minorBidi" w:hAnsiTheme="minorBidi" w:cstheme="minorBidi"/>
          <w:sz w:val="22"/>
          <w:szCs w:val="22"/>
        </w:rPr>
        <w:t xml:space="preserve"> to evenly illuminate the surface of a digital </w:t>
      </w:r>
      <w:proofErr w:type="spellStart"/>
      <w:r w:rsidRPr="00E12A54">
        <w:rPr>
          <w:rFonts w:asciiTheme="minorBidi" w:hAnsiTheme="minorBidi" w:cstheme="minorBidi"/>
          <w:sz w:val="22"/>
          <w:szCs w:val="22"/>
        </w:rPr>
        <w:t>micromirror</w:t>
      </w:r>
      <w:proofErr w:type="spellEnd"/>
      <w:r w:rsidRPr="00E12A54">
        <w:rPr>
          <w:rFonts w:asciiTheme="minorBidi" w:hAnsiTheme="minorBidi" w:cstheme="minorBidi"/>
          <w:sz w:val="22"/>
          <w:szCs w:val="22"/>
        </w:rPr>
        <w:t xml:space="preserve"> array (DMD). The DMD was used as a dynamic object mask to project chosen spatial intensity patterns with a demagnification of x20 or x50 to the LIBT set-up, as described in [2]. Donors were fabricated via spin-coating of S1813 and SU-8 photoresists onto cleaned silicon carrier substrates that had pre-patterned rib waveguide structures with lateral features in the ~200nm range. </w:t>
      </w:r>
    </w:p>
    <w:p w:rsidR="00ED6ADD" w:rsidRPr="00E12A54" w:rsidRDefault="00ED6ADD" w:rsidP="00ED6ADD">
      <w:pPr>
        <w:pStyle w:val="OEBodySP"/>
        <w:spacing w:before="120"/>
        <w:ind w:firstLine="0"/>
        <w:rPr>
          <w:rFonts w:asciiTheme="minorBidi" w:hAnsiTheme="minorBidi" w:cstheme="minorBidi"/>
          <w:sz w:val="22"/>
          <w:szCs w:val="22"/>
        </w:rPr>
      </w:pPr>
      <w:r w:rsidRPr="00E12A54">
        <w:rPr>
          <w:rFonts w:asciiTheme="minorBidi" w:hAnsiTheme="minorBidi" w:cstheme="minorBidi"/>
          <w:sz w:val="22"/>
          <w:szCs w:val="22"/>
        </w:rPr>
        <w:t xml:space="preserve">Deposits have been </w:t>
      </w:r>
      <w:proofErr w:type="spellStart"/>
      <w:r w:rsidRPr="00E12A54">
        <w:rPr>
          <w:rFonts w:asciiTheme="minorBidi" w:hAnsiTheme="minorBidi" w:cstheme="minorBidi"/>
          <w:sz w:val="22"/>
          <w:szCs w:val="22"/>
        </w:rPr>
        <w:t>LIBTed</w:t>
      </w:r>
      <w:proofErr w:type="spellEnd"/>
      <w:r w:rsidRPr="00E12A54">
        <w:rPr>
          <w:rFonts w:asciiTheme="minorBidi" w:hAnsiTheme="minorBidi" w:cstheme="minorBidi"/>
          <w:sz w:val="22"/>
          <w:szCs w:val="22"/>
        </w:rPr>
        <w:t xml:space="preserve"> from these polymer donors, whose thickness varied from 1.4µm to 2.25µm, at threshold laser </w:t>
      </w:r>
      <w:proofErr w:type="spellStart"/>
      <w:r w:rsidRPr="00E12A54">
        <w:rPr>
          <w:rFonts w:asciiTheme="minorBidi" w:hAnsiTheme="minorBidi" w:cstheme="minorBidi"/>
          <w:sz w:val="22"/>
          <w:szCs w:val="22"/>
        </w:rPr>
        <w:t>fluences</w:t>
      </w:r>
      <w:proofErr w:type="spellEnd"/>
      <w:r w:rsidRPr="00E12A54">
        <w:rPr>
          <w:rFonts w:asciiTheme="minorBidi" w:hAnsiTheme="minorBidi" w:cstheme="minorBidi"/>
          <w:sz w:val="22"/>
          <w:szCs w:val="22"/>
        </w:rPr>
        <w:t xml:space="preserve"> of between 130–260mJ/cm</w:t>
      </w:r>
      <w:r w:rsidRPr="00E12A54">
        <w:rPr>
          <w:rFonts w:asciiTheme="minorBidi" w:hAnsiTheme="minorBidi" w:cstheme="minorBidi"/>
          <w:sz w:val="22"/>
          <w:szCs w:val="22"/>
          <w:vertAlign w:val="superscript"/>
        </w:rPr>
        <w:t xml:space="preserve">2 </w:t>
      </w:r>
      <w:r w:rsidRPr="00E12A54">
        <w:rPr>
          <w:rFonts w:asciiTheme="minorBidi" w:hAnsiTheme="minorBidi" w:cstheme="minorBidi"/>
          <w:sz w:val="22"/>
          <w:szCs w:val="22"/>
        </w:rPr>
        <w:t xml:space="preserve">with typical overall dimensions in the range of 20-50µm. Of particular note is the fact that the transferred pixels retain the surface structuring present in the carrier substrate and results obtained so far have demonstrated surface relief features with dimensions of ~200nm width and ~250nm in depth. We believe the laser materials interaction in LIBT is beneficial for such intact and </w:t>
      </w:r>
      <w:proofErr w:type="spellStart"/>
      <w:r w:rsidRPr="00E12A54">
        <w:rPr>
          <w:rFonts w:asciiTheme="minorBidi" w:hAnsiTheme="minorBidi" w:cstheme="minorBidi"/>
          <w:sz w:val="22"/>
          <w:szCs w:val="22"/>
        </w:rPr>
        <w:t>templated</w:t>
      </w:r>
      <w:proofErr w:type="spellEnd"/>
      <w:r w:rsidRPr="00E12A54">
        <w:rPr>
          <w:rFonts w:asciiTheme="minorBidi" w:hAnsiTheme="minorBidi" w:cstheme="minorBidi"/>
          <w:sz w:val="22"/>
          <w:szCs w:val="22"/>
        </w:rPr>
        <w:t xml:space="preserve"> transfer, and see this as an interesting and novel extension of the more established LIFT process. Our aim is to demonstrate faithful transfer of pixels with large aspect ratios, with lateral dimensions in the region of 100nm or less. </w:t>
      </w:r>
    </w:p>
    <w:p w:rsidR="00ED6ADD" w:rsidRPr="00E12A54" w:rsidRDefault="00ED6ADD" w:rsidP="00ED6ADD">
      <w:pPr>
        <w:pStyle w:val="OEBodySP"/>
        <w:spacing w:before="120"/>
        <w:ind w:firstLine="0"/>
        <w:rPr>
          <w:rFonts w:asciiTheme="minorBidi" w:hAnsiTheme="minorBidi" w:cstheme="minorBidi"/>
          <w:sz w:val="22"/>
          <w:szCs w:val="22"/>
        </w:rPr>
      </w:pPr>
    </w:p>
    <w:p w:rsidR="00ED6ADD" w:rsidRPr="00E12A54" w:rsidRDefault="00ED6ADD" w:rsidP="00ED6ADD">
      <w:pPr>
        <w:pStyle w:val="ListParagraph"/>
        <w:numPr>
          <w:ilvl w:val="0"/>
          <w:numId w:val="1"/>
        </w:numPr>
        <w:rPr>
          <w:rFonts w:asciiTheme="minorBidi" w:hAnsiTheme="minorBidi"/>
        </w:rPr>
      </w:pPr>
      <w:r w:rsidRPr="00E12A54">
        <w:rPr>
          <w:rFonts w:asciiTheme="minorBidi" w:hAnsiTheme="minorBidi"/>
          <w:noProof/>
        </w:rPr>
        <w:t>J</w:t>
      </w:r>
      <w:r w:rsidR="00E12A54">
        <w:rPr>
          <w:rFonts w:asciiTheme="minorBidi" w:hAnsiTheme="minorBidi"/>
          <w:noProof/>
        </w:rPr>
        <w:t>.</w:t>
      </w:r>
      <w:r w:rsidRPr="00E12A54">
        <w:rPr>
          <w:rFonts w:asciiTheme="minorBidi" w:hAnsiTheme="minorBidi"/>
          <w:noProof/>
        </w:rPr>
        <w:t>Bohandy, B</w:t>
      </w:r>
      <w:r w:rsidR="00E12A54">
        <w:rPr>
          <w:rFonts w:asciiTheme="minorBidi" w:hAnsiTheme="minorBidi"/>
          <w:noProof/>
        </w:rPr>
        <w:t>.</w:t>
      </w:r>
      <w:r w:rsidRPr="00E12A54">
        <w:rPr>
          <w:rFonts w:asciiTheme="minorBidi" w:hAnsiTheme="minorBidi"/>
          <w:noProof/>
        </w:rPr>
        <w:t>F</w:t>
      </w:r>
      <w:r w:rsidR="00E12A54">
        <w:rPr>
          <w:rFonts w:asciiTheme="minorBidi" w:hAnsiTheme="minorBidi"/>
          <w:noProof/>
        </w:rPr>
        <w:t>.</w:t>
      </w:r>
      <w:r w:rsidRPr="00E12A54">
        <w:rPr>
          <w:rFonts w:asciiTheme="minorBidi" w:hAnsiTheme="minorBidi"/>
          <w:noProof/>
        </w:rPr>
        <w:t>Kim, and F</w:t>
      </w:r>
      <w:r w:rsidR="00E12A54">
        <w:rPr>
          <w:rFonts w:asciiTheme="minorBidi" w:hAnsiTheme="minorBidi"/>
          <w:noProof/>
        </w:rPr>
        <w:t>.</w:t>
      </w:r>
      <w:r w:rsidRPr="00E12A54">
        <w:rPr>
          <w:rFonts w:asciiTheme="minorBidi" w:hAnsiTheme="minorBidi"/>
          <w:noProof/>
        </w:rPr>
        <w:t>J</w:t>
      </w:r>
      <w:r w:rsidR="00E12A54">
        <w:rPr>
          <w:rFonts w:asciiTheme="minorBidi" w:hAnsiTheme="minorBidi"/>
          <w:noProof/>
        </w:rPr>
        <w:t>.</w:t>
      </w:r>
      <w:r w:rsidRPr="00E12A54">
        <w:rPr>
          <w:rFonts w:asciiTheme="minorBidi" w:hAnsiTheme="minorBidi"/>
          <w:noProof/>
        </w:rPr>
        <w:t>Adrian, J</w:t>
      </w:r>
      <w:r w:rsidR="00E12A54">
        <w:rPr>
          <w:rFonts w:asciiTheme="minorBidi" w:hAnsiTheme="minorBidi"/>
          <w:noProof/>
        </w:rPr>
        <w:t>.</w:t>
      </w:r>
      <w:r w:rsidRPr="00E12A54">
        <w:rPr>
          <w:rFonts w:asciiTheme="minorBidi" w:hAnsiTheme="minorBidi"/>
          <w:noProof/>
        </w:rPr>
        <w:t>Appl</w:t>
      </w:r>
      <w:r w:rsidR="00E12A54">
        <w:rPr>
          <w:rFonts w:asciiTheme="minorBidi" w:hAnsiTheme="minorBidi"/>
          <w:noProof/>
        </w:rPr>
        <w:t>.</w:t>
      </w:r>
      <w:r w:rsidRPr="00E12A54">
        <w:rPr>
          <w:rFonts w:asciiTheme="minorBidi" w:hAnsiTheme="minorBidi"/>
          <w:noProof/>
        </w:rPr>
        <w:t xml:space="preserve">Phys. </w:t>
      </w:r>
      <w:r w:rsidRPr="00E12A54">
        <w:rPr>
          <w:rFonts w:asciiTheme="minorBidi" w:hAnsiTheme="minorBidi"/>
          <w:b/>
          <w:bCs/>
          <w:noProof/>
        </w:rPr>
        <w:t>60</w:t>
      </w:r>
      <w:r w:rsidRPr="00E12A54">
        <w:rPr>
          <w:rFonts w:asciiTheme="minorBidi" w:hAnsiTheme="minorBidi"/>
          <w:noProof/>
        </w:rPr>
        <w:t>, 1538–1539 (1986).</w:t>
      </w:r>
    </w:p>
    <w:p w:rsidR="00ED6ADD" w:rsidRPr="00E12A54" w:rsidRDefault="00ED6ADD" w:rsidP="00E12A54">
      <w:pPr>
        <w:pStyle w:val="ListParagraph"/>
        <w:numPr>
          <w:ilvl w:val="0"/>
          <w:numId w:val="1"/>
        </w:numPr>
        <w:rPr>
          <w:rFonts w:asciiTheme="minorBidi" w:hAnsiTheme="minorBidi"/>
        </w:rPr>
      </w:pPr>
      <w:r w:rsidRPr="00E12A54">
        <w:rPr>
          <w:rFonts w:asciiTheme="minorBidi" w:hAnsiTheme="minorBidi"/>
          <w:noProof/>
        </w:rPr>
        <w:t>D</w:t>
      </w:r>
      <w:r w:rsidR="00E12A54">
        <w:rPr>
          <w:rFonts w:asciiTheme="minorBidi" w:hAnsiTheme="minorBidi"/>
          <w:noProof/>
        </w:rPr>
        <w:t>.</w:t>
      </w:r>
      <w:r w:rsidRPr="00E12A54">
        <w:rPr>
          <w:rFonts w:asciiTheme="minorBidi" w:hAnsiTheme="minorBidi"/>
          <w:noProof/>
        </w:rPr>
        <w:t>J</w:t>
      </w:r>
      <w:r w:rsidR="00E12A54">
        <w:rPr>
          <w:rFonts w:asciiTheme="minorBidi" w:hAnsiTheme="minorBidi"/>
          <w:noProof/>
        </w:rPr>
        <w:t>.</w:t>
      </w:r>
      <w:r w:rsidRPr="00E12A54">
        <w:rPr>
          <w:rFonts w:asciiTheme="minorBidi" w:hAnsiTheme="minorBidi"/>
          <w:noProof/>
        </w:rPr>
        <w:t>Heath, M</w:t>
      </w:r>
      <w:r w:rsidR="00E12A54">
        <w:rPr>
          <w:rFonts w:asciiTheme="minorBidi" w:hAnsiTheme="minorBidi"/>
          <w:noProof/>
        </w:rPr>
        <w:t>.</w:t>
      </w:r>
      <w:r w:rsidRPr="00E12A54">
        <w:rPr>
          <w:rFonts w:asciiTheme="minorBidi" w:hAnsiTheme="minorBidi"/>
          <w:noProof/>
        </w:rPr>
        <w:t>Feinaeugle, J</w:t>
      </w:r>
      <w:r w:rsidR="00E12A54">
        <w:rPr>
          <w:rFonts w:asciiTheme="minorBidi" w:hAnsiTheme="minorBidi"/>
          <w:noProof/>
        </w:rPr>
        <w:t>.</w:t>
      </w:r>
      <w:r w:rsidRPr="00E12A54">
        <w:rPr>
          <w:rFonts w:asciiTheme="minorBidi" w:hAnsiTheme="minorBidi"/>
          <w:noProof/>
        </w:rPr>
        <w:t>A</w:t>
      </w:r>
      <w:r w:rsidR="00E12A54">
        <w:rPr>
          <w:rFonts w:asciiTheme="minorBidi" w:hAnsiTheme="minorBidi"/>
          <w:noProof/>
        </w:rPr>
        <w:t>.</w:t>
      </w:r>
      <w:r w:rsidRPr="00E12A54">
        <w:rPr>
          <w:rFonts w:asciiTheme="minorBidi" w:hAnsiTheme="minorBidi"/>
          <w:noProof/>
        </w:rPr>
        <w:t>Grant-Jacob, B</w:t>
      </w:r>
      <w:r w:rsidR="00E12A54">
        <w:rPr>
          <w:rFonts w:asciiTheme="minorBidi" w:hAnsiTheme="minorBidi"/>
          <w:noProof/>
        </w:rPr>
        <w:t>.</w:t>
      </w:r>
      <w:r w:rsidRPr="00E12A54">
        <w:rPr>
          <w:rFonts w:asciiTheme="minorBidi" w:hAnsiTheme="minorBidi"/>
          <w:noProof/>
        </w:rPr>
        <w:t>Mills, and R</w:t>
      </w:r>
      <w:r w:rsidR="00E12A54">
        <w:rPr>
          <w:rFonts w:asciiTheme="minorBidi" w:hAnsiTheme="minorBidi"/>
          <w:noProof/>
        </w:rPr>
        <w:t>.</w:t>
      </w:r>
      <w:r w:rsidRPr="00E12A54">
        <w:rPr>
          <w:rFonts w:asciiTheme="minorBidi" w:hAnsiTheme="minorBidi"/>
          <w:noProof/>
        </w:rPr>
        <w:t>W. Eason, Opt</w:t>
      </w:r>
      <w:r w:rsidR="00E12A54">
        <w:rPr>
          <w:rFonts w:asciiTheme="minorBidi" w:hAnsiTheme="minorBidi"/>
          <w:noProof/>
        </w:rPr>
        <w:t>ical</w:t>
      </w:r>
      <w:r w:rsidRPr="00E12A54">
        <w:rPr>
          <w:rFonts w:asciiTheme="minorBidi" w:hAnsiTheme="minorBidi"/>
          <w:noProof/>
        </w:rPr>
        <w:t xml:space="preserve"> Mater</w:t>
      </w:r>
      <w:r w:rsidR="00E12A54">
        <w:rPr>
          <w:rFonts w:asciiTheme="minorBidi" w:hAnsiTheme="minorBidi"/>
          <w:noProof/>
        </w:rPr>
        <w:t>erials</w:t>
      </w:r>
      <w:r w:rsidRPr="00E12A54">
        <w:rPr>
          <w:rFonts w:asciiTheme="minorBidi" w:hAnsiTheme="minorBidi"/>
          <w:noProof/>
        </w:rPr>
        <w:t xml:space="preserve"> Express </w:t>
      </w:r>
      <w:r w:rsidRPr="00E12A54">
        <w:rPr>
          <w:rFonts w:asciiTheme="minorBidi" w:hAnsiTheme="minorBidi"/>
          <w:b/>
          <w:bCs/>
          <w:noProof/>
        </w:rPr>
        <w:t>5</w:t>
      </w:r>
      <w:r w:rsidRPr="00E12A54">
        <w:rPr>
          <w:rFonts w:asciiTheme="minorBidi" w:hAnsiTheme="minorBidi"/>
          <w:noProof/>
        </w:rPr>
        <w:t>, 1129 (2015).</w:t>
      </w:r>
      <w:bookmarkStart w:id="0" w:name="_GoBack"/>
      <w:bookmarkEnd w:id="0"/>
    </w:p>
    <w:sectPr w:rsidR="00ED6ADD" w:rsidRPr="00E12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5116E"/>
    <w:multiLevelType w:val="multilevel"/>
    <w:tmpl w:val="BB7652D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DBC1248"/>
    <w:multiLevelType w:val="hybridMultilevel"/>
    <w:tmpl w:val="ECCAB400"/>
    <w:lvl w:ilvl="0" w:tplc="7332B72E">
      <w:start w:val="1"/>
      <w:numFmt w:val="decimal"/>
      <w:lvlText w:val="%1."/>
      <w:lvlJc w:val="left"/>
      <w:pPr>
        <w:ind w:left="720" w:hanging="360"/>
      </w:pPr>
      <w:rPr>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6E"/>
    <w:rsid w:val="002C4CFE"/>
    <w:rsid w:val="00487E6E"/>
    <w:rsid w:val="004A311E"/>
    <w:rsid w:val="00A92348"/>
    <w:rsid w:val="00E12A54"/>
    <w:rsid w:val="00ED6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6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E6E"/>
    <w:rPr>
      <w:b/>
      <w:bCs/>
    </w:rPr>
  </w:style>
  <w:style w:type="paragraph" w:styleId="ListParagraph">
    <w:name w:val="List Paragraph"/>
    <w:basedOn w:val="Normal"/>
    <w:uiPriority w:val="34"/>
    <w:qFormat/>
    <w:rsid w:val="00ED6ADD"/>
    <w:pPr>
      <w:spacing w:after="160" w:line="256" w:lineRule="auto"/>
      <w:ind w:left="720"/>
      <w:contextualSpacing/>
    </w:pPr>
    <w:rPr>
      <w:rFonts w:asciiTheme="minorHAnsi" w:hAnsiTheme="minorHAnsi" w:cstheme="minorBidi"/>
      <w:sz w:val="22"/>
      <w:szCs w:val="22"/>
    </w:rPr>
  </w:style>
  <w:style w:type="paragraph" w:customStyle="1" w:styleId="OEBodySP">
    <w:name w:val="OE Body SP"/>
    <w:basedOn w:val="Normal"/>
    <w:uiPriority w:val="99"/>
    <w:rsid w:val="00ED6ADD"/>
    <w:pPr>
      <w:ind w:firstLine="360"/>
      <w:jc w:val="both"/>
    </w:pPr>
    <w:rPr>
      <w:rFonts w:eastAsia="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6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E6E"/>
    <w:rPr>
      <w:b/>
      <w:bCs/>
    </w:rPr>
  </w:style>
  <w:style w:type="paragraph" w:styleId="ListParagraph">
    <w:name w:val="List Paragraph"/>
    <w:basedOn w:val="Normal"/>
    <w:uiPriority w:val="34"/>
    <w:qFormat/>
    <w:rsid w:val="00ED6ADD"/>
    <w:pPr>
      <w:spacing w:after="160" w:line="256" w:lineRule="auto"/>
      <w:ind w:left="720"/>
      <w:contextualSpacing/>
    </w:pPr>
    <w:rPr>
      <w:rFonts w:asciiTheme="minorHAnsi" w:hAnsiTheme="minorHAnsi" w:cstheme="minorBidi"/>
      <w:sz w:val="22"/>
      <w:szCs w:val="22"/>
    </w:rPr>
  </w:style>
  <w:style w:type="paragraph" w:customStyle="1" w:styleId="OEBodySP">
    <w:name w:val="OE Body SP"/>
    <w:basedOn w:val="Normal"/>
    <w:uiPriority w:val="99"/>
    <w:rsid w:val="00ED6ADD"/>
    <w:pPr>
      <w:ind w:firstLine="360"/>
      <w:jc w:val="both"/>
    </w:pPr>
    <w:rPr>
      <w:rFonts w:eastAsia="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81672">
      <w:bodyDiv w:val="1"/>
      <w:marLeft w:val="0"/>
      <w:marRight w:val="0"/>
      <w:marTop w:val="0"/>
      <w:marBottom w:val="0"/>
      <w:divBdr>
        <w:top w:val="none" w:sz="0" w:space="0" w:color="auto"/>
        <w:left w:val="none" w:sz="0" w:space="0" w:color="auto"/>
        <w:bottom w:val="none" w:sz="0" w:space="0" w:color="auto"/>
        <w:right w:val="none" w:sz="0" w:space="0" w:color="auto"/>
      </w:divBdr>
    </w:div>
    <w:div w:id="1601140771">
      <w:bodyDiv w:val="1"/>
      <w:marLeft w:val="0"/>
      <w:marRight w:val="0"/>
      <w:marTop w:val="0"/>
      <w:marBottom w:val="0"/>
      <w:divBdr>
        <w:top w:val="none" w:sz="0" w:space="0" w:color="auto"/>
        <w:left w:val="none" w:sz="0" w:space="0" w:color="auto"/>
        <w:bottom w:val="none" w:sz="0" w:space="0" w:color="auto"/>
        <w:right w:val="none" w:sz="0" w:space="0" w:color="auto"/>
      </w:divBdr>
    </w:div>
    <w:div w:id="164686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Eason R.W.</dc:creator>
  <cp:lastModifiedBy>Nash J.C.</cp:lastModifiedBy>
  <cp:revision>3</cp:revision>
  <dcterms:created xsi:type="dcterms:W3CDTF">2015-09-22T16:45:00Z</dcterms:created>
  <dcterms:modified xsi:type="dcterms:W3CDTF">2015-09-22T16:45:00Z</dcterms:modified>
</cp:coreProperties>
</file>