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BCE" w:rsidRDefault="00EB4BCE">
      <w:pPr>
        <w:rPr>
          <w:b/>
          <w:bCs/>
        </w:rPr>
      </w:pPr>
      <w:bookmarkStart w:id="0" w:name="_GoBack"/>
      <w:bookmarkEnd w:id="0"/>
    </w:p>
    <w:p w:rsidR="004736E1" w:rsidRPr="00EB4BCE" w:rsidRDefault="00050075">
      <w:pPr>
        <w:rPr>
          <w:b/>
          <w:bCs/>
        </w:rPr>
      </w:pPr>
      <w:r w:rsidRPr="00EB4BCE">
        <w:rPr>
          <w:b/>
          <w:bCs/>
        </w:rPr>
        <w:t xml:space="preserve">Grading in Practice for pre-registration nursing students: </w:t>
      </w:r>
      <w:r w:rsidR="00924C59" w:rsidRPr="00EB4BCE">
        <w:rPr>
          <w:b/>
          <w:bCs/>
        </w:rPr>
        <w:t>current issues</w:t>
      </w:r>
    </w:p>
    <w:p w:rsidR="00326622" w:rsidRDefault="005811D4" w:rsidP="00EB4BCE">
      <w:r>
        <w:t xml:space="preserve"> </w:t>
      </w:r>
      <w:r w:rsidR="00326622">
        <w:t xml:space="preserve">The </w:t>
      </w:r>
      <w:r w:rsidR="00A55975">
        <w:t>Nursing and Midwifery Council (NMC)</w:t>
      </w:r>
      <w:r w:rsidR="00EB4BCE">
        <w:t xml:space="preserve"> </w:t>
      </w:r>
      <w:r w:rsidR="004E2773">
        <w:t>standards for</w:t>
      </w:r>
      <w:r w:rsidR="00A55975">
        <w:t xml:space="preserve"> </w:t>
      </w:r>
      <w:r w:rsidR="00326622">
        <w:t>pre- registration nursing</w:t>
      </w:r>
      <w:r w:rsidR="00A55975">
        <w:t xml:space="preserve"> education</w:t>
      </w:r>
      <w:r w:rsidR="00326622">
        <w:t xml:space="preserve"> </w:t>
      </w:r>
      <w:r w:rsidR="00C178E0">
        <w:t>published</w:t>
      </w:r>
      <w:r w:rsidR="00326622">
        <w:t xml:space="preserve"> last year</w:t>
      </w:r>
      <w:r w:rsidR="00A55975">
        <w:t>,</w:t>
      </w:r>
      <w:r w:rsidR="00326622">
        <w:t xml:space="preserve"> </w:t>
      </w:r>
      <w:r w:rsidR="00C178E0">
        <w:t>introduced</w:t>
      </w:r>
      <w:r w:rsidR="00326622">
        <w:t xml:space="preserve"> the principle that by 2013 all </w:t>
      </w:r>
      <w:r w:rsidR="00C178E0">
        <w:t xml:space="preserve">new </w:t>
      </w:r>
      <w:r w:rsidR="00326622">
        <w:t xml:space="preserve">nursing students will need to be qualified to degree </w:t>
      </w:r>
      <w:r w:rsidR="00A55975">
        <w:t>level</w:t>
      </w:r>
      <w:r w:rsidR="00893620">
        <w:t>.  Changes affected</w:t>
      </w:r>
      <w:r w:rsidR="00C335E7">
        <w:t xml:space="preserve"> both programme delivery and</w:t>
      </w:r>
      <w:r w:rsidR="00CB3AFB">
        <w:t xml:space="preserve"> practice learning (NMC 2010)</w:t>
      </w:r>
      <w:r w:rsidR="00326622">
        <w:t>.</w:t>
      </w:r>
      <w:r w:rsidR="00C178E0">
        <w:t xml:space="preserve"> </w:t>
      </w:r>
      <w:r w:rsidR="00CB3AFB">
        <w:t xml:space="preserve"> </w:t>
      </w:r>
      <w:r w:rsidR="00C178E0">
        <w:t xml:space="preserve"> Some providers sought early validation</w:t>
      </w:r>
      <w:r w:rsidR="001F468F">
        <w:t xml:space="preserve"> of</w:t>
      </w:r>
      <w:r w:rsidR="00C178E0">
        <w:t xml:space="preserve"> programmes to implement the new standards and across the country many nurses are now beginning </w:t>
      </w:r>
      <w:r w:rsidR="00C335E7">
        <w:t>their nursing careers under the new standards</w:t>
      </w:r>
      <w:r w:rsidR="00C178E0">
        <w:t>.</w:t>
      </w:r>
    </w:p>
    <w:p w:rsidR="00924C59" w:rsidRDefault="005811D4" w:rsidP="00D35D5A">
      <w:pPr>
        <w:spacing w:after="0"/>
      </w:pPr>
      <w:r>
        <w:t xml:space="preserve">With </w:t>
      </w:r>
      <w:r w:rsidR="006613EA">
        <w:t xml:space="preserve">the </w:t>
      </w:r>
      <w:r>
        <w:t xml:space="preserve">specification by the NMC that programme providers </w:t>
      </w:r>
      <w:r w:rsidR="006613EA">
        <w:t xml:space="preserve">ensure </w:t>
      </w:r>
      <w:r w:rsidR="006613EA" w:rsidRPr="006613EA">
        <w:rPr>
          <w:rFonts w:cstheme="minorHAnsi"/>
          <w:color w:val="262626"/>
          <w:lang w:val="en-US"/>
        </w:rPr>
        <w:t>the assessment of theory and practice learning is given equal weighting</w:t>
      </w:r>
      <w:r w:rsidR="00326622">
        <w:t xml:space="preserve"> </w:t>
      </w:r>
      <w:r w:rsidR="006613EA">
        <w:t xml:space="preserve">in contributing to the </w:t>
      </w:r>
      <w:r w:rsidR="00326622">
        <w:t>final award</w:t>
      </w:r>
      <w:r w:rsidR="006613EA">
        <w:t>,</w:t>
      </w:r>
      <w:r w:rsidR="00C178E0">
        <w:t xml:space="preserve"> the issue of grading</w:t>
      </w:r>
      <w:r w:rsidR="00893620">
        <w:t xml:space="preserve"> practice</w:t>
      </w:r>
      <w:r w:rsidR="00A943A9">
        <w:t xml:space="preserve"> is topical again.  The grading of clinical practice became statutory for midwives in 2009 but in nursing, the performance of practice is often assessed using a </w:t>
      </w:r>
      <w:r w:rsidR="00D35D5A">
        <w:t xml:space="preserve">non graded </w:t>
      </w:r>
      <w:r w:rsidR="00A943A9">
        <w:t>pass</w:t>
      </w:r>
      <w:r w:rsidR="00D35D5A">
        <w:t xml:space="preserve"> or fail.</w:t>
      </w:r>
    </w:p>
    <w:p w:rsidR="00E5436C" w:rsidRDefault="005F1084" w:rsidP="001D3DE8">
      <w:r>
        <w:t>Nursing students spend half of their time in practice and this equates to 2,300 hours</w:t>
      </w:r>
      <w:r w:rsidR="001D3DE8">
        <w:t>.  P</w:t>
      </w:r>
      <w:r w:rsidR="00D35D5A">
        <w:t>ractice</w:t>
      </w:r>
      <w:r w:rsidR="001D3DE8">
        <w:t xml:space="preserve"> is</w:t>
      </w:r>
      <w:r w:rsidR="000A271A">
        <w:t xml:space="preserve"> an integral part of nursing programmes</w:t>
      </w:r>
      <w:r w:rsidR="001D3DE8">
        <w:t>,</w:t>
      </w:r>
      <w:r w:rsidR="000A271A">
        <w:t xml:space="preserve"> </w:t>
      </w:r>
      <w:r w:rsidR="00D35D5A">
        <w:t>which</w:t>
      </w:r>
      <w:r w:rsidR="000A271A">
        <w:t xml:space="preserve"> ensure</w:t>
      </w:r>
      <w:r w:rsidR="001D3DE8">
        <w:t>s</w:t>
      </w:r>
      <w:r w:rsidR="000A271A">
        <w:t xml:space="preserve"> at the point of registration</w:t>
      </w:r>
      <w:r w:rsidR="001D3DE8">
        <w:t xml:space="preserve"> </w:t>
      </w:r>
      <w:r w:rsidR="000A271A">
        <w:t>nurses are fit for practice and purpose</w:t>
      </w:r>
      <w:r w:rsidR="001D3DE8">
        <w:t>.  I</w:t>
      </w:r>
      <w:r w:rsidR="000A271A">
        <w:t>t is considered</w:t>
      </w:r>
      <w:r w:rsidR="00D35D5A">
        <w:t xml:space="preserve"> that limiting the assessment of performance to a pass or fail does not give due credit in a practice based discipline</w:t>
      </w:r>
      <w:r w:rsidR="007D7BF9">
        <w:t xml:space="preserve">.  </w:t>
      </w:r>
    </w:p>
    <w:p w:rsidR="00E5436C" w:rsidRDefault="007D7BF9" w:rsidP="006534FE">
      <w:r>
        <w:t xml:space="preserve">It is recognised that there are varying levels of performance in practice but high achieving </w:t>
      </w:r>
      <w:r w:rsidR="00E5436C">
        <w:t>students are not readily identified</w:t>
      </w:r>
      <w:r w:rsidR="001D3DE8">
        <w:t xml:space="preserve"> in a non graded assessment</w:t>
      </w:r>
      <w:r w:rsidR="00E5436C">
        <w:t xml:space="preserve">. </w:t>
      </w:r>
      <w:r w:rsidR="00B132DC">
        <w:t xml:space="preserve"> </w:t>
      </w:r>
      <w:r w:rsidR="00081D08">
        <w:t xml:space="preserve">Communication of either pass or fail limits the performance standard to either a safe acceptable standard or unacceptable standard of nursing practice. Consequently, there is no incentive for student nurses to extend beyond a basic, proficient level of practice whereas it is argued that providing a grade for practice which rewards ability and excellence will motivate students to improve their performance.   </w:t>
      </w:r>
      <w:r w:rsidR="00E5477D">
        <w:t>From a recent pilot study introducing a grading tool in hospitals where students from the University of Southampton are placed, e</w:t>
      </w:r>
      <w:r w:rsidR="00B132DC">
        <w:t xml:space="preserve">mployers </w:t>
      </w:r>
      <w:r w:rsidR="00E5477D">
        <w:t xml:space="preserve">reported that they </w:t>
      </w:r>
      <w:r w:rsidR="00B132DC">
        <w:t>would welcome the introduction of a reliable graded practice assessment which identifie</w:t>
      </w:r>
      <w:r w:rsidR="00E5477D">
        <w:t>d</w:t>
      </w:r>
      <w:r w:rsidR="00B132DC">
        <w:t xml:space="preserve"> those students who are high performers in clinical practice. </w:t>
      </w:r>
      <w:r w:rsidR="001D3DE8">
        <w:t xml:space="preserve"> </w:t>
      </w:r>
    </w:p>
    <w:p w:rsidR="000D64DB" w:rsidRDefault="008D67CD" w:rsidP="000D64DB">
      <w:pPr>
        <w:spacing w:after="0"/>
      </w:pPr>
      <w:r>
        <w:t xml:space="preserve"> Whilst </w:t>
      </w:r>
      <w:r w:rsidR="00B132DC">
        <w:t>graded practice assessments</w:t>
      </w:r>
      <w:r>
        <w:t xml:space="preserve"> can be useful</w:t>
      </w:r>
      <w:r w:rsidR="00B132DC">
        <w:t xml:space="preserve"> for students and employers, </w:t>
      </w:r>
      <w:r w:rsidR="00191F27">
        <w:t>introduc</w:t>
      </w:r>
      <w:r w:rsidR="00DD2462">
        <w:t>ing a grading system</w:t>
      </w:r>
      <w:r w:rsidR="00191F27">
        <w:t xml:space="preserve"> is not without its challenges. </w:t>
      </w:r>
      <w:r w:rsidR="005D7D39">
        <w:t xml:space="preserve"> </w:t>
      </w:r>
    </w:p>
    <w:p w:rsidR="000D64DB" w:rsidRDefault="000D64DB" w:rsidP="00F4354A">
      <w:pPr>
        <w:spacing w:after="0"/>
      </w:pPr>
      <w:r>
        <w:t>In midwifery practice, grading in practice is statutory but how much of the grade contributes to the</w:t>
      </w:r>
      <w:r w:rsidR="004E5DEB">
        <w:t>ir</w:t>
      </w:r>
      <w:r>
        <w:t xml:space="preserve"> </w:t>
      </w:r>
      <w:r w:rsidR="004E5DEB">
        <w:t xml:space="preserve">academic award </w:t>
      </w:r>
      <w:r>
        <w:t>is not made explicit by the NMC; neither is guidance given on how to grade practice</w:t>
      </w:r>
      <w:r w:rsidR="004E5DEB">
        <w:t xml:space="preserve"> </w:t>
      </w:r>
      <w:r>
        <w:t>(NMC,</w:t>
      </w:r>
      <w:r w:rsidR="00DF7CD8">
        <w:t xml:space="preserve"> </w:t>
      </w:r>
      <w:r>
        <w:t>2009).</w:t>
      </w:r>
      <w:r w:rsidR="004E5DEB">
        <w:t xml:space="preserve">  </w:t>
      </w:r>
      <w:r w:rsidR="00DF7CD8">
        <w:t>In nursing</w:t>
      </w:r>
      <w:r w:rsidR="00F4354A">
        <w:t>,</w:t>
      </w:r>
      <w:r w:rsidR="00EC34D5">
        <w:t xml:space="preserve"> under the new standards (NMC, 2010)</w:t>
      </w:r>
      <w:r w:rsidR="00F4354A">
        <w:t xml:space="preserve"> </w:t>
      </w:r>
      <w:r w:rsidR="00EC34D5">
        <w:t xml:space="preserve">grading in practice is optional; the type of assessments are not specified, nor the way in which credit is awarded but left to individual Higher Educational Institutions.  </w:t>
      </w:r>
      <w:r w:rsidR="004E5DEB">
        <w:t>This</w:t>
      </w:r>
      <w:r w:rsidR="00DF7CD8">
        <w:t xml:space="preserve"> is problematic as it identifies that there is no national approach to grading in </w:t>
      </w:r>
      <w:r w:rsidR="00EC34D5">
        <w:t xml:space="preserve">nursing or </w:t>
      </w:r>
      <w:r w:rsidR="00DF7CD8">
        <w:t>midwifery p</w:t>
      </w:r>
      <w:r w:rsidR="00EC34D5">
        <w:t>ractice to ensure consistency</w:t>
      </w:r>
      <w:r w:rsidR="00B16B03">
        <w:t xml:space="preserve"> and equality of the</w:t>
      </w:r>
      <w:r w:rsidR="00DF7CD8">
        <w:t xml:space="preserve"> practice assessment</w:t>
      </w:r>
      <w:r w:rsidR="00B16B03">
        <w:t xml:space="preserve"> strategy</w:t>
      </w:r>
      <w:r w:rsidR="00DF7CD8">
        <w:t>.</w:t>
      </w:r>
    </w:p>
    <w:p w:rsidR="00931376" w:rsidRDefault="00B16B03" w:rsidP="00931376">
      <w:pPr>
        <w:spacing w:after="0"/>
        <w:rPr>
          <w:rFonts w:cstheme="minorHAnsi"/>
        </w:rPr>
      </w:pPr>
      <w:r>
        <w:t>In addition, t</w:t>
      </w:r>
      <w:r w:rsidR="005D7D39">
        <w:t>he</w:t>
      </w:r>
      <w:r>
        <w:t>re is criticism</w:t>
      </w:r>
      <w:r w:rsidR="00E5477D">
        <w:t xml:space="preserve"> o</w:t>
      </w:r>
      <w:r>
        <w:t>f</w:t>
      </w:r>
      <w:r w:rsidR="00E5477D">
        <w:t xml:space="preserve"> the</w:t>
      </w:r>
      <w:r>
        <w:t xml:space="preserve"> reliability and validity of grading</w:t>
      </w:r>
      <w:r w:rsidR="00E5477D">
        <w:t xml:space="preserve"> assessment</w:t>
      </w:r>
      <w:r>
        <w:t>s</w:t>
      </w:r>
      <w:r w:rsidR="00816D40">
        <w:t xml:space="preserve"> and grade inflation whereby the grade awarded skews the final award classification (Gray and Donaldson, 2009)</w:t>
      </w:r>
      <w:r w:rsidR="00E5477D">
        <w:t>.  It is argued that the different practice environments and the huge number of mentors assessing students</w:t>
      </w:r>
      <w:r w:rsidR="006534FE">
        <w:t xml:space="preserve"> would make it difficult to ensure parity of marking across</w:t>
      </w:r>
      <w:r w:rsidR="005F654B">
        <w:t xml:space="preserve"> all </w:t>
      </w:r>
      <w:r w:rsidR="006534FE">
        <w:t xml:space="preserve">assessors and </w:t>
      </w:r>
      <w:r w:rsidR="005F654B">
        <w:t xml:space="preserve">all </w:t>
      </w:r>
      <w:r w:rsidR="006534FE">
        <w:t xml:space="preserve">practice areas: a theme that was raised </w:t>
      </w:r>
      <w:r w:rsidR="005F654B">
        <w:t xml:space="preserve">consistently </w:t>
      </w:r>
      <w:r w:rsidR="006534FE">
        <w:t xml:space="preserve">by mentors within our pilot study. </w:t>
      </w:r>
    </w:p>
    <w:p w:rsidR="008A20F4" w:rsidRDefault="008A20F4" w:rsidP="00B16B03"/>
    <w:p w:rsidR="00F52BEB" w:rsidRDefault="008A20F4" w:rsidP="00931376">
      <w:pPr>
        <w:spacing w:after="0"/>
        <w:rPr>
          <w:rFonts w:cstheme="minorHAnsi"/>
        </w:rPr>
      </w:pPr>
      <w:r>
        <w:lastRenderedPageBreak/>
        <w:t>To attempt to address these concerns,</w:t>
      </w:r>
      <w:r w:rsidR="00916447">
        <w:t xml:space="preserve"> nursing students at University of Southampton will be graded in each practice placement using a tool based on rubrics with clearly defined performance descriptors for each level across a scoring scale</w:t>
      </w:r>
      <w:r w:rsidR="00F60304">
        <w:t xml:space="preserve">.  </w:t>
      </w:r>
    </w:p>
    <w:p w:rsidR="008A20F4" w:rsidRDefault="00F60304" w:rsidP="00F4354A">
      <w:pPr>
        <w:rPr>
          <w:rFonts w:cstheme="minorHAnsi"/>
        </w:rPr>
      </w:pPr>
      <w:r w:rsidRPr="00F52BEB">
        <w:rPr>
          <w:rFonts w:cstheme="minorHAnsi"/>
        </w:rPr>
        <w:t>The</w:t>
      </w:r>
      <w:r w:rsidRPr="00F60304">
        <w:rPr>
          <w:rFonts w:cstheme="minorHAnsi"/>
        </w:rPr>
        <w:t xml:space="preserve"> grading themes outlined in table 1 were developed following close scrutiny of the </w:t>
      </w:r>
      <w:r w:rsidR="00D36D23">
        <w:rPr>
          <w:rFonts w:cstheme="minorHAnsi"/>
        </w:rPr>
        <w:t xml:space="preserve">competency framework in the </w:t>
      </w:r>
      <w:r w:rsidRPr="00F60304">
        <w:rPr>
          <w:rFonts w:cstheme="minorHAnsi"/>
        </w:rPr>
        <w:t>new NMC Standards</w:t>
      </w:r>
      <w:r>
        <w:rPr>
          <w:rFonts w:cstheme="minorHAnsi"/>
        </w:rPr>
        <w:t xml:space="preserve"> (NMC, 2010).</w:t>
      </w:r>
      <w:r w:rsidR="00916447">
        <w:rPr>
          <w:rFonts w:ascii="Plantin" w:hAnsi="Plantin" w:cs="Plantin"/>
          <w:sz w:val="20"/>
          <w:szCs w:val="20"/>
        </w:rPr>
        <w:t xml:space="preserve"> </w:t>
      </w:r>
      <w:r w:rsidRPr="00F60304">
        <w:rPr>
          <w:rFonts w:cstheme="minorHAnsi"/>
        </w:rPr>
        <w:t xml:space="preserve">The tool has been refined over the past year following feedback from </w:t>
      </w:r>
      <w:r>
        <w:rPr>
          <w:rFonts w:cstheme="minorHAnsi"/>
        </w:rPr>
        <w:t xml:space="preserve">academic and practice staff and students. </w:t>
      </w:r>
      <w:r w:rsidRPr="00F60304">
        <w:rPr>
          <w:rFonts w:cstheme="minorHAnsi"/>
        </w:rPr>
        <w:t xml:space="preserve">  </w:t>
      </w:r>
      <w:r w:rsidR="00916447" w:rsidRPr="00F60304">
        <w:rPr>
          <w:rFonts w:cstheme="minorHAnsi"/>
        </w:rPr>
        <w:t xml:space="preserve">Statisticians </w:t>
      </w:r>
      <w:r>
        <w:rPr>
          <w:rFonts w:cstheme="minorHAnsi"/>
        </w:rPr>
        <w:t>are working with us to ensure we address concerns around grade inflation</w:t>
      </w:r>
      <w:r w:rsidR="00F4354A">
        <w:rPr>
          <w:rFonts w:cstheme="minorHAnsi"/>
        </w:rPr>
        <w:t>, reliability and validity.</w:t>
      </w:r>
      <w:r>
        <w:rPr>
          <w:rFonts w:cstheme="minorHAnsi"/>
        </w:rPr>
        <w:t xml:space="preserve">  </w:t>
      </w:r>
    </w:p>
    <w:tbl>
      <w:tblPr>
        <w:tblStyle w:val="MediumGrid1-Accent4"/>
        <w:tblW w:w="0" w:type="auto"/>
        <w:tblInd w:w="108" w:type="dxa"/>
        <w:tblLook w:val="04A0" w:firstRow="1" w:lastRow="0" w:firstColumn="1" w:lastColumn="0" w:noHBand="0" w:noVBand="1"/>
      </w:tblPr>
      <w:tblGrid>
        <w:gridCol w:w="6237"/>
      </w:tblGrid>
      <w:tr w:rsidR="00D36D23" w:rsidTr="00F52B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</w:tcPr>
          <w:p w:rsidR="00D36D23" w:rsidRPr="00D36D23" w:rsidRDefault="00D36D23" w:rsidP="00D36D23">
            <w:pPr>
              <w:spacing w:before="120"/>
              <w:rPr>
                <w:b w:val="0"/>
                <w:bCs w:val="0"/>
              </w:rPr>
            </w:pPr>
            <w:r w:rsidRPr="00D36D23">
              <w:rPr>
                <w:b w:val="0"/>
                <w:bCs w:val="0"/>
              </w:rPr>
              <w:t>Practice experience 1 – Professionalism in practice</w:t>
            </w:r>
          </w:p>
        </w:tc>
      </w:tr>
      <w:tr w:rsidR="00D36D23" w:rsidTr="00F52B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</w:tcPr>
          <w:p w:rsidR="00D36D23" w:rsidRPr="00D36D23" w:rsidRDefault="00D36D23" w:rsidP="00D36D23">
            <w:pPr>
              <w:spacing w:before="120"/>
              <w:rPr>
                <w:b w:val="0"/>
                <w:bCs w:val="0"/>
              </w:rPr>
            </w:pPr>
            <w:r w:rsidRPr="00D36D23">
              <w:rPr>
                <w:b w:val="0"/>
                <w:bCs w:val="0"/>
              </w:rPr>
              <w:t>Practice experience 2 – Communication and compassion</w:t>
            </w:r>
          </w:p>
        </w:tc>
      </w:tr>
      <w:tr w:rsidR="00D36D23" w:rsidTr="00F52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</w:tcPr>
          <w:p w:rsidR="00D36D23" w:rsidRPr="00D36D23" w:rsidRDefault="00D36D23" w:rsidP="00D36D23">
            <w:pPr>
              <w:spacing w:before="120"/>
              <w:rPr>
                <w:b w:val="0"/>
                <w:bCs w:val="0"/>
              </w:rPr>
            </w:pPr>
            <w:r w:rsidRPr="00D36D23">
              <w:rPr>
                <w:b w:val="0"/>
                <w:bCs w:val="0"/>
              </w:rPr>
              <w:t>Practice experience 3 – Single patient care management</w:t>
            </w:r>
          </w:p>
        </w:tc>
      </w:tr>
      <w:tr w:rsidR="00D36D23" w:rsidTr="00F52B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</w:tcPr>
          <w:p w:rsidR="00D36D23" w:rsidRPr="00D36D23" w:rsidRDefault="00D36D23" w:rsidP="00D36D23">
            <w:pPr>
              <w:spacing w:before="120"/>
              <w:rPr>
                <w:b w:val="0"/>
                <w:bCs w:val="0"/>
              </w:rPr>
            </w:pPr>
            <w:r w:rsidRPr="00D36D23">
              <w:rPr>
                <w:b w:val="0"/>
                <w:bCs w:val="0"/>
              </w:rPr>
              <w:t>Practice experience 4 – Care management of a group of patients</w:t>
            </w:r>
          </w:p>
        </w:tc>
      </w:tr>
      <w:tr w:rsidR="00D36D23" w:rsidTr="00F52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</w:tcPr>
          <w:p w:rsidR="00D36D23" w:rsidRPr="00D36D23" w:rsidRDefault="00D36D23" w:rsidP="00D36D23">
            <w:pPr>
              <w:spacing w:before="120"/>
              <w:rPr>
                <w:b w:val="0"/>
                <w:bCs w:val="0"/>
              </w:rPr>
            </w:pPr>
            <w:r w:rsidRPr="00D36D23">
              <w:rPr>
                <w:b w:val="0"/>
                <w:bCs w:val="0"/>
              </w:rPr>
              <w:t>Practice experience 5 – Inter-professional coordination of care</w:t>
            </w:r>
          </w:p>
        </w:tc>
      </w:tr>
      <w:tr w:rsidR="00D36D23" w:rsidTr="00F52B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</w:tcPr>
          <w:p w:rsidR="00D36D23" w:rsidRPr="00D36D23" w:rsidRDefault="00D36D23" w:rsidP="00D36D23">
            <w:pPr>
              <w:spacing w:before="120"/>
              <w:rPr>
                <w:b w:val="0"/>
                <w:bCs w:val="0"/>
              </w:rPr>
            </w:pPr>
            <w:r w:rsidRPr="00D36D23">
              <w:rPr>
                <w:b w:val="0"/>
                <w:bCs w:val="0"/>
              </w:rPr>
              <w:t>Practice experience 6 – Leading a team in service delivery</w:t>
            </w:r>
          </w:p>
        </w:tc>
      </w:tr>
    </w:tbl>
    <w:p w:rsidR="00F60304" w:rsidRDefault="00F52BEB" w:rsidP="00F60304">
      <w:pPr>
        <w:rPr>
          <w:rFonts w:cstheme="minorHAnsi"/>
        </w:rPr>
      </w:pPr>
      <w:r>
        <w:rPr>
          <w:rFonts w:cstheme="minorHAnsi"/>
        </w:rPr>
        <w:t>Table 1</w:t>
      </w:r>
    </w:p>
    <w:p w:rsidR="00931376" w:rsidRPr="00F60304" w:rsidRDefault="00931376" w:rsidP="00931376">
      <w:pPr>
        <w:spacing w:after="120"/>
        <w:rPr>
          <w:rFonts w:cstheme="minorHAnsi"/>
        </w:rPr>
      </w:pPr>
      <w:r>
        <w:t xml:space="preserve">In addition, new mentor support staff seconded from local trusts are working with us to support the roll out of the new standards and specifically grading in practice. </w:t>
      </w:r>
      <w:r>
        <w:rPr>
          <w:rFonts w:ascii="Plantin" w:hAnsi="Plantin" w:cs="Plantin"/>
          <w:sz w:val="20"/>
          <w:szCs w:val="20"/>
        </w:rPr>
        <w:t xml:space="preserve"> </w:t>
      </w:r>
      <w:r w:rsidRPr="00F52BEB">
        <w:rPr>
          <w:rFonts w:cstheme="minorHAnsi"/>
        </w:rPr>
        <w:t xml:space="preserve">Mentors </w:t>
      </w:r>
      <w:r>
        <w:rPr>
          <w:rFonts w:cstheme="minorHAnsi"/>
        </w:rPr>
        <w:t>will need on-going support and development to ensure they are effective in their role supporting students in practice so that they understand the new requirements and assessment processes (see Table 2).</w:t>
      </w:r>
    </w:p>
    <w:p w:rsidR="00A64474" w:rsidRPr="00816D40" w:rsidRDefault="00A64474" w:rsidP="00A64474">
      <w:pPr>
        <w:spacing w:after="0"/>
        <w:rPr>
          <w:b/>
          <w:bCs/>
        </w:rPr>
      </w:pPr>
      <w:r w:rsidRPr="00816D40">
        <w:rPr>
          <w:b/>
          <w:bCs/>
        </w:rPr>
        <w:t>Conclusion</w:t>
      </w:r>
    </w:p>
    <w:p w:rsidR="002C4054" w:rsidRDefault="005F654B" w:rsidP="00A64474">
      <w:r>
        <w:t xml:space="preserve">Grading students </w:t>
      </w:r>
      <w:r w:rsidR="00E1014A">
        <w:t xml:space="preserve">in practice </w:t>
      </w:r>
      <w:r>
        <w:t>reflects a desire to</w:t>
      </w:r>
      <w:r w:rsidR="00E1014A">
        <w:t xml:space="preserve"> reward students for excellence and ensure the grade is reflected in their degree award</w:t>
      </w:r>
      <w:r w:rsidR="008A1386">
        <w:t>,</w:t>
      </w:r>
      <w:r w:rsidR="00E1014A">
        <w:t xml:space="preserve"> thereby acknowledging the important of professional practice. It will also </w:t>
      </w:r>
      <w:r>
        <w:t>provide information to pro</w:t>
      </w:r>
      <w:r w:rsidR="00E1014A">
        <w:t>spective employers of the clinical ability of students</w:t>
      </w:r>
      <w:r>
        <w:t xml:space="preserve">. </w:t>
      </w:r>
      <w:r w:rsidR="00E1014A">
        <w:t xml:space="preserve"> </w:t>
      </w:r>
      <w:r>
        <w:t>To attempt to</w:t>
      </w:r>
      <w:r w:rsidR="00E1014A">
        <w:t xml:space="preserve"> identify</w:t>
      </w:r>
      <w:r>
        <w:t xml:space="preserve"> failing students and quantify different levels of excellence in clinical practice</w:t>
      </w:r>
      <w:r w:rsidR="00E1014A">
        <w:t xml:space="preserve"> is not without its difficulties and mentors must be properly prepared and cognisant of criticism and the challenges inherent in the grading process</w:t>
      </w:r>
      <w:r>
        <w:t xml:space="preserve">. </w:t>
      </w:r>
      <w:r w:rsidR="00E1014A">
        <w:t xml:space="preserve"> </w:t>
      </w:r>
    </w:p>
    <w:p w:rsidR="00D36D23" w:rsidRDefault="00E1014A" w:rsidP="000F6557">
      <w:pPr>
        <w:spacing w:after="0"/>
      </w:pPr>
      <w:r>
        <w:t>Programme providers have responsibility to ensure mentors are properly prepared and th</w:t>
      </w:r>
      <w:r w:rsidR="008A1386">
        <w:t>at the</w:t>
      </w:r>
      <w:r>
        <w:t xml:space="preserve"> grading tool</w:t>
      </w:r>
      <w:r w:rsidR="008A1386">
        <w:t xml:space="preserve"> introduced</w:t>
      </w:r>
      <w:r>
        <w:t xml:space="preserve"> is robust, valid and reliable so that the mark given reflects the ability of the student and is not influenced by the different environments in which the student is graded or the </w:t>
      </w:r>
      <w:r w:rsidR="008A1386">
        <w:t xml:space="preserve">difference between mentors. </w:t>
      </w:r>
      <w:r w:rsidR="00931376">
        <w:t xml:space="preserve"> </w:t>
      </w:r>
      <w:r w:rsidR="00F60304">
        <w:t xml:space="preserve">At the University of Southampton we are trying to address these concerns. </w:t>
      </w:r>
      <w:r w:rsidR="008A1386">
        <w:t xml:space="preserve"> </w:t>
      </w:r>
    </w:p>
    <w:p w:rsidR="00D37CA1" w:rsidRDefault="008A1386" w:rsidP="000F6557">
      <w:pPr>
        <w:spacing w:after="0"/>
      </w:pPr>
      <w:r>
        <w:t>Mentors too have a professional responsibility under their professional</w:t>
      </w:r>
      <w:r w:rsidR="002C4054">
        <w:t xml:space="preserve"> development requirements (Prep)</w:t>
      </w:r>
      <w:r>
        <w:t xml:space="preserve"> </w:t>
      </w:r>
      <w:r w:rsidR="002C4054">
        <w:t xml:space="preserve">and </w:t>
      </w:r>
      <w:r w:rsidR="00494B0E">
        <w:t xml:space="preserve">must meet the NMC </w:t>
      </w:r>
      <w:r w:rsidR="002C4054">
        <w:t xml:space="preserve">standards </w:t>
      </w:r>
      <w:r w:rsidR="00494B0E">
        <w:t xml:space="preserve">(2006) </w:t>
      </w:r>
      <w:r w:rsidR="002C4054">
        <w:t>to support learning in practice</w:t>
      </w:r>
      <w:r w:rsidR="00A64474">
        <w:t xml:space="preserve"> and</w:t>
      </w:r>
      <w:r w:rsidR="00494B0E">
        <w:t xml:space="preserve"> demonstrate they have been appropriately prepared to assess performance in practice.</w:t>
      </w:r>
    </w:p>
    <w:p w:rsidR="000F6557" w:rsidRDefault="000F6557" w:rsidP="000F6557">
      <w:pPr>
        <w:spacing w:after="0"/>
      </w:pPr>
    </w:p>
    <w:tbl>
      <w:tblPr>
        <w:tblStyle w:val="MediumGrid1-Accent4"/>
        <w:tblW w:w="9322" w:type="dxa"/>
        <w:tblLook w:val="04A0" w:firstRow="1" w:lastRow="0" w:firstColumn="1" w:lastColumn="0" w:noHBand="0" w:noVBand="1"/>
      </w:tblPr>
      <w:tblGrid>
        <w:gridCol w:w="4786"/>
        <w:gridCol w:w="4536"/>
      </w:tblGrid>
      <w:tr w:rsidR="00D37CA1" w:rsidTr="004848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2" w:type="dxa"/>
            <w:gridSpan w:val="2"/>
          </w:tcPr>
          <w:p w:rsidR="00D37CA1" w:rsidRDefault="00A64474" w:rsidP="00A64474">
            <w:pPr>
              <w:spacing w:before="120"/>
            </w:pPr>
            <w:r w:rsidRPr="00816D40">
              <w:rPr>
                <w:color w:val="403152" w:themeColor="accent4" w:themeShade="80"/>
              </w:rPr>
              <w:t xml:space="preserve">Grading </w:t>
            </w:r>
            <w:r w:rsidR="00617B75" w:rsidRPr="00816D40">
              <w:rPr>
                <w:color w:val="403152" w:themeColor="accent4" w:themeShade="80"/>
              </w:rPr>
              <w:t xml:space="preserve">students in </w:t>
            </w:r>
            <w:r w:rsidR="00D37CA1" w:rsidRPr="00816D40">
              <w:rPr>
                <w:color w:val="403152" w:themeColor="accent4" w:themeShade="80"/>
              </w:rPr>
              <w:t>practice</w:t>
            </w:r>
          </w:p>
        </w:tc>
      </w:tr>
      <w:tr w:rsidR="00C178E0" w:rsidTr="004848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</w:tcPr>
          <w:p w:rsidR="00C178E0" w:rsidRPr="00816D40" w:rsidRDefault="00A64474" w:rsidP="00A64474">
            <w:pPr>
              <w:spacing w:before="120"/>
              <w:rPr>
                <w:color w:val="E5DFEC" w:themeColor="accent4" w:themeTint="33"/>
              </w:rPr>
            </w:pPr>
            <w:r w:rsidRPr="00816D40">
              <w:rPr>
                <w:color w:val="E5DFEC" w:themeColor="accent4" w:themeTint="33"/>
              </w:rPr>
              <w:t xml:space="preserve">Training requirements for mentors (Gray and Donaldson, 2009).  </w:t>
            </w:r>
          </w:p>
        </w:tc>
        <w:tc>
          <w:tcPr>
            <w:tcW w:w="4536" w:type="dxa"/>
          </w:tcPr>
          <w:p w:rsidR="00D37CA1" w:rsidRPr="00816D40" w:rsidRDefault="00D37CA1" w:rsidP="00A64474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E5DFEC" w:themeColor="accent4" w:themeTint="33"/>
              </w:rPr>
            </w:pPr>
            <w:r w:rsidRPr="00816D40">
              <w:rPr>
                <w:b/>
                <w:bCs/>
                <w:color w:val="E5DFEC" w:themeColor="accent4" w:themeTint="33"/>
              </w:rPr>
              <w:t>Activities to prepare mentors</w:t>
            </w:r>
          </w:p>
        </w:tc>
      </w:tr>
      <w:tr w:rsidR="00627253" w:rsidTr="00F52BEB">
        <w:trPr>
          <w:trHeight w:val="11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</w:tcPr>
          <w:p w:rsidR="00A64474" w:rsidRPr="00F52BEB" w:rsidRDefault="00A64474" w:rsidP="00A64474">
            <w:pPr>
              <w:spacing w:before="120"/>
              <w:rPr>
                <w:color w:val="403152" w:themeColor="accent4" w:themeShade="80"/>
              </w:rPr>
            </w:pPr>
            <w:r w:rsidRPr="00F52BEB">
              <w:rPr>
                <w:color w:val="403152" w:themeColor="accent4" w:themeShade="80"/>
              </w:rPr>
              <w:t>Mentors need to:</w:t>
            </w:r>
          </w:p>
          <w:p w:rsidR="00627253" w:rsidRPr="00F52BEB" w:rsidRDefault="00A64474" w:rsidP="00A64474">
            <w:pPr>
              <w:pStyle w:val="ListParagraph"/>
              <w:numPr>
                <w:ilvl w:val="0"/>
                <w:numId w:val="1"/>
              </w:numPr>
              <w:rPr>
                <w:b w:val="0"/>
                <w:bCs w:val="0"/>
                <w:color w:val="403152" w:themeColor="accent4" w:themeShade="80"/>
              </w:rPr>
            </w:pPr>
            <w:r w:rsidRPr="00F52BEB">
              <w:rPr>
                <w:b w:val="0"/>
                <w:bCs w:val="0"/>
                <w:color w:val="403152" w:themeColor="accent4" w:themeShade="80"/>
              </w:rPr>
              <w:t xml:space="preserve">Develop an </w:t>
            </w:r>
            <w:r w:rsidR="00627253" w:rsidRPr="00F52BEB">
              <w:rPr>
                <w:b w:val="0"/>
                <w:bCs w:val="0"/>
                <w:color w:val="403152" w:themeColor="accent4" w:themeShade="80"/>
              </w:rPr>
              <w:t>understanding and</w:t>
            </w:r>
            <w:r w:rsidRPr="00F52BEB">
              <w:rPr>
                <w:b w:val="0"/>
                <w:bCs w:val="0"/>
                <w:color w:val="403152" w:themeColor="accent4" w:themeShade="80"/>
              </w:rPr>
              <w:t xml:space="preserve"> </w:t>
            </w:r>
            <w:r w:rsidR="00627253" w:rsidRPr="00F52BEB">
              <w:rPr>
                <w:b w:val="0"/>
                <w:bCs w:val="0"/>
                <w:color w:val="403152" w:themeColor="accent4" w:themeShade="80"/>
              </w:rPr>
              <w:t>interpretation of educational terminology</w:t>
            </w:r>
          </w:p>
          <w:p w:rsidR="00627253" w:rsidRPr="00F52BEB" w:rsidRDefault="00A64474" w:rsidP="00A64474">
            <w:pPr>
              <w:pStyle w:val="ListParagraph"/>
              <w:numPr>
                <w:ilvl w:val="0"/>
                <w:numId w:val="1"/>
              </w:numPr>
              <w:rPr>
                <w:b w:val="0"/>
                <w:bCs w:val="0"/>
                <w:color w:val="403152" w:themeColor="accent4" w:themeShade="80"/>
              </w:rPr>
            </w:pPr>
            <w:r w:rsidRPr="00F52BEB">
              <w:rPr>
                <w:b w:val="0"/>
                <w:bCs w:val="0"/>
                <w:color w:val="403152" w:themeColor="accent4" w:themeShade="80"/>
              </w:rPr>
              <w:t xml:space="preserve">Know </w:t>
            </w:r>
            <w:r w:rsidR="00627253" w:rsidRPr="00F52BEB">
              <w:rPr>
                <w:b w:val="0"/>
                <w:bCs w:val="0"/>
                <w:color w:val="403152" w:themeColor="accent4" w:themeShade="80"/>
              </w:rPr>
              <w:t>how to accurately assess and assign grades</w:t>
            </w:r>
          </w:p>
          <w:p w:rsidR="004848CE" w:rsidRPr="00F52BEB" w:rsidRDefault="00A64474" w:rsidP="00A64474">
            <w:pPr>
              <w:pStyle w:val="ListParagraph"/>
              <w:numPr>
                <w:ilvl w:val="0"/>
                <w:numId w:val="1"/>
              </w:numPr>
              <w:rPr>
                <w:b w:val="0"/>
                <w:bCs w:val="0"/>
                <w:color w:val="403152" w:themeColor="accent4" w:themeShade="80"/>
              </w:rPr>
            </w:pPr>
            <w:r w:rsidRPr="00F52BEB">
              <w:rPr>
                <w:b w:val="0"/>
                <w:bCs w:val="0"/>
                <w:color w:val="403152" w:themeColor="accent4" w:themeShade="80"/>
              </w:rPr>
              <w:t>Know h</w:t>
            </w:r>
            <w:r w:rsidR="004848CE" w:rsidRPr="00F52BEB">
              <w:rPr>
                <w:b w:val="0"/>
                <w:bCs w:val="0"/>
                <w:color w:val="403152" w:themeColor="accent4" w:themeShade="80"/>
              </w:rPr>
              <w:t>ow to use the grading tools consistently</w:t>
            </w:r>
            <w:r w:rsidRPr="00F52BEB">
              <w:rPr>
                <w:b w:val="0"/>
                <w:bCs w:val="0"/>
                <w:color w:val="403152" w:themeColor="accent4" w:themeShade="80"/>
              </w:rPr>
              <w:t xml:space="preserve"> and effectively</w:t>
            </w:r>
          </w:p>
          <w:p w:rsidR="00627253" w:rsidRPr="00F52BEB" w:rsidRDefault="00A64474" w:rsidP="00A64474">
            <w:pPr>
              <w:pStyle w:val="ListParagraph"/>
              <w:numPr>
                <w:ilvl w:val="0"/>
                <w:numId w:val="1"/>
              </w:numPr>
              <w:rPr>
                <w:b w:val="0"/>
                <w:bCs w:val="0"/>
                <w:color w:val="403152" w:themeColor="accent4" w:themeShade="80"/>
              </w:rPr>
            </w:pPr>
            <w:r w:rsidRPr="00F52BEB">
              <w:rPr>
                <w:b w:val="0"/>
                <w:bCs w:val="0"/>
                <w:color w:val="403152" w:themeColor="accent4" w:themeShade="80"/>
              </w:rPr>
              <w:t xml:space="preserve">Be able to </w:t>
            </w:r>
            <w:r w:rsidR="00627253" w:rsidRPr="00F52BEB">
              <w:rPr>
                <w:b w:val="0"/>
                <w:bCs w:val="0"/>
                <w:color w:val="403152" w:themeColor="accent4" w:themeShade="80"/>
              </w:rPr>
              <w:t>write evidence in the assessment of practice document to support the grade awarded.</w:t>
            </w:r>
          </w:p>
          <w:p w:rsidR="004848CE" w:rsidRPr="00F52BEB" w:rsidRDefault="00A64474" w:rsidP="00627253">
            <w:pPr>
              <w:pStyle w:val="ListParagraph"/>
              <w:numPr>
                <w:ilvl w:val="0"/>
                <w:numId w:val="1"/>
              </w:numPr>
              <w:rPr>
                <w:b w:val="0"/>
                <w:bCs w:val="0"/>
                <w:color w:val="403152" w:themeColor="accent4" w:themeShade="80"/>
              </w:rPr>
            </w:pPr>
            <w:r w:rsidRPr="00F52BEB">
              <w:rPr>
                <w:b w:val="0"/>
                <w:bCs w:val="0"/>
                <w:color w:val="403152" w:themeColor="accent4" w:themeShade="80"/>
              </w:rPr>
              <w:t>D</w:t>
            </w:r>
            <w:r w:rsidR="004848CE" w:rsidRPr="00F52BEB">
              <w:rPr>
                <w:b w:val="0"/>
                <w:bCs w:val="0"/>
                <w:color w:val="403152" w:themeColor="accent4" w:themeShade="80"/>
              </w:rPr>
              <w:t>eliver effective feedback</w:t>
            </w:r>
          </w:p>
          <w:p w:rsidR="004848CE" w:rsidRPr="00627253" w:rsidRDefault="004848CE" w:rsidP="00627253">
            <w:pPr>
              <w:pStyle w:val="ListParagraph"/>
              <w:numPr>
                <w:ilvl w:val="0"/>
                <w:numId w:val="1"/>
              </w:numPr>
              <w:rPr>
                <w:b w:val="0"/>
                <w:bCs w:val="0"/>
              </w:rPr>
            </w:pPr>
            <w:r w:rsidRPr="00F52BEB">
              <w:rPr>
                <w:b w:val="0"/>
                <w:bCs w:val="0"/>
                <w:color w:val="403152" w:themeColor="accent4" w:themeShade="80"/>
              </w:rPr>
              <w:t>How to</w:t>
            </w:r>
            <w:r w:rsidR="00A64474" w:rsidRPr="00F52BEB">
              <w:rPr>
                <w:b w:val="0"/>
                <w:bCs w:val="0"/>
                <w:color w:val="403152" w:themeColor="accent4" w:themeShade="80"/>
              </w:rPr>
              <w:t xml:space="preserve"> deal with borderline or failing students</w:t>
            </w:r>
          </w:p>
        </w:tc>
        <w:tc>
          <w:tcPr>
            <w:tcW w:w="4536" w:type="dxa"/>
          </w:tcPr>
          <w:p w:rsidR="004848CE" w:rsidRDefault="00627253" w:rsidP="00816D40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3152" w:themeColor="accent4" w:themeShade="80"/>
              </w:rPr>
            </w:pPr>
            <w:r w:rsidRPr="00617B75">
              <w:rPr>
                <w:rFonts w:cstheme="minorHAnsi"/>
                <w:color w:val="403152" w:themeColor="accent4" w:themeShade="80"/>
              </w:rPr>
              <w:t>Programme providers have a responsibility to ensure that health professionals who supervise students in practice are suitably prepared.</w:t>
            </w:r>
            <w:r w:rsidR="004848CE">
              <w:rPr>
                <w:rFonts w:cstheme="minorHAnsi"/>
                <w:color w:val="403152" w:themeColor="accent4" w:themeShade="80"/>
              </w:rPr>
              <w:t xml:space="preserve"> </w:t>
            </w:r>
            <w:r>
              <w:rPr>
                <w:rFonts w:cstheme="minorHAnsi"/>
                <w:color w:val="403152" w:themeColor="accent4" w:themeShade="80"/>
              </w:rPr>
              <w:t xml:space="preserve"> Therefore </w:t>
            </w:r>
            <w:r w:rsidRPr="00627253">
              <w:rPr>
                <w:rFonts w:cstheme="minorHAnsi"/>
                <w:color w:val="403152" w:themeColor="accent4" w:themeShade="80"/>
              </w:rPr>
              <w:t>m</w:t>
            </w:r>
            <w:r w:rsidRPr="00627253">
              <w:rPr>
                <w:color w:val="403152" w:themeColor="accent4" w:themeShade="80"/>
              </w:rPr>
              <w:t xml:space="preserve">ake early contact with the </w:t>
            </w:r>
            <w:r>
              <w:rPr>
                <w:color w:val="403152" w:themeColor="accent4" w:themeShade="80"/>
              </w:rPr>
              <w:t xml:space="preserve">practice </w:t>
            </w:r>
            <w:r w:rsidRPr="00627253">
              <w:rPr>
                <w:color w:val="403152" w:themeColor="accent4" w:themeShade="80"/>
              </w:rPr>
              <w:t>link person from the university</w:t>
            </w:r>
            <w:r w:rsidR="00816D40">
              <w:rPr>
                <w:color w:val="403152" w:themeColor="accent4" w:themeShade="80"/>
              </w:rPr>
              <w:t xml:space="preserve"> or your practice educator/professional development nurse</w:t>
            </w:r>
            <w:r w:rsidRPr="00627253">
              <w:rPr>
                <w:color w:val="403152" w:themeColor="accent4" w:themeShade="80"/>
              </w:rPr>
              <w:t xml:space="preserve">. </w:t>
            </w:r>
          </w:p>
          <w:p w:rsidR="00627253" w:rsidRDefault="00627253" w:rsidP="00F52BEB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3152" w:themeColor="accent4" w:themeShade="80"/>
              </w:rPr>
            </w:pPr>
            <w:r w:rsidRPr="00627253">
              <w:rPr>
                <w:color w:val="403152" w:themeColor="accent4" w:themeShade="80"/>
              </w:rPr>
              <w:t>Ask what mentor preparation is being developed to support you.</w:t>
            </w:r>
          </w:p>
          <w:p w:rsidR="004848CE" w:rsidRDefault="004848CE" w:rsidP="00627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3152" w:themeColor="accent4" w:themeShade="80"/>
              </w:rPr>
            </w:pPr>
            <w:r>
              <w:rPr>
                <w:color w:val="403152" w:themeColor="accent4" w:themeShade="80"/>
              </w:rPr>
              <w:t>Are there ‘grading’ master classes or targeted updates to inform you?</w:t>
            </w:r>
          </w:p>
          <w:p w:rsidR="004848CE" w:rsidRDefault="004848CE" w:rsidP="00F52BEB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3152" w:themeColor="accent4" w:themeShade="80"/>
              </w:rPr>
            </w:pPr>
            <w:r>
              <w:rPr>
                <w:color w:val="403152" w:themeColor="accent4" w:themeShade="80"/>
              </w:rPr>
              <w:t>Form an action learning set to work with other colleagues to support and learn from each other</w:t>
            </w:r>
          </w:p>
          <w:p w:rsidR="004848CE" w:rsidRPr="00617B75" w:rsidRDefault="004848CE" w:rsidP="00627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:rsidR="00C178E0" w:rsidRDefault="00931376">
      <w:r>
        <w:t>Table 2</w:t>
      </w:r>
      <w:r w:rsidR="004848CE">
        <w:t xml:space="preserve"> </w:t>
      </w:r>
    </w:p>
    <w:tbl>
      <w:tblPr>
        <w:tblStyle w:val="MediumGrid1-Accent4"/>
        <w:tblW w:w="0" w:type="auto"/>
        <w:tblLook w:val="04A0" w:firstRow="1" w:lastRow="0" w:firstColumn="1" w:lastColumn="0" w:noHBand="0" w:noVBand="1"/>
      </w:tblPr>
      <w:tblGrid>
        <w:gridCol w:w="4786"/>
      </w:tblGrid>
      <w:tr w:rsidR="00816D40" w:rsidTr="00816D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</w:tcPr>
          <w:p w:rsidR="00816D40" w:rsidRDefault="00816D40" w:rsidP="00EB4BCE">
            <w:pPr>
              <w:spacing w:before="120"/>
            </w:pPr>
            <w:r w:rsidRPr="00816D40">
              <w:rPr>
                <w:color w:val="403152" w:themeColor="accent4" w:themeShade="80"/>
              </w:rPr>
              <w:t>Stop and Think</w:t>
            </w:r>
          </w:p>
        </w:tc>
      </w:tr>
      <w:tr w:rsidR="00816D40" w:rsidTr="00816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</w:tcPr>
          <w:p w:rsidR="00816D40" w:rsidRPr="00931376" w:rsidRDefault="000F6557" w:rsidP="00EB4BCE">
            <w:pPr>
              <w:spacing w:before="120"/>
              <w:rPr>
                <w:color w:val="403152" w:themeColor="accent4" w:themeShade="80"/>
              </w:rPr>
            </w:pPr>
            <w:r w:rsidRPr="00931376">
              <w:rPr>
                <w:b w:val="0"/>
                <w:bCs w:val="0"/>
                <w:color w:val="403152" w:themeColor="accent4" w:themeShade="80"/>
              </w:rPr>
              <w:t xml:space="preserve"> </w:t>
            </w:r>
            <w:r w:rsidR="00EB4BCE" w:rsidRPr="00931376">
              <w:rPr>
                <w:b w:val="0"/>
                <w:bCs w:val="0"/>
                <w:color w:val="403152" w:themeColor="accent4" w:themeShade="80"/>
              </w:rPr>
              <w:t>Go through the list above and check that you can confidently address all bulleted points</w:t>
            </w:r>
          </w:p>
        </w:tc>
      </w:tr>
      <w:tr w:rsidR="00816D40" w:rsidTr="00816D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</w:tcPr>
          <w:p w:rsidR="00816D40" w:rsidRPr="00931376" w:rsidRDefault="00EB4BCE" w:rsidP="00EB4BCE">
            <w:pPr>
              <w:spacing w:before="120"/>
              <w:rPr>
                <w:b w:val="0"/>
                <w:bCs w:val="0"/>
                <w:color w:val="403152" w:themeColor="accent4" w:themeShade="80"/>
              </w:rPr>
            </w:pPr>
            <w:r w:rsidRPr="00931376">
              <w:rPr>
                <w:b w:val="0"/>
                <w:bCs w:val="0"/>
                <w:color w:val="403152" w:themeColor="accent4" w:themeShade="80"/>
              </w:rPr>
              <w:t>If you lack confidence in any of the above areas make sure you receive appropriate training.</w:t>
            </w:r>
          </w:p>
        </w:tc>
      </w:tr>
      <w:tr w:rsidR="00077EB1" w:rsidTr="00816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</w:tcPr>
          <w:p w:rsidR="00077EB1" w:rsidRPr="00931376" w:rsidRDefault="00077EB1" w:rsidP="00EB4BCE">
            <w:pPr>
              <w:spacing w:before="120"/>
              <w:rPr>
                <w:b w:val="0"/>
                <w:bCs w:val="0"/>
                <w:color w:val="403152" w:themeColor="accent4" w:themeShade="80"/>
              </w:rPr>
            </w:pPr>
            <w:r w:rsidRPr="00931376">
              <w:rPr>
                <w:b w:val="0"/>
                <w:bCs w:val="0"/>
                <w:color w:val="403152" w:themeColor="accent4" w:themeShade="80"/>
              </w:rPr>
              <w:t>Remind yourself of your professional responsibilities as a mentor</w:t>
            </w:r>
          </w:p>
        </w:tc>
      </w:tr>
    </w:tbl>
    <w:p w:rsidR="000F6557" w:rsidRDefault="000F6557" w:rsidP="000F6557">
      <w:pPr>
        <w:spacing w:after="0"/>
      </w:pPr>
    </w:p>
    <w:p w:rsidR="00077EB1" w:rsidRDefault="00077EB1" w:rsidP="000F6557">
      <w:pPr>
        <w:spacing w:after="0"/>
      </w:pPr>
      <w:r>
        <w:t>References</w:t>
      </w:r>
    </w:p>
    <w:p w:rsidR="00077EB1" w:rsidRDefault="00077EB1" w:rsidP="000F6557">
      <w:pPr>
        <w:spacing w:after="0"/>
      </w:pPr>
      <w:r>
        <w:t xml:space="preserve">NMC (2006) </w:t>
      </w:r>
      <w:r w:rsidRPr="00077EB1">
        <w:rPr>
          <w:i/>
          <w:iCs/>
        </w:rPr>
        <w:t>Standards to support learning and assessment in practice</w:t>
      </w:r>
      <w:r>
        <w:t xml:space="preserve"> London: NMC</w:t>
      </w:r>
    </w:p>
    <w:p w:rsidR="00D36D23" w:rsidRDefault="00D36D23" w:rsidP="000F6557">
      <w:pPr>
        <w:spacing w:after="0"/>
      </w:pPr>
      <w:r>
        <w:t xml:space="preserve">NMC (2009) </w:t>
      </w:r>
      <w:r w:rsidRPr="00D36D23">
        <w:rPr>
          <w:i/>
          <w:iCs/>
        </w:rPr>
        <w:t>Standards for pre-registration midwifery education</w:t>
      </w:r>
      <w:r>
        <w:t xml:space="preserve"> London: NMC</w:t>
      </w:r>
    </w:p>
    <w:p w:rsidR="00077EB1" w:rsidRDefault="00077EB1" w:rsidP="000F6557">
      <w:pPr>
        <w:spacing w:after="0"/>
      </w:pPr>
      <w:r>
        <w:t>NMC (2010)</w:t>
      </w:r>
      <w:r w:rsidRPr="00077EB1">
        <w:rPr>
          <w:i/>
          <w:iCs/>
        </w:rPr>
        <w:t xml:space="preserve"> Standards for pre-registration nursing education </w:t>
      </w:r>
      <w:r>
        <w:t>London: NMC</w:t>
      </w:r>
    </w:p>
    <w:p w:rsidR="000E33CA" w:rsidRDefault="00077EB1" w:rsidP="000F6557">
      <w:pPr>
        <w:spacing w:after="0"/>
      </w:pPr>
      <w:r>
        <w:t xml:space="preserve">Gray, M.A. and Donaldson, J. (2009) </w:t>
      </w:r>
      <w:r w:rsidRPr="00D36D23">
        <w:rPr>
          <w:i/>
          <w:iCs/>
        </w:rPr>
        <w:t>Exploring issues in the use of Grading in Practice: Literature review</w:t>
      </w:r>
      <w:r>
        <w:t xml:space="preserve"> Edinburgh: Edinburgh Napier University</w:t>
      </w:r>
    </w:p>
    <w:p w:rsidR="000F6557" w:rsidRDefault="000F6557" w:rsidP="000F6557">
      <w:pPr>
        <w:spacing w:after="0"/>
      </w:pPr>
    </w:p>
    <w:p w:rsidR="000F6557" w:rsidRDefault="000F6557" w:rsidP="000F6557">
      <w:pPr>
        <w:spacing w:after="0"/>
      </w:pPr>
    </w:p>
    <w:p w:rsidR="000E33CA" w:rsidRDefault="000E33CA" w:rsidP="000F6557">
      <w:pPr>
        <w:spacing w:after="0"/>
        <w:jc w:val="right"/>
      </w:pPr>
      <w:r>
        <w:t>Author Jan Davis</w:t>
      </w:r>
    </w:p>
    <w:p w:rsidR="000F6557" w:rsidRDefault="000F6557" w:rsidP="000F6557">
      <w:pPr>
        <w:spacing w:after="0"/>
        <w:jc w:val="right"/>
      </w:pPr>
      <w:r>
        <w:t>1</w:t>
      </w:r>
      <w:r w:rsidR="00D36D23">
        <w:t>7</w:t>
      </w:r>
      <w:r>
        <w:t>/10/11</w:t>
      </w:r>
    </w:p>
    <w:sectPr w:rsidR="000F65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lanti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7C080B"/>
    <w:multiLevelType w:val="hybridMultilevel"/>
    <w:tmpl w:val="66AC53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D53F7A"/>
    <w:multiLevelType w:val="hybridMultilevel"/>
    <w:tmpl w:val="D89A29DE"/>
    <w:lvl w:ilvl="0" w:tplc="8EC238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910E1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B3824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E5492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332F5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0D0AE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33450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7487B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5E65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075"/>
    <w:rsid w:val="00050075"/>
    <w:rsid w:val="00077EB1"/>
    <w:rsid w:val="00081D08"/>
    <w:rsid w:val="000A271A"/>
    <w:rsid w:val="000D64DB"/>
    <w:rsid w:val="000E33CA"/>
    <w:rsid w:val="000F6557"/>
    <w:rsid w:val="00153DC7"/>
    <w:rsid w:val="00191F27"/>
    <w:rsid w:val="001D3DE8"/>
    <w:rsid w:val="001F468F"/>
    <w:rsid w:val="00290800"/>
    <w:rsid w:val="002C4054"/>
    <w:rsid w:val="00326622"/>
    <w:rsid w:val="004736E1"/>
    <w:rsid w:val="004848CE"/>
    <w:rsid w:val="00494B0E"/>
    <w:rsid w:val="004E2773"/>
    <w:rsid w:val="004E5DEB"/>
    <w:rsid w:val="005811D4"/>
    <w:rsid w:val="005D7D39"/>
    <w:rsid w:val="005F1084"/>
    <w:rsid w:val="005F654B"/>
    <w:rsid w:val="00617B75"/>
    <w:rsid w:val="00627253"/>
    <w:rsid w:val="006534FE"/>
    <w:rsid w:val="006613EA"/>
    <w:rsid w:val="007D3213"/>
    <w:rsid w:val="007D7BF9"/>
    <w:rsid w:val="00816D40"/>
    <w:rsid w:val="00832D70"/>
    <w:rsid w:val="00893620"/>
    <w:rsid w:val="008A1386"/>
    <w:rsid w:val="008A20F4"/>
    <w:rsid w:val="008D67CD"/>
    <w:rsid w:val="00916447"/>
    <w:rsid w:val="00924C59"/>
    <w:rsid w:val="00931376"/>
    <w:rsid w:val="00953CCE"/>
    <w:rsid w:val="009B1D7B"/>
    <w:rsid w:val="00A55975"/>
    <w:rsid w:val="00A64474"/>
    <w:rsid w:val="00A943A9"/>
    <w:rsid w:val="00B132DC"/>
    <w:rsid w:val="00B16B03"/>
    <w:rsid w:val="00B251F2"/>
    <w:rsid w:val="00BF5A3C"/>
    <w:rsid w:val="00C178E0"/>
    <w:rsid w:val="00C335E7"/>
    <w:rsid w:val="00CB3AFB"/>
    <w:rsid w:val="00CF1F10"/>
    <w:rsid w:val="00D35D5A"/>
    <w:rsid w:val="00D36D23"/>
    <w:rsid w:val="00D37CA1"/>
    <w:rsid w:val="00DD2462"/>
    <w:rsid w:val="00DF7CD8"/>
    <w:rsid w:val="00E1014A"/>
    <w:rsid w:val="00E5436C"/>
    <w:rsid w:val="00E5477D"/>
    <w:rsid w:val="00EB4BCE"/>
    <w:rsid w:val="00EC34D5"/>
    <w:rsid w:val="00F4354A"/>
    <w:rsid w:val="00F52BEB"/>
    <w:rsid w:val="00F60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78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D37CA1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List-Accent2">
    <w:name w:val="Light List Accent 2"/>
    <w:basedOn w:val="TableNormal"/>
    <w:uiPriority w:val="61"/>
    <w:rsid w:val="00D37CA1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MediumShading1-Accent2">
    <w:name w:val="Medium Shading 1 Accent 2"/>
    <w:basedOn w:val="TableNormal"/>
    <w:uiPriority w:val="63"/>
    <w:rsid w:val="00D37CA1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D37CA1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Grid3-Accent3">
    <w:name w:val="Medium Grid 3 Accent 3"/>
    <w:basedOn w:val="TableNormal"/>
    <w:uiPriority w:val="69"/>
    <w:rsid w:val="00A5597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olorfulShading-Accent3">
    <w:name w:val="Colorful Shading Accent 3"/>
    <w:basedOn w:val="TableNormal"/>
    <w:uiPriority w:val="71"/>
    <w:rsid w:val="00A5597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3">
    <w:name w:val="Medium Grid 1 Accent 3"/>
    <w:basedOn w:val="TableNormal"/>
    <w:uiPriority w:val="67"/>
    <w:rsid w:val="00A55975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A55975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paragraph" w:styleId="NormalWeb">
    <w:name w:val="Normal (Web)"/>
    <w:basedOn w:val="Normal"/>
    <w:uiPriority w:val="99"/>
    <w:unhideWhenUsed/>
    <w:rsid w:val="00661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27253"/>
    <w:pPr>
      <w:ind w:left="720"/>
      <w:contextualSpacing/>
    </w:pPr>
  </w:style>
  <w:style w:type="table" w:styleId="LightShading-Accent4">
    <w:name w:val="Light Shading Accent 4"/>
    <w:basedOn w:val="TableNormal"/>
    <w:uiPriority w:val="60"/>
    <w:rsid w:val="004848CE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MediumShading1-Accent4">
    <w:name w:val="Medium Shading 1 Accent 4"/>
    <w:basedOn w:val="TableNormal"/>
    <w:uiPriority w:val="63"/>
    <w:rsid w:val="00D36D23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78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D37CA1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List-Accent2">
    <w:name w:val="Light List Accent 2"/>
    <w:basedOn w:val="TableNormal"/>
    <w:uiPriority w:val="61"/>
    <w:rsid w:val="00D37CA1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MediumShading1-Accent2">
    <w:name w:val="Medium Shading 1 Accent 2"/>
    <w:basedOn w:val="TableNormal"/>
    <w:uiPriority w:val="63"/>
    <w:rsid w:val="00D37CA1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D37CA1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Grid3-Accent3">
    <w:name w:val="Medium Grid 3 Accent 3"/>
    <w:basedOn w:val="TableNormal"/>
    <w:uiPriority w:val="69"/>
    <w:rsid w:val="00A5597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olorfulShading-Accent3">
    <w:name w:val="Colorful Shading Accent 3"/>
    <w:basedOn w:val="TableNormal"/>
    <w:uiPriority w:val="71"/>
    <w:rsid w:val="00A5597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3">
    <w:name w:val="Medium Grid 1 Accent 3"/>
    <w:basedOn w:val="TableNormal"/>
    <w:uiPriority w:val="67"/>
    <w:rsid w:val="00A55975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A55975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paragraph" w:styleId="NormalWeb">
    <w:name w:val="Normal (Web)"/>
    <w:basedOn w:val="Normal"/>
    <w:uiPriority w:val="99"/>
    <w:unhideWhenUsed/>
    <w:rsid w:val="00661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27253"/>
    <w:pPr>
      <w:ind w:left="720"/>
      <w:contextualSpacing/>
    </w:pPr>
  </w:style>
  <w:style w:type="table" w:styleId="LightShading-Accent4">
    <w:name w:val="Light Shading Accent 4"/>
    <w:basedOn w:val="TableNormal"/>
    <w:uiPriority w:val="60"/>
    <w:rsid w:val="004848CE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MediumShading1-Accent4">
    <w:name w:val="Medium Shading 1 Accent 4"/>
    <w:basedOn w:val="TableNormal"/>
    <w:uiPriority w:val="63"/>
    <w:rsid w:val="00D36D23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1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5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18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916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72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335431">
                              <w:marLeft w:val="315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394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768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63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0953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2171325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1443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1436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33068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3569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72448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71781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4359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29227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29370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63369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CE545-C8B4-49B6-BC41-5D94984A3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1148</Words>
  <Characters>6547</Characters>
  <Application>Microsoft Office Word</Application>
  <DocSecurity>4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7680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Davis J.</dc:creator>
  <cp:lastModifiedBy>de Montfalcon</cp:lastModifiedBy>
  <cp:revision>2</cp:revision>
  <dcterms:created xsi:type="dcterms:W3CDTF">2016-01-18T14:31:00Z</dcterms:created>
  <dcterms:modified xsi:type="dcterms:W3CDTF">2016-01-18T14:31:00Z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1424395610</vt:i4>
  </property>
  <property fmtid="{D5CDD505-2E9C-101B-9397-08002B2CF9AE}" pid="3" name="_NewReviewCycle">
    <vt:lpwstr/>
  </property>
  <property fmtid="{D5CDD505-2E9C-101B-9397-08002B2CF9AE}" pid="4" name="_EmailSubject">
    <vt:lpwstr>PDFs please:</vt:lpwstr>
  </property>
  <property fmtid="{D5CDD505-2E9C-101B-9397-08002B2CF9AE}" pid="5" name="_AuthorEmail">
    <vt:lpwstr>J.Davis@soton.ac.uk</vt:lpwstr>
  </property>
  <property fmtid="{D5CDD505-2E9C-101B-9397-08002B2CF9AE}" pid="6" name="_AuthorEmailDisplayName">
    <vt:lpwstr>Davis J.</vt:lpwstr>
  </property>
  <property fmtid="{D5CDD505-2E9C-101B-9397-08002B2CF9AE}" pid="7" name="_PreviousAdHocReviewCycleID">
    <vt:i4>618854626</vt:i4>
  </property>
  <property fmtid="{D5CDD505-2E9C-101B-9397-08002B2CF9AE}" pid="8" name="_ReviewingToolsShownOnce">
    <vt:lpwstr/>
  </property>
</Properties>
</file>