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FA" w:rsidRDefault="005B1BFA" w:rsidP="008878CE">
      <w:pPr>
        <w:ind w:left="360"/>
        <w:jc w:val="center"/>
        <w:rPr>
          <w:sz w:val="28"/>
          <w:szCs w:val="28"/>
          <w:u w:val="single"/>
        </w:rPr>
      </w:pPr>
      <w:r w:rsidRPr="005B1BFA">
        <w:rPr>
          <w:sz w:val="28"/>
          <w:szCs w:val="28"/>
          <w:u w:val="single"/>
        </w:rPr>
        <w:t xml:space="preserve">Glenohumeral </w:t>
      </w:r>
      <w:r w:rsidR="00A86B3B">
        <w:rPr>
          <w:sz w:val="28"/>
          <w:szCs w:val="28"/>
          <w:u w:val="single"/>
        </w:rPr>
        <w:t xml:space="preserve">Joint </w:t>
      </w:r>
      <w:r w:rsidRPr="005B1BFA">
        <w:rPr>
          <w:sz w:val="28"/>
          <w:szCs w:val="28"/>
          <w:u w:val="single"/>
        </w:rPr>
        <w:t>Internal Rotation and Scapular Kinematics in Elite Wheelchair Tennis Players</w:t>
      </w:r>
    </w:p>
    <w:p w:rsidR="0023694B" w:rsidRPr="005B1BFA" w:rsidRDefault="0023694B" w:rsidP="008878CE">
      <w:pPr>
        <w:ind w:left="360"/>
        <w:jc w:val="center"/>
        <w:rPr>
          <w:sz w:val="28"/>
          <w:szCs w:val="28"/>
          <w:u w:val="single"/>
        </w:rPr>
      </w:pPr>
    </w:p>
    <w:p w:rsidR="005D71A5" w:rsidRDefault="005D71A5" w:rsidP="005D71A5">
      <w:pPr>
        <w:jc w:val="center"/>
      </w:pPr>
      <w:r w:rsidRPr="005D71A5">
        <w:rPr>
          <w:u w:val="single"/>
        </w:rPr>
        <w:t>Warner M.B.</w:t>
      </w:r>
      <w:r w:rsidRPr="00EE6C3B">
        <w:rPr>
          <w:vertAlign w:val="superscript"/>
        </w:rPr>
        <w:t xml:space="preserve"> </w:t>
      </w:r>
      <w:r w:rsidRPr="00004A01">
        <w:rPr>
          <w:vertAlign w:val="superscript"/>
        </w:rPr>
        <w:t>1</w:t>
      </w:r>
      <w:r>
        <w:rPr>
          <w:vertAlign w:val="superscript"/>
        </w:rPr>
        <w:t>,7</w:t>
      </w:r>
      <w:r w:rsidRPr="00442B5F">
        <w:t xml:space="preserve">, </w:t>
      </w:r>
      <w:r>
        <w:t>Wilson, D.</w:t>
      </w:r>
      <w:r w:rsidRPr="00383A96">
        <w:rPr>
          <w:vertAlign w:val="superscript"/>
        </w:rPr>
        <w:t xml:space="preserve"> </w:t>
      </w:r>
      <w:r w:rsidRPr="00004A01">
        <w:rPr>
          <w:vertAlign w:val="superscript"/>
        </w:rPr>
        <w:t>1</w:t>
      </w:r>
      <w:r>
        <w:rPr>
          <w:vertAlign w:val="superscript"/>
        </w:rPr>
        <w:t>,7</w:t>
      </w:r>
      <w:r w:rsidRPr="00383A96">
        <w:t>,</w:t>
      </w:r>
      <w:r>
        <w:t xml:space="preserve"> </w:t>
      </w:r>
      <w:r w:rsidRPr="00442B5F">
        <w:t>Heller M.O.</w:t>
      </w:r>
      <w:r w:rsidRPr="00EE6C3B">
        <w:rPr>
          <w:vertAlign w:val="superscript"/>
        </w:rPr>
        <w:t xml:space="preserve"> </w:t>
      </w:r>
      <w:r w:rsidRPr="00004A01">
        <w:rPr>
          <w:vertAlign w:val="superscript"/>
        </w:rPr>
        <w:t>2</w:t>
      </w:r>
      <w:r>
        <w:rPr>
          <w:vertAlign w:val="superscript"/>
        </w:rPr>
        <w:t>,7</w:t>
      </w:r>
      <w:r w:rsidRPr="00442B5F">
        <w:t xml:space="preserve">, </w:t>
      </w:r>
      <w:r>
        <w:t>Wood, D.</w:t>
      </w:r>
      <w:r w:rsidRPr="009F2BD1">
        <w:rPr>
          <w:vertAlign w:val="superscript"/>
        </w:rPr>
        <w:t>3</w:t>
      </w:r>
      <w:r>
        <w:t xml:space="preserve">, </w:t>
      </w:r>
      <w:r w:rsidRPr="00442B5F">
        <w:t>Webborn N.</w:t>
      </w:r>
      <w:r w:rsidRPr="00EE6C3B">
        <w:rPr>
          <w:vertAlign w:val="superscript"/>
        </w:rPr>
        <w:t xml:space="preserve"> </w:t>
      </w:r>
      <w:r>
        <w:rPr>
          <w:vertAlign w:val="superscript"/>
        </w:rPr>
        <w:t>4,7</w:t>
      </w:r>
      <w:r>
        <w:t>, Veeger H</w:t>
      </w:r>
      <w:r w:rsidRPr="00442B5F">
        <w:t>.E.J.</w:t>
      </w:r>
      <w:r w:rsidRPr="00EE6C3B">
        <w:rPr>
          <w:vertAlign w:val="superscript"/>
        </w:rPr>
        <w:t xml:space="preserve"> </w:t>
      </w:r>
      <w:r>
        <w:rPr>
          <w:vertAlign w:val="superscript"/>
        </w:rPr>
        <w:t>5</w:t>
      </w:r>
      <w:r w:rsidRPr="00442B5F">
        <w:t>, Batt M</w:t>
      </w:r>
      <w:r>
        <w:t>.E.</w:t>
      </w:r>
      <w:r>
        <w:rPr>
          <w:vertAlign w:val="superscript"/>
        </w:rPr>
        <w:t>6,7</w:t>
      </w:r>
    </w:p>
    <w:p w:rsidR="005D71A5" w:rsidRPr="005D71A5" w:rsidRDefault="005D71A5" w:rsidP="005D71A5">
      <w:pPr>
        <w:snapToGrid w:val="0"/>
        <w:spacing w:after="0" w:line="240" w:lineRule="auto"/>
        <w:ind w:firstLine="357"/>
        <w:jc w:val="center"/>
      </w:pPr>
      <w:r w:rsidRPr="005D71A5">
        <w:rPr>
          <w:vertAlign w:val="superscript"/>
        </w:rPr>
        <w:t>1</w:t>
      </w:r>
      <w:r w:rsidRPr="005D71A5">
        <w:t>Faculty of Health Sciences, University of Southampton</w:t>
      </w:r>
    </w:p>
    <w:p w:rsidR="005D71A5" w:rsidRPr="005D71A5" w:rsidRDefault="005D71A5" w:rsidP="005D71A5">
      <w:pPr>
        <w:snapToGrid w:val="0"/>
        <w:spacing w:after="0" w:line="240" w:lineRule="auto"/>
        <w:ind w:firstLine="357"/>
        <w:jc w:val="center"/>
      </w:pPr>
      <w:r w:rsidRPr="005D71A5">
        <w:rPr>
          <w:vertAlign w:val="superscript"/>
        </w:rPr>
        <w:t>2</w:t>
      </w:r>
      <w:r w:rsidRPr="005D71A5">
        <w:t>Faculty of Engineering and the Environment, University of Southampton</w:t>
      </w:r>
    </w:p>
    <w:p w:rsidR="005D71A5" w:rsidRPr="005D71A5" w:rsidRDefault="005D71A5" w:rsidP="005D71A5">
      <w:pPr>
        <w:snapToGrid w:val="0"/>
        <w:spacing w:after="0" w:line="240" w:lineRule="auto"/>
        <w:ind w:firstLine="357"/>
        <w:jc w:val="center"/>
      </w:pPr>
      <w:r w:rsidRPr="005D71A5">
        <w:rPr>
          <w:vertAlign w:val="superscript"/>
        </w:rPr>
        <w:t>3</w:t>
      </w:r>
      <w:r w:rsidRPr="005D71A5">
        <w:t xml:space="preserve">English Institute of Sport, </w:t>
      </w:r>
      <w:proofErr w:type="spellStart"/>
      <w:r w:rsidRPr="005D71A5">
        <w:t>Bisham</w:t>
      </w:r>
      <w:proofErr w:type="spellEnd"/>
      <w:r w:rsidRPr="005D71A5">
        <w:t xml:space="preserve"> Abbey National Sports Centre</w:t>
      </w:r>
    </w:p>
    <w:p w:rsidR="005D71A5" w:rsidRPr="005D71A5" w:rsidRDefault="005D71A5" w:rsidP="005D71A5">
      <w:pPr>
        <w:snapToGrid w:val="0"/>
        <w:spacing w:after="0" w:line="240" w:lineRule="auto"/>
        <w:ind w:firstLine="357"/>
        <w:jc w:val="center"/>
      </w:pPr>
      <w:r w:rsidRPr="005D71A5">
        <w:rPr>
          <w:vertAlign w:val="superscript"/>
        </w:rPr>
        <w:t>4</w:t>
      </w:r>
      <w:r w:rsidRPr="005D71A5">
        <w:t>The Sussex Centre for Sport and Exercise Medicine, University of Brighton</w:t>
      </w:r>
    </w:p>
    <w:p w:rsidR="005D71A5" w:rsidRPr="005D71A5" w:rsidRDefault="005D71A5" w:rsidP="005D71A5">
      <w:pPr>
        <w:snapToGrid w:val="0"/>
        <w:spacing w:after="0" w:line="240" w:lineRule="auto"/>
        <w:ind w:firstLine="357"/>
        <w:jc w:val="center"/>
        <w:rPr>
          <w:rFonts w:cs="Arial"/>
          <w:color w:val="000000"/>
          <w:shd w:val="clear" w:color="auto" w:fill="FFFFFF"/>
        </w:rPr>
      </w:pPr>
      <w:r w:rsidRPr="005D71A5">
        <w:rPr>
          <w:rFonts w:cs="Arial"/>
          <w:color w:val="000000"/>
          <w:shd w:val="clear" w:color="auto" w:fill="FFFFFF"/>
          <w:vertAlign w:val="superscript"/>
        </w:rPr>
        <w:t>5</w:t>
      </w:r>
      <w:r w:rsidRPr="005D71A5">
        <w:rPr>
          <w:rFonts w:cs="Arial"/>
          <w:color w:val="000000"/>
          <w:shd w:val="clear" w:color="auto" w:fill="FFFFFF"/>
        </w:rPr>
        <w:t xml:space="preserve">Department of Human Movement Sciences, </w:t>
      </w:r>
      <w:proofErr w:type="spellStart"/>
      <w:r w:rsidRPr="005D71A5">
        <w:rPr>
          <w:rFonts w:cs="Arial"/>
          <w:color w:val="000000"/>
          <w:shd w:val="clear" w:color="auto" w:fill="FFFFFF"/>
        </w:rPr>
        <w:t>Vrije</w:t>
      </w:r>
      <w:proofErr w:type="spellEnd"/>
      <w:r w:rsidRPr="005D71A5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5D71A5">
        <w:rPr>
          <w:rFonts w:cs="Arial"/>
          <w:color w:val="000000"/>
          <w:shd w:val="clear" w:color="auto" w:fill="FFFFFF"/>
        </w:rPr>
        <w:t>Universiteit</w:t>
      </w:r>
      <w:proofErr w:type="spellEnd"/>
      <w:r w:rsidRPr="005D71A5">
        <w:rPr>
          <w:rFonts w:cs="Arial"/>
          <w:color w:val="000000"/>
          <w:shd w:val="clear" w:color="auto" w:fill="FFFFFF"/>
        </w:rPr>
        <w:t xml:space="preserve"> Amsterdam &amp; Department of Biomedical Engineering, Delft University of Technology</w:t>
      </w:r>
    </w:p>
    <w:p w:rsidR="005D71A5" w:rsidRPr="005D71A5" w:rsidRDefault="005D71A5" w:rsidP="005D71A5">
      <w:pPr>
        <w:snapToGrid w:val="0"/>
        <w:spacing w:after="0" w:line="240" w:lineRule="auto"/>
        <w:ind w:firstLine="357"/>
        <w:jc w:val="center"/>
      </w:pPr>
      <w:r w:rsidRPr="005D71A5">
        <w:rPr>
          <w:vertAlign w:val="superscript"/>
        </w:rPr>
        <w:t>6</w:t>
      </w:r>
      <w:r w:rsidRPr="005D71A5">
        <w:t>Nottingham University Hospitals NHS Trust</w:t>
      </w:r>
    </w:p>
    <w:p w:rsidR="005D71A5" w:rsidRPr="005D71A5" w:rsidRDefault="005D71A5" w:rsidP="005D71A5">
      <w:pPr>
        <w:snapToGrid w:val="0"/>
        <w:spacing w:after="0" w:line="240" w:lineRule="auto"/>
        <w:ind w:firstLine="357"/>
        <w:jc w:val="center"/>
      </w:pPr>
      <w:r w:rsidRPr="005D71A5">
        <w:rPr>
          <w:vertAlign w:val="superscript"/>
        </w:rPr>
        <w:t>7</w:t>
      </w:r>
      <w:r w:rsidRPr="005D71A5">
        <w:t>Arthritis Research UK Centre for Sport, Exercise and Osteoarthritis</w:t>
      </w:r>
    </w:p>
    <w:p w:rsidR="005D71A5" w:rsidRDefault="005D71A5" w:rsidP="005D71A5">
      <w:pPr>
        <w:snapToGrid w:val="0"/>
        <w:spacing w:after="0" w:line="240" w:lineRule="auto"/>
        <w:ind w:firstLine="357"/>
        <w:jc w:val="center"/>
        <w:rPr>
          <w:sz w:val="20"/>
          <w:szCs w:val="20"/>
        </w:rPr>
      </w:pPr>
    </w:p>
    <w:p w:rsidR="008878CE" w:rsidRPr="00A86B3B" w:rsidRDefault="008878CE" w:rsidP="00BF47B4">
      <w:pPr>
        <w:snapToGrid w:val="0"/>
        <w:spacing w:after="0" w:line="240" w:lineRule="auto"/>
        <w:rPr>
          <w:b/>
        </w:rPr>
      </w:pPr>
      <w:r w:rsidRPr="00A86B3B">
        <w:rPr>
          <w:b/>
        </w:rPr>
        <w:t>Institution where work was completed</w:t>
      </w:r>
    </w:p>
    <w:p w:rsidR="008878CE" w:rsidRPr="00A86B3B" w:rsidRDefault="008878CE" w:rsidP="00BF47B4">
      <w:pPr>
        <w:snapToGrid w:val="0"/>
        <w:spacing w:after="0" w:line="240" w:lineRule="auto"/>
      </w:pPr>
      <w:r w:rsidRPr="00A86B3B">
        <w:t xml:space="preserve">Faculty of Health Sciences, University of Southampton, Southampton, SO17 1BJ. </w:t>
      </w:r>
    </w:p>
    <w:p w:rsidR="008878CE" w:rsidRDefault="008878CE"/>
    <w:p w:rsidR="008878CE" w:rsidRPr="008A3200" w:rsidRDefault="008878CE" w:rsidP="00E37C8C">
      <w:pPr>
        <w:spacing w:after="0" w:line="240" w:lineRule="auto"/>
        <w:rPr>
          <w:b/>
        </w:rPr>
      </w:pPr>
      <w:r w:rsidRPr="008A3200">
        <w:rPr>
          <w:b/>
        </w:rPr>
        <w:t>Aim</w:t>
      </w:r>
    </w:p>
    <w:p w:rsidR="008A3200" w:rsidRDefault="00987891" w:rsidP="00E37C8C">
      <w:pPr>
        <w:spacing w:after="0" w:line="240" w:lineRule="auto"/>
      </w:pPr>
      <w:r>
        <w:t xml:space="preserve">Deficits in glenohumeral internal rotation have shown to be related to shoulder pain in able-bodied tennis players </w:t>
      </w:r>
      <w:r w:rsidR="00590FCC">
        <w:fldChar w:fldCharType="begin">
          <w:fldData xml:space="preserve">PEVuZE5vdGU+PENpdGU+PEF1dGhvcj5Nb3Jlbm8tUMOpcmV6PC9BdXRob3I+PFllYXI+MjAxNTwv
WWVhcj48UmVjTnVtPjEyNjg8L1JlY051bT48RGlzcGxheVRleHQ+KDEsIDIpPC9EaXNwbGF5VGV4
dD48cmVjb3JkPjxyZWMtbnVtYmVyPjEyNjg8L3JlYy1udW1iZXI+PGZvcmVpZ24ta2V5cz48a2V5
IGFwcD0iRU4iIGRiLWlkPSJzNTA1NXdkMGZ6czJ2MWVhYWR4NWF0d3l0ejIyZnJ2cnB2ZnciIHRp
bWVzdGFtcD0iMTQ0MjgzMTI5NiI+MTI2ODwva2V5PjwvZm9yZWlnbi1rZXlzPjxyZWYtdHlwZSBu
YW1lPSJKb3VybmFsIEFydGljbGUiPjE3PC9yZWYtdHlwZT48Y29udHJpYnV0b3JzPjxhdXRob3Jz
PjxhdXRob3I+TW9yZW5vLVDDqXJleiwgVmljdG9yPC9hdXRob3I+PGF1dGhvcj5Nb3Jlc2lkZSwg
SmFuaWNlPC9hdXRob3I+PGF1dGhvcj5CYXJiYWRvLCBEYXZpZDwvYXV0aG9yPjxhdXRob3I+VmVy
YS1HYXJjaWEsIEZyYW5jaXNjbyBKLjwvYXV0aG9yPjwvYXV0aG9ycz48L2NvbnRyaWJ1dG9ycz48
dGl0bGVzPjx0aXRsZT5Db21wYXJpc29uIG9mIHNob3VsZGVyIHJvdGF0aW9uIHJhbmdlIG9mIG1v
dGlvbiBpbiBwcm9mZXNzaW9uYWwgdGVubmlzIHBsYXllcnMgd2l0aCBhbmQgd2l0aG91dCBoaXN0
b3J5IG9mIHNob3VsZGVyIHBhaW48L3RpdGxlPjxzZWNvbmRhcnktdGl0bGU+TWFudWFsIFRoZXJh
cHk8L3NlY29uZGFyeS10aXRsZT48L3RpdGxlcz48cGVyaW9kaWNhbD48ZnVsbC10aXRsZT5NYW51
YWwgdGhlcmFweTwvZnVsbC10aXRsZT48L3BlcmlvZGljYWw+PHBhZ2VzPjMxMy0zMTg8L3BhZ2Vz
Pjx2b2x1bWU+MjA8L3ZvbHVtZT48bnVtYmVyPjI8L251bWJlcj48a2V5d29yZHM+PGtleXdvcmQ+
UGFzc2l2ZSByYW5nZSBvZiBtb3Rpb248L2tleXdvcmQ+PGtleXdvcmQ+SW5qdXJ5PC9rZXl3b3Jk
PjxrZXl3b3JkPlRlbm5pczwva2V5d29yZD48a2V5d29yZD5FbGl0ZSBhdGhsZXRlPC9rZXl3b3Jk
Pjwva2V5d29yZHM+PGRhdGVzPjx5ZWFyPjIwMTU8L3llYXI+PHB1Yi1kYXRlcz48ZGF0ZT40Ly88
L2RhdGU+PC9wdWItZGF0ZXM+PC9kYXRlcz48aXNibj4xMzU2LTY4OVg8L2lzYm4+PHVybHM+PHJl
bGF0ZWQtdXJscz48dXJsPmh0dHA6Ly93d3cuc2NpZW5jZWRpcmVjdC5jb20vc2NpZW5jZS9hcnRp
Y2xlL3BpaS9TMTM1NjY4OVgxNDAwMTkwODwvdXJsPjwvcmVsYXRlZC11cmxzPjwvdXJscz48ZWxl
Y3Ryb25pYy1yZXNvdXJjZS1udW0+aHR0cDovL2R4LmRvaS5vcmcvMTAuMTAxNi9qLm1hdGguMjAx
NC4xMC4wMDg8L2VsZWN0cm9uaWMtcmVzb3VyY2UtbnVtPjwvcmVjb3JkPjwvQ2l0ZT48Q2l0ZT48
QXV0aG9yPktpYmxlcjwvQXV0aG9yPjxZZWFyPjIwMTI8L1llYXI+PFJlY051bT4xMjY3PC9SZWNO
dW0+PHJlY29yZD48cmVjLW51bWJlcj4xMjY3PC9yZWMtbnVtYmVyPjxmb3JlaWduLWtleXM+PGtl
eSBhcHA9IkVOIiBkYi1pZD0iczUwNTV3ZDBmenMydjFlYWFkeDVhdHd5dHoyMmZydnJwdmZ3IiB0
aW1lc3RhbXA9IjE0NDI4MzEyODkiPjEyNjc8L2tleT48L2ZvcmVpZ24ta2V5cz48cmVmLXR5cGUg
bmFtZT0iSm91cm5hbCBBcnRpY2xlIj4xNzwvcmVmLXR5cGU+PGNvbnRyaWJ1dG9ycz48YXV0aG9y
cz48YXV0aG9yPktpYmxlciwgVy4gQi48L2F1dGhvcj48YXV0aG9yPlNjaWFzY2lhLCBBLjwvYXV0
aG9yPjxhdXRob3I+VGhvbWFzLCBTLiBKLjwvYXV0aG9yPjwvYXV0aG9ycz48L2NvbnRyaWJ1dG9y
cz48YXV0aC1hZGRyZXNzPlNob3VsZGVyIENlbnRlciBvZiBLZW50dWNreSwgU291dGggQnJvYWR3
YXksIExleGluZ3RvbiwgS1kgNDA1MDQsIFVTQS48L2F1dGgtYWRkcmVzcz48dGl0bGVzPjx0aXRs
ZT5HbGVub2h1bWVyYWwgaW50ZXJuYWwgcm90YXRpb24gZGVmaWNpdDogcGF0aG9nZW5lc2lzIGFu
ZCByZXNwb25zZSB0byBhY3V0ZSB0aHJvd2luZzwvdGl0bGU+PHNlY29uZGFyeS10aXRsZT5TcG9y
dHMgTWVkIEFydGhyb3NjPC9zZWNvbmRhcnktdGl0bGU+PGFsdC10aXRsZT5TcG9ydHMgbWVkaWNp
bmUgYW5kIGFydGhyb3Njb3B5IHJldmlldzwvYWx0LXRpdGxlPjwvdGl0bGVzPjxwZXJpb2RpY2Fs
PjxmdWxsLXRpdGxlPlNwb3J0cyBNZWQgQXJ0aHJvc2M8L2Z1bGwtdGl0bGU+PGFiYnItMT5TcG9y
dHMgbWVkaWNpbmUgYW5kIGFydGhyb3Njb3B5IHJldmlldzwvYWJici0xPjwvcGVyaW9kaWNhbD48
YWx0LXBlcmlvZGljYWw+PGZ1bGwtdGl0bGU+U3BvcnRzIE1lZCBBcnRocm9zYzwvZnVsbC10aXRs
ZT48YWJici0xPlNwb3J0cyBtZWRpY2luZSBhbmQgYXJ0aHJvc2NvcHkgcmV2aWV3PC9hYmJyLTE+
PC9hbHQtcGVyaW9kaWNhbD48cGFnZXM+MzQtODwvcGFnZXM+PHZvbHVtZT4yMDwvdm9sdW1lPjxu
dW1iZXI+MTwvbnVtYmVyPjxlZGl0aW9uPjIwMTIvMDIvMDk8L2VkaXRpb24+PGtleXdvcmRzPjxr
ZXl3b3JkPkFybSBJbmp1cmllcy9ldGlvbG9neS9wcmV2ZW50aW9uICZhbXA7IGNvbnRyb2w8L2tl
eXdvcmQ+PGtleXdvcmQ+QmFzZWJhbGwvaW5qdXJpZXMvcGh5c2lvbG9neTwva2V5d29yZD48a2V5
d29yZD5CaW9tZWNoYW5pY2FsIFBoZW5vbWVuYTwva2V5d29yZD48a2V5d29yZD5FeGVyY2lzZSBU
aGVyYXB5PC9rZXl3b3JkPjxrZXl3b3JkPkh1bWFuczwva2V5d29yZD48a2V5d29yZD4qUmFuZ2Ug
b2YgTW90aW9uLCBBcnRpY3VsYXI8L2tleXdvcmQ+PGtleXdvcmQ+KlJvdGF0aW9uPC9rZXl3b3Jk
PjxrZXl3b3JkPlNob3VsZGVyIEpvaW50L2luanVyaWVzLypwaHlzaW9wYXRob2xvZ3k8L2tleXdv
cmQ+PC9rZXl3b3Jkcz48ZGF0ZXM+PHllYXI+MjAxMjwveWVhcj48cHViLWRhdGVzPjxkYXRlPk1h
cjwvZGF0ZT48L3B1Yi1kYXRlcz48L2RhdGVzPjxpc2JuPjEwNjItODU5MjwvaXNibj48YWNjZXNz
aW9uLW51bT4yMjMxMTI5MTwvYWNjZXNzaW9uLW51bT48dXJscz48L3VybHM+PGVsZWN0cm9uaWMt
cmVzb3VyY2UtbnVtPjEwLjEwOTcvSlNBLjBiMDEzZTMxODI0NDg1M2U8L2VsZWN0cm9uaWMtcmVz
b3VyY2UtbnVtPjxyZW1vdGUtZGF0YWJhc2UtcHJvdmlkZXI+TkxNPC9yZW1vdGUtZGF0YWJhc2Ut
cHJvdmlkZXI+PGxhbmd1YWdlPmVuZzwvbGFuZ3VhZ2U+PC9yZWNvcmQ+PC9DaXRlPjwvRW5kTm90
ZT5=
</w:fldData>
        </w:fldChar>
      </w:r>
      <w:r w:rsidR="00590FCC">
        <w:instrText xml:space="preserve"> ADDIN EN.CITE </w:instrText>
      </w:r>
      <w:r w:rsidR="00590FCC">
        <w:fldChar w:fldCharType="begin">
          <w:fldData xml:space="preserve">PEVuZE5vdGU+PENpdGU+PEF1dGhvcj5Nb3Jlbm8tUMOpcmV6PC9BdXRob3I+PFllYXI+MjAxNTwv
WWVhcj48UmVjTnVtPjEyNjg8L1JlY051bT48RGlzcGxheVRleHQ+KDEsIDIpPC9EaXNwbGF5VGV4
dD48cmVjb3JkPjxyZWMtbnVtYmVyPjEyNjg8L3JlYy1udW1iZXI+PGZvcmVpZ24ta2V5cz48a2V5
IGFwcD0iRU4iIGRiLWlkPSJzNTA1NXdkMGZ6czJ2MWVhYWR4NWF0d3l0ejIyZnJ2cnB2ZnciIHRp
bWVzdGFtcD0iMTQ0MjgzMTI5NiI+MTI2ODwva2V5PjwvZm9yZWlnbi1rZXlzPjxyZWYtdHlwZSBu
YW1lPSJKb3VybmFsIEFydGljbGUiPjE3PC9yZWYtdHlwZT48Y29udHJpYnV0b3JzPjxhdXRob3Jz
PjxhdXRob3I+TW9yZW5vLVDDqXJleiwgVmljdG9yPC9hdXRob3I+PGF1dGhvcj5Nb3Jlc2lkZSwg
SmFuaWNlPC9hdXRob3I+PGF1dGhvcj5CYXJiYWRvLCBEYXZpZDwvYXV0aG9yPjxhdXRob3I+VmVy
YS1HYXJjaWEsIEZyYW5jaXNjbyBKLjwvYXV0aG9yPjwvYXV0aG9ycz48L2NvbnRyaWJ1dG9ycz48
dGl0bGVzPjx0aXRsZT5Db21wYXJpc29uIG9mIHNob3VsZGVyIHJvdGF0aW9uIHJhbmdlIG9mIG1v
dGlvbiBpbiBwcm9mZXNzaW9uYWwgdGVubmlzIHBsYXllcnMgd2l0aCBhbmQgd2l0aG91dCBoaXN0
b3J5IG9mIHNob3VsZGVyIHBhaW48L3RpdGxlPjxzZWNvbmRhcnktdGl0bGU+TWFudWFsIFRoZXJh
cHk8L3NlY29uZGFyeS10aXRsZT48L3RpdGxlcz48cGVyaW9kaWNhbD48ZnVsbC10aXRsZT5NYW51
YWwgdGhlcmFweTwvZnVsbC10aXRsZT48L3BlcmlvZGljYWw+PHBhZ2VzPjMxMy0zMTg8L3BhZ2Vz
Pjx2b2x1bWU+MjA8L3ZvbHVtZT48bnVtYmVyPjI8L251bWJlcj48a2V5d29yZHM+PGtleXdvcmQ+
UGFzc2l2ZSByYW5nZSBvZiBtb3Rpb248L2tleXdvcmQ+PGtleXdvcmQ+SW5qdXJ5PC9rZXl3b3Jk
PjxrZXl3b3JkPlRlbm5pczwva2V5d29yZD48a2V5d29yZD5FbGl0ZSBhdGhsZXRlPC9rZXl3b3Jk
Pjwva2V5d29yZHM+PGRhdGVzPjx5ZWFyPjIwMTU8L3llYXI+PHB1Yi1kYXRlcz48ZGF0ZT40Ly88
L2RhdGU+PC9wdWItZGF0ZXM+PC9kYXRlcz48aXNibj4xMzU2LTY4OVg8L2lzYm4+PHVybHM+PHJl
bGF0ZWQtdXJscz48dXJsPmh0dHA6Ly93d3cuc2NpZW5jZWRpcmVjdC5jb20vc2NpZW5jZS9hcnRp
Y2xlL3BpaS9TMTM1NjY4OVgxNDAwMTkwODwvdXJsPjwvcmVsYXRlZC11cmxzPjwvdXJscz48ZWxl
Y3Ryb25pYy1yZXNvdXJjZS1udW0+aHR0cDovL2R4LmRvaS5vcmcvMTAuMTAxNi9qLm1hdGguMjAx
NC4xMC4wMDg8L2VsZWN0cm9uaWMtcmVzb3VyY2UtbnVtPjwvcmVjb3JkPjwvQ2l0ZT48Q2l0ZT48
QXV0aG9yPktpYmxlcjwvQXV0aG9yPjxZZWFyPjIwMTI8L1llYXI+PFJlY051bT4xMjY3PC9SZWNO
dW0+PHJlY29yZD48cmVjLW51bWJlcj4xMjY3PC9yZWMtbnVtYmVyPjxmb3JlaWduLWtleXM+PGtl
eSBhcHA9IkVOIiBkYi1pZD0iczUwNTV3ZDBmenMydjFlYWFkeDVhdHd5dHoyMmZydnJwdmZ3IiB0
aW1lc3RhbXA9IjE0NDI4MzEyODkiPjEyNjc8L2tleT48L2ZvcmVpZ24ta2V5cz48cmVmLXR5cGUg
bmFtZT0iSm91cm5hbCBBcnRpY2xlIj4xNzwvcmVmLXR5cGU+PGNvbnRyaWJ1dG9ycz48YXV0aG9y
cz48YXV0aG9yPktpYmxlciwgVy4gQi48L2F1dGhvcj48YXV0aG9yPlNjaWFzY2lhLCBBLjwvYXV0
aG9yPjxhdXRob3I+VGhvbWFzLCBTLiBKLjwvYXV0aG9yPjwvYXV0aG9ycz48L2NvbnRyaWJ1dG9y
cz48YXV0aC1hZGRyZXNzPlNob3VsZGVyIENlbnRlciBvZiBLZW50dWNreSwgU291dGggQnJvYWR3
YXksIExleGluZ3RvbiwgS1kgNDA1MDQsIFVTQS48L2F1dGgtYWRkcmVzcz48dGl0bGVzPjx0aXRs
ZT5HbGVub2h1bWVyYWwgaW50ZXJuYWwgcm90YXRpb24gZGVmaWNpdDogcGF0aG9nZW5lc2lzIGFu
ZCByZXNwb25zZSB0byBhY3V0ZSB0aHJvd2luZzwvdGl0bGU+PHNlY29uZGFyeS10aXRsZT5TcG9y
dHMgTWVkIEFydGhyb3NjPC9zZWNvbmRhcnktdGl0bGU+PGFsdC10aXRsZT5TcG9ydHMgbWVkaWNp
bmUgYW5kIGFydGhyb3Njb3B5IHJldmlldzwvYWx0LXRpdGxlPjwvdGl0bGVzPjxwZXJpb2RpY2Fs
PjxmdWxsLXRpdGxlPlNwb3J0cyBNZWQgQXJ0aHJvc2M8L2Z1bGwtdGl0bGU+PGFiYnItMT5TcG9y
dHMgbWVkaWNpbmUgYW5kIGFydGhyb3Njb3B5IHJldmlldzwvYWJici0xPjwvcGVyaW9kaWNhbD48
YWx0LXBlcmlvZGljYWw+PGZ1bGwtdGl0bGU+U3BvcnRzIE1lZCBBcnRocm9zYzwvZnVsbC10aXRs
ZT48YWJici0xPlNwb3J0cyBtZWRpY2luZSBhbmQgYXJ0aHJvc2NvcHkgcmV2aWV3PC9hYmJyLTE+
PC9hbHQtcGVyaW9kaWNhbD48cGFnZXM+MzQtODwvcGFnZXM+PHZvbHVtZT4yMDwvdm9sdW1lPjxu
dW1iZXI+MTwvbnVtYmVyPjxlZGl0aW9uPjIwMTIvMDIvMDk8L2VkaXRpb24+PGtleXdvcmRzPjxr
ZXl3b3JkPkFybSBJbmp1cmllcy9ldGlvbG9neS9wcmV2ZW50aW9uICZhbXA7IGNvbnRyb2w8L2tl
eXdvcmQ+PGtleXdvcmQ+QmFzZWJhbGwvaW5qdXJpZXMvcGh5c2lvbG9neTwva2V5d29yZD48a2V5
d29yZD5CaW9tZWNoYW5pY2FsIFBoZW5vbWVuYTwva2V5d29yZD48a2V5d29yZD5FeGVyY2lzZSBU
aGVyYXB5PC9rZXl3b3JkPjxrZXl3b3JkPkh1bWFuczwva2V5d29yZD48a2V5d29yZD4qUmFuZ2Ug
b2YgTW90aW9uLCBBcnRpY3VsYXI8L2tleXdvcmQ+PGtleXdvcmQ+KlJvdGF0aW9uPC9rZXl3b3Jk
PjxrZXl3b3JkPlNob3VsZGVyIEpvaW50L2luanVyaWVzLypwaHlzaW9wYXRob2xvZ3k8L2tleXdv
cmQ+PC9rZXl3b3Jkcz48ZGF0ZXM+PHllYXI+MjAxMjwveWVhcj48cHViLWRhdGVzPjxkYXRlPk1h
cjwvZGF0ZT48L3B1Yi1kYXRlcz48L2RhdGVzPjxpc2JuPjEwNjItODU5MjwvaXNibj48YWNjZXNz
aW9uLW51bT4yMjMxMTI5MTwvYWNjZXNzaW9uLW51bT48dXJscz48L3VybHM+PGVsZWN0cm9uaWMt
cmVzb3VyY2UtbnVtPjEwLjEwOTcvSlNBLjBiMDEzZTMxODI0NDg1M2U8L2VsZWN0cm9uaWMtcmVz
b3VyY2UtbnVtPjxyZW1vdGUtZGF0YWJhc2UtcHJvdmlkZXI+TkxNPC9yZW1vdGUtZGF0YWJhc2Ut
cHJvdmlkZXI+PGxhbmd1YWdlPmVuZzwvbGFuZ3VhZ2U+PC9yZWNvcmQ+PC9DaXRlPjwvRW5kTm90
ZT5=
</w:fldData>
        </w:fldChar>
      </w:r>
      <w:r w:rsidR="00590FCC">
        <w:instrText xml:space="preserve"> ADDIN EN.CITE.DATA </w:instrText>
      </w:r>
      <w:r w:rsidR="00590FCC">
        <w:fldChar w:fldCharType="end"/>
      </w:r>
      <w:r w:rsidR="00590FCC">
        <w:fldChar w:fldCharType="separate"/>
      </w:r>
      <w:r w:rsidR="00590FCC">
        <w:rPr>
          <w:noProof/>
        </w:rPr>
        <w:t>(1, 2)</w:t>
      </w:r>
      <w:r w:rsidR="00590FCC">
        <w:fldChar w:fldCharType="end"/>
      </w:r>
      <w:r>
        <w:t xml:space="preserve">, however, this has not been examined in wheelchair tennis </w:t>
      </w:r>
      <w:r w:rsidR="00E9286E">
        <w:t>players</w:t>
      </w:r>
      <w:r>
        <w:t xml:space="preserve">. </w:t>
      </w:r>
      <w:r w:rsidR="008878CE">
        <w:t xml:space="preserve">The aim of the study was to </w:t>
      </w:r>
      <w:r w:rsidR="00D71C49">
        <w:t xml:space="preserve">determine </w:t>
      </w:r>
      <w:r w:rsidR="008878CE">
        <w:t xml:space="preserve">whether limb dominance </w:t>
      </w:r>
      <w:r w:rsidR="00050FDD">
        <w:t>influenced</w:t>
      </w:r>
      <w:r w:rsidR="008878CE">
        <w:t xml:space="preserve"> the range of active </w:t>
      </w:r>
      <w:r w:rsidR="00E37C8C">
        <w:t>gleno</w:t>
      </w:r>
      <w:r w:rsidR="008A3200">
        <w:t xml:space="preserve">humeral </w:t>
      </w:r>
      <w:r w:rsidR="00441C10">
        <w:t xml:space="preserve">joint internal </w:t>
      </w:r>
      <w:r w:rsidR="008A3200">
        <w:t>rotation and end-of-</w:t>
      </w:r>
      <w:r w:rsidR="008878CE">
        <w:t xml:space="preserve">range scapular </w:t>
      </w:r>
      <w:r w:rsidR="00E86B53">
        <w:t>orientation</w:t>
      </w:r>
      <w:r w:rsidR="00441C10">
        <w:t>,</w:t>
      </w:r>
      <w:r w:rsidR="008878CE">
        <w:t xml:space="preserve"> </w:t>
      </w:r>
      <w:r w:rsidR="00050FDD">
        <w:t xml:space="preserve">and the presence of shoulder pain </w:t>
      </w:r>
      <w:r w:rsidR="008878CE">
        <w:t>in elite wheelchair tennis players.</w:t>
      </w:r>
    </w:p>
    <w:p w:rsidR="00A86B3B" w:rsidRDefault="00A86B3B" w:rsidP="00E37C8C">
      <w:pPr>
        <w:spacing w:after="0" w:line="240" w:lineRule="auto"/>
        <w:rPr>
          <w:b/>
        </w:rPr>
      </w:pPr>
    </w:p>
    <w:p w:rsidR="008878CE" w:rsidRPr="008A3200" w:rsidRDefault="008878CE" w:rsidP="00E37C8C">
      <w:pPr>
        <w:spacing w:after="0" w:line="240" w:lineRule="auto"/>
        <w:rPr>
          <w:b/>
        </w:rPr>
      </w:pPr>
      <w:r w:rsidRPr="008A3200">
        <w:rPr>
          <w:b/>
        </w:rPr>
        <w:t>Method</w:t>
      </w:r>
    </w:p>
    <w:p w:rsidR="008A3200" w:rsidRDefault="008878CE" w:rsidP="00E37C8C">
      <w:pPr>
        <w:spacing w:after="0" w:line="240" w:lineRule="auto"/>
      </w:pPr>
      <w:r>
        <w:t>Ten elite wheelchair tennis players</w:t>
      </w:r>
      <w:r w:rsidR="00151927">
        <w:t xml:space="preserve"> completed a maximal </w:t>
      </w:r>
      <w:r>
        <w:t xml:space="preserve">active </w:t>
      </w:r>
      <w:r w:rsidR="00151927">
        <w:t>glenohume</w:t>
      </w:r>
      <w:r w:rsidR="00E86B53">
        <w:t>ral internal rotation movement. Starting</w:t>
      </w:r>
      <w:r w:rsidR="00151927">
        <w:t xml:space="preserve"> with their arm abducted to 90° </w:t>
      </w:r>
      <w:r w:rsidR="00590FCC">
        <w:t xml:space="preserve">and </w:t>
      </w:r>
      <w:r w:rsidR="00151927">
        <w:t>elbow flexed to 90°</w:t>
      </w:r>
      <w:r w:rsidR="00E86B53">
        <w:t>,</w:t>
      </w:r>
      <w:r w:rsidR="00D71C49">
        <w:t xml:space="preserve"> </w:t>
      </w:r>
      <w:r w:rsidR="00E86B53">
        <w:t xml:space="preserve">participants internally rotated the </w:t>
      </w:r>
      <w:r w:rsidR="00590FCC">
        <w:t xml:space="preserve">glenohumeral joint </w:t>
      </w:r>
      <w:r w:rsidR="00151927">
        <w:t xml:space="preserve">until they reached their maximum. </w:t>
      </w:r>
      <w:r w:rsidR="008A3200">
        <w:t>A</w:t>
      </w:r>
      <w:r w:rsidR="00590FCC">
        <w:t xml:space="preserve"> passive-</w:t>
      </w:r>
      <w:r w:rsidR="00151927">
        <w:t xml:space="preserve">marker motion capture system </w:t>
      </w:r>
      <w:r w:rsidR="008A3200">
        <w:t xml:space="preserve">was used to determine </w:t>
      </w:r>
      <w:r w:rsidR="00590FCC">
        <w:t xml:space="preserve">glenohumeral </w:t>
      </w:r>
      <w:r w:rsidR="008A3200">
        <w:t>and scapular kinematics</w:t>
      </w:r>
      <w:r w:rsidR="00A86B3B">
        <w:t xml:space="preserve"> </w:t>
      </w:r>
      <w:r w:rsidR="00A86B3B">
        <w:fldChar w:fldCharType="begin"/>
      </w:r>
      <w:r w:rsidR="00A86B3B">
        <w:instrText xml:space="preserve"> ADDIN EN.CITE &lt;EndNote&gt;&lt;Cite&gt;&lt;Author&gt;Warner&lt;/Author&gt;&lt;Year&gt;2012&lt;/Year&gt;&lt;RecNum&gt;396&lt;/RecNum&gt;&lt;DisplayText&gt;(3)&lt;/DisplayText&gt;&lt;record&gt;&lt;rec-number&gt;396&lt;/rec-number&gt;&lt;foreign-keys&gt;&lt;key app="EN" db-id="s5055wd0fzs2v1eaadx5atwytz22frvrpvfw" timestamp="1375437330"&gt;396&lt;/key&gt;&lt;key app="ENWeb" db-id=""&gt;0&lt;/key&gt;&lt;/foreign-keys&gt;&lt;ref-type name="Journal Article"&gt;17&lt;/ref-type&gt;&lt;contributors&gt;&lt;authors&gt;&lt;author&gt;Warner, M.B.&lt;/author&gt;&lt;author&gt;Chappell, P.H.&lt;/author&gt;&lt;author&gt;Stokes, M.J.&lt;/author&gt;&lt;/authors&gt;&lt;/contributors&gt;&lt;titles&gt;&lt;title&gt;Measuring scapular kinematics during arm lowering using the acromion marker cluster&lt;/title&gt;&lt;secondary-title&gt;Human Movement Science&lt;/secondary-title&gt;&lt;/titles&gt;&lt;periodical&gt;&lt;full-title&gt;Human Movement Science&lt;/full-title&gt;&lt;abbr-1&gt;Hum. Mov. Sci.&lt;/abbr-1&gt;&lt;/periodical&gt;&lt;pages&gt;386-396&lt;/pages&gt;&lt;volume&gt;31&lt;/volume&gt;&lt;number&gt;2&lt;/number&gt;&lt;dates&gt;&lt;year&gt;2012&lt;/year&gt;&lt;/dates&gt;&lt;urls&gt;&lt;/urls&gt;&lt;electronic-resource-num&gt;http://dx.doi.org/10.1016/j.humov.2011.07.004&lt;/electronic-resource-num&gt;&lt;/record&gt;&lt;/Cite&gt;&lt;/EndNote&gt;</w:instrText>
      </w:r>
      <w:r w:rsidR="00A86B3B">
        <w:fldChar w:fldCharType="separate"/>
      </w:r>
      <w:r w:rsidR="00A86B3B">
        <w:rPr>
          <w:noProof/>
        </w:rPr>
        <w:t>(3)</w:t>
      </w:r>
      <w:r w:rsidR="00A86B3B">
        <w:fldChar w:fldCharType="end"/>
      </w:r>
      <w:r w:rsidR="00505034">
        <w:t xml:space="preserve">. Participants completed the </w:t>
      </w:r>
      <w:r w:rsidR="00D71C49">
        <w:t>W</w:t>
      </w:r>
      <w:r w:rsidR="00505034">
        <w:t xml:space="preserve">heelchair </w:t>
      </w:r>
      <w:r w:rsidR="00D71C49">
        <w:t>U</w:t>
      </w:r>
      <w:r w:rsidR="00505034">
        <w:t xml:space="preserve">sers </w:t>
      </w:r>
      <w:r w:rsidR="00D71C49">
        <w:t>S</w:t>
      </w:r>
      <w:r w:rsidR="00505034">
        <w:t xml:space="preserve">houlder </w:t>
      </w:r>
      <w:r w:rsidR="00D71C49">
        <w:t>D</w:t>
      </w:r>
      <w:r w:rsidR="00505034">
        <w:t xml:space="preserve">isability </w:t>
      </w:r>
      <w:r w:rsidR="00D71C49">
        <w:t>I</w:t>
      </w:r>
      <w:r w:rsidR="00505034">
        <w:t xml:space="preserve">ndex (WUSPI) </w:t>
      </w:r>
      <w:r w:rsidR="00D71C49">
        <w:t xml:space="preserve">questionnaire </w:t>
      </w:r>
      <w:r w:rsidR="00505034">
        <w:t xml:space="preserve">and were assessed for signs of shoulder impingement. A paired samples T-test was used to </w:t>
      </w:r>
      <w:r w:rsidR="00590FCC">
        <w:t>compare kinematics between the dominant and non-dominant sides</w:t>
      </w:r>
      <w:r w:rsidR="00505034">
        <w:t>.</w:t>
      </w:r>
    </w:p>
    <w:p w:rsidR="00A86B3B" w:rsidRDefault="00A86B3B" w:rsidP="00E37C8C">
      <w:pPr>
        <w:spacing w:after="0" w:line="240" w:lineRule="auto"/>
        <w:rPr>
          <w:b/>
        </w:rPr>
      </w:pPr>
    </w:p>
    <w:p w:rsidR="00505034" w:rsidRPr="008A3200" w:rsidRDefault="00505034" w:rsidP="00E37C8C">
      <w:pPr>
        <w:spacing w:after="0" w:line="240" w:lineRule="auto"/>
        <w:rPr>
          <w:b/>
        </w:rPr>
      </w:pPr>
      <w:r w:rsidRPr="008A3200">
        <w:rPr>
          <w:b/>
        </w:rPr>
        <w:t>Results</w:t>
      </w:r>
    </w:p>
    <w:p w:rsidR="008878CE" w:rsidRDefault="00D71C49" w:rsidP="00E37C8C">
      <w:pPr>
        <w:spacing w:after="0" w:line="240" w:lineRule="auto"/>
      </w:pPr>
      <w:r>
        <w:t xml:space="preserve">The </w:t>
      </w:r>
      <w:r w:rsidR="00441C10">
        <w:t xml:space="preserve">glenohumeral joint </w:t>
      </w:r>
      <w:r>
        <w:t xml:space="preserve">was significantly less internally rotated </w:t>
      </w:r>
      <w:r w:rsidR="00E37C8C">
        <w:t xml:space="preserve">at the end-of-range </w:t>
      </w:r>
      <w:r>
        <w:t xml:space="preserve">on the dominant side </w:t>
      </w:r>
      <w:r w:rsidR="00505034">
        <w:t>compared the non-dominant</w:t>
      </w:r>
      <w:r w:rsidR="005B1BFA">
        <w:t xml:space="preserve"> (Table 1)</w:t>
      </w:r>
      <w:r w:rsidR="005B4556">
        <w:t>, t</w:t>
      </w:r>
      <w:r>
        <w:t xml:space="preserve">his resulted in </w:t>
      </w:r>
      <w:r w:rsidR="00920AF3">
        <w:t>a significantly</w:t>
      </w:r>
      <w:r w:rsidR="00505034">
        <w:t xml:space="preserve"> smaller </w:t>
      </w:r>
      <w:r w:rsidR="005B1BFA">
        <w:t xml:space="preserve">(11.2°) </w:t>
      </w:r>
      <w:r w:rsidR="00505034">
        <w:t xml:space="preserve">range of </w:t>
      </w:r>
      <w:r w:rsidR="00A86B3B">
        <w:t xml:space="preserve">motion </w:t>
      </w:r>
      <w:r w:rsidR="00505034">
        <w:t xml:space="preserve">on the dominant </w:t>
      </w:r>
      <w:r>
        <w:t xml:space="preserve">side </w:t>
      </w:r>
      <w:r w:rsidR="00505034">
        <w:t>compared to the non-dominant</w:t>
      </w:r>
      <w:r w:rsidR="005B1BFA">
        <w:t xml:space="preserve"> (Table 1)</w:t>
      </w:r>
      <w:r w:rsidR="00505034">
        <w:t xml:space="preserve">. </w:t>
      </w:r>
      <w:r w:rsidR="008A3200">
        <w:t>End-of-range s</w:t>
      </w:r>
      <w:r w:rsidR="00505034">
        <w:t xml:space="preserve">capular orientation showed no significant differences between the dominant and non-dominant sides (Table </w:t>
      </w:r>
      <w:r w:rsidR="005B1BFA">
        <w:t>1</w:t>
      </w:r>
      <w:r w:rsidR="00505034">
        <w:t>). None of the players demonstrated signs of shoulder impingement and t</w:t>
      </w:r>
      <w:r>
        <w:t>he average WUSPI score was low (</w:t>
      </w:r>
      <w:r w:rsidR="001744C6">
        <w:t>28±13.8</w:t>
      </w:r>
      <w:r>
        <w:t>)</w:t>
      </w:r>
      <w:r w:rsidR="001744C6">
        <w:t>.</w:t>
      </w:r>
    </w:p>
    <w:p w:rsidR="005D71A5" w:rsidRDefault="005D71A5" w:rsidP="00E37C8C">
      <w:pPr>
        <w:spacing w:after="0" w:line="240" w:lineRule="auto"/>
      </w:pPr>
    </w:p>
    <w:p w:rsidR="005D71A5" w:rsidRDefault="005D71A5" w:rsidP="00E37C8C">
      <w:pPr>
        <w:spacing w:after="0" w:line="240" w:lineRule="auto"/>
      </w:pPr>
    </w:p>
    <w:p w:rsidR="005D71A5" w:rsidRDefault="005D71A5" w:rsidP="00E37C8C">
      <w:pPr>
        <w:spacing w:after="0" w:line="240" w:lineRule="auto"/>
      </w:pPr>
    </w:p>
    <w:p w:rsidR="005D71A5" w:rsidRDefault="005D71A5" w:rsidP="00E37C8C">
      <w:pPr>
        <w:spacing w:after="0" w:line="240" w:lineRule="auto"/>
      </w:pPr>
    </w:p>
    <w:p w:rsidR="005D71A5" w:rsidRDefault="005D71A5" w:rsidP="00E37C8C">
      <w:pPr>
        <w:spacing w:after="0" w:line="240" w:lineRule="auto"/>
      </w:pPr>
    </w:p>
    <w:p w:rsidR="005D71A5" w:rsidRDefault="005D71A5" w:rsidP="00E37C8C">
      <w:pPr>
        <w:spacing w:after="0" w:line="240" w:lineRule="auto"/>
      </w:pPr>
    </w:p>
    <w:p w:rsidR="005D71A5" w:rsidRDefault="005D71A5" w:rsidP="00E37C8C">
      <w:pPr>
        <w:spacing w:after="0" w:line="240" w:lineRule="auto"/>
      </w:pPr>
    </w:p>
    <w:p w:rsidR="005D71A5" w:rsidRDefault="005D71A5" w:rsidP="00E37C8C">
      <w:pPr>
        <w:spacing w:after="0" w:line="240" w:lineRule="auto"/>
      </w:pPr>
    </w:p>
    <w:p w:rsidR="001744C6" w:rsidRDefault="001744C6" w:rsidP="00E37C8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920AF3" w:rsidTr="005B4556">
        <w:tc>
          <w:tcPr>
            <w:tcW w:w="9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AF3" w:rsidRDefault="00920AF3" w:rsidP="00920AF3">
            <w:r>
              <w:lastRenderedPageBreak/>
              <w:t xml:space="preserve">Table 1: Glenohumeral </w:t>
            </w:r>
            <w:r w:rsidR="0036473B">
              <w:t xml:space="preserve">joint </w:t>
            </w:r>
            <w:r>
              <w:t>and scapular kinematics during active glenohumeral internal rotation.</w:t>
            </w:r>
          </w:p>
        </w:tc>
      </w:tr>
      <w:tr w:rsidR="00E37C8C" w:rsidTr="005B4556"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C8C" w:rsidRDefault="00E37C8C" w:rsidP="00E37C8C"/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C8C" w:rsidRDefault="00920AF3" w:rsidP="00E37C8C">
            <w:r>
              <w:t>G</w:t>
            </w:r>
            <w:r w:rsidR="00E37C8C">
              <w:t xml:space="preserve">lenohumeral </w:t>
            </w:r>
            <w:r w:rsidR="00441C10">
              <w:t xml:space="preserve">joint </w:t>
            </w:r>
            <w:r w:rsidR="00E37C8C">
              <w:t xml:space="preserve">internal rotation </w:t>
            </w:r>
            <w:r>
              <w:t>range-of-motion**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C8C" w:rsidRDefault="00E37C8C" w:rsidP="00E37C8C">
            <w:r>
              <w:t xml:space="preserve">Glenohumeral </w:t>
            </w:r>
            <w:r w:rsidR="00441C10">
              <w:t xml:space="preserve">joint </w:t>
            </w:r>
            <w:r>
              <w:t>internal rotation at end-of-range</w:t>
            </w:r>
            <w:r w:rsidR="00920AF3">
              <w:t>*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C8C" w:rsidRDefault="00E37C8C" w:rsidP="00E37C8C">
            <w:r>
              <w:t>Scapular internal rotation at end-of-range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C8C" w:rsidRDefault="00E37C8C" w:rsidP="00E37C8C">
            <w:r>
              <w:t>Scapular upward rotation at end-of-range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C8C" w:rsidRDefault="00E37C8C" w:rsidP="00920AF3">
            <w:r>
              <w:t xml:space="preserve">Scapular </w:t>
            </w:r>
            <w:r w:rsidR="00920AF3">
              <w:t>posterior tilt</w:t>
            </w:r>
            <w:r>
              <w:t xml:space="preserve"> at end-of-range</w:t>
            </w:r>
          </w:p>
        </w:tc>
      </w:tr>
      <w:tr w:rsidR="00E37C8C" w:rsidTr="005B4556"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C8C" w:rsidRDefault="00E37C8C" w:rsidP="00E37C8C">
            <w:r>
              <w:t>Dominant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C8C" w:rsidRDefault="00920AF3" w:rsidP="00E37C8C">
            <w:r>
              <w:t>120.6°</w:t>
            </w:r>
            <w:r w:rsidR="00441C10">
              <w:t xml:space="preserve"> ± 15.8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C8C" w:rsidRDefault="00920AF3" w:rsidP="00E37C8C">
            <w:r>
              <w:t>-34.6°</w:t>
            </w:r>
            <w:r w:rsidR="00441C10">
              <w:t xml:space="preserve"> ± 14.0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C8C" w:rsidRDefault="00920AF3" w:rsidP="00E37C8C">
            <w:r>
              <w:t>27.2°</w:t>
            </w:r>
            <w:r w:rsidR="00441C10">
              <w:t xml:space="preserve"> ± 9.2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C8C" w:rsidRDefault="00920AF3" w:rsidP="00E37C8C">
            <w:r>
              <w:t>10.3°</w:t>
            </w:r>
            <w:r w:rsidR="00441C10">
              <w:t xml:space="preserve"> ± 6.9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C8C" w:rsidRDefault="00920AF3" w:rsidP="00E37C8C">
            <w:r>
              <w:t>-9.6°</w:t>
            </w:r>
            <w:r w:rsidR="00441C10">
              <w:t xml:space="preserve"> ± 6.0</w:t>
            </w:r>
          </w:p>
        </w:tc>
      </w:tr>
      <w:tr w:rsidR="005B4556" w:rsidTr="005B4556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B4556" w:rsidRDefault="005B4556" w:rsidP="00E37C8C"/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B4556" w:rsidRDefault="005B4556" w:rsidP="00E37C8C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5B4556" w:rsidRDefault="005B4556" w:rsidP="00E37C8C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5B4556" w:rsidRDefault="005B4556" w:rsidP="00E37C8C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5B4556" w:rsidRDefault="005B4556" w:rsidP="00E37C8C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5B4556" w:rsidRDefault="005B4556" w:rsidP="00E37C8C"/>
        </w:tc>
      </w:tr>
      <w:tr w:rsidR="00920AF3" w:rsidTr="005B4556"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C8C" w:rsidRDefault="00E37C8C" w:rsidP="00E37C8C">
            <w:r>
              <w:t>Non-dominant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C8C" w:rsidRDefault="00920AF3" w:rsidP="00E37C8C">
            <w:r>
              <w:t>131.8°</w:t>
            </w:r>
            <w:r w:rsidR="00441C10">
              <w:t xml:space="preserve"> ± 19.6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C8C" w:rsidRDefault="00920AF3" w:rsidP="00E37C8C">
            <w:r>
              <w:t>-43.9°</w:t>
            </w:r>
            <w:r w:rsidR="00441C10">
              <w:t xml:space="preserve"> ± 18.5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C8C" w:rsidRDefault="00920AF3" w:rsidP="00E37C8C">
            <w:r>
              <w:t>31.4°</w:t>
            </w:r>
            <w:r w:rsidR="00441C10">
              <w:t xml:space="preserve"> ± 5.2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C8C" w:rsidRDefault="00920AF3" w:rsidP="00E37C8C">
            <w:r>
              <w:t>11.9°</w:t>
            </w:r>
            <w:r w:rsidR="00441C10">
              <w:t xml:space="preserve"> ± 7.5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C8C" w:rsidRDefault="00920AF3" w:rsidP="00E37C8C">
            <w:r>
              <w:t>-13.2°</w:t>
            </w:r>
            <w:r w:rsidR="00441C10">
              <w:t xml:space="preserve"> ± 10.2</w:t>
            </w:r>
          </w:p>
        </w:tc>
      </w:tr>
      <w:tr w:rsidR="00920AF3" w:rsidTr="005B4556">
        <w:tc>
          <w:tcPr>
            <w:tcW w:w="90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AF3" w:rsidRDefault="00920AF3" w:rsidP="00E37C8C">
            <w:r>
              <w:t xml:space="preserve">*Significant </w:t>
            </w:r>
            <w:r w:rsidR="005B4556">
              <w:t xml:space="preserve">difference between sides </w:t>
            </w:r>
            <w:r>
              <w:t>at 0.05 level.</w:t>
            </w:r>
          </w:p>
          <w:p w:rsidR="00920AF3" w:rsidRDefault="00920AF3" w:rsidP="00E37C8C">
            <w:r>
              <w:t xml:space="preserve">**Significant </w:t>
            </w:r>
            <w:r w:rsidR="005B4556">
              <w:t xml:space="preserve">difference between sides </w:t>
            </w:r>
            <w:r>
              <w:t xml:space="preserve">at 0.01 level. </w:t>
            </w:r>
          </w:p>
        </w:tc>
      </w:tr>
    </w:tbl>
    <w:p w:rsidR="001744C6" w:rsidRDefault="001744C6" w:rsidP="00E37C8C">
      <w:pPr>
        <w:spacing w:after="0" w:line="240" w:lineRule="auto"/>
      </w:pPr>
    </w:p>
    <w:p w:rsidR="001744C6" w:rsidRPr="008A3200" w:rsidRDefault="001744C6" w:rsidP="00E37C8C">
      <w:pPr>
        <w:tabs>
          <w:tab w:val="left" w:pos="1890"/>
        </w:tabs>
        <w:spacing w:after="0" w:line="240" w:lineRule="auto"/>
        <w:rPr>
          <w:b/>
        </w:rPr>
      </w:pPr>
      <w:r w:rsidRPr="008A3200">
        <w:rPr>
          <w:b/>
        </w:rPr>
        <w:t>Conclusion</w:t>
      </w:r>
      <w:r w:rsidR="00E37C8C">
        <w:rPr>
          <w:b/>
        </w:rPr>
        <w:tab/>
      </w:r>
    </w:p>
    <w:p w:rsidR="00590FCC" w:rsidRDefault="00BF47B4" w:rsidP="005D71A5">
      <w:pPr>
        <w:spacing w:line="240" w:lineRule="auto"/>
      </w:pPr>
      <w:r>
        <w:t xml:space="preserve">Elite wheelchair tennis players demonstrated less active </w:t>
      </w:r>
      <w:r w:rsidR="00441C10">
        <w:t xml:space="preserve">glenohumeral joint </w:t>
      </w:r>
      <w:r>
        <w:t xml:space="preserve">internal </w:t>
      </w:r>
      <w:r w:rsidR="00441C10">
        <w:t xml:space="preserve">rotation on their dominant side, </w:t>
      </w:r>
      <w:r w:rsidR="00D71C49">
        <w:t>consistent with other overhead and throwing sports</w:t>
      </w:r>
      <w:r w:rsidR="00E37C8C">
        <w:t xml:space="preserve">, which </w:t>
      </w:r>
      <w:r>
        <w:t>could be a result of posterior capsule or soft tissue tightness</w:t>
      </w:r>
      <w:r w:rsidR="00E37C8C">
        <w:t>. However, t</w:t>
      </w:r>
      <w:r>
        <w:t xml:space="preserve">he </w:t>
      </w:r>
      <w:r w:rsidR="00E37C8C">
        <w:t xml:space="preserve">differences in </w:t>
      </w:r>
      <w:r w:rsidR="00A86B3B">
        <w:t xml:space="preserve">glenohumeral joint internal </w:t>
      </w:r>
      <w:r w:rsidR="00E37C8C">
        <w:t xml:space="preserve">range of motion </w:t>
      </w:r>
      <w:r w:rsidR="008A3200">
        <w:t xml:space="preserve">were </w:t>
      </w:r>
      <w:r>
        <w:t xml:space="preserve">not accompanied by significant differences in </w:t>
      </w:r>
      <w:r w:rsidR="00E37C8C">
        <w:t xml:space="preserve">end-of-range </w:t>
      </w:r>
      <w:r>
        <w:t>scapular orientation</w:t>
      </w:r>
      <w:r w:rsidR="008A3200">
        <w:t>, n</w:t>
      </w:r>
      <w:r w:rsidR="00CA3251">
        <w:t>or associated with pain or signs of impingement. Further work is required to understand the role of shoulder function in athletic wheelchair populations.</w:t>
      </w:r>
    </w:p>
    <w:p w:rsidR="005D71A5" w:rsidRPr="005D71A5" w:rsidRDefault="005D71A5" w:rsidP="005D71A5">
      <w:pPr>
        <w:spacing w:after="0" w:line="240" w:lineRule="auto"/>
        <w:rPr>
          <w:b/>
        </w:rPr>
      </w:pPr>
      <w:bookmarkStart w:id="0" w:name="_GoBack"/>
      <w:r w:rsidRPr="005D71A5">
        <w:rPr>
          <w:b/>
        </w:rPr>
        <w:t>References</w:t>
      </w:r>
    </w:p>
    <w:p w:rsidR="00A86B3B" w:rsidRPr="00A86B3B" w:rsidRDefault="00590FCC" w:rsidP="00A86B3B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A86B3B" w:rsidRPr="00A86B3B">
        <w:t>1.</w:t>
      </w:r>
      <w:r w:rsidR="00A86B3B" w:rsidRPr="00A86B3B">
        <w:tab/>
        <w:t>Moreno-Pérez V, Moreside J, Barbado D, Vera-Garcia FJ. Comparison of shoulder rotation range of motion in professional tennis players with and without history of shoulder pain. Manual Therapy. 2015;20(2):313-8.</w:t>
      </w:r>
    </w:p>
    <w:p w:rsidR="00A86B3B" w:rsidRPr="00A86B3B" w:rsidRDefault="00A86B3B" w:rsidP="00A86B3B">
      <w:pPr>
        <w:pStyle w:val="EndNoteBibliography"/>
        <w:spacing w:after="0"/>
      </w:pPr>
      <w:r w:rsidRPr="00A86B3B">
        <w:t>2.</w:t>
      </w:r>
      <w:r w:rsidRPr="00A86B3B">
        <w:tab/>
        <w:t>Kibler WB, Sciascia A, Thomas SJ. Glenohumeral internal rotation deficit: pathogenesis and response to acute throwing. Sports medicine and arthroscopy review. 2012;20(1):34-8.</w:t>
      </w:r>
    </w:p>
    <w:p w:rsidR="00A86B3B" w:rsidRPr="00A86B3B" w:rsidRDefault="00A86B3B" w:rsidP="00A86B3B">
      <w:pPr>
        <w:pStyle w:val="EndNoteBibliography"/>
      </w:pPr>
      <w:r w:rsidRPr="00A86B3B">
        <w:t>3.</w:t>
      </w:r>
      <w:r w:rsidRPr="00A86B3B">
        <w:tab/>
        <w:t>Warner MB, Chappell PH, Stokes MJ. Measuring scapular kinematics during arm lowering using the acromion marker cluster. Hum Mov Sci. 2012;31(2):386-96.</w:t>
      </w:r>
    </w:p>
    <w:p w:rsidR="00A86B3B" w:rsidRDefault="00590FCC">
      <w:r>
        <w:fldChar w:fldCharType="end"/>
      </w:r>
      <w:bookmarkEnd w:id="0"/>
    </w:p>
    <w:p w:rsidR="00E9286E" w:rsidRDefault="00E9286E"/>
    <w:p w:rsidR="00E9286E" w:rsidRDefault="00E9286E"/>
    <w:p w:rsidR="00E9286E" w:rsidRDefault="00E9286E"/>
    <w:p w:rsidR="00E9286E" w:rsidRDefault="00E9286E"/>
    <w:p w:rsidR="00E9286E" w:rsidRDefault="00E9286E"/>
    <w:p w:rsidR="00E9286E" w:rsidRDefault="00E9286E"/>
    <w:p w:rsidR="00E9286E" w:rsidRDefault="00E9286E"/>
    <w:p w:rsidR="00E9286E" w:rsidRDefault="00E9286E"/>
    <w:p w:rsidR="00E9286E" w:rsidRDefault="00E9286E"/>
    <w:p w:rsidR="00E9286E" w:rsidRDefault="00E9286E"/>
    <w:p w:rsidR="00E9286E" w:rsidRDefault="00E9286E"/>
    <w:p w:rsidR="00E9286E" w:rsidRDefault="00E9286E"/>
    <w:p w:rsidR="00A86B3B" w:rsidRDefault="00A86B3B" w:rsidP="00A86B3B">
      <w:pPr>
        <w:spacing w:after="0" w:line="240" w:lineRule="auto"/>
      </w:pPr>
      <w:r w:rsidRPr="008878CE">
        <w:rPr>
          <w:b/>
        </w:rPr>
        <w:lastRenderedPageBreak/>
        <w:t>Corresponding author</w:t>
      </w:r>
      <w:r>
        <w:rPr>
          <w:b/>
        </w:rPr>
        <w:t>’s</w:t>
      </w:r>
      <w:r w:rsidRPr="008878CE">
        <w:rPr>
          <w:b/>
        </w:rPr>
        <w:t xml:space="preserve"> contact details</w:t>
      </w:r>
      <w:r>
        <w:br/>
        <w:t>Dr Martin Warner</w:t>
      </w:r>
    </w:p>
    <w:p w:rsidR="00A86B3B" w:rsidRDefault="00A86B3B" w:rsidP="00A86B3B">
      <w:pPr>
        <w:spacing w:after="0" w:line="240" w:lineRule="auto"/>
      </w:pPr>
      <w:r>
        <w:t>Faculty of Health Sciences</w:t>
      </w:r>
    </w:p>
    <w:p w:rsidR="00A86B3B" w:rsidRDefault="00A86B3B" w:rsidP="00A86B3B">
      <w:pPr>
        <w:spacing w:after="0" w:line="240" w:lineRule="auto"/>
      </w:pPr>
      <w:r>
        <w:t>University of Southampton</w:t>
      </w:r>
      <w:r>
        <w:br/>
        <w:t>Southampton</w:t>
      </w:r>
      <w:r>
        <w:br/>
        <w:t>SO17 1BJ</w:t>
      </w:r>
    </w:p>
    <w:p w:rsidR="00A86B3B" w:rsidRDefault="00A86B3B" w:rsidP="00A86B3B">
      <w:pPr>
        <w:spacing w:after="0" w:line="240" w:lineRule="auto"/>
      </w:pPr>
      <w:r>
        <w:t>Telephone: 02380 598990</w:t>
      </w:r>
    </w:p>
    <w:p w:rsidR="00A86B3B" w:rsidRDefault="00A86B3B" w:rsidP="00A86B3B">
      <w:pPr>
        <w:spacing w:after="0" w:line="240" w:lineRule="auto"/>
      </w:pPr>
      <w:r>
        <w:t xml:space="preserve">Email: </w:t>
      </w:r>
      <w:hyperlink r:id="rId6" w:history="1">
        <w:r w:rsidRPr="006E0D85">
          <w:rPr>
            <w:rStyle w:val="Hyperlink"/>
          </w:rPr>
          <w:t>m.warner@soton.ac.uk</w:t>
        </w:r>
      </w:hyperlink>
    </w:p>
    <w:p w:rsidR="00A86B3B" w:rsidRDefault="00A86B3B"/>
    <w:sectPr w:rsidR="00A86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E40"/>
    <w:multiLevelType w:val="multilevel"/>
    <w:tmpl w:val="BAD29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7232D"/>
    <w:multiLevelType w:val="multilevel"/>
    <w:tmpl w:val="584A7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51C66"/>
    <w:multiLevelType w:val="multilevel"/>
    <w:tmpl w:val="5684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20798"/>
    <w:multiLevelType w:val="multilevel"/>
    <w:tmpl w:val="F436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30CC3"/>
    <w:multiLevelType w:val="multilevel"/>
    <w:tmpl w:val="72F8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C5ED5"/>
    <w:multiLevelType w:val="multilevel"/>
    <w:tmpl w:val="C7E2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62B3A"/>
    <w:multiLevelType w:val="multilevel"/>
    <w:tmpl w:val="F156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545DF"/>
    <w:multiLevelType w:val="multilevel"/>
    <w:tmpl w:val="90FA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96CC6"/>
    <w:multiLevelType w:val="multilevel"/>
    <w:tmpl w:val="8636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513747"/>
    <w:multiLevelType w:val="multilevel"/>
    <w:tmpl w:val="A7D4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055wd0fzs2v1eaadx5atwytz22frvrpvfw&quot;&gt;Warner_EndNote_Library&lt;record-ids&gt;&lt;item&gt;396&lt;/item&gt;&lt;item&gt;1267&lt;/item&gt;&lt;item&gt;1268&lt;/item&gt;&lt;/record-ids&gt;&lt;/item&gt;&lt;/Libraries&gt;"/>
  </w:docVars>
  <w:rsids>
    <w:rsidRoot w:val="008878CE"/>
    <w:rsid w:val="00050FDD"/>
    <w:rsid w:val="00151927"/>
    <w:rsid w:val="001744C6"/>
    <w:rsid w:val="001C5B13"/>
    <w:rsid w:val="0023694B"/>
    <w:rsid w:val="002C0339"/>
    <w:rsid w:val="002D231B"/>
    <w:rsid w:val="0036473B"/>
    <w:rsid w:val="00441C10"/>
    <w:rsid w:val="00505034"/>
    <w:rsid w:val="00590FCC"/>
    <w:rsid w:val="005B1BFA"/>
    <w:rsid w:val="005B4556"/>
    <w:rsid w:val="005D71A5"/>
    <w:rsid w:val="006D045E"/>
    <w:rsid w:val="008878CE"/>
    <w:rsid w:val="008A3200"/>
    <w:rsid w:val="00920AF3"/>
    <w:rsid w:val="00987891"/>
    <w:rsid w:val="00A86B3B"/>
    <w:rsid w:val="00BF47B4"/>
    <w:rsid w:val="00CA3251"/>
    <w:rsid w:val="00D71C49"/>
    <w:rsid w:val="00DF0042"/>
    <w:rsid w:val="00E37C8C"/>
    <w:rsid w:val="00E86B53"/>
    <w:rsid w:val="00E9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8B738-83F0-4BED-AFE2-9FF74FD7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878CE"/>
    <w:rPr>
      <w:b/>
      <w:bCs/>
    </w:rPr>
  </w:style>
  <w:style w:type="character" w:customStyle="1" w:styleId="apple-converted-space">
    <w:name w:val="apple-converted-space"/>
    <w:basedOn w:val="DefaultParagraphFont"/>
    <w:rsid w:val="008878CE"/>
  </w:style>
  <w:style w:type="paragraph" w:styleId="ListParagraph">
    <w:name w:val="List Paragraph"/>
    <w:basedOn w:val="Normal"/>
    <w:uiPriority w:val="34"/>
    <w:qFormat/>
    <w:rsid w:val="008878C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44C6"/>
    <w:rPr>
      <w:color w:val="808080"/>
    </w:rPr>
  </w:style>
  <w:style w:type="table" w:styleId="TableGrid">
    <w:name w:val="Table Grid"/>
    <w:basedOn w:val="TableNormal"/>
    <w:uiPriority w:val="39"/>
    <w:rsid w:val="00E37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FDD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90FCC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90FCC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90FCC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90FCC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3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warner@soton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B1D2-701E-48D4-A71C-BFCE55A6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M.</dc:creator>
  <cp:keywords/>
  <dc:description/>
  <cp:lastModifiedBy>Warner M.</cp:lastModifiedBy>
  <cp:revision>9</cp:revision>
  <dcterms:created xsi:type="dcterms:W3CDTF">2015-09-21T10:08:00Z</dcterms:created>
  <dcterms:modified xsi:type="dcterms:W3CDTF">2015-11-02T17:12:00Z</dcterms:modified>
</cp:coreProperties>
</file>